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0549B31" w:rsidP="42E06B45" w:rsidRDefault="10549B31" w14:paraId="40A91A00" w14:textId="20053DED">
      <w:pPr>
        <w:pStyle w:val="Normal"/>
        <w:spacing w:before="0" w:beforeAutospacing="off" w:after="100" w:afterAutospacing="off"/>
        <w:ind w:left="720"/>
        <w:jc w:val="center"/>
      </w:pPr>
      <w:r w:rsidR="10549B31">
        <w:drawing>
          <wp:inline wp14:editId="2EDAE88F" wp14:anchorId="25FB03E0">
            <wp:extent cx="3052204" cy="1676400"/>
            <wp:effectExtent l="0" t="0" r="0" b="0"/>
            <wp:docPr id="1277742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774265" name="Picture 127774265"/>
                    <pic:cNvPicPr/>
                  </pic:nvPicPr>
                  <pic:blipFill>
                    <a:blip xmlns:r="http://schemas.openxmlformats.org/officeDocument/2006/relationships" r:embed="rId1465418238">
                      <a:extLst>
                        <a:ext uri="{28A0092B-C50C-407E-A947-70E740481C1C}">
                          <a14:useLocalDpi xmlns:a14="http://schemas.microsoft.com/office/drawing/2010/main"/>
                        </a:ext>
                      </a:extLst>
                    </a:blip>
                    <a:stretch>
                      <a:fillRect/>
                    </a:stretch>
                  </pic:blipFill>
                  <pic:spPr>
                    <a:xfrm rot="0">
                      <a:off x="0" y="0"/>
                      <a:ext cx="3052204" cy="1676400"/>
                    </a:xfrm>
                    <a:prstGeom prst="rect">
                      <a:avLst/>
                    </a:prstGeom>
                  </pic:spPr>
                </pic:pic>
              </a:graphicData>
            </a:graphic>
          </wp:inline>
        </w:drawing>
      </w:r>
    </w:p>
    <w:p w:rsidR="0F626C7E" w:rsidP="42E06B45" w:rsidRDefault="0F626C7E" w14:paraId="6923A976" w14:textId="6B5C7845">
      <w:pPr>
        <w:pStyle w:val="Normal"/>
        <w:spacing w:before="0" w:beforeAutospacing="off" w:after="0" w:afterAutospacing="off"/>
        <w:ind w:left="720"/>
        <w:jc w:val="center"/>
        <w:rPr>
          <w:rFonts w:ascii="Calibri" w:hAnsi="Calibri" w:eastAsia="Calibri" w:cs="Calibri"/>
          <w:noProof w:val="0"/>
          <w:color w:val="auto"/>
          <w:sz w:val="24"/>
          <w:szCs w:val="24"/>
          <w:lang w:val="en-GB"/>
        </w:rPr>
      </w:pPr>
      <w:r w:rsidRPr="42E06B45" w:rsidR="0F626C7E">
        <w:rPr>
          <w:rFonts w:ascii="Aptos Display" w:hAnsi="Aptos Display" w:eastAsia="Aptos Display" w:cs="Aptos Display"/>
          <w:b w:val="0"/>
          <w:bCs w:val="0"/>
          <w:i w:val="0"/>
          <w:iCs w:val="0"/>
          <w:caps w:val="0"/>
          <w:smallCaps w:val="0"/>
          <w:strike w:val="0"/>
          <w:dstrike w:val="0"/>
          <w:noProof w:val="0"/>
          <w:color w:val="auto"/>
          <w:sz w:val="40"/>
          <w:szCs w:val="40"/>
          <w:u w:val="none"/>
          <w:lang w:val="en-GB"/>
        </w:rPr>
        <w:t>University of Wales Trinity Saint David</w:t>
      </w:r>
    </w:p>
    <w:p w:rsidR="42E06B45" w:rsidP="42E06B45" w:rsidRDefault="42E06B45" w14:paraId="5B32280C" w14:textId="2C48EEB9">
      <w:pPr>
        <w:pStyle w:val="Normal"/>
        <w:spacing w:before="0" w:beforeAutospacing="off" w:after="100" w:afterAutospacing="off"/>
        <w:ind w:left="720"/>
        <w:jc w:val="center"/>
      </w:pPr>
    </w:p>
    <w:p xmlns:wp14="http://schemas.microsoft.com/office/word/2010/wordml" w:rsidP="42E06B45" wp14:paraId="30667375" wp14:textId="390AE5B2">
      <w:pPr>
        <w:spacing w:before="0" w:beforeAutospacing="off" w:after="100" w:afterAutospacing="off"/>
        <w:ind w:left="720"/>
        <w:jc w:val="center"/>
        <w:rPr>
          <w:rFonts w:ascii="Calibri" w:hAnsi="Calibri" w:eastAsia="Calibri" w:cs="Calibri"/>
          <w:b w:val="1"/>
          <w:bCs w:val="1"/>
          <w:noProof w:val="0"/>
          <w:color w:val="auto"/>
          <w:sz w:val="40"/>
          <w:szCs w:val="40"/>
          <w:lang w:val="en-GB"/>
        </w:rPr>
      </w:pPr>
      <w:r w:rsidRPr="42E06B45" w:rsidR="0A64EF37">
        <w:rPr>
          <w:rFonts w:ascii="Calibri" w:hAnsi="Calibri" w:eastAsia="Calibri" w:cs="Calibri"/>
          <w:b w:val="1"/>
          <w:bCs w:val="1"/>
          <w:noProof w:val="0"/>
          <w:color w:val="auto"/>
          <w:sz w:val="40"/>
          <w:szCs w:val="40"/>
          <w:lang w:val="en-GB"/>
        </w:rPr>
        <w:t>Designing an Integrated Information Security</w:t>
      </w:r>
    </w:p>
    <w:p xmlns:wp14="http://schemas.microsoft.com/office/word/2010/wordml" w:rsidP="42E06B45" wp14:paraId="7A3AD40C" wp14:textId="21192E6B">
      <w:pPr>
        <w:spacing w:before="0" w:beforeAutospacing="off" w:after="100" w:afterAutospacing="off"/>
        <w:ind w:left="720"/>
        <w:jc w:val="center"/>
        <w:rPr>
          <w:rFonts w:ascii="Calibri" w:hAnsi="Calibri" w:eastAsia="Calibri" w:cs="Calibri"/>
          <w:b w:val="1"/>
          <w:bCs w:val="1"/>
          <w:noProof w:val="0"/>
          <w:color w:val="auto"/>
          <w:sz w:val="40"/>
          <w:szCs w:val="40"/>
          <w:lang w:val="en-GB"/>
        </w:rPr>
      </w:pPr>
      <w:r w:rsidRPr="42E06B45" w:rsidR="0A64EF37">
        <w:rPr>
          <w:rFonts w:ascii="Calibri" w:hAnsi="Calibri" w:eastAsia="Calibri" w:cs="Calibri"/>
          <w:b w:val="1"/>
          <w:bCs w:val="1"/>
          <w:noProof w:val="0"/>
          <w:color w:val="auto"/>
          <w:sz w:val="40"/>
          <w:szCs w:val="40"/>
          <w:lang w:val="en-GB"/>
        </w:rPr>
        <w:t>Governance, Risk Management, and Compliance Framework</w:t>
      </w:r>
    </w:p>
    <w:p xmlns:wp14="http://schemas.microsoft.com/office/word/2010/wordml" w:rsidP="42E06B45" wp14:paraId="4BDB21A5" wp14:textId="70B52019">
      <w:pPr>
        <w:spacing w:before="0" w:beforeAutospacing="off" w:after="800" w:afterAutospacing="off"/>
        <w:ind w:left="720"/>
        <w:jc w:val="center"/>
        <w:rPr>
          <w:rFonts w:ascii="Calibri" w:hAnsi="Calibri" w:eastAsia="Calibri" w:cs="Calibri"/>
          <w:b w:val="1"/>
          <w:bCs w:val="1"/>
          <w:noProof w:val="0"/>
          <w:color w:val="auto"/>
          <w:sz w:val="40"/>
          <w:szCs w:val="40"/>
          <w:lang w:val="en-GB"/>
        </w:rPr>
      </w:pPr>
      <w:r w:rsidRPr="42E06B45" w:rsidR="0A64EF37">
        <w:rPr>
          <w:rFonts w:ascii="Calibri" w:hAnsi="Calibri" w:eastAsia="Calibri" w:cs="Calibri"/>
          <w:b w:val="1"/>
          <w:bCs w:val="1"/>
          <w:noProof w:val="0"/>
          <w:color w:val="auto"/>
          <w:sz w:val="40"/>
          <w:szCs w:val="40"/>
          <w:lang w:val="en-GB"/>
        </w:rPr>
        <w:t>for AeroLink Logistics (ALL)</w:t>
      </w:r>
    </w:p>
    <w:p xmlns:wp14="http://schemas.microsoft.com/office/word/2010/wordml" w:rsidP="42E06B45" wp14:paraId="5EB2601E" wp14:textId="525F3FC5">
      <w:pPr>
        <w:spacing w:before="0" w:beforeAutospacing="off" w:after="0" w:afterAutospacing="off"/>
        <w:ind w:left="720"/>
        <w:jc w:val="center"/>
        <w:rPr>
          <w:rFonts w:ascii="Calibri" w:hAnsi="Calibri" w:eastAsia="Calibri" w:cs="Calibri"/>
          <w:i w:val="1"/>
          <w:iCs w:val="1"/>
          <w:noProof w:val="0"/>
          <w:color w:val="auto"/>
          <w:sz w:val="26"/>
          <w:szCs w:val="26"/>
          <w:lang w:val="en-GB"/>
        </w:rPr>
      </w:pPr>
      <w:r w:rsidRPr="42E06B45" w:rsidR="0A64EF37">
        <w:rPr>
          <w:rFonts w:ascii="Calibri" w:hAnsi="Calibri" w:eastAsia="Calibri" w:cs="Calibri"/>
          <w:i w:val="1"/>
          <w:iCs w:val="1"/>
          <w:noProof w:val="0"/>
          <w:color w:val="auto"/>
          <w:sz w:val="26"/>
          <w:szCs w:val="26"/>
          <w:lang w:val="en-GB"/>
        </w:rPr>
        <w:t>A Propos</w:t>
      </w:r>
      <w:r w:rsidRPr="42E06B45" w:rsidR="0A64EF37">
        <w:rPr>
          <w:rFonts w:ascii="Calibri" w:hAnsi="Calibri" w:eastAsia="Calibri" w:cs="Calibri"/>
          <w:i w:val="1"/>
          <w:iCs w:val="1"/>
          <w:noProof w:val="0"/>
          <w:color w:val="auto"/>
          <w:sz w:val="26"/>
          <w:szCs w:val="26"/>
          <w:lang w:val="en-GB"/>
        </w:rPr>
        <w:t>ed Governance, Risk, and Compliance (GRC) Model</w:t>
      </w:r>
    </w:p>
    <w:p w:rsidR="42E06B45" w:rsidP="42E06B45" w:rsidRDefault="42E06B45" w14:paraId="20BE1434" w14:textId="5DBF17CF">
      <w:pPr>
        <w:pStyle w:val="Heading1"/>
        <w:spacing w:before="0" w:beforeAutospacing="off" w:after="0" w:afterAutospacing="off"/>
        <w:ind w:left="720"/>
        <w:jc w:val="center"/>
        <w:rPr>
          <w:noProof w:val="0"/>
          <w:color w:val="auto"/>
          <w:lang w:val="en-GB"/>
        </w:rPr>
      </w:pPr>
    </w:p>
    <w:p xmlns:wp14="http://schemas.microsoft.com/office/word/2010/wordml" w:rsidP="42E06B45" wp14:paraId="40E80EFE" wp14:textId="131B8B5C">
      <w:pPr>
        <w:pStyle w:val="Heading1"/>
        <w:spacing w:before="0" w:beforeAutospacing="off" w:after="0" w:afterAutospacing="off"/>
        <w:ind w:left="720"/>
        <w:jc w:val="center"/>
        <w:rPr>
          <w:noProof w:val="0"/>
          <w:color w:val="auto"/>
          <w:sz w:val="32"/>
          <w:szCs w:val="32"/>
          <w:lang w:val="en-GB"/>
        </w:rPr>
      </w:pPr>
      <w:r w:rsidRPr="42E06B45" w:rsidR="50214384">
        <w:rPr>
          <w:noProof w:val="0"/>
          <w:color w:val="auto"/>
          <w:sz w:val="36"/>
          <w:szCs w:val="36"/>
          <w:lang w:val="en-GB"/>
        </w:rPr>
        <w:t xml:space="preserve">Name: </w:t>
      </w:r>
      <w:r w:rsidRPr="42E06B45" w:rsidR="509A3E4C">
        <w:rPr>
          <w:noProof w:val="0"/>
          <w:color w:val="auto"/>
          <w:sz w:val="36"/>
          <w:szCs w:val="36"/>
          <w:lang w:val="en-GB"/>
        </w:rPr>
        <w:t>Prem Alkeshkumar Joshi</w:t>
      </w:r>
    </w:p>
    <w:p w:rsidR="506435F1" w:rsidP="42E06B45" w:rsidRDefault="506435F1" w14:paraId="1A74D9E7" w14:textId="04850BC7">
      <w:pPr>
        <w:pStyle w:val="Heading1"/>
        <w:spacing w:before="0" w:beforeAutospacing="off" w:after="0" w:afterAutospacing="off"/>
        <w:ind w:left="720"/>
        <w:jc w:val="center"/>
        <w:rPr>
          <w:rFonts w:ascii="Calibri" w:hAnsi="Calibri" w:eastAsia="Calibri" w:cs="Calibri"/>
          <w:noProof w:val="0"/>
          <w:color w:val="auto"/>
          <w:sz w:val="22"/>
          <w:szCs w:val="22"/>
          <w:lang w:val="en-GB"/>
        </w:rPr>
      </w:pPr>
      <w:r w:rsidRPr="42E06B45" w:rsidR="506435F1">
        <w:rPr>
          <w:noProof w:val="0"/>
          <w:color w:val="auto"/>
          <w:sz w:val="36"/>
          <w:szCs w:val="36"/>
          <w:lang w:val="en-GB"/>
        </w:rPr>
        <w:t>Enrolment No:</w:t>
      </w:r>
      <w:r w:rsidRPr="42E06B45" w:rsidR="506435F1">
        <w:rPr>
          <w:noProof w:val="0"/>
          <w:color w:val="auto"/>
          <w:sz w:val="36"/>
          <w:szCs w:val="36"/>
          <w:lang w:val="en-GB"/>
        </w:rPr>
        <w:t xml:space="preserve">  </w:t>
      </w:r>
      <w:r w:rsidRPr="42E06B45" w:rsidR="5A19A20F">
        <w:rPr>
          <w:noProof w:val="0"/>
          <w:color w:val="auto"/>
          <w:sz w:val="36"/>
          <w:szCs w:val="36"/>
          <w:lang w:val="en-GB"/>
        </w:rPr>
        <w:t>2537632</w:t>
      </w:r>
    </w:p>
    <w:p w:rsidR="78457D18" w:rsidP="42E06B45" w:rsidRDefault="78457D18" w14:paraId="6C621C48" w14:textId="4AAA02A3">
      <w:pPr>
        <w:pStyle w:val="Heading1"/>
        <w:keepNext w:val="1"/>
        <w:keepLines w:val="1"/>
        <w:spacing w:before="360" w:after="0" w:afterAutospacing="off"/>
        <w:ind w:left="720"/>
        <w:jc w:val="center"/>
        <w:rPr>
          <w:rFonts w:ascii="Calibri" w:hAnsi="Calibri" w:eastAsia="Calibri" w:cs="Calibri"/>
          <w:noProof w:val="0"/>
          <w:color w:val="auto"/>
          <w:sz w:val="24"/>
          <w:szCs w:val="24"/>
          <w:lang w:val="en-GB"/>
        </w:rPr>
      </w:pPr>
      <w:r w:rsidRPr="42E06B45" w:rsidR="78457D18">
        <w:rPr>
          <w:rFonts w:ascii="Aptos Display" w:hAnsi="Aptos Display" w:eastAsia="Aptos Display" w:cs="Aptos Display"/>
          <w:b w:val="0"/>
          <w:bCs w:val="0"/>
          <w:i w:val="0"/>
          <w:iCs w:val="0"/>
          <w:caps w:val="0"/>
          <w:smallCaps w:val="0"/>
          <w:noProof w:val="0"/>
          <w:color w:val="auto"/>
          <w:sz w:val="32"/>
          <w:szCs w:val="32"/>
          <w:lang w:val="en-GB"/>
        </w:rPr>
        <w:t>Module: ACCA7028 – Data Security, Governance and Compliance</w:t>
      </w:r>
    </w:p>
    <w:p xmlns:wp14="http://schemas.microsoft.com/office/word/2010/wordml" w:rsidP="474F5605" wp14:paraId="4CBE6D39" wp14:textId="3267128E">
      <w:pPr>
        <w:spacing w:before="0" w:beforeAutospacing="off" w:after="0" w:afterAutospacing="off"/>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 xml:space="preserve"> </w:t>
      </w:r>
    </w:p>
    <w:p xmlns:wp14="http://schemas.microsoft.com/office/word/2010/wordml" w:rsidP="474F5605" wp14:paraId="23554555" wp14:textId="0C9F8689">
      <w:pPr>
        <w:pStyle w:val="Heading1"/>
        <w:spacing w:before="0" w:beforeAutospacing="off" w:after="150" w:afterAutospacing="off"/>
        <w:rPr>
          <w:rFonts w:ascii="Calibri" w:hAnsi="Calibri" w:eastAsia="Calibri" w:cs="Calibri"/>
          <w:b w:val="1"/>
          <w:bCs w:val="1"/>
          <w:noProof w:val="0"/>
          <w:color w:val="auto"/>
          <w:sz w:val="30"/>
          <w:szCs w:val="30"/>
          <w:lang w:val="en-GB"/>
        </w:rPr>
      </w:pPr>
    </w:p>
    <w:p xmlns:wp14="http://schemas.microsoft.com/office/word/2010/wordml" w:rsidP="474F5605" wp14:paraId="1F51AF25" wp14:textId="0FFDC8E8">
      <w:pPr>
        <w:rPr>
          <w:color w:val="auto"/>
        </w:rPr>
      </w:pPr>
      <w:r w:rsidRPr="474F5605">
        <w:rPr>
          <w:color w:val="auto"/>
        </w:rPr>
        <w:br w:type="page"/>
      </w:r>
    </w:p>
    <w:p xmlns:wp14="http://schemas.microsoft.com/office/word/2010/wordml" w:rsidP="474F5605" wp14:paraId="41AA7FF5" wp14:textId="3082CE34">
      <w:pPr>
        <w:pStyle w:val="Heading1"/>
        <w:spacing w:before="0" w:beforeAutospacing="off" w:after="15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Table of Contents</w:t>
      </w:r>
    </w:p>
    <w:tbl>
      <w:tblPr>
        <w:tblStyle w:val="TableGrid"/>
        <w:bidiVisual w:val="0"/>
        <w:tblW w:w="0" w:type="auto"/>
        <w:tblLook w:val="04A0" w:firstRow="1" w:lastRow="0" w:firstColumn="1" w:lastColumn="0" w:noHBand="0" w:noVBand="1"/>
      </w:tblPr>
      <w:tblGrid>
        <w:gridCol w:w="705"/>
        <w:gridCol w:w="8010"/>
        <w:gridCol w:w="945"/>
      </w:tblGrid>
      <w:tr w:rsidR="474F5605" w:rsidTr="42E06B45" w14:paraId="3191A3C8">
        <w:trPr>
          <w:trHeight w:val="300"/>
        </w:trPr>
        <w:tc>
          <w:tcPr>
            <w:tcW w:w="705" w:type="dxa"/>
            <w:tcMar/>
          </w:tcPr>
          <w:p w:rsidR="474F5605" w:rsidP="474F5605" w:rsidRDefault="474F5605" w14:paraId="083934C2" w14:textId="3BF9D36A">
            <w:pPr>
              <w:spacing w:before="0" w:beforeAutospacing="off" w:after="0" w:afterAutospacing="off"/>
              <w:jc w:val="center"/>
              <w:rPr>
                <w:rFonts w:ascii="Calibri" w:hAnsi="Calibri" w:eastAsia="Calibri" w:cs="Calibri"/>
                <w:b w:val="1"/>
                <w:bCs w:val="1"/>
                <w:color w:val="auto"/>
                <w:sz w:val="22"/>
                <w:szCs w:val="22"/>
              </w:rPr>
            </w:pPr>
            <w:r w:rsidRPr="474F5605" w:rsidR="474F5605">
              <w:rPr>
                <w:rFonts w:ascii="Calibri" w:hAnsi="Calibri" w:eastAsia="Calibri" w:cs="Calibri"/>
                <w:b w:val="1"/>
                <w:bCs w:val="1"/>
                <w:color w:val="auto"/>
                <w:sz w:val="22"/>
                <w:szCs w:val="22"/>
              </w:rPr>
              <w:t>Section No.</w:t>
            </w:r>
          </w:p>
        </w:tc>
        <w:tc>
          <w:tcPr>
            <w:tcW w:w="8010" w:type="dxa"/>
            <w:tcMar/>
          </w:tcPr>
          <w:p w:rsidR="474F5605" w:rsidP="474F5605" w:rsidRDefault="474F5605" w14:paraId="5D51B583" w14:textId="211916AA">
            <w:pPr>
              <w:spacing w:before="0" w:beforeAutospacing="off" w:after="0" w:afterAutospacing="off"/>
              <w:jc w:val="center"/>
              <w:rPr>
                <w:rFonts w:ascii="Calibri" w:hAnsi="Calibri" w:eastAsia="Calibri" w:cs="Calibri"/>
                <w:b w:val="1"/>
                <w:bCs w:val="1"/>
                <w:color w:val="auto"/>
                <w:sz w:val="22"/>
                <w:szCs w:val="22"/>
              </w:rPr>
            </w:pPr>
            <w:r w:rsidRPr="474F5605" w:rsidR="474F5605">
              <w:rPr>
                <w:rFonts w:ascii="Calibri" w:hAnsi="Calibri" w:eastAsia="Calibri" w:cs="Calibri"/>
                <w:b w:val="1"/>
                <w:bCs w:val="1"/>
                <w:color w:val="auto"/>
                <w:sz w:val="22"/>
                <w:szCs w:val="22"/>
              </w:rPr>
              <w:t>Title</w:t>
            </w:r>
          </w:p>
        </w:tc>
        <w:tc>
          <w:tcPr>
            <w:tcW w:w="945" w:type="dxa"/>
            <w:tcMar/>
          </w:tcPr>
          <w:p w:rsidR="474F5605" w:rsidP="474F5605" w:rsidRDefault="474F5605" w14:paraId="05548F90" w14:textId="070C150F">
            <w:pPr>
              <w:spacing w:before="0" w:beforeAutospacing="off" w:after="0" w:afterAutospacing="off"/>
              <w:jc w:val="center"/>
              <w:rPr>
                <w:rFonts w:ascii="Calibri" w:hAnsi="Calibri" w:eastAsia="Calibri" w:cs="Calibri"/>
                <w:b w:val="1"/>
                <w:bCs w:val="1"/>
                <w:color w:val="auto"/>
                <w:sz w:val="22"/>
                <w:szCs w:val="22"/>
              </w:rPr>
            </w:pPr>
            <w:r w:rsidRPr="474F5605" w:rsidR="474F5605">
              <w:rPr>
                <w:rFonts w:ascii="Calibri" w:hAnsi="Calibri" w:eastAsia="Calibri" w:cs="Calibri"/>
                <w:b w:val="1"/>
                <w:bCs w:val="1"/>
                <w:color w:val="auto"/>
                <w:sz w:val="22"/>
                <w:szCs w:val="22"/>
              </w:rPr>
              <w:t>Page No.</w:t>
            </w:r>
          </w:p>
        </w:tc>
      </w:tr>
      <w:tr w:rsidR="474F5605" w:rsidTr="42E06B45" w14:paraId="05FD8279">
        <w:trPr>
          <w:trHeight w:val="300"/>
        </w:trPr>
        <w:tc>
          <w:tcPr>
            <w:tcW w:w="705" w:type="dxa"/>
            <w:tcMar/>
          </w:tcPr>
          <w:p w:rsidR="474F5605" w:rsidP="474F5605" w:rsidRDefault="474F5605" w14:paraId="320B4840" w14:textId="01730D64">
            <w:pPr>
              <w:rPr>
                <w:color w:val="auto"/>
              </w:rPr>
            </w:pPr>
          </w:p>
        </w:tc>
        <w:tc>
          <w:tcPr>
            <w:tcW w:w="8010" w:type="dxa"/>
            <w:tcMar/>
          </w:tcPr>
          <w:p w:rsidR="474F5605" w:rsidP="474F5605" w:rsidRDefault="474F5605" w14:paraId="32DCFDF7" w14:textId="7AF384E0">
            <w:pPr>
              <w:spacing w:before="0" w:beforeAutospacing="off" w:after="0" w:afterAutospacing="off"/>
            </w:pPr>
            <w:r w:rsidRPr="42E06B45" w:rsidR="1B9C0066">
              <w:rPr>
                <w:rFonts w:ascii="Calibri" w:hAnsi="Calibri" w:eastAsia="Calibri" w:cs="Calibri"/>
                <w:color w:val="auto"/>
                <w:sz w:val="22"/>
                <w:szCs w:val="22"/>
              </w:rPr>
              <w:t>Abstract</w:t>
            </w:r>
          </w:p>
        </w:tc>
        <w:tc>
          <w:tcPr>
            <w:tcW w:w="945" w:type="dxa"/>
            <w:tcMar/>
          </w:tcPr>
          <w:p w:rsidR="474F5605" w:rsidP="474F5605" w:rsidRDefault="474F5605" w14:paraId="5CA29DCC" w14:textId="4B2319B1">
            <w:pPr>
              <w:spacing w:before="0" w:beforeAutospacing="off" w:after="0" w:afterAutospacing="off"/>
              <w:jc w:val="center"/>
            </w:pPr>
            <w:r w:rsidRPr="42E06B45" w:rsidR="17CD25D6">
              <w:rPr>
                <w:rFonts w:ascii="Calibri" w:hAnsi="Calibri" w:eastAsia="Calibri" w:cs="Calibri"/>
                <w:color w:val="auto"/>
                <w:sz w:val="22"/>
                <w:szCs w:val="22"/>
              </w:rPr>
              <w:t>3</w:t>
            </w:r>
          </w:p>
        </w:tc>
      </w:tr>
      <w:tr w:rsidR="474F5605" w:rsidTr="42E06B45" w14:paraId="0EB47CAE">
        <w:trPr>
          <w:trHeight w:val="300"/>
        </w:trPr>
        <w:tc>
          <w:tcPr>
            <w:tcW w:w="705" w:type="dxa"/>
            <w:tcMar/>
          </w:tcPr>
          <w:p w:rsidR="474F5605" w:rsidP="474F5605" w:rsidRDefault="474F5605" w14:paraId="3D8AA297" w14:textId="7CAF002D">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1</w:t>
            </w:r>
          </w:p>
        </w:tc>
        <w:tc>
          <w:tcPr>
            <w:tcW w:w="8010" w:type="dxa"/>
            <w:tcMar/>
          </w:tcPr>
          <w:p w:rsidR="474F5605" w:rsidP="474F5605" w:rsidRDefault="474F5605" w14:paraId="7963DF83" w14:textId="0C6B0716">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Introduction</w:t>
            </w:r>
          </w:p>
        </w:tc>
        <w:tc>
          <w:tcPr>
            <w:tcW w:w="945" w:type="dxa"/>
            <w:tcMar/>
          </w:tcPr>
          <w:p w:rsidR="474F5605" w:rsidP="474F5605" w:rsidRDefault="474F5605" w14:paraId="0C16C4D1" w14:textId="5AA86F20">
            <w:pPr>
              <w:spacing w:before="0" w:beforeAutospacing="off" w:after="0" w:afterAutospacing="off"/>
              <w:jc w:val="center"/>
            </w:pPr>
            <w:r w:rsidRPr="42E06B45" w:rsidR="32F9A5C2">
              <w:rPr>
                <w:rFonts w:ascii="Calibri" w:hAnsi="Calibri" w:eastAsia="Calibri" w:cs="Calibri"/>
                <w:color w:val="auto"/>
                <w:sz w:val="22"/>
                <w:szCs w:val="22"/>
              </w:rPr>
              <w:t>4</w:t>
            </w:r>
          </w:p>
        </w:tc>
      </w:tr>
      <w:tr w:rsidR="474F5605" w:rsidTr="42E06B45" w14:paraId="4D2FB0C7">
        <w:trPr>
          <w:trHeight w:val="300"/>
        </w:trPr>
        <w:tc>
          <w:tcPr>
            <w:tcW w:w="705" w:type="dxa"/>
            <w:tcMar/>
          </w:tcPr>
          <w:p w:rsidR="474F5605" w:rsidP="474F5605" w:rsidRDefault="474F5605" w14:paraId="7A4B263F" w14:textId="69725506">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2</w:t>
            </w:r>
          </w:p>
        </w:tc>
        <w:tc>
          <w:tcPr>
            <w:tcW w:w="8010" w:type="dxa"/>
            <w:tcMar/>
          </w:tcPr>
          <w:p w:rsidR="474F5605" w:rsidP="474F5605" w:rsidRDefault="474F5605" w14:paraId="57C805FC" w14:textId="43C3706E">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Organisational Assumptions</w:t>
            </w:r>
          </w:p>
        </w:tc>
        <w:tc>
          <w:tcPr>
            <w:tcW w:w="945" w:type="dxa"/>
            <w:tcMar/>
          </w:tcPr>
          <w:p w:rsidR="474F5605" w:rsidP="474F5605" w:rsidRDefault="474F5605" w14:paraId="7E930E5D" w14:textId="260C284A">
            <w:pPr>
              <w:spacing w:before="0" w:beforeAutospacing="off" w:after="0" w:afterAutospacing="off"/>
              <w:jc w:val="center"/>
            </w:pPr>
            <w:r w:rsidRPr="42E06B45" w:rsidR="22CEAFC4">
              <w:rPr>
                <w:rFonts w:ascii="Calibri" w:hAnsi="Calibri" w:eastAsia="Calibri" w:cs="Calibri"/>
                <w:color w:val="auto"/>
                <w:sz w:val="22"/>
                <w:szCs w:val="22"/>
              </w:rPr>
              <w:t>5</w:t>
            </w:r>
          </w:p>
        </w:tc>
      </w:tr>
      <w:tr w:rsidR="474F5605" w:rsidTr="42E06B45" w14:paraId="0BF46027">
        <w:trPr>
          <w:trHeight w:val="300"/>
        </w:trPr>
        <w:tc>
          <w:tcPr>
            <w:tcW w:w="705" w:type="dxa"/>
            <w:tcMar/>
          </w:tcPr>
          <w:p w:rsidR="474F5605" w:rsidP="474F5605" w:rsidRDefault="474F5605" w14:paraId="70480C16" w14:textId="4AE413A0">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3</w:t>
            </w:r>
          </w:p>
        </w:tc>
        <w:tc>
          <w:tcPr>
            <w:tcW w:w="8010" w:type="dxa"/>
            <w:tcMar/>
          </w:tcPr>
          <w:p w:rsidR="474F5605" w:rsidP="474F5605" w:rsidRDefault="474F5605" w14:paraId="4D644F55" w14:textId="3DE0383C">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Literature Review of Security Governance Frameworks</w:t>
            </w:r>
          </w:p>
        </w:tc>
        <w:tc>
          <w:tcPr>
            <w:tcW w:w="945" w:type="dxa"/>
            <w:tcMar/>
          </w:tcPr>
          <w:p w:rsidR="474F5605" w:rsidP="474F5605" w:rsidRDefault="474F5605" w14:paraId="37850EBF" w14:textId="51CC6B9E">
            <w:pPr>
              <w:spacing w:before="0" w:beforeAutospacing="off" w:after="0" w:afterAutospacing="off"/>
              <w:jc w:val="center"/>
            </w:pPr>
            <w:r w:rsidRPr="42E06B45" w:rsidR="32A1592C">
              <w:rPr>
                <w:rFonts w:ascii="Calibri" w:hAnsi="Calibri" w:eastAsia="Calibri" w:cs="Calibri"/>
                <w:color w:val="auto"/>
                <w:sz w:val="22"/>
                <w:szCs w:val="22"/>
              </w:rPr>
              <w:t>6</w:t>
            </w:r>
          </w:p>
        </w:tc>
      </w:tr>
      <w:tr w:rsidR="474F5605" w:rsidTr="42E06B45" w14:paraId="1C3BA7C5">
        <w:trPr>
          <w:trHeight w:val="300"/>
        </w:trPr>
        <w:tc>
          <w:tcPr>
            <w:tcW w:w="705" w:type="dxa"/>
            <w:tcMar/>
          </w:tcPr>
          <w:p w:rsidR="474F5605" w:rsidP="474F5605" w:rsidRDefault="474F5605" w14:paraId="0A94C163" w14:textId="3866D8E9">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3.1</w:t>
            </w:r>
          </w:p>
        </w:tc>
        <w:tc>
          <w:tcPr>
            <w:tcW w:w="8010" w:type="dxa"/>
            <w:tcMar/>
          </w:tcPr>
          <w:p w:rsidR="474F5605" w:rsidP="474F5605" w:rsidRDefault="474F5605" w14:paraId="4FDDA5EB" w14:textId="2DA9C517">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ISO/IEC 27001:2022</w:t>
            </w:r>
          </w:p>
        </w:tc>
        <w:tc>
          <w:tcPr>
            <w:tcW w:w="945" w:type="dxa"/>
            <w:tcMar/>
          </w:tcPr>
          <w:p w:rsidR="474F5605" w:rsidP="474F5605" w:rsidRDefault="474F5605" w14:paraId="02D4A83F" w14:textId="1928A3CA">
            <w:pPr>
              <w:spacing w:before="0" w:beforeAutospacing="off" w:after="0" w:afterAutospacing="off"/>
              <w:jc w:val="center"/>
            </w:pPr>
            <w:r w:rsidRPr="42E06B45" w:rsidR="6AD20022">
              <w:rPr>
                <w:rFonts w:ascii="Calibri" w:hAnsi="Calibri" w:eastAsia="Calibri" w:cs="Calibri"/>
                <w:color w:val="auto"/>
                <w:sz w:val="22"/>
                <w:szCs w:val="22"/>
              </w:rPr>
              <w:t>6</w:t>
            </w:r>
          </w:p>
        </w:tc>
      </w:tr>
      <w:tr w:rsidR="474F5605" w:rsidTr="42E06B45" w14:paraId="04D49BBC">
        <w:trPr>
          <w:trHeight w:val="300"/>
        </w:trPr>
        <w:tc>
          <w:tcPr>
            <w:tcW w:w="705" w:type="dxa"/>
            <w:tcMar/>
          </w:tcPr>
          <w:p w:rsidR="474F5605" w:rsidP="474F5605" w:rsidRDefault="474F5605" w14:paraId="0B225A9F" w14:textId="35A0EB9A">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3.2</w:t>
            </w:r>
          </w:p>
        </w:tc>
        <w:tc>
          <w:tcPr>
            <w:tcW w:w="8010" w:type="dxa"/>
            <w:tcMar/>
          </w:tcPr>
          <w:p w:rsidR="474F5605" w:rsidP="474F5605" w:rsidRDefault="474F5605" w14:paraId="2E00989C" w14:textId="6D5476B7">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NIST Cybersecurity Framework 2.0</w:t>
            </w:r>
          </w:p>
        </w:tc>
        <w:tc>
          <w:tcPr>
            <w:tcW w:w="945" w:type="dxa"/>
            <w:tcMar/>
          </w:tcPr>
          <w:p w:rsidR="474F5605" w:rsidP="474F5605" w:rsidRDefault="474F5605" w14:paraId="359CB3AE" w14:textId="25031BFD">
            <w:pPr>
              <w:spacing w:before="0" w:beforeAutospacing="off" w:after="0" w:afterAutospacing="off"/>
              <w:jc w:val="center"/>
            </w:pPr>
            <w:r w:rsidRPr="42E06B45" w:rsidR="634AE780">
              <w:rPr>
                <w:rFonts w:ascii="Calibri" w:hAnsi="Calibri" w:eastAsia="Calibri" w:cs="Calibri"/>
                <w:color w:val="auto"/>
                <w:sz w:val="22"/>
                <w:szCs w:val="22"/>
              </w:rPr>
              <w:t>6</w:t>
            </w:r>
          </w:p>
        </w:tc>
      </w:tr>
      <w:tr w:rsidR="474F5605" w:rsidTr="42E06B45" w14:paraId="0CDFB981">
        <w:trPr>
          <w:trHeight w:val="300"/>
        </w:trPr>
        <w:tc>
          <w:tcPr>
            <w:tcW w:w="705" w:type="dxa"/>
            <w:tcMar/>
          </w:tcPr>
          <w:p w:rsidR="474F5605" w:rsidP="474F5605" w:rsidRDefault="474F5605" w14:paraId="6848F958" w14:textId="18E2E56D">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3.3</w:t>
            </w:r>
          </w:p>
        </w:tc>
        <w:tc>
          <w:tcPr>
            <w:tcW w:w="8010" w:type="dxa"/>
            <w:tcMar/>
          </w:tcPr>
          <w:p w:rsidR="474F5605" w:rsidP="474F5605" w:rsidRDefault="474F5605" w14:paraId="6713AD51" w14:textId="349165C8">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COBIT 2019</w:t>
            </w:r>
          </w:p>
        </w:tc>
        <w:tc>
          <w:tcPr>
            <w:tcW w:w="945" w:type="dxa"/>
            <w:tcMar/>
          </w:tcPr>
          <w:p w:rsidR="474F5605" w:rsidP="474F5605" w:rsidRDefault="474F5605" w14:paraId="78E6BEB4" w14:textId="577DF68D">
            <w:pPr>
              <w:spacing w:before="0" w:beforeAutospacing="off" w:after="0" w:afterAutospacing="off"/>
              <w:jc w:val="center"/>
            </w:pPr>
            <w:r w:rsidRPr="42E06B45" w:rsidR="34B23532">
              <w:rPr>
                <w:rFonts w:ascii="Calibri" w:hAnsi="Calibri" w:eastAsia="Calibri" w:cs="Calibri"/>
                <w:color w:val="auto"/>
                <w:sz w:val="22"/>
                <w:szCs w:val="22"/>
              </w:rPr>
              <w:t>6</w:t>
            </w:r>
          </w:p>
        </w:tc>
      </w:tr>
      <w:tr w:rsidR="474F5605" w:rsidTr="42E06B45" w14:paraId="226A246D">
        <w:trPr>
          <w:trHeight w:val="300"/>
        </w:trPr>
        <w:tc>
          <w:tcPr>
            <w:tcW w:w="705" w:type="dxa"/>
            <w:tcMar/>
          </w:tcPr>
          <w:p w:rsidR="474F5605" w:rsidP="474F5605" w:rsidRDefault="474F5605" w14:paraId="76A44861" w14:textId="6D85C5B5">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3.4</w:t>
            </w:r>
          </w:p>
        </w:tc>
        <w:tc>
          <w:tcPr>
            <w:tcW w:w="8010" w:type="dxa"/>
            <w:tcMar/>
          </w:tcPr>
          <w:p w:rsidR="474F5605" w:rsidP="474F5605" w:rsidRDefault="474F5605" w14:paraId="40D06CA8" w14:textId="15002EDB">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ITIL 4</w:t>
            </w:r>
          </w:p>
        </w:tc>
        <w:tc>
          <w:tcPr>
            <w:tcW w:w="945" w:type="dxa"/>
            <w:tcMar/>
          </w:tcPr>
          <w:p w:rsidR="474F5605" w:rsidP="474F5605" w:rsidRDefault="474F5605" w14:paraId="53E9F362" w14:textId="1FB9D24A">
            <w:pPr>
              <w:spacing w:before="0" w:beforeAutospacing="off" w:after="0" w:afterAutospacing="off"/>
              <w:jc w:val="center"/>
            </w:pPr>
            <w:r w:rsidRPr="42E06B45" w:rsidR="13FE02E3">
              <w:rPr>
                <w:rFonts w:ascii="Calibri" w:hAnsi="Calibri" w:eastAsia="Calibri" w:cs="Calibri"/>
                <w:color w:val="auto"/>
                <w:sz w:val="22"/>
                <w:szCs w:val="22"/>
              </w:rPr>
              <w:t>7</w:t>
            </w:r>
          </w:p>
        </w:tc>
      </w:tr>
      <w:tr w:rsidR="474F5605" w:rsidTr="42E06B45" w14:paraId="5598E47E">
        <w:trPr>
          <w:trHeight w:val="300"/>
        </w:trPr>
        <w:tc>
          <w:tcPr>
            <w:tcW w:w="705" w:type="dxa"/>
            <w:tcMar/>
          </w:tcPr>
          <w:p w:rsidR="474F5605" w:rsidP="474F5605" w:rsidRDefault="474F5605" w14:paraId="3E018E5A" w14:textId="17FC7B78">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4</w:t>
            </w:r>
          </w:p>
        </w:tc>
        <w:tc>
          <w:tcPr>
            <w:tcW w:w="8010" w:type="dxa"/>
            <w:tcMar/>
          </w:tcPr>
          <w:p w:rsidR="474F5605" w:rsidP="474F5605" w:rsidRDefault="474F5605" w14:paraId="527610AF" w14:textId="5498AB3E">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Current Security and Governance Gap Analysis of AeroLink</w:t>
            </w:r>
          </w:p>
        </w:tc>
        <w:tc>
          <w:tcPr>
            <w:tcW w:w="945" w:type="dxa"/>
            <w:tcMar/>
          </w:tcPr>
          <w:p w:rsidR="474F5605" w:rsidP="474F5605" w:rsidRDefault="474F5605" w14:paraId="0834B8F7" w14:textId="50249520">
            <w:pPr>
              <w:spacing w:before="0" w:beforeAutospacing="off" w:after="0" w:afterAutospacing="off"/>
              <w:jc w:val="center"/>
            </w:pPr>
            <w:r w:rsidRPr="42E06B45" w:rsidR="60AD102C">
              <w:rPr>
                <w:rFonts w:ascii="Calibri" w:hAnsi="Calibri" w:eastAsia="Calibri" w:cs="Calibri"/>
                <w:color w:val="auto"/>
                <w:sz w:val="22"/>
                <w:szCs w:val="22"/>
              </w:rPr>
              <w:t>8</w:t>
            </w:r>
          </w:p>
        </w:tc>
      </w:tr>
      <w:tr w:rsidR="474F5605" w:rsidTr="42E06B45" w14:paraId="67019625">
        <w:trPr>
          <w:trHeight w:val="300"/>
        </w:trPr>
        <w:tc>
          <w:tcPr>
            <w:tcW w:w="705" w:type="dxa"/>
            <w:tcMar/>
          </w:tcPr>
          <w:p w:rsidR="474F5605" w:rsidP="474F5605" w:rsidRDefault="474F5605" w14:paraId="6C9D716E" w14:textId="5A8CC1B4">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5</w:t>
            </w:r>
          </w:p>
        </w:tc>
        <w:tc>
          <w:tcPr>
            <w:tcW w:w="8010" w:type="dxa"/>
            <w:tcMar/>
          </w:tcPr>
          <w:p w:rsidR="474F5605" w:rsidP="474F5605" w:rsidRDefault="474F5605" w14:paraId="115A098F" w14:textId="74886CF9">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Proposed Integrated Security Governance Model</w:t>
            </w:r>
          </w:p>
        </w:tc>
        <w:tc>
          <w:tcPr>
            <w:tcW w:w="945" w:type="dxa"/>
            <w:tcMar/>
          </w:tcPr>
          <w:p w:rsidR="474F5605" w:rsidP="474F5605" w:rsidRDefault="474F5605" w14:paraId="343D5108" w14:textId="6169FFC4">
            <w:pPr>
              <w:spacing w:before="0" w:beforeAutospacing="off" w:after="0" w:afterAutospacing="off"/>
              <w:jc w:val="center"/>
            </w:pPr>
            <w:r w:rsidRPr="42E06B45" w:rsidR="365020D0">
              <w:rPr>
                <w:rFonts w:ascii="Calibri" w:hAnsi="Calibri" w:eastAsia="Calibri" w:cs="Calibri"/>
                <w:color w:val="auto"/>
                <w:sz w:val="22"/>
                <w:szCs w:val="22"/>
              </w:rPr>
              <w:t>9</w:t>
            </w:r>
          </w:p>
        </w:tc>
      </w:tr>
      <w:tr w:rsidR="474F5605" w:rsidTr="42E06B45" w14:paraId="0E1D29C5">
        <w:trPr>
          <w:trHeight w:val="300"/>
        </w:trPr>
        <w:tc>
          <w:tcPr>
            <w:tcW w:w="705" w:type="dxa"/>
            <w:tcMar/>
          </w:tcPr>
          <w:p w:rsidR="474F5605" w:rsidP="474F5605" w:rsidRDefault="474F5605" w14:paraId="34D750BB" w14:textId="38F11FD7">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5.1</w:t>
            </w:r>
          </w:p>
        </w:tc>
        <w:tc>
          <w:tcPr>
            <w:tcW w:w="8010" w:type="dxa"/>
            <w:tcMar/>
          </w:tcPr>
          <w:p w:rsidR="474F5605" w:rsidP="474F5605" w:rsidRDefault="474F5605" w14:paraId="7B98B7D1" w14:textId="21F2F98E">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Governance Structure</w:t>
            </w:r>
          </w:p>
        </w:tc>
        <w:tc>
          <w:tcPr>
            <w:tcW w:w="945" w:type="dxa"/>
            <w:tcMar/>
          </w:tcPr>
          <w:p w:rsidR="474F5605" w:rsidP="474F5605" w:rsidRDefault="474F5605" w14:paraId="248AFFF5" w14:textId="69963BA2">
            <w:pPr>
              <w:spacing w:before="0" w:beforeAutospacing="off" w:after="0" w:afterAutospacing="off"/>
              <w:jc w:val="center"/>
            </w:pPr>
            <w:r w:rsidRPr="42E06B45" w:rsidR="52573E2A">
              <w:rPr>
                <w:rFonts w:ascii="Calibri" w:hAnsi="Calibri" w:eastAsia="Calibri" w:cs="Calibri"/>
                <w:color w:val="auto"/>
                <w:sz w:val="22"/>
                <w:szCs w:val="22"/>
              </w:rPr>
              <w:t>9</w:t>
            </w:r>
          </w:p>
        </w:tc>
      </w:tr>
      <w:tr w:rsidR="474F5605" w:rsidTr="42E06B45" w14:paraId="78601D68">
        <w:trPr>
          <w:trHeight w:val="300"/>
        </w:trPr>
        <w:tc>
          <w:tcPr>
            <w:tcW w:w="705" w:type="dxa"/>
            <w:tcMar/>
          </w:tcPr>
          <w:p w:rsidR="474F5605" w:rsidP="474F5605" w:rsidRDefault="474F5605" w14:paraId="2B86C3F5" w14:textId="36A559D7">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5.2</w:t>
            </w:r>
          </w:p>
        </w:tc>
        <w:tc>
          <w:tcPr>
            <w:tcW w:w="8010" w:type="dxa"/>
            <w:tcMar/>
          </w:tcPr>
          <w:p w:rsidR="474F5605" w:rsidP="474F5605" w:rsidRDefault="474F5605" w14:paraId="1E478FCA" w14:textId="78C1D85C">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Governance Framework Integration</w:t>
            </w:r>
          </w:p>
        </w:tc>
        <w:tc>
          <w:tcPr>
            <w:tcW w:w="945" w:type="dxa"/>
            <w:tcMar/>
          </w:tcPr>
          <w:p w:rsidR="474F5605" w:rsidP="474F5605" w:rsidRDefault="474F5605" w14:paraId="2606EE3F" w14:textId="0689CE11">
            <w:pPr>
              <w:spacing w:before="0" w:beforeAutospacing="off" w:after="0" w:afterAutospacing="off"/>
              <w:jc w:val="center"/>
            </w:pPr>
            <w:r w:rsidRPr="42E06B45" w:rsidR="0B666AFB">
              <w:rPr>
                <w:rFonts w:ascii="Calibri" w:hAnsi="Calibri" w:eastAsia="Calibri" w:cs="Calibri"/>
                <w:color w:val="auto"/>
                <w:sz w:val="22"/>
                <w:szCs w:val="22"/>
              </w:rPr>
              <w:t>9</w:t>
            </w:r>
          </w:p>
        </w:tc>
      </w:tr>
      <w:tr w:rsidR="474F5605" w:rsidTr="42E06B45" w14:paraId="0860F2B6">
        <w:trPr>
          <w:trHeight w:val="300"/>
        </w:trPr>
        <w:tc>
          <w:tcPr>
            <w:tcW w:w="705" w:type="dxa"/>
            <w:tcMar/>
          </w:tcPr>
          <w:p w:rsidR="474F5605" w:rsidP="474F5605" w:rsidRDefault="474F5605" w14:paraId="4041AFB5" w14:textId="4170425A">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5.3</w:t>
            </w:r>
          </w:p>
        </w:tc>
        <w:tc>
          <w:tcPr>
            <w:tcW w:w="8010" w:type="dxa"/>
            <w:tcMar/>
          </w:tcPr>
          <w:p w:rsidR="474F5605" w:rsidP="474F5605" w:rsidRDefault="474F5605" w14:paraId="41F5901F" w14:textId="3D5050E1">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Risk Management Process</w:t>
            </w:r>
          </w:p>
        </w:tc>
        <w:tc>
          <w:tcPr>
            <w:tcW w:w="945" w:type="dxa"/>
            <w:tcMar/>
          </w:tcPr>
          <w:p w:rsidR="474F5605" w:rsidP="474F5605" w:rsidRDefault="474F5605" w14:paraId="179FDDB9" w14:textId="47C7DBC9">
            <w:pPr>
              <w:spacing w:before="0" w:beforeAutospacing="off" w:after="0" w:afterAutospacing="off"/>
              <w:jc w:val="center"/>
            </w:pPr>
            <w:r w:rsidRPr="42E06B45" w:rsidR="6B1CB0F2">
              <w:rPr>
                <w:rFonts w:ascii="Calibri" w:hAnsi="Calibri" w:eastAsia="Calibri" w:cs="Calibri"/>
                <w:color w:val="auto"/>
                <w:sz w:val="22"/>
                <w:szCs w:val="22"/>
              </w:rPr>
              <w:t>10</w:t>
            </w:r>
          </w:p>
        </w:tc>
      </w:tr>
      <w:tr w:rsidR="474F5605" w:rsidTr="42E06B45" w14:paraId="4C2CD7C6">
        <w:trPr>
          <w:trHeight w:val="300"/>
        </w:trPr>
        <w:tc>
          <w:tcPr>
            <w:tcW w:w="705" w:type="dxa"/>
            <w:tcMar/>
          </w:tcPr>
          <w:p w:rsidR="474F5605" w:rsidP="474F5605" w:rsidRDefault="474F5605" w14:paraId="6BDCEC0E" w14:textId="6DB26BF5">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5.4</w:t>
            </w:r>
          </w:p>
        </w:tc>
        <w:tc>
          <w:tcPr>
            <w:tcW w:w="8010" w:type="dxa"/>
            <w:tcMar/>
          </w:tcPr>
          <w:p w:rsidR="474F5605" w:rsidP="474F5605" w:rsidRDefault="474F5605" w14:paraId="44B68A99" w14:textId="6C576BD4">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Security Policies</w:t>
            </w:r>
          </w:p>
        </w:tc>
        <w:tc>
          <w:tcPr>
            <w:tcW w:w="945" w:type="dxa"/>
            <w:tcMar/>
          </w:tcPr>
          <w:p w:rsidR="474F5605" w:rsidP="474F5605" w:rsidRDefault="474F5605" w14:paraId="591284D9" w14:textId="26B03E90">
            <w:pPr>
              <w:spacing w:before="0" w:beforeAutospacing="off" w:after="0" w:afterAutospacing="off"/>
              <w:jc w:val="center"/>
            </w:pPr>
            <w:r w:rsidRPr="42E06B45" w:rsidR="0CC5F9BD">
              <w:rPr>
                <w:rFonts w:ascii="Calibri" w:hAnsi="Calibri" w:eastAsia="Calibri" w:cs="Calibri"/>
                <w:color w:val="auto"/>
                <w:sz w:val="22"/>
                <w:szCs w:val="22"/>
              </w:rPr>
              <w:t>10</w:t>
            </w:r>
          </w:p>
        </w:tc>
      </w:tr>
      <w:tr w:rsidR="474F5605" w:rsidTr="42E06B45" w14:paraId="210627B8">
        <w:trPr>
          <w:trHeight w:val="300"/>
        </w:trPr>
        <w:tc>
          <w:tcPr>
            <w:tcW w:w="705" w:type="dxa"/>
            <w:tcMar/>
          </w:tcPr>
          <w:p w:rsidR="474F5605" w:rsidP="474F5605" w:rsidRDefault="474F5605" w14:paraId="280F080F" w14:textId="7B6E69B1">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5.5</w:t>
            </w:r>
          </w:p>
        </w:tc>
        <w:tc>
          <w:tcPr>
            <w:tcW w:w="8010" w:type="dxa"/>
            <w:tcMar/>
          </w:tcPr>
          <w:p w:rsidR="474F5605" w:rsidP="474F5605" w:rsidRDefault="474F5605" w14:paraId="3C46A8D6" w14:textId="635A1FE6">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Access Control Architecture</w:t>
            </w:r>
          </w:p>
        </w:tc>
        <w:tc>
          <w:tcPr>
            <w:tcW w:w="945" w:type="dxa"/>
            <w:tcMar/>
          </w:tcPr>
          <w:p w:rsidR="474F5605" w:rsidP="474F5605" w:rsidRDefault="474F5605" w14:paraId="73BB9520" w14:textId="3229F637">
            <w:pPr>
              <w:spacing w:before="0" w:beforeAutospacing="off" w:after="0" w:afterAutospacing="off"/>
              <w:jc w:val="center"/>
            </w:pPr>
            <w:r w:rsidRPr="42E06B45" w:rsidR="3A726595">
              <w:rPr>
                <w:rFonts w:ascii="Calibri" w:hAnsi="Calibri" w:eastAsia="Calibri" w:cs="Calibri"/>
                <w:color w:val="auto"/>
                <w:sz w:val="22"/>
                <w:szCs w:val="22"/>
              </w:rPr>
              <w:t>10</w:t>
            </w:r>
          </w:p>
        </w:tc>
      </w:tr>
      <w:tr w:rsidR="474F5605" w:rsidTr="42E06B45" w14:paraId="2F9825FF">
        <w:trPr>
          <w:trHeight w:val="300"/>
        </w:trPr>
        <w:tc>
          <w:tcPr>
            <w:tcW w:w="705" w:type="dxa"/>
            <w:tcMar/>
          </w:tcPr>
          <w:p w:rsidR="474F5605" w:rsidP="474F5605" w:rsidRDefault="474F5605" w14:paraId="2D8C41B6" w14:textId="1EA6C884">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5.6</w:t>
            </w:r>
          </w:p>
        </w:tc>
        <w:tc>
          <w:tcPr>
            <w:tcW w:w="8010" w:type="dxa"/>
            <w:tcMar/>
          </w:tcPr>
          <w:p w:rsidR="474F5605" w:rsidP="474F5605" w:rsidRDefault="474F5605" w14:paraId="0D0E4EEB" w14:textId="5B7960C9">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Vendor Governance</w:t>
            </w:r>
          </w:p>
        </w:tc>
        <w:tc>
          <w:tcPr>
            <w:tcW w:w="945" w:type="dxa"/>
            <w:tcMar/>
          </w:tcPr>
          <w:p w:rsidR="474F5605" w:rsidP="474F5605" w:rsidRDefault="474F5605" w14:paraId="25981D22" w14:textId="0C13B34E">
            <w:pPr>
              <w:spacing w:before="0" w:beforeAutospacing="off" w:after="0" w:afterAutospacing="off"/>
              <w:jc w:val="center"/>
            </w:pPr>
            <w:r w:rsidRPr="42E06B45" w:rsidR="65407466">
              <w:rPr>
                <w:rFonts w:ascii="Calibri" w:hAnsi="Calibri" w:eastAsia="Calibri" w:cs="Calibri"/>
                <w:color w:val="auto"/>
                <w:sz w:val="22"/>
                <w:szCs w:val="22"/>
              </w:rPr>
              <w:t>11</w:t>
            </w:r>
          </w:p>
        </w:tc>
      </w:tr>
      <w:tr w:rsidR="474F5605" w:rsidTr="42E06B45" w14:paraId="72945508">
        <w:trPr>
          <w:trHeight w:val="300"/>
        </w:trPr>
        <w:tc>
          <w:tcPr>
            <w:tcW w:w="705" w:type="dxa"/>
            <w:tcMar/>
          </w:tcPr>
          <w:p w:rsidR="474F5605" w:rsidP="474F5605" w:rsidRDefault="474F5605" w14:paraId="01D8AC82" w14:textId="67E2E759">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5.7</w:t>
            </w:r>
          </w:p>
        </w:tc>
        <w:tc>
          <w:tcPr>
            <w:tcW w:w="8010" w:type="dxa"/>
            <w:tcMar/>
          </w:tcPr>
          <w:p w:rsidR="474F5605" w:rsidP="474F5605" w:rsidRDefault="474F5605" w14:paraId="168C40B9" w14:textId="0B6E8C1C">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Business Continuity and Disaster Recovery</w:t>
            </w:r>
          </w:p>
        </w:tc>
        <w:tc>
          <w:tcPr>
            <w:tcW w:w="945" w:type="dxa"/>
            <w:tcMar/>
          </w:tcPr>
          <w:p w:rsidR="474F5605" w:rsidP="474F5605" w:rsidRDefault="474F5605" w14:paraId="42263E19" w14:textId="30F01BAC">
            <w:pPr>
              <w:spacing w:before="0" w:beforeAutospacing="off" w:after="0" w:afterAutospacing="off"/>
              <w:jc w:val="center"/>
            </w:pPr>
            <w:r w:rsidRPr="42E06B45" w:rsidR="3203AA45">
              <w:rPr>
                <w:rFonts w:ascii="Calibri" w:hAnsi="Calibri" w:eastAsia="Calibri" w:cs="Calibri"/>
                <w:color w:val="auto"/>
                <w:sz w:val="22"/>
                <w:szCs w:val="22"/>
              </w:rPr>
              <w:t>11</w:t>
            </w:r>
          </w:p>
        </w:tc>
      </w:tr>
      <w:tr w:rsidR="474F5605" w:rsidTr="42E06B45" w14:paraId="436FEFCC">
        <w:trPr>
          <w:trHeight w:val="300"/>
        </w:trPr>
        <w:tc>
          <w:tcPr>
            <w:tcW w:w="705" w:type="dxa"/>
            <w:tcMar/>
          </w:tcPr>
          <w:p w:rsidR="474F5605" w:rsidP="474F5605" w:rsidRDefault="474F5605" w14:paraId="70E125BF" w14:textId="36F03939">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5.8</w:t>
            </w:r>
          </w:p>
        </w:tc>
        <w:tc>
          <w:tcPr>
            <w:tcW w:w="8010" w:type="dxa"/>
            <w:tcMar/>
          </w:tcPr>
          <w:p w:rsidR="474F5605" w:rsidP="474F5605" w:rsidRDefault="474F5605" w14:paraId="00F9F016" w14:textId="770F69D0">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Incident Response</w:t>
            </w:r>
          </w:p>
        </w:tc>
        <w:tc>
          <w:tcPr>
            <w:tcW w:w="945" w:type="dxa"/>
            <w:tcMar/>
          </w:tcPr>
          <w:p w:rsidR="474F5605" w:rsidP="474F5605" w:rsidRDefault="474F5605" w14:paraId="6B9AA392" w14:textId="195656D1">
            <w:pPr>
              <w:spacing w:before="0" w:beforeAutospacing="off" w:after="0" w:afterAutospacing="off"/>
              <w:jc w:val="center"/>
            </w:pPr>
            <w:r w:rsidRPr="42E06B45" w:rsidR="5891CDED">
              <w:rPr>
                <w:rFonts w:ascii="Calibri" w:hAnsi="Calibri" w:eastAsia="Calibri" w:cs="Calibri"/>
                <w:color w:val="auto"/>
                <w:sz w:val="22"/>
                <w:szCs w:val="22"/>
              </w:rPr>
              <w:t>11</w:t>
            </w:r>
          </w:p>
        </w:tc>
      </w:tr>
      <w:tr w:rsidR="474F5605" w:rsidTr="42E06B45" w14:paraId="55548299">
        <w:trPr>
          <w:trHeight w:val="300"/>
        </w:trPr>
        <w:tc>
          <w:tcPr>
            <w:tcW w:w="705" w:type="dxa"/>
            <w:tcMar/>
          </w:tcPr>
          <w:p w:rsidR="474F5605" w:rsidP="474F5605" w:rsidRDefault="474F5605" w14:paraId="0814EF7B" w14:textId="5A3069C1">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6</w:t>
            </w:r>
          </w:p>
        </w:tc>
        <w:tc>
          <w:tcPr>
            <w:tcW w:w="8010" w:type="dxa"/>
            <w:tcMar/>
          </w:tcPr>
          <w:p w:rsidR="474F5605" w:rsidP="474F5605" w:rsidRDefault="474F5605" w14:paraId="0E701DB5" w14:textId="24944697">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Continuous Regulatory and Standards Updates</w:t>
            </w:r>
          </w:p>
        </w:tc>
        <w:tc>
          <w:tcPr>
            <w:tcW w:w="945" w:type="dxa"/>
            <w:tcMar/>
          </w:tcPr>
          <w:p w:rsidR="474F5605" w:rsidP="474F5605" w:rsidRDefault="474F5605" w14:paraId="6CFF1A65" w14:textId="2AF0CADE">
            <w:pPr>
              <w:spacing w:before="0" w:beforeAutospacing="off" w:after="0" w:afterAutospacing="off"/>
              <w:jc w:val="center"/>
            </w:pPr>
            <w:r w:rsidRPr="42E06B45" w:rsidR="67DE0993">
              <w:rPr>
                <w:rFonts w:ascii="Calibri" w:hAnsi="Calibri" w:eastAsia="Calibri" w:cs="Calibri"/>
                <w:color w:val="auto"/>
                <w:sz w:val="22"/>
                <w:szCs w:val="22"/>
              </w:rPr>
              <w:t>12</w:t>
            </w:r>
          </w:p>
        </w:tc>
      </w:tr>
      <w:tr w:rsidR="474F5605" w:rsidTr="42E06B45" w14:paraId="750CCA7D">
        <w:trPr>
          <w:trHeight w:val="300"/>
        </w:trPr>
        <w:tc>
          <w:tcPr>
            <w:tcW w:w="705" w:type="dxa"/>
            <w:tcMar/>
          </w:tcPr>
          <w:p w:rsidR="474F5605" w:rsidP="474F5605" w:rsidRDefault="474F5605" w14:paraId="7160886B" w14:textId="6BB5CBEC">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6.1</w:t>
            </w:r>
          </w:p>
        </w:tc>
        <w:tc>
          <w:tcPr>
            <w:tcW w:w="8010" w:type="dxa"/>
            <w:tcMar/>
          </w:tcPr>
          <w:p w:rsidR="474F5605" w:rsidP="474F5605" w:rsidRDefault="474F5605" w14:paraId="1D17B0A1" w14:textId="5E57E0C9">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Emerging Technologies</w:t>
            </w:r>
          </w:p>
        </w:tc>
        <w:tc>
          <w:tcPr>
            <w:tcW w:w="945" w:type="dxa"/>
            <w:tcMar/>
          </w:tcPr>
          <w:p w:rsidR="474F5605" w:rsidP="474F5605" w:rsidRDefault="474F5605" w14:paraId="58C7E927" w14:textId="1C5B3CC6">
            <w:pPr>
              <w:spacing w:before="0" w:beforeAutospacing="off" w:after="0" w:afterAutospacing="off"/>
              <w:jc w:val="center"/>
            </w:pPr>
            <w:r w:rsidRPr="42E06B45" w:rsidR="6D0710E5">
              <w:rPr>
                <w:rFonts w:ascii="Calibri" w:hAnsi="Calibri" w:eastAsia="Calibri" w:cs="Calibri"/>
                <w:color w:val="auto"/>
                <w:sz w:val="22"/>
                <w:szCs w:val="22"/>
              </w:rPr>
              <w:t>12</w:t>
            </w:r>
          </w:p>
        </w:tc>
      </w:tr>
      <w:tr w:rsidR="474F5605" w:rsidTr="42E06B45" w14:paraId="5CEAAA72">
        <w:trPr>
          <w:trHeight w:val="300"/>
        </w:trPr>
        <w:tc>
          <w:tcPr>
            <w:tcW w:w="705" w:type="dxa"/>
            <w:tcMar/>
          </w:tcPr>
          <w:p w:rsidR="474F5605" w:rsidP="474F5605" w:rsidRDefault="474F5605" w14:paraId="491E49A4" w14:textId="39E95D34">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6.2</w:t>
            </w:r>
          </w:p>
        </w:tc>
        <w:tc>
          <w:tcPr>
            <w:tcW w:w="8010" w:type="dxa"/>
            <w:tcMar/>
          </w:tcPr>
          <w:p w:rsidR="474F5605" w:rsidP="474F5605" w:rsidRDefault="474F5605" w14:paraId="5871BD93" w14:textId="5DBEA94B">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Evolving Threat Landscape</w:t>
            </w:r>
          </w:p>
        </w:tc>
        <w:tc>
          <w:tcPr>
            <w:tcW w:w="945" w:type="dxa"/>
            <w:tcMar/>
          </w:tcPr>
          <w:p w:rsidR="474F5605" w:rsidP="474F5605" w:rsidRDefault="474F5605" w14:paraId="0ECBB6CC" w14:textId="38D97F5F">
            <w:pPr>
              <w:spacing w:before="0" w:beforeAutospacing="off" w:after="0" w:afterAutospacing="off"/>
              <w:jc w:val="center"/>
            </w:pPr>
            <w:r w:rsidRPr="42E06B45" w:rsidR="057C99A5">
              <w:rPr>
                <w:rFonts w:ascii="Calibri" w:hAnsi="Calibri" w:eastAsia="Calibri" w:cs="Calibri"/>
                <w:color w:val="auto"/>
                <w:sz w:val="22"/>
                <w:szCs w:val="22"/>
              </w:rPr>
              <w:t>12</w:t>
            </w:r>
          </w:p>
        </w:tc>
      </w:tr>
      <w:tr w:rsidR="474F5605" w:rsidTr="42E06B45" w14:paraId="2B2029A5">
        <w:trPr>
          <w:trHeight w:val="300"/>
        </w:trPr>
        <w:tc>
          <w:tcPr>
            <w:tcW w:w="705" w:type="dxa"/>
            <w:tcMar/>
          </w:tcPr>
          <w:p w:rsidR="474F5605" w:rsidP="474F5605" w:rsidRDefault="474F5605" w14:paraId="6280AA86" w14:textId="6D4B01A0">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6.3</w:t>
            </w:r>
          </w:p>
        </w:tc>
        <w:tc>
          <w:tcPr>
            <w:tcW w:w="8010" w:type="dxa"/>
            <w:tcMar/>
          </w:tcPr>
          <w:p w:rsidR="474F5605" w:rsidP="474F5605" w:rsidRDefault="474F5605" w14:paraId="69ACA49C" w14:textId="43778A00">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Global Compliance Pressures</w:t>
            </w:r>
          </w:p>
        </w:tc>
        <w:tc>
          <w:tcPr>
            <w:tcW w:w="945" w:type="dxa"/>
            <w:tcMar/>
          </w:tcPr>
          <w:p w:rsidR="474F5605" w:rsidP="474F5605" w:rsidRDefault="474F5605" w14:paraId="41BCE85F" w14:textId="1B3E1F4A">
            <w:pPr>
              <w:spacing w:before="0" w:beforeAutospacing="off" w:after="0" w:afterAutospacing="off"/>
              <w:jc w:val="center"/>
            </w:pPr>
            <w:r w:rsidRPr="42E06B45" w:rsidR="139D8555">
              <w:rPr>
                <w:rFonts w:ascii="Calibri" w:hAnsi="Calibri" w:eastAsia="Calibri" w:cs="Calibri"/>
                <w:color w:val="auto"/>
                <w:sz w:val="22"/>
                <w:szCs w:val="22"/>
              </w:rPr>
              <w:t>12</w:t>
            </w:r>
          </w:p>
        </w:tc>
      </w:tr>
      <w:tr w:rsidR="474F5605" w:rsidTr="42E06B45" w14:paraId="0733C3D0">
        <w:trPr>
          <w:trHeight w:val="300"/>
        </w:trPr>
        <w:tc>
          <w:tcPr>
            <w:tcW w:w="705" w:type="dxa"/>
            <w:tcMar/>
          </w:tcPr>
          <w:p w:rsidR="474F5605" w:rsidP="474F5605" w:rsidRDefault="474F5605" w14:paraId="417039D4" w14:textId="5A6A0374">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6.4</w:t>
            </w:r>
          </w:p>
        </w:tc>
        <w:tc>
          <w:tcPr>
            <w:tcW w:w="8010" w:type="dxa"/>
            <w:tcMar/>
          </w:tcPr>
          <w:p w:rsidR="474F5605" w:rsidP="474F5605" w:rsidRDefault="474F5605" w14:paraId="24A06A3A" w14:textId="55E9E9FB">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Critical Evaluation</w:t>
            </w:r>
          </w:p>
        </w:tc>
        <w:tc>
          <w:tcPr>
            <w:tcW w:w="945" w:type="dxa"/>
            <w:tcMar/>
          </w:tcPr>
          <w:p w:rsidR="474F5605" w:rsidP="474F5605" w:rsidRDefault="474F5605" w14:paraId="42521F07" w14:textId="51D47FCF">
            <w:pPr>
              <w:spacing w:before="0" w:beforeAutospacing="off" w:after="0" w:afterAutospacing="off"/>
              <w:jc w:val="center"/>
            </w:pPr>
            <w:r w:rsidRPr="42E06B45" w:rsidR="681633F2">
              <w:rPr>
                <w:rFonts w:ascii="Calibri" w:hAnsi="Calibri" w:eastAsia="Calibri" w:cs="Calibri"/>
                <w:color w:val="auto"/>
                <w:sz w:val="22"/>
                <w:szCs w:val="22"/>
              </w:rPr>
              <w:t>12</w:t>
            </w:r>
          </w:p>
        </w:tc>
      </w:tr>
      <w:tr w:rsidR="474F5605" w:rsidTr="42E06B45" w14:paraId="2D633DFE">
        <w:trPr>
          <w:trHeight w:val="300"/>
        </w:trPr>
        <w:tc>
          <w:tcPr>
            <w:tcW w:w="705" w:type="dxa"/>
            <w:tcMar/>
          </w:tcPr>
          <w:p w:rsidR="474F5605" w:rsidP="474F5605" w:rsidRDefault="474F5605" w14:paraId="49905B69" w14:textId="635DDB9B">
            <w:pPr>
              <w:spacing w:before="0" w:beforeAutospacing="off" w:after="0" w:afterAutospacing="off"/>
              <w:jc w:val="center"/>
              <w:rPr>
                <w:rFonts w:ascii="Calibri" w:hAnsi="Calibri" w:eastAsia="Calibri" w:cs="Calibri"/>
                <w:color w:val="auto"/>
                <w:sz w:val="22"/>
                <w:szCs w:val="22"/>
              </w:rPr>
            </w:pPr>
            <w:r w:rsidRPr="474F5605" w:rsidR="474F5605">
              <w:rPr>
                <w:rFonts w:ascii="Calibri" w:hAnsi="Calibri" w:eastAsia="Calibri" w:cs="Calibri"/>
                <w:color w:val="auto"/>
                <w:sz w:val="22"/>
                <w:szCs w:val="22"/>
              </w:rPr>
              <w:t>7</w:t>
            </w:r>
          </w:p>
        </w:tc>
        <w:tc>
          <w:tcPr>
            <w:tcW w:w="8010" w:type="dxa"/>
            <w:tcMar/>
          </w:tcPr>
          <w:p w:rsidR="474F5605" w:rsidP="474F5605" w:rsidRDefault="474F5605" w14:paraId="4D9A0AF7" w14:textId="3E57FDB7">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Conclusion</w:t>
            </w:r>
          </w:p>
        </w:tc>
        <w:tc>
          <w:tcPr>
            <w:tcW w:w="945" w:type="dxa"/>
            <w:tcMar/>
          </w:tcPr>
          <w:p w:rsidR="474F5605" w:rsidP="474F5605" w:rsidRDefault="474F5605" w14:paraId="7C6DFCF7" w14:textId="0761F008">
            <w:pPr>
              <w:spacing w:before="0" w:beforeAutospacing="off" w:after="0" w:afterAutospacing="off"/>
              <w:jc w:val="center"/>
            </w:pPr>
            <w:r w:rsidRPr="42E06B45" w:rsidR="6DBEA41F">
              <w:rPr>
                <w:rFonts w:ascii="Calibri" w:hAnsi="Calibri" w:eastAsia="Calibri" w:cs="Calibri"/>
                <w:color w:val="auto"/>
                <w:sz w:val="22"/>
                <w:szCs w:val="22"/>
              </w:rPr>
              <w:t>14</w:t>
            </w:r>
          </w:p>
        </w:tc>
      </w:tr>
      <w:tr w:rsidR="474F5605" w:rsidTr="42E06B45" w14:paraId="7E335CBB">
        <w:trPr>
          <w:trHeight w:val="300"/>
        </w:trPr>
        <w:tc>
          <w:tcPr>
            <w:tcW w:w="705" w:type="dxa"/>
            <w:tcMar/>
          </w:tcPr>
          <w:p w:rsidR="474F5605" w:rsidP="474F5605" w:rsidRDefault="474F5605" w14:paraId="338EC8AF" w14:textId="437E9491">
            <w:pPr>
              <w:rPr>
                <w:color w:val="auto"/>
              </w:rPr>
            </w:pPr>
          </w:p>
        </w:tc>
        <w:tc>
          <w:tcPr>
            <w:tcW w:w="8010" w:type="dxa"/>
            <w:tcMar/>
          </w:tcPr>
          <w:p w:rsidR="474F5605" w:rsidP="474F5605" w:rsidRDefault="474F5605" w14:paraId="175CF529" w14:textId="0D542E54">
            <w:pPr>
              <w:spacing w:before="0" w:beforeAutospacing="off" w:after="0" w:afterAutospacing="off"/>
              <w:rPr>
                <w:rFonts w:ascii="Calibri" w:hAnsi="Calibri" w:eastAsia="Calibri" w:cs="Calibri"/>
                <w:color w:val="auto"/>
                <w:sz w:val="22"/>
                <w:szCs w:val="22"/>
              </w:rPr>
            </w:pPr>
            <w:r w:rsidRPr="474F5605" w:rsidR="474F5605">
              <w:rPr>
                <w:rFonts w:ascii="Calibri" w:hAnsi="Calibri" w:eastAsia="Calibri" w:cs="Calibri"/>
                <w:color w:val="auto"/>
                <w:sz w:val="22"/>
                <w:szCs w:val="22"/>
              </w:rPr>
              <w:t>References</w:t>
            </w:r>
          </w:p>
        </w:tc>
        <w:tc>
          <w:tcPr>
            <w:tcW w:w="945" w:type="dxa"/>
            <w:tcMar/>
          </w:tcPr>
          <w:p w:rsidR="474F5605" w:rsidP="474F5605" w:rsidRDefault="474F5605" w14:paraId="34D8F198" w14:textId="3A63D425">
            <w:pPr>
              <w:spacing w:before="0" w:beforeAutospacing="off" w:after="0" w:afterAutospacing="off"/>
              <w:jc w:val="center"/>
            </w:pPr>
            <w:r w:rsidRPr="42E06B45" w:rsidR="4574C786">
              <w:rPr>
                <w:rFonts w:ascii="Calibri" w:hAnsi="Calibri" w:eastAsia="Calibri" w:cs="Calibri"/>
                <w:color w:val="auto"/>
                <w:sz w:val="22"/>
                <w:szCs w:val="22"/>
              </w:rPr>
              <w:t>15</w:t>
            </w:r>
          </w:p>
        </w:tc>
      </w:tr>
    </w:tbl>
    <w:p xmlns:wp14="http://schemas.microsoft.com/office/word/2010/wordml" w:rsidP="474F5605" wp14:paraId="0B98FFC7" wp14:textId="1F289B3C">
      <w:pPr>
        <w:bidi w:val="0"/>
        <w:spacing w:before="0" w:beforeAutospacing="off" w:after="0" w:afterAutospacing="off"/>
        <w:rPr>
          <w:rFonts w:ascii="Calibri" w:hAnsi="Calibri" w:eastAsia="Calibri" w:cs="Calibri"/>
          <w:noProof w:val="0"/>
          <w:color w:val="auto"/>
          <w:sz w:val="22"/>
          <w:szCs w:val="22"/>
          <w:lang w:val="en-GB"/>
        </w:rPr>
      </w:pPr>
      <w:r w:rsidRPr="42E06B45" w:rsidR="0A64EF37">
        <w:rPr>
          <w:rFonts w:ascii="Calibri" w:hAnsi="Calibri" w:eastAsia="Calibri" w:cs="Calibri"/>
          <w:noProof w:val="0"/>
          <w:color w:val="auto"/>
          <w:sz w:val="22"/>
          <w:szCs w:val="22"/>
          <w:lang w:val="en-GB"/>
        </w:rPr>
        <w:t xml:space="preserve"> </w:t>
      </w:r>
      <w:r>
        <w:br/>
      </w:r>
      <w:r w:rsidRPr="42E06B45" w:rsidR="0A64EF37">
        <w:rPr>
          <w:rFonts w:ascii="Calibri" w:hAnsi="Calibri" w:eastAsia="Calibri" w:cs="Calibri"/>
          <w:noProof w:val="0"/>
          <w:color w:val="auto"/>
          <w:sz w:val="22"/>
          <w:szCs w:val="22"/>
          <w:lang w:val="en-GB"/>
        </w:rPr>
        <w:t xml:space="preserve"> </w:t>
      </w:r>
    </w:p>
    <w:p xmlns:wp14="http://schemas.microsoft.com/office/word/2010/wordml" w:rsidP="474F5605" wp14:paraId="4C085169" wp14:textId="1F390995">
      <w:pPr>
        <w:bidi w:val="0"/>
        <w:spacing w:before="0" w:beforeAutospacing="off" w:after="100" w:afterAutospacing="off"/>
        <w:rPr>
          <w:rFonts w:ascii="Calibri" w:hAnsi="Calibri" w:eastAsia="Calibri" w:cs="Calibri"/>
          <w:noProof w:val="0"/>
          <w:color w:val="auto"/>
          <w:sz w:val="22"/>
          <w:szCs w:val="22"/>
          <w:lang w:val="en-GB"/>
        </w:rPr>
      </w:pPr>
    </w:p>
    <w:p w:rsidR="42E06B45" w:rsidRDefault="42E06B45" w14:paraId="46CE51FA" w14:textId="5259143B">
      <w:r>
        <w:br w:type="page"/>
      </w:r>
    </w:p>
    <w:p w:rsidR="5A857A49" w:rsidP="42E06B45" w:rsidRDefault="5A857A49" w14:paraId="4186A850" w14:textId="11069F45">
      <w:pPr>
        <w:pStyle w:val="Heading1"/>
        <w:bidi w:val="0"/>
        <w:rPr>
          <w:noProof w:val="0"/>
          <w:color w:val="auto"/>
          <w:lang w:val="en-GB"/>
        </w:rPr>
      </w:pPr>
      <w:r w:rsidRPr="42E06B45" w:rsidR="5A857A49">
        <w:rPr>
          <w:noProof w:val="0"/>
          <w:color w:val="auto"/>
          <w:lang w:val="en-GB"/>
        </w:rPr>
        <w:t>Abstract</w:t>
      </w:r>
    </w:p>
    <w:p w:rsidR="66C5B99D" w:rsidP="42E06B45" w:rsidRDefault="66C5B99D" w14:paraId="1C9638B6" w14:textId="709AAF9B">
      <w:pPr>
        <w:pStyle w:val="Normal"/>
        <w:bidi w:val="0"/>
        <w:spacing w:before="0" w:beforeAutospacing="off" w:after="100" w:afterAutospacing="off"/>
        <w:jc w:val="both"/>
      </w:pPr>
      <w:r w:rsidRPr="42E06B45" w:rsidR="66C5B99D">
        <w:rPr>
          <w:rFonts w:ascii="Calibri" w:hAnsi="Calibri" w:eastAsia="Calibri" w:cs="Calibri"/>
          <w:noProof w:val="0"/>
          <w:sz w:val="22"/>
          <w:szCs w:val="22"/>
          <w:lang w:val="en-GB"/>
        </w:rPr>
        <w:t>This report examines AeroLink Logistics (ALL) in the context of its problems with Governance, Risk Management and Compliance (GRC), as well as with compliance and security risks in its cloud, Internet of Things (IoT) and third-party vendors. It also examines ISO/1EC 27001:2022, NIST CSF 2.0, COBIT 2019 and ITIL 4 and suggests an integrated GRC model that incorporates the best elements of these standards. The proposed framework adds to governance, risk management, regulatory compliance and cyber-resilience, helping ALL to safeguard its information assets and facilitate secure business operations.</w:t>
      </w:r>
    </w:p>
    <w:p xmlns:wp14="http://schemas.microsoft.com/office/word/2010/wordml" w:rsidP="474F5605" wp14:paraId="185FF29B" wp14:textId="2F477598">
      <w:pPr>
        <w:bidi w:val="0"/>
        <w:rPr>
          <w:color w:val="auto"/>
        </w:rPr>
      </w:pPr>
    </w:p>
    <w:p xmlns:wp14="http://schemas.microsoft.com/office/word/2010/wordml" w:rsidP="474F5605" wp14:paraId="1D4874D7" wp14:textId="7BEE0CE6">
      <w:pPr>
        <w:bidi w:val="0"/>
        <w:spacing w:before="0" w:beforeAutospacing="off" w:after="0" w:afterAutospacing="off"/>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 xml:space="preserve"> </w:t>
      </w:r>
    </w:p>
    <w:p xmlns:wp14="http://schemas.microsoft.com/office/word/2010/wordml" w:rsidP="474F5605" wp14:paraId="17E0D943" wp14:textId="29B74958">
      <w:pPr>
        <w:pStyle w:val="Heading1"/>
        <w:bidi w:val="0"/>
        <w:spacing w:before="0" w:beforeAutospacing="off" w:after="150" w:afterAutospacing="off"/>
        <w:rPr>
          <w:rFonts w:ascii="Calibri" w:hAnsi="Calibri" w:eastAsia="Calibri" w:cs="Calibri"/>
          <w:b w:val="1"/>
          <w:bCs w:val="1"/>
          <w:noProof w:val="0"/>
          <w:color w:val="auto"/>
          <w:sz w:val="30"/>
          <w:szCs w:val="30"/>
          <w:lang w:val="en-GB"/>
        </w:rPr>
      </w:pPr>
    </w:p>
    <w:p xmlns:wp14="http://schemas.microsoft.com/office/word/2010/wordml" w:rsidP="474F5605" wp14:paraId="7C0B4D57" wp14:textId="5C6EEB29">
      <w:pPr>
        <w:bidi w:val="0"/>
        <w:rPr>
          <w:color w:val="auto"/>
        </w:rPr>
      </w:pPr>
      <w:r w:rsidRPr="474F5605">
        <w:rPr>
          <w:color w:val="auto"/>
        </w:rPr>
        <w:br w:type="page"/>
      </w:r>
    </w:p>
    <w:p xmlns:wp14="http://schemas.microsoft.com/office/word/2010/wordml" w:rsidP="474F5605" wp14:paraId="31456245" wp14:textId="687662EB">
      <w:pPr>
        <w:pStyle w:val="Heading1"/>
        <w:bidi w:val="0"/>
        <w:spacing w:before="0" w:beforeAutospacing="off" w:after="15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1. Introduction</w:t>
      </w:r>
    </w:p>
    <w:p xmlns:wp14="http://schemas.microsoft.com/office/word/2010/wordml" w:rsidP="474F5605" wp14:paraId="26A39165" wp14:textId="1CCD21A7">
      <w:pPr>
        <w:bidi w:val="0"/>
        <w:spacing w:before="0" w:beforeAutospacing="off" w:after="0" w:afterAutospacing="off"/>
        <w:jc w:val="both"/>
        <w:rPr>
          <w:rFonts w:ascii="Calibri" w:hAnsi="Calibri" w:eastAsia="Calibri" w:cs="Calibri"/>
          <w:noProof w:val="0"/>
          <w:color w:val="auto"/>
          <w:sz w:val="22"/>
          <w:szCs w:val="22"/>
          <w:lang w:val="en-GB"/>
        </w:rPr>
      </w:pPr>
      <w:r w:rsidRPr="42E06B45" w:rsidR="0A64EF37">
        <w:rPr>
          <w:rFonts w:ascii="Calibri" w:hAnsi="Calibri" w:eastAsia="Calibri" w:cs="Calibri"/>
          <w:noProof w:val="0"/>
          <w:color w:val="auto"/>
          <w:sz w:val="22"/>
          <w:szCs w:val="22"/>
          <w:lang w:val="en-GB"/>
        </w:rPr>
        <w:t>AeroLink</w:t>
      </w:r>
      <w:r w:rsidRPr="42E06B45" w:rsidR="0A64EF37">
        <w:rPr>
          <w:rFonts w:ascii="Calibri" w:hAnsi="Calibri" w:eastAsia="Calibri" w:cs="Calibri"/>
          <w:noProof w:val="0"/>
          <w:color w:val="auto"/>
          <w:sz w:val="22"/>
          <w:szCs w:val="22"/>
          <w:lang w:val="en-GB"/>
        </w:rPr>
        <w:t xml:space="preserve"> Logistics (ALL) uses cloud-based infrastructure, Internet of Things (IoT) tracking sensors and artificial intelligence (AI) analytics to coordinate warehouses, item </w:t>
      </w:r>
      <w:r w:rsidRPr="42E06B45" w:rsidR="0A64EF37">
        <w:rPr>
          <w:rFonts w:ascii="Calibri" w:hAnsi="Calibri" w:eastAsia="Calibri" w:cs="Calibri"/>
          <w:noProof w:val="0"/>
          <w:color w:val="auto"/>
          <w:sz w:val="22"/>
          <w:szCs w:val="22"/>
          <w:lang w:val="en-GB"/>
        </w:rPr>
        <w:t>tracking</w:t>
      </w:r>
      <w:r w:rsidRPr="42E06B45" w:rsidR="0A64EF37">
        <w:rPr>
          <w:rFonts w:ascii="Calibri" w:hAnsi="Calibri" w:eastAsia="Calibri" w:cs="Calibri"/>
          <w:noProof w:val="0"/>
          <w:color w:val="auto"/>
          <w:sz w:val="22"/>
          <w:szCs w:val="22"/>
          <w:lang w:val="en-GB"/>
        </w:rPr>
        <w:t xml:space="preserve"> and distribution across the globe. It has approximately 88% of IT infrastructure as Infrastructure-as-a-Service (IaaS) or Software-as-a-Service (SaaS). Due to the high number of time zones where operations are carried out, ALL enables partners, </w:t>
      </w:r>
      <w:r w:rsidRPr="42E06B45" w:rsidR="0A64EF37">
        <w:rPr>
          <w:rFonts w:ascii="Calibri" w:hAnsi="Calibri" w:eastAsia="Calibri" w:cs="Calibri"/>
          <w:noProof w:val="0"/>
          <w:color w:val="auto"/>
          <w:sz w:val="22"/>
          <w:szCs w:val="22"/>
          <w:lang w:val="en-GB"/>
        </w:rPr>
        <w:t>suppliers</w:t>
      </w:r>
      <w:r w:rsidRPr="42E06B45" w:rsidR="0A64EF37">
        <w:rPr>
          <w:rFonts w:ascii="Calibri" w:hAnsi="Calibri" w:eastAsia="Calibri" w:cs="Calibri"/>
          <w:noProof w:val="0"/>
          <w:color w:val="auto"/>
          <w:sz w:val="22"/>
          <w:szCs w:val="22"/>
          <w:lang w:val="en-GB"/>
        </w:rPr>
        <w:t xml:space="preserve"> and workers to connect with systems remotely, often through unmanaged devices. But many data breaches of unauthorized access to shipping data and customer personally identifiable information (PII) have exposed weaknesses in the governance, </w:t>
      </w:r>
      <w:r w:rsidRPr="42E06B45" w:rsidR="0A64EF37">
        <w:rPr>
          <w:rFonts w:ascii="Calibri" w:hAnsi="Calibri" w:eastAsia="Calibri" w:cs="Calibri"/>
          <w:noProof w:val="0"/>
          <w:color w:val="auto"/>
          <w:sz w:val="22"/>
          <w:szCs w:val="22"/>
          <w:lang w:val="en-GB"/>
        </w:rPr>
        <w:t>risk</w:t>
      </w:r>
      <w:r w:rsidRPr="42E06B45" w:rsidR="0A64EF37">
        <w:rPr>
          <w:rFonts w:ascii="Calibri" w:hAnsi="Calibri" w:eastAsia="Calibri" w:cs="Calibri"/>
          <w:noProof w:val="0"/>
          <w:color w:val="auto"/>
          <w:sz w:val="22"/>
          <w:szCs w:val="22"/>
          <w:lang w:val="en-GB"/>
        </w:rPr>
        <w:t xml:space="preserve"> and compliance (GRC) strategy of the organization.</w:t>
      </w:r>
    </w:p>
    <w:p xmlns:wp14="http://schemas.microsoft.com/office/word/2010/wordml" w:rsidP="474F5605" wp14:paraId="355B4D45" wp14:textId="6DD154CD">
      <w:pPr>
        <w:bidi w:val="0"/>
        <w:spacing w:before="0" w:beforeAutospacing="off" w:after="0" w:afterAutospacing="off"/>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 xml:space="preserve"> </w:t>
      </w:r>
    </w:p>
    <w:p xmlns:wp14="http://schemas.microsoft.com/office/word/2010/wordml" w:rsidP="474F5605" wp14:paraId="622FE2D3" wp14:textId="4DF58F96">
      <w:pPr>
        <w:bidi w:val="0"/>
        <w:spacing w:before="0" w:beforeAutospacing="off" w:after="0" w:afterAutospacing="off"/>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This report discusses the absence of a consistent security framework, centralised risk management process and formal compliance audits for ALL. Section 3 provides an overview of the existing security governance frameworks, Section 4 identifies ALL's security gaps, Section 5 suggests an integrated security governance model, Section 6 covers the need to continually raise the regulatory and security bar, and Section 7 summarizes the results.</w:t>
      </w:r>
    </w:p>
    <w:p xmlns:wp14="http://schemas.microsoft.com/office/word/2010/wordml" w:rsidP="474F5605" wp14:paraId="775B85EF" wp14:textId="5472B8E8">
      <w:pPr>
        <w:bidi w:val="0"/>
        <w:rPr>
          <w:color w:val="auto"/>
        </w:rPr>
      </w:pPr>
    </w:p>
    <w:p xmlns:wp14="http://schemas.microsoft.com/office/word/2010/wordml" w:rsidP="474F5605" wp14:paraId="0D9CC13A" wp14:textId="3B6D19F6">
      <w:pPr>
        <w:bidi w:val="0"/>
        <w:spacing w:before="0" w:beforeAutospacing="off" w:after="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 xml:space="preserve"> </w:t>
      </w:r>
    </w:p>
    <w:p xmlns:wp14="http://schemas.microsoft.com/office/word/2010/wordml" w:rsidP="474F5605" wp14:paraId="7DF1BDA4" wp14:textId="25FCB725">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p>
    <w:p xmlns:wp14="http://schemas.microsoft.com/office/word/2010/wordml" w:rsidP="474F5605" wp14:paraId="51F91AE8" wp14:textId="3D8C1B70">
      <w:pPr>
        <w:bidi w:val="0"/>
        <w:rPr>
          <w:color w:val="auto"/>
        </w:rPr>
      </w:pPr>
      <w:r w:rsidRPr="474F5605">
        <w:rPr>
          <w:color w:val="auto"/>
        </w:rPr>
        <w:br w:type="page"/>
      </w:r>
    </w:p>
    <w:p xmlns:wp14="http://schemas.microsoft.com/office/word/2010/wordml" w:rsidP="474F5605" wp14:paraId="46F1DA6D" wp14:textId="3C649539">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2. Organisational Assumptions</w:t>
      </w:r>
    </w:p>
    <w:p xmlns:wp14="http://schemas.microsoft.com/office/word/2010/wordml" w:rsidP="474F5605" wp14:paraId="58724D29" wp14:textId="13755ACE">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As the case study provides limited operational detail, the following assumptions are made to contextualise the analysis and recommendations in this report (Table 1).</w:t>
      </w:r>
    </w:p>
    <w:tbl>
      <w:tblPr>
        <w:tblStyle w:val="TableGrid"/>
        <w:bidiVisual w:val="0"/>
        <w:tblW w:w="0" w:type="auto"/>
        <w:tblLook w:val="06A0" w:firstRow="1" w:lastRow="0" w:firstColumn="1" w:lastColumn="0" w:noHBand="1" w:noVBand="1"/>
      </w:tblPr>
      <w:tblGrid>
        <w:gridCol w:w="3195"/>
        <w:gridCol w:w="6300"/>
      </w:tblGrid>
      <w:tr w:rsidR="474F5605" w:rsidTr="474F5605" w14:paraId="58287DAA">
        <w:trPr>
          <w:trHeight w:val="300"/>
        </w:trPr>
        <w:tc>
          <w:tcPr>
            <w:tcW w:w="3195" w:type="dxa"/>
            <w:tcMar/>
          </w:tcPr>
          <w:p w:rsidR="474F5605" w:rsidP="474F5605" w:rsidRDefault="474F5605" w14:paraId="678736E5" w14:textId="4B3A8C0C">
            <w:pPr>
              <w:bidi w:val="0"/>
              <w:spacing w:before="0" w:beforeAutospacing="off" w:after="0" w:afterAutospacing="off"/>
              <w:jc w:val="center"/>
              <w:rPr>
                <w:rFonts w:ascii="Calibri" w:hAnsi="Calibri" w:eastAsia="Calibri" w:cs="Calibri"/>
                <w:b w:val="1"/>
                <w:bCs w:val="1"/>
                <w:color w:val="auto"/>
                <w:sz w:val="20"/>
                <w:szCs w:val="20"/>
              </w:rPr>
            </w:pPr>
            <w:r w:rsidRPr="474F5605" w:rsidR="474F5605">
              <w:rPr>
                <w:rFonts w:ascii="Calibri" w:hAnsi="Calibri" w:eastAsia="Calibri" w:cs="Calibri"/>
                <w:b w:val="1"/>
                <w:bCs w:val="1"/>
                <w:color w:val="auto"/>
                <w:sz w:val="20"/>
                <w:szCs w:val="20"/>
              </w:rPr>
              <w:t>Area</w:t>
            </w:r>
          </w:p>
        </w:tc>
        <w:tc>
          <w:tcPr>
            <w:tcW w:w="6300" w:type="dxa"/>
            <w:tcMar/>
          </w:tcPr>
          <w:p w:rsidR="474F5605" w:rsidP="474F5605" w:rsidRDefault="474F5605" w14:paraId="62C1B02E" w14:textId="66D60EFC">
            <w:pPr>
              <w:bidi w:val="0"/>
              <w:spacing w:before="0" w:beforeAutospacing="off" w:after="0" w:afterAutospacing="off"/>
              <w:jc w:val="center"/>
              <w:rPr>
                <w:rFonts w:ascii="Calibri" w:hAnsi="Calibri" w:eastAsia="Calibri" w:cs="Calibri"/>
                <w:b w:val="1"/>
                <w:bCs w:val="1"/>
                <w:color w:val="auto"/>
                <w:sz w:val="20"/>
                <w:szCs w:val="20"/>
              </w:rPr>
            </w:pPr>
            <w:r w:rsidRPr="474F5605" w:rsidR="474F5605">
              <w:rPr>
                <w:rFonts w:ascii="Calibri" w:hAnsi="Calibri" w:eastAsia="Calibri" w:cs="Calibri"/>
                <w:b w:val="1"/>
                <w:bCs w:val="1"/>
                <w:color w:val="auto"/>
                <w:sz w:val="20"/>
                <w:szCs w:val="20"/>
              </w:rPr>
              <w:t>Assumption</w:t>
            </w:r>
          </w:p>
        </w:tc>
      </w:tr>
      <w:tr w:rsidR="474F5605" w:rsidTr="474F5605" w14:paraId="2E265FCF">
        <w:trPr>
          <w:trHeight w:val="300"/>
        </w:trPr>
        <w:tc>
          <w:tcPr>
            <w:tcW w:w="3195" w:type="dxa"/>
            <w:tcMar/>
          </w:tcPr>
          <w:p w:rsidR="474F5605" w:rsidP="474F5605" w:rsidRDefault="474F5605" w14:paraId="2603E9E3" w14:textId="59025550">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Company Size</w:t>
            </w:r>
          </w:p>
        </w:tc>
        <w:tc>
          <w:tcPr>
            <w:tcW w:w="6300" w:type="dxa"/>
            <w:tcMar/>
          </w:tcPr>
          <w:p w:rsidR="474F5605" w:rsidP="474F5605" w:rsidRDefault="474F5605" w14:paraId="5E83391F" w14:textId="25A5BAF2">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Multinational, 10,000+ employees</w:t>
            </w:r>
          </w:p>
        </w:tc>
      </w:tr>
      <w:tr w:rsidR="474F5605" w:rsidTr="474F5605" w14:paraId="016A7E29">
        <w:trPr>
          <w:trHeight w:val="300"/>
        </w:trPr>
        <w:tc>
          <w:tcPr>
            <w:tcW w:w="3195" w:type="dxa"/>
            <w:tcMar/>
          </w:tcPr>
          <w:p w:rsidR="474F5605" w:rsidP="474F5605" w:rsidRDefault="474F5605" w14:paraId="69D8CA89" w14:textId="3A639D18">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Cloud Usage</w:t>
            </w:r>
          </w:p>
        </w:tc>
        <w:tc>
          <w:tcPr>
            <w:tcW w:w="6300" w:type="dxa"/>
            <w:tcMar/>
          </w:tcPr>
          <w:p w:rsidR="474F5605" w:rsidP="474F5605" w:rsidRDefault="474F5605" w14:paraId="444ACB9F" w14:textId="2063DF8E">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AWS and Microsoft Azure (hybrid cloud)</w:t>
            </w:r>
          </w:p>
        </w:tc>
      </w:tr>
      <w:tr w:rsidR="474F5605" w:rsidTr="474F5605" w14:paraId="68EEF1A5">
        <w:trPr>
          <w:trHeight w:val="300"/>
        </w:trPr>
        <w:tc>
          <w:tcPr>
            <w:tcW w:w="3195" w:type="dxa"/>
            <w:tcMar/>
          </w:tcPr>
          <w:p w:rsidR="474F5605" w:rsidP="474F5605" w:rsidRDefault="474F5605" w14:paraId="2F609B19" w14:textId="7606950F">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IT Outsourcing</w:t>
            </w:r>
          </w:p>
        </w:tc>
        <w:tc>
          <w:tcPr>
            <w:tcW w:w="6300" w:type="dxa"/>
            <w:tcMar/>
          </w:tcPr>
          <w:p w:rsidR="474F5605" w:rsidP="474F5605" w:rsidRDefault="474F5605" w14:paraId="62D5AC51" w14:textId="2DF56803">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Approximately 88% via IaaS/SaaS vendors</w:t>
            </w:r>
          </w:p>
        </w:tc>
      </w:tr>
      <w:tr w:rsidR="474F5605" w:rsidTr="474F5605" w14:paraId="5ADBD68C">
        <w:trPr>
          <w:trHeight w:val="300"/>
        </w:trPr>
        <w:tc>
          <w:tcPr>
            <w:tcW w:w="3195" w:type="dxa"/>
            <w:tcMar/>
          </w:tcPr>
          <w:p w:rsidR="474F5605" w:rsidP="474F5605" w:rsidRDefault="474F5605" w14:paraId="4DEEE1EC" w14:textId="46D2025B">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Security Maturity</w:t>
            </w:r>
          </w:p>
        </w:tc>
        <w:tc>
          <w:tcPr>
            <w:tcW w:w="6300" w:type="dxa"/>
            <w:tcMar/>
          </w:tcPr>
          <w:p w:rsidR="474F5605" w:rsidP="474F5605" w:rsidRDefault="474F5605" w14:paraId="7C7AC488" w14:textId="7C684079">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Low (Level 1-2, no formal ISMS)</w:t>
            </w:r>
          </w:p>
        </w:tc>
      </w:tr>
      <w:tr w:rsidR="474F5605" w:rsidTr="474F5605" w14:paraId="44B23800">
        <w:trPr>
          <w:trHeight w:val="300"/>
        </w:trPr>
        <w:tc>
          <w:tcPr>
            <w:tcW w:w="3195" w:type="dxa"/>
            <w:tcMar/>
          </w:tcPr>
          <w:p w:rsidR="474F5605" w:rsidP="474F5605" w:rsidRDefault="474F5605" w14:paraId="1BCB94B6" w14:textId="49045521">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Budget</w:t>
            </w:r>
          </w:p>
        </w:tc>
        <w:tc>
          <w:tcPr>
            <w:tcW w:w="6300" w:type="dxa"/>
            <w:tcMar/>
          </w:tcPr>
          <w:p w:rsidR="474F5605" w:rsidP="474F5605" w:rsidRDefault="474F5605" w14:paraId="1776CD18" w14:textId="0BB92424">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Medium-High (able to fund a security programme)</w:t>
            </w:r>
          </w:p>
        </w:tc>
      </w:tr>
      <w:tr w:rsidR="474F5605" w:rsidTr="474F5605" w14:paraId="213F7609">
        <w:trPr>
          <w:trHeight w:val="300"/>
        </w:trPr>
        <w:tc>
          <w:tcPr>
            <w:tcW w:w="3195" w:type="dxa"/>
            <w:tcMar/>
          </w:tcPr>
          <w:p w:rsidR="474F5605" w:rsidP="474F5605" w:rsidRDefault="474F5605" w14:paraId="2D092598" w14:textId="0DA279E1">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Applicable Regulations</w:t>
            </w:r>
          </w:p>
        </w:tc>
        <w:tc>
          <w:tcPr>
            <w:tcW w:w="6300" w:type="dxa"/>
            <w:tcMar/>
          </w:tcPr>
          <w:p w:rsidR="474F5605" w:rsidP="474F5605" w:rsidRDefault="474F5605" w14:paraId="12DCC346" w14:textId="07C6C9C8">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GDPR, ISO/IEC 27001, NIS2</w:t>
            </w:r>
          </w:p>
        </w:tc>
      </w:tr>
      <w:tr w:rsidR="474F5605" w:rsidTr="474F5605" w14:paraId="5CAAC371">
        <w:trPr>
          <w:trHeight w:val="300"/>
        </w:trPr>
        <w:tc>
          <w:tcPr>
            <w:tcW w:w="3195" w:type="dxa"/>
            <w:tcMar/>
          </w:tcPr>
          <w:p w:rsidR="474F5605" w:rsidP="474F5605" w:rsidRDefault="474F5605" w14:paraId="24D2B5B8" w14:textId="669DE636">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Infrastructure</w:t>
            </w:r>
          </w:p>
        </w:tc>
        <w:tc>
          <w:tcPr>
            <w:tcW w:w="6300" w:type="dxa"/>
            <w:tcMar/>
          </w:tcPr>
          <w:p w:rsidR="474F5605" w:rsidP="474F5605" w:rsidRDefault="474F5605" w14:paraId="31C8A9E3" w14:textId="42D39032">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Hybrid cloud plus IoT tracking sensors</w:t>
            </w:r>
          </w:p>
        </w:tc>
      </w:tr>
      <w:tr w:rsidR="474F5605" w:rsidTr="474F5605" w14:paraId="3FC25C6F">
        <w:trPr>
          <w:trHeight w:val="300"/>
        </w:trPr>
        <w:tc>
          <w:tcPr>
            <w:tcW w:w="3195" w:type="dxa"/>
            <w:tcMar/>
          </w:tcPr>
          <w:p w:rsidR="474F5605" w:rsidP="474F5605" w:rsidRDefault="474F5605" w14:paraId="680085C8" w14:textId="0BA9C899">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Third Parties</w:t>
            </w:r>
          </w:p>
        </w:tc>
        <w:tc>
          <w:tcPr>
            <w:tcW w:w="6300" w:type="dxa"/>
            <w:tcMar/>
          </w:tcPr>
          <w:p w:rsidR="474F5605" w:rsidP="474F5605" w:rsidRDefault="474F5605" w14:paraId="26D6429F" w14:textId="17F5466C">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50+ vendors</w:t>
            </w:r>
          </w:p>
        </w:tc>
      </w:tr>
      <w:tr w:rsidR="474F5605" w:rsidTr="474F5605" w14:paraId="2C060EED">
        <w:trPr>
          <w:trHeight w:val="300"/>
        </w:trPr>
        <w:tc>
          <w:tcPr>
            <w:tcW w:w="3195" w:type="dxa"/>
            <w:tcMar/>
          </w:tcPr>
          <w:p w:rsidR="474F5605" w:rsidP="474F5605" w:rsidRDefault="474F5605" w14:paraId="36A7A18B" w14:textId="7153F23B">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Workforce</w:t>
            </w:r>
          </w:p>
        </w:tc>
        <w:tc>
          <w:tcPr>
            <w:tcW w:w="6300" w:type="dxa"/>
            <w:tcMar/>
          </w:tcPr>
          <w:p w:rsidR="474F5605" w:rsidP="474F5605" w:rsidRDefault="474F5605" w14:paraId="56E4E5FA" w14:textId="66D722FF">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Global, remote, includes unmanaged (BYOD) devices</w:t>
            </w:r>
          </w:p>
        </w:tc>
      </w:tr>
    </w:tbl>
    <w:p xmlns:wp14="http://schemas.microsoft.com/office/word/2010/wordml" w:rsidP="474F5605" wp14:paraId="1C9A19E6" wp14:textId="7FB46DEA">
      <w:pPr>
        <w:bidi w:val="0"/>
        <w:spacing w:before="0" w:beforeAutospacing="off" w:after="160" w:afterAutospacing="off" w:line="276" w:lineRule="auto"/>
        <w:jc w:val="center"/>
        <w:rPr>
          <w:rFonts w:ascii="Calibri" w:hAnsi="Calibri" w:eastAsia="Calibri" w:cs="Calibri"/>
          <w:b w:val="1"/>
          <w:bCs w:val="1"/>
          <w:noProof w:val="0"/>
          <w:color w:val="auto"/>
          <w:sz w:val="20"/>
          <w:szCs w:val="20"/>
          <w:lang w:val="en-GB"/>
        </w:rPr>
      </w:pPr>
      <w:r w:rsidRPr="474F5605" w:rsidR="76E4E3D5">
        <w:rPr>
          <w:rFonts w:ascii="Calibri" w:hAnsi="Calibri" w:eastAsia="Calibri" w:cs="Calibri"/>
          <w:b w:val="1"/>
          <w:bCs w:val="1"/>
          <w:noProof w:val="0"/>
          <w:color w:val="auto"/>
          <w:sz w:val="20"/>
          <w:szCs w:val="20"/>
          <w:lang w:val="en-GB"/>
        </w:rPr>
        <w:t>Table 1: Organisational Assumptions</w:t>
      </w:r>
    </w:p>
    <w:p xmlns:wp14="http://schemas.microsoft.com/office/word/2010/wordml" w:rsidP="474F5605" wp14:paraId="2703622D" wp14:textId="51DEF772">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These assumptions are consistent with the profile of a global logistics operator with significant cloud dependency and immature security governance, and they shape the scope, cost sensitivity, and regulatory focus of the model proposed in Section 5.</w:t>
      </w:r>
    </w:p>
    <w:p xmlns:wp14="http://schemas.microsoft.com/office/word/2010/wordml" w:rsidP="474F5605" wp14:paraId="3C86923C" wp14:textId="3F7819FF">
      <w:pPr>
        <w:bidi w:val="0"/>
        <w:rPr>
          <w:color w:val="auto"/>
        </w:rPr>
      </w:pPr>
    </w:p>
    <w:p xmlns:wp14="http://schemas.microsoft.com/office/word/2010/wordml" w:rsidP="474F5605" wp14:paraId="2BF03B51" wp14:textId="1FDAE643">
      <w:pPr>
        <w:bidi w:val="0"/>
        <w:spacing w:before="0" w:beforeAutospacing="off" w:after="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 xml:space="preserve"> </w:t>
      </w:r>
    </w:p>
    <w:p xmlns:wp14="http://schemas.microsoft.com/office/word/2010/wordml" w:rsidP="474F5605" wp14:paraId="3292A86B" wp14:textId="221331EF">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p>
    <w:p xmlns:wp14="http://schemas.microsoft.com/office/word/2010/wordml" w:rsidP="474F5605" wp14:paraId="7DD88AB8" wp14:textId="068EE9CD">
      <w:pPr>
        <w:bidi w:val="0"/>
        <w:rPr>
          <w:color w:val="auto"/>
        </w:rPr>
      </w:pPr>
      <w:r w:rsidRPr="474F5605">
        <w:rPr>
          <w:color w:val="auto"/>
        </w:rPr>
        <w:br w:type="page"/>
      </w:r>
    </w:p>
    <w:p xmlns:wp14="http://schemas.microsoft.com/office/word/2010/wordml" w:rsidP="474F5605" wp14:paraId="5CBFA27E" wp14:textId="42637FE4">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3. Literature Review of Security Governance Frameworks</w:t>
      </w:r>
    </w:p>
    <w:p xmlns:wp14="http://schemas.microsoft.com/office/word/2010/wordml" w:rsidP="474F5605" wp14:paraId="482A99AE" wp14:textId="0B0D4C38">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3.1 ISO/IEC 27001:2022</w:t>
      </w:r>
    </w:p>
    <w:p xmlns:wp14="http://schemas.microsoft.com/office/word/2010/wordml" w:rsidP="474F5605" wp14:paraId="01C63540" wp14:textId="216CDE7F">
      <w:pPr>
        <w:bidi w:val="0"/>
        <w:spacing w:before="0" w:beforeAutospacing="off" w:after="0" w:afterAutospacing="off"/>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The ISO/IEC 27001:2022 is a widely accepted global standard for the implementation, development, maintenance and ongoing enhancement of an Information Security Management System (ISMS) [1]. It is based on a risk-based approach which asks organisations to identify their information assets, determine their risks, and take action based on those risks and controls based on ISO/IEC 27002:2022 [2]. The standard is based on Plan-Do-Check-Act (PDCA) cycle, which works on continuous improvement.</w:t>
      </w:r>
    </w:p>
    <w:p xmlns:wp14="http://schemas.microsoft.com/office/word/2010/wordml" w:rsidP="474F5605" wp14:paraId="0E7567A4" wp14:textId="38D2400F">
      <w:pPr>
        <w:bidi w:val="0"/>
        <w:spacing w:before="0" w:beforeAutospacing="off" w:after="0" w:afterAutospacing="off"/>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It has a number of advantages, such as its internationally acclaimed recognition, ease of scalability, structured control framework, and enhanced assurance and trust for clients and regulators. But it takes a lot of resources to implement, a lot of documentation and it offers only limited native support for new threats including AI-based attacks. In the case of ALL, ISO 27001 would help with weaknesses in governance and compliance and ensure greater assurance for customers in accordance with GDPR.</w:t>
      </w:r>
    </w:p>
    <w:p xmlns:wp14="http://schemas.microsoft.com/office/word/2010/wordml" w:rsidP="474F5605" wp14:paraId="6A5EED74" wp14:textId="7C8BFEFA">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3.2 NIST Cybersecurity Framework 2.0</w:t>
      </w:r>
    </w:p>
    <w:p xmlns:wp14="http://schemas.microsoft.com/office/word/2010/wordml" w:rsidP="474F5605" wp14:paraId="20D5CDE3" wp14:textId="083257A8">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The NIST Cybersecurity Framework 2.0 from 2024 adds a sixth function, Govern, to the original five, creating Govern, Identify, Protect, Detect, Respond and Recover. Identify and Protect include asset management and preventative controls, and Detect, Respond, and Recover include monitoring and incident handling, both of which are based on guidance by the National Institute for Standards of Technology (NIST) such as NIST SP 800-61 for incident handling [5] and NIST SP 800-53 for control selection [4].</w:t>
      </w:r>
    </w:p>
    <w:p xmlns:wp14="http://schemas.microsoft.com/office/word/2010/wordml" w:rsidP="474F5605" wp14:paraId="3F21AE69" wp14:textId="5406696E">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The strengths are its outcome-based flexible and sector-agnostic structure, freely available, suitable for organisations developing cybersecurity practice rather than looking for a formal certification. Limitations are that it lacks independent certification and less prescriptive than ISO 27001, needing additional frameworks for accountability at the governance level. NIST CSF 2.0 is recommended to be used on the day-to-day operational layer of the cybersecurity practices and for ALL, it is well suited for the day-to-day operational layer.</w:t>
      </w:r>
    </w:p>
    <w:p xmlns:wp14="http://schemas.microsoft.com/office/word/2010/wordml" w:rsidP="474F5605" wp14:paraId="60F5D9B8" wp14:textId="32CEFABF">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3.3 COBIT 2019</w:t>
      </w:r>
    </w:p>
    <w:p xmlns:wp14="http://schemas.microsoft.com/office/word/2010/wordml" w:rsidP="474F5605" wp14:paraId="683E9497" wp14:textId="05CDA679">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COBIT 2019 is an enterprise governance framework by ISACA, which separates the objectives of governance (Board-level: Evaluate, Direct, Monitor) from the objectives of management (Plan, Build, Run, Monitor) (Figure 3) [6, 7]. It highlights alignment of IT and security investments in business goals, and how design factors can help customize governance components to organizational context.</w:t>
      </w:r>
    </w:p>
    <w:p xmlns:wp14="http://schemas.microsoft.com/office/word/2010/wordml" w:rsidP="474F5605" wp14:paraId="5D1243A2" wp14:textId="19346379">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Success factors are high degree of Board and executive alignment, support for clear accountability structures, and integration with enterprise risk management. The disadvantages are that it has a high level of complexity and terminology for lower maturity organisations, and considerable implementation effort. COBIT's separation between governance and management objectives applies directly to the assignment of responsibility at the Board and executive levels for ALL, as stated in the case study explicitly, where there is no clear assignment of security responsibilities.</w:t>
      </w:r>
    </w:p>
    <w:p xmlns:wp14="http://schemas.microsoft.com/office/word/2010/wordml" w:rsidP="474F5605" wp14:paraId="6EF4F414" wp14:textId="4D8B8B11">
      <w:pPr>
        <w:bidi w:val="0"/>
        <w:spacing w:before="200" w:beforeAutospacing="off" w:after="0" w:afterAutospacing="off"/>
        <w:jc w:val="center"/>
        <w:rPr>
          <w:color w:val="auto"/>
        </w:rPr>
      </w:pPr>
      <w:r w:rsidR="76E4E3D5">
        <w:drawing>
          <wp:inline xmlns:wp14="http://schemas.microsoft.com/office/word/2010/wordprocessingDrawing" wp14:editId="403238FF" wp14:anchorId="49B75D60">
            <wp:extent cx="2609850" cy="1819275"/>
            <wp:effectExtent l="0" t="0" r="0" b="0"/>
            <wp:docPr id="617703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770317" name="Picture 61770317"/>
                    <pic:cNvPicPr/>
                  </pic:nvPicPr>
                  <pic:blipFill>
                    <a:blip xmlns:r="http://schemas.openxmlformats.org/officeDocument/2006/relationships" r:embed="rId1761810565">
                      <a:extLst>
                        <a:ext uri="{28A0092B-C50C-407E-A947-70E740481C1C}">
                          <a14:useLocalDpi xmlns:a14="http://schemas.microsoft.com/office/drawing/2010/main"/>
                        </a:ext>
                      </a:extLst>
                    </a:blip>
                    <a:stretch>
                      <a:fillRect/>
                    </a:stretch>
                  </pic:blipFill>
                  <pic:spPr>
                    <a:xfrm>
                      <a:off x="0" y="0"/>
                      <a:ext cx="2609850" cy="1819275"/>
                    </a:xfrm>
                    <a:prstGeom prst="rect">
                      <a:avLst/>
                    </a:prstGeom>
                  </pic:spPr>
                </pic:pic>
              </a:graphicData>
            </a:graphic>
          </wp:inline>
        </w:drawing>
      </w:r>
    </w:p>
    <w:p xmlns:wp14="http://schemas.microsoft.com/office/word/2010/wordml" w:rsidP="474F5605" wp14:paraId="739D1B70" wp14:textId="28D097AF">
      <w:pPr>
        <w:bidi w:val="0"/>
        <w:spacing w:before="80" w:beforeAutospacing="off" w:after="240" w:afterAutospacing="off"/>
        <w:jc w:val="center"/>
        <w:rPr>
          <w:rFonts w:ascii="Calibri" w:hAnsi="Calibri" w:eastAsia="Calibri" w:cs="Calibri"/>
          <w:i w:val="1"/>
          <w:iCs w:val="1"/>
          <w:noProof w:val="0"/>
          <w:color w:val="auto"/>
          <w:sz w:val="20"/>
          <w:szCs w:val="20"/>
          <w:lang w:val="en-GB"/>
        </w:rPr>
      </w:pPr>
      <w:r w:rsidRPr="474F5605" w:rsidR="76E4E3D5">
        <w:rPr>
          <w:rFonts w:ascii="Calibri" w:hAnsi="Calibri" w:eastAsia="Calibri" w:cs="Calibri"/>
          <w:i w:val="1"/>
          <w:iCs w:val="1"/>
          <w:noProof w:val="0"/>
          <w:color w:val="auto"/>
          <w:sz w:val="20"/>
          <w:szCs w:val="20"/>
          <w:lang w:val="en-GB"/>
        </w:rPr>
        <w:t>Figure 3: COBIT 2019 Governance and Management Objectives</w:t>
      </w:r>
    </w:p>
    <w:p xmlns:wp14="http://schemas.microsoft.com/office/word/2010/wordml" w:rsidP="474F5605" wp14:paraId="73660025" wp14:textId="76617293">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3.4 ITIL 4</w:t>
      </w:r>
    </w:p>
    <w:p xmlns:wp14="http://schemas.microsoft.com/office/word/2010/wordml" w:rsidP="474F5605" wp14:paraId="0C59647A" wp14:textId="474D61FB">
      <w:pPr>
        <w:bidi w:val="0"/>
        <w:spacing w:before="200" w:beforeAutospacing="off" w:after="0" w:afterAutospacing="off"/>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ITIL 4 is a service management framework based on the Service Value System and Service Value Chain (Figure 4), supporting Incident Management, Change Enablement and Continual Improvement [8]. Unlike ISO 27001, NIST CSF and COBIT, it focuses on IT service management rather than security governance. Its strengths include mature service practices and effective SOC integration with IT operations, while its limitation is the lack of governance and compliance capabilities, requiring integration with security frameworks. For ALL, ITIL 4 would improve incident handling, change management and vendor-managed service operations.</w:t>
      </w:r>
    </w:p>
    <w:p xmlns:wp14="http://schemas.microsoft.com/office/word/2010/wordml" w:rsidP="474F5605" wp14:paraId="00F4B701" wp14:textId="542BCC8D">
      <w:pPr>
        <w:bidi w:val="0"/>
        <w:spacing w:before="200" w:beforeAutospacing="off" w:after="0" w:afterAutospacing="off"/>
        <w:jc w:val="center"/>
        <w:rPr>
          <w:color w:val="auto"/>
        </w:rPr>
      </w:pPr>
      <w:r w:rsidR="76E4E3D5">
        <w:drawing>
          <wp:inline xmlns:wp14="http://schemas.microsoft.com/office/word/2010/wordprocessingDrawing" wp14:editId="14E5CCCD" wp14:anchorId="375DFDD0">
            <wp:extent cx="2771775" cy="1619250"/>
            <wp:effectExtent l="0" t="0" r="0" b="0"/>
            <wp:docPr id="10406017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0601775" name="Picture 1040601775"/>
                    <pic:cNvPicPr/>
                  </pic:nvPicPr>
                  <pic:blipFill>
                    <a:blip xmlns:r="http://schemas.openxmlformats.org/officeDocument/2006/relationships" r:embed="rId750190153">
                      <a:extLst>
                        <a:ext uri="{28A0092B-C50C-407E-A947-70E740481C1C}">
                          <a14:useLocalDpi xmlns:a14="http://schemas.microsoft.com/office/drawing/2010/main"/>
                        </a:ext>
                      </a:extLst>
                    </a:blip>
                    <a:stretch>
                      <a:fillRect/>
                    </a:stretch>
                  </pic:blipFill>
                  <pic:spPr>
                    <a:xfrm>
                      <a:off x="0" y="0"/>
                      <a:ext cx="2771775" cy="1619250"/>
                    </a:xfrm>
                    <a:prstGeom prst="rect">
                      <a:avLst/>
                    </a:prstGeom>
                  </pic:spPr>
                </pic:pic>
              </a:graphicData>
            </a:graphic>
          </wp:inline>
        </w:drawing>
      </w:r>
    </w:p>
    <w:p xmlns:wp14="http://schemas.microsoft.com/office/word/2010/wordml" w:rsidP="474F5605" wp14:paraId="54FB7BF9" wp14:textId="48C2C672">
      <w:pPr>
        <w:bidi w:val="0"/>
        <w:spacing w:before="80" w:beforeAutospacing="off" w:after="240" w:afterAutospacing="off"/>
        <w:jc w:val="center"/>
        <w:rPr>
          <w:rFonts w:ascii="Calibri" w:hAnsi="Calibri" w:eastAsia="Calibri" w:cs="Calibri"/>
          <w:i w:val="1"/>
          <w:iCs w:val="1"/>
          <w:noProof w:val="0"/>
          <w:color w:val="auto"/>
          <w:sz w:val="20"/>
          <w:szCs w:val="20"/>
          <w:lang w:val="en-GB"/>
        </w:rPr>
      </w:pPr>
      <w:r w:rsidRPr="474F5605" w:rsidR="76E4E3D5">
        <w:rPr>
          <w:rFonts w:ascii="Calibri" w:hAnsi="Calibri" w:eastAsia="Calibri" w:cs="Calibri"/>
          <w:i w:val="1"/>
          <w:iCs w:val="1"/>
          <w:noProof w:val="0"/>
          <w:color w:val="auto"/>
          <w:sz w:val="20"/>
          <w:szCs w:val="20"/>
          <w:lang w:val="en-GB"/>
        </w:rPr>
        <w:t>Figure 4: ITIL 4 Service Value Chain</w:t>
      </w:r>
    </w:p>
    <w:p xmlns:wp14="http://schemas.microsoft.com/office/word/2010/wordml" w:rsidP="474F5605" wp14:paraId="0CCF38C2" wp14:textId="131AD682">
      <w:pPr>
        <w:bidi w:val="0"/>
        <w:rPr>
          <w:color w:val="auto"/>
        </w:rPr>
      </w:pPr>
    </w:p>
    <w:p xmlns:wp14="http://schemas.microsoft.com/office/word/2010/wordml" w:rsidP="474F5605" wp14:paraId="4B9B2931" wp14:textId="10F59A53">
      <w:pPr>
        <w:bidi w:val="0"/>
        <w:spacing w:before="0" w:beforeAutospacing="off" w:after="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 xml:space="preserve"> </w:t>
      </w:r>
    </w:p>
    <w:p xmlns:wp14="http://schemas.microsoft.com/office/word/2010/wordml" w:rsidP="474F5605" wp14:paraId="5B63E484" wp14:textId="443227CF">
      <w:pPr>
        <w:pStyle w:val="Normal"/>
        <w:bidi w:val="0"/>
        <w:rPr>
          <w:noProof w:val="0"/>
          <w:color w:val="auto"/>
          <w:lang w:val="en-GB"/>
        </w:rPr>
      </w:pPr>
    </w:p>
    <w:p xmlns:wp14="http://schemas.microsoft.com/office/word/2010/wordml" w:rsidP="474F5605" wp14:paraId="0A6B97E9" wp14:textId="110ECA5B">
      <w:pPr>
        <w:bidi w:val="0"/>
        <w:rPr>
          <w:color w:val="auto"/>
        </w:rPr>
      </w:pPr>
      <w:r w:rsidRPr="474F5605">
        <w:rPr>
          <w:color w:val="auto"/>
        </w:rPr>
        <w:br w:type="page"/>
      </w:r>
    </w:p>
    <w:p xmlns:wp14="http://schemas.microsoft.com/office/word/2010/wordml" w:rsidP="474F5605" wp14:paraId="4520CEC7" wp14:textId="54E96C74">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4. Current Security and Governance Gap Analysis of AeroLink</w:t>
      </w:r>
    </w:p>
    <w:p xmlns:wp14="http://schemas.microsoft.com/office/word/2010/wordml" w:rsidP="474F5605" wp14:paraId="25F61925" wp14:textId="0973E24C">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Governance Weaknesses</w:t>
      </w:r>
    </w:p>
    <w:p xmlns:wp14="http://schemas.microsoft.com/office/word/2010/wordml" w:rsidP="474F5605" wp14:paraId="724B31D8" wp14:textId="48807280">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The case study shows that there was no clear security leadership (CISO) identified and that security was not clearly delegated to each department. Lacking an accountable owner, security decisions are made on an ad hoc basis and there is no process to escalate security risks to the Board, a gap that also aligns with an immature governance maturity level as measured by COBIT [6].</w:t>
      </w:r>
    </w:p>
    <w:p xmlns:wp14="http://schemas.microsoft.com/office/word/2010/wordml" w:rsidP="474F5605" wp14:paraId="7CBB1765" wp14:textId="254D348B">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Compliance Issues</w:t>
      </w:r>
    </w:p>
    <w:p xmlns:wp14="http://schemas.microsoft.com/office/word/2010/wordml" w:rsidP="474F5605" wp14:paraId="48A3C41D" wp14:textId="6BEA1CDE">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Despite processing customer PII and shipment data across jurisdictions there is no evidence of GDPR compliance audits nor ISO 27001 certification for ALL. With GDPR having a wide-reaching application and severe sanctions for non-compliant use [9] this puts ALL at material regulatory and reputational risk, with the unauthorised access incidences reported.</w:t>
      </w:r>
    </w:p>
    <w:p xmlns:wp14="http://schemas.microsoft.com/office/word/2010/wordml" w:rsidP="474F5605" wp14:paraId="752CD43E" wp14:textId="75633AAF">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Risk Management Problems</w:t>
      </w:r>
    </w:p>
    <w:p xmlns:wp14="http://schemas.microsoft.com/office/word/2010/wordml" w:rsidP="474F5605" wp14:paraId="20026F7C" wp14:textId="7BB714F3">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No evidence of an enterprise risk management process – no risk register, no formal risk methodology, and no period risk review cycle. This puts ALL in a tight spot since they are unable to select the most secure investment or show due diligence to regulators or clients.</w:t>
      </w:r>
    </w:p>
    <w:p xmlns:wp14="http://schemas.microsoft.com/office/word/2010/wordml" w:rsidP="474F5605" wp14:paraId="0CF5A13E" wp14:textId="2F3D5778">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Technical Security Issues</w:t>
      </w:r>
    </w:p>
    <w:p xmlns:wp14="http://schemas.microsoft.com/office/word/2010/wordml" w:rsidP="474F5605" wp14:paraId="6A999171" wp14:textId="3BFF3480">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Access to internal systems by remote employees, suppliers and partners from unmanaged devices with no clear indication of centralised access control, provides an expanding attack surface for stealing credentials and accessing computers without permission. The widespread adoption of IoT-based tracking sensors means that there are also added risks, because these devices are often sold with poor default security and vulnerable to patching. Around 88% of IT infrastructure is outsourced to third party IaaS/SaaS vendors, and ALL also faces significant vendor and supply-chain risk, which seems to be unmanaged, and no process is described for assessing vendor security and enforcing SLAs.</w:t>
      </w:r>
    </w:p>
    <w:p xmlns:wp14="http://schemas.microsoft.com/office/word/2010/wordml" w:rsidP="474F5605" wp14:paraId="113A4495" wp14:textId="14F1F54A">
      <w:pPr>
        <w:bidi w:val="0"/>
        <w:rPr>
          <w:color w:val="auto"/>
        </w:rPr>
      </w:pPr>
    </w:p>
    <w:p xmlns:wp14="http://schemas.microsoft.com/office/word/2010/wordml" w:rsidP="474F5605" wp14:paraId="6B298F60" wp14:textId="3BAB7091">
      <w:pPr>
        <w:bidi w:val="0"/>
        <w:spacing w:before="0" w:beforeAutospacing="off" w:after="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 xml:space="preserve"> </w:t>
      </w:r>
    </w:p>
    <w:p xmlns:wp14="http://schemas.microsoft.com/office/word/2010/wordml" w:rsidP="474F5605" wp14:paraId="78FEFB73" wp14:textId="617A3466">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p>
    <w:p xmlns:wp14="http://schemas.microsoft.com/office/word/2010/wordml" w:rsidP="474F5605" wp14:paraId="2E05AB94" wp14:textId="1ECA5444">
      <w:pPr>
        <w:bidi w:val="0"/>
        <w:rPr>
          <w:color w:val="auto"/>
        </w:rPr>
      </w:pPr>
      <w:r w:rsidRPr="474F5605">
        <w:rPr>
          <w:color w:val="auto"/>
        </w:rPr>
        <w:br w:type="page"/>
      </w:r>
    </w:p>
    <w:p xmlns:wp14="http://schemas.microsoft.com/office/word/2010/wordml" w:rsidP="474F5605" wp14:paraId="49C19D98" wp14:textId="6CF0DE99">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5. Proposed Integrated Security Governance Model</w:t>
      </w:r>
    </w:p>
    <w:p xmlns:wp14="http://schemas.microsoft.com/office/word/2010/wordml" w:rsidP="474F5605" wp14:paraId="15D76843" wp14:textId="3A15D1EC">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This section introduces AeroLink Integrated Governance and Security Management Model (AIGSM), a model for Governance, Risk and Compliance for addressing the gaps identified in Section 4.</w:t>
      </w:r>
    </w:p>
    <w:p xmlns:wp14="http://schemas.microsoft.com/office/word/2010/wordml" w:rsidP="474F5605" wp14:paraId="1309661F" wp14:textId="4724786F">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5.1 Governance Structure</w:t>
      </w:r>
    </w:p>
    <w:p xmlns:wp14="http://schemas.microsoft.com/office/word/2010/wordml" w:rsidP="474F5605" wp14:paraId="14CF100C" wp14:textId="0B4C7112">
      <w:pPr>
        <w:bidi w:val="0"/>
        <w:spacing w:before="0" w:beforeAutospacing="off" w:after="0" w:afterAutospacing="off"/>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AIGSM is built on a clear structure of accountability from the Board to the business units as illustrated in Figure 6. The Board's security risk is managed by a Security Steering Committee (SSC) of senior IT, legal, security and business representatives. The SSC formulates strategy and approves policies, based on the principles of governance and management of COBIT [6]. Security is managed by a Chief Information Security Officer (CISO) who is supported by a Security Operations Centre (SOC) and Risk and Compliance teams and coordinates with business units to implement controls. This model addresses the issue of lacking security ownership and inter-departmental coordination issues in the case study.</w:t>
      </w:r>
    </w:p>
    <w:p xmlns:wp14="http://schemas.microsoft.com/office/word/2010/wordml" w:rsidP="474F5605" wp14:paraId="271D5AF7" wp14:textId="13AD2BFC">
      <w:pPr>
        <w:bidi w:val="0"/>
        <w:spacing w:before="200" w:beforeAutospacing="off" w:after="0" w:afterAutospacing="off"/>
        <w:jc w:val="center"/>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 xml:space="preserve"> </w:t>
      </w:r>
    </w:p>
    <w:p xmlns:wp14="http://schemas.microsoft.com/office/word/2010/wordml" w:rsidP="474F5605" wp14:paraId="5AE81AFF" wp14:textId="424A081F">
      <w:pPr>
        <w:bidi w:val="0"/>
        <w:spacing w:before="200" w:beforeAutospacing="off" w:after="0" w:afterAutospacing="off"/>
        <w:jc w:val="center"/>
        <w:rPr>
          <w:color w:val="auto"/>
        </w:rPr>
      </w:pPr>
      <w:r w:rsidR="76E4E3D5">
        <w:drawing>
          <wp:inline xmlns:wp14="http://schemas.microsoft.com/office/word/2010/wordprocessingDrawing" wp14:editId="53357BC7" wp14:anchorId="6E08F49A">
            <wp:extent cx="2600325" cy="2466975"/>
            <wp:effectExtent l="0" t="0" r="0" b="0"/>
            <wp:docPr id="19490655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9065507" name="Picture 1949065507"/>
                    <pic:cNvPicPr/>
                  </pic:nvPicPr>
                  <pic:blipFill>
                    <a:blip xmlns:r="http://schemas.openxmlformats.org/officeDocument/2006/relationships" r:embed="rId933853984">
                      <a:extLst>
                        <a:ext uri="{28A0092B-C50C-407E-A947-70E740481C1C}">
                          <a14:useLocalDpi xmlns:a14="http://schemas.microsoft.com/office/drawing/2010/main"/>
                        </a:ext>
                      </a:extLst>
                    </a:blip>
                    <a:stretch>
                      <a:fillRect/>
                    </a:stretch>
                  </pic:blipFill>
                  <pic:spPr>
                    <a:xfrm>
                      <a:off x="0" y="0"/>
                      <a:ext cx="2600325" cy="2466975"/>
                    </a:xfrm>
                    <a:prstGeom prst="rect">
                      <a:avLst/>
                    </a:prstGeom>
                  </pic:spPr>
                </pic:pic>
              </a:graphicData>
            </a:graphic>
          </wp:inline>
        </w:drawing>
      </w:r>
    </w:p>
    <w:p xmlns:wp14="http://schemas.microsoft.com/office/word/2010/wordml" w:rsidP="474F5605" wp14:paraId="229BC6FD" wp14:textId="4276CA4F">
      <w:pPr>
        <w:bidi w:val="0"/>
        <w:spacing w:before="80" w:beforeAutospacing="off" w:after="240" w:afterAutospacing="off"/>
        <w:jc w:val="center"/>
        <w:rPr>
          <w:rFonts w:ascii="Calibri" w:hAnsi="Calibri" w:eastAsia="Calibri" w:cs="Calibri"/>
          <w:i w:val="1"/>
          <w:iCs w:val="1"/>
          <w:noProof w:val="0"/>
          <w:color w:val="auto"/>
          <w:sz w:val="20"/>
          <w:szCs w:val="20"/>
          <w:lang w:val="en-GB"/>
        </w:rPr>
      </w:pPr>
      <w:r w:rsidRPr="474F5605" w:rsidR="76E4E3D5">
        <w:rPr>
          <w:rFonts w:ascii="Calibri" w:hAnsi="Calibri" w:eastAsia="Calibri" w:cs="Calibri"/>
          <w:i w:val="1"/>
          <w:iCs w:val="1"/>
          <w:noProof w:val="0"/>
          <w:color w:val="auto"/>
          <w:sz w:val="20"/>
          <w:szCs w:val="20"/>
          <w:lang w:val="en-GB"/>
        </w:rPr>
        <w:t>Figure 6: Proposed AIGSM Governance Structure</w:t>
      </w:r>
    </w:p>
    <w:p xmlns:wp14="http://schemas.microsoft.com/office/word/2010/wordml" w:rsidP="474F5605" wp14:paraId="13170C2D" wp14:textId="39861365">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5.2 Governance Framework Integration</w:t>
      </w:r>
    </w:p>
    <w:p xmlns:wp14="http://schemas.microsoft.com/office/word/2010/wordml" w:rsidP="474F5605" wp14:paraId="1BFD6061" wp14:textId="61B32F38">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AIGSM does not use one framework (or one of them) but implements the four reviewed frameworks in a combined way, based on their comparative strengths (Table 4). With ISO 27001, the ISMS base and certification goal, ALL has an auditable foundation for proving compliance to clients and regulators. NIST CSF 2.0 supports the SOC in its day-to-day cybersecurity operations, ranging from identifying assets to recovery. COBIT 2019 provides the decision-making process for the Board and the executive, setting the direction for security investment consistent with business strategy and providing clear accountability. ITIL 4 guarantees that security events are handled in the same manner as other IT services and is in charge of overseeing all facets of IT service operations, including incident and change management. Because ISO 27001 is audit-focused, NIST CSF is operationally flexible, and COBIT is somewhat rigorous in terms of governance with ITIL's focus on service delivery, this multi-layered integration cannot be accomplished with just one of these frameworks.</w:t>
      </w:r>
    </w:p>
    <w:p xmlns:wp14="http://schemas.microsoft.com/office/word/2010/wordml" w:rsidP="474F5605" wp14:paraId="6207184D" wp14:textId="0E832646">
      <w:pPr>
        <w:bidi w:val="0"/>
        <w:spacing w:before="200" w:beforeAutospacing="off" w:after="100" w:afterAutospacing="off"/>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 xml:space="preserve"> </w:t>
      </w:r>
    </w:p>
    <w:tbl>
      <w:tblPr>
        <w:tblStyle w:val="TableGrid"/>
        <w:bidiVisual w:val="0"/>
        <w:tblW w:w="0" w:type="auto"/>
        <w:tblLook w:val="06A0" w:firstRow="1" w:lastRow="0" w:firstColumn="1" w:lastColumn="0" w:noHBand="1" w:noVBand="1"/>
      </w:tblPr>
      <w:tblGrid>
        <w:gridCol w:w="3000"/>
        <w:gridCol w:w="6495"/>
      </w:tblGrid>
      <w:tr w:rsidR="474F5605" w:rsidTr="474F5605" w14:paraId="61E867BF">
        <w:trPr>
          <w:trHeight w:val="300"/>
        </w:trPr>
        <w:tc>
          <w:tcPr>
            <w:tcW w:w="3000" w:type="dxa"/>
            <w:tcMar/>
          </w:tcPr>
          <w:p w:rsidR="474F5605" w:rsidP="474F5605" w:rsidRDefault="474F5605" w14:paraId="2E0166B5" w14:textId="0B1D470E">
            <w:pPr>
              <w:bidi w:val="0"/>
              <w:spacing w:before="0" w:beforeAutospacing="off" w:after="0" w:afterAutospacing="off"/>
              <w:jc w:val="center"/>
              <w:rPr>
                <w:rFonts w:ascii="Calibri" w:hAnsi="Calibri" w:eastAsia="Calibri" w:cs="Calibri"/>
                <w:b w:val="1"/>
                <w:bCs w:val="1"/>
                <w:color w:val="auto"/>
                <w:sz w:val="20"/>
                <w:szCs w:val="20"/>
              </w:rPr>
            </w:pPr>
            <w:r w:rsidRPr="474F5605" w:rsidR="474F5605">
              <w:rPr>
                <w:rFonts w:ascii="Calibri" w:hAnsi="Calibri" w:eastAsia="Calibri" w:cs="Calibri"/>
                <w:b w:val="1"/>
                <w:bCs w:val="1"/>
                <w:color w:val="auto"/>
                <w:sz w:val="20"/>
                <w:szCs w:val="20"/>
              </w:rPr>
              <w:t>Framework</w:t>
            </w:r>
          </w:p>
        </w:tc>
        <w:tc>
          <w:tcPr>
            <w:tcW w:w="6495" w:type="dxa"/>
            <w:tcMar/>
          </w:tcPr>
          <w:p w:rsidR="474F5605" w:rsidP="474F5605" w:rsidRDefault="474F5605" w14:paraId="32925CDB" w14:textId="04A62725">
            <w:pPr>
              <w:bidi w:val="0"/>
              <w:spacing w:before="0" w:beforeAutospacing="off" w:after="0" w:afterAutospacing="off"/>
              <w:jc w:val="center"/>
              <w:rPr>
                <w:rFonts w:ascii="Calibri" w:hAnsi="Calibri" w:eastAsia="Calibri" w:cs="Calibri"/>
                <w:b w:val="1"/>
                <w:bCs w:val="1"/>
                <w:color w:val="auto"/>
                <w:sz w:val="20"/>
                <w:szCs w:val="20"/>
              </w:rPr>
            </w:pPr>
            <w:r w:rsidRPr="474F5605" w:rsidR="474F5605">
              <w:rPr>
                <w:rFonts w:ascii="Calibri" w:hAnsi="Calibri" w:eastAsia="Calibri" w:cs="Calibri"/>
                <w:b w:val="1"/>
                <w:bCs w:val="1"/>
                <w:color w:val="auto"/>
                <w:sz w:val="20"/>
                <w:szCs w:val="20"/>
              </w:rPr>
              <w:t>Used For</w:t>
            </w:r>
          </w:p>
        </w:tc>
      </w:tr>
      <w:tr w:rsidR="474F5605" w:rsidTr="474F5605" w14:paraId="760B88D0">
        <w:trPr>
          <w:trHeight w:val="300"/>
        </w:trPr>
        <w:tc>
          <w:tcPr>
            <w:tcW w:w="3000" w:type="dxa"/>
            <w:tcMar/>
          </w:tcPr>
          <w:p w:rsidR="474F5605" w:rsidP="474F5605" w:rsidRDefault="474F5605" w14:paraId="7502CD7F" w14:textId="75BF9479">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ISO 27001</w:t>
            </w:r>
          </w:p>
        </w:tc>
        <w:tc>
          <w:tcPr>
            <w:tcW w:w="6495" w:type="dxa"/>
            <w:tcMar/>
          </w:tcPr>
          <w:p w:rsidR="474F5605" w:rsidP="474F5605" w:rsidRDefault="474F5605" w14:paraId="66DBD357" w14:textId="45BD411B">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ISMS foundation and certification target</w:t>
            </w:r>
          </w:p>
        </w:tc>
      </w:tr>
      <w:tr w:rsidR="474F5605" w:rsidTr="474F5605" w14:paraId="35190900">
        <w:trPr>
          <w:trHeight w:val="300"/>
        </w:trPr>
        <w:tc>
          <w:tcPr>
            <w:tcW w:w="3000" w:type="dxa"/>
            <w:tcMar/>
          </w:tcPr>
          <w:p w:rsidR="474F5605" w:rsidP="474F5605" w:rsidRDefault="474F5605" w14:paraId="70C4031C" w14:textId="6280B032">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NIST CSF 2.0</w:t>
            </w:r>
          </w:p>
        </w:tc>
        <w:tc>
          <w:tcPr>
            <w:tcW w:w="6495" w:type="dxa"/>
            <w:tcMar/>
          </w:tcPr>
          <w:p w:rsidR="474F5605" w:rsidP="474F5605" w:rsidRDefault="474F5605" w14:paraId="5358028E" w14:textId="700FD1B3">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Day-to-day cybersecurity operations</w:t>
            </w:r>
          </w:p>
        </w:tc>
      </w:tr>
      <w:tr w:rsidR="474F5605" w:rsidTr="474F5605" w14:paraId="66FECDD7">
        <w:trPr>
          <w:trHeight w:val="300"/>
        </w:trPr>
        <w:tc>
          <w:tcPr>
            <w:tcW w:w="3000" w:type="dxa"/>
            <w:tcMar/>
          </w:tcPr>
          <w:p w:rsidR="474F5605" w:rsidP="474F5605" w:rsidRDefault="474F5605" w14:paraId="52CB8D38" w14:textId="33C3B7F8">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COBIT 2019</w:t>
            </w:r>
          </w:p>
        </w:tc>
        <w:tc>
          <w:tcPr>
            <w:tcW w:w="6495" w:type="dxa"/>
            <w:tcMar/>
          </w:tcPr>
          <w:p w:rsidR="474F5605" w:rsidP="474F5605" w:rsidRDefault="474F5605" w14:paraId="47CAC7C0" w14:textId="47302CFE">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Board and executive governance alignment</w:t>
            </w:r>
          </w:p>
        </w:tc>
      </w:tr>
      <w:tr w:rsidR="474F5605" w:rsidTr="474F5605" w14:paraId="0827AD5A">
        <w:trPr>
          <w:trHeight w:val="300"/>
        </w:trPr>
        <w:tc>
          <w:tcPr>
            <w:tcW w:w="3000" w:type="dxa"/>
            <w:tcMar/>
          </w:tcPr>
          <w:p w:rsidR="474F5605" w:rsidP="474F5605" w:rsidRDefault="474F5605" w14:paraId="1B4B053C" w14:textId="1628F048">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ITIL 4</w:t>
            </w:r>
          </w:p>
        </w:tc>
        <w:tc>
          <w:tcPr>
            <w:tcW w:w="6495" w:type="dxa"/>
            <w:tcMar/>
          </w:tcPr>
          <w:p w:rsidR="474F5605" w:rsidP="474F5605" w:rsidRDefault="474F5605" w14:paraId="2DA6A5B3" w14:textId="57BD2E7A">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IT service and incident operations</w:t>
            </w:r>
          </w:p>
        </w:tc>
      </w:tr>
    </w:tbl>
    <w:p xmlns:wp14="http://schemas.microsoft.com/office/word/2010/wordml" w:rsidP="474F5605" wp14:paraId="154A60C2" wp14:textId="6B8B6036">
      <w:pPr>
        <w:bidi w:val="0"/>
        <w:spacing w:before="0" w:beforeAutospacing="off" w:after="0" w:afterAutospacing="off"/>
        <w:jc w:val="center"/>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Table 4: Framework Integration Matrix</w:t>
      </w:r>
    </w:p>
    <w:p xmlns:wp14="http://schemas.microsoft.com/office/word/2010/wordml" w:rsidP="474F5605" wp14:paraId="0DA4CEDA" wp14:textId="41355F68">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5.3 Risk Management Process</w:t>
      </w:r>
    </w:p>
    <w:p xmlns:wp14="http://schemas.microsoft.com/office/word/2010/wordml" w:rsidP="474F5605" wp14:paraId="07EBB10D" wp14:textId="2869D703">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AIGSM embraces a continuous risk management lifecycle - Identify, Assess, Treat, Monitor, Review, which is owned by the Risk Team and reported quarterly to the Security Steering Committee. Identification and owner of assets, including cloud workloads, IoT devices and vendor systems; risks assessed by applying a likelihood/impact matrix, set alongside ISO 27001 risk assessment requirements; treatment options of mitigate, transfer, accept or avoid; and tracking of treatment options in a central risk register, to ensure that the register remains up to date with ALL's developing cloud, IoT and vendor landscape – and not a static artefact for compliance.</w:t>
      </w:r>
    </w:p>
    <w:p xmlns:wp14="http://schemas.microsoft.com/office/word/2010/wordml" w:rsidP="474F5605" wp14:paraId="5E60C4C8" wp14:textId="7C7144DE">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5.4 Security Policies</w:t>
      </w:r>
    </w:p>
    <w:p xmlns:wp14="http://schemas.microsoft.com/office/word/2010/wordml" w:rsidP="474F5605" wp14:paraId="21D6CAA0" wp14:textId="4B886A9F">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A baseline policy suite is needed to implement AIGSM: an Acceptable Use Policy, a Bring-Your-Own-Device (BYOD) Policy for the case study's unmanaged remote devices, a Password/Authentication Policy, an Incident Response Policy in accordance with NIST SP 800-61 [5] and a Data Classification Policy to differentiate PII and shipment data from lower-sensitivity operational data. All the policies are owned by the Compliance Team and reviewed every year and aligned with the relevant controls in the ISO/IEC 27002 [2].</w:t>
      </w:r>
    </w:p>
    <w:p xmlns:wp14="http://schemas.microsoft.com/office/word/2010/wordml" w:rsidP="474F5605" wp14:paraId="0F2CB602" wp14:textId="13F8823A">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5.5 Access Control Architecture</w:t>
      </w:r>
    </w:p>
    <w:p xmlns:wp14="http://schemas.microsoft.com/office/word/2010/wordml" w:rsidP="474F5605" wp14:paraId="7E983085" wp14:textId="24614AB7">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Since ALL is a global remote workforce and devices are unmanaged, AIGSM follows a Zero Trust Architecture (ZTA) (Figure 8), where no implicit trust is made over the network based on location [15] and [16]. Key features include Multi-Factor Authentication (MFA) for all remote access; Privileged Access Management (PAM) for administrative and vendor accounts; Conditional Access policies that assess the device posture, location and risk signals prior to access; and Role Based Access Control (RBAC) which restricts access to job function. This will directly combat the unauthorised access occurrences that were mentioned in the case study.</w:t>
      </w:r>
    </w:p>
    <w:p xmlns:wp14="http://schemas.microsoft.com/office/word/2010/wordml" w:rsidP="474F5605" wp14:paraId="26CFC668" wp14:textId="642E9BA8">
      <w:pPr>
        <w:bidi w:val="0"/>
        <w:spacing w:before="200" w:beforeAutospacing="off" w:after="0" w:afterAutospacing="off"/>
        <w:jc w:val="center"/>
        <w:rPr>
          <w:color w:val="auto"/>
        </w:rPr>
      </w:pPr>
      <w:r w:rsidR="76E4E3D5">
        <w:drawing>
          <wp:inline xmlns:wp14="http://schemas.microsoft.com/office/word/2010/wordprocessingDrawing" wp14:editId="7765E57C" wp14:anchorId="3E60A2E5">
            <wp:extent cx="3190875" cy="2266950"/>
            <wp:effectExtent l="0" t="0" r="0" b="0"/>
            <wp:docPr id="19853829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5382905" name="Picture 1985382905"/>
                    <pic:cNvPicPr/>
                  </pic:nvPicPr>
                  <pic:blipFill>
                    <a:blip xmlns:r="http://schemas.openxmlformats.org/officeDocument/2006/relationships" r:embed="rId1007080434">
                      <a:extLst>
                        <a:ext uri="{28A0092B-C50C-407E-A947-70E740481C1C}">
                          <a14:useLocalDpi xmlns:a14="http://schemas.microsoft.com/office/drawing/2010/main"/>
                        </a:ext>
                      </a:extLst>
                    </a:blip>
                    <a:stretch>
                      <a:fillRect/>
                    </a:stretch>
                  </pic:blipFill>
                  <pic:spPr>
                    <a:xfrm>
                      <a:off x="0" y="0"/>
                      <a:ext cx="3190875" cy="2266950"/>
                    </a:xfrm>
                    <a:prstGeom prst="rect">
                      <a:avLst/>
                    </a:prstGeom>
                  </pic:spPr>
                </pic:pic>
              </a:graphicData>
            </a:graphic>
          </wp:inline>
        </w:drawing>
      </w:r>
    </w:p>
    <w:p xmlns:wp14="http://schemas.microsoft.com/office/word/2010/wordml" w:rsidP="474F5605" wp14:paraId="3353AC40" wp14:textId="7BC311F6">
      <w:pPr>
        <w:bidi w:val="0"/>
        <w:spacing w:before="80" w:beforeAutospacing="off" w:after="240" w:afterAutospacing="off"/>
        <w:jc w:val="center"/>
        <w:rPr>
          <w:rFonts w:ascii="Calibri" w:hAnsi="Calibri" w:eastAsia="Calibri" w:cs="Calibri"/>
          <w:i w:val="1"/>
          <w:iCs w:val="1"/>
          <w:noProof w:val="0"/>
          <w:color w:val="auto"/>
          <w:sz w:val="20"/>
          <w:szCs w:val="20"/>
          <w:lang w:val="en-GB"/>
        </w:rPr>
      </w:pPr>
      <w:r w:rsidRPr="474F5605" w:rsidR="76E4E3D5">
        <w:rPr>
          <w:rFonts w:ascii="Calibri" w:hAnsi="Calibri" w:eastAsia="Calibri" w:cs="Calibri"/>
          <w:i w:val="1"/>
          <w:iCs w:val="1"/>
          <w:noProof w:val="0"/>
          <w:color w:val="auto"/>
          <w:sz w:val="20"/>
          <w:szCs w:val="20"/>
          <w:lang w:val="en-GB"/>
        </w:rPr>
        <w:t>Figure 8: Zero Trust Access Control Architecture</w:t>
      </w:r>
    </w:p>
    <w:p xmlns:wp14="http://schemas.microsoft.com/office/word/2010/wordml" w:rsidP="474F5605" wp14:paraId="0B625CA6" wp14:textId="12E846F0">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5.6 Vendor Governance</w:t>
      </w:r>
    </w:p>
    <w:p xmlns:wp14="http://schemas.microsoft.com/office/word/2010/wordml" w:rsidP="474F5605" wp14:paraId="72959A4B" wp14:textId="5378BB0D">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 xml:space="preserve">With 88% of IT infrastructure is outsourced and vendor governance is a priority workstream. AIGSM needs a security risk assessment before hiring any vendor, SLA requirements for security such as encryption, breach notification timelines, audit rights, third-party security audits for critical vendors, and continuous monitoring through cloud security posture tools following the Cloud Security Alliance guidelines [17]. </w:t>
      </w:r>
    </w:p>
    <w:p xmlns:wp14="http://schemas.microsoft.com/office/word/2010/wordml" w:rsidP="474F5605" wp14:paraId="2FA4C74A" wp14:textId="2375DC57">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5.7 Business Continuity and Disaster Recovery</w:t>
      </w:r>
    </w:p>
    <w:p xmlns:wp14="http://schemas.microsoft.com/office/word/2010/wordml" w:rsidP="474F5605" wp14:paraId="1E53C304" wp14:textId="6A2165DE">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AIGSM defines a backup strategy that involves replicating data in the different AWS and Azure regions, with Recovery Time Objective (RTO) and Recovery Point Objective (RPO) aligned to the criticality of the system, such as tracking and shipment systems are given priority over lower impact internal systems. Backups are performed at least twice a year and disaster recovery plans are incorporated into the incident response procedure below.</w:t>
      </w:r>
    </w:p>
    <w:p xmlns:wp14="http://schemas.microsoft.com/office/word/2010/wordml" w:rsidP="474F5605" wp14:paraId="673C8D74" wp14:textId="3CD191CB">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5.8 Incident Response</w:t>
      </w:r>
    </w:p>
    <w:p xmlns:wp14="http://schemas.microsoft.com/office/word/2010/wordml" w:rsidP="474F5605" wp14:paraId="584FB2D0" wp14:textId="4C424DE8">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Incident response is based on NIST lifecycle stages – Preparation, Detection, Containment, Eradication, Recovery, and Lessons Learned [5]. The SOC is responsible for detection and containment, the Risk and Compliance Teams for breach assessment and regulatory notification, including the GDPR reporting requirement of 72 hours of notification [9] and finally, a formal Lessons Learned review feeds identified gaps back into the Risk Register and into the Policy Suite, and closes the loop with Section 5.3.</w:t>
      </w:r>
      <w:r>
        <w:br/>
      </w:r>
      <w:r w:rsidRPr="474F5605" w:rsidR="76E4E3D5">
        <w:rPr>
          <w:rFonts w:ascii="Calibri" w:hAnsi="Calibri" w:eastAsia="Calibri" w:cs="Calibri"/>
          <w:noProof w:val="0"/>
          <w:color w:val="auto"/>
          <w:sz w:val="22"/>
          <w:szCs w:val="22"/>
          <w:lang w:val="en-GB"/>
        </w:rPr>
        <w:t xml:space="preserve"> </w:t>
      </w:r>
    </w:p>
    <w:p xmlns:wp14="http://schemas.microsoft.com/office/word/2010/wordml" w:rsidP="474F5605" wp14:paraId="6CBB5AC0" wp14:textId="4E1D5DA3">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p>
    <w:p xmlns:wp14="http://schemas.microsoft.com/office/word/2010/wordml" w:rsidP="474F5605" wp14:paraId="01335EB7" wp14:textId="7C0B998B">
      <w:pPr>
        <w:bidi w:val="0"/>
        <w:rPr>
          <w:color w:val="auto"/>
        </w:rPr>
      </w:pPr>
      <w:r w:rsidRPr="474F5605">
        <w:rPr>
          <w:color w:val="auto"/>
        </w:rPr>
        <w:br w:type="page"/>
      </w:r>
    </w:p>
    <w:p xmlns:wp14="http://schemas.microsoft.com/office/word/2010/wordml" w:rsidP="474F5605" wp14:paraId="14F3C997" wp14:textId="78354CBC">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6. Continuous Regulatory and Standards Updates</w:t>
      </w:r>
    </w:p>
    <w:p xmlns:wp14="http://schemas.microsoft.com/office/word/2010/wordml" w:rsidP="474F5605" wp14:paraId="33762E1E" wp14:textId="2655893E">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6.1 Emerging Technologies</w:t>
      </w:r>
    </w:p>
    <w:p xmlns:wp14="http://schemas.microsoft.com/office/word/2010/wordml" w:rsidP="474F5605" wp14:paraId="2B59B024" wp14:textId="5A22A2F5">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The risks that ALL must manage are constantly changing due to new technologies. Artificial intelligence increasingly plays a role in logistics analytics, but can also be used to make phishing and social engineering attacks more convincing [19]. As cloud adoption continues, the attack surface grows on AWS and Azure, and the responsibility for security is distributed across shared responsibilities [20]. Central to ALL's operations are tracking sensors for the Internet of Things that are often deployed with limited processing power, low frequency firmware updates, and are attractive targets [18]. As data is processed closer to its source, with the use of edge computing more and more, data processing is not happening within well-documented and well-controlled central hubs adding to governance complexity. This rate of technology change means that static per se frameworks and policies soon become obsolete, so there is a need to review them regularly, not just as a one-off compliance exercise.</w:t>
      </w:r>
    </w:p>
    <w:p xmlns:wp14="http://schemas.microsoft.com/office/word/2010/wordml" w:rsidP="474F5605" wp14:paraId="216F2FC8" wp14:textId="5C503E8C">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6.2 Evolving Threat Landscape</w:t>
      </w:r>
    </w:p>
    <w:p xmlns:wp14="http://schemas.microsoft.com/office/word/2010/wordml" w:rsidP="474F5605" wp14:paraId="4223BFE6" wp14:textId="73B709C9">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Organisations like ALL face a similar threat landscape that is evolving at a similar speed. Ransomware continues to be one of the most common as well as disruptive types of malware and is now targeting logistics and supply chain operators because of their time-sensitive operations [13] [14]. With ALL having an outsourcing ratio of 88% [12], supply chain attacks are especially relevant, as they involve breaching a trusted vendor to access the ultimate attacker. The scale and sophistication of attacks using AI continues to grow, such as automated discovery of vulnerabilities and highly targeted phishing attacks [19]. Internal attacks that are malicious or caused by the actions of a large, geographically dispersed workforce of insiders are also making significant headlines in the breach data [14]. Today's frameworks and controls are less effective against these developments.</w:t>
      </w:r>
    </w:p>
    <w:p xmlns:wp14="http://schemas.microsoft.com/office/word/2010/wordml" w:rsidP="474F5605" wp14:paraId="44EA6C8C" wp14:textId="0751219C">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6.3 Global Compliance Pressures</w:t>
      </w:r>
    </w:p>
    <w:p xmlns:wp14="http://schemas.microsoft.com/office/word/2010/wordml" w:rsidP="474F5605" wp14:paraId="56C287B0" wp14:textId="53799472">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Increased regulatory requirements are also an issue. GDPR remains a tough standard for data protection, and hefty fines apply to those who fail to comply [9]. The EU's NIS2 Directive broadens the scope of the cybersecurity requirements by introducing additional obligations and stricter reporting and governance requirements for entities that are within the scope of the directive, such as logistics operators [10]. Although it is financial-sector specific, the Digital Operational Resilience Act (DORA) has had an impact on expectations of financial institutions regarding third-party ICT risk management that are now being seen more widely in general vendor governance practice [11]. The ISO standards are updated periodically, for example when changing from ISO/IEC 27001:2013 to the current version in 2022 [1]. The compliance burden and cost of being out-of-step are exacerbated with a multinational organization like ALL, dealing with multiple regulatory jurisdictions.</w:t>
      </w:r>
    </w:p>
    <w:p xmlns:wp14="http://schemas.microsoft.com/office/word/2010/wordml" w:rsidP="474F5605" wp14:paraId="5BD01B03" wp14:textId="233F69EE">
      <w:pPr>
        <w:bidi w:val="0"/>
        <w:spacing w:before="200" w:beforeAutospacing="off" w:after="100" w:afterAutospacing="off"/>
        <w:rPr>
          <w:rFonts w:ascii="Calibri" w:hAnsi="Calibri" w:eastAsia="Calibri" w:cs="Calibri"/>
          <w:noProof w:val="0"/>
          <w:color w:val="auto"/>
          <w:sz w:val="22"/>
          <w:szCs w:val="22"/>
          <w:lang w:val="en-GB"/>
        </w:rPr>
      </w:pPr>
    </w:p>
    <w:p xmlns:wp14="http://schemas.microsoft.com/office/word/2010/wordml" w:rsidP="474F5605" wp14:paraId="0000F781" wp14:textId="5CBA93F4">
      <w:pPr>
        <w:bidi w:val="0"/>
        <w:spacing w:before="200" w:beforeAutospacing="off" w:after="100" w:afterAutospacing="off"/>
        <w:rPr>
          <w:rFonts w:ascii="Calibri" w:hAnsi="Calibri" w:eastAsia="Calibri" w:cs="Calibri"/>
          <w:noProof w:val="0"/>
          <w:color w:val="auto"/>
          <w:sz w:val="22"/>
          <w:szCs w:val="22"/>
          <w:lang w:val="en-GB"/>
        </w:rPr>
      </w:pPr>
    </w:p>
    <w:p xmlns:wp14="http://schemas.microsoft.com/office/word/2010/wordml" w:rsidP="474F5605" wp14:paraId="28A66906" wp14:textId="09C5E0DA">
      <w:pPr>
        <w:bidi w:val="0"/>
        <w:spacing w:before="200" w:beforeAutospacing="off" w:after="100" w:afterAutospacing="off"/>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 xml:space="preserve"> </w:t>
      </w:r>
    </w:p>
    <w:tbl>
      <w:tblPr>
        <w:tblStyle w:val="TableGrid"/>
        <w:bidiVisual w:val="0"/>
        <w:tblW w:w="0" w:type="auto"/>
        <w:tblLook w:val="06A0" w:firstRow="1" w:lastRow="0" w:firstColumn="1" w:lastColumn="0" w:noHBand="1" w:noVBand="1"/>
      </w:tblPr>
      <w:tblGrid>
        <w:gridCol w:w="1605"/>
        <w:gridCol w:w="2595"/>
        <w:gridCol w:w="2700"/>
        <w:gridCol w:w="2400"/>
      </w:tblGrid>
      <w:tr w:rsidR="474F5605" w:rsidTr="474F5605" w14:paraId="64EA624A">
        <w:trPr>
          <w:trHeight w:val="300"/>
        </w:trPr>
        <w:tc>
          <w:tcPr>
            <w:tcW w:w="1605" w:type="dxa"/>
            <w:tcMar/>
          </w:tcPr>
          <w:p w:rsidR="474F5605" w:rsidP="474F5605" w:rsidRDefault="474F5605" w14:paraId="5AD9D7E5" w14:textId="2A8E10CE">
            <w:pPr>
              <w:bidi w:val="0"/>
              <w:spacing w:before="0" w:beforeAutospacing="off" w:after="0" w:afterAutospacing="off"/>
              <w:jc w:val="center"/>
              <w:rPr>
                <w:rFonts w:ascii="Calibri" w:hAnsi="Calibri" w:eastAsia="Calibri" w:cs="Calibri"/>
                <w:b w:val="1"/>
                <w:bCs w:val="1"/>
                <w:color w:val="auto"/>
                <w:sz w:val="20"/>
                <w:szCs w:val="20"/>
              </w:rPr>
            </w:pPr>
            <w:r w:rsidRPr="474F5605" w:rsidR="474F5605">
              <w:rPr>
                <w:rFonts w:ascii="Calibri" w:hAnsi="Calibri" w:eastAsia="Calibri" w:cs="Calibri"/>
                <w:b w:val="1"/>
                <w:bCs w:val="1"/>
                <w:color w:val="auto"/>
                <w:sz w:val="20"/>
                <w:szCs w:val="20"/>
              </w:rPr>
              <w:t>Regulation</w:t>
            </w:r>
          </w:p>
        </w:tc>
        <w:tc>
          <w:tcPr>
            <w:tcW w:w="2595" w:type="dxa"/>
            <w:tcMar/>
          </w:tcPr>
          <w:p w:rsidR="474F5605" w:rsidP="474F5605" w:rsidRDefault="474F5605" w14:paraId="4A5940EC" w14:textId="603FF7A8">
            <w:pPr>
              <w:bidi w:val="0"/>
              <w:spacing w:before="0" w:beforeAutospacing="off" w:after="0" w:afterAutospacing="off"/>
              <w:jc w:val="center"/>
              <w:rPr>
                <w:rFonts w:ascii="Calibri" w:hAnsi="Calibri" w:eastAsia="Calibri" w:cs="Calibri"/>
                <w:b w:val="1"/>
                <w:bCs w:val="1"/>
                <w:color w:val="auto"/>
                <w:sz w:val="20"/>
                <w:szCs w:val="20"/>
              </w:rPr>
            </w:pPr>
            <w:r w:rsidRPr="474F5605" w:rsidR="474F5605">
              <w:rPr>
                <w:rFonts w:ascii="Calibri" w:hAnsi="Calibri" w:eastAsia="Calibri" w:cs="Calibri"/>
                <w:b w:val="1"/>
                <w:bCs w:val="1"/>
                <w:color w:val="auto"/>
                <w:sz w:val="20"/>
                <w:szCs w:val="20"/>
              </w:rPr>
              <w:t>Scope</w:t>
            </w:r>
          </w:p>
        </w:tc>
        <w:tc>
          <w:tcPr>
            <w:tcW w:w="2700" w:type="dxa"/>
            <w:tcMar/>
          </w:tcPr>
          <w:p w:rsidR="474F5605" w:rsidP="474F5605" w:rsidRDefault="474F5605" w14:paraId="19B08853" w14:textId="76B6CB31">
            <w:pPr>
              <w:bidi w:val="0"/>
              <w:spacing w:before="0" w:beforeAutospacing="off" w:after="0" w:afterAutospacing="off"/>
              <w:jc w:val="center"/>
              <w:rPr>
                <w:rFonts w:ascii="Calibri" w:hAnsi="Calibri" w:eastAsia="Calibri" w:cs="Calibri"/>
                <w:b w:val="1"/>
                <w:bCs w:val="1"/>
                <w:color w:val="auto"/>
                <w:sz w:val="20"/>
                <w:szCs w:val="20"/>
              </w:rPr>
            </w:pPr>
            <w:r w:rsidRPr="474F5605" w:rsidR="474F5605">
              <w:rPr>
                <w:rFonts w:ascii="Calibri" w:hAnsi="Calibri" w:eastAsia="Calibri" w:cs="Calibri"/>
                <w:b w:val="1"/>
                <w:bCs w:val="1"/>
                <w:color w:val="auto"/>
                <w:sz w:val="20"/>
                <w:szCs w:val="20"/>
              </w:rPr>
              <w:t>Primary Focus</w:t>
            </w:r>
          </w:p>
        </w:tc>
        <w:tc>
          <w:tcPr>
            <w:tcW w:w="2400" w:type="dxa"/>
            <w:tcMar/>
          </w:tcPr>
          <w:p w:rsidR="474F5605" w:rsidP="474F5605" w:rsidRDefault="474F5605" w14:paraId="543A1129" w14:textId="3B1EA9D1">
            <w:pPr>
              <w:bidi w:val="0"/>
              <w:spacing w:before="0" w:beforeAutospacing="off" w:after="0" w:afterAutospacing="off"/>
              <w:jc w:val="center"/>
              <w:rPr>
                <w:rFonts w:ascii="Calibri" w:hAnsi="Calibri" w:eastAsia="Calibri" w:cs="Calibri"/>
                <w:b w:val="1"/>
                <w:bCs w:val="1"/>
                <w:color w:val="auto"/>
                <w:sz w:val="20"/>
                <w:szCs w:val="20"/>
              </w:rPr>
            </w:pPr>
            <w:r w:rsidRPr="474F5605" w:rsidR="474F5605">
              <w:rPr>
                <w:rFonts w:ascii="Calibri" w:hAnsi="Calibri" w:eastAsia="Calibri" w:cs="Calibri"/>
                <w:b w:val="1"/>
                <w:bCs w:val="1"/>
                <w:color w:val="auto"/>
                <w:sz w:val="20"/>
                <w:szCs w:val="20"/>
              </w:rPr>
              <w:t>Penalty Exposure</w:t>
            </w:r>
          </w:p>
        </w:tc>
      </w:tr>
      <w:tr w:rsidR="474F5605" w:rsidTr="474F5605" w14:paraId="5055F6D0">
        <w:trPr>
          <w:trHeight w:val="300"/>
        </w:trPr>
        <w:tc>
          <w:tcPr>
            <w:tcW w:w="1605" w:type="dxa"/>
            <w:tcMar/>
          </w:tcPr>
          <w:p w:rsidR="474F5605" w:rsidP="474F5605" w:rsidRDefault="474F5605" w14:paraId="65B623D0" w14:textId="3593F4C8">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GDPR</w:t>
            </w:r>
          </w:p>
        </w:tc>
        <w:tc>
          <w:tcPr>
            <w:tcW w:w="2595" w:type="dxa"/>
            <w:tcMar/>
          </w:tcPr>
          <w:p w:rsidR="474F5605" w:rsidP="474F5605" w:rsidRDefault="474F5605" w14:paraId="07D31D77" w14:textId="428D4AA0">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EU personal data, extraterritorial</w:t>
            </w:r>
          </w:p>
        </w:tc>
        <w:tc>
          <w:tcPr>
            <w:tcW w:w="2700" w:type="dxa"/>
            <w:tcMar/>
          </w:tcPr>
          <w:p w:rsidR="474F5605" w:rsidP="474F5605" w:rsidRDefault="474F5605" w14:paraId="3CD2532A" w14:textId="0D24EE2F">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Data protection &amp; privacy</w:t>
            </w:r>
          </w:p>
        </w:tc>
        <w:tc>
          <w:tcPr>
            <w:tcW w:w="2400" w:type="dxa"/>
            <w:tcMar/>
          </w:tcPr>
          <w:p w:rsidR="474F5605" w:rsidP="474F5605" w:rsidRDefault="474F5605" w14:paraId="05E0C9BB" w14:textId="2D5EEEA4">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Up to 4% of global turnover</w:t>
            </w:r>
          </w:p>
        </w:tc>
      </w:tr>
      <w:tr w:rsidR="474F5605" w:rsidTr="474F5605" w14:paraId="461A6E12">
        <w:trPr>
          <w:trHeight w:val="300"/>
        </w:trPr>
        <w:tc>
          <w:tcPr>
            <w:tcW w:w="1605" w:type="dxa"/>
            <w:tcMar/>
          </w:tcPr>
          <w:p w:rsidR="474F5605" w:rsidP="474F5605" w:rsidRDefault="474F5605" w14:paraId="0EA60564" w14:textId="77F85E7E">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NIS2</w:t>
            </w:r>
          </w:p>
        </w:tc>
        <w:tc>
          <w:tcPr>
            <w:tcW w:w="2595" w:type="dxa"/>
            <w:tcMar/>
          </w:tcPr>
          <w:p w:rsidR="474F5605" w:rsidP="474F5605" w:rsidRDefault="474F5605" w14:paraId="550661DC" w14:textId="2DF11370">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EU essential/important entities</w:t>
            </w:r>
          </w:p>
        </w:tc>
        <w:tc>
          <w:tcPr>
            <w:tcW w:w="2700" w:type="dxa"/>
            <w:tcMar/>
          </w:tcPr>
          <w:p w:rsidR="474F5605" w:rsidP="474F5605" w:rsidRDefault="474F5605" w14:paraId="3E2069E0" w14:textId="70DDCD32">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Cybersecurity risk management</w:t>
            </w:r>
          </w:p>
        </w:tc>
        <w:tc>
          <w:tcPr>
            <w:tcW w:w="2400" w:type="dxa"/>
            <w:tcMar/>
          </w:tcPr>
          <w:p w:rsidR="474F5605" w:rsidP="474F5605" w:rsidRDefault="474F5605" w14:paraId="6FCB3381" w14:textId="16C94EFB">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Up to 2% of global turnover</w:t>
            </w:r>
          </w:p>
        </w:tc>
      </w:tr>
      <w:tr w:rsidR="474F5605" w:rsidTr="474F5605" w14:paraId="0DF9E150">
        <w:trPr>
          <w:trHeight w:val="300"/>
        </w:trPr>
        <w:tc>
          <w:tcPr>
            <w:tcW w:w="1605" w:type="dxa"/>
            <w:tcMar/>
          </w:tcPr>
          <w:p w:rsidR="474F5605" w:rsidP="474F5605" w:rsidRDefault="474F5605" w14:paraId="1AE1C5E6" w14:textId="19F23088">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DORA</w:t>
            </w:r>
          </w:p>
        </w:tc>
        <w:tc>
          <w:tcPr>
            <w:tcW w:w="2595" w:type="dxa"/>
            <w:tcMar/>
          </w:tcPr>
          <w:p w:rsidR="474F5605" w:rsidP="474F5605" w:rsidRDefault="474F5605" w14:paraId="37FD5AB6" w14:textId="2AA325D0">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EU financial sector &amp; ICT providers</w:t>
            </w:r>
          </w:p>
        </w:tc>
        <w:tc>
          <w:tcPr>
            <w:tcW w:w="2700" w:type="dxa"/>
            <w:tcMar/>
          </w:tcPr>
          <w:p w:rsidR="474F5605" w:rsidP="474F5605" w:rsidRDefault="474F5605" w14:paraId="65DA43B0" w14:textId="6FBBD9D8">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Operational resilience, ICT risk</w:t>
            </w:r>
          </w:p>
        </w:tc>
        <w:tc>
          <w:tcPr>
            <w:tcW w:w="2400" w:type="dxa"/>
            <w:tcMar/>
          </w:tcPr>
          <w:p w:rsidR="474F5605" w:rsidP="474F5605" w:rsidRDefault="474F5605" w14:paraId="039906C7" w14:textId="5B4127D9">
            <w:pPr>
              <w:bidi w:val="0"/>
              <w:spacing w:before="0" w:beforeAutospacing="off" w:after="0" w:afterAutospacing="off"/>
              <w:rPr>
                <w:rFonts w:ascii="Calibri" w:hAnsi="Calibri" w:eastAsia="Calibri" w:cs="Calibri"/>
                <w:color w:val="auto"/>
                <w:sz w:val="20"/>
                <w:szCs w:val="20"/>
              </w:rPr>
            </w:pPr>
            <w:r w:rsidRPr="474F5605" w:rsidR="474F5605">
              <w:rPr>
                <w:rFonts w:ascii="Calibri" w:hAnsi="Calibri" w:eastAsia="Calibri" w:cs="Calibri"/>
                <w:color w:val="auto"/>
                <w:sz w:val="20"/>
                <w:szCs w:val="20"/>
              </w:rPr>
              <w:t>Regulatory sanctions</w:t>
            </w:r>
          </w:p>
        </w:tc>
      </w:tr>
    </w:tbl>
    <w:p xmlns:wp14="http://schemas.microsoft.com/office/word/2010/wordml" w:rsidP="474F5605" wp14:paraId="3CCA9617" wp14:textId="03D2C345">
      <w:pPr>
        <w:bidi w:val="0"/>
        <w:spacing w:before="0" w:beforeAutospacing="off" w:after="0" w:afterAutospacing="off"/>
        <w:jc w:val="center"/>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Table 7: Regulatory Comparison</w:t>
      </w:r>
    </w:p>
    <w:p xmlns:wp14="http://schemas.microsoft.com/office/word/2010/wordml" w:rsidP="474F5605" wp14:paraId="280464C1" wp14:textId="5C524560">
      <w:pPr>
        <w:pStyle w:val="Heading2"/>
        <w:bidi w:val="0"/>
        <w:spacing w:before="300" w:beforeAutospacing="off" w:after="150" w:afterAutospacing="off"/>
        <w:rPr>
          <w:rFonts w:ascii="Calibri" w:hAnsi="Calibri" w:eastAsia="Calibri" w:cs="Calibri"/>
          <w:b w:val="1"/>
          <w:bCs w:val="1"/>
          <w:noProof w:val="0"/>
          <w:color w:val="auto"/>
          <w:sz w:val="25"/>
          <w:szCs w:val="25"/>
          <w:lang w:val="en-GB"/>
        </w:rPr>
      </w:pPr>
      <w:r w:rsidRPr="474F5605" w:rsidR="76E4E3D5">
        <w:rPr>
          <w:rFonts w:ascii="Calibri" w:hAnsi="Calibri" w:eastAsia="Calibri" w:cs="Calibri"/>
          <w:b w:val="1"/>
          <w:bCs w:val="1"/>
          <w:noProof w:val="0"/>
          <w:color w:val="auto"/>
          <w:sz w:val="25"/>
          <w:szCs w:val="25"/>
          <w:lang w:val="en-GB"/>
        </w:rPr>
        <w:t>6.4 Critical Evaluation</w:t>
      </w:r>
    </w:p>
    <w:p xmlns:wp14="http://schemas.microsoft.com/office/word/2010/wordml" w:rsidP="474F5605" wp14:paraId="52DD2A2C" wp14:textId="3BEED916">
      <w:pPr>
        <w:bidi w:val="0"/>
        <w:spacing w:before="0" w:beforeAutospacing="off" w:after="160" w:afterAutospacing="off" w:line="276" w:lineRule="auto"/>
        <w:jc w:val="both"/>
        <w:rPr>
          <w:rFonts w:ascii="Calibri" w:hAnsi="Calibri" w:eastAsia="Calibri" w:cs="Calibri"/>
          <w:noProof w:val="0"/>
          <w:color w:val="auto"/>
          <w:sz w:val="22"/>
          <w:szCs w:val="22"/>
          <w:lang w:val="en-GB"/>
        </w:rPr>
      </w:pPr>
      <w:r w:rsidRPr="474F5605" w:rsidR="76E4E3D5">
        <w:rPr>
          <w:rFonts w:ascii="Calibri" w:hAnsi="Calibri" w:eastAsia="Calibri" w:cs="Calibri"/>
          <w:noProof w:val="0"/>
          <w:color w:val="auto"/>
          <w:sz w:val="22"/>
          <w:szCs w:val="22"/>
          <w:lang w:val="en-GB"/>
        </w:rPr>
        <w:t>The continuously evolving regulations and standards come with distinct benefits; they ensure legal compliance throughout jurisdictions, keep customers and partners' trust, minimise the risk and consequences of breaches, and strengthen the resilience of the organisation against new threats. There are real costs, though, to continuous updates: financial costs due to the need to pay for repeated audits and control updates, complexity of the organisation in adhering to several overlapping frameworks and regulations, lack of cyber security skills to make changes, and audit fatigue among employees. When considering the cost of continuous alignment, it is worth noting that for an organisation with ALL's risk profile – significant processing of PII, a high outsourcing spend, and previous breaches, the materially higher cost of regulatory fines, client loss and disruption that would be incurred with a static compliance posture is far more likely to exceed the cost of continuous alignment.</w:t>
      </w:r>
    </w:p>
    <w:p xmlns:wp14="http://schemas.microsoft.com/office/word/2010/wordml" w:rsidP="474F5605" wp14:paraId="570046F2" wp14:textId="1E4DB363">
      <w:pPr>
        <w:bidi w:val="0"/>
        <w:rPr>
          <w:color w:val="auto"/>
        </w:rPr>
      </w:pPr>
    </w:p>
    <w:p xmlns:wp14="http://schemas.microsoft.com/office/word/2010/wordml" w:rsidP="474F5605" wp14:paraId="5E4DDDF5" wp14:textId="2CB9B604">
      <w:pPr>
        <w:bidi w:val="0"/>
        <w:spacing w:before="0" w:beforeAutospacing="off" w:after="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 xml:space="preserve"> </w:t>
      </w:r>
    </w:p>
    <w:p xmlns:wp14="http://schemas.microsoft.com/office/word/2010/wordml" w:rsidP="474F5605" wp14:paraId="79702105" wp14:textId="019A7D2C">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p>
    <w:p xmlns:wp14="http://schemas.microsoft.com/office/word/2010/wordml" w:rsidP="474F5605" wp14:paraId="0A8BC011" wp14:textId="4993D51A">
      <w:pPr>
        <w:bidi w:val="0"/>
        <w:rPr>
          <w:color w:val="auto"/>
        </w:rPr>
      </w:pPr>
      <w:r w:rsidRPr="474F5605">
        <w:rPr>
          <w:color w:val="auto"/>
        </w:rPr>
        <w:br w:type="page"/>
      </w:r>
    </w:p>
    <w:p xmlns:wp14="http://schemas.microsoft.com/office/word/2010/wordml" w:rsidP="474F5605" wp14:paraId="6DA2D009" wp14:textId="42711895">
      <w:pPr>
        <w:pStyle w:val="Heading1"/>
        <w:bidi w:val="0"/>
        <w:spacing w:before="300" w:beforeAutospacing="off" w:after="150" w:afterAutospacing="off"/>
        <w:rPr>
          <w:rFonts w:ascii="Calibri" w:hAnsi="Calibri" w:eastAsia="Calibri" w:cs="Calibri"/>
          <w:b w:val="1"/>
          <w:bCs w:val="1"/>
          <w:noProof w:val="0"/>
          <w:color w:val="auto"/>
          <w:sz w:val="30"/>
          <w:szCs w:val="30"/>
          <w:lang w:val="en-GB"/>
        </w:rPr>
      </w:pPr>
      <w:r w:rsidRPr="42E06B45" w:rsidR="0A64EF37">
        <w:rPr>
          <w:rFonts w:ascii="Calibri" w:hAnsi="Calibri" w:eastAsia="Calibri" w:cs="Calibri"/>
          <w:b w:val="1"/>
          <w:bCs w:val="1"/>
          <w:noProof w:val="0"/>
          <w:color w:val="auto"/>
          <w:sz w:val="30"/>
          <w:szCs w:val="30"/>
          <w:lang w:val="en-GB"/>
        </w:rPr>
        <w:t>7. Conclusion</w:t>
      </w:r>
    </w:p>
    <w:p w:rsidR="64C32515" w:rsidP="42E06B45" w:rsidRDefault="64C32515" w14:paraId="2DEF399F" w14:textId="66E40CA3">
      <w:pPr>
        <w:pStyle w:val="Normal"/>
        <w:bidi w:val="0"/>
        <w:spacing w:before="0" w:beforeAutospacing="off" w:after="0" w:afterAutospacing="off"/>
        <w:jc w:val="both"/>
      </w:pPr>
      <w:r w:rsidRPr="42E06B45" w:rsidR="64C32515">
        <w:rPr>
          <w:rFonts w:ascii="Calibri" w:hAnsi="Calibri" w:eastAsia="Calibri" w:cs="Calibri"/>
          <w:noProof w:val="0"/>
          <w:sz w:val="22"/>
          <w:szCs w:val="22"/>
          <w:lang w:val="en-GB"/>
        </w:rPr>
        <w:t>The information security governance, risk, and compliance (GRC) concerns of AeroLink Logistics (ALL) are examined in this paper. It concludes that a comprehensive approach to governance, risk management, compliance, and cybersecurity may be achieved by combining ISO/IEC 27001:2022, NIST CSF 2.0, COBIT 2019, and ITIL 4. By utilizing an integrated governance approach, continuous risk management, Zero Trust access, vendor governance, and effective incident handling, the proposed AeroLink Integrated Governance and Security Management (AIGSM) model improves security, strengthening organizational security and facilitating safe business expansion.</w:t>
      </w:r>
    </w:p>
    <w:p xmlns:wp14="http://schemas.microsoft.com/office/word/2010/wordml" w:rsidP="474F5605" wp14:paraId="67BC0C14" wp14:textId="06107A86">
      <w:pPr>
        <w:bidi w:val="0"/>
        <w:rPr>
          <w:color w:val="auto"/>
        </w:rPr>
      </w:pPr>
    </w:p>
    <w:p xmlns:wp14="http://schemas.microsoft.com/office/word/2010/wordml" w:rsidP="474F5605" wp14:paraId="5F17C19E" wp14:textId="0D860B7A">
      <w:pPr>
        <w:bidi w:val="0"/>
        <w:spacing w:before="0" w:beforeAutospacing="off" w:after="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 xml:space="preserve"> </w:t>
      </w:r>
    </w:p>
    <w:p xmlns:wp14="http://schemas.microsoft.com/office/word/2010/wordml" w:rsidP="474F5605" wp14:paraId="47D2326C" wp14:textId="33BD3AB2">
      <w:pPr>
        <w:pStyle w:val="Heading1"/>
        <w:bidi w:val="0"/>
        <w:spacing w:before="0" w:beforeAutospacing="off" w:after="150" w:afterAutospacing="off"/>
        <w:rPr>
          <w:rFonts w:ascii="Calibri" w:hAnsi="Calibri" w:eastAsia="Calibri" w:cs="Calibri"/>
          <w:b w:val="1"/>
          <w:bCs w:val="1"/>
          <w:noProof w:val="0"/>
          <w:color w:val="auto"/>
          <w:sz w:val="30"/>
          <w:szCs w:val="30"/>
          <w:lang w:val="en-GB"/>
        </w:rPr>
      </w:pPr>
    </w:p>
    <w:p xmlns:wp14="http://schemas.microsoft.com/office/word/2010/wordml" w:rsidP="474F5605" wp14:paraId="21E71FE8" wp14:textId="54BD57B6">
      <w:pPr>
        <w:bidi w:val="0"/>
        <w:rPr>
          <w:color w:val="auto"/>
        </w:rPr>
      </w:pPr>
      <w:r w:rsidRPr="474F5605">
        <w:rPr>
          <w:color w:val="auto"/>
        </w:rPr>
        <w:br w:type="page"/>
      </w:r>
    </w:p>
    <w:p xmlns:wp14="http://schemas.microsoft.com/office/word/2010/wordml" w:rsidP="474F5605" wp14:paraId="647202ED" wp14:textId="109AA70A">
      <w:pPr>
        <w:pStyle w:val="Heading1"/>
        <w:bidi w:val="0"/>
        <w:spacing w:before="0" w:beforeAutospacing="off" w:after="150" w:afterAutospacing="off"/>
        <w:rPr>
          <w:rFonts w:ascii="Calibri" w:hAnsi="Calibri" w:eastAsia="Calibri" w:cs="Calibri"/>
          <w:b w:val="1"/>
          <w:bCs w:val="1"/>
          <w:noProof w:val="0"/>
          <w:color w:val="auto"/>
          <w:sz w:val="30"/>
          <w:szCs w:val="30"/>
          <w:lang w:val="en-GB"/>
        </w:rPr>
      </w:pPr>
      <w:r w:rsidRPr="474F5605" w:rsidR="76E4E3D5">
        <w:rPr>
          <w:rFonts w:ascii="Calibri" w:hAnsi="Calibri" w:eastAsia="Calibri" w:cs="Calibri"/>
          <w:b w:val="1"/>
          <w:bCs w:val="1"/>
          <w:noProof w:val="0"/>
          <w:color w:val="auto"/>
          <w:sz w:val="30"/>
          <w:szCs w:val="30"/>
          <w:lang w:val="en-GB"/>
        </w:rPr>
        <w:t>References</w:t>
      </w:r>
    </w:p>
    <w:p xmlns:wp14="http://schemas.microsoft.com/office/word/2010/wordml" w:rsidP="474F5605" wp14:paraId="7E6A9ADC" wp14:textId="27601989">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w:t>
      </w:r>
      <w:r w:rsidRPr="474F5605" w:rsidR="0B0C0B0F">
        <w:rPr>
          <w:rFonts w:ascii="Calibri" w:hAnsi="Calibri" w:eastAsia="Calibri" w:cs="Calibri"/>
          <w:noProof w:val="0"/>
          <w:color w:val="auto"/>
          <w:sz w:val="21"/>
          <w:szCs w:val="21"/>
          <w:lang w:val="en-GB"/>
        </w:rPr>
        <w:t>]</w:t>
      </w:r>
      <w:r w:rsidRPr="474F5605" w:rsidR="3BB8409F">
        <w:rPr>
          <w:rFonts w:ascii="Calibri" w:hAnsi="Calibri" w:eastAsia="Calibri" w:cs="Calibri"/>
          <w:noProof w:val="0"/>
          <w:color w:val="auto"/>
          <w:sz w:val="21"/>
          <w:szCs w:val="21"/>
          <w:lang w:val="en-GB"/>
        </w:rPr>
        <w:t xml:space="preserve"> </w:t>
      </w:r>
      <w:r w:rsidRPr="474F5605" w:rsidR="0B0C0B0F">
        <w:rPr>
          <w:rFonts w:ascii="Calibri" w:hAnsi="Calibri" w:eastAsia="Calibri" w:cs="Calibri"/>
          <w:noProof w:val="0"/>
          <w:color w:val="auto"/>
          <w:sz w:val="21"/>
          <w:szCs w:val="21"/>
          <w:lang w:val="en-GB"/>
        </w:rPr>
        <w:t>International</w:t>
      </w:r>
      <w:r w:rsidRPr="474F5605" w:rsidR="76E4E3D5">
        <w:rPr>
          <w:rFonts w:ascii="Calibri" w:hAnsi="Calibri" w:eastAsia="Calibri" w:cs="Calibri"/>
          <w:noProof w:val="0"/>
          <w:color w:val="auto"/>
          <w:sz w:val="21"/>
          <w:szCs w:val="21"/>
          <w:lang w:val="en-GB"/>
        </w:rPr>
        <w:t xml:space="preserve"> Organization for Standardization, ISO/IEC 27001:2022 - Information Security, Cybersecurity and Privacy Protection - Information Security Management Systems - Requirements. Geneva, Switzerland: ISO/IEC, 2022.</w:t>
      </w:r>
    </w:p>
    <w:p xmlns:wp14="http://schemas.microsoft.com/office/word/2010/wordml" w:rsidP="474F5605" wp14:paraId="0CDB1E7D" wp14:textId="71965D6B">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[2</w:t>
      </w:r>
      <w:r w:rsidRPr="474F5605" w:rsidR="073B29DA">
        <w:rPr>
          <w:rFonts w:ascii="Calibri" w:hAnsi="Calibri" w:eastAsia="Calibri" w:cs="Calibri"/>
          <w:noProof w:val="0"/>
          <w:color w:val="auto"/>
          <w:sz w:val="21"/>
          <w:szCs w:val="21"/>
          <w:lang w:val="en-GB"/>
        </w:rPr>
        <w:t>] International</w:t>
      </w:r>
      <w:r w:rsidRPr="474F5605" w:rsidR="76E4E3D5">
        <w:rPr>
          <w:rFonts w:ascii="Calibri" w:hAnsi="Calibri" w:eastAsia="Calibri" w:cs="Calibri"/>
          <w:noProof w:val="0"/>
          <w:color w:val="auto"/>
          <w:sz w:val="21"/>
          <w:szCs w:val="21"/>
          <w:lang w:val="en-GB"/>
        </w:rPr>
        <w:t xml:space="preserve"> Organization for Standardization, ISO/IEC 27002:2022 - Information Security, Cybersecurity and Privacy Protection - Information Security Controls. Geneva, Switzerland: ISO/IEC, 2022.</w:t>
      </w:r>
    </w:p>
    <w:p xmlns:wp14="http://schemas.microsoft.com/office/word/2010/wordml" w:rsidP="474F5605" wp14:paraId="5C58A7E3" wp14:textId="4BEBE5D2">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[3</w:t>
      </w:r>
      <w:r w:rsidRPr="474F5605" w:rsidR="7E064441">
        <w:rPr>
          <w:rFonts w:ascii="Calibri" w:hAnsi="Calibri" w:eastAsia="Calibri" w:cs="Calibri"/>
          <w:noProof w:val="0"/>
          <w:color w:val="auto"/>
          <w:sz w:val="21"/>
          <w:szCs w:val="21"/>
          <w:lang w:val="en-GB"/>
        </w:rPr>
        <w:t>] National</w:t>
      </w:r>
      <w:r w:rsidRPr="474F5605" w:rsidR="76E4E3D5">
        <w:rPr>
          <w:rFonts w:ascii="Calibri" w:hAnsi="Calibri" w:eastAsia="Calibri" w:cs="Calibri"/>
          <w:noProof w:val="0"/>
          <w:color w:val="auto"/>
          <w:sz w:val="21"/>
          <w:szCs w:val="21"/>
          <w:lang w:val="en-GB"/>
        </w:rPr>
        <w:t xml:space="preserve"> Institute of Standards and Technology, The NIST Cybersecurity Framework (CSF) 2.0, NIST CSWP 29, Gaithersburg, MD, USA, 2024.</w:t>
      </w:r>
    </w:p>
    <w:p xmlns:wp14="http://schemas.microsoft.com/office/word/2010/wordml" w:rsidP="474F5605" wp14:paraId="05EBEE1F" wp14:textId="24AB50ED">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[4</w:t>
      </w:r>
      <w:r w:rsidRPr="474F5605" w:rsidR="009A63DE">
        <w:rPr>
          <w:rFonts w:ascii="Calibri" w:hAnsi="Calibri" w:eastAsia="Calibri" w:cs="Calibri"/>
          <w:noProof w:val="0"/>
          <w:color w:val="auto"/>
          <w:sz w:val="21"/>
          <w:szCs w:val="21"/>
          <w:lang w:val="en-GB"/>
        </w:rPr>
        <w:t>] National</w:t>
      </w:r>
      <w:r w:rsidRPr="474F5605" w:rsidR="76E4E3D5">
        <w:rPr>
          <w:rFonts w:ascii="Calibri" w:hAnsi="Calibri" w:eastAsia="Calibri" w:cs="Calibri"/>
          <w:noProof w:val="0"/>
          <w:color w:val="auto"/>
          <w:sz w:val="21"/>
          <w:szCs w:val="21"/>
          <w:lang w:val="en-GB"/>
        </w:rPr>
        <w:t xml:space="preserve"> Institute of Standards and Technology, Security and Privacy Controls for Information Systems and Organizations, NIST SP 800-53 Rev. 5, Gaithersburg, MD, USA, 2020.</w:t>
      </w:r>
    </w:p>
    <w:p xmlns:wp14="http://schemas.microsoft.com/office/word/2010/wordml" w:rsidP="474F5605" wp14:paraId="13636B24" wp14:textId="28EDAB06">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[5</w:t>
      </w:r>
      <w:r w:rsidRPr="474F5605" w:rsidR="6DA6153B">
        <w:rPr>
          <w:rFonts w:ascii="Calibri" w:hAnsi="Calibri" w:eastAsia="Calibri" w:cs="Calibri"/>
          <w:noProof w:val="0"/>
          <w:color w:val="auto"/>
          <w:sz w:val="21"/>
          <w:szCs w:val="21"/>
          <w:lang w:val="en-GB"/>
        </w:rPr>
        <w:t>] National</w:t>
      </w:r>
      <w:r w:rsidRPr="474F5605" w:rsidR="76E4E3D5">
        <w:rPr>
          <w:rFonts w:ascii="Calibri" w:hAnsi="Calibri" w:eastAsia="Calibri" w:cs="Calibri"/>
          <w:noProof w:val="0"/>
          <w:color w:val="auto"/>
          <w:sz w:val="21"/>
          <w:szCs w:val="21"/>
          <w:lang w:val="en-GB"/>
        </w:rPr>
        <w:t xml:space="preserve"> Institute of Standards and Technology, Computer Security Incident Handling Guide, NIST SP 800-61 Rev. 2, Gaithersburg, MD, USA, 2012.</w:t>
      </w:r>
    </w:p>
    <w:p xmlns:wp14="http://schemas.microsoft.com/office/word/2010/wordml" w:rsidP="474F5605" wp14:paraId="190E6899" wp14:textId="21C65F2C">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[6</w:t>
      </w:r>
      <w:r w:rsidRPr="474F5605" w:rsidR="0D06B420">
        <w:rPr>
          <w:rFonts w:ascii="Calibri" w:hAnsi="Calibri" w:eastAsia="Calibri" w:cs="Calibri"/>
          <w:noProof w:val="0"/>
          <w:color w:val="auto"/>
          <w:sz w:val="21"/>
          <w:szCs w:val="21"/>
          <w:lang w:val="en-GB"/>
        </w:rPr>
        <w:t>] ISACA</w:t>
      </w:r>
      <w:r w:rsidRPr="474F5605" w:rsidR="76E4E3D5">
        <w:rPr>
          <w:rFonts w:ascii="Calibri" w:hAnsi="Calibri" w:eastAsia="Calibri" w:cs="Calibri"/>
          <w:noProof w:val="0"/>
          <w:color w:val="auto"/>
          <w:sz w:val="21"/>
          <w:szCs w:val="21"/>
          <w:lang w:val="en-GB"/>
        </w:rPr>
        <w:t>, COBIT 2019 Framework: Governance and Management Objectives. Schaumburg, IL, USA: ISACA, 2019.</w:t>
      </w:r>
    </w:p>
    <w:p xmlns:wp14="http://schemas.microsoft.com/office/word/2010/wordml" w:rsidP="474F5605" wp14:paraId="395FAFE9" wp14:textId="15AC054A">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[7</w:t>
      </w:r>
      <w:r w:rsidRPr="474F5605" w:rsidR="354EE5A4">
        <w:rPr>
          <w:rFonts w:ascii="Calibri" w:hAnsi="Calibri" w:eastAsia="Calibri" w:cs="Calibri"/>
          <w:noProof w:val="0"/>
          <w:color w:val="auto"/>
          <w:sz w:val="21"/>
          <w:szCs w:val="21"/>
          <w:lang w:val="en-GB"/>
        </w:rPr>
        <w:t>] ISACA</w:t>
      </w:r>
      <w:r w:rsidRPr="474F5605" w:rsidR="76E4E3D5">
        <w:rPr>
          <w:rFonts w:ascii="Calibri" w:hAnsi="Calibri" w:eastAsia="Calibri" w:cs="Calibri"/>
          <w:noProof w:val="0"/>
          <w:color w:val="auto"/>
          <w:sz w:val="21"/>
          <w:szCs w:val="21"/>
          <w:lang w:val="en-GB"/>
        </w:rPr>
        <w:t>, COBIT 2019 Design Guide: Designing an Information and Technology Governance Solution. Schaumburg, IL, USA: ISACA, 2019.</w:t>
      </w:r>
    </w:p>
    <w:p xmlns:wp14="http://schemas.microsoft.com/office/word/2010/wordml" w:rsidP="474F5605" wp14:paraId="23657850" wp14:textId="381CC40A">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[8</w:t>
      </w:r>
      <w:r w:rsidRPr="474F5605" w:rsidR="7AF14B3B">
        <w:rPr>
          <w:rFonts w:ascii="Calibri" w:hAnsi="Calibri" w:eastAsia="Calibri" w:cs="Calibri"/>
          <w:noProof w:val="0"/>
          <w:color w:val="auto"/>
          <w:sz w:val="21"/>
          <w:szCs w:val="21"/>
          <w:lang w:val="en-GB"/>
        </w:rPr>
        <w:t>] AXELOS</w:t>
      </w:r>
      <w:r w:rsidRPr="474F5605" w:rsidR="76E4E3D5">
        <w:rPr>
          <w:rFonts w:ascii="Calibri" w:hAnsi="Calibri" w:eastAsia="Calibri" w:cs="Calibri"/>
          <w:noProof w:val="0"/>
          <w:color w:val="auto"/>
          <w:sz w:val="21"/>
          <w:szCs w:val="21"/>
          <w:lang w:val="en-GB"/>
        </w:rPr>
        <w:t>, ITIL 4 Foundation: ITIL 4 Edition. London, U.K.: AXELOS Ltd., 2019.</w:t>
      </w:r>
    </w:p>
    <w:p xmlns:wp14="http://schemas.microsoft.com/office/word/2010/wordml" w:rsidP="474F5605" wp14:paraId="1DD965F1" wp14:textId="0784F396">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[9</w:t>
      </w:r>
      <w:r w:rsidRPr="474F5605" w:rsidR="7C34305E">
        <w:rPr>
          <w:rFonts w:ascii="Calibri" w:hAnsi="Calibri" w:eastAsia="Calibri" w:cs="Calibri"/>
          <w:noProof w:val="0"/>
          <w:color w:val="auto"/>
          <w:sz w:val="21"/>
          <w:szCs w:val="21"/>
          <w:lang w:val="en-GB"/>
        </w:rPr>
        <w:t>] European</w:t>
      </w:r>
      <w:r w:rsidRPr="474F5605" w:rsidR="76E4E3D5">
        <w:rPr>
          <w:rFonts w:ascii="Calibri" w:hAnsi="Calibri" w:eastAsia="Calibri" w:cs="Calibri"/>
          <w:noProof w:val="0"/>
          <w:color w:val="auto"/>
          <w:sz w:val="21"/>
          <w:szCs w:val="21"/>
          <w:lang w:val="en-GB"/>
        </w:rPr>
        <w:t xml:space="preserve"> Union, Regulation (EU) 2016/679 of the European Parliament and of the Council (General Data Protection Regulation), Official Journal of the European Union, 2016.</w:t>
      </w:r>
    </w:p>
    <w:p xmlns:wp14="http://schemas.microsoft.com/office/word/2010/wordml" w:rsidP="474F5605" wp14:paraId="2003122E" wp14:textId="487F5C86">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[10] European Union, Directive (EU) 2022/2555 on Measures for a High Common Level of Cybersecurity Across the Union (NIS2 Directive), Official Journal of the European Union, 2022.</w:t>
      </w:r>
    </w:p>
    <w:p xmlns:wp14="http://schemas.microsoft.com/office/word/2010/wordml" w:rsidP="474F5605" wp14:paraId="2F606F86" wp14:textId="7DB8F7C7">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[11] European Union, Regulation (EU) 2022/2554 on Digital Operational Resilience for the Financial Sector (DORA), Official Journal of the European Union, 2022.</w:t>
      </w:r>
    </w:p>
    <w:p xmlns:wp14="http://schemas.microsoft.com/office/word/2010/wordml" w:rsidP="474F5605" wp14:paraId="50A49C3B" wp14:textId="34B273B2">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[12] European Union Agency for Cybersecurity (ENISA), ENISA Threat Landscape 2024. Athens, Greece: ENISA, 2024.</w:t>
      </w:r>
    </w:p>
    <w:p xmlns:wp14="http://schemas.microsoft.com/office/word/2010/wordml" w:rsidP="474F5605" wp14:paraId="4837393B" wp14:textId="4418A0AC">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[13] IBM Security, Cost of a Data Breach Report 2025. Armonk, NY, USA: IBM Corp., 2025.</w:t>
      </w:r>
    </w:p>
    <w:p xmlns:wp14="http://schemas.microsoft.com/office/word/2010/wordml" w:rsidP="474F5605" wp14:paraId="4FF572A5" wp14:textId="321E8F6F">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[14] Verizon, 2025 Data Breach Investigations Report (DBIR). Basking Ridge, NJ, USA: Verizon, 2025.</w:t>
      </w:r>
    </w:p>
    <w:p xmlns:wp14="http://schemas.microsoft.com/office/word/2010/wordml" w:rsidP="474F5605" wp14:paraId="612C5D7E" wp14:textId="0B20F64D">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[15] Gartner, Inc., Market Guide for Zero Trust Network Access. Stamford, CT, USA: Gartner, 2023.</w:t>
      </w:r>
    </w:p>
    <w:p xmlns:wp14="http://schemas.microsoft.com/office/word/2010/wordml" w:rsidP="474F5605" wp14:paraId="4AB663DD" wp14:textId="0F1FC414">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[16] Cybersecurity and Infrastructure Security Agency, Zero Trust Maturity Model, Version 2.0. Washington, DC, USA: CISA, 2023.</w:t>
      </w:r>
    </w:p>
    <w:p xmlns:wp14="http://schemas.microsoft.com/office/word/2010/wordml" w:rsidP="474F5605" wp14:paraId="5BEC8CE0" wp14:textId="7BBAD6D5">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[17] Cloud Security Alliance, Security Guidance for Critical Areas of Focus in Cloud Computing, v5. Seattle, WA, USA: CSA, 2024.</w:t>
      </w:r>
    </w:p>
    <w:p xmlns:wp14="http://schemas.microsoft.com/office/word/2010/wordml" w:rsidP="474F5605" wp14:paraId="363D3EDC" wp14:textId="6CD0F8D9">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[18] Open Worldwide Application Security Project, OWASP Internet of Things Top 10. OWASP Foundation, 2018.</w:t>
      </w:r>
    </w:p>
    <w:p xmlns:wp14="http://schemas.microsoft.com/office/word/2010/wordml" w:rsidP="474F5605" wp14:paraId="277DD5C8" wp14:textId="63F48435">
      <w:pPr>
        <w:bidi w:val="0"/>
        <w:spacing w:before="0" w:beforeAutospacing="off" w:after="160" w:afterAutospacing="off"/>
        <w:ind w:left="360" w:right="0" w:hanging="360"/>
        <w:jc w:val="both"/>
        <w:rPr>
          <w:rFonts w:ascii="Calibri" w:hAnsi="Calibri" w:eastAsia="Calibri" w:cs="Calibri"/>
          <w:noProof w:val="0"/>
          <w:color w:val="auto"/>
          <w:sz w:val="21"/>
          <w:szCs w:val="21"/>
          <w:lang w:val="en-GB"/>
        </w:rPr>
      </w:pPr>
      <w:r w:rsidRPr="474F5605" w:rsidR="76E4E3D5">
        <w:rPr>
          <w:rFonts w:ascii="Calibri" w:hAnsi="Calibri" w:eastAsia="Calibri" w:cs="Calibri"/>
          <w:noProof w:val="0"/>
          <w:color w:val="auto"/>
          <w:sz w:val="21"/>
          <w:szCs w:val="21"/>
          <w:lang w:val="en-GB"/>
        </w:rPr>
        <w:t>[19] Microsoft Corporation, Microsoft Digital Defense Report 2024. Redmond, WA, USA: Microsoft Corp., 2024.</w:t>
      </w:r>
    </w:p>
    <w:p xmlns:wp14="http://schemas.microsoft.com/office/word/2010/wordml" w:rsidP="474F5605" wp14:paraId="3DFF6B9E" wp14:textId="6E030817">
      <w:pPr>
        <w:bidi w:val="0"/>
        <w:spacing w:before="0" w:beforeAutospacing="off" w:after="160" w:afterAutospacing="off"/>
        <w:ind w:left="360" w:right="0" w:hanging="360"/>
        <w:jc w:val="both"/>
        <w:rPr>
          <w:color w:val="auto"/>
        </w:rPr>
      </w:pPr>
      <w:r w:rsidRPr="474F5605" w:rsidR="76E4E3D5">
        <w:rPr>
          <w:rFonts w:ascii="Calibri" w:hAnsi="Calibri" w:eastAsia="Calibri" w:cs="Calibri"/>
          <w:noProof w:val="0"/>
          <w:color w:val="auto"/>
          <w:sz w:val="21"/>
          <w:szCs w:val="21"/>
          <w:lang w:val="en-GB"/>
        </w:rPr>
        <w:t xml:space="preserve">[20] Google Cloud, Google Cloud Security Best Practices Center, Google LLC, 2024. [Online]. Available: </w:t>
      </w:r>
      <w:hyperlink r:id="R2192215bed9744ed">
        <w:r w:rsidRPr="474F5605" w:rsidR="76E4E3D5">
          <w:rPr>
            <w:rStyle w:val="Hyperlink"/>
            <w:noProof w:val="0"/>
            <w:color w:val="auto"/>
            <w:lang w:val="en-GB"/>
          </w:rPr>
          <w:t>https://cloud.google.com/security/best-practices</w:t>
        </w:r>
      </w:hyperlink>
    </w:p>
    <w:p xmlns:wp14="http://schemas.microsoft.com/office/word/2010/wordml" w:rsidP="474F5605" wp14:paraId="5E5787A5" wp14:textId="35C2F54D">
      <w:pPr>
        <w:rPr>
          <w:color w:val="auto"/>
        </w:rPr>
      </w:pPr>
    </w:p>
    <w:sectPr>
      <w:pgSz w:w="11906" w:h="16838" w:orient="portrait"/>
      <w:pgMar w:top="1440" w:right="1440" w:bottom="1440" w:left="1440" w:header="720" w:footer="720" w:gutter="0"/>
      <w:cols w:space="720"/>
      <w:docGrid w:linePitch="360"/>
      <w:titlePg w:val="1"/>
      <w:headerReference w:type="default" r:id="R822bcd6588024984"/>
      <w:headerReference w:type="first" r:id="R86e2fa6e15a0460b"/>
      <w:footerReference w:type="default" r:id="R4e6e1da58e3e4365"/>
      <w:footerReference w:type="first" r:id="Rd885de87e3fc46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E06B45" w:rsidTr="42E06B45" w14:paraId="1AEA9DC7">
      <w:trPr>
        <w:trHeight w:val="300"/>
      </w:trPr>
      <w:tc>
        <w:tcPr>
          <w:tcW w:w="3005" w:type="dxa"/>
          <w:tcMar/>
        </w:tcPr>
        <w:p w:rsidR="42E06B45" w:rsidP="42E06B45" w:rsidRDefault="42E06B45" w14:paraId="2729DA30" w14:textId="68D4EF12">
          <w:pPr>
            <w:pStyle w:val="Header"/>
            <w:bidi w:val="0"/>
            <w:ind w:left="-115"/>
            <w:jc w:val="left"/>
          </w:pPr>
        </w:p>
      </w:tc>
      <w:tc>
        <w:tcPr>
          <w:tcW w:w="3005" w:type="dxa"/>
          <w:tcMar/>
        </w:tcPr>
        <w:p w:rsidR="42E06B45" w:rsidP="42E06B45" w:rsidRDefault="42E06B45" w14:paraId="6649598D" w14:textId="31D6F2A7">
          <w:pPr>
            <w:pStyle w:val="Header"/>
            <w:bidi w:val="0"/>
            <w:jc w:val="center"/>
          </w:pPr>
        </w:p>
      </w:tc>
      <w:tc>
        <w:tcPr>
          <w:tcW w:w="3005" w:type="dxa"/>
          <w:tcMar/>
        </w:tcPr>
        <w:p w:rsidR="42E06B45" w:rsidP="42E06B45" w:rsidRDefault="42E06B45" w14:paraId="6677A4C5" w14:textId="7823D4E3">
          <w:pPr>
            <w:pStyle w:val="Header"/>
            <w:bidi w:val="0"/>
            <w:ind w:right="-115"/>
            <w:jc w:val="right"/>
          </w:pPr>
          <w:r>
            <w:fldChar w:fldCharType="begin"/>
          </w:r>
          <w:r>
            <w:instrText xml:space="preserve">PAGE</w:instrText>
          </w:r>
          <w:r>
            <w:fldChar w:fldCharType="separate"/>
          </w:r>
          <w:r>
            <w:fldChar w:fldCharType="end"/>
          </w:r>
        </w:p>
      </w:tc>
    </w:tr>
  </w:tbl>
  <w:p w:rsidR="42E06B45" w:rsidP="42E06B45" w:rsidRDefault="42E06B45" w14:paraId="3D785245" w14:textId="4BDEF04A">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E06B45" w:rsidTr="42E06B45" w14:paraId="1E12F069">
      <w:trPr>
        <w:trHeight w:val="300"/>
      </w:trPr>
      <w:tc>
        <w:tcPr>
          <w:tcW w:w="3005" w:type="dxa"/>
          <w:tcMar/>
        </w:tcPr>
        <w:p w:rsidR="42E06B45" w:rsidP="42E06B45" w:rsidRDefault="42E06B45" w14:paraId="4B43107D" w14:textId="6278FFE8">
          <w:pPr>
            <w:pStyle w:val="Header"/>
            <w:bidi w:val="0"/>
            <w:ind w:left="-115"/>
            <w:jc w:val="left"/>
          </w:pPr>
        </w:p>
      </w:tc>
      <w:tc>
        <w:tcPr>
          <w:tcW w:w="3005" w:type="dxa"/>
          <w:tcMar/>
        </w:tcPr>
        <w:p w:rsidR="42E06B45" w:rsidP="42E06B45" w:rsidRDefault="42E06B45" w14:paraId="6524289E" w14:textId="443D9A03">
          <w:pPr>
            <w:pStyle w:val="Header"/>
            <w:bidi w:val="0"/>
            <w:jc w:val="center"/>
          </w:pPr>
        </w:p>
      </w:tc>
      <w:tc>
        <w:tcPr>
          <w:tcW w:w="3005" w:type="dxa"/>
          <w:tcMar/>
        </w:tcPr>
        <w:p w:rsidR="42E06B45" w:rsidP="42E06B45" w:rsidRDefault="42E06B45" w14:paraId="4C564E55" w14:textId="0827E78C">
          <w:pPr>
            <w:pStyle w:val="Header"/>
            <w:bidi w:val="0"/>
            <w:ind w:right="-115"/>
            <w:jc w:val="right"/>
          </w:pPr>
        </w:p>
      </w:tc>
    </w:tr>
  </w:tbl>
  <w:p w:rsidR="42E06B45" w:rsidP="42E06B45" w:rsidRDefault="42E06B45" w14:paraId="1F0DD7AA" w14:textId="1E9A70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E06B45" w:rsidTr="42E06B45" w14:paraId="0EAB2779">
      <w:trPr>
        <w:trHeight w:val="300"/>
      </w:trPr>
      <w:tc>
        <w:tcPr>
          <w:tcW w:w="3005" w:type="dxa"/>
          <w:tcMar/>
        </w:tcPr>
        <w:p w:rsidR="42E06B45" w:rsidP="42E06B45" w:rsidRDefault="42E06B45" w14:paraId="3AE5026C" w14:textId="6824C6CE">
          <w:pPr>
            <w:pStyle w:val="Header"/>
            <w:bidi w:val="0"/>
            <w:ind w:left="-115"/>
            <w:jc w:val="left"/>
          </w:pPr>
        </w:p>
      </w:tc>
      <w:tc>
        <w:tcPr>
          <w:tcW w:w="3005" w:type="dxa"/>
          <w:tcMar/>
        </w:tcPr>
        <w:p w:rsidR="42E06B45" w:rsidP="42E06B45" w:rsidRDefault="42E06B45" w14:paraId="65F395DD" w14:textId="01F29599">
          <w:pPr>
            <w:pStyle w:val="Header"/>
            <w:bidi w:val="0"/>
            <w:jc w:val="center"/>
          </w:pPr>
        </w:p>
      </w:tc>
      <w:tc>
        <w:tcPr>
          <w:tcW w:w="3005" w:type="dxa"/>
          <w:tcMar/>
        </w:tcPr>
        <w:p w:rsidR="42E06B45" w:rsidP="42E06B45" w:rsidRDefault="42E06B45" w14:paraId="56DCB290" w14:textId="7EDCA17B">
          <w:pPr>
            <w:pStyle w:val="Header"/>
            <w:bidi w:val="0"/>
            <w:ind w:right="-115"/>
            <w:jc w:val="right"/>
          </w:pPr>
        </w:p>
      </w:tc>
    </w:tr>
  </w:tbl>
  <w:p w:rsidR="42E06B45" w:rsidP="42E06B45" w:rsidRDefault="42E06B45" w14:paraId="2448F6BF" w14:textId="6AB8AAC1">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E06B45" w:rsidTr="42E06B45" w14:paraId="5634F244">
      <w:trPr>
        <w:trHeight w:val="300"/>
      </w:trPr>
      <w:tc>
        <w:tcPr>
          <w:tcW w:w="3005" w:type="dxa"/>
          <w:tcMar/>
        </w:tcPr>
        <w:p w:rsidR="42E06B45" w:rsidP="42E06B45" w:rsidRDefault="42E06B45" w14:paraId="2CFA06EB" w14:textId="0CBA58E0">
          <w:pPr>
            <w:pStyle w:val="Header"/>
            <w:bidi w:val="0"/>
            <w:ind w:left="-115"/>
            <w:jc w:val="left"/>
          </w:pPr>
        </w:p>
      </w:tc>
      <w:tc>
        <w:tcPr>
          <w:tcW w:w="3005" w:type="dxa"/>
          <w:tcMar/>
        </w:tcPr>
        <w:p w:rsidR="42E06B45" w:rsidP="42E06B45" w:rsidRDefault="42E06B45" w14:paraId="2E7B0C74" w14:textId="030B765A">
          <w:pPr>
            <w:pStyle w:val="Header"/>
            <w:bidi w:val="0"/>
            <w:jc w:val="center"/>
          </w:pPr>
        </w:p>
      </w:tc>
      <w:tc>
        <w:tcPr>
          <w:tcW w:w="3005" w:type="dxa"/>
          <w:tcMar/>
        </w:tcPr>
        <w:p w:rsidR="42E06B45" w:rsidP="42E06B45" w:rsidRDefault="42E06B45" w14:paraId="30879604" w14:textId="70E4D272">
          <w:pPr>
            <w:pStyle w:val="Header"/>
            <w:bidi w:val="0"/>
            <w:ind w:right="-115"/>
            <w:jc w:val="right"/>
          </w:pPr>
        </w:p>
      </w:tc>
    </w:tr>
  </w:tbl>
  <w:p w:rsidR="42E06B45" w:rsidP="42E06B45" w:rsidRDefault="42E06B45" w14:paraId="18E68308" w14:textId="1F64A37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5EADE0"/>
    <w:rsid w:val="009A63DE"/>
    <w:rsid w:val="03D7D854"/>
    <w:rsid w:val="057C99A5"/>
    <w:rsid w:val="073B29DA"/>
    <w:rsid w:val="07FA12D0"/>
    <w:rsid w:val="0A64EF37"/>
    <w:rsid w:val="0B0C0B0F"/>
    <w:rsid w:val="0B666AFB"/>
    <w:rsid w:val="0CC5F9BD"/>
    <w:rsid w:val="0D06B420"/>
    <w:rsid w:val="0F626C7E"/>
    <w:rsid w:val="10549B31"/>
    <w:rsid w:val="1200FFCC"/>
    <w:rsid w:val="12CE241D"/>
    <w:rsid w:val="139D8555"/>
    <w:rsid w:val="13FE02E3"/>
    <w:rsid w:val="17CD25D6"/>
    <w:rsid w:val="19AC8D55"/>
    <w:rsid w:val="1B9C0066"/>
    <w:rsid w:val="1D728EF2"/>
    <w:rsid w:val="22CEAFC4"/>
    <w:rsid w:val="23E66265"/>
    <w:rsid w:val="26A6DB1B"/>
    <w:rsid w:val="299924BD"/>
    <w:rsid w:val="2CA2F7C9"/>
    <w:rsid w:val="2CA2F7C9"/>
    <w:rsid w:val="31DAAA3F"/>
    <w:rsid w:val="3203AA45"/>
    <w:rsid w:val="323303F7"/>
    <w:rsid w:val="32A1592C"/>
    <w:rsid w:val="32F9A5C2"/>
    <w:rsid w:val="34B23532"/>
    <w:rsid w:val="354EE5A4"/>
    <w:rsid w:val="365020D0"/>
    <w:rsid w:val="36E8FA96"/>
    <w:rsid w:val="374B9CAA"/>
    <w:rsid w:val="374B9CAA"/>
    <w:rsid w:val="3A726595"/>
    <w:rsid w:val="3AE38940"/>
    <w:rsid w:val="3B16346E"/>
    <w:rsid w:val="3BB8409F"/>
    <w:rsid w:val="3F95B9FA"/>
    <w:rsid w:val="42E06B45"/>
    <w:rsid w:val="4574C786"/>
    <w:rsid w:val="466506FA"/>
    <w:rsid w:val="474F5605"/>
    <w:rsid w:val="47923E6C"/>
    <w:rsid w:val="50214384"/>
    <w:rsid w:val="502BE1C1"/>
    <w:rsid w:val="506435F1"/>
    <w:rsid w:val="509A3E4C"/>
    <w:rsid w:val="52573E2A"/>
    <w:rsid w:val="5891CDED"/>
    <w:rsid w:val="5A19A20F"/>
    <w:rsid w:val="5A857A49"/>
    <w:rsid w:val="60AD102C"/>
    <w:rsid w:val="634AE780"/>
    <w:rsid w:val="64C32515"/>
    <w:rsid w:val="64F92031"/>
    <w:rsid w:val="65407466"/>
    <w:rsid w:val="654A670A"/>
    <w:rsid w:val="66C5B99D"/>
    <w:rsid w:val="67DE0993"/>
    <w:rsid w:val="681633F2"/>
    <w:rsid w:val="6AD20022"/>
    <w:rsid w:val="6B1CB0F2"/>
    <w:rsid w:val="6B81E0F7"/>
    <w:rsid w:val="6D0710E5"/>
    <w:rsid w:val="6DA6153B"/>
    <w:rsid w:val="6DBEA41F"/>
    <w:rsid w:val="6F3B747A"/>
    <w:rsid w:val="7346389E"/>
    <w:rsid w:val="735EADE0"/>
    <w:rsid w:val="73D4778A"/>
    <w:rsid w:val="73D4778A"/>
    <w:rsid w:val="76E4E3D5"/>
    <w:rsid w:val="78457D18"/>
    <w:rsid w:val="7AF14B3B"/>
    <w:rsid w:val="7C34305E"/>
    <w:rsid w:val="7C417899"/>
    <w:rsid w:val="7E064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C12D9"/>
  <w15:chartTrackingRefBased/>
  <w15:docId w15:val="{ACD8F685-53E3-4776-BE6E-7D3EF1A750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74F560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74F560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74F560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2E06B45"/>
    <w:pPr>
      <w:tabs>
        <w:tab w:val="center" w:leader="none" w:pos="4680"/>
        <w:tab w:val="right" w:leader="none" w:pos="9360"/>
      </w:tabs>
      <w:spacing w:after="0" w:line="240" w:lineRule="auto"/>
    </w:pPr>
  </w:style>
  <w:style w:type="paragraph" w:styleId="Footer">
    <w:uiPriority w:val="99"/>
    <w:name w:val="footer"/>
    <w:basedOn w:val="Normal"/>
    <w:unhideWhenUsed/>
    <w:rsid w:val="42E06B4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761810565" /><Relationship Type="http://schemas.openxmlformats.org/officeDocument/2006/relationships/image" Target="/media/image2.jpg" Id="rId750190153" /><Relationship Type="http://schemas.openxmlformats.org/officeDocument/2006/relationships/image" Target="/media/image3.jpg" Id="rId933853984" /><Relationship Type="http://schemas.openxmlformats.org/officeDocument/2006/relationships/image" Target="/media/image4.jpg" Id="rId1007080434" /><Relationship Type="http://schemas.openxmlformats.org/officeDocument/2006/relationships/hyperlink" Target="https://cloud.google.com/security/best-practices" TargetMode="External" Id="R2192215bed9744ed" /><Relationship Type="http://schemas.openxmlformats.org/officeDocument/2006/relationships/image" Target="/media/image.png" Id="rId1465418238" /><Relationship Type="http://schemas.openxmlformats.org/officeDocument/2006/relationships/header" Target="/word/header.xml" Id="R822bcd6588024984" /><Relationship Type="http://schemas.openxmlformats.org/officeDocument/2006/relationships/header" Target="/word/header2.xml" Id="R86e2fa6e15a0460b" /><Relationship Type="http://schemas.openxmlformats.org/officeDocument/2006/relationships/footer" Target="/word/footer.xml" Id="R4e6e1da58e3e4365" /><Relationship Type="http://schemas.openxmlformats.org/officeDocument/2006/relationships/footer" Target="/word/footer2.xml" Id="Rd885de87e3fc46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Prem Alkeshkumar Joshi (2537632)</dc:creator>
  <keywords/>
  <dc:description/>
  <lastModifiedBy>Prem Alkeshkumar Joshi (2537632)</lastModifiedBy>
  <revision>3</revision>
  <dcterms:created xsi:type="dcterms:W3CDTF">2026-07-22T13:44:46.1539107Z</dcterms:created>
  <dcterms:modified xsi:type="dcterms:W3CDTF">2026-07-24T15:26:43.4558090Z</dcterms:modified>
</coreProperties>
</file>