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E0317" w14:textId="7629000D" w:rsidR="00BC65F3" w:rsidRPr="005E16B5" w:rsidRDefault="00D91A6A" w:rsidP="005E16B5">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anchor distT="0" distB="0" distL="114300" distR="114300" simplePos="0" relativeHeight="251659264" behindDoc="0" locked="0" layoutInCell="1" allowOverlap="1" wp14:anchorId="1DF3F95F" wp14:editId="0ABE35DD">
            <wp:simplePos x="0" y="0"/>
            <wp:positionH relativeFrom="column">
              <wp:posOffset>0</wp:posOffset>
            </wp:positionH>
            <wp:positionV relativeFrom="paragraph">
              <wp:posOffset>355600</wp:posOffset>
            </wp:positionV>
            <wp:extent cx="1436370" cy="635000"/>
            <wp:effectExtent l="0" t="0" r="0" b="0"/>
            <wp:wrapTopAndBottom/>
            <wp:docPr id="1195754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54384" name="Picture 1195754384"/>
                    <pic:cNvPicPr/>
                  </pic:nvPicPr>
                  <pic:blipFill>
                    <a:blip r:embed="rId8">
                      <a:extLst>
                        <a:ext uri="{28A0092B-C50C-407E-A947-70E740481C1C}">
                          <a14:useLocalDpi xmlns:a14="http://schemas.microsoft.com/office/drawing/2010/main" val="0"/>
                        </a:ext>
                      </a:extLst>
                    </a:blip>
                    <a:stretch>
                      <a:fillRect/>
                    </a:stretch>
                  </pic:blipFill>
                  <pic:spPr>
                    <a:xfrm>
                      <a:off x="0" y="0"/>
                      <a:ext cx="1436370" cy="635000"/>
                    </a:xfrm>
                    <a:prstGeom prst="rect">
                      <a:avLst/>
                    </a:prstGeom>
                  </pic:spPr>
                </pic:pic>
              </a:graphicData>
            </a:graphic>
            <wp14:sizeRelH relativeFrom="margin">
              <wp14:pctWidth>0</wp14:pctWidth>
            </wp14:sizeRelH>
            <wp14:sizeRelV relativeFrom="margin">
              <wp14:pctHeight>0</wp14:pctHeight>
            </wp14:sizeRelV>
          </wp:anchor>
        </w:drawing>
      </w:r>
    </w:p>
    <w:p w14:paraId="236C3D2C" w14:textId="77777777" w:rsidR="00BC65F3" w:rsidRPr="005E16B5" w:rsidRDefault="00BC65F3" w:rsidP="008702EB">
      <w:pPr>
        <w:spacing w:line="360" w:lineRule="auto"/>
        <w:rPr>
          <w:rFonts w:ascii="Times New Roman" w:hAnsi="Times New Roman" w:cs="Times New Roman"/>
          <w:b/>
          <w:bCs/>
          <w:color w:val="000000" w:themeColor="text1"/>
          <w:sz w:val="24"/>
          <w:szCs w:val="24"/>
        </w:rPr>
      </w:pPr>
    </w:p>
    <w:p w14:paraId="0A95410D" w14:textId="77777777" w:rsidR="00BC65F3" w:rsidRPr="005E16B5" w:rsidRDefault="00BC65F3" w:rsidP="005E16B5">
      <w:pPr>
        <w:spacing w:line="360" w:lineRule="auto"/>
        <w:jc w:val="center"/>
        <w:rPr>
          <w:rFonts w:ascii="Times New Roman" w:hAnsi="Times New Roman" w:cs="Times New Roman"/>
          <w:b/>
          <w:bCs/>
          <w:color w:val="000000" w:themeColor="text1"/>
          <w:sz w:val="24"/>
          <w:szCs w:val="24"/>
        </w:rPr>
      </w:pPr>
    </w:p>
    <w:p w14:paraId="1BB92762" w14:textId="77777777" w:rsidR="00BC65F3" w:rsidRPr="005E16B5" w:rsidRDefault="00BC65F3" w:rsidP="005E16B5">
      <w:pPr>
        <w:spacing w:line="360" w:lineRule="auto"/>
        <w:jc w:val="center"/>
        <w:rPr>
          <w:rFonts w:ascii="Times New Roman" w:hAnsi="Times New Roman" w:cs="Times New Roman"/>
          <w:b/>
          <w:bCs/>
          <w:color w:val="000000" w:themeColor="text1"/>
          <w:sz w:val="24"/>
          <w:szCs w:val="24"/>
        </w:rPr>
      </w:pPr>
    </w:p>
    <w:p w14:paraId="14C27CB9" w14:textId="77777777" w:rsidR="00BC65F3" w:rsidRPr="005E16B5" w:rsidRDefault="00BC65F3" w:rsidP="005E16B5">
      <w:pPr>
        <w:spacing w:line="360" w:lineRule="auto"/>
        <w:jc w:val="center"/>
        <w:rPr>
          <w:rFonts w:ascii="Times New Roman" w:hAnsi="Times New Roman" w:cs="Times New Roman"/>
          <w:b/>
          <w:bCs/>
          <w:color w:val="000000" w:themeColor="text1"/>
          <w:sz w:val="24"/>
          <w:szCs w:val="24"/>
        </w:rPr>
      </w:pPr>
    </w:p>
    <w:p w14:paraId="15BF67EC" w14:textId="29289400" w:rsidR="00BC65F3" w:rsidRDefault="00BC65F3" w:rsidP="005E16B5">
      <w:pPr>
        <w:spacing w:line="360" w:lineRule="auto"/>
        <w:jc w:val="center"/>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International Financial Management</w:t>
      </w:r>
    </w:p>
    <w:p w14:paraId="6185EA83" w14:textId="77777777" w:rsidR="00B838A7" w:rsidRDefault="001529E7" w:rsidP="005E16B5">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LCBB6002</w:t>
      </w:r>
    </w:p>
    <w:p w14:paraId="70322447" w14:textId="14770058" w:rsidR="00B838A7" w:rsidRDefault="006C7E9F" w:rsidP="005E16B5">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r w:rsidR="0011407D">
        <w:rPr>
          <w:rFonts w:ascii="Times New Roman" w:hAnsi="Times New Roman" w:cs="Times New Roman"/>
          <w:b/>
          <w:bCs/>
          <w:color w:val="000000" w:themeColor="text1"/>
          <w:sz w:val="24"/>
          <w:szCs w:val="24"/>
        </w:rPr>
        <w:t xml:space="preserve">Assessment </w:t>
      </w:r>
      <w:r>
        <w:rPr>
          <w:rFonts w:ascii="Times New Roman" w:hAnsi="Times New Roman" w:cs="Times New Roman"/>
          <w:b/>
          <w:bCs/>
          <w:color w:val="000000" w:themeColor="text1"/>
          <w:sz w:val="24"/>
          <w:szCs w:val="24"/>
        </w:rPr>
        <w:t>1</w:t>
      </w:r>
    </w:p>
    <w:p w14:paraId="385B75F0" w14:textId="77777777" w:rsidR="0011407D" w:rsidRDefault="0011407D" w:rsidP="005E16B5">
      <w:pPr>
        <w:spacing w:line="360" w:lineRule="auto"/>
        <w:rPr>
          <w:rFonts w:ascii="Times New Roman" w:hAnsi="Times New Roman" w:cs="Times New Roman"/>
          <w:b/>
          <w:bCs/>
          <w:color w:val="000000" w:themeColor="text1"/>
          <w:sz w:val="24"/>
          <w:szCs w:val="24"/>
        </w:rPr>
      </w:pPr>
    </w:p>
    <w:p w14:paraId="7471DBFF" w14:textId="77777777" w:rsidR="006C7E9F" w:rsidRDefault="006C7E9F" w:rsidP="005E16B5">
      <w:pPr>
        <w:spacing w:line="360" w:lineRule="auto"/>
        <w:rPr>
          <w:rFonts w:ascii="Times New Roman" w:hAnsi="Times New Roman" w:cs="Times New Roman"/>
          <w:b/>
          <w:bCs/>
          <w:color w:val="000000" w:themeColor="text1"/>
          <w:sz w:val="24"/>
          <w:szCs w:val="24"/>
        </w:rPr>
      </w:pPr>
    </w:p>
    <w:p w14:paraId="01EBBDF7" w14:textId="77777777" w:rsidR="00884839" w:rsidRDefault="00884839" w:rsidP="005E16B5">
      <w:pPr>
        <w:spacing w:line="360" w:lineRule="auto"/>
        <w:rPr>
          <w:rFonts w:ascii="Times New Roman" w:hAnsi="Times New Roman" w:cs="Times New Roman"/>
          <w:b/>
          <w:bCs/>
          <w:color w:val="000000" w:themeColor="text1"/>
          <w:sz w:val="24"/>
          <w:szCs w:val="24"/>
        </w:rPr>
      </w:pPr>
    </w:p>
    <w:p w14:paraId="6B03190A" w14:textId="77777777" w:rsidR="00884839" w:rsidRDefault="00884839" w:rsidP="005E16B5">
      <w:pPr>
        <w:spacing w:line="360" w:lineRule="auto"/>
        <w:rPr>
          <w:rFonts w:ascii="Times New Roman" w:hAnsi="Times New Roman" w:cs="Times New Roman"/>
          <w:b/>
          <w:bCs/>
          <w:color w:val="000000" w:themeColor="text1"/>
          <w:sz w:val="24"/>
          <w:szCs w:val="24"/>
        </w:rPr>
      </w:pPr>
    </w:p>
    <w:p w14:paraId="0BEF6A56" w14:textId="77777777" w:rsidR="00884839" w:rsidRDefault="00884839" w:rsidP="005E16B5">
      <w:pPr>
        <w:spacing w:line="360" w:lineRule="auto"/>
        <w:rPr>
          <w:rFonts w:ascii="Times New Roman" w:hAnsi="Times New Roman" w:cs="Times New Roman"/>
          <w:b/>
          <w:bCs/>
          <w:color w:val="000000" w:themeColor="text1"/>
          <w:sz w:val="24"/>
          <w:szCs w:val="24"/>
        </w:rPr>
      </w:pPr>
    </w:p>
    <w:p w14:paraId="7907B914" w14:textId="77777777" w:rsidR="00884839" w:rsidRDefault="00884839" w:rsidP="005E16B5">
      <w:pPr>
        <w:spacing w:line="360" w:lineRule="auto"/>
        <w:rPr>
          <w:rFonts w:ascii="Times New Roman" w:hAnsi="Times New Roman" w:cs="Times New Roman"/>
          <w:b/>
          <w:bCs/>
          <w:color w:val="000000" w:themeColor="text1"/>
          <w:sz w:val="24"/>
          <w:szCs w:val="24"/>
        </w:rPr>
      </w:pPr>
    </w:p>
    <w:p w14:paraId="0EDE4ED5" w14:textId="77777777" w:rsidR="00884839" w:rsidRDefault="00884839" w:rsidP="005E16B5">
      <w:pPr>
        <w:spacing w:line="360" w:lineRule="auto"/>
        <w:rPr>
          <w:rFonts w:ascii="Times New Roman" w:hAnsi="Times New Roman" w:cs="Times New Roman"/>
          <w:b/>
          <w:bCs/>
          <w:color w:val="000000" w:themeColor="text1"/>
          <w:sz w:val="24"/>
          <w:szCs w:val="24"/>
        </w:rPr>
      </w:pPr>
    </w:p>
    <w:p w14:paraId="1606FD9B" w14:textId="77777777" w:rsidR="00884839" w:rsidRDefault="00884839" w:rsidP="005E16B5">
      <w:pPr>
        <w:spacing w:line="360" w:lineRule="auto"/>
        <w:rPr>
          <w:rFonts w:ascii="Times New Roman" w:hAnsi="Times New Roman" w:cs="Times New Roman"/>
          <w:b/>
          <w:bCs/>
          <w:color w:val="000000" w:themeColor="text1"/>
          <w:sz w:val="24"/>
          <w:szCs w:val="24"/>
        </w:rPr>
      </w:pPr>
    </w:p>
    <w:p w14:paraId="06F5F44E" w14:textId="77777777" w:rsidR="00884839" w:rsidRDefault="00884839" w:rsidP="005E16B5">
      <w:pPr>
        <w:spacing w:line="360" w:lineRule="auto"/>
        <w:rPr>
          <w:rFonts w:ascii="Times New Roman" w:hAnsi="Times New Roman" w:cs="Times New Roman"/>
          <w:b/>
          <w:bCs/>
          <w:color w:val="000000" w:themeColor="text1"/>
          <w:sz w:val="24"/>
          <w:szCs w:val="24"/>
        </w:rPr>
      </w:pPr>
    </w:p>
    <w:p w14:paraId="5EFEC3B1" w14:textId="65E0F69F" w:rsidR="00331998" w:rsidRDefault="00331998" w:rsidP="005E16B5">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Name : Desislava Laleva </w:t>
      </w:r>
    </w:p>
    <w:p w14:paraId="06C2C05A" w14:textId="6949DE9E" w:rsidR="00331998" w:rsidRDefault="00331998" w:rsidP="005E16B5">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number: 2113192</w:t>
      </w:r>
    </w:p>
    <w:p w14:paraId="75AF13FE" w14:textId="77777777" w:rsidR="006C7E9F" w:rsidRDefault="006C7E9F" w:rsidP="005E16B5">
      <w:pPr>
        <w:spacing w:line="360" w:lineRule="auto"/>
        <w:rPr>
          <w:rFonts w:ascii="Times New Roman" w:hAnsi="Times New Roman" w:cs="Times New Roman"/>
          <w:b/>
          <w:bCs/>
          <w:color w:val="000000" w:themeColor="text1"/>
          <w:sz w:val="24"/>
          <w:szCs w:val="24"/>
        </w:rPr>
      </w:pPr>
    </w:p>
    <w:p w14:paraId="6529F942" w14:textId="77777777" w:rsidR="006C7E9F" w:rsidRDefault="006C7E9F" w:rsidP="005E16B5">
      <w:pPr>
        <w:spacing w:line="360" w:lineRule="auto"/>
        <w:rPr>
          <w:rFonts w:ascii="Times New Roman" w:hAnsi="Times New Roman" w:cs="Times New Roman"/>
          <w:b/>
          <w:bCs/>
          <w:color w:val="000000" w:themeColor="text1"/>
          <w:sz w:val="24"/>
          <w:szCs w:val="24"/>
        </w:rPr>
      </w:pPr>
    </w:p>
    <w:p w14:paraId="07570A4C" w14:textId="77777777" w:rsidR="006C7E9F" w:rsidRDefault="006C7E9F" w:rsidP="005E16B5">
      <w:pPr>
        <w:spacing w:line="360" w:lineRule="auto"/>
        <w:rPr>
          <w:rFonts w:ascii="Times New Roman" w:hAnsi="Times New Roman" w:cs="Times New Roman"/>
          <w:b/>
          <w:bCs/>
          <w:color w:val="000000" w:themeColor="text1"/>
          <w:sz w:val="24"/>
          <w:szCs w:val="24"/>
        </w:rPr>
      </w:pPr>
    </w:p>
    <w:p w14:paraId="0002090B" w14:textId="77777777" w:rsidR="006C7E9F" w:rsidRDefault="006C7E9F" w:rsidP="005E16B5">
      <w:pPr>
        <w:spacing w:line="360" w:lineRule="auto"/>
        <w:rPr>
          <w:rFonts w:ascii="Times New Roman" w:hAnsi="Times New Roman" w:cs="Times New Roman"/>
          <w:b/>
          <w:bCs/>
          <w:color w:val="000000" w:themeColor="text1"/>
          <w:sz w:val="24"/>
          <w:szCs w:val="24"/>
        </w:rPr>
      </w:pPr>
    </w:p>
    <w:p w14:paraId="4753D5F4" w14:textId="77777777" w:rsidR="006C7E9F" w:rsidRDefault="006C7E9F" w:rsidP="005E16B5">
      <w:pPr>
        <w:spacing w:line="360" w:lineRule="auto"/>
        <w:rPr>
          <w:rFonts w:ascii="Times New Roman" w:hAnsi="Times New Roman" w:cs="Times New Roman"/>
          <w:b/>
          <w:bCs/>
          <w:color w:val="000000" w:themeColor="text1"/>
          <w:sz w:val="24"/>
          <w:szCs w:val="24"/>
        </w:rPr>
      </w:pPr>
    </w:p>
    <w:p w14:paraId="212A07A2" w14:textId="77777777" w:rsidR="006C7E9F" w:rsidRDefault="006C7E9F" w:rsidP="005E16B5">
      <w:pPr>
        <w:spacing w:line="360" w:lineRule="auto"/>
        <w:rPr>
          <w:rFonts w:ascii="Times New Roman" w:hAnsi="Times New Roman" w:cs="Times New Roman"/>
          <w:b/>
          <w:bCs/>
          <w:color w:val="000000" w:themeColor="text1"/>
          <w:sz w:val="24"/>
          <w:szCs w:val="24"/>
        </w:rPr>
      </w:pPr>
    </w:p>
    <w:p w14:paraId="43C54007" w14:textId="77777777" w:rsidR="006C7E9F" w:rsidRDefault="006C7E9F" w:rsidP="005E16B5">
      <w:pPr>
        <w:spacing w:line="360" w:lineRule="auto"/>
        <w:rPr>
          <w:rFonts w:ascii="Times New Roman" w:hAnsi="Times New Roman" w:cs="Times New Roman"/>
          <w:b/>
          <w:bCs/>
          <w:color w:val="000000" w:themeColor="text1"/>
          <w:sz w:val="24"/>
          <w:szCs w:val="24"/>
        </w:rPr>
      </w:pPr>
    </w:p>
    <w:p w14:paraId="1296EFDE" w14:textId="77777777" w:rsidR="006C7E9F" w:rsidRDefault="006C7E9F" w:rsidP="005E16B5">
      <w:pPr>
        <w:spacing w:line="360" w:lineRule="auto"/>
        <w:rPr>
          <w:rFonts w:ascii="Times New Roman" w:hAnsi="Times New Roman" w:cs="Times New Roman"/>
          <w:b/>
          <w:bCs/>
          <w:color w:val="000000" w:themeColor="text1"/>
          <w:sz w:val="24"/>
          <w:szCs w:val="24"/>
        </w:rPr>
      </w:pPr>
    </w:p>
    <w:p w14:paraId="25DFA3EC" w14:textId="77777777" w:rsidR="006C7E9F" w:rsidRDefault="006C7E9F" w:rsidP="005E16B5">
      <w:pPr>
        <w:spacing w:line="360" w:lineRule="auto"/>
        <w:rPr>
          <w:rFonts w:ascii="Times New Roman" w:hAnsi="Times New Roman" w:cs="Times New Roman"/>
          <w:b/>
          <w:bCs/>
          <w:color w:val="000000" w:themeColor="text1"/>
          <w:sz w:val="24"/>
          <w:szCs w:val="24"/>
        </w:rPr>
      </w:pPr>
    </w:p>
    <w:p w14:paraId="13D98777" w14:textId="77777777" w:rsidR="006C7E9F" w:rsidRDefault="006C7E9F" w:rsidP="005E16B5">
      <w:pPr>
        <w:spacing w:line="360" w:lineRule="auto"/>
        <w:rPr>
          <w:rFonts w:ascii="Times New Roman" w:hAnsi="Times New Roman" w:cs="Times New Roman"/>
          <w:b/>
          <w:bCs/>
          <w:color w:val="000000" w:themeColor="text1"/>
          <w:sz w:val="24"/>
          <w:szCs w:val="24"/>
        </w:rPr>
      </w:pPr>
    </w:p>
    <w:p w14:paraId="63E2A410" w14:textId="77777777" w:rsidR="006C7E9F" w:rsidRDefault="006C7E9F" w:rsidP="005E16B5">
      <w:pPr>
        <w:spacing w:line="360" w:lineRule="auto"/>
        <w:rPr>
          <w:rFonts w:ascii="Times New Roman" w:hAnsi="Times New Roman" w:cs="Times New Roman"/>
          <w:b/>
          <w:bCs/>
          <w:color w:val="000000" w:themeColor="text1"/>
          <w:sz w:val="24"/>
          <w:szCs w:val="24"/>
        </w:rPr>
      </w:pPr>
    </w:p>
    <w:p w14:paraId="52D653E3" w14:textId="77777777" w:rsidR="006C7E9F" w:rsidRDefault="006C7E9F" w:rsidP="005E16B5">
      <w:pPr>
        <w:spacing w:line="360" w:lineRule="auto"/>
        <w:rPr>
          <w:rFonts w:ascii="Times New Roman" w:hAnsi="Times New Roman" w:cs="Times New Roman"/>
          <w:b/>
          <w:bCs/>
          <w:color w:val="000000" w:themeColor="text1"/>
          <w:sz w:val="24"/>
          <w:szCs w:val="24"/>
        </w:rPr>
      </w:pPr>
    </w:p>
    <w:p w14:paraId="220619FE" w14:textId="77777777" w:rsidR="006C7E9F" w:rsidRDefault="006C7E9F" w:rsidP="005E16B5">
      <w:pPr>
        <w:spacing w:line="360" w:lineRule="auto"/>
        <w:rPr>
          <w:rFonts w:ascii="Times New Roman" w:hAnsi="Times New Roman" w:cs="Times New Roman"/>
          <w:b/>
          <w:bCs/>
          <w:color w:val="000000" w:themeColor="text1"/>
          <w:sz w:val="24"/>
          <w:szCs w:val="24"/>
        </w:rPr>
      </w:pPr>
    </w:p>
    <w:p w14:paraId="68545B2C" w14:textId="77777777" w:rsidR="006C7E9F" w:rsidRDefault="006C7E9F" w:rsidP="005E16B5">
      <w:pPr>
        <w:spacing w:line="360" w:lineRule="auto"/>
        <w:rPr>
          <w:rFonts w:ascii="Times New Roman" w:hAnsi="Times New Roman" w:cs="Times New Roman"/>
          <w:b/>
          <w:bCs/>
          <w:color w:val="000000" w:themeColor="text1"/>
          <w:sz w:val="24"/>
          <w:szCs w:val="24"/>
        </w:rPr>
      </w:pPr>
    </w:p>
    <w:p w14:paraId="6DD10944" w14:textId="77777777" w:rsidR="006C7E9F" w:rsidRDefault="006C7E9F" w:rsidP="005E16B5">
      <w:pPr>
        <w:spacing w:line="360" w:lineRule="auto"/>
        <w:rPr>
          <w:rFonts w:ascii="Times New Roman" w:hAnsi="Times New Roman" w:cs="Times New Roman"/>
          <w:b/>
          <w:bCs/>
          <w:color w:val="000000" w:themeColor="text1"/>
          <w:sz w:val="24"/>
          <w:szCs w:val="24"/>
        </w:rPr>
      </w:pPr>
    </w:p>
    <w:p w14:paraId="24E63509" w14:textId="77777777" w:rsidR="006C7E9F" w:rsidRPr="005E16B5" w:rsidRDefault="006C7E9F" w:rsidP="005E16B5">
      <w:pPr>
        <w:spacing w:line="360" w:lineRule="auto"/>
        <w:rPr>
          <w:rFonts w:ascii="Times New Roman" w:hAnsi="Times New Roman" w:cs="Times New Roman"/>
          <w:b/>
          <w:bCs/>
          <w:color w:val="000000" w:themeColor="text1"/>
          <w:sz w:val="24"/>
          <w:szCs w:val="24"/>
        </w:rPr>
      </w:pPr>
    </w:p>
    <w:sdt>
      <w:sdtPr>
        <w:rPr>
          <w:rFonts w:ascii="Times New Roman" w:eastAsiaTheme="minorHAnsi" w:hAnsi="Times New Roman" w:cs="Times New Roman"/>
          <w:color w:val="000000" w:themeColor="text1"/>
          <w:kern w:val="2"/>
          <w:sz w:val="24"/>
          <w:szCs w:val="24"/>
          <w:lang w:val="en-IN"/>
        </w:rPr>
        <w:id w:val="1665673055"/>
        <w:docPartObj>
          <w:docPartGallery w:val="Table of Contents"/>
          <w:docPartUnique/>
        </w:docPartObj>
      </w:sdtPr>
      <w:sdtEndPr>
        <w:rPr>
          <w:b/>
          <w:bCs/>
          <w:noProof/>
        </w:rPr>
      </w:sdtEndPr>
      <w:sdtContent>
        <w:p w14:paraId="6B029263" w14:textId="417AE5D5" w:rsidR="00D92882" w:rsidRPr="005E16B5" w:rsidRDefault="00D92882" w:rsidP="005E16B5">
          <w:pPr>
            <w:pStyle w:val="TOCHeading"/>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Table of Contents</w:t>
          </w:r>
        </w:p>
        <w:p w14:paraId="3A259626" w14:textId="31FE4B61" w:rsidR="00D92882" w:rsidRPr="005E16B5" w:rsidRDefault="00D92882"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5E16B5">
            <w:rPr>
              <w:rFonts w:ascii="Times New Roman" w:hAnsi="Times New Roman" w:cs="Times New Roman"/>
              <w:color w:val="000000" w:themeColor="text1"/>
              <w:sz w:val="24"/>
              <w:szCs w:val="24"/>
            </w:rPr>
            <w:fldChar w:fldCharType="begin"/>
          </w:r>
          <w:r w:rsidRPr="005E16B5">
            <w:rPr>
              <w:rFonts w:ascii="Times New Roman" w:hAnsi="Times New Roman" w:cs="Times New Roman"/>
              <w:color w:val="000000" w:themeColor="text1"/>
              <w:sz w:val="24"/>
              <w:szCs w:val="24"/>
            </w:rPr>
            <w:instrText xml:space="preserve"> TOC \o "1-3" \h \z \u </w:instrText>
          </w:r>
          <w:r w:rsidRPr="005E16B5">
            <w:rPr>
              <w:rFonts w:ascii="Times New Roman" w:hAnsi="Times New Roman" w:cs="Times New Roman"/>
              <w:color w:val="000000" w:themeColor="text1"/>
              <w:sz w:val="24"/>
              <w:szCs w:val="24"/>
            </w:rPr>
            <w:fldChar w:fldCharType="separate"/>
          </w:r>
          <w:hyperlink w:anchor="_Toc175133182" w:history="1">
            <w:r w:rsidRPr="005E16B5">
              <w:rPr>
                <w:rStyle w:val="Hyperlink"/>
                <w:rFonts w:ascii="Times New Roman" w:hAnsi="Times New Roman" w:cs="Times New Roman"/>
                <w:noProof/>
                <w:color w:val="000000" w:themeColor="text1"/>
                <w:sz w:val="24"/>
                <w:szCs w:val="24"/>
              </w:rPr>
              <w:t>Introduction: Assignment Purpose</w:t>
            </w:r>
            <w:r w:rsidRPr="005E16B5">
              <w:rPr>
                <w:rFonts w:ascii="Times New Roman" w:hAnsi="Times New Roman" w:cs="Times New Roman"/>
                <w:noProof/>
                <w:webHidden/>
                <w:color w:val="000000" w:themeColor="text1"/>
                <w:sz w:val="24"/>
                <w:szCs w:val="24"/>
              </w:rPr>
              <w:tab/>
            </w:r>
            <w:r w:rsidRPr="005E16B5">
              <w:rPr>
                <w:rFonts w:ascii="Times New Roman" w:hAnsi="Times New Roman" w:cs="Times New Roman"/>
                <w:noProof/>
                <w:webHidden/>
                <w:color w:val="000000" w:themeColor="text1"/>
                <w:sz w:val="24"/>
                <w:szCs w:val="24"/>
              </w:rPr>
              <w:fldChar w:fldCharType="begin"/>
            </w:r>
            <w:r w:rsidRPr="005E16B5">
              <w:rPr>
                <w:rFonts w:ascii="Times New Roman" w:hAnsi="Times New Roman" w:cs="Times New Roman"/>
                <w:noProof/>
                <w:webHidden/>
                <w:color w:val="000000" w:themeColor="text1"/>
                <w:sz w:val="24"/>
                <w:szCs w:val="24"/>
              </w:rPr>
              <w:instrText xml:space="preserve"> PAGEREF _Toc175133182 \h </w:instrText>
            </w:r>
            <w:r w:rsidRPr="005E16B5">
              <w:rPr>
                <w:rFonts w:ascii="Times New Roman" w:hAnsi="Times New Roman" w:cs="Times New Roman"/>
                <w:noProof/>
                <w:webHidden/>
                <w:color w:val="000000" w:themeColor="text1"/>
                <w:sz w:val="24"/>
                <w:szCs w:val="24"/>
              </w:rPr>
            </w:r>
            <w:r w:rsidRPr="005E16B5">
              <w:rPr>
                <w:rFonts w:ascii="Times New Roman" w:hAnsi="Times New Roman" w:cs="Times New Roman"/>
                <w:noProof/>
                <w:webHidden/>
                <w:color w:val="000000" w:themeColor="text1"/>
                <w:sz w:val="24"/>
                <w:szCs w:val="24"/>
              </w:rPr>
              <w:fldChar w:fldCharType="separate"/>
            </w:r>
            <w:r w:rsidRPr="005E16B5">
              <w:rPr>
                <w:rFonts w:ascii="Times New Roman" w:hAnsi="Times New Roman" w:cs="Times New Roman"/>
                <w:noProof/>
                <w:webHidden/>
                <w:color w:val="000000" w:themeColor="text1"/>
                <w:sz w:val="24"/>
                <w:szCs w:val="24"/>
              </w:rPr>
              <w:t>3</w:t>
            </w:r>
            <w:r w:rsidRPr="005E16B5">
              <w:rPr>
                <w:rFonts w:ascii="Times New Roman" w:hAnsi="Times New Roman" w:cs="Times New Roman"/>
                <w:noProof/>
                <w:webHidden/>
                <w:color w:val="000000" w:themeColor="text1"/>
                <w:sz w:val="24"/>
                <w:szCs w:val="24"/>
              </w:rPr>
              <w:fldChar w:fldCharType="end"/>
            </w:r>
          </w:hyperlink>
        </w:p>
        <w:p w14:paraId="4EFE0393" w14:textId="7D0BDD20" w:rsidR="00D92882" w:rsidRPr="005E16B5" w:rsidRDefault="00520EB1"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5133183" w:history="1">
            <w:r w:rsidR="00D92882" w:rsidRPr="005E16B5">
              <w:rPr>
                <w:rStyle w:val="Hyperlink"/>
                <w:rFonts w:ascii="Times New Roman" w:hAnsi="Times New Roman" w:cs="Times New Roman"/>
                <w:noProof/>
                <w:color w:val="000000" w:themeColor="text1"/>
                <w:sz w:val="24"/>
                <w:szCs w:val="24"/>
              </w:rPr>
              <w:t>Foreign Exchange Risks and Exposure</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_Toc175133183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3</w:t>
            </w:r>
            <w:r w:rsidR="00D92882" w:rsidRPr="005E16B5">
              <w:rPr>
                <w:rFonts w:ascii="Times New Roman" w:hAnsi="Times New Roman" w:cs="Times New Roman"/>
                <w:noProof/>
                <w:webHidden/>
                <w:color w:val="000000" w:themeColor="text1"/>
                <w:sz w:val="24"/>
                <w:szCs w:val="24"/>
              </w:rPr>
              <w:fldChar w:fldCharType="end"/>
            </w:r>
          </w:hyperlink>
        </w:p>
        <w:p w14:paraId="01DBFB18" w14:textId="03E564DA" w:rsidR="00D92882" w:rsidRPr="005E16B5" w:rsidRDefault="00520EB1"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5133184" w:history="1">
            <w:r w:rsidR="00D92882" w:rsidRPr="005E16B5">
              <w:rPr>
                <w:rStyle w:val="Hyperlink"/>
                <w:rFonts w:ascii="Times New Roman" w:hAnsi="Times New Roman" w:cs="Times New Roman"/>
                <w:noProof/>
                <w:color w:val="000000" w:themeColor="text1"/>
                <w:sz w:val="24"/>
                <w:szCs w:val="24"/>
              </w:rPr>
              <w:t>Foreign Exchange Exposure's Impact on MNCs</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_Toc175133184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4</w:t>
            </w:r>
            <w:r w:rsidR="00D92882" w:rsidRPr="005E16B5">
              <w:rPr>
                <w:rFonts w:ascii="Times New Roman" w:hAnsi="Times New Roman" w:cs="Times New Roman"/>
                <w:noProof/>
                <w:webHidden/>
                <w:color w:val="000000" w:themeColor="text1"/>
                <w:sz w:val="24"/>
                <w:szCs w:val="24"/>
              </w:rPr>
              <w:fldChar w:fldCharType="end"/>
            </w:r>
          </w:hyperlink>
        </w:p>
        <w:p w14:paraId="6F3C6F47" w14:textId="0EDF052B" w:rsidR="00D92882" w:rsidRPr="005E16B5" w:rsidRDefault="00520EB1"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5133185" w:history="1">
            <w:r w:rsidR="00D92882" w:rsidRPr="005E16B5">
              <w:rPr>
                <w:rStyle w:val="Hyperlink"/>
                <w:rFonts w:ascii="Times New Roman" w:hAnsi="Times New Roman" w:cs="Times New Roman"/>
                <w:noProof/>
                <w:color w:val="000000" w:themeColor="text1"/>
                <w:sz w:val="24"/>
                <w:szCs w:val="24"/>
              </w:rPr>
              <w:t>Forex exposure management Strategies</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_Toc175133185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6</w:t>
            </w:r>
            <w:r w:rsidR="00D92882" w:rsidRPr="005E16B5">
              <w:rPr>
                <w:rFonts w:ascii="Times New Roman" w:hAnsi="Times New Roman" w:cs="Times New Roman"/>
                <w:noProof/>
                <w:webHidden/>
                <w:color w:val="000000" w:themeColor="text1"/>
                <w:sz w:val="24"/>
                <w:szCs w:val="24"/>
              </w:rPr>
              <w:fldChar w:fldCharType="end"/>
            </w:r>
          </w:hyperlink>
        </w:p>
        <w:p w14:paraId="7C85F366" w14:textId="4D23AEB4" w:rsidR="00D92882" w:rsidRPr="005E16B5" w:rsidRDefault="00520EB1" w:rsidP="005E16B5">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5133186" w:history="1">
            <w:r w:rsidR="00D92882" w:rsidRPr="005E16B5">
              <w:rPr>
                <w:rStyle w:val="Hyperlink"/>
                <w:rFonts w:ascii="Times New Roman" w:hAnsi="Times New Roman" w:cs="Times New Roman"/>
                <w:noProof/>
                <w:color w:val="000000" w:themeColor="text1"/>
                <w:sz w:val="24"/>
                <w:szCs w:val="24"/>
              </w:rPr>
              <w:t>Tools for Managing Foreign Exchange Exposure and its benefits</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_Toc175133186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6</w:t>
            </w:r>
            <w:r w:rsidR="00D92882" w:rsidRPr="005E16B5">
              <w:rPr>
                <w:rFonts w:ascii="Times New Roman" w:hAnsi="Times New Roman" w:cs="Times New Roman"/>
                <w:noProof/>
                <w:webHidden/>
                <w:color w:val="000000" w:themeColor="text1"/>
                <w:sz w:val="24"/>
                <w:szCs w:val="24"/>
              </w:rPr>
              <w:fldChar w:fldCharType="end"/>
            </w:r>
          </w:hyperlink>
        </w:p>
        <w:p w14:paraId="39D78385" w14:textId="31C4462E" w:rsidR="00D92882" w:rsidRPr="005E16B5" w:rsidRDefault="00520EB1" w:rsidP="005E16B5">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5133187" w:history="1">
            <w:r w:rsidR="00D92882" w:rsidRPr="005E16B5">
              <w:rPr>
                <w:rStyle w:val="Hyperlink"/>
                <w:rFonts w:ascii="Times New Roman" w:hAnsi="Times New Roman" w:cs="Times New Roman"/>
                <w:noProof/>
                <w:color w:val="000000" w:themeColor="text1"/>
                <w:sz w:val="24"/>
                <w:szCs w:val="24"/>
              </w:rPr>
              <w:t>Theory-based approaches</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_Toc175133187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8</w:t>
            </w:r>
            <w:r w:rsidR="00D92882" w:rsidRPr="005E16B5">
              <w:rPr>
                <w:rFonts w:ascii="Times New Roman" w:hAnsi="Times New Roman" w:cs="Times New Roman"/>
                <w:noProof/>
                <w:webHidden/>
                <w:color w:val="000000" w:themeColor="text1"/>
                <w:sz w:val="24"/>
                <w:szCs w:val="24"/>
              </w:rPr>
              <w:fldChar w:fldCharType="end"/>
            </w:r>
          </w:hyperlink>
        </w:p>
        <w:p w14:paraId="1BDD5BB6" w14:textId="21F2C25F" w:rsidR="00D92882" w:rsidRPr="005E16B5" w:rsidRDefault="00520EB1" w:rsidP="005E16B5">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5133188" w:history="1">
            <w:r w:rsidR="00D92882" w:rsidRPr="005E16B5">
              <w:rPr>
                <w:rStyle w:val="Hyperlink"/>
                <w:rFonts w:ascii="Times New Roman" w:hAnsi="Times New Roman" w:cs="Times New Roman"/>
                <w:noProof/>
                <w:color w:val="000000" w:themeColor="text1"/>
                <w:sz w:val="24"/>
                <w:szCs w:val="24"/>
              </w:rPr>
              <w:t>Benefits of managing foreign exchange exposure</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_Toc175133188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9</w:t>
            </w:r>
            <w:r w:rsidR="00D92882" w:rsidRPr="005E16B5">
              <w:rPr>
                <w:rFonts w:ascii="Times New Roman" w:hAnsi="Times New Roman" w:cs="Times New Roman"/>
                <w:noProof/>
                <w:webHidden/>
                <w:color w:val="000000" w:themeColor="text1"/>
                <w:sz w:val="24"/>
                <w:szCs w:val="24"/>
              </w:rPr>
              <w:fldChar w:fldCharType="end"/>
            </w:r>
          </w:hyperlink>
        </w:p>
        <w:p w14:paraId="16141928" w14:textId="422671A0" w:rsidR="00D92882" w:rsidRPr="005E16B5" w:rsidRDefault="00520EB1"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5133189" w:history="1">
            <w:r w:rsidR="00D92882" w:rsidRPr="005E16B5">
              <w:rPr>
                <w:rStyle w:val="Hyperlink"/>
                <w:rFonts w:ascii="Times New Roman" w:hAnsi="Times New Roman" w:cs="Times New Roman"/>
                <w:noProof/>
                <w:color w:val="000000" w:themeColor="text1"/>
                <w:sz w:val="24"/>
                <w:szCs w:val="24"/>
              </w:rPr>
              <w:t>Conclusion</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_Toc175133189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10</w:t>
            </w:r>
            <w:r w:rsidR="00D92882" w:rsidRPr="005E16B5">
              <w:rPr>
                <w:rFonts w:ascii="Times New Roman" w:hAnsi="Times New Roman" w:cs="Times New Roman"/>
                <w:noProof/>
                <w:webHidden/>
                <w:color w:val="000000" w:themeColor="text1"/>
                <w:sz w:val="24"/>
                <w:szCs w:val="24"/>
              </w:rPr>
              <w:fldChar w:fldCharType="end"/>
            </w:r>
          </w:hyperlink>
        </w:p>
        <w:p w14:paraId="1C15C450" w14:textId="1591E81A" w:rsidR="00D92882" w:rsidRPr="005E16B5" w:rsidRDefault="00520EB1" w:rsidP="005E16B5">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5133190" w:history="1">
            <w:r w:rsidR="00D92882" w:rsidRPr="005E16B5">
              <w:rPr>
                <w:rStyle w:val="Hyperlink"/>
                <w:rFonts w:ascii="Times New Roman" w:hAnsi="Times New Roman" w:cs="Times New Roman"/>
                <w:noProof/>
                <w:color w:val="000000" w:themeColor="text1"/>
                <w:sz w:val="24"/>
                <w:szCs w:val="24"/>
              </w:rPr>
              <w:t>References</w:t>
            </w:r>
            <w:r w:rsidR="00D92882" w:rsidRPr="005E16B5">
              <w:rPr>
                <w:rFonts w:ascii="Times New Roman" w:hAnsi="Times New Roman" w:cs="Times New Roman"/>
                <w:noProof/>
                <w:webHidden/>
                <w:color w:val="000000" w:themeColor="text1"/>
                <w:sz w:val="24"/>
                <w:szCs w:val="24"/>
              </w:rPr>
              <w:tab/>
            </w:r>
            <w:r w:rsidR="00D92882" w:rsidRPr="005E16B5">
              <w:rPr>
                <w:rFonts w:ascii="Times New Roman" w:hAnsi="Times New Roman" w:cs="Times New Roman"/>
                <w:noProof/>
                <w:webHidden/>
                <w:color w:val="000000" w:themeColor="text1"/>
                <w:sz w:val="24"/>
                <w:szCs w:val="24"/>
              </w:rPr>
              <w:fldChar w:fldCharType="begin"/>
            </w:r>
            <w:r w:rsidR="00D92882" w:rsidRPr="005E16B5">
              <w:rPr>
                <w:rFonts w:ascii="Times New Roman" w:hAnsi="Times New Roman" w:cs="Times New Roman"/>
                <w:noProof/>
                <w:webHidden/>
                <w:color w:val="000000" w:themeColor="text1"/>
                <w:sz w:val="24"/>
                <w:szCs w:val="24"/>
              </w:rPr>
              <w:instrText xml:space="preserve"> PAGEREF _Toc175133190 \h </w:instrText>
            </w:r>
            <w:r w:rsidR="00D92882" w:rsidRPr="005E16B5">
              <w:rPr>
                <w:rFonts w:ascii="Times New Roman" w:hAnsi="Times New Roman" w:cs="Times New Roman"/>
                <w:noProof/>
                <w:webHidden/>
                <w:color w:val="000000" w:themeColor="text1"/>
                <w:sz w:val="24"/>
                <w:szCs w:val="24"/>
              </w:rPr>
            </w:r>
            <w:r w:rsidR="00D92882" w:rsidRPr="005E16B5">
              <w:rPr>
                <w:rFonts w:ascii="Times New Roman" w:hAnsi="Times New Roman" w:cs="Times New Roman"/>
                <w:noProof/>
                <w:webHidden/>
                <w:color w:val="000000" w:themeColor="text1"/>
                <w:sz w:val="24"/>
                <w:szCs w:val="24"/>
              </w:rPr>
              <w:fldChar w:fldCharType="separate"/>
            </w:r>
            <w:r w:rsidR="00D92882" w:rsidRPr="005E16B5">
              <w:rPr>
                <w:rFonts w:ascii="Times New Roman" w:hAnsi="Times New Roman" w:cs="Times New Roman"/>
                <w:noProof/>
                <w:webHidden/>
                <w:color w:val="000000" w:themeColor="text1"/>
                <w:sz w:val="24"/>
                <w:szCs w:val="24"/>
              </w:rPr>
              <w:t>11</w:t>
            </w:r>
            <w:r w:rsidR="00D92882" w:rsidRPr="005E16B5">
              <w:rPr>
                <w:rFonts w:ascii="Times New Roman" w:hAnsi="Times New Roman" w:cs="Times New Roman"/>
                <w:noProof/>
                <w:webHidden/>
                <w:color w:val="000000" w:themeColor="text1"/>
                <w:sz w:val="24"/>
                <w:szCs w:val="24"/>
              </w:rPr>
              <w:fldChar w:fldCharType="end"/>
            </w:r>
          </w:hyperlink>
        </w:p>
        <w:p w14:paraId="5CB6CF02" w14:textId="1981EA3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noProof/>
              <w:color w:val="000000" w:themeColor="text1"/>
              <w:sz w:val="24"/>
              <w:szCs w:val="24"/>
            </w:rPr>
            <w:fldChar w:fldCharType="end"/>
          </w:r>
        </w:p>
      </w:sdtContent>
    </w:sdt>
    <w:p w14:paraId="1F2E228E" w14:textId="47F06998" w:rsidR="00D92882" w:rsidRPr="005E16B5" w:rsidRDefault="00D92882" w:rsidP="005E16B5">
      <w:pPr>
        <w:spacing w:line="360" w:lineRule="auto"/>
        <w:jc w:val="both"/>
        <w:rPr>
          <w:rFonts w:ascii="Times New Roman" w:eastAsiaTheme="majorEastAsia" w:hAnsi="Times New Roman" w:cs="Times New Roman"/>
          <w:b/>
          <w:bCs/>
          <w:color w:val="000000" w:themeColor="text1"/>
          <w:sz w:val="24"/>
          <w:szCs w:val="24"/>
        </w:rPr>
      </w:pPr>
      <w:r w:rsidRPr="005E16B5">
        <w:rPr>
          <w:rFonts w:ascii="Times New Roman" w:eastAsiaTheme="majorEastAsia" w:hAnsi="Times New Roman" w:cs="Times New Roman"/>
          <w:b/>
          <w:bCs/>
          <w:color w:val="000000" w:themeColor="text1"/>
          <w:sz w:val="24"/>
          <w:szCs w:val="24"/>
        </w:rPr>
        <w:br w:type="page"/>
      </w:r>
    </w:p>
    <w:p w14:paraId="7B0C70A7" w14:textId="7266B8F9" w:rsidR="0073343F" w:rsidRPr="005E16B5" w:rsidRDefault="0073343F" w:rsidP="005E16B5">
      <w:pPr>
        <w:pStyle w:val="Heading1"/>
        <w:spacing w:line="360" w:lineRule="auto"/>
        <w:jc w:val="both"/>
        <w:rPr>
          <w:rFonts w:ascii="Times New Roman" w:hAnsi="Times New Roman" w:cs="Times New Roman"/>
          <w:b/>
          <w:bCs/>
          <w:color w:val="000000" w:themeColor="text1"/>
          <w:sz w:val="24"/>
          <w:szCs w:val="24"/>
        </w:rPr>
      </w:pPr>
      <w:bookmarkStart w:id="0" w:name="_Toc175133182"/>
      <w:r w:rsidRPr="005E16B5">
        <w:rPr>
          <w:rFonts w:ascii="Times New Roman" w:hAnsi="Times New Roman" w:cs="Times New Roman"/>
          <w:b/>
          <w:bCs/>
          <w:color w:val="000000" w:themeColor="text1"/>
          <w:sz w:val="24"/>
          <w:szCs w:val="24"/>
        </w:rPr>
        <w:lastRenderedPageBreak/>
        <w:t>Introduction: Assignment Purpose</w:t>
      </w:r>
      <w:bookmarkEnd w:id="0"/>
    </w:p>
    <w:p w14:paraId="32F1A144" w14:textId="77777777" w:rsidR="005E16B5" w:rsidRPr="005E16B5" w:rsidRDefault="005E16B5"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Multinational companies (MNCs) have money, assets, and activities abroad. Global corporations may use personnel and commodities to compete. Amazon, Apple, Toyota, Starbucks, Tesla, Samsung, and Eli Lilly are well-known MNCs. These enterprises expanded internationally by using comparative advantage to optimise production efficiency via workforce specialisation and regional cost advantages. Tesla's China activities show how MNCs benefit from foreign economies (Gupta et al., 2020). Global activities make foreign currency risk management crucial to MNCs' financial performance. Currency fluctuations may affect MNC revenue, cost management, and financial reporting. Apple, with a 2024 market value of USD 3.16 trillion, operates in many currencies, putting it sensitive to exchange rate movements.</w:t>
      </w:r>
    </w:p>
    <w:p w14:paraId="37393A8C" w14:textId="08795D01" w:rsidR="0073343F" w:rsidRPr="005E16B5" w:rsidRDefault="00963826"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This assignment analyses MNCs' foreign currency risk management methods using IFM theories. Due to their global operations and many currencies, MNCs suffer foreign currency risk</w:t>
      </w:r>
      <w:r w:rsidR="0073343F" w:rsidRPr="005E16B5">
        <w:rPr>
          <w:rFonts w:ascii="Times New Roman" w:hAnsi="Times New Roman" w:cs="Times New Roman"/>
          <w:color w:val="000000" w:themeColor="text1"/>
          <w:sz w:val="24"/>
          <w:szCs w:val="24"/>
        </w:rPr>
        <w:t>. This paper examines how MNCs use IFM-based financial and operational solutions to minimise exchange rate swings.</w:t>
      </w:r>
    </w:p>
    <w:p w14:paraId="4C69FEBB" w14:textId="6C0D3538" w:rsidR="0073343F" w:rsidRPr="005E16B5" w:rsidRDefault="0073343F" w:rsidP="005E16B5">
      <w:pPr>
        <w:pStyle w:val="Heading1"/>
        <w:spacing w:line="360" w:lineRule="auto"/>
        <w:jc w:val="both"/>
        <w:rPr>
          <w:rFonts w:ascii="Times New Roman" w:hAnsi="Times New Roman" w:cs="Times New Roman"/>
          <w:b/>
          <w:bCs/>
          <w:color w:val="000000" w:themeColor="text1"/>
          <w:sz w:val="24"/>
          <w:szCs w:val="24"/>
        </w:rPr>
      </w:pPr>
      <w:bookmarkStart w:id="1" w:name="_Toc175133183"/>
      <w:r w:rsidRPr="005E16B5">
        <w:rPr>
          <w:rFonts w:ascii="Times New Roman" w:hAnsi="Times New Roman" w:cs="Times New Roman"/>
          <w:b/>
          <w:bCs/>
          <w:color w:val="000000" w:themeColor="text1"/>
          <w:sz w:val="24"/>
          <w:szCs w:val="24"/>
        </w:rPr>
        <w:t>Foreign Exchange Risks and Exposure</w:t>
      </w:r>
      <w:bookmarkEnd w:id="1"/>
      <w:r w:rsidRPr="005E16B5">
        <w:rPr>
          <w:rFonts w:ascii="Times New Roman" w:hAnsi="Times New Roman" w:cs="Times New Roman"/>
          <w:b/>
          <w:bCs/>
          <w:color w:val="000000" w:themeColor="text1"/>
          <w:sz w:val="24"/>
          <w:szCs w:val="24"/>
        </w:rPr>
        <w:t xml:space="preserve"> </w:t>
      </w:r>
    </w:p>
    <w:p w14:paraId="09CE8CD7" w14:textId="77777777" w:rsidR="0073343F" w:rsidRPr="005E16B5" w:rsidRDefault="0073343F" w:rsidP="005E16B5">
      <w:pPr>
        <w:spacing w:line="360" w:lineRule="auto"/>
        <w:jc w:val="both"/>
        <w:rPr>
          <w:rFonts w:ascii="Times New Roman" w:hAnsi="Times New Roman" w:cs="Times New Roman"/>
          <w:b/>
          <w:bCs/>
          <w:i/>
          <w:iCs/>
          <w:color w:val="000000" w:themeColor="text1"/>
          <w:sz w:val="24"/>
          <w:szCs w:val="24"/>
        </w:rPr>
      </w:pPr>
      <w:r w:rsidRPr="005E16B5">
        <w:rPr>
          <w:rFonts w:ascii="Times New Roman" w:hAnsi="Times New Roman" w:cs="Times New Roman"/>
          <w:b/>
          <w:bCs/>
          <w:i/>
          <w:iCs/>
          <w:color w:val="000000" w:themeColor="text1"/>
          <w:sz w:val="24"/>
          <w:szCs w:val="24"/>
        </w:rPr>
        <w:t xml:space="preserve">A currency exchange rate </w:t>
      </w:r>
    </w:p>
    <w:p w14:paraId="4C8D6FCE" w14:textId="71973F4E" w:rsidR="0073343F" w:rsidRPr="005E16B5" w:rsidRDefault="0073343F"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This is the exchange rate between currencies. In the global economy, exchange rates determine how much of one currency is required to buy another. Exchange rates matter to multinational businesses (MNCs) since they operate in several countries with different currencies. For raw material purchases, employee payments, and profit repatriation, these enterprises change currencies. Currency fluctuations effect MNCs' costs of products, services, and investments</w:t>
      </w:r>
      <w:r w:rsidR="0063292F" w:rsidRPr="005E16B5">
        <w:rPr>
          <w:rFonts w:ascii="Times New Roman" w:hAnsi="Times New Roman" w:cs="Times New Roman"/>
          <w:color w:val="000000" w:themeColor="text1"/>
          <w:sz w:val="24"/>
          <w:szCs w:val="24"/>
        </w:rPr>
        <w:t xml:space="preserve"> (Hadian and Adaoglu, 2020)</w:t>
      </w:r>
      <w:r w:rsidRPr="005E16B5">
        <w:rPr>
          <w:rFonts w:ascii="Times New Roman" w:hAnsi="Times New Roman" w:cs="Times New Roman"/>
          <w:color w:val="000000" w:themeColor="text1"/>
          <w:sz w:val="24"/>
          <w:szCs w:val="24"/>
        </w:rPr>
        <w:t xml:space="preserve">. The euro-dollar exchange rate determines the dollar cost of European commodities imported by a U.S. corporation. The corporation will pay less dollars to acquire the equivalent euros with a stronger currency, lowering import costs. </w:t>
      </w:r>
    </w:p>
    <w:p w14:paraId="4D550929" w14:textId="2A66C59B" w:rsidR="0073343F" w:rsidRPr="005E16B5" w:rsidRDefault="0073343F" w:rsidP="005E16B5">
      <w:pPr>
        <w:spacing w:line="360" w:lineRule="auto"/>
        <w:jc w:val="both"/>
        <w:rPr>
          <w:rFonts w:ascii="Times New Roman" w:hAnsi="Times New Roman" w:cs="Times New Roman"/>
          <w:b/>
          <w:bCs/>
          <w:i/>
          <w:iCs/>
          <w:color w:val="000000" w:themeColor="text1"/>
          <w:sz w:val="24"/>
          <w:szCs w:val="24"/>
        </w:rPr>
      </w:pPr>
      <w:r w:rsidRPr="005E16B5">
        <w:rPr>
          <w:rFonts w:ascii="Times New Roman" w:hAnsi="Times New Roman" w:cs="Times New Roman"/>
          <w:b/>
          <w:bCs/>
          <w:i/>
          <w:iCs/>
          <w:color w:val="000000" w:themeColor="text1"/>
          <w:sz w:val="24"/>
          <w:szCs w:val="24"/>
        </w:rPr>
        <w:t>Forex Risk.</w:t>
      </w:r>
    </w:p>
    <w:p w14:paraId="5A74BAA9" w14:textId="1F66012E" w:rsidR="0073343F" w:rsidRPr="005E16B5" w:rsidRDefault="0073343F"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Foreign exchange risk, often known as currency risk, involves financial losses from exchange rate movements. For MNCs, international commerce involves foreign currency risk. Due to interest rates, inflation, political stability, and economic performance, currency values vary regularly, posing these hazards. When currency rates shift negatively, MNC revenues, expenses, and profitability may suffer</w:t>
      </w:r>
      <w:r w:rsidR="0063292F" w:rsidRPr="005E16B5">
        <w:rPr>
          <w:rFonts w:ascii="Times New Roman" w:hAnsi="Times New Roman" w:cs="Times New Roman"/>
          <w:color w:val="000000" w:themeColor="text1"/>
          <w:sz w:val="24"/>
          <w:szCs w:val="24"/>
        </w:rPr>
        <w:t xml:space="preserve"> (Fatica and Gregori, 2020)</w:t>
      </w:r>
      <w:r w:rsidRPr="005E16B5">
        <w:rPr>
          <w:rFonts w:ascii="Times New Roman" w:hAnsi="Times New Roman" w:cs="Times New Roman"/>
          <w:color w:val="000000" w:themeColor="text1"/>
          <w:sz w:val="24"/>
          <w:szCs w:val="24"/>
        </w:rPr>
        <w:t xml:space="preserve">. Transaction vulnerability happens when an MNC is engaged in a prospective financial transaction and the currencies change before the transaction is resolved. A U.K. firm selling products to a U.S. client with </w:t>
      </w:r>
      <w:r w:rsidRPr="005E16B5">
        <w:rPr>
          <w:rFonts w:ascii="Times New Roman" w:hAnsi="Times New Roman" w:cs="Times New Roman"/>
          <w:color w:val="000000" w:themeColor="text1"/>
          <w:sz w:val="24"/>
          <w:szCs w:val="24"/>
        </w:rPr>
        <w:lastRenderedPageBreak/>
        <w:t>payment due in three months in U.S. dollars risks the pound strengthening versus the dollar. The U.K. corporation will earn less pounds when converting dollars if the pound strengthens, cutting its home currency income. If the yen strengthens, Japanese automobiles may cost more abroad, lowering sales and market share</w:t>
      </w:r>
      <w:r w:rsidR="0063292F" w:rsidRPr="005E16B5">
        <w:rPr>
          <w:rFonts w:ascii="Times New Roman" w:hAnsi="Times New Roman" w:cs="Times New Roman"/>
          <w:color w:val="000000" w:themeColor="text1"/>
          <w:sz w:val="24"/>
          <w:szCs w:val="24"/>
        </w:rPr>
        <w:t xml:space="preserve"> (Bae and Taek Ho Kwon, 2022)</w:t>
      </w:r>
      <w:r w:rsidRPr="005E16B5">
        <w:rPr>
          <w:rFonts w:ascii="Times New Roman" w:hAnsi="Times New Roman" w:cs="Times New Roman"/>
          <w:color w:val="000000" w:themeColor="text1"/>
          <w:sz w:val="24"/>
          <w:szCs w:val="24"/>
        </w:rPr>
        <w:t xml:space="preserve">. This may affect the company's profitability and worldwide competitiveness. </w:t>
      </w:r>
    </w:p>
    <w:p w14:paraId="4E9A7488" w14:textId="1FBD82C2" w:rsidR="0063292F" w:rsidRPr="005E16B5" w:rsidRDefault="0063292F" w:rsidP="005E16B5">
      <w:pPr>
        <w:pStyle w:val="Heading1"/>
        <w:spacing w:line="360" w:lineRule="auto"/>
        <w:jc w:val="both"/>
        <w:rPr>
          <w:rFonts w:ascii="Times New Roman" w:hAnsi="Times New Roman" w:cs="Times New Roman"/>
          <w:b/>
          <w:bCs/>
          <w:color w:val="000000" w:themeColor="text1"/>
          <w:sz w:val="24"/>
          <w:szCs w:val="24"/>
        </w:rPr>
      </w:pPr>
      <w:bookmarkStart w:id="2" w:name="_Toc175133184"/>
      <w:r w:rsidRPr="005E16B5">
        <w:rPr>
          <w:rFonts w:ascii="Times New Roman" w:hAnsi="Times New Roman" w:cs="Times New Roman"/>
          <w:b/>
          <w:bCs/>
          <w:color w:val="000000" w:themeColor="text1"/>
          <w:sz w:val="24"/>
          <w:szCs w:val="24"/>
        </w:rPr>
        <w:t>Foreign Exchange Exposure's Impact on MNCs</w:t>
      </w:r>
      <w:bookmarkEnd w:id="2"/>
    </w:p>
    <w:p w14:paraId="1F79D3C2" w14:textId="77777777" w:rsidR="0063292F" w:rsidRPr="005E16B5" w:rsidRDefault="0063292F"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Operational Impact</w:t>
      </w:r>
    </w:p>
    <w:p w14:paraId="03CBEFAA" w14:textId="5EBA2126" w:rsidR="0063292F" w:rsidRPr="005E16B5" w:rsidRDefault="0063292F"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Foreign currency risk affects MNCs' sourcing, production, and pricing strategies. Countries with their own currencies provide raw resources, components, and services to worldwide MNCs. Exchange rates may greatly affect these inputs' costs and the company's cost structure. If Toyota buys Japanese car parts for its US operations, a weaker yen might lower procurement costs and enhance earnings (Bhattacheryay, 2021). A rising yen might boost procurement costs, margins, and consumer pricing (Bhattacheryay, 2021). If the local currency falls, the company may have to increase prices to remain profitable, limiting product demand. MNCs avoid these risks by stabilising market pricing via price increases, currency clauses, and hedging.</w:t>
      </w:r>
    </w:p>
    <w:p w14:paraId="00D75115" w14:textId="5A641142" w:rsidR="0063292F" w:rsidRPr="005E16B5" w:rsidRDefault="0063292F"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Financial Impact</w:t>
      </w:r>
    </w:p>
    <w:p w14:paraId="01F06249" w14:textId="17458AC8" w:rsidR="0063292F" w:rsidRPr="005E16B5" w:rsidRDefault="0063292F"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MNC earnings volatility, cost of capital, and value are heavily influenced by foreign currency exposure. Foreign currency exposure directly impacts earnings volatility. Exchange rates affect an MNC's foreign currency sales and expenses, causing unanticipated profit variations. Apple, which benefits heavily from global markets, may be affected by the dollar. This volatility makes MNC financial projections harder and investor uncertainty, which may affect stock prices. Exchange rates affect loan servicing expenses for MNCs that raise money in many currencies</w:t>
      </w:r>
      <w:r w:rsidR="0010540C" w:rsidRPr="005E16B5">
        <w:rPr>
          <w:rFonts w:ascii="Times New Roman" w:hAnsi="Times New Roman" w:cs="Times New Roman"/>
          <w:color w:val="000000" w:themeColor="text1"/>
          <w:sz w:val="24"/>
          <w:szCs w:val="24"/>
        </w:rPr>
        <w:t xml:space="preserve"> (Abbassi and Bräuning, 2023)</w:t>
      </w:r>
      <w:r w:rsidRPr="005E16B5">
        <w:rPr>
          <w:rFonts w:ascii="Times New Roman" w:hAnsi="Times New Roman" w:cs="Times New Roman"/>
          <w:color w:val="000000" w:themeColor="text1"/>
          <w:sz w:val="24"/>
          <w:szCs w:val="24"/>
        </w:rPr>
        <w:t xml:space="preserve">. If a company issues euros-denominated bonds but earns mostly dollars, a dollar depreciation may boost the debt's effective cost since more dollars are required to pay the bonds. This may increase the company's capital cost, affecting operations and investments. </w:t>
      </w:r>
    </w:p>
    <w:p w14:paraId="0F96C263" w14:textId="2BF73E29" w:rsidR="0063292F" w:rsidRPr="005E16B5" w:rsidRDefault="0063292F"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 xml:space="preserve">Strategic Impact </w:t>
      </w:r>
    </w:p>
    <w:p w14:paraId="20CA1634" w14:textId="74860905" w:rsidR="0063292F" w:rsidRPr="005E16B5" w:rsidRDefault="0063292F"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Foreign currency risk impacts MNCs' long-term market entry, investment, and sourcing strategies. Prospective markets' stable exchange rates affect market entry decisions. Since earning and repatriating profits is risky, MNCs may avoid volatile local currency markets. Starbucks considers foreign currency risk when entering new markets. High exchange rate volatility may deter the company from entering the market or encourage it to price in a stable </w:t>
      </w:r>
      <w:r w:rsidRPr="005E16B5">
        <w:rPr>
          <w:rFonts w:ascii="Times New Roman" w:hAnsi="Times New Roman" w:cs="Times New Roman"/>
          <w:color w:val="000000" w:themeColor="text1"/>
          <w:sz w:val="24"/>
          <w:szCs w:val="24"/>
        </w:rPr>
        <w:lastRenderedPageBreak/>
        <w:t>currency or hedge well</w:t>
      </w:r>
      <w:r w:rsidR="0010540C" w:rsidRPr="005E16B5">
        <w:rPr>
          <w:rFonts w:ascii="Times New Roman" w:hAnsi="Times New Roman" w:cs="Times New Roman"/>
          <w:color w:val="000000" w:themeColor="text1"/>
          <w:sz w:val="24"/>
          <w:szCs w:val="24"/>
        </w:rPr>
        <w:t xml:space="preserve"> (Liao and Zhang, 2020</w:t>
      </w:r>
      <w:r w:rsidR="00F54F42" w:rsidRPr="005E16B5">
        <w:rPr>
          <w:rFonts w:ascii="Times New Roman" w:hAnsi="Times New Roman" w:cs="Times New Roman"/>
          <w:color w:val="000000" w:themeColor="text1"/>
          <w:sz w:val="24"/>
          <w:szCs w:val="24"/>
        </w:rPr>
        <w:t>)</w:t>
      </w:r>
      <w:r w:rsidRPr="005E16B5">
        <w:rPr>
          <w:rFonts w:ascii="Times New Roman" w:hAnsi="Times New Roman" w:cs="Times New Roman"/>
          <w:color w:val="000000" w:themeColor="text1"/>
          <w:sz w:val="24"/>
          <w:szCs w:val="24"/>
        </w:rPr>
        <w:t>, which buys parts from several countries, may find that a significant currency increase in one of its primary suppliers boosts costs and diminishes profitability</w:t>
      </w:r>
      <w:r w:rsidR="0010540C" w:rsidRPr="005E16B5">
        <w:rPr>
          <w:rFonts w:ascii="Times New Roman" w:hAnsi="Times New Roman" w:cs="Times New Roman"/>
          <w:color w:val="000000" w:themeColor="text1"/>
          <w:sz w:val="24"/>
          <w:szCs w:val="24"/>
        </w:rPr>
        <w:t xml:space="preserve"> (Tesla, 2024)</w:t>
      </w:r>
      <w:r w:rsidRPr="005E16B5">
        <w:rPr>
          <w:rFonts w:ascii="Times New Roman" w:hAnsi="Times New Roman" w:cs="Times New Roman"/>
          <w:color w:val="000000" w:themeColor="text1"/>
          <w:sz w:val="24"/>
          <w:szCs w:val="24"/>
        </w:rPr>
        <w:t>. MNCs may source from many countries to reduce currency reliance.</w:t>
      </w:r>
    </w:p>
    <w:p w14:paraId="54548B51" w14:textId="25761129" w:rsidR="00211A72" w:rsidRPr="005E16B5" w:rsidRDefault="00211A72" w:rsidP="005E16B5">
      <w:pPr>
        <w:pStyle w:val="Heading1"/>
        <w:spacing w:line="360" w:lineRule="auto"/>
        <w:jc w:val="both"/>
        <w:rPr>
          <w:rFonts w:ascii="Times New Roman" w:hAnsi="Times New Roman" w:cs="Times New Roman"/>
          <w:b/>
          <w:bCs/>
          <w:color w:val="000000" w:themeColor="text1"/>
          <w:sz w:val="24"/>
          <w:szCs w:val="24"/>
        </w:rPr>
      </w:pPr>
      <w:bookmarkStart w:id="3" w:name="_Toc175133185"/>
      <w:r w:rsidRPr="005E16B5">
        <w:rPr>
          <w:rFonts w:ascii="Times New Roman" w:hAnsi="Times New Roman" w:cs="Times New Roman"/>
          <w:b/>
          <w:bCs/>
          <w:color w:val="000000" w:themeColor="text1"/>
          <w:sz w:val="24"/>
          <w:szCs w:val="24"/>
        </w:rPr>
        <w:t>Forex exposure management Strategies</w:t>
      </w:r>
      <w:bookmarkEnd w:id="3"/>
    </w:p>
    <w:p w14:paraId="694724D6" w14:textId="220AA782" w:rsidR="00211A72" w:rsidRPr="005E16B5" w:rsidRDefault="00211A72" w:rsidP="005E16B5">
      <w:pPr>
        <w:pStyle w:val="Heading2"/>
        <w:spacing w:line="360" w:lineRule="auto"/>
        <w:jc w:val="both"/>
        <w:rPr>
          <w:rFonts w:ascii="Times New Roman" w:hAnsi="Times New Roman" w:cs="Times New Roman"/>
          <w:b/>
          <w:bCs/>
          <w:color w:val="000000" w:themeColor="text1"/>
          <w:sz w:val="24"/>
          <w:szCs w:val="24"/>
        </w:rPr>
      </w:pPr>
      <w:bookmarkStart w:id="4" w:name="_Toc175133186"/>
      <w:r w:rsidRPr="005E16B5">
        <w:rPr>
          <w:rFonts w:ascii="Times New Roman" w:hAnsi="Times New Roman" w:cs="Times New Roman"/>
          <w:b/>
          <w:bCs/>
          <w:color w:val="000000" w:themeColor="text1"/>
          <w:sz w:val="24"/>
          <w:szCs w:val="24"/>
        </w:rPr>
        <w:t>Tools for Managing Foreign Exchange Exposure and its benefits</w:t>
      </w:r>
      <w:bookmarkEnd w:id="4"/>
    </w:p>
    <w:p w14:paraId="41FCFFAD" w14:textId="480FE4B1" w:rsidR="00211A72" w:rsidRPr="005E16B5" w:rsidRDefault="00211A72" w:rsidP="005E16B5">
      <w:pPr>
        <w:pStyle w:val="ListParagraph"/>
        <w:numPr>
          <w:ilvl w:val="0"/>
          <w:numId w:val="1"/>
        </w:num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b/>
          <w:bCs/>
          <w:color w:val="000000" w:themeColor="text1"/>
          <w:sz w:val="24"/>
          <w:szCs w:val="24"/>
        </w:rPr>
        <w:t>Forward Deals</w:t>
      </w:r>
      <w:r w:rsidRPr="005E16B5">
        <w:rPr>
          <w:rFonts w:ascii="Times New Roman" w:hAnsi="Times New Roman" w:cs="Times New Roman"/>
          <w:color w:val="000000" w:themeColor="text1"/>
          <w:sz w:val="24"/>
          <w:szCs w:val="24"/>
        </w:rPr>
        <w:t>: MNCs need forward contracts to manage currency risk. Two parties sign a forward contract to exchange money at a future rate. MNCs may lock up exchange rates for future transactions, avoiding currency volatility. A U.S. company expecting euros in six months may enter a forward contract to convert them to dollars at the current exchange rate. A predetermined rate protects the company against euro-dollar exchange rate volatility. The fundamental advantage of forward contracts is cash flow predictability and consistency</w:t>
      </w:r>
      <w:r w:rsidR="0010540C" w:rsidRPr="005E16B5">
        <w:rPr>
          <w:rFonts w:ascii="Times New Roman" w:hAnsi="Times New Roman" w:cs="Times New Roman"/>
          <w:color w:val="000000" w:themeColor="text1"/>
          <w:sz w:val="24"/>
          <w:szCs w:val="24"/>
        </w:rPr>
        <w:t xml:space="preserve"> (Zlati, Ionescu and Antohi, 2022)</w:t>
      </w:r>
      <w:r w:rsidRPr="005E16B5">
        <w:rPr>
          <w:rFonts w:ascii="Times New Roman" w:hAnsi="Times New Roman" w:cs="Times New Roman"/>
          <w:color w:val="000000" w:themeColor="text1"/>
          <w:sz w:val="24"/>
          <w:szCs w:val="24"/>
        </w:rPr>
        <w:t xml:space="preserve">. </w:t>
      </w:r>
      <w:r w:rsidR="00282A43" w:rsidRPr="005E16B5">
        <w:rPr>
          <w:rFonts w:ascii="Times New Roman" w:hAnsi="Times New Roman" w:cs="Times New Roman"/>
          <w:color w:val="000000" w:themeColor="text1"/>
          <w:sz w:val="24"/>
          <w:szCs w:val="24"/>
        </w:rPr>
        <w:t xml:space="preserve">Tesla strategically places production plants in China to take advantage of cheaper labour costs and a strong manufacturing environment. Tesla is exposed to Chinese currency swings yet manufacturing expenses are reduced. </w:t>
      </w:r>
    </w:p>
    <w:p w14:paraId="0C86F8C7" w14:textId="6A0623D5" w:rsidR="00211A72" w:rsidRPr="005E16B5" w:rsidRDefault="00211A72" w:rsidP="005E16B5">
      <w:pPr>
        <w:pStyle w:val="ListParagraph"/>
        <w:numPr>
          <w:ilvl w:val="0"/>
          <w:numId w:val="1"/>
        </w:num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b/>
          <w:bCs/>
          <w:color w:val="000000" w:themeColor="text1"/>
          <w:sz w:val="24"/>
          <w:szCs w:val="24"/>
        </w:rPr>
        <w:t>Futures Trades:</w:t>
      </w:r>
      <w:r w:rsidRPr="005E16B5">
        <w:rPr>
          <w:rFonts w:ascii="Times New Roman" w:hAnsi="Times New Roman" w:cs="Times New Roman"/>
          <w:color w:val="000000" w:themeColor="text1"/>
          <w:sz w:val="24"/>
          <w:szCs w:val="24"/>
        </w:rPr>
        <w:t xml:space="preserve"> Futures and forward contracts allow MNCs to lock in exchange rates for future transactions, lowering currency risk. Unlike forward contracts, futures are standardised and traded</w:t>
      </w:r>
      <w:r w:rsidR="0010540C" w:rsidRPr="005E16B5">
        <w:rPr>
          <w:rFonts w:ascii="Times New Roman" w:hAnsi="Times New Roman" w:cs="Times New Roman"/>
          <w:color w:val="000000" w:themeColor="text1"/>
          <w:sz w:val="24"/>
          <w:szCs w:val="24"/>
        </w:rPr>
        <w:t xml:space="preserve"> (Li and Wang, 2023)</w:t>
      </w:r>
      <w:r w:rsidRPr="005E16B5">
        <w:rPr>
          <w:rFonts w:ascii="Times New Roman" w:hAnsi="Times New Roman" w:cs="Times New Roman"/>
          <w:color w:val="000000" w:themeColor="text1"/>
          <w:sz w:val="24"/>
          <w:szCs w:val="24"/>
        </w:rPr>
        <w:t xml:space="preserve">. Standardising size and expiration date makes futures contracts more liquid and tradeable. A significant benefit of futures contracts is liquidity. </w:t>
      </w:r>
      <w:r w:rsidR="00282A43" w:rsidRPr="005E16B5">
        <w:rPr>
          <w:rFonts w:ascii="Times New Roman" w:hAnsi="Times New Roman" w:cs="Times New Roman"/>
          <w:color w:val="000000" w:themeColor="text1"/>
          <w:sz w:val="24"/>
          <w:szCs w:val="24"/>
        </w:rPr>
        <w:t>If McDonald's Big Mac is much cheaper in China than in the U.S. after adjusting for the exchange rate, PPP theory suggests the Chinese yuan is undervalued. McDonald's may grow in China in hopes that the yuan would rise, enhancing its profit margins</w:t>
      </w:r>
      <w:r w:rsidR="0010540C" w:rsidRPr="005E16B5">
        <w:rPr>
          <w:rFonts w:ascii="Times New Roman" w:hAnsi="Times New Roman" w:cs="Times New Roman"/>
          <w:color w:val="000000" w:themeColor="text1"/>
          <w:sz w:val="24"/>
          <w:szCs w:val="24"/>
        </w:rPr>
        <w:t xml:space="preserve"> (McDonald and Dan, 2020)</w:t>
      </w:r>
      <w:r w:rsidR="00282A43" w:rsidRPr="005E16B5">
        <w:rPr>
          <w:rFonts w:ascii="Times New Roman" w:hAnsi="Times New Roman" w:cs="Times New Roman"/>
          <w:color w:val="000000" w:themeColor="text1"/>
          <w:sz w:val="24"/>
          <w:szCs w:val="24"/>
        </w:rPr>
        <w:t>. Understanding PPP helps McDonald's handle long-term exchange rate volatility by setting pricing plans that reflect the local currency's genuine buying power.</w:t>
      </w:r>
    </w:p>
    <w:p w14:paraId="51DC9529" w14:textId="2F121476" w:rsidR="00211A72" w:rsidRPr="005E16B5" w:rsidRDefault="00211A72" w:rsidP="005E16B5">
      <w:pPr>
        <w:pStyle w:val="ListParagraph"/>
        <w:numPr>
          <w:ilvl w:val="0"/>
          <w:numId w:val="1"/>
        </w:num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b/>
          <w:bCs/>
          <w:color w:val="000000" w:themeColor="text1"/>
          <w:sz w:val="24"/>
          <w:szCs w:val="24"/>
        </w:rPr>
        <w:t>Swaps</w:t>
      </w:r>
      <w:r w:rsidRPr="005E16B5">
        <w:rPr>
          <w:rFonts w:ascii="Times New Roman" w:hAnsi="Times New Roman" w:cs="Times New Roman"/>
          <w:color w:val="000000" w:themeColor="text1"/>
          <w:sz w:val="24"/>
          <w:szCs w:val="24"/>
        </w:rPr>
        <w:t>: MNCs handle long-term foreign exchange risk via sophisticated currency swaps. Currency swaps swap principal and interest payments. Swaps may reduce risk in long-term investments and foreign currency funding. European companies with dollar bonds may trade with U.S. companies with euro bonds. The European corporate changes dollar debt to euro debt and the U.S. corporation converts euro debt to dollar debt via the exchange</w:t>
      </w:r>
      <w:r w:rsidR="0010540C" w:rsidRPr="005E16B5">
        <w:rPr>
          <w:rFonts w:ascii="Times New Roman" w:hAnsi="Times New Roman" w:cs="Times New Roman"/>
          <w:color w:val="000000" w:themeColor="text1"/>
          <w:sz w:val="24"/>
          <w:szCs w:val="24"/>
        </w:rPr>
        <w:t xml:space="preserve"> (Li and Wang, 2023)</w:t>
      </w:r>
      <w:r w:rsidRPr="005E16B5">
        <w:rPr>
          <w:rFonts w:ascii="Times New Roman" w:hAnsi="Times New Roman" w:cs="Times New Roman"/>
          <w:color w:val="000000" w:themeColor="text1"/>
          <w:sz w:val="24"/>
          <w:szCs w:val="24"/>
        </w:rPr>
        <w:t xml:space="preserve">. Currency swaps manage long-term risk by aligning multi-currency cash flows with company needs. </w:t>
      </w:r>
      <w:r w:rsidR="00282A43" w:rsidRPr="005E16B5">
        <w:rPr>
          <w:rFonts w:ascii="Times New Roman" w:hAnsi="Times New Roman" w:cs="Times New Roman"/>
          <w:color w:val="000000" w:themeColor="text1"/>
          <w:sz w:val="24"/>
          <w:szCs w:val="24"/>
        </w:rPr>
        <w:t xml:space="preserve">BP, an oil and gas firm, may </w:t>
      </w:r>
      <w:r w:rsidR="00282A43" w:rsidRPr="005E16B5">
        <w:rPr>
          <w:rFonts w:ascii="Times New Roman" w:hAnsi="Times New Roman" w:cs="Times New Roman"/>
          <w:color w:val="000000" w:themeColor="text1"/>
          <w:sz w:val="24"/>
          <w:szCs w:val="24"/>
        </w:rPr>
        <w:lastRenderedPageBreak/>
        <w:t>operate in numerous countries and require finance in various currencies. BP may convert its dollar-denominated debt</w:t>
      </w:r>
      <w:r w:rsidR="00F54F42" w:rsidRPr="005E16B5">
        <w:rPr>
          <w:rFonts w:ascii="Times New Roman" w:hAnsi="Times New Roman" w:cs="Times New Roman"/>
          <w:color w:val="000000" w:themeColor="text1"/>
          <w:sz w:val="24"/>
          <w:szCs w:val="24"/>
        </w:rPr>
        <w:t xml:space="preserve">. </w:t>
      </w:r>
    </w:p>
    <w:p w14:paraId="0A3EE11C" w14:textId="6CD4CDD8" w:rsidR="00211A72" w:rsidRPr="005E16B5" w:rsidRDefault="00211A72" w:rsidP="005E16B5">
      <w:pPr>
        <w:pStyle w:val="Heading2"/>
        <w:spacing w:line="360" w:lineRule="auto"/>
        <w:jc w:val="both"/>
        <w:rPr>
          <w:rFonts w:ascii="Times New Roman" w:hAnsi="Times New Roman" w:cs="Times New Roman"/>
          <w:b/>
          <w:bCs/>
          <w:color w:val="000000" w:themeColor="text1"/>
          <w:sz w:val="24"/>
          <w:szCs w:val="24"/>
        </w:rPr>
      </w:pPr>
      <w:bookmarkStart w:id="5" w:name="_Toc175133187"/>
      <w:r w:rsidRPr="005E16B5">
        <w:rPr>
          <w:rFonts w:ascii="Times New Roman" w:hAnsi="Times New Roman" w:cs="Times New Roman"/>
          <w:b/>
          <w:bCs/>
          <w:color w:val="000000" w:themeColor="text1"/>
          <w:sz w:val="24"/>
          <w:szCs w:val="24"/>
        </w:rPr>
        <w:t>Theory-based approaches</w:t>
      </w:r>
      <w:bookmarkEnd w:id="5"/>
    </w:p>
    <w:p w14:paraId="294EA798" w14:textId="77777777" w:rsidR="00211A72" w:rsidRPr="005E16B5" w:rsidRDefault="00211A72"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Advantage Comparative Theory</w:t>
      </w:r>
    </w:p>
    <w:p w14:paraId="1C3F54A7" w14:textId="39259BD9" w:rsidR="00211A72" w:rsidRPr="005E16B5" w:rsidRDefault="00211A7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 MNCs operate in many currencies because comparative advantage promotes specialisation and trade. Here, countries should produce their most efficient goods and services and trade with others for their less efficient ones. MNCs operate in countries with lower labour costs, greater raw material access, or better tax regimes. Dealing with several currencies and exchange rates helps MNCs optimise global efficiency and competitiveness. Comparative advantage motivates MNCs to develop globally despite the difficulty of regulating foreign currency risks</w:t>
      </w:r>
      <w:r w:rsidR="0010540C" w:rsidRPr="005E16B5">
        <w:rPr>
          <w:rFonts w:ascii="Times New Roman" w:hAnsi="Times New Roman" w:cs="Times New Roman"/>
          <w:color w:val="000000" w:themeColor="text1"/>
          <w:sz w:val="24"/>
          <w:szCs w:val="24"/>
        </w:rPr>
        <w:t xml:space="preserve"> (Rodrigues et al., 2021)</w:t>
      </w:r>
      <w:r w:rsidRPr="005E16B5">
        <w:rPr>
          <w:rFonts w:ascii="Times New Roman" w:hAnsi="Times New Roman" w:cs="Times New Roman"/>
          <w:color w:val="000000" w:themeColor="text1"/>
          <w:sz w:val="24"/>
          <w:szCs w:val="24"/>
        </w:rPr>
        <w:t>. Exchange rate fluctuations may erode international enterprises' cost advantages, offsetting specialisation</w:t>
      </w:r>
      <w:r w:rsidR="0010540C" w:rsidRPr="005E16B5">
        <w:rPr>
          <w:rFonts w:ascii="Times New Roman" w:hAnsi="Times New Roman" w:cs="Times New Roman"/>
          <w:color w:val="000000" w:themeColor="text1"/>
          <w:sz w:val="24"/>
          <w:szCs w:val="24"/>
        </w:rPr>
        <w:t xml:space="preserve"> (Aurel Burciu et al., 2023)</w:t>
      </w:r>
      <w:r w:rsidRPr="005E16B5">
        <w:rPr>
          <w:rFonts w:ascii="Times New Roman" w:hAnsi="Times New Roman" w:cs="Times New Roman"/>
          <w:color w:val="000000" w:themeColor="text1"/>
          <w:sz w:val="24"/>
          <w:szCs w:val="24"/>
        </w:rPr>
        <w:t>. Comparative advantage may assist MNCs manage currency risk by optimising global supply chains, market positioning, and financial hedging. Effective operations and financial discipline help MNCs handle international trade and currency markets.</w:t>
      </w:r>
    </w:p>
    <w:p w14:paraId="2F645D7B" w14:textId="0FA5738C" w:rsidR="00211A72" w:rsidRPr="005E16B5" w:rsidRDefault="00211A72"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 xml:space="preserve"> Price Parity</w:t>
      </w:r>
    </w:p>
    <w:p w14:paraId="3A1648F0" w14:textId="50609152" w:rsidR="00211A72" w:rsidRPr="005E16B5" w:rsidRDefault="00211A7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MNCs theoretically use PPP to manage foreign currency risk. PPP theory states that currency exchange rates should reflect price changes over time. Exchange rate modifications should make a basket of products priced in a common currency cost the same in different countries. MNC pricing, market entrance, and exit depend on PPP and national cost competitiveness. MNCs may anticipate currency depreciation if PPP theory reveals overvaluation</w:t>
      </w:r>
      <w:r w:rsidR="0010540C" w:rsidRPr="005E16B5">
        <w:rPr>
          <w:rFonts w:ascii="Times New Roman" w:hAnsi="Times New Roman" w:cs="Times New Roman"/>
          <w:color w:val="000000" w:themeColor="text1"/>
          <w:sz w:val="24"/>
          <w:szCs w:val="24"/>
        </w:rPr>
        <w:t xml:space="preserve"> (Vo and Vo, 2022)</w:t>
      </w:r>
      <w:r w:rsidRPr="005E16B5">
        <w:rPr>
          <w:rFonts w:ascii="Times New Roman" w:hAnsi="Times New Roman" w:cs="Times New Roman"/>
          <w:color w:val="000000" w:themeColor="text1"/>
          <w:sz w:val="24"/>
          <w:szCs w:val="24"/>
        </w:rPr>
        <w:t xml:space="preserve">. This expectation may induce MNCs to delay investments, adjust prices, or hedge currency depreciation. MNCs may expand in undervalued currencies in hopes of higher investment returns. </w:t>
      </w:r>
      <w:r w:rsidR="00282A43" w:rsidRPr="005E16B5">
        <w:rPr>
          <w:rFonts w:ascii="Times New Roman" w:hAnsi="Times New Roman" w:cs="Times New Roman"/>
          <w:color w:val="000000" w:themeColor="text1"/>
          <w:sz w:val="24"/>
          <w:szCs w:val="24"/>
        </w:rPr>
        <w:t xml:space="preserve">If McDonald's Big Mac is much cheaper in China than in the U.S. after adjusting for the exchange rate, PPP theory suggests the Chinese yuan is undervalued. McDonald's may grow in China in hopes that the yuan would rise, enhancing its profit margins. </w:t>
      </w:r>
    </w:p>
    <w:p w14:paraId="00905D91" w14:textId="1F324CA5" w:rsidR="00211A72" w:rsidRPr="005E16B5" w:rsidRDefault="00211A72" w:rsidP="005E16B5">
      <w:pPr>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b/>
          <w:bCs/>
          <w:color w:val="000000" w:themeColor="text1"/>
          <w:sz w:val="24"/>
          <w:szCs w:val="24"/>
        </w:rPr>
        <w:t xml:space="preserve">Interest-rate parity </w:t>
      </w:r>
    </w:p>
    <w:p w14:paraId="3FB546D8" w14:textId="7C12E218" w:rsidR="00211A72" w:rsidRPr="005E16B5" w:rsidRDefault="00211A7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Interest Rate Parity (IRP) helps MNCs assess interest rates and currency rates and hedge their finances. From IRP theory, the difference in interest rates between two countries should match the projected currency exchange rate change. Having a higher interest rate than another country should cause its currency to decline, offsetting any gains. IRP lets MNCs borrow or invest depending on exchange and interest</w:t>
      </w:r>
      <w:r w:rsidR="0010540C" w:rsidRPr="005E16B5">
        <w:rPr>
          <w:rFonts w:ascii="Times New Roman" w:hAnsi="Times New Roman" w:cs="Times New Roman"/>
          <w:color w:val="000000" w:themeColor="text1"/>
          <w:sz w:val="24"/>
          <w:szCs w:val="24"/>
        </w:rPr>
        <w:t xml:space="preserve"> (Khan and Qureshi, 2022)</w:t>
      </w:r>
      <w:r w:rsidRPr="005E16B5">
        <w:rPr>
          <w:rFonts w:ascii="Times New Roman" w:hAnsi="Times New Roman" w:cs="Times New Roman"/>
          <w:color w:val="000000" w:themeColor="text1"/>
          <w:sz w:val="24"/>
          <w:szCs w:val="24"/>
        </w:rPr>
        <w:t xml:space="preserve">. IRP assumes no capital </w:t>
      </w:r>
      <w:r w:rsidRPr="005E16B5">
        <w:rPr>
          <w:rFonts w:ascii="Times New Roman" w:hAnsi="Times New Roman" w:cs="Times New Roman"/>
          <w:color w:val="000000" w:themeColor="text1"/>
          <w:sz w:val="24"/>
          <w:szCs w:val="24"/>
        </w:rPr>
        <w:lastRenderedPageBreak/>
        <w:t>limitations or transaction charges, which may not be accurate</w:t>
      </w:r>
      <w:r w:rsidR="0010540C" w:rsidRPr="005E16B5">
        <w:rPr>
          <w:rFonts w:ascii="Times New Roman" w:hAnsi="Times New Roman" w:cs="Times New Roman"/>
          <w:color w:val="000000" w:themeColor="text1"/>
          <w:sz w:val="24"/>
          <w:szCs w:val="24"/>
        </w:rPr>
        <w:t xml:space="preserve"> (Khan and Qureshi, 2022)</w:t>
      </w:r>
      <w:r w:rsidRPr="005E16B5">
        <w:rPr>
          <w:rFonts w:ascii="Times New Roman" w:hAnsi="Times New Roman" w:cs="Times New Roman"/>
          <w:color w:val="000000" w:themeColor="text1"/>
          <w:sz w:val="24"/>
          <w:szCs w:val="24"/>
        </w:rPr>
        <w:t>. IRP provides important insights into interest rates and exchange rates, but MNCs must consider other factors and utilise several hedging approaches to manage foreign currency risk.</w:t>
      </w:r>
    </w:p>
    <w:p w14:paraId="34A220D2" w14:textId="5BD0B672" w:rsidR="00282A43" w:rsidRPr="005E16B5" w:rsidRDefault="00211A72" w:rsidP="005E16B5">
      <w:pPr>
        <w:pStyle w:val="Heading2"/>
        <w:spacing w:line="360" w:lineRule="auto"/>
        <w:jc w:val="both"/>
        <w:rPr>
          <w:rFonts w:ascii="Times New Roman" w:hAnsi="Times New Roman" w:cs="Times New Roman"/>
          <w:b/>
          <w:bCs/>
          <w:color w:val="000000" w:themeColor="text1"/>
          <w:sz w:val="24"/>
          <w:szCs w:val="24"/>
        </w:rPr>
      </w:pPr>
      <w:r w:rsidRPr="005E16B5">
        <w:rPr>
          <w:rFonts w:ascii="Times New Roman" w:hAnsi="Times New Roman" w:cs="Times New Roman"/>
          <w:color w:val="000000" w:themeColor="text1"/>
          <w:sz w:val="24"/>
          <w:szCs w:val="24"/>
        </w:rPr>
        <w:t xml:space="preserve"> </w:t>
      </w:r>
      <w:bookmarkStart w:id="6" w:name="_Toc175133188"/>
      <w:r w:rsidR="00282A43" w:rsidRPr="005E16B5">
        <w:rPr>
          <w:rFonts w:ascii="Times New Roman" w:hAnsi="Times New Roman" w:cs="Times New Roman"/>
          <w:b/>
          <w:bCs/>
          <w:color w:val="000000" w:themeColor="text1"/>
          <w:sz w:val="24"/>
          <w:szCs w:val="24"/>
        </w:rPr>
        <w:t>Benefits of managing foreign exchange exposure</w:t>
      </w:r>
      <w:bookmarkEnd w:id="6"/>
    </w:p>
    <w:p w14:paraId="0C9B4687" w14:textId="1C4D9187" w:rsidR="003A7C77" w:rsidRPr="005E16B5" w:rsidRDefault="003A7C77" w:rsidP="005E16B5">
      <w:pPr>
        <w:spacing w:line="360" w:lineRule="auto"/>
        <w:rPr>
          <w:rFonts w:ascii="Times New Roman" w:hAnsi="Times New Roman" w:cs="Times New Roman"/>
          <w:sz w:val="24"/>
          <w:szCs w:val="24"/>
        </w:rPr>
      </w:pPr>
      <w:r w:rsidRPr="005E16B5">
        <w:rPr>
          <w:rFonts w:ascii="Times New Roman" w:hAnsi="Times New Roman" w:cs="Times New Roman"/>
          <w:sz w:val="24"/>
          <w:szCs w:val="24"/>
        </w:rPr>
        <w:t xml:space="preserve">Cash flows and profitability depend on multinationals managing foreign currency risks. Forward contracts, futures, options, and swaps may reduce currency risk for MNCs. International operations are less unpredictable for MNCs with consistent cash flows. </w:t>
      </w:r>
      <w:r w:rsidRPr="005E16B5">
        <w:rPr>
          <w:rFonts w:ascii="Times New Roman" w:hAnsi="Times New Roman" w:cs="Times New Roman"/>
          <w:color w:val="000000" w:themeColor="text1"/>
          <w:sz w:val="24"/>
          <w:szCs w:val="24"/>
        </w:rPr>
        <w:t xml:space="preserve">With this flexibility, MNCs may benefit from favourable rate movements and avoid adverse currency fluctuations. An U.K. MNC expecting dollar payments may acquire a currency option to sell dollars at a predetermined rate. </w:t>
      </w:r>
      <w:r w:rsidRPr="005E16B5">
        <w:rPr>
          <w:rFonts w:ascii="Times New Roman" w:hAnsi="Times New Roman" w:cs="Times New Roman"/>
          <w:sz w:val="24"/>
          <w:szCs w:val="24"/>
        </w:rPr>
        <w:t>This consistency helps currency-exposed companies preserve earnings amid exchange rate volatility.</w:t>
      </w:r>
    </w:p>
    <w:p w14:paraId="4E6740D4" w14:textId="02C08C37" w:rsidR="003A7C77" w:rsidRPr="005E16B5" w:rsidRDefault="003A7C77" w:rsidP="005E16B5">
      <w:pPr>
        <w:pStyle w:val="ListParagraph"/>
        <w:numPr>
          <w:ilvl w:val="0"/>
          <w:numId w:val="5"/>
        </w:numPr>
        <w:spacing w:line="360" w:lineRule="auto"/>
        <w:rPr>
          <w:rFonts w:ascii="Times New Roman" w:hAnsi="Times New Roman" w:cs="Times New Roman"/>
          <w:sz w:val="24"/>
          <w:szCs w:val="24"/>
        </w:rPr>
      </w:pPr>
      <w:r w:rsidRPr="005E16B5">
        <w:rPr>
          <w:rFonts w:ascii="Times New Roman" w:hAnsi="Times New Roman" w:cs="Times New Roman"/>
          <w:sz w:val="24"/>
          <w:szCs w:val="24"/>
        </w:rPr>
        <w:t xml:space="preserve">Preventing unfavourable movement: Foreign exchange hedging protects MNC revenues and budgets from currency exchange volatility. To mitigate currency fluctuations, MNCs may use forward contracts or options (Hua, Huang and Jiang, 2018).  </w:t>
      </w:r>
      <w:r w:rsidRPr="005E16B5">
        <w:rPr>
          <w:rFonts w:ascii="Times New Roman" w:hAnsi="Times New Roman" w:cs="Times New Roman"/>
          <w:color w:val="000000" w:themeColor="text1"/>
          <w:sz w:val="24"/>
          <w:szCs w:val="24"/>
        </w:rPr>
        <w:t>MNCs use options contracts to manage foreign currency risk, particularly when cash flows are uncertain, despite these constraints.</w:t>
      </w:r>
    </w:p>
    <w:p w14:paraId="560EA22F" w14:textId="414D529E" w:rsidR="003A7C77" w:rsidRPr="005E16B5" w:rsidRDefault="003A7C77" w:rsidP="005E16B5">
      <w:pPr>
        <w:pStyle w:val="ListParagraph"/>
        <w:numPr>
          <w:ilvl w:val="0"/>
          <w:numId w:val="5"/>
        </w:numPr>
        <w:spacing w:line="360" w:lineRule="auto"/>
        <w:rPr>
          <w:rFonts w:ascii="Times New Roman" w:hAnsi="Times New Roman" w:cs="Times New Roman"/>
          <w:sz w:val="24"/>
          <w:szCs w:val="24"/>
        </w:rPr>
      </w:pPr>
      <w:r w:rsidRPr="005E16B5">
        <w:rPr>
          <w:rFonts w:ascii="Times New Roman" w:hAnsi="Times New Roman" w:cs="Times New Roman"/>
          <w:sz w:val="24"/>
          <w:szCs w:val="24"/>
        </w:rPr>
        <w:t>Advantageous location: Managing foreign currency risk may reduce exchange rate expenses for MNCs. Currency risk management helps companies maintain regular pricing, profit margins, and global competitiveness. Innovative MNCs may expand their markets without worrying about currency instability (Rodrigues et al., 2021).</w:t>
      </w:r>
    </w:p>
    <w:p w14:paraId="35D1C8A1" w14:textId="708D5CD7" w:rsidR="003A7C77" w:rsidRPr="005E16B5" w:rsidRDefault="003A7C77" w:rsidP="005E16B5">
      <w:pPr>
        <w:pStyle w:val="ListParagraph"/>
        <w:numPr>
          <w:ilvl w:val="0"/>
          <w:numId w:val="5"/>
        </w:numPr>
        <w:spacing w:line="360" w:lineRule="auto"/>
        <w:rPr>
          <w:rFonts w:ascii="Times New Roman" w:hAnsi="Times New Roman" w:cs="Times New Roman"/>
          <w:sz w:val="24"/>
          <w:szCs w:val="24"/>
        </w:rPr>
      </w:pPr>
      <w:r w:rsidRPr="005E16B5">
        <w:rPr>
          <w:rFonts w:ascii="Times New Roman" w:hAnsi="Times New Roman" w:cs="Times New Roman"/>
          <w:sz w:val="24"/>
          <w:szCs w:val="24"/>
        </w:rPr>
        <w:t xml:space="preserve">Enhancing Financial Planning: Foreign currency risk management advances MNC financial forecasting. MNCs may improve financial modelling, resource allocation, and investment by minimising currency uncertainty (Zlati, Ionescu and Antohi, 2022). For long-term success, firms must incorporate financial and operational goals when planning. </w:t>
      </w:r>
    </w:p>
    <w:p w14:paraId="4D3EF67E" w14:textId="356CC909" w:rsidR="003A7C77" w:rsidRPr="005E16B5" w:rsidRDefault="003A7C77" w:rsidP="005E16B5">
      <w:pPr>
        <w:pStyle w:val="Heading1"/>
        <w:spacing w:line="360" w:lineRule="auto"/>
        <w:rPr>
          <w:rFonts w:ascii="Times New Roman" w:hAnsi="Times New Roman" w:cs="Times New Roman"/>
          <w:b/>
          <w:bCs/>
          <w:sz w:val="24"/>
          <w:szCs w:val="24"/>
        </w:rPr>
      </w:pPr>
      <w:r w:rsidRPr="005E16B5">
        <w:rPr>
          <w:rFonts w:ascii="Times New Roman" w:hAnsi="Times New Roman" w:cs="Times New Roman"/>
          <w:b/>
          <w:bCs/>
          <w:sz w:val="24"/>
          <w:szCs w:val="24"/>
        </w:rPr>
        <w:t>Conclusion</w:t>
      </w:r>
    </w:p>
    <w:p w14:paraId="0D28649E" w14:textId="24BA8775" w:rsidR="005E16B5" w:rsidRDefault="003A7C77" w:rsidP="005E16B5">
      <w:pPr>
        <w:spacing w:line="360" w:lineRule="auto"/>
        <w:rPr>
          <w:rFonts w:ascii="Times New Roman" w:hAnsi="Times New Roman" w:cs="Times New Roman"/>
          <w:sz w:val="24"/>
          <w:szCs w:val="24"/>
        </w:rPr>
      </w:pPr>
      <w:r w:rsidRPr="005E16B5">
        <w:rPr>
          <w:rFonts w:ascii="Times New Roman" w:hAnsi="Times New Roman" w:cs="Times New Roman"/>
          <w:sz w:val="24"/>
          <w:szCs w:val="24"/>
        </w:rPr>
        <w:t xml:space="preserve">Finally, currency swings may impact MNCs, thus they must handle foreign exchange risk. This research examined how MNCs employ forward contracts, options, and currency swaps to stabilise cash flows, prevent currency fluctuation, and gain a competitive edge. With comparative advantage, PPP, and IRP, MNCs invest, operate, and hedge risk. Global currency market trends and dangers are understood by MNCs using IFM theories. For worldwide currency rate volatility protection, companies must utilise these measures. MNC foreign currency risk management must adapt with global finance. This flexibility enables MNCs </w:t>
      </w:r>
      <w:r w:rsidRPr="005E16B5">
        <w:rPr>
          <w:rFonts w:ascii="Times New Roman" w:hAnsi="Times New Roman" w:cs="Times New Roman"/>
          <w:sz w:val="24"/>
          <w:szCs w:val="24"/>
        </w:rPr>
        <w:lastRenderedPageBreak/>
        <w:t>traverse global marketplaces, maintain financial stability, and compete in the changing global economy.</w:t>
      </w:r>
    </w:p>
    <w:p w14:paraId="2A4B459E" w14:textId="414EB0D8" w:rsidR="003A7C77" w:rsidRPr="005E16B5" w:rsidRDefault="005E16B5" w:rsidP="005E16B5">
      <w:pPr>
        <w:rPr>
          <w:rFonts w:ascii="Times New Roman" w:hAnsi="Times New Roman" w:cs="Times New Roman"/>
          <w:sz w:val="24"/>
          <w:szCs w:val="24"/>
        </w:rPr>
      </w:pPr>
      <w:r>
        <w:rPr>
          <w:rFonts w:ascii="Times New Roman" w:hAnsi="Times New Roman" w:cs="Times New Roman"/>
          <w:sz w:val="24"/>
          <w:szCs w:val="24"/>
        </w:rPr>
        <w:br w:type="page"/>
      </w:r>
    </w:p>
    <w:p w14:paraId="31123DF5" w14:textId="1C647DF3" w:rsidR="00282A43" w:rsidRPr="005E16B5" w:rsidRDefault="00D92882" w:rsidP="005E16B5">
      <w:pPr>
        <w:pStyle w:val="Heading1"/>
        <w:spacing w:line="360" w:lineRule="auto"/>
        <w:jc w:val="both"/>
        <w:rPr>
          <w:rFonts w:ascii="Times New Roman" w:hAnsi="Times New Roman" w:cs="Times New Roman"/>
          <w:b/>
          <w:bCs/>
          <w:color w:val="000000" w:themeColor="text1"/>
          <w:sz w:val="24"/>
          <w:szCs w:val="24"/>
        </w:rPr>
      </w:pPr>
      <w:bookmarkStart w:id="7" w:name="_Toc175133190"/>
      <w:r w:rsidRPr="005E16B5">
        <w:rPr>
          <w:rFonts w:ascii="Times New Roman" w:hAnsi="Times New Roman" w:cs="Times New Roman"/>
          <w:b/>
          <w:bCs/>
          <w:color w:val="000000" w:themeColor="text1"/>
          <w:sz w:val="24"/>
          <w:szCs w:val="24"/>
        </w:rPr>
        <w:lastRenderedPageBreak/>
        <w:t>References</w:t>
      </w:r>
      <w:bookmarkEnd w:id="7"/>
    </w:p>
    <w:p w14:paraId="0E72F74E"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Abbassi, P. and Bräuning, F. (2023). Exchange rate risk, banks’ currency mismatches, and credit supply. </w:t>
      </w:r>
      <w:r w:rsidRPr="005E16B5">
        <w:rPr>
          <w:rFonts w:ascii="Times New Roman" w:hAnsi="Times New Roman" w:cs="Times New Roman"/>
          <w:i/>
          <w:iCs/>
          <w:color w:val="000000" w:themeColor="text1"/>
          <w:sz w:val="24"/>
          <w:szCs w:val="24"/>
        </w:rPr>
        <w:t>Journal of International Economics</w:t>
      </w:r>
      <w:r w:rsidRPr="005E16B5">
        <w:rPr>
          <w:rFonts w:ascii="Times New Roman" w:hAnsi="Times New Roman" w:cs="Times New Roman"/>
          <w:color w:val="000000" w:themeColor="text1"/>
          <w:sz w:val="24"/>
          <w:szCs w:val="24"/>
        </w:rPr>
        <w:t>, p.103725. doi:https://doi.org/10.1016/j.jinteco.2023.103725.</w:t>
      </w:r>
    </w:p>
    <w:p w14:paraId="6B862DB8"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Aurel Burciu, Rozalia Kicsi, Buta, S., State, M., Iulia Burlac, Denisa Alexandra Chifan and Ipsalat, B. (2023). The Study of the Relationship among GCI, GII, Disruptive Technology, and Social Innovations in MNCs: How Do We Evaluate Financial Innovations Made by Firms? A Preliminary Inquiry. </w:t>
      </w:r>
      <w:r w:rsidRPr="005E16B5">
        <w:rPr>
          <w:rFonts w:ascii="Times New Roman" w:hAnsi="Times New Roman" w:cs="Times New Roman"/>
          <w:i/>
          <w:iCs/>
          <w:color w:val="000000" w:themeColor="text1"/>
          <w:sz w:val="24"/>
          <w:szCs w:val="24"/>
        </w:rPr>
        <w:t>FinTech</w:t>
      </w:r>
      <w:r w:rsidRPr="005E16B5">
        <w:rPr>
          <w:rFonts w:ascii="Times New Roman" w:hAnsi="Times New Roman" w:cs="Times New Roman"/>
          <w:color w:val="000000" w:themeColor="text1"/>
          <w:sz w:val="24"/>
          <w:szCs w:val="24"/>
        </w:rPr>
        <w:t>, 2(3), pp.572–613. doi:https://doi.org/10.3390/fintech2030033.</w:t>
      </w:r>
    </w:p>
    <w:p w14:paraId="1594E980"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Bae, S.C. and Taek Ho Kwon (2022). Exchange Rate Risk Management using Currency Derivatives: The Case of Exposures to Japanese Yen. </w:t>
      </w:r>
      <w:r w:rsidRPr="005E16B5">
        <w:rPr>
          <w:rFonts w:ascii="Times New Roman" w:hAnsi="Times New Roman" w:cs="Times New Roman"/>
          <w:i/>
          <w:iCs/>
          <w:color w:val="000000" w:themeColor="text1"/>
          <w:sz w:val="24"/>
          <w:szCs w:val="24"/>
        </w:rPr>
        <w:t>Asia-Pacific Financial Markets</w:t>
      </w:r>
      <w:r w:rsidRPr="005E16B5">
        <w:rPr>
          <w:rFonts w:ascii="Times New Roman" w:hAnsi="Times New Roman" w:cs="Times New Roman"/>
          <w:color w:val="000000" w:themeColor="text1"/>
          <w:sz w:val="24"/>
          <w:szCs w:val="24"/>
        </w:rPr>
        <w:t>, 30(3), pp.621–647. doi:https://doi.org/10.1007/s10690-022-09391-7.</w:t>
      </w:r>
    </w:p>
    <w:p w14:paraId="0CCE9E82"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Bhattacheryay, S. (2021). Multinational working capital management a study on Toyota Motor Corporation. </w:t>
      </w:r>
      <w:r w:rsidRPr="005E16B5">
        <w:rPr>
          <w:rFonts w:ascii="Times New Roman" w:hAnsi="Times New Roman" w:cs="Times New Roman"/>
          <w:i/>
          <w:iCs/>
          <w:color w:val="000000" w:themeColor="text1"/>
          <w:sz w:val="24"/>
          <w:szCs w:val="24"/>
        </w:rPr>
        <w:t>International Journal of Finance &amp; Economics</w:t>
      </w:r>
      <w:r w:rsidRPr="005E16B5">
        <w:rPr>
          <w:rFonts w:ascii="Times New Roman" w:hAnsi="Times New Roman" w:cs="Times New Roman"/>
          <w:color w:val="000000" w:themeColor="text1"/>
          <w:sz w:val="24"/>
          <w:szCs w:val="24"/>
        </w:rPr>
        <w:t>, [online] 28(1). doi:https://doi.org/10.1002/ijfe.2418.</w:t>
      </w:r>
    </w:p>
    <w:p w14:paraId="6DA38DE2"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Fatica, S. and Gregori, W.D. (2020). How much profit shifting do European banks do? </w:t>
      </w:r>
      <w:r w:rsidRPr="005E16B5">
        <w:rPr>
          <w:rFonts w:ascii="Times New Roman" w:hAnsi="Times New Roman" w:cs="Times New Roman"/>
          <w:i/>
          <w:iCs/>
          <w:color w:val="000000" w:themeColor="text1"/>
          <w:sz w:val="24"/>
          <w:szCs w:val="24"/>
        </w:rPr>
        <w:t>Economic Modelling</w:t>
      </w:r>
      <w:r w:rsidRPr="005E16B5">
        <w:rPr>
          <w:rFonts w:ascii="Times New Roman" w:hAnsi="Times New Roman" w:cs="Times New Roman"/>
          <w:color w:val="000000" w:themeColor="text1"/>
          <w:sz w:val="24"/>
          <w:szCs w:val="24"/>
        </w:rPr>
        <w:t>. doi:https://doi.org/10.1016/j.econmod.2020.01.026.</w:t>
      </w:r>
    </w:p>
    <w:p w14:paraId="3686FAD5"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Gupta, R., Mejia, C., Gianchandani, Y. and Kajikawa, Y. (2020). Analysis on formation of emerging business ecosystems from deals activities of global electric vehicles hub firms. </w:t>
      </w:r>
      <w:r w:rsidRPr="005E16B5">
        <w:rPr>
          <w:rFonts w:ascii="Times New Roman" w:hAnsi="Times New Roman" w:cs="Times New Roman"/>
          <w:i/>
          <w:iCs/>
          <w:color w:val="000000" w:themeColor="text1"/>
          <w:sz w:val="24"/>
          <w:szCs w:val="24"/>
        </w:rPr>
        <w:t>Energy Policy</w:t>
      </w:r>
      <w:r w:rsidRPr="005E16B5">
        <w:rPr>
          <w:rFonts w:ascii="Times New Roman" w:hAnsi="Times New Roman" w:cs="Times New Roman"/>
          <w:color w:val="000000" w:themeColor="text1"/>
          <w:sz w:val="24"/>
          <w:szCs w:val="24"/>
        </w:rPr>
        <w:t>, 145, p.111532. doi:https://doi.org/10.1016/j.enpol.2020.111532.</w:t>
      </w:r>
    </w:p>
    <w:p w14:paraId="73518E39"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Hadian, A. and Adaoglu, C. (2020). The effects of financial and operational hedging on company value: The case of Malaysian multinationals. </w:t>
      </w:r>
      <w:r w:rsidRPr="005E16B5">
        <w:rPr>
          <w:rFonts w:ascii="Times New Roman" w:hAnsi="Times New Roman" w:cs="Times New Roman"/>
          <w:i/>
          <w:iCs/>
          <w:color w:val="000000" w:themeColor="text1"/>
          <w:sz w:val="24"/>
          <w:szCs w:val="24"/>
        </w:rPr>
        <w:t>Journal of Asian Economics</w:t>
      </w:r>
      <w:r w:rsidRPr="005E16B5">
        <w:rPr>
          <w:rFonts w:ascii="Times New Roman" w:hAnsi="Times New Roman" w:cs="Times New Roman"/>
          <w:color w:val="000000" w:themeColor="text1"/>
          <w:sz w:val="24"/>
          <w:szCs w:val="24"/>
        </w:rPr>
        <w:t>, 70, p.101232. doi:https://doi.org/10.1016/j.asieco.2020.101232.</w:t>
      </w:r>
    </w:p>
    <w:p w14:paraId="1ACA208A"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Hua, X., Huang, W. and Jiang, Y. (2018). Controlled Currency Regime and Pricing of Exchange Rate Risk: Evidence From China. </w:t>
      </w:r>
      <w:r w:rsidRPr="005E16B5">
        <w:rPr>
          <w:rFonts w:ascii="Times New Roman" w:hAnsi="Times New Roman" w:cs="Times New Roman"/>
          <w:i/>
          <w:iCs/>
          <w:color w:val="000000" w:themeColor="text1"/>
          <w:sz w:val="24"/>
          <w:szCs w:val="24"/>
        </w:rPr>
        <w:t>Journal of Accounting, Auditing &amp; Finance</w:t>
      </w:r>
      <w:r w:rsidRPr="005E16B5">
        <w:rPr>
          <w:rFonts w:ascii="Times New Roman" w:hAnsi="Times New Roman" w:cs="Times New Roman"/>
          <w:color w:val="000000" w:themeColor="text1"/>
          <w:sz w:val="24"/>
          <w:szCs w:val="24"/>
        </w:rPr>
        <w:t>, 37(1), p.0148558X1878114. doi:https://doi.org/10.1177/0148558x18781144.</w:t>
      </w:r>
    </w:p>
    <w:p w14:paraId="574EFD1D"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Khan, A. and Qureshi, M.A. (2022). Modelling the dynamics of firm valuation: An assessment of impact of exchange rate fluctuations on firm value using system dynamics. </w:t>
      </w:r>
      <w:r w:rsidRPr="005E16B5">
        <w:rPr>
          <w:rFonts w:ascii="Times New Roman" w:hAnsi="Times New Roman" w:cs="Times New Roman"/>
          <w:i/>
          <w:iCs/>
          <w:color w:val="000000" w:themeColor="text1"/>
          <w:sz w:val="24"/>
          <w:szCs w:val="24"/>
        </w:rPr>
        <w:t>Systems Research and Behavioral Science</w:t>
      </w:r>
      <w:r w:rsidRPr="005E16B5">
        <w:rPr>
          <w:rFonts w:ascii="Times New Roman" w:hAnsi="Times New Roman" w:cs="Times New Roman"/>
          <w:color w:val="000000" w:themeColor="text1"/>
          <w:sz w:val="24"/>
          <w:szCs w:val="24"/>
        </w:rPr>
        <w:t>. doi:https://doi.org/10.1002/sres.2922.</w:t>
      </w:r>
    </w:p>
    <w:p w14:paraId="0C51171B"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Kyove, J., Streltsova, K., Odibo, U. and Cirella, G.T. (2021). Globalization Impact on Multinational Enterprises. </w:t>
      </w:r>
      <w:r w:rsidRPr="005E16B5">
        <w:rPr>
          <w:rFonts w:ascii="Times New Roman" w:hAnsi="Times New Roman" w:cs="Times New Roman"/>
          <w:i/>
          <w:iCs/>
          <w:color w:val="000000" w:themeColor="text1"/>
          <w:sz w:val="24"/>
          <w:szCs w:val="24"/>
        </w:rPr>
        <w:t>World</w:t>
      </w:r>
      <w:r w:rsidRPr="005E16B5">
        <w:rPr>
          <w:rFonts w:ascii="Times New Roman" w:hAnsi="Times New Roman" w:cs="Times New Roman"/>
          <w:color w:val="000000" w:themeColor="text1"/>
          <w:sz w:val="24"/>
          <w:szCs w:val="24"/>
        </w:rPr>
        <w:t>, [online] 2(2), pp.216–230. doi:https://doi.org/10.3390/world2020014.</w:t>
      </w:r>
    </w:p>
    <w:p w14:paraId="1DF02AEC"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lastRenderedPageBreak/>
        <w:t xml:space="preserve">Li, Z. and Wang, H. (2023). Exploring Risk Factors Affecting Sustainable Outcomes of Global Public–Private Partnership (PPP) Projects: A Stakeholder Perspective. </w:t>
      </w:r>
      <w:r w:rsidRPr="005E16B5">
        <w:rPr>
          <w:rFonts w:ascii="Times New Roman" w:hAnsi="Times New Roman" w:cs="Times New Roman"/>
          <w:i/>
          <w:iCs/>
          <w:color w:val="000000" w:themeColor="text1"/>
          <w:sz w:val="24"/>
          <w:szCs w:val="24"/>
        </w:rPr>
        <w:t>Buildings</w:t>
      </w:r>
      <w:r w:rsidRPr="005E16B5">
        <w:rPr>
          <w:rFonts w:ascii="Times New Roman" w:hAnsi="Times New Roman" w:cs="Times New Roman"/>
          <w:color w:val="000000" w:themeColor="text1"/>
          <w:sz w:val="24"/>
          <w:szCs w:val="24"/>
        </w:rPr>
        <w:t>, [online] 13(9), p.2140. doi:https://doi.org/10.3390/buildings13092140.</w:t>
      </w:r>
    </w:p>
    <w:p w14:paraId="21AB577C"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Liao, G. and Zhang, T. (2020). The Hedging Channel of Exchange Rate Determination. </w:t>
      </w:r>
      <w:r w:rsidRPr="005E16B5">
        <w:rPr>
          <w:rFonts w:ascii="Times New Roman" w:hAnsi="Times New Roman" w:cs="Times New Roman"/>
          <w:i/>
          <w:iCs/>
          <w:color w:val="000000" w:themeColor="text1"/>
          <w:sz w:val="24"/>
          <w:szCs w:val="24"/>
        </w:rPr>
        <w:t>SSRN Electronic Journal</w:t>
      </w:r>
      <w:r w:rsidRPr="005E16B5">
        <w:rPr>
          <w:rFonts w:ascii="Times New Roman" w:hAnsi="Times New Roman" w:cs="Times New Roman"/>
          <w:color w:val="000000" w:themeColor="text1"/>
          <w:sz w:val="24"/>
          <w:szCs w:val="24"/>
        </w:rPr>
        <w:t>. doi:https://doi.org/10.2139/ssrn.3612395.</w:t>
      </w:r>
    </w:p>
    <w:p w14:paraId="4547E8EB"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McDonald, T. and Dan, L. (2020). ‘Pulling the sheep’s wool’: The labour of online thrift in a Chinese factory. </w:t>
      </w:r>
      <w:r w:rsidRPr="005E16B5">
        <w:rPr>
          <w:rFonts w:ascii="Times New Roman" w:hAnsi="Times New Roman" w:cs="Times New Roman"/>
          <w:i/>
          <w:iCs/>
          <w:color w:val="000000" w:themeColor="text1"/>
          <w:sz w:val="24"/>
          <w:szCs w:val="24"/>
        </w:rPr>
        <w:t>Journal of Consumer Culture</w:t>
      </w:r>
      <w:r w:rsidRPr="005E16B5">
        <w:rPr>
          <w:rFonts w:ascii="Times New Roman" w:hAnsi="Times New Roman" w:cs="Times New Roman"/>
          <w:color w:val="000000" w:themeColor="text1"/>
          <w:sz w:val="24"/>
          <w:szCs w:val="24"/>
        </w:rPr>
        <w:t>, 22(2), pp.398–416. doi:https://doi.org/10.1177/1469540520955206.</w:t>
      </w:r>
    </w:p>
    <w:p w14:paraId="72BF540A"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Rodrigues, M., Alves, M. do C., Oliveira, C., Vale, J. and Silva, R. (2021). The Impact of Strategy, Environment, and the Management System on the Foreign Subsidiary: The Implication for Open Innovation. </w:t>
      </w:r>
      <w:r w:rsidRPr="005E16B5">
        <w:rPr>
          <w:rFonts w:ascii="Times New Roman" w:hAnsi="Times New Roman" w:cs="Times New Roman"/>
          <w:i/>
          <w:iCs/>
          <w:color w:val="000000" w:themeColor="text1"/>
          <w:sz w:val="24"/>
          <w:szCs w:val="24"/>
        </w:rPr>
        <w:t>Journal of Open Innovation: Technology, Market, and Complexity</w:t>
      </w:r>
      <w:r w:rsidRPr="005E16B5">
        <w:rPr>
          <w:rFonts w:ascii="Times New Roman" w:hAnsi="Times New Roman" w:cs="Times New Roman"/>
          <w:color w:val="000000" w:themeColor="text1"/>
          <w:sz w:val="24"/>
          <w:szCs w:val="24"/>
        </w:rPr>
        <w:t>, 7(1), p.51. doi:https://doi.org/10.3390/joitmc7010051.</w:t>
      </w:r>
    </w:p>
    <w:p w14:paraId="3107E737"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Steenkamp, J.-B.E.M. (2020). Global Brand Building and Management in the Digital Age. </w:t>
      </w:r>
      <w:r w:rsidRPr="005E16B5">
        <w:rPr>
          <w:rFonts w:ascii="Times New Roman" w:hAnsi="Times New Roman" w:cs="Times New Roman"/>
          <w:i/>
          <w:iCs/>
          <w:color w:val="000000" w:themeColor="text1"/>
          <w:sz w:val="24"/>
          <w:szCs w:val="24"/>
        </w:rPr>
        <w:t>Journal of International Marketing</w:t>
      </w:r>
      <w:r w:rsidRPr="005E16B5">
        <w:rPr>
          <w:rFonts w:ascii="Times New Roman" w:hAnsi="Times New Roman" w:cs="Times New Roman"/>
          <w:color w:val="000000" w:themeColor="text1"/>
          <w:sz w:val="24"/>
          <w:szCs w:val="24"/>
        </w:rPr>
        <w:t>, 28(1), pp.13–27.</w:t>
      </w:r>
    </w:p>
    <w:p w14:paraId="173DEBE5"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Vo, H.L. and Vo, D.H. (2022). The purchasing power parity and exchange‐rate economics half a century on. </w:t>
      </w:r>
      <w:r w:rsidRPr="005E16B5">
        <w:rPr>
          <w:rFonts w:ascii="Times New Roman" w:hAnsi="Times New Roman" w:cs="Times New Roman"/>
          <w:i/>
          <w:iCs/>
          <w:color w:val="000000" w:themeColor="text1"/>
          <w:sz w:val="24"/>
          <w:szCs w:val="24"/>
        </w:rPr>
        <w:t>Journal of Economic Surveys</w:t>
      </w:r>
      <w:r w:rsidRPr="005E16B5">
        <w:rPr>
          <w:rFonts w:ascii="Times New Roman" w:hAnsi="Times New Roman" w:cs="Times New Roman"/>
          <w:color w:val="000000" w:themeColor="text1"/>
          <w:sz w:val="24"/>
          <w:szCs w:val="24"/>
        </w:rPr>
        <w:t>, [online] 37(2). doi:https://doi.org/10.1111/joes.12504.</w:t>
      </w:r>
    </w:p>
    <w:p w14:paraId="3D8F6B89"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r w:rsidRPr="005E16B5">
        <w:rPr>
          <w:rFonts w:ascii="Times New Roman" w:hAnsi="Times New Roman" w:cs="Times New Roman"/>
          <w:color w:val="000000" w:themeColor="text1"/>
          <w:sz w:val="24"/>
          <w:szCs w:val="24"/>
        </w:rPr>
        <w:t xml:space="preserve">Zlati, M.L., Ionescu, R.V. and Antohi, V.M. (2022). Modelling the Vulnerability of Financial Accounting Systems during Global Challenges: A Comparative Analysis. </w:t>
      </w:r>
      <w:r w:rsidRPr="005E16B5">
        <w:rPr>
          <w:rFonts w:ascii="Times New Roman" w:hAnsi="Times New Roman" w:cs="Times New Roman"/>
          <w:i/>
          <w:iCs/>
          <w:color w:val="000000" w:themeColor="text1"/>
          <w:sz w:val="24"/>
          <w:szCs w:val="24"/>
        </w:rPr>
        <w:t>Mathematics</w:t>
      </w:r>
      <w:r w:rsidRPr="005E16B5">
        <w:rPr>
          <w:rFonts w:ascii="Times New Roman" w:hAnsi="Times New Roman" w:cs="Times New Roman"/>
          <w:color w:val="000000" w:themeColor="text1"/>
          <w:sz w:val="24"/>
          <w:szCs w:val="24"/>
        </w:rPr>
        <w:t>, 10(9), p.1462. doi:https://doi.org/10.3390/math10091462.</w:t>
      </w:r>
    </w:p>
    <w:p w14:paraId="37C70B5F" w14:textId="77777777" w:rsidR="00D92882" w:rsidRPr="005E16B5" w:rsidRDefault="00D92882" w:rsidP="005E16B5">
      <w:pPr>
        <w:spacing w:line="360" w:lineRule="auto"/>
        <w:jc w:val="both"/>
        <w:rPr>
          <w:rFonts w:ascii="Times New Roman" w:hAnsi="Times New Roman" w:cs="Times New Roman"/>
          <w:color w:val="000000" w:themeColor="text1"/>
          <w:sz w:val="24"/>
          <w:szCs w:val="24"/>
        </w:rPr>
      </w:pPr>
    </w:p>
    <w:sectPr w:rsidR="00D92882" w:rsidRPr="005E16B5" w:rsidSect="00D9288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2D58D" w14:textId="77777777" w:rsidR="003F1633" w:rsidRDefault="003F1633" w:rsidP="003F1633">
      <w:pPr>
        <w:spacing w:after="0" w:line="240" w:lineRule="auto"/>
      </w:pPr>
      <w:r>
        <w:separator/>
      </w:r>
    </w:p>
  </w:endnote>
  <w:endnote w:type="continuationSeparator" w:id="0">
    <w:p w14:paraId="06BB69C5" w14:textId="77777777" w:rsidR="003F1633" w:rsidRDefault="003F1633" w:rsidP="003F1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594600"/>
      <w:docPartObj>
        <w:docPartGallery w:val="Page Numbers (Bottom of Page)"/>
        <w:docPartUnique/>
      </w:docPartObj>
    </w:sdtPr>
    <w:sdtEndPr>
      <w:rPr>
        <w:noProof/>
      </w:rPr>
    </w:sdtEndPr>
    <w:sdtContent>
      <w:p w14:paraId="48DC2D29" w14:textId="2D753E4B" w:rsidR="003F1633" w:rsidRDefault="003F16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935663" w14:textId="77777777" w:rsidR="003F1633" w:rsidRDefault="003F1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862A3" w14:textId="77777777" w:rsidR="003F1633" w:rsidRDefault="003F1633" w:rsidP="003F1633">
      <w:pPr>
        <w:spacing w:after="0" w:line="240" w:lineRule="auto"/>
      </w:pPr>
      <w:r>
        <w:separator/>
      </w:r>
    </w:p>
  </w:footnote>
  <w:footnote w:type="continuationSeparator" w:id="0">
    <w:p w14:paraId="070A4655" w14:textId="77777777" w:rsidR="003F1633" w:rsidRDefault="003F1633" w:rsidP="003F16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538AE"/>
    <w:multiLevelType w:val="hybridMultilevel"/>
    <w:tmpl w:val="359E5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61238CB"/>
    <w:multiLevelType w:val="hybridMultilevel"/>
    <w:tmpl w:val="0CEAEE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AB2365D"/>
    <w:multiLevelType w:val="hybridMultilevel"/>
    <w:tmpl w:val="89388A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C24D33"/>
    <w:multiLevelType w:val="hybridMultilevel"/>
    <w:tmpl w:val="C07AA8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F5D042A"/>
    <w:multiLevelType w:val="hybridMultilevel"/>
    <w:tmpl w:val="F2DC77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31238955">
    <w:abstractNumId w:val="2"/>
  </w:num>
  <w:num w:numId="2" w16cid:durableId="730690093">
    <w:abstractNumId w:val="4"/>
  </w:num>
  <w:num w:numId="3" w16cid:durableId="1811941004">
    <w:abstractNumId w:val="3"/>
  </w:num>
  <w:num w:numId="4" w16cid:durableId="97071447">
    <w:abstractNumId w:val="0"/>
  </w:num>
  <w:num w:numId="5" w16cid:durableId="244077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3F"/>
    <w:rsid w:val="000A42FA"/>
    <w:rsid w:val="000D21C6"/>
    <w:rsid w:val="0010540C"/>
    <w:rsid w:val="0011407D"/>
    <w:rsid w:val="00137F20"/>
    <w:rsid w:val="001420F4"/>
    <w:rsid w:val="001529E7"/>
    <w:rsid w:val="001D5CD5"/>
    <w:rsid w:val="00211A72"/>
    <w:rsid w:val="0024739C"/>
    <w:rsid w:val="00282A43"/>
    <w:rsid w:val="002C5B97"/>
    <w:rsid w:val="00331998"/>
    <w:rsid w:val="00396BA4"/>
    <w:rsid w:val="003A7C77"/>
    <w:rsid w:val="003F07F9"/>
    <w:rsid w:val="003F1633"/>
    <w:rsid w:val="00445BF2"/>
    <w:rsid w:val="00447D96"/>
    <w:rsid w:val="004F787D"/>
    <w:rsid w:val="00524F28"/>
    <w:rsid w:val="00537094"/>
    <w:rsid w:val="00576963"/>
    <w:rsid w:val="005B66EF"/>
    <w:rsid w:val="005C4604"/>
    <w:rsid w:val="005E16B5"/>
    <w:rsid w:val="0063292F"/>
    <w:rsid w:val="00646003"/>
    <w:rsid w:val="006B473A"/>
    <w:rsid w:val="006C7E9F"/>
    <w:rsid w:val="00713605"/>
    <w:rsid w:val="0073343F"/>
    <w:rsid w:val="007A1760"/>
    <w:rsid w:val="00806DA9"/>
    <w:rsid w:val="008702EB"/>
    <w:rsid w:val="00870E6A"/>
    <w:rsid w:val="00884839"/>
    <w:rsid w:val="008F01B4"/>
    <w:rsid w:val="009117A2"/>
    <w:rsid w:val="009543EA"/>
    <w:rsid w:val="00963826"/>
    <w:rsid w:val="009A3BAD"/>
    <w:rsid w:val="009B2A4F"/>
    <w:rsid w:val="009B56A5"/>
    <w:rsid w:val="009D4409"/>
    <w:rsid w:val="00A0469B"/>
    <w:rsid w:val="00A51C70"/>
    <w:rsid w:val="00A552D9"/>
    <w:rsid w:val="00A835FA"/>
    <w:rsid w:val="00AA090E"/>
    <w:rsid w:val="00AD5AE0"/>
    <w:rsid w:val="00B73496"/>
    <w:rsid w:val="00B838A7"/>
    <w:rsid w:val="00B87AB4"/>
    <w:rsid w:val="00BC65F3"/>
    <w:rsid w:val="00C74C52"/>
    <w:rsid w:val="00C816EF"/>
    <w:rsid w:val="00CA02F2"/>
    <w:rsid w:val="00D631AE"/>
    <w:rsid w:val="00D91A6A"/>
    <w:rsid w:val="00D92882"/>
    <w:rsid w:val="00DA7B60"/>
    <w:rsid w:val="00E5118B"/>
    <w:rsid w:val="00EC1C8B"/>
    <w:rsid w:val="00EF0192"/>
    <w:rsid w:val="00F54F42"/>
    <w:rsid w:val="00F951F2"/>
    <w:rsid w:val="00FF3A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98CF"/>
  <w15:chartTrackingRefBased/>
  <w15:docId w15:val="{B35C3326-DB22-4E5D-9DCA-6D01829E6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A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4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1A7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11A72"/>
    <w:pPr>
      <w:ind w:left="720"/>
      <w:contextualSpacing/>
    </w:pPr>
  </w:style>
  <w:style w:type="paragraph" w:styleId="TOCHeading">
    <w:name w:val="TOC Heading"/>
    <w:basedOn w:val="Heading1"/>
    <w:next w:val="Normal"/>
    <w:uiPriority w:val="39"/>
    <w:unhideWhenUsed/>
    <w:qFormat/>
    <w:rsid w:val="00D92882"/>
    <w:pPr>
      <w:outlineLvl w:val="9"/>
    </w:pPr>
    <w:rPr>
      <w:kern w:val="0"/>
      <w:lang w:val="en-US"/>
    </w:rPr>
  </w:style>
  <w:style w:type="paragraph" w:styleId="TOC1">
    <w:name w:val="toc 1"/>
    <w:basedOn w:val="Normal"/>
    <w:next w:val="Normal"/>
    <w:autoRedefine/>
    <w:uiPriority w:val="39"/>
    <w:unhideWhenUsed/>
    <w:rsid w:val="00D92882"/>
    <w:pPr>
      <w:spacing w:after="100"/>
    </w:pPr>
  </w:style>
  <w:style w:type="paragraph" w:styleId="TOC2">
    <w:name w:val="toc 2"/>
    <w:basedOn w:val="Normal"/>
    <w:next w:val="Normal"/>
    <w:autoRedefine/>
    <w:uiPriority w:val="39"/>
    <w:unhideWhenUsed/>
    <w:rsid w:val="00D92882"/>
    <w:pPr>
      <w:spacing w:after="100"/>
      <w:ind w:left="220"/>
    </w:pPr>
  </w:style>
  <w:style w:type="character" w:styleId="Hyperlink">
    <w:name w:val="Hyperlink"/>
    <w:basedOn w:val="DefaultParagraphFont"/>
    <w:uiPriority w:val="99"/>
    <w:unhideWhenUsed/>
    <w:rsid w:val="00D92882"/>
    <w:rPr>
      <w:color w:val="0563C1" w:themeColor="hyperlink"/>
      <w:u w:val="single"/>
    </w:rPr>
  </w:style>
  <w:style w:type="paragraph" w:styleId="Header">
    <w:name w:val="header"/>
    <w:basedOn w:val="Normal"/>
    <w:link w:val="HeaderChar"/>
    <w:uiPriority w:val="99"/>
    <w:unhideWhenUsed/>
    <w:rsid w:val="003F1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633"/>
  </w:style>
  <w:style w:type="paragraph" w:styleId="Footer">
    <w:name w:val="footer"/>
    <w:basedOn w:val="Normal"/>
    <w:link w:val="FooterChar"/>
    <w:uiPriority w:val="99"/>
    <w:unhideWhenUsed/>
    <w:rsid w:val="003F1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9292">
      <w:bodyDiv w:val="1"/>
      <w:marLeft w:val="0"/>
      <w:marRight w:val="0"/>
      <w:marTop w:val="0"/>
      <w:marBottom w:val="0"/>
      <w:divBdr>
        <w:top w:val="none" w:sz="0" w:space="0" w:color="auto"/>
        <w:left w:val="none" w:sz="0" w:space="0" w:color="auto"/>
        <w:bottom w:val="none" w:sz="0" w:space="0" w:color="auto"/>
        <w:right w:val="none" w:sz="0" w:space="0" w:color="auto"/>
      </w:divBdr>
    </w:div>
    <w:div w:id="28727977">
      <w:bodyDiv w:val="1"/>
      <w:marLeft w:val="0"/>
      <w:marRight w:val="0"/>
      <w:marTop w:val="0"/>
      <w:marBottom w:val="0"/>
      <w:divBdr>
        <w:top w:val="none" w:sz="0" w:space="0" w:color="auto"/>
        <w:left w:val="none" w:sz="0" w:space="0" w:color="auto"/>
        <w:bottom w:val="none" w:sz="0" w:space="0" w:color="auto"/>
        <w:right w:val="none" w:sz="0" w:space="0" w:color="auto"/>
      </w:divBdr>
    </w:div>
    <w:div w:id="74712142">
      <w:bodyDiv w:val="1"/>
      <w:marLeft w:val="0"/>
      <w:marRight w:val="0"/>
      <w:marTop w:val="0"/>
      <w:marBottom w:val="0"/>
      <w:divBdr>
        <w:top w:val="none" w:sz="0" w:space="0" w:color="auto"/>
        <w:left w:val="none" w:sz="0" w:space="0" w:color="auto"/>
        <w:bottom w:val="none" w:sz="0" w:space="0" w:color="auto"/>
        <w:right w:val="none" w:sz="0" w:space="0" w:color="auto"/>
      </w:divBdr>
    </w:div>
    <w:div w:id="76678281">
      <w:bodyDiv w:val="1"/>
      <w:marLeft w:val="0"/>
      <w:marRight w:val="0"/>
      <w:marTop w:val="0"/>
      <w:marBottom w:val="0"/>
      <w:divBdr>
        <w:top w:val="none" w:sz="0" w:space="0" w:color="auto"/>
        <w:left w:val="none" w:sz="0" w:space="0" w:color="auto"/>
        <w:bottom w:val="none" w:sz="0" w:space="0" w:color="auto"/>
        <w:right w:val="none" w:sz="0" w:space="0" w:color="auto"/>
      </w:divBdr>
    </w:div>
    <w:div w:id="110982000">
      <w:bodyDiv w:val="1"/>
      <w:marLeft w:val="0"/>
      <w:marRight w:val="0"/>
      <w:marTop w:val="0"/>
      <w:marBottom w:val="0"/>
      <w:divBdr>
        <w:top w:val="none" w:sz="0" w:space="0" w:color="auto"/>
        <w:left w:val="none" w:sz="0" w:space="0" w:color="auto"/>
        <w:bottom w:val="none" w:sz="0" w:space="0" w:color="auto"/>
        <w:right w:val="none" w:sz="0" w:space="0" w:color="auto"/>
      </w:divBdr>
    </w:div>
    <w:div w:id="138376972">
      <w:bodyDiv w:val="1"/>
      <w:marLeft w:val="0"/>
      <w:marRight w:val="0"/>
      <w:marTop w:val="0"/>
      <w:marBottom w:val="0"/>
      <w:divBdr>
        <w:top w:val="none" w:sz="0" w:space="0" w:color="auto"/>
        <w:left w:val="none" w:sz="0" w:space="0" w:color="auto"/>
        <w:bottom w:val="none" w:sz="0" w:space="0" w:color="auto"/>
        <w:right w:val="none" w:sz="0" w:space="0" w:color="auto"/>
      </w:divBdr>
    </w:div>
    <w:div w:id="140849225">
      <w:bodyDiv w:val="1"/>
      <w:marLeft w:val="0"/>
      <w:marRight w:val="0"/>
      <w:marTop w:val="0"/>
      <w:marBottom w:val="0"/>
      <w:divBdr>
        <w:top w:val="none" w:sz="0" w:space="0" w:color="auto"/>
        <w:left w:val="none" w:sz="0" w:space="0" w:color="auto"/>
        <w:bottom w:val="none" w:sz="0" w:space="0" w:color="auto"/>
        <w:right w:val="none" w:sz="0" w:space="0" w:color="auto"/>
      </w:divBdr>
    </w:div>
    <w:div w:id="151066347">
      <w:bodyDiv w:val="1"/>
      <w:marLeft w:val="0"/>
      <w:marRight w:val="0"/>
      <w:marTop w:val="0"/>
      <w:marBottom w:val="0"/>
      <w:divBdr>
        <w:top w:val="none" w:sz="0" w:space="0" w:color="auto"/>
        <w:left w:val="none" w:sz="0" w:space="0" w:color="auto"/>
        <w:bottom w:val="none" w:sz="0" w:space="0" w:color="auto"/>
        <w:right w:val="none" w:sz="0" w:space="0" w:color="auto"/>
      </w:divBdr>
    </w:div>
    <w:div w:id="214314280">
      <w:bodyDiv w:val="1"/>
      <w:marLeft w:val="0"/>
      <w:marRight w:val="0"/>
      <w:marTop w:val="0"/>
      <w:marBottom w:val="0"/>
      <w:divBdr>
        <w:top w:val="none" w:sz="0" w:space="0" w:color="auto"/>
        <w:left w:val="none" w:sz="0" w:space="0" w:color="auto"/>
        <w:bottom w:val="none" w:sz="0" w:space="0" w:color="auto"/>
        <w:right w:val="none" w:sz="0" w:space="0" w:color="auto"/>
      </w:divBdr>
    </w:div>
    <w:div w:id="259292623">
      <w:bodyDiv w:val="1"/>
      <w:marLeft w:val="0"/>
      <w:marRight w:val="0"/>
      <w:marTop w:val="0"/>
      <w:marBottom w:val="0"/>
      <w:divBdr>
        <w:top w:val="none" w:sz="0" w:space="0" w:color="auto"/>
        <w:left w:val="none" w:sz="0" w:space="0" w:color="auto"/>
        <w:bottom w:val="none" w:sz="0" w:space="0" w:color="auto"/>
        <w:right w:val="none" w:sz="0" w:space="0" w:color="auto"/>
      </w:divBdr>
    </w:div>
    <w:div w:id="291180877">
      <w:bodyDiv w:val="1"/>
      <w:marLeft w:val="0"/>
      <w:marRight w:val="0"/>
      <w:marTop w:val="0"/>
      <w:marBottom w:val="0"/>
      <w:divBdr>
        <w:top w:val="none" w:sz="0" w:space="0" w:color="auto"/>
        <w:left w:val="none" w:sz="0" w:space="0" w:color="auto"/>
        <w:bottom w:val="none" w:sz="0" w:space="0" w:color="auto"/>
        <w:right w:val="none" w:sz="0" w:space="0" w:color="auto"/>
      </w:divBdr>
    </w:div>
    <w:div w:id="359815399">
      <w:bodyDiv w:val="1"/>
      <w:marLeft w:val="0"/>
      <w:marRight w:val="0"/>
      <w:marTop w:val="0"/>
      <w:marBottom w:val="0"/>
      <w:divBdr>
        <w:top w:val="none" w:sz="0" w:space="0" w:color="auto"/>
        <w:left w:val="none" w:sz="0" w:space="0" w:color="auto"/>
        <w:bottom w:val="none" w:sz="0" w:space="0" w:color="auto"/>
        <w:right w:val="none" w:sz="0" w:space="0" w:color="auto"/>
      </w:divBdr>
    </w:div>
    <w:div w:id="385884772">
      <w:bodyDiv w:val="1"/>
      <w:marLeft w:val="0"/>
      <w:marRight w:val="0"/>
      <w:marTop w:val="0"/>
      <w:marBottom w:val="0"/>
      <w:divBdr>
        <w:top w:val="none" w:sz="0" w:space="0" w:color="auto"/>
        <w:left w:val="none" w:sz="0" w:space="0" w:color="auto"/>
        <w:bottom w:val="none" w:sz="0" w:space="0" w:color="auto"/>
        <w:right w:val="none" w:sz="0" w:space="0" w:color="auto"/>
      </w:divBdr>
    </w:div>
    <w:div w:id="409733969">
      <w:bodyDiv w:val="1"/>
      <w:marLeft w:val="0"/>
      <w:marRight w:val="0"/>
      <w:marTop w:val="0"/>
      <w:marBottom w:val="0"/>
      <w:divBdr>
        <w:top w:val="none" w:sz="0" w:space="0" w:color="auto"/>
        <w:left w:val="none" w:sz="0" w:space="0" w:color="auto"/>
        <w:bottom w:val="none" w:sz="0" w:space="0" w:color="auto"/>
        <w:right w:val="none" w:sz="0" w:space="0" w:color="auto"/>
      </w:divBdr>
    </w:div>
    <w:div w:id="434056567">
      <w:bodyDiv w:val="1"/>
      <w:marLeft w:val="0"/>
      <w:marRight w:val="0"/>
      <w:marTop w:val="0"/>
      <w:marBottom w:val="0"/>
      <w:divBdr>
        <w:top w:val="none" w:sz="0" w:space="0" w:color="auto"/>
        <w:left w:val="none" w:sz="0" w:space="0" w:color="auto"/>
        <w:bottom w:val="none" w:sz="0" w:space="0" w:color="auto"/>
        <w:right w:val="none" w:sz="0" w:space="0" w:color="auto"/>
      </w:divBdr>
    </w:div>
    <w:div w:id="467164645">
      <w:bodyDiv w:val="1"/>
      <w:marLeft w:val="0"/>
      <w:marRight w:val="0"/>
      <w:marTop w:val="0"/>
      <w:marBottom w:val="0"/>
      <w:divBdr>
        <w:top w:val="none" w:sz="0" w:space="0" w:color="auto"/>
        <w:left w:val="none" w:sz="0" w:space="0" w:color="auto"/>
        <w:bottom w:val="none" w:sz="0" w:space="0" w:color="auto"/>
        <w:right w:val="none" w:sz="0" w:space="0" w:color="auto"/>
      </w:divBdr>
      <w:divsChild>
        <w:div w:id="79563550">
          <w:marLeft w:val="0"/>
          <w:marRight w:val="0"/>
          <w:marTop w:val="0"/>
          <w:marBottom w:val="0"/>
          <w:divBdr>
            <w:top w:val="none" w:sz="0" w:space="0" w:color="auto"/>
            <w:left w:val="none" w:sz="0" w:space="0" w:color="auto"/>
            <w:bottom w:val="none" w:sz="0" w:space="0" w:color="auto"/>
            <w:right w:val="none" w:sz="0" w:space="0" w:color="auto"/>
          </w:divBdr>
        </w:div>
      </w:divsChild>
    </w:div>
    <w:div w:id="477578563">
      <w:bodyDiv w:val="1"/>
      <w:marLeft w:val="0"/>
      <w:marRight w:val="0"/>
      <w:marTop w:val="0"/>
      <w:marBottom w:val="0"/>
      <w:divBdr>
        <w:top w:val="none" w:sz="0" w:space="0" w:color="auto"/>
        <w:left w:val="none" w:sz="0" w:space="0" w:color="auto"/>
        <w:bottom w:val="none" w:sz="0" w:space="0" w:color="auto"/>
        <w:right w:val="none" w:sz="0" w:space="0" w:color="auto"/>
      </w:divBdr>
    </w:div>
    <w:div w:id="570965788">
      <w:bodyDiv w:val="1"/>
      <w:marLeft w:val="0"/>
      <w:marRight w:val="0"/>
      <w:marTop w:val="0"/>
      <w:marBottom w:val="0"/>
      <w:divBdr>
        <w:top w:val="none" w:sz="0" w:space="0" w:color="auto"/>
        <w:left w:val="none" w:sz="0" w:space="0" w:color="auto"/>
        <w:bottom w:val="none" w:sz="0" w:space="0" w:color="auto"/>
        <w:right w:val="none" w:sz="0" w:space="0" w:color="auto"/>
      </w:divBdr>
    </w:div>
    <w:div w:id="608968508">
      <w:bodyDiv w:val="1"/>
      <w:marLeft w:val="0"/>
      <w:marRight w:val="0"/>
      <w:marTop w:val="0"/>
      <w:marBottom w:val="0"/>
      <w:divBdr>
        <w:top w:val="none" w:sz="0" w:space="0" w:color="auto"/>
        <w:left w:val="none" w:sz="0" w:space="0" w:color="auto"/>
        <w:bottom w:val="none" w:sz="0" w:space="0" w:color="auto"/>
        <w:right w:val="none" w:sz="0" w:space="0" w:color="auto"/>
      </w:divBdr>
    </w:div>
    <w:div w:id="636420957">
      <w:bodyDiv w:val="1"/>
      <w:marLeft w:val="0"/>
      <w:marRight w:val="0"/>
      <w:marTop w:val="0"/>
      <w:marBottom w:val="0"/>
      <w:divBdr>
        <w:top w:val="none" w:sz="0" w:space="0" w:color="auto"/>
        <w:left w:val="none" w:sz="0" w:space="0" w:color="auto"/>
        <w:bottom w:val="none" w:sz="0" w:space="0" w:color="auto"/>
        <w:right w:val="none" w:sz="0" w:space="0" w:color="auto"/>
      </w:divBdr>
    </w:div>
    <w:div w:id="653872710">
      <w:bodyDiv w:val="1"/>
      <w:marLeft w:val="0"/>
      <w:marRight w:val="0"/>
      <w:marTop w:val="0"/>
      <w:marBottom w:val="0"/>
      <w:divBdr>
        <w:top w:val="none" w:sz="0" w:space="0" w:color="auto"/>
        <w:left w:val="none" w:sz="0" w:space="0" w:color="auto"/>
        <w:bottom w:val="none" w:sz="0" w:space="0" w:color="auto"/>
        <w:right w:val="none" w:sz="0" w:space="0" w:color="auto"/>
      </w:divBdr>
    </w:div>
    <w:div w:id="751388484">
      <w:bodyDiv w:val="1"/>
      <w:marLeft w:val="0"/>
      <w:marRight w:val="0"/>
      <w:marTop w:val="0"/>
      <w:marBottom w:val="0"/>
      <w:divBdr>
        <w:top w:val="none" w:sz="0" w:space="0" w:color="auto"/>
        <w:left w:val="none" w:sz="0" w:space="0" w:color="auto"/>
        <w:bottom w:val="none" w:sz="0" w:space="0" w:color="auto"/>
        <w:right w:val="none" w:sz="0" w:space="0" w:color="auto"/>
      </w:divBdr>
    </w:div>
    <w:div w:id="761685704">
      <w:bodyDiv w:val="1"/>
      <w:marLeft w:val="0"/>
      <w:marRight w:val="0"/>
      <w:marTop w:val="0"/>
      <w:marBottom w:val="0"/>
      <w:divBdr>
        <w:top w:val="none" w:sz="0" w:space="0" w:color="auto"/>
        <w:left w:val="none" w:sz="0" w:space="0" w:color="auto"/>
        <w:bottom w:val="none" w:sz="0" w:space="0" w:color="auto"/>
        <w:right w:val="none" w:sz="0" w:space="0" w:color="auto"/>
      </w:divBdr>
    </w:div>
    <w:div w:id="768501892">
      <w:bodyDiv w:val="1"/>
      <w:marLeft w:val="0"/>
      <w:marRight w:val="0"/>
      <w:marTop w:val="0"/>
      <w:marBottom w:val="0"/>
      <w:divBdr>
        <w:top w:val="none" w:sz="0" w:space="0" w:color="auto"/>
        <w:left w:val="none" w:sz="0" w:space="0" w:color="auto"/>
        <w:bottom w:val="none" w:sz="0" w:space="0" w:color="auto"/>
        <w:right w:val="none" w:sz="0" w:space="0" w:color="auto"/>
      </w:divBdr>
    </w:div>
    <w:div w:id="883907194">
      <w:bodyDiv w:val="1"/>
      <w:marLeft w:val="0"/>
      <w:marRight w:val="0"/>
      <w:marTop w:val="0"/>
      <w:marBottom w:val="0"/>
      <w:divBdr>
        <w:top w:val="none" w:sz="0" w:space="0" w:color="auto"/>
        <w:left w:val="none" w:sz="0" w:space="0" w:color="auto"/>
        <w:bottom w:val="none" w:sz="0" w:space="0" w:color="auto"/>
        <w:right w:val="none" w:sz="0" w:space="0" w:color="auto"/>
      </w:divBdr>
    </w:div>
    <w:div w:id="936597543">
      <w:bodyDiv w:val="1"/>
      <w:marLeft w:val="0"/>
      <w:marRight w:val="0"/>
      <w:marTop w:val="0"/>
      <w:marBottom w:val="0"/>
      <w:divBdr>
        <w:top w:val="none" w:sz="0" w:space="0" w:color="auto"/>
        <w:left w:val="none" w:sz="0" w:space="0" w:color="auto"/>
        <w:bottom w:val="none" w:sz="0" w:space="0" w:color="auto"/>
        <w:right w:val="none" w:sz="0" w:space="0" w:color="auto"/>
      </w:divBdr>
    </w:div>
    <w:div w:id="1118332229">
      <w:bodyDiv w:val="1"/>
      <w:marLeft w:val="0"/>
      <w:marRight w:val="0"/>
      <w:marTop w:val="0"/>
      <w:marBottom w:val="0"/>
      <w:divBdr>
        <w:top w:val="none" w:sz="0" w:space="0" w:color="auto"/>
        <w:left w:val="none" w:sz="0" w:space="0" w:color="auto"/>
        <w:bottom w:val="none" w:sz="0" w:space="0" w:color="auto"/>
        <w:right w:val="none" w:sz="0" w:space="0" w:color="auto"/>
      </w:divBdr>
    </w:div>
    <w:div w:id="1143814653">
      <w:bodyDiv w:val="1"/>
      <w:marLeft w:val="0"/>
      <w:marRight w:val="0"/>
      <w:marTop w:val="0"/>
      <w:marBottom w:val="0"/>
      <w:divBdr>
        <w:top w:val="none" w:sz="0" w:space="0" w:color="auto"/>
        <w:left w:val="none" w:sz="0" w:space="0" w:color="auto"/>
        <w:bottom w:val="none" w:sz="0" w:space="0" w:color="auto"/>
        <w:right w:val="none" w:sz="0" w:space="0" w:color="auto"/>
      </w:divBdr>
    </w:div>
    <w:div w:id="1195071783">
      <w:bodyDiv w:val="1"/>
      <w:marLeft w:val="0"/>
      <w:marRight w:val="0"/>
      <w:marTop w:val="0"/>
      <w:marBottom w:val="0"/>
      <w:divBdr>
        <w:top w:val="none" w:sz="0" w:space="0" w:color="auto"/>
        <w:left w:val="none" w:sz="0" w:space="0" w:color="auto"/>
        <w:bottom w:val="none" w:sz="0" w:space="0" w:color="auto"/>
        <w:right w:val="none" w:sz="0" w:space="0" w:color="auto"/>
      </w:divBdr>
    </w:div>
    <w:div w:id="1206021515">
      <w:bodyDiv w:val="1"/>
      <w:marLeft w:val="0"/>
      <w:marRight w:val="0"/>
      <w:marTop w:val="0"/>
      <w:marBottom w:val="0"/>
      <w:divBdr>
        <w:top w:val="none" w:sz="0" w:space="0" w:color="auto"/>
        <w:left w:val="none" w:sz="0" w:space="0" w:color="auto"/>
        <w:bottom w:val="none" w:sz="0" w:space="0" w:color="auto"/>
        <w:right w:val="none" w:sz="0" w:space="0" w:color="auto"/>
      </w:divBdr>
    </w:div>
    <w:div w:id="1209801785">
      <w:bodyDiv w:val="1"/>
      <w:marLeft w:val="0"/>
      <w:marRight w:val="0"/>
      <w:marTop w:val="0"/>
      <w:marBottom w:val="0"/>
      <w:divBdr>
        <w:top w:val="none" w:sz="0" w:space="0" w:color="auto"/>
        <w:left w:val="none" w:sz="0" w:space="0" w:color="auto"/>
        <w:bottom w:val="none" w:sz="0" w:space="0" w:color="auto"/>
        <w:right w:val="none" w:sz="0" w:space="0" w:color="auto"/>
      </w:divBdr>
    </w:div>
    <w:div w:id="1236360477">
      <w:bodyDiv w:val="1"/>
      <w:marLeft w:val="0"/>
      <w:marRight w:val="0"/>
      <w:marTop w:val="0"/>
      <w:marBottom w:val="0"/>
      <w:divBdr>
        <w:top w:val="none" w:sz="0" w:space="0" w:color="auto"/>
        <w:left w:val="none" w:sz="0" w:space="0" w:color="auto"/>
        <w:bottom w:val="none" w:sz="0" w:space="0" w:color="auto"/>
        <w:right w:val="none" w:sz="0" w:space="0" w:color="auto"/>
      </w:divBdr>
    </w:div>
    <w:div w:id="1247956200">
      <w:bodyDiv w:val="1"/>
      <w:marLeft w:val="0"/>
      <w:marRight w:val="0"/>
      <w:marTop w:val="0"/>
      <w:marBottom w:val="0"/>
      <w:divBdr>
        <w:top w:val="none" w:sz="0" w:space="0" w:color="auto"/>
        <w:left w:val="none" w:sz="0" w:space="0" w:color="auto"/>
        <w:bottom w:val="none" w:sz="0" w:space="0" w:color="auto"/>
        <w:right w:val="none" w:sz="0" w:space="0" w:color="auto"/>
      </w:divBdr>
    </w:div>
    <w:div w:id="1321735172">
      <w:bodyDiv w:val="1"/>
      <w:marLeft w:val="0"/>
      <w:marRight w:val="0"/>
      <w:marTop w:val="0"/>
      <w:marBottom w:val="0"/>
      <w:divBdr>
        <w:top w:val="none" w:sz="0" w:space="0" w:color="auto"/>
        <w:left w:val="none" w:sz="0" w:space="0" w:color="auto"/>
        <w:bottom w:val="none" w:sz="0" w:space="0" w:color="auto"/>
        <w:right w:val="none" w:sz="0" w:space="0" w:color="auto"/>
      </w:divBdr>
    </w:div>
    <w:div w:id="1350911785">
      <w:bodyDiv w:val="1"/>
      <w:marLeft w:val="0"/>
      <w:marRight w:val="0"/>
      <w:marTop w:val="0"/>
      <w:marBottom w:val="0"/>
      <w:divBdr>
        <w:top w:val="none" w:sz="0" w:space="0" w:color="auto"/>
        <w:left w:val="none" w:sz="0" w:space="0" w:color="auto"/>
        <w:bottom w:val="none" w:sz="0" w:space="0" w:color="auto"/>
        <w:right w:val="none" w:sz="0" w:space="0" w:color="auto"/>
      </w:divBdr>
    </w:div>
    <w:div w:id="1663505702">
      <w:bodyDiv w:val="1"/>
      <w:marLeft w:val="0"/>
      <w:marRight w:val="0"/>
      <w:marTop w:val="0"/>
      <w:marBottom w:val="0"/>
      <w:divBdr>
        <w:top w:val="none" w:sz="0" w:space="0" w:color="auto"/>
        <w:left w:val="none" w:sz="0" w:space="0" w:color="auto"/>
        <w:bottom w:val="none" w:sz="0" w:space="0" w:color="auto"/>
        <w:right w:val="none" w:sz="0" w:space="0" w:color="auto"/>
      </w:divBdr>
    </w:div>
    <w:div w:id="1751927725">
      <w:bodyDiv w:val="1"/>
      <w:marLeft w:val="0"/>
      <w:marRight w:val="0"/>
      <w:marTop w:val="0"/>
      <w:marBottom w:val="0"/>
      <w:divBdr>
        <w:top w:val="none" w:sz="0" w:space="0" w:color="auto"/>
        <w:left w:val="none" w:sz="0" w:space="0" w:color="auto"/>
        <w:bottom w:val="none" w:sz="0" w:space="0" w:color="auto"/>
        <w:right w:val="none" w:sz="0" w:space="0" w:color="auto"/>
      </w:divBdr>
    </w:div>
    <w:div w:id="1757362798">
      <w:bodyDiv w:val="1"/>
      <w:marLeft w:val="0"/>
      <w:marRight w:val="0"/>
      <w:marTop w:val="0"/>
      <w:marBottom w:val="0"/>
      <w:divBdr>
        <w:top w:val="none" w:sz="0" w:space="0" w:color="auto"/>
        <w:left w:val="none" w:sz="0" w:space="0" w:color="auto"/>
        <w:bottom w:val="none" w:sz="0" w:space="0" w:color="auto"/>
        <w:right w:val="none" w:sz="0" w:space="0" w:color="auto"/>
      </w:divBdr>
    </w:div>
    <w:div w:id="1817916919">
      <w:bodyDiv w:val="1"/>
      <w:marLeft w:val="0"/>
      <w:marRight w:val="0"/>
      <w:marTop w:val="0"/>
      <w:marBottom w:val="0"/>
      <w:divBdr>
        <w:top w:val="none" w:sz="0" w:space="0" w:color="auto"/>
        <w:left w:val="none" w:sz="0" w:space="0" w:color="auto"/>
        <w:bottom w:val="none" w:sz="0" w:space="0" w:color="auto"/>
        <w:right w:val="none" w:sz="0" w:space="0" w:color="auto"/>
      </w:divBdr>
    </w:div>
    <w:div w:id="1952395779">
      <w:bodyDiv w:val="1"/>
      <w:marLeft w:val="0"/>
      <w:marRight w:val="0"/>
      <w:marTop w:val="0"/>
      <w:marBottom w:val="0"/>
      <w:divBdr>
        <w:top w:val="none" w:sz="0" w:space="0" w:color="auto"/>
        <w:left w:val="none" w:sz="0" w:space="0" w:color="auto"/>
        <w:bottom w:val="none" w:sz="0" w:space="0" w:color="auto"/>
        <w:right w:val="none" w:sz="0" w:space="0" w:color="auto"/>
      </w:divBdr>
      <w:divsChild>
        <w:div w:id="1544558840">
          <w:marLeft w:val="0"/>
          <w:marRight w:val="0"/>
          <w:marTop w:val="0"/>
          <w:marBottom w:val="0"/>
          <w:divBdr>
            <w:top w:val="none" w:sz="0" w:space="0" w:color="auto"/>
            <w:left w:val="none" w:sz="0" w:space="0" w:color="auto"/>
            <w:bottom w:val="none" w:sz="0" w:space="0" w:color="auto"/>
            <w:right w:val="none" w:sz="0" w:space="0" w:color="auto"/>
          </w:divBdr>
        </w:div>
      </w:divsChild>
    </w:div>
    <w:div w:id="2001694467">
      <w:bodyDiv w:val="1"/>
      <w:marLeft w:val="0"/>
      <w:marRight w:val="0"/>
      <w:marTop w:val="0"/>
      <w:marBottom w:val="0"/>
      <w:divBdr>
        <w:top w:val="none" w:sz="0" w:space="0" w:color="auto"/>
        <w:left w:val="none" w:sz="0" w:space="0" w:color="auto"/>
        <w:bottom w:val="none" w:sz="0" w:space="0" w:color="auto"/>
        <w:right w:val="none" w:sz="0" w:space="0" w:color="auto"/>
      </w:divBdr>
    </w:div>
    <w:div w:id="2014918666">
      <w:bodyDiv w:val="1"/>
      <w:marLeft w:val="0"/>
      <w:marRight w:val="0"/>
      <w:marTop w:val="0"/>
      <w:marBottom w:val="0"/>
      <w:divBdr>
        <w:top w:val="none" w:sz="0" w:space="0" w:color="auto"/>
        <w:left w:val="none" w:sz="0" w:space="0" w:color="auto"/>
        <w:bottom w:val="none" w:sz="0" w:space="0" w:color="auto"/>
        <w:right w:val="none" w:sz="0" w:space="0" w:color="auto"/>
      </w:divBdr>
    </w:div>
    <w:div w:id="2037383555">
      <w:bodyDiv w:val="1"/>
      <w:marLeft w:val="0"/>
      <w:marRight w:val="0"/>
      <w:marTop w:val="0"/>
      <w:marBottom w:val="0"/>
      <w:divBdr>
        <w:top w:val="none" w:sz="0" w:space="0" w:color="auto"/>
        <w:left w:val="none" w:sz="0" w:space="0" w:color="auto"/>
        <w:bottom w:val="none" w:sz="0" w:space="0" w:color="auto"/>
        <w:right w:val="none" w:sz="0" w:space="0" w:color="auto"/>
      </w:divBdr>
    </w:div>
    <w:div w:id="210641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54C0B-BDCA-4389-BBF7-E752002FA4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Soni</dc:creator>
  <cp:keywords/>
  <dc:description/>
  <cp:lastModifiedBy>Desislava Laleva</cp:lastModifiedBy>
  <cp:revision>2</cp:revision>
  <dcterms:created xsi:type="dcterms:W3CDTF">2024-08-21T08:38:00Z</dcterms:created>
  <dcterms:modified xsi:type="dcterms:W3CDTF">2024-08-21T08:38:00Z</dcterms:modified>
</cp:coreProperties>
</file>