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3E44D" w14:textId="594BAE44" w:rsidR="001E24D5" w:rsidRDefault="00E14CFA" w:rsidP="00E14CFA">
      <w:pPr>
        <w:pStyle w:val="NoSpacing"/>
        <w:jc w:val="both"/>
      </w:pPr>
      <w:r>
        <w:t xml:space="preserve">The Divorce, Dissolution and Separation Act </w:t>
      </w:r>
      <w:r w:rsidR="00F9646A">
        <w:t>2020</w:t>
      </w:r>
      <w:r w:rsidR="00CD6FA4">
        <w:t xml:space="preserve"> (DDSA 2020)</w:t>
      </w:r>
      <w:r w:rsidR="00F9646A">
        <w:t xml:space="preserve"> </w:t>
      </w:r>
      <w:r>
        <w:t xml:space="preserve">was enacted and brought into force in England and Wales </w:t>
      </w:r>
      <w:r w:rsidR="00F9646A">
        <w:t>on 6</w:t>
      </w:r>
      <w:r w:rsidR="00F9646A" w:rsidRPr="00F9646A">
        <w:rPr>
          <w:vertAlign w:val="superscript"/>
        </w:rPr>
        <w:t>th</w:t>
      </w:r>
      <w:r w:rsidR="00F9646A">
        <w:t xml:space="preserve"> April </w:t>
      </w:r>
      <w:r>
        <w:t>2020</w:t>
      </w:r>
      <w:r w:rsidR="00532389">
        <w:t>. This essay will analyse</w:t>
      </w:r>
      <w:r>
        <w:t xml:space="preserve"> the impact that this legislation has had on the system and essentially, society as a whole. When we are children we are taught that relationships, marriages and family are all wonderful and love is a fairytale – you meet your prince charming, or your princess and you live happily ever after in idyllic bliss. The End. It is when </w:t>
      </w:r>
      <w:r w:rsidR="00CD6FA4">
        <w:t>we</w:t>
      </w:r>
      <w:r>
        <w:t xml:space="preserve"> reach adulthood </w:t>
      </w:r>
      <w:r w:rsidR="00CD6FA4">
        <w:t>we</w:t>
      </w:r>
      <w:r>
        <w:t xml:space="preserve"> understand that reality is starkly different and also how complex relationships and families can be. Some people do get their happy ever after, but the vast majority of people do not – or at the very least do not have continuously perfect lives where nothing goes wrong. This legislation has been designed to make the divorce process more efficient and</w:t>
      </w:r>
      <w:r w:rsidR="00CD6FA4">
        <w:t xml:space="preserve"> allows for</w:t>
      </w:r>
      <w:r>
        <w:t xml:space="preserve"> marriages </w:t>
      </w:r>
      <w:r w:rsidR="00CD6FA4">
        <w:t xml:space="preserve">to be ended more easily than ever before. </w:t>
      </w:r>
    </w:p>
    <w:p w14:paraId="31AC8C6E" w14:textId="77777777" w:rsidR="007A53B5" w:rsidRDefault="007A53B5" w:rsidP="00E14CFA">
      <w:pPr>
        <w:pStyle w:val="NoSpacing"/>
        <w:jc w:val="both"/>
      </w:pPr>
    </w:p>
    <w:p w14:paraId="5AC0ED1E" w14:textId="1E4DD0AE" w:rsidR="007244AF" w:rsidRDefault="007244AF" w:rsidP="00E14CFA">
      <w:pPr>
        <w:pStyle w:val="NoSpacing"/>
        <w:jc w:val="both"/>
      </w:pPr>
      <w:r>
        <w:t>There are several points to consider when assessing the impact that this legislation has had on divorce cases being brought in court, mainly the impact this has on the people that are using the system and how it affects their lives and families, this is one area of law which has been hugely reformed and considerably updated in line with the vastly different societal values and the new ideas of marriage and the family than at the time the previous legislation was last enacted in 1973, and it was enacted with a view that it would make the process far more accessible and efficient for those who need it</w:t>
      </w:r>
      <w:r w:rsidR="00532089">
        <w:t xml:space="preserve">. There is an access to justice issue with cases of this nature as the majority of represented cases need to be privately funded as legal aid is limited and only usually granted in child </w:t>
      </w:r>
      <w:r w:rsidR="009E713E">
        <w:t xml:space="preserve">welfare or domestic abuse cases. </w:t>
      </w:r>
      <w:r w:rsidR="00CA504D">
        <w:t xml:space="preserve">This could mean that couples are forced to go it alone and use the online service without the input of a solicitor which could have repercussions later on once the process is over, namely financial and child residency issues due to the lack of Child Arrangement Orders and Financial Orders. </w:t>
      </w:r>
    </w:p>
    <w:p w14:paraId="28072713" w14:textId="77777777" w:rsidR="00CA504D" w:rsidRDefault="00CA504D" w:rsidP="00E14CFA">
      <w:pPr>
        <w:pStyle w:val="NoSpacing"/>
        <w:jc w:val="both"/>
      </w:pPr>
    </w:p>
    <w:p w14:paraId="133B4A52" w14:textId="77777777" w:rsidR="002319D4" w:rsidRDefault="002319D4" w:rsidP="002319D4">
      <w:pPr>
        <w:pStyle w:val="NoSpacing"/>
        <w:jc w:val="both"/>
      </w:pPr>
      <w:r>
        <w:t xml:space="preserve">It is also important to consider the cultural impact this could have on us as a society overall, for we are a country with inherently conservative and traditional values which have been rooted within the fabric of our society for centuries. Particularly surrounding relationships and marriage. It is only recently that divorce has been accepted by society and especially within law and policy. Up until now divorce has always been considered on par with a social or moral failing with people literally being cut off by their families for divorcing even as recent as a century ago. </w:t>
      </w:r>
    </w:p>
    <w:p w14:paraId="5E87B685" w14:textId="77777777" w:rsidR="002319D4" w:rsidRDefault="002319D4" w:rsidP="002319D4">
      <w:pPr>
        <w:pStyle w:val="NoSpacing"/>
        <w:jc w:val="both"/>
      </w:pPr>
    </w:p>
    <w:p w14:paraId="40F06963" w14:textId="77777777" w:rsidR="002319D4" w:rsidRDefault="002319D4" w:rsidP="002319D4">
      <w:pPr>
        <w:pStyle w:val="NoSpacing"/>
        <w:jc w:val="both"/>
      </w:pPr>
      <w:r>
        <w:t>When this Act was first introduced as a Bill, Parliament had to have a consultation process. During that time, they had over three thousand responses from individuals and groups as well as experts and family law practitioners. They also looked at the overarching impact this may potentially have on children and the wider family unit.</w:t>
      </w:r>
    </w:p>
    <w:p w14:paraId="27A8D68B" w14:textId="77777777" w:rsidR="002319D4" w:rsidRDefault="002319D4" w:rsidP="00E14CFA">
      <w:pPr>
        <w:pStyle w:val="NoSpacing"/>
        <w:jc w:val="both"/>
      </w:pPr>
    </w:p>
    <w:p w14:paraId="68E338C7" w14:textId="31AA5B7C" w:rsidR="002F76F8" w:rsidRDefault="00CA504D" w:rsidP="00E14CFA">
      <w:pPr>
        <w:pStyle w:val="NoSpacing"/>
        <w:jc w:val="both"/>
      </w:pPr>
      <w:r>
        <w:t xml:space="preserve">Reverend </w:t>
      </w:r>
      <w:r w:rsidR="0072402A">
        <w:t xml:space="preserve">Chris Taylor, (2020), in a written response just prior to the government’s enactment of this Bill, raises several potential issues with the DDSA 2020, in particular relating to Human Rights and how it conceptually would allow for a party to just walk away from a marriage when their spouse has become ill and vulnerable. In his letter his views are mainly focussed on the issue of no-fault divorce and does not discuss the legislation in its entirety. He feels that the Bill essentially undermines peoples Human Rights and expectations of a couple’s faithfulness in a marriage. He further expands his views by stating that this legislation would also violate </w:t>
      </w:r>
      <w:r w:rsidR="0072402A">
        <w:lastRenderedPageBreak/>
        <w:t>the rights of a spouse who has developed an illness or becomes vulnerable and feels it would allow the other party to just walk away and file for divorce with no warning, which could lead to the deterioration of their physical and or mental health – especially if they do not want the divorce</w:t>
      </w:r>
      <w:r w:rsidR="002319D4">
        <w:t xml:space="preserve"> – and could potentially end up in financial trouble too which would all make them more vulnerable and needing support. Remember too, that he is a Reverend of the Church of England and has officiated many marriages. Because of this you can understand why this would give him cause for concern</w:t>
      </w:r>
      <w:r w:rsidR="00B67FB9">
        <w:t xml:space="preserve"> as ‘in sickness and in health’ is said as a vow before God and to him breaking that or any vow would be on a par with sacrilege.</w:t>
      </w:r>
    </w:p>
    <w:p w14:paraId="166787F3" w14:textId="77777777" w:rsidR="00F9646A" w:rsidRDefault="00F9646A" w:rsidP="00E14CFA">
      <w:pPr>
        <w:pStyle w:val="NoSpacing"/>
        <w:jc w:val="both"/>
      </w:pPr>
    </w:p>
    <w:p w14:paraId="434C1F9E" w14:textId="62D58330" w:rsidR="001B63E2" w:rsidRDefault="00CD6FA4" w:rsidP="00E14CFA">
      <w:pPr>
        <w:pStyle w:val="NoSpacing"/>
        <w:jc w:val="both"/>
      </w:pPr>
      <w:r>
        <w:t xml:space="preserve">The DDSA 2020 is the single most significant and comprehensive reform of divorce law within the English Legal System since the 1970s. The requirement to prove one of the five facts in s1(2) of the Matrimonial Causes Act 1973 (MCA 1973) which was previously needed to prove a marriage had irretrievably broken down has been abolished by this Act. It also allows married couples to legally end their respective marriages without attributing blame to a specific party – this is commonly referred to as no fault divorce in discussions. This may also be beneficial to couples where the Respondent refuses to accept the blame in the divorce, for whatever reason, which could potentially lead to lengthy and unpleasant </w:t>
      </w:r>
      <w:r w:rsidR="001B63E2">
        <w:t>litigious proceedings or just delay them altogether. It should also be noted that equivalent provisions have also been made to the Civil Partnership Act 2004 (CPA 2004) in order to reduce the potential for conflicts between couples who are in traditional marriages a</w:t>
      </w:r>
      <w:r w:rsidR="00F513E1">
        <w:t xml:space="preserve">nd those in Civil Partnerships </w:t>
      </w:r>
      <w:proofErr w:type="spellStart"/>
      <w:r w:rsidR="001B63E2">
        <w:t>LexisPSL</w:t>
      </w:r>
      <w:proofErr w:type="spellEnd"/>
      <w:r w:rsidR="001B63E2">
        <w:t xml:space="preserve">, </w:t>
      </w:r>
      <w:r w:rsidR="00F513E1">
        <w:t>(</w:t>
      </w:r>
      <w:r w:rsidR="001B63E2">
        <w:t xml:space="preserve">2023). </w:t>
      </w:r>
    </w:p>
    <w:p w14:paraId="79587FB0" w14:textId="77777777" w:rsidR="00CF0573" w:rsidRDefault="00CF0573" w:rsidP="00E14CFA">
      <w:pPr>
        <w:pStyle w:val="NoSpacing"/>
        <w:jc w:val="both"/>
      </w:pPr>
    </w:p>
    <w:p w14:paraId="1EC7E79A" w14:textId="3D1996EB" w:rsidR="005868A3" w:rsidRDefault="002F76F8" w:rsidP="00E14CFA">
      <w:pPr>
        <w:pStyle w:val="NoSpacing"/>
        <w:jc w:val="both"/>
      </w:pPr>
      <w:r>
        <w:t>However revolutionary or reforming this legislation is there are always disadvantages, not only does this remove the need for blame or to prove a fact of irretrievability but, it removes the Respondent’s ability to contest the divorce</w:t>
      </w:r>
      <w:r w:rsidR="005868A3">
        <w:t xml:space="preserve">, meaning that just one partner can make the decision to end the marriage at any time and the other spouse just has to accept it and deal with it, Simcox, (2022). </w:t>
      </w:r>
    </w:p>
    <w:p w14:paraId="28FF552A" w14:textId="77777777" w:rsidR="002F76F8" w:rsidRDefault="002F76F8" w:rsidP="00E14CFA">
      <w:pPr>
        <w:pStyle w:val="NoSpacing"/>
        <w:jc w:val="both"/>
      </w:pPr>
    </w:p>
    <w:p w14:paraId="45F07F02" w14:textId="77777777" w:rsidR="00CF0573" w:rsidRDefault="00CF0573" w:rsidP="00CF0573">
      <w:pPr>
        <w:pStyle w:val="NoSpacing"/>
        <w:jc w:val="both"/>
      </w:pPr>
      <w:r>
        <w:t xml:space="preserve">The case of Owens v Owens [2016] shows how much this legislation has the power to literally change peoples’ lives and how much it reformed the old system under the MCA 1973. Mrs. Owens filed for divorce, and the case was heard at the Central Family Court. The judge in this case refused to issue Mrs. Owens a Decree Nisi, now referred to as a Conditional Order, even though he was satisfied the marriage had irretrievably broken down and there was no hope for reconciliation. The Respondent defended the divorce, which in practice is rare, and the judge found that </w:t>
      </w:r>
      <w:r>
        <w:rPr>
          <w:i/>
        </w:rPr>
        <w:t xml:space="preserve">“Mrs. Owens had failed to prove, within the meaning of the law, that her husband behaved in such a way that she could not reasonably be expected to live with him”. </w:t>
      </w:r>
      <w:r>
        <w:t xml:space="preserve">The Court of Appeal and the Supreme Court also dismissed Mrs. Owens’ case saying that </w:t>
      </w:r>
      <w:proofErr w:type="gramStart"/>
      <w:r>
        <w:t>is</w:t>
      </w:r>
      <w:proofErr w:type="gramEnd"/>
      <w:r>
        <w:t xml:space="preserve"> was up to Parliament to change the law and not the judiciary, </w:t>
      </w:r>
      <w:proofErr w:type="spellStart"/>
      <w:r>
        <w:t>Fairnbarn</w:t>
      </w:r>
      <w:proofErr w:type="spellEnd"/>
      <w:r>
        <w:t xml:space="preserve"> (2020).</w:t>
      </w:r>
    </w:p>
    <w:p w14:paraId="6F1AE558" w14:textId="183DCB3A" w:rsidR="00847FC4" w:rsidRDefault="00847FC4" w:rsidP="00E14CFA">
      <w:pPr>
        <w:pStyle w:val="NoSpacing"/>
        <w:jc w:val="both"/>
      </w:pPr>
    </w:p>
    <w:p w14:paraId="589FE5C7" w14:textId="77777777" w:rsidR="00EE1071" w:rsidRDefault="00450D20" w:rsidP="00E14CFA">
      <w:pPr>
        <w:pStyle w:val="NoSpacing"/>
        <w:jc w:val="both"/>
      </w:pPr>
      <w:r>
        <w:t>After the DDS</w:t>
      </w:r>
      <w:r w:rsidR="00D113D7">
        <w:t xml:space="preserve">A had been in force for two years, statistics from April 2021 – April 2022 were published which showed that divorce applications had significantly increased with 12,978 new applications made in April 2022 alone. Breaking that figure down shows there were 10,207 sole applications and 2,771 joint applications – and for comparison there were 6,746 applications in April 2021. The huge number of sole applications compared to the meagre number of joint applications shows that there are a significant number of people who seized </w:t>
      </w:r>
      <w:r w:rsidR="00D113D7">
        <w:lastRenderedPageBreak/>
        <w:t xml:space="preserve">their opportunity and legally ended their marriage, with </w:t>
      </w:r>
      <w:proofErr w:type="spellStart"/>
      <w:r w:rsidR="00D113D7">
        <w:t>Lubna</w:t>
      </w:r>
      <w:proofErr w:type="spellEnd"/>
      <w:r w:rsidR="00D113D7">
        <w:t xml:space="preserve"> </w:t>
      </w:r>
      <w:proofErr w:type="spellStart"/>
      <w:r w:rsidR="00D113D7">
        <w:t>Shuja</w:t>
      </w:r>
      <w:proofErr w:type="spellEnd"/>
      <w:r w:rsidR="00D113D7">
        <w:t xml:space="preserve"> of The Law Society saying that the figures that have been published have reflected the ‘bulge’ in applications they expected when the Act was introduced. She also went on to say that not having to prove a fact based in fault like the previous system that couples and children will have to deal with less anxiety and unnecessary conflict, The Law Society (2022). </w:t>
      </w:r>
    </w:p>
    <w:p w14:paraId="4F11AC5B" w14:textId="77777777" w:rsidR="00EE1071" w:rsidRDefault="00EE1071" w:rsidP="00E14CFA">
      <w:pPr>
        <w:pStyle w:val="NoSpacing"/>
        <w:jc w:val="both"/>
      </w:pPr>
    </w:p>
    <w:p w14:paraId="49FBDAF6" w14:textId="093EF38A" w:rsidR="00EE1071" w:rsidRDefault="00D113D7" w:rsidP="00E14CFA">
      <w:pPr>
        <w:pStyle w:val="NoSpacing"/>
        <w:jc w:val="both"/>
      </w:pPr>
      <w:r>
        <w:t xml:space="preserve">Further in that article it also states that Civil Law Courts were facing backlogs and figures to 2022 showed that </w:t>
      </w:r>
      <w:r w:rsidR="00EE1071">
        <w:t xml:space="preserve">there were 22,766 active Family Court cases, with Care and Supervision Orders taking an average of 50.4 weeks to bring to completion. These figures and the length of time that it is taking Supervision Orders to be dealt with could potentially contradict Ms. </w:t>
      </w:r>
      <w:proofErr w:type="spellStart"/>
      <w:r w:rsidR="00EE1071">
        <w:t>Shuja’s</w:t>
      </w:r>
      <w:proofErr w:type="spellEnd"/>
      <w:r w:rsidR="00EE1071">
        <w:t xml:space="preserve"> point that the no-fault process would mean less anxiety and unnecessary unpleasantness would be experienced by children and families. There are many divorces which may also need to be heard in Family Court to consider and accommodate the needs of the children also in that process, and with such a </w:t>
      </w:r>
      <w:proofErr w:type="spellStart"/>
      <w:r w:rsidR="00EE1071">
        <w:t>hig</w:t>
      </w:r>
      <w:proofErr w:type="spellEnd"/>
      <w:r w:rsidR="00EE1071">
        <w:t xml:space="preserve"> number of cases causing delays and the average time for a case involving Child Orders to be considered being almost 51 weeks when the divorce process could now be completed in 26 weeks, which is almost half the time of a child related case in Family Court, could this cause more anxiety and unnecessary stress than initially intended?</w:t>
      </w:r>
    </w:p>
    <w:p w14:paraId="23F6B79A" w14:textId="77777777" w:rsidR="00FF4897" w:rsidRDefault="00FF4897" w:rsidP="00E14CFA">
      <w:pPr>
        <w:pStyle w:val="NoSpacing"/>
        <w:jc w:val="both"/>
      </w:pPr>
    </w:p>
    <w:p w14:paraId="361D055E" w14:textId="7C1C3D21" w:rsidR="00FF4897" w:rsidRPr="00D443C1" w:rsidRDefault="00FF4897" w:rsidP="00E14CFA">
      <w:pPr>
        <w:pStyle w:val="NoSpacing"/>
        <w:jc w:val="both"/>
      </w:pPr>
      <w:r>
        <w:t xml:space="preserve">During the quarter from </w:t>
      </w:r>
      <w:r w:rsidR="00E51816">
        <w:t xml:space="preserve">January – March 2022 it was found that cases where either both parties or only the Respondent had legal representation, cases took longer to dispense with than if both parties were Litigants in Person (LIPs), or only the Applicant had representation. During this time there was a decrease both the number of petitions and Final Orders that were granted, with 30,154 applications made which is a 2% decrease compared to the same period in 2021. The number of 23,973 Final Orders were granted which is a 20% decrease from 2021, Ministry of Justice, (2022). </w:t>
      </w:r>
    </w:p>
    <w:p w14:paraId="0E3775E5" w14:textId="77777777" w:rsidR="001B63E2" w:rsidRDefault="001B63E2" w:rsidP="00E14CFA">
      <w:pPr>
        <w:pStyle w:val="NoSpacing"/>
        <w:jc w:val="both"/>
      </w:pPr>
    </w:p>
    <w:p w14:paraId="7E90F289" w14:textId="7E09DA4A" w:rsidR="001B63E2" w:rsidRDefault="00415964" w:rsidP="00E14CFA">
      <w:pPr>
        <w:pStyle w:val="NoSpacing"/>
        <w:jc w:val="both"/>
      </w:pPr>
      <w:r>
        <w:t xml:space="preserve">We all know that the court system has a heavy caseload and some courts, such as the Family and Criminal Courts are severely overstretched and many are concerned that a sudden influx of cases will only make things worse and given the fact that many couples have been waiting for this legislation to come in to force before making their applications, this could end up putting further pressure on an already struggling system and lead to further backlogs and delays. Although this legislation sounds good in theory and the fact that it is possible for both parties to agree to divorce and can be amicable without the need for legal advice, the negative practical implications should also be considered. The amicable relations couples intended at the start can quickly become strained meaning that legal intervention is needed and usually sought much later in the process, making the situation more complex than before, which could put couples off seeking legal advice altogether and then cases that really did need the help of the legal system get missed. Because it still has not been very long since this Act was introduced it is difficult to ascertain the complete effect of this modern legislation on society, the system and the courts </w:t>
      </w:r>
      <w:r w:rsidR="00B464C1">
        <w:t>Allen &amp; Chambers, (2022)</w:t>
      </w:r>
      <w:r>
        <w:t xml:space="preserve">. </w:t>
      </w:r>
    </w:p>
    <w:p w14:paraId="5F33029A" w14:textId="77777777" w:rsidR="001B63E2" w:rsidRDefault="001B63E2" w:rsidP="00E14CFA">
      <w:pPr>
        <w:pStyle w:val="NoSpacing"/>
        <w:jc w:val="both"/>
      </w:pPr>
    </w:p>
    <w:p w14:paraId="338D68F1" w14:textId="4C4BD0E8" w:rsidR="001B63E2" w:rsidRDefault="00B464C1" w:rsidP="00E14CFA">
      <w:pPr>
        <w:pStyle w:val="NoSpacing"/>
        <w:jc w:val="both"/>
      </w:pPr>
      <w:r>
        <w:t xml:space="preserve">Early figures of divorce applications, post 2020, have so far indicated that there will be more pressure on the system due to the influx of cases. Will this be short term or is this the new normal, where it is possible for someone to just wake up in the morning and decide that they </w:t>
      </w:r>
      <w:r>
        <w:lastRenderedPageBreak/>
        <w:t xml:space="preserve">no longer want to be married? There are people who see this legislation and way of thinking as an attack on the sanctity of marriage and is a in complete juxtaposition to the usual societal marital commitments and expectations, such as marriage being a lifetime commitment. What is even the point of getting married these days if the most basic expectations of marriage and security can be reneged on with less consideration than your morning coffee order? </w:t>
      </w:r>
    </w:p>
    <w:p w14:paraId="498DFE34" w14:textId="77777777" w:rsidR="001B63E2" w:rsidRDefault="001B63E2" w:rsidP="00E14CFA">
      <w:pPr>
        <w:pStyle w:val="NoSpacing"/>
        <w:jc w:val="both"/>
      </w:pPr>
    </w:p>
    <w:p w14:paraId="772971F1" w14:textId="77777777" w:rsidR="005868A3" w:rsidRDefault="005868A3" w:rsidP="00E14CFA">
      <w:pPr>
        <w:pStyle w:val="NoSpacing"/>
        <w:jc w:val="both"/>
      </w:pPr>
    </w:p>
    <w:p w14:paraId="3D03E2C3" w14:textId="77777777" w:rsidR="005868A3" w:rsidRDefault="005868A3" w:rsidP="00E14CFA">
      <w:pPr>
        <w:pStyle w:val="NoSpacing"/>
        <w:jc w:val="both"/>
      </w:pPr>
    </w:p>
    <w:p w14:paraId="18E5A4B5" w14:textId="77777777" w:rsidR="005868A3" w:rsidRDefault="005868A3" w:rsidP="00E14CFA">
      <w:pPr>
        <w:pStyle w:val="NoSpacing"/>
        <w:jc w:val="both"/>
      </w:pPr>
    </w:p>
    <w:p w14:paraId="588842D5" w14:textId="77777777" w:rsidR="005868A3" w:rsidRDefault="005868A3" w:rsidP="00E14CFA">
      <w:pPr>
        <w:pStyle w:val="NoSpacing"/>
        <w:jc w:val="both"/>
      </w:pPr>
    </w:p>
    <w:p w14:paraId="79A5B501" w14:textId="77777777" w:rsidR="005868A3" w:rsidRDefault="005868A3" w:rsidP="00E14CFA">
      <w:pPr>
        <w:pStyle w:val="NoSpacing"/>
        <w:jc w:val="both"/>
      </w:pPr>
    </w:p>
    <w:p w14:paraId="45554DED" w14:textId="77777777" w:rsidR="005868A3" w:rsidRDefault="005868A3" w:rsidP="00E14CFA">
      <w:pPr>
        <w:pStyle w:val="NoSpacing"/>
        <w:jc w:val="both"/>
      </w:pPr>
    </w:p>
    <w:p w14:paraId="0596F00C" w14:textId="77777777" w:rsidR="005868A3" w:rsidRDefault="005868A3" w:rsidP="00E14CFA">
      <w:pPr>
        <w:pStyle w:val="NoSpacing"/>
        <w:jc w:val="both"/>
      </w:pPr>
    </w:p>
    <w:p w14:paraId="76CA0FC2" w14:textId="77777777" w:rsidR="005868A3" w:rsidRDefault="005868A3" w:rsidP="00E14CFA">
      <w:pPr>
        <w:pStyle w:val="NoSpacing"/>
        <w:jc w:val="both"/>
      </w:pPr>
    </w:p>
    <w:p w14:paraId="5B13731C" w14:textId="77777777" w:rsidR="005868A3" w:rsidRDefault="005868A3" w:rsidP="00E14CFA">
      <w:pPr>
        <w:pStyle w:val="NoSpacing"/>
        <w:jc w:val="both"/>
      </w:pPr>
    </w:p>
    <w:p w14:paraId="27D6165A" w14:textId="77777777" w:rsidR="005868A3" w:rsidRDefault="005868A3" w:rsidP="00E14CFA">
      <w:pPr>
        <w:pStyle w:val="NoSpacing"/>
        <w:jc w:val="both"/>
      </w:pPr>
    </w:p>
    <w:p w14:paraId="19A11667" w14:textId="77777777" w:rsidR="005868A3" w:rsidRDefault="005868A3" w:rsidP="00E14CFA">
      <w:pPr>
        <w:pStyle w:val="NoSpacing"/>
        <w:jc w:val="both"/>
      </w:pPr>
    </w:p>
    <w:p w14:paraId="1C507325" w14:textId="77777777" w:rsidR="005868A3" w:rsidRDefault="005868A3" w:rsidP="00E14CFA">
      <w:pPr>
        <w:pStyle w:val="NoSpacing"/>
        <w:jc w:val="both"/>
      </w:pPr>
    </w:p>
    <w:p w14:paraId="151862E6" w14:textId="77777777" w:rsidR="005868A3" w:rsidRDefault="005868A3" w:rsidP="00E14CFA">
      <w:pPr>
        <w:pStyle w:val="NoSpacing"/>
        <w:jc w:val="both"/>
      </w:pPr>
    </w:p>
    <w:p w14:paraId="28B0057D" w14:textId="77777777" w:rsidR="005868A3" w:rsidRDefault="005868A3" w:rsidP="00E14CFA">
      <w:pPr>
        <w:pStyle w:val="NoSpacing"/>
        <w:jc w:val="both"/>
      </w:pPr>
    </w:p>
    <w:p w14:paraId="41FACBD1" w14:textId="77777777" w:rsidR="005868A3" w:rsidRDefault="005868A3" w:rsidP="00E14CFA">
      <w:pPr>
        <w:pStyle w:val="NoSpacing"/>
        <w:jc w:val="both"/>
      </w:pPr>
    </w:p>
    <w:p w14:paraId="72F017EA" w14:textId="77777777" w:rsidR="005868A3" w:rsidRDefault="005868A3" w:rsidP="00E14CFA">
      <w:pPr>
        <w:pStyle w:val="NoSpacing"/>
        <w:jc w:val="both"/>
      </w:pPr>
    </w:p>
    <w:p w14:paraId="4793B9AC" w14:textId="77777777" w:rsidR="005868A3" w:rsidRDefault="005868A3" w:rsidP="00E14CFA">
      <w:pPr>
        <w:pStyle w:val="NoSpacing"/>
        <w:jc w:val="both"/>
      </w:pPr>
    </w:p>
    <w:p w14:paraId="7B05BEC1" w14:textId="77777777" w:rsidR="005868A3" w:rsidRDefault="005868A3" w:rsidP="00E14CFA">
      <w:pPr>
        <w:pStyle w:val="NoSpacing"/>
        <w:jc w:val="both"/>
      </w:pPr>
    </w:p>
    <w:p w14:paraId="4A3D9280" w14:textId="77777777" w:rsidR="005868A3" w:rsidRDefault="005868A3" w:rsidP="00E14CFA">
      <w:pPr>
        <w:pStyle w:val="NoSpacing"/>
        <w:jc w:val="both"/>
      </w:pPr>
    </w:p>
    <w:p w14:paraId="62005CF1" w14:textId="77777777" w:rsidR="005868A3" w:rsidRDefault="005868A3" w:rsidP="00E14CFA">
      <w:pPr>
        <w:pStyle w:val="NoSpacing"/>
        <w:jc w:val="both"/>
      </w:pPr>
    </w:p>
    <w:p w14:paraId="1E7B3A32" w14:textId="77777777" w:rsidR="005868A3" w:rsidRDefault="005868A3" w:rsidP="00E14CFA">
      <w:pPr>
        <w:pStyle w:val="NoSpacing"/>
        <w:jc w:val="both"/>
      </w:pPr>
    </w:p>
    <w:p w14:paraId="21CEFFAC" w14:textId="77777777" w:rsidR="005868A3" w:rsidRDefault="005868A3" w:rsidP="00E14CFA">
      <w:pPr>
        <w:pStyle w:val="NoSpacing"/>
        <w:jc w:val="both"/>
      </w:pPr>
    </w:p>
    <w:p w14:paraId="4E5ACA7C" w14:textId="77777777" w:rsidR="005868A3" w:rsidRDefault="005868A3" w:rsidP="00E14CFA">
      <w:pPr>
        <w:pStyle w:val="NoSpacing"/>
        <w:jc w:val="both"/>
      </w:pPr>
    </w:p>
    <w:p w14:paraId="63B7165B" w14:textId="77777777" w:rsidR="005868A3" w:rsidRDefault="005868A3" w:rsidP="00E14CFA">
      <w:pPr>
        <w:pStyle w:val="NoSpacing"/>
        <w:jc w:val="both"/>
      </w:pPr>
    </w:p>
    <w:p w14:paraId="4747E0C5" w14:textId="77777777" w:rsidR="005868A3" w:rsidRDefault="005868A3" w:rsidP="00E14CFA">
      <w:pPr>
        <w:pStyle w:val="NoSpacing"/>
        <w:jc w:val="both"/>
      </w:pPr>
    </w:p>
    <w:p w14:paraId="6DE804BE" w14:textId="77777777" w:rsidR="005868A3" w:rsidRDefault="005868A3" w:rsidP="00E14CFA">
      <w:pPr>
        <w:pStyle w:val="NoSpacing"/>
        <w:jc w:val="both"/>
      </w:pPr>
    </w:p>
    <w:p w14:paraId="32AEC23B" w14:textId="77777777" w:rsidR="005868A3" w:rsidRDefault="005868A3" w:rsidP="00E14CFA">
      <w:pPr>
        <w:pStyle w:val="NoSpacing"/>
        <w:jc w:val="both"/>
      </w:pPr>
    </w:p>
    <w:p w14:paraId="367B8773" w14:textId="77777777" w:rsidR="005868A3" w:rsidRDefault="005868A3" w:rsidP="00E14CFA">
      <w:pPr>
        <w:pStyle w:val="NoSpacing"/>
        <w:jc w:val="both"/>
      </w:pPr>
    </w:p>
    <w:p w14:paraId="1F1D1BF8" w14:textId="77777777" w:rsidR="005868A3" w:rsidRDefault="005868A3" w:rsidP="00E14CFA">
      <w:pPr>
        <w:pStyle w:val="NoSpacing"/>
        <w:jc w:val="both"/>
      </w:pPr>
    </w:p>
    <w:p w14:paraId="7532D38D" w14:textId="77777777" w:rsidR="005868A3" w:rsidRDefault="005868A3" w:rsidP="00E14CFA">
      <w:pPr>
        <w:pStyle w:val="NoSpacing"/>
        <w:jc w:val="both"/>
      </w:pPr>
    </w:p>
    <w:p w14:paraId="7BD0751B" w14:textId="77777777" w:rsidR="005868A3" w:rsidRDefault="005868A3" w:rsidP="00E14CFA">
      <w:pPr>
        <w:pStyle w:val="NoSpacing"/>
        <w:jc w:val="both"/>
      </w:pPr>
    </w:p>
    <w:p w14:paraId="5D6A3C8F" w14:textId="77777777" w:rsidR="005868A3" w:rsidRDefault="005868A3" w:rsidP="00E14CFA">
      <w:pPr>
        <w:pStyle w:val="NoSpacing"/>
        <w:jc w:val="both"/>
      </w:pPr>
    </w:p>
    <w:p w14:paraId="1C86E863" w14:textId="77777777" w:rsidR="005868A3" w:rsidRDefault="005868A3" w:rsidP="00E14CFA">
      <w:pPr>
        <w:pStyle w:val="NoSpacing"/>
        <w:jc w:val="both"/>
      </w:pPr>
    </w:p>
    <w:p w14:paraId="240172B2" w14:textId="77777777" w:rsidR="005868A3" w:rsidRDefault="005868A3" w:rsidP="00E14CFA">
      <w:pPr>
        <w:pStyle w:val="NoSpacing"/>
        <w:jc w:val="both"/>
      </w:pPr>
    </w:p>
    <w:p w14:paraId="3805F50F" w14:textId="77777777" w:rsidR="005868A3" w:rsidRDefault="005868A3" w:rsidP="00E14CFA">
      <w:pPr>
        <w:pStyle w:val="NoSpacing"/>
        <w:jc w:val="both"/>
      </w:pPr>
    </w:p>
    <w:p w14:paraId="570CC644" w14:textId="77777777" w:rsidR="005868A3" w:rsidRDefault="005868A3" w:rsidP="00E14CFA">
      <w:pPr>
        <w:pStyle w:val="NoSpacing"/>
        <w:jc w:val="both"/>
      </w:pPr>
    </w:p>
    <w:p w14:paraId="60E6AA82" w14:textId="77777777" w:rsidR="005868A3" w:rsidRDefault="005868A3" w:rsidP="00E14CFA">
      <w:pPr>
        <w:pStyle w:val="NoSpacing"/>
        <w:jc w:val="both"/>
      </w:pPr>
    </w:p>
    <w:p w14:paraId="0EBFDB8C" w14:textId="77777777" w:rsidR="005868A3" w:rsidRDefault="005868A3" w:rsidP="00E14CFA">
      <w:pPr>
        <w:pStyle w:val="NoSpacing"/>
        <w:jc w:val="both"/>
      </w:pPr>
    </w:p>
    <w:p w14:paraId="0DA5D884" w14:textId="77777777" w:rsidR="00B464C1" w:rsidRDefault="00B464C1" w:rsidP="00E14CFA">
      <w:pPr>
        <w:pStyle w:val="NoSpacing"/>
        <w:jc w:val="both"/>
      </w:pPr>
    </w:p>
    <w:p w14:paraId="39E7D5CA" w14:textId="360ABCFB" w:rsidR="001B63E2" w:rsidRDefault="001B63E2" w:rsidP="001B63E2">
      <w:pPr>
        <w:pStyle w:val="NoSpacing"/>
        <w:jc w:val="center"/>
      </w:pPr>
      <w:r>
        <w:rPr>
          <w:b/>
          <w:bCs/>
          <w:u w:val="single"/>
        </w:rPr>
        <w:lastRenderedPageBreak/>
        <w:t>Reference List</w:t>
      </w:r>
    </w:p>
    <w:p w14:paraId="1A7052A9" w14:textId="3C5BAB27" w:rsidR="001B63E2" w:rsidRDefault="001B63E2" w:rsidP="001B63E2">
      <w:pPr>
        <w:pStyle w:val="NoSpacing"/>
        <w:jc w:val="center"/>
      </w:pPr>
    </w:p>
    <w:p w14:paraId="1EB6F81D" w14:textId="285E63F4" w:rsidR="00B464C1" w:rsidRDefault="00B464C1" w:rsidP="00B464C1">
      <w:pPr>
        <w:pStyle w:val="NoSpacing"/>
        <w:jc w:val="both"/>
      </w:pPr>
      <w:r>
        <w:t xml:space="preserve">Allen. T and Chambers. A, (2022), </w:t>
      </w:r>
      <w:r>
        <w:rPr>
          <w:i/>
          <w:iCs/>
        </w:rPr>
        <w:t>No Fault Divorce, Help or Hindrance?</w:t>
      </w:r>
      <w:r>
        <w:t xml:space="preserve">, Park Square Barristers, Available at: </w:t>
      </w:r>
      <w:hyperlink r:id="rId6" w:history="1">
        <w:r w:rsidRPr="004169B5">
          <w:rPr>
            <w:rStyle w:val="Hyperlink"/>
          </w:rPr>
          <w:t>https://www.parksquarebarristers.co.uk/news/no-fault-divorce-help-or-hindrance-article-by-tonicha-allen-and-anna-chambers/</w:t>
        </w:r>
      </w:hyperlink>
      <w:r>
        <w:t xml:space="preserve"> Accessed 31/11/2023. </w:t>
      </w:r>
    </w:p>
    <w:p w14:paraId="23F7DCDB" w14:textId="77777777" w:rsidR="002F76F8" w:rsidRDefault="002F76F8" w:rsidP="00B464C1">
      <w:pPr>
        <w:pStyle w:val="NoSpacing"/>
        <w:jc w:val="both"/>
      </w:pPr>
    </w:p>
    <w:p w14:paraId="1EF22EB0" w14:textId="29ABEFED" w:rsidR="002F76F8" w:rsidRPr="002F76F8" w:rsidRDefault="002F76F8" w:rsidP="00B464C1">
      <w:pPr>
        <w:pStyle w:val="NoSpacing"/>
        <w:jc w:val="both"/>
      </w:pPr>
      <w:r>
        <w:t>Barnet-</w:t>
      </w:r>
      <w:proofErr w:type="spellStart"/>
      <w:r>
        <w:t>Thoung</w:t>
      </w:r>
      <w:proofErr w:type="spellEnd"/>
      <w:r>
        <w:t xml:space="preserve">-Holland. A, (2022), </w:t>
      </w:r>
      <w:r>
        <w:rPr>
          <w:i/>
          <w:iCs/>
        </w:rPr>
        <w:t>A Brave New World – No Fault Divorce</w:t>
      </w:r>
      <w:r>
        <w:t xml:space="preserve">, Coram Chambers, Available at: </w:t>
      </w:r>
      <w:hyperlink r:id="rId7" w:history="1">
        <w:r w:rsidRPr="004169B5">
          <w:rPr>
            <w:rStyle w:val="Hyperlink"/>
          </w:rPr>
          <w:t>https://www.coramchambers.co.uk/news-events/a-brave-new-world-no-fault-divorce-by-adrian-barnett-thoung-holland/</w:t>
        </w:r>
      </w:hyperlink>
      <w:r>
        <w:t xml:space="preserve"> Accessed 29/11/2023. </w:t>
      </w:r>
    </w:p>
    <w:p w14:paraId="36C3CADA" w14:textId="77777777" w:rsidR="00B464C1" w:rsidRDefault="00B464C1" w:rsidP="00B464C1">
      <w:pPr>
        <w:pStyle w:val="NoSpacing"/>
        <w:jc w:val="both"/>
      </w:pPr>
    </w:p>
    <w:p w14:paraId="23C1D4FB" w14:textId="3829C0B1" w:rsidR="00D443C1" w:rsidRDefault="00D443C1" w:rsidP="00D443C1">
      <w:pPr>
        <w:pStyle w:val="NoSpacing"/>
        <w:jc w:val="both"/>
      </w:pPr>
      <w:proofErr w:type="spellStart"/>
      <w:r>
        <w:t>Fairnbarn</w:t>
      </w:r>
      <w:proofErr w:type="spellEnd"/>
      <w:r>
        <w:t xml:space="preserve">. C, </w:t>
      </w:r>
      <w:r w:rsidR="00F513E1">
        <w:t xml:space="preserve">2020, </w:t>
      </w:r>
      <w:r w:rsidR="00F513E1">
        <w:rPr>
          <w:i/>
        </w:rPr>
        <w:t>Divorce, Dissolution and Separation Bill</w:t>
      </w:r>
      <w:r w:rsidR="00F513E1">
        <w:t xml:space="preserve">, Briefing Paper No. CBP8697, Available at: </w:t>
      </w:r>
      <w:hyperlink r:id="rId8" w:history="1">
        <w:r w:rsidR="00F513E1" w:rsidRPr="009C101D">
          <w:rPr>
            <w:rStyle w:val="Hyperlink"/>
          </w:rPr>
          <w:t>https://researchbriefings.files.parliament.uk/documents/CBP-8697/CBP-8697.pdf</w:t>
        </w:r>
      </w:hyperlink>
      <w:r w:rsidR="00F513E1">
        <w:t xml:space="preserve"> Accessed: 26/11/2023</w:t>
      </w:r>
      <w:r w:rsidR="00B67FB9">
        <w:t xml:space="preserve">. </w:t>
      </w:r>
    </w:p>
    <w:p w14:paraId="1CE093F7" w14:textId="77777777" w:rsidR="002F76F8" w:rsidRDefault="002F76F8" w:rsidP="00D443C1">
      <w:pPr>
        <w:pStyle w:val="NoSpacing"/>
        <w:jc w:val="both"/>
      </w:pPr>
    </w:p>
    <w:p w14:paraId="039E83A1" w14:textId="674A37E3" w:rsidR="002F76F8" w:rsidRPr="002F76F8" w:rsidRDefault="002F76F8" w:rsidP="00D443C1">
      <w:pPr>
        <w:pStyle w:val="NoSpacing"/>
        <w:jc w:val="both"/>
      </w:pPr>
      <w:r>
        <w:t xml:space="preserve">Gerrard. K, (2022), </w:t>
      </w:r>
      <w:r>
        <w:rPr>
          <w:i/>
          <w:iCs/>
        </w:rPr>
        <w:t>How Will No Fault Divorce Affect My Financial Settlement?</w:t>
      </w:r>
      <w:r>
        <w:t xml:space="preserve">, Payne Hicks Beach, Available at: </w:t>
      </w:r>
      <w:hyperlink r:id="rId9" w:history="1">
        <w:r w:rsidRPr="004169B5">
          <w:rPr>
            <w:rStyle w:val="Hyperlink"/>
          </w:rPr>
          <w:t>https://www.phb.co.uk/article/how-will-no-fault-divorce-affect-my-financial-settlement/</w:t>
        </w:r>
      </w:hyperlink>
      <w:r>
        <w:t xml:space="preserve"> Accessed: 30/11/2023. </w:t>
      </w:r>
    </w:p>
    <w:p w14:paraId="23E38A66" w14:textId="77777777" w:rsidR="00D443C1" w:rsidRDefault="00D443C1" w:rsidP="001B63E2">
      <w:pPr>
        <w:pStyle w:val="NoSpacing"/>
        <w:jc w:val="center"/>
      </w:pPr>
    </w:p>
    <w:p w14:paraId="647AED25" w14:textId="2DE38260" w:rsidR="00F513E1" w:rsidRDefault="001B63E2" w:rsidP="001B63E2">
      <w:pPr>
        <w:pStyle w:val="NoSpacing"/>
        <w:jc w:val="both"/>
      </w:pPr>
      <w:r>
        <w:t xml:space="preserve">Lexis Nexis, (2023), </w:t>
      </w:r>
      <w:r>
        <w:rPr>
          <w:i/>
          <w:iCs/>
        </w:rPr>
        <w:t>Proceedings Under the Divorce, Dissolution and Separation Act 2020 – overview</w:t>
      </w:r>
      <w:r>
        <w:t>, Lexis+ Database,</w:t>
      </w:r>
      <w:r w:rsidR="00F513E1">
        <w:t xml:space="preserve"> Available at: </w:t>
      </w:r>
      <w:hyperlink r:id="rId10" w:history="1">
        <w:r w:rsidR="00F513E1" w:rsidRPr="009C101D">
          <w:rPr>
            <w:rStyle w:val="Hyperlink"/>
          </w:rPr>
          <w:t>https://plus-lexis-com.ezproxy.uwtsd.ac.uk/uk/document/?pdmfid=1001073&amp;crid=93c8785f-4fb9-41bd-9719-277d82eee654&amp;pddocfullpath=%2Fshared%2Fdocument%2Fpractical-guidance-uk%2Furn%3AcontentItem%3A654C-KVX3-GXF6-8469-00000-00&amp;pdcontentcomponentid=393787&amp;pdteaserkey=&amp;pdislpamode=false&amp;pddocumentnumber=2&amp;ecomp=dt5k&amp;earg=sr1&amp;prid=a636d80f-5c72-417c-9d62-860f4512b5b7</w:t>
        </w:r>
      </w:hyperlink>
      <w:r w:rsidR="00F513E1">
        <w:t xml:space="preserve"> </w:t>
      </w:r>
    </w:p>
    <w:p w14:paraId="7B9C75A9" w14:textId="77FFB433" w:rsidR="001B63E2" w:rsidRDefault="001B63E2" w:rsidP="001B63E2">
      <w:pPr>
        <w:pStyle w:val="NoSpacing"/>
        <w:jc w:val="both"/>
      </w:pPr>
      <w:r>
        <w:t>Accessed: 26/11/2023.</w:t>
      </w:r>
    </w:p>
    <w:p w14:paraId="27B104AF" w14:textId="49D3188C" w:rsidR="00532389" w:rsidRDefault="00532389" w:rsidP="001B63E2">
      <w:pPr>
        <w:pStyle w:val="NoSpacing"/>
        <w:jc w:val="both"/>
      </w:pPr>
    </w:p>
    <w:p w14:paraId="68583CF1" w14:textId="2A705C0F" w:rsidR="00E51816" w:rsidRPr="00E51816" w:rsidRDefault="00E51816" w:rsidP="001B63E2">
      <w:pPr>
        <w:pStyle w:val="NoSpacing"/>
        <w:jc w:val="both"/>
      </w:pPr>
      <w:r>
        <w:t xml:space="preserve">Ministry of Justice, 2022, </w:t>
      </w:r>
      <w:r>
        <w:rPr>
          <w:i/>
          <w:iCs/>
        </w:rPr>
        <w:t>National Statistics Family Court Statistics Quarterly: Jan-Mar 2022</w:t>
      </w:r>
      <w:r>
        <w:t xml:space="preserve">, UK Government, Available at: </w:t>
      </w:r>
      <w:hyperlink r:id="rId11" w:history="1">
        <w:r w:rsidRPr="004169B5">
          <w:rPr>
            <w:rStyle w:val="Hyperlink"/>
          </w:rPr>
          <w:t>https://www.gov.uk/government/statistics/family-court-statistics-quarterly-january-to-march-2022/family-court-statistics-</w:t>
        </w:r>
        <w:r w:rsidRPr="004169B5">
          <w:rPr>
            <w:rStyle w:val="Hyperlink"/>
          </w:rPr>
          <w:t>q</w:t>
        </w:r>
        <w:r w:rsidRPr="004169B5">
          <w:rPr>
            <w:rStyle w:val="Hyperlink"/>
          </w:rPr>
          <w:t>uarterly-january-to-march-2022#divorce</w:t>
        </w:r>
      </w:hyperlink>
      <w:r>
        <w:t xml:space="preserve"> Accessed 27/12/2023. </w:t>
      </w:r>
    </w:p>
    <w:p w14:paraId="1ADCCE8E" w14:textId="77777777" w:rsidR="00E51816" w:rsidRDefault="00E51816" w:rsidP="001B63E2">
      <w:pPr>
        <w:pStyle w:val="NoSpacing"/>
        <w:jc w:val="both"/>
      </w:pPr>
    </w:p>
    <w:p w14:paraId="63F74705" w14:textId="596B6866" w:rsidR="005868A3" w:rsidRPr="005868A3" w:rsidRDefault="005868A3" w:rsidP="001B63E2">
      <w:pPr>
        <w:pStyle w:val="NoSpacing"/>
        <w:jc w:val="both"/>
      </w:pPr>
      <w:r>
        <w:t xml:space="preserve">Simcox. N, (2022), </w:t>
      </w:r>
      <w:r>
        <w:rPr>
          <w:i/>
          <w:iCs/>
        </w:rPr>
        <w:t>Divorce: Opening the Floodgates?</w:t>
      </w:r>
      <w:r>
        <w:t xml:space="preserve">, The Family Law Company, Available at: </w:t>
      </w:r>
      <w:hyperlink r:id="rId12" w:history="1">
        <w:r w:rsidRPr="004169B5">
          <w:rPr>
            <w:rStyle w:val="Hyperlink"/>
          </w:rPr>
          <w:t>https://www.thefamilylawco.co.uk/blog/divorce-and-seperation/divorce-opening-the-floodgates/</w:t>
        </w:r>
      </w:hyperlink>
      <w:r>
        <w:t xml:space="preserve"> Accessed 31/11/2023. </w:t>
      </w:r>
    </w:p>
    <w:p w14:paraId="7E9136D2" w14:textId="77777777" w:rsidR="005868A3" w:rsidRDefault="005868A3" w:rsidP="001B63E2">
      <w:pPr>
        <w:pStyle w:val="NoSpacing"/>
        <w:jc w:val="both"/>
      </w:pPr>
    </w:p>
    <w:p w14:paraId="4CBC526A" w14:textId="65F881D3" w:rsidR="002319D4" w:rsidRPr="002319D4" w:rsidRDefault="002319D4" w:rsidP="001B63E2">
      <w:pPr>
        <w:pStyle w:val="NoSpacing"/>
        <w:jc w:val="both"/>
      </w:pPr>
      <w:r>
        <w:t xml:space="preserve">Taylor, C, 2020, </w:t>
      </w:r>
      <w:r>
        <w:rPr>
          <w:i/>
          <w:iCs/>
        </w:rPr>
        <w:t>Written Evidence on the Divorce, Dissolution and Separation Bill (No. DDS0114)</w:t>
      </w:r>
      <w:r>
        <w:t xml:space="preserve">, UK Parliament </w:t>
      </w:r>
      <w:proofErr w:type="spellStart"/>
      <w:r>
        <w:t>Committess</w:t>
      </w:r>
      <w:proofErr w:type="spellEnd"/>
      <w:r>
        <w:t xml:space="preserve">, Available at: </w:t>
      </w:r>
      <w:hyperlink r:id="rId13" w:history="1">
        <w:r w:rsidR="00B67FB9" w:rsidRPr="004169B5">
          <w:rPr>
            <w:rStyle w:val="Hyperlink"/>
          </w:rPr>
          <w:t>https://committees.parliament.uk/work/155/legislative-scrutiny-divorce-dissolution-and-separation-bill/publications/written-evidence/</w:t>
        </w:r>
      </w:hyperlink>
      <w:r w:rsidR="00B67FB9">
        <w:t xml:space="preserve"> Accessed: 26/11/2023. </w:t>
      </w:r>
    </w:p>
    <w:p w14:paraId="1DF1B3F4" w14:textId="77777777" w:rsidR="002319D4" w:rsidRDefault="002319D4" w:rsidP="001B63E2">
      <w:pPr>
        <w:pStyle w:val="NoSpacing"/>
        <w:jc w:val="both"/>
      </w:pPr>
    </w:p>
    <w:p w14:paraId="5651C9E4" w14:textId="3C907B7A" w:rsidR="00EE1071" w:rsidRPr="00EE1071" w:rsidRDefault="00EE1071" w:rsidP="001B63E2">
      <w:pPr>
        <w:pStyle w:val="NoSpacing"/>
        <w:jc w:val="both"/>
      </w:pPr>
      <w:r>
        <w:t xml:space="preserve">The Law Society, (2022), Family &amp; Children, </w:t>
      </w:r>
      <w:r>
        <w:rPr>
          <w:i/>
          <w:iCs/>
        </w:rPr>
        <w:t>Spike in No-fault Divorce Applications</w:t>
      </w:r>
      <w:r>
        <w:t xml:space="preserve">, Press Release, Available at: </w:t>
      </w:r>
      <w:hyperlink r:id="rId14" w:history="1">
        <w:r w:rsidR="005868A3" w:rsidRPr="004169B5">
          <w:rPr>
            <w:rStyle w:val="Hyperlink"/>
          </w:rPr>
          <w:t>https://www.lawsociety.org.uk/contac</w:t>
        </w:r>
        <w:r w:rsidR="005868A3" w:rsidRPr="004169B5">
          <w:rPr>
            <w:rStyle w:val="Hyperlink"/>
          </w:rPr>
          <w:t>t</w:t>
        </w:r>
        <w:r w:rsidR="005868A3" w:rsidRPr="004169B5">
          <w:rPr>
            <w:rStyle w:val="Hyperlink"/>
          </w:rPr>
          <w:t>-or-visit-us/press-office/press-releases/spike-in-no-fault-divorce-applications</w:t>
        </w:r>
      </w:hyperlink>
      <w:r w:rsidR="005868A3">
        <w:t xml:space="preserve"> </w:t>
      </w:r>
      <w:r w:rsidR="00CF0573">
        <w:t>A</w:t>
      </w:r>
      <w:r w:rsidR="005868A3">
        <w:t xml:space="preserve">ccessed: 30/11/2023. </w:t>
      </w:r>
    </w:p>
    <w:p w14:paraId="1582AA61" w14:textId="77777777" w:rsidR="00EE1071" w:rsidRDefault="00EE1071" w:rsidP="001B63E2">
      <w:pPr>
        <w:pStyle w:val="NoSpacing"/>
        <w:jc w:val="both"/>
      </w:pPr>
    </w:p>
    <w:p w14:paraId="42618D13" w14:textId="69399CCF" w:rsidR="00532389" w:rsidRDefault="00532389" w:rsidP="001B63E2">
      <w:pPr>
        <w:pStyle w:val="NoSpacing"/>
        <w:jc w:val="both"/>
      </w:pPr>
      <w:r>
        <w:rPr>
          <w:u w:val="single"/>
        </w:rPr>
        <w:lastRenderedPageBreak/>
        <w:t>Case Law:</w:t>
      </w:r>
    </w:p>
    <w:p w14:paraId="62419527" w14:textId="598EA49D" w:rsidR="00532389" w:rsidRPr="00532389" w:rsidRDefault="00532389" w:rsidP="001B63E2">
      <w:pPr>
        <w:pStyle w:val="NoSpacing"/>
        <w:jc w:val="both"/>
      </w:pPr>
      <w:r>
        <w:t>Owens v Owens [2016]</w:t>
      </w:r>
    </w:p>
    <w:sectPr w:rsidR="00532389" w:rsidRPr="00532389" w:rsidSect="001E24D5">
      <w:headerReference w:type="default" r:id="rId15"/>
      <w:footerReference w:type="even" r:id="rId16"/>
      <w:footerReference w:type="default" r:id="rId17"/>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B867A" w14:textId="77777777" w:rsidR="002B3583" w:rsidRDefault="002B3583" w:rsidP="001E24D5">
      <w:r>
        <w:separator/>
      </w:r>
    </w:p>
  </w:endnote>
  <w:endnote w:type="continuationSeparator" w:id="0">
    <w:p w14:paraId="05EA827D" w14:textId="77777777" w:rsidR="002B3583" w:rsidRDefault="002B3583" w:rsidP="001E24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2404626"/>
      <w:docPartObj>
        <w:docPartGallery w:val="Page Numbers (Bottom of Page)"/>
        <w:docPartUnique/>
      </w:docPartObj>
    </w:sdtPr>
    <w:sdtContent>
      <w:p w14:paraId="409DD504" w14:textId="1BC9CC74" w:rsidR="001E24D5" w:rsidRDefault="001E24D5" w:rsidP="006633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29377166"/>
      <w:docPartObj>
        <w:docPartGallery w:val="Page Numbers (Bottom of Page)"/>
        <w:docPartUnique/>
      </w:docPartObj>
    </w:sdtPr>
    <w:sdtContent>
      <w:p w14:paraId="328AEDF2" w14:textId="564B9F17" w:rsidR="001E24D5" w:rsidRDefault="001E24D5" w:rsidP="006633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F5D105" w14:textId="77777777" w:rsidR="001E24D5" w:rsidRDefault="001E24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b/>
        <w:bCs/>
        <w:color w:val="538135" w:themeColor="accent6" w:themeShade="BF"/>
        <w:sz w:val="36"/>
        <w:szCs w:val="36"/>
      </w:rPr>
      <w:id w:val="-1307154348"/>
      <w:docPartObj>
        <w:docPartGallery w:val="Page Numbers (Bottom of Page)"/>
        <w:docPartUnique/>
      </w:docPartObj>
    </w:sdtPr>
    <w:sdtContent>
      <w:p w14:paraId="05F955AE" w14:textId="42EA3E1E" w:rsidR="001E24D5" w:rsidRPr="001E24D5" w:rsidRDefault="001E24D5" w:rsidP="0066338D">
        <w:pPr>
          <w:pStyle w:val="Footer"/>
          <w:framePr w:wrap="none" w:vAnchor="text" w:hAnchor="margin" w:xAlign="center" w:y="1"/>
          <w:rPr>
            <w:rStyle w:val="PageNumber"/>
            <w:b/>
            <w:bCs/>
            <w:color w:val="538135" w:themeColor="accent6" w:themeShade="BF"/>
            <w:sz w:val="36"/>
            <w:szCs w:val="36"/>
          </w:rPr>
        </w:pPr>
        <w:r w:rsidRPr="001E24D5">
          <w:rPr>
            <w:rStyle w:val="PageNumber"/>
            <w:b/>
            <w:bCs/>
            <w:color w:val="538135" w:themeColor="accent6" w:themeShade="BF"/>
            <w:sz w:val="36"/>
            <w:szCs w:val="36"/>
          </w:rPr>
          <w:fldChar w:fldCharType="begin"/>
        </w:r>
        <w:r w:rsidRPr="001E24D5">
          <w:rPr>
            <w:rStyle w:val="PageNumber"/>
            <w:b/>
            <w:bCs/>
            <w:color w:val="538135" w:themeColor="accent6" w:themeShade="BF"/>
            <w:sz w:val="36"/>
            <w:szCs w:val="36"/>
          </w:rPr>
          <w:instrText xml:space="preserve"> PAGE </w:instrText>
        </w:r>
        <w:r w:rsidRPr="001E24D5">
          <w:rPr>
            <w:rStyle w:val="PageNumber"/>
            <w:b/>
            <w:bCs/>
            <w:color w:val="538135" w:themeColor="accent6" w:themeShade="BF"/>
            <w:sz w:val="36"/>
            <w:szCs w:val="36"/>
          </w:rPr>
          <w:fldChar w:fldCharType="separate"/>
        </w:r>
        <w:r w:rsidR="007D0CD2">
          <w:rPr>
            <w:rStyle w:val="PageNumber"/>
            <w:b/>
            <w:bCs/>
            <w:noProof/>
            <w:color w:val="538135" w:themeColor="accent6" w:themeShade="BF"/>
            <w:sz w:val="36"/>
            <w:szCs w:val="36"/>
          </w:rPr>
          <w:t>- 2 -</w:t>
        </w:r>
        <w:r w:rsidRPr="001E24D5">
          <w:rPr>
            <w:rStyle w:val="PageNumber"/>
            <w:b/>
            <w:bCs/>
            <w:color w:val="538135" w:themeColor="accent6" w:themeShade="BF"/>
            <w:sz w:val="36"/>
            <w:szCs w:val="36"/>
          </w:rPr>
          <w:fldChar w:fldCharType="end"/>
        </w:r>
      </w:p>
    </w:sdtContent>
  </w:sdt>
  <w:p w14:paraId="7FE055BC" w14:textId="53D61659" w:rsidR="001E24D5" w:rsidRDefault="001E24D5">
    <w:pPr>
      <w:pStyle w:val="Footer"/>
    </w:pPr>
    <w:r>
      <w:t>Ryan Green</w:t>
    </w:r>
    <w:r>
      <w:ptab w:relativeTo="margin" w:alignment="center" w:leader="none"/>
    </w:r>
    <w:r>
      <w:ptab w:relativeTo="margin" w:alignment="right" w:leader="none"/>
    </w:r>
    <w:r>
      <w:t>Student ID: 2017590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5F753" w14:textId="77777777" w:rsidR="002B3583" w:rsidRDefault="002B3583" w:rsidP="001E24D5">
      <w:r>
        <w:separator/>
      </w:r>
    </w:p>
  </w:footnote>
  <w:footnote w:type="continuationSeparator" w:id="0">
    <w:p w14:paraId="72B5D34D" w14:textId="77777777" w:rsidR="002B3583" w:rsidRDefault="002B3583" w:rsidP="001E24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0AA30" w14:textId="379DE33C" w:rsidR="001E24D5" w:rsidRPr="001E24D5" w:rsidRDefault="001E24D5" w:rsidP="001E24D5">
    <w:pPr>
      <w:pStyle w:val="NoSpacing"/>
      <w:jc w:val="right"/>
      <w:rPr>
        <w:rFonts w:cstheme="minorHAnsi"/>
        <w:sz w:val="20"/>
        <w:szCs w:val="20"/>
      </w:rPr>
    </w:pPr>
    <w:r w:rsidRPr="001E24D5">
      <w:rPr>
        <w:rFonts w:cstheme="minorHAnsi"/>
        <w:noProof/>
        <w:sz w:val="20"/>
        <w:szCs w:val="20"/>
        <w:lang w:eastAsia="en-GB"/>
      </w:rPr>
      <w:drawing>
        <wp:anchor distT="0" distB="0" distL="114300" distR="114300" simplePos="0" relativeHeight="251659264" behindDoc="1" locked="0" layoutInCell="1" allowOverlap="1" wp14:anchorId="0AF77052" wp14:editId="554FF184">
          <wp:simplePos x="0" y="0"/>
          <wp:positionH relativeFrom="column">
            <wp:posOffset>-398899</wp:posOffset>
          </wp:positionH>
          <wp:positionV relativeFrom="paragraph">
            <wp:posOffset>-7722</wp:posOffset>
          </wp:positionV>
          <wp:extent cx="1515515" cy="533813"/>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22181" cy="5361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E24D5">
      <w:rPr>
        <w:rFonts w:cstheme="minorHAnsi"/>
        <w:b/>
        <w:bCs/>
        <w:sz w:val="20"/>
        <w:szCs w:val="20"/>
      </w:rPr>
      <w:t>UNIVERSITY OF WALES TRINITY SAINT DAVID</w:t>
    </w:r>
  </w:p>
  <w:p w14:paraId="6EC2CB7A" w14:textId="231A00D0" w:rsidR="001E24D5" w:rsidRPr="001E24D5" w:rsidRDefault="001E24D5" w:rsidP="001E24D5">
    <w:pPr>
      <w:pStyle w:val="NoSpacing"/>
      <w:jc w:val="right"/>
      <w:rPr>
        <w:rFonts w:cstheme="minorHAnsi"/>
        <w:sz w:val="20"/>
        <w:szCs w:val="20"/>
      </w:rPr>
    </w:pPr>
    <w:r w:rsidRPr="001E24D5">
      <w:rPr>
        <w:rFonts w:cstheme="minorHAnsi"/>
        <w:sz w:val="20"/>
        <w:szCs w:val="20"/>
      </w:rPr>
      <w:t>Swansea Business Campus | Blue Light. Academy | LLB Law &amp; Legal Practice</w:t>
    </w:r>
  </w:p>
  <w:p w14:paraId="0050C49D" w14:textId="3EE47E04" w:rsidR="001E24D5" w:rsidRPr="001E24D5" w:rsidRDefault="001E24D5" w:rsidP="001E24D5">
    <w:pPr>
      <w:pStyle w:val="NoSpacing"/>
      <w:jc w:val="right"/>
      <w:rPr>
        <w:rFonts w:cstheme="minorHAnsi"/>
        <w:sz w:val="20"/>
        <w:szCs w:val="20"/>
      </w:rPr>
    </w:pPr>
    <w:r w:rsidRPr="001E24D5">
      <w:rPr>
        <w:rFonts w:cstheme="minorHAnsi"/>
        <w:sz w:val="20"/>
        <w:szCs w:val="20"/>
      </w:rPr>
      <w:t xml:space="preserve">Family Law &amp; Practice | BMLW5000 | Lecturer: Scott </w:t>
    </w:r>
    <w:proofErr w:type="spellStart"/>
    <w:r w:rsidRPr="001E24D5">
      <w:rPr>
        <w:rFonts w:cstheme="minorHAnsi"/>
        <w:sz w:val="20"/>
        <w:szCs w:val="20"/>
      </w:rPr>
      <w:t>Tuppen</w:t>
    </w:r>
    <w:proofErr w:type="spellEnd"/>
  </w:p>
  <w:p w14:paraId="637E26F2" w14:textId="6044A849" w:rsidR="001E24D5" w:rsidRPr="001E24D5" w:rsidRDefault="001E24D5" w:rsidP="001E24D5">
    <w:pPr>
      <w:pStyle w:val="NoSpacing"/>
      <w:jc w:val="right"/>
      <w:rPr>
        <w:rFonts w:cstheme="minorHAnsi"/>
        <w:sz w:val="20"/>
        <w:szCs w:val="20"/>
      </w:rPr>
    </w:pPr>
    <w:r w:rsidRPr="001E24D5">
      <w:rPr>
        <w:rFonts w:cstheme="minorHAnsi"/>
        <w:noProof/>
        <w:sz w:val="20"/>
        <w:szCs w:val="20"/>
        <w:lang w:eastAsia="en-GB"/>
      </w:rPr>
      <mc:AlternateContent>
        <mc:Choice Requires="wps">
          <w:drawing>
            <wp:anchor distT="0" distB="0" distL="114300" distR="114300" simplePos="0" relativeHeight="251660288" behindDoc="0" locked="0" layoutInCell="1" allowOverlap="1" wp14:anchorId="75B6D7E9" wp14:editId="30546215">
              <wp:simplePos x="0" y="0"/>
              <wp:positionH relativeFrom="column">
                <wp:posOffset>-699305</wp:posOffset>
              </wp:positionH>
              <wp:positionV relativeFrom="paragraph">
                <wp:posOffset>231140</wp:posOffset>
              </wp:positionV>
              <wp:extent cx="7069311" cy="0"/>
              <wp:effectExtent l="0" t="0" r="17780" b="12700"/>
              <wp:wrapNone/>
              <wp:docPr id="2093770346" name="Straight Connector 1"/>
              <wp:cNvGraphicFramePr/>
              <a:graphic xmlns:a="http://schemas.openxmlformats.org/drawingml/2006/main">
                <a:graphicData uri="http://schemas.microsoft.com/office/word/2010/wordprocessingShape">
                  <wps:wsp>
                    <wps:cNvCnPr/>
                    <wps:spPr>
                      <a:xfrm>
                        <a:off x="0" y="0"/>
                        <a:ext cx="7069311" cy="0"/>
                      </a:xfrm>
                      <a:prstGeom prst="line">
                        <a:avLst/>
                      </a:prstGeom>
                      <a:ln w="12700"/>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142ED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05pt,18.2pt" to="501.6pt,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" strokecolor="#70ad47 [3209]" strokeweight="1pt">
              <v:stroke joinstyle="miter"/>
            </v:line>
          </w:pict>
        </mc:Fallback>
      </mc:AlternateContent>
    </w:r>
    <w:r w:rsidRPr="001E24D5">
      <w:rPr>
        <w:rFonts w:cstheme="minorHAnsi"/>
        <w:sz w:val="20"/>
        <w:szCs w:val="20"/>
      </w:rPr>
      <w:t>Assignment 1 | Level 5 | Topic: Divorce, Dissolution &amp; Separation Act 2020</w:t>
    </w:r>
  </w:p>
  <w:p w14:paraId="6780C8CB" w14:textId="362C65A8" w:rsidR="001E24D5" w:rsidRPr="001E24D5" w:rsidRDefault="001E24D5" w:rsidP="001E24D5">
    <w:pPr>
      <w:pStyle w:val="NoSpacing"/>
      <w:rPr>
        <w:rFonts w:ascii="Corbel" w:hAnsi="Corbe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4D5"/>
    <w:rsid w:val="00114A62"/>
    <w:rsid w:val="0017072F"/>
    <w:rsid w:val="001B63E2"/>
    <w:rsid w:val="001E24D5"/>
    <w:rsid w:val="002319D4"/>
    <w:rsid w:val="00234F59"/>
    <w:rsid w:val="002B3583"/>
    <w:rsid w:val="002F76F8"/>
    <w:rsid w:val="0035283B"/>
    <w:rsid w:val="0036681C"/>
    <w:rsid w:val="00415964"/>
    <w:rsid w:val="00450D20"/>
    <w:rsid w:val="00532089"/>
    <w:rsid w:val="00532389"/>
    <w:rsid w:val="005868A3"/>
    <w:rsid w:val="0072402A"/>
    <w:rsid w:val="007244AF"/>
    <w:rsid w:val="00772305"/>
    <w:rsid w:val="007A53B5"/>
    <w:rsid w:val="007D0CD2"/>
    <w:rsid w:val="00847FC4"/>
    <w:rsid w:val="00980CD5"/>
    <w:rsid w:val="009A67CE"/>
    <w:rsid w:val="009E713E"/>
    <w:rsid w:val="00AD4519"/>
    <w:rsid w:val="00B4065D"/>
    <w:rsid w:val="00B464C1"/>
    <w:rsid w:val="00B67FB9"/>
    <w:rsid w:val="00BF4BDC"/>
    <w:rsid w:val="00C728B9"/>
    <w:rsid w:val="00CA504D"/>
    <w:rsid w:val="00CD6FA4"/>
    <w:rsid w:val="00CF0573"/>
    <w:rsid w:val="00D113D7"/>
    <w:rsid w:val="00D443C1"/>
    <w:rsid w:val="00E14CFA"/>
    <w:rsid w:val="00E51816"/>
    <w:rsid w:val="00EE1071"/>
    <w:rsid w:val="00F513E1"/>
    <w:rsid w:val="00F9646A"/>
    <w:rsid w:val="00FF4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F46554"/>
  <w15:chartTrackingRefBased/>
  <w15:docId w15:val="{637790C8-9B1B-2A41-8623-1B8577D9E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4D5"/>
    <w:pPr>
      <w:tabs>
        <w:tab w:val="center" w:pos="4513"/>
        <w:tab w:val="right" w:pos="9026"/>
      </w:tabs>
    </w:pPr>
  </w:style>
  <w:style w:type="character" w:customStyle="1" w:styleId="HeaderChar">
    <w:name w:val="Header Char"/>
    <w:basedOn w:val="DefaultParagraphFont"/>
    <w:link w:val="Header"/>
    <w:uiPriority w:val="99"/>
    <w:rsid w:val="001E24D5"/>
  </w:style>
  <w:style w:type="paragraph" w:styleId="Footer">
    <w:name w:val="footer"/>
    <w:basedOn w:val="Normal"/>
    <w:link w:val="FooterChar"/>
    <w:uiPriority w:val="99"/>
    <w:unhideWhenUsed/>
    <w:rsid w:val="001E24D5"/>
    <w:pPr>
      <w:tabs>
        <w:tab w:val="center" w:pos="4513"/>
        <w:tab w:val="right" w:pos="9026"/>
      </w:tabs>
    </w:pPr>
  </w:style>
  <w:style w:type="character" w:customStyle="1" w:styleId="FooterChar">
    <w:name w:val="Footer Char"/>
    <w:basedOn w:val="DefaultParagraphFont"/>
    <w:link w:val="Footer"/>
    <w:uiPriority w:val="99"/>
    <w:rsid w:val="001E24D5"/>
  </w:style>
  <w:style w:type="paragraph" w:styleId="NoSpacing">
    <w:name w:val="No Spacing"/>
    <w:uiPriority w:val="1"/>
    <w:qFormat/>
    <w:rsid w:val="001E24D5"/>
  </w:style>
  <w:style w:type="character" w:styleId="PageNumber">
    <w:name w:val="page number"/>
    <w:basedOn w:val="DefaultParagraphFont"/>
    <w:uiPriority w:val="99"/>
    <w:semiHidden/>
    <w:unhideWhenUsed/>
    <w:rsid w:val="001E24D5"/>
  </w:style>
  <w:style w:type="character" w:styleId="Hyperlink">
    <w:name w:val="Hyperlink"/>
    <w:basedOn w:val="DefaultParagraphFont"/>
    <w:uiPriority w:val="99"/>
    <w:unhideWhenUsed/>
    <w:rsid w:val="00F513E1"/>
    <w:rPr>
      <w:color w:val="0563C1" w:themeColor="hyperlink"/>
      <w:u w:val="single"/>
    </w:rPr>
  </w:style>
  <w:style w:type="character" w:styleId="UnresolvedMention">
    <w:name w:val="Unresolved Mention"/>
    <w:basedOn w:val="DefaultParagraphFont"/>
    <w:uiPriority w:val="99"/>
    <w:semiHidden/>
    <w:unhideWhenUsed/>
    <w:rsid w:val="00B67FB9"/>
    <w:rPr>
      <w:color w:val="605E5C"/>
      <w:shd w:val="clear" w:color="auto" w:fill="E1DFDD"/>
    </w:rPr>
  </w:style>
  <w:style w:type="character" w:styleId="FollowedHyperlink">
    <w:name w:val="FollowedHyperlink"/>
    <w:basedOn w:val="DefaultParagraphFont"/>
    <w:uiPriority w:val="99"/>
    <w:semiHidden/>
    <w:unhideWhenUsed/>
    <w:rsid w:val="005868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8697/CBP-8697.pdf" TargetMode="External"/><Relationship Id="rId13" Type="http://schemas.openxmlformats.org/officeDocument/2006/relationships/hyperlink" Target="https://committees.parliament.uk/work/155/legislative-scrutiny-divorce-dissolution-and-separation-bill/publications/written-evidenc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ramchambers.co.uk/news-events/a-brave-new-world-no-fault-divorce-by-adrian-barnett-thoung-holland/" TargetMode="External"/><Relationship Id="rId12" Type="http://schemas.openxmlformats.org/officeDocument/2006/relationships/hyperlink" Target="https://www.thefamilylawco.co.uk/blog/divorce-and-seperation/divorce-opening-the-floodgates/"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parksquarebarristers.co.uk/news/no-fault-divorce-help-or-hindrance-article-by-tonicha-allen-and-anna-chambers/" TargetMode="External"/><Relationship Id="rId11" Type="http://schemas.openxmlformats.org/officeDocument/2006/relationships/hyperlink" Target="https://www.gov.uk/government/statistics/family-court-statistics-quarterly-january-to-march-2022/family-court-statistics-quarterly-january-to-march-2022#divorc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plus-lexis-com.ezproxy.uwtsd.ac.uk/uk/document/?pdmfid=1001073&amp;crid=93c8785f-4fb9-41bd-9719-277d82eee654&amp;pddocfullpath=%2Fshared%2Fdocument%2Fpractical-guidance-uk%2Furn%3AcontentItem%3A654C-KVX3-GXF6-8469-00000-00&amp;pdcontentcomponentid=393787&amp;pdteaserkey=&amp;pdislpamode=false&amp;pddocumentnumber=2&amp;ecomp=dt5k&amp;earg=sr1&amp;prid=a636d80f-5c72-417c-9d62-860f4512b5b7"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phb.co.uk/article/how-will-no-fault-divorce-affect-my-financial-settlement/" TargetMode="External"/><Relationship Id="rId14" Type="http://schemas.openxmlformats.org/officeDocument/2006/relationships/hyperlink" Target="https://www.lawsociety.org.uk/contact-or-visit-us/press-office/press-releases/spike-in-no-fault-divorce-applications"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2275</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2</cp:revision>
  <dcterms:created xsi:type="dcterms:W3CDTF">2023-12-01T23:19:00Z</dcterms:created>
  <dcterms:modified xsi:type="dcterms:W3CDTF">2023-12-01T23:19:00Z</dcterms:modified>
</cp:coreProperties>
</file>