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29AA1" w14:textId="6FFBD54E" w:rsidR="00C742A9" w:rsidRDefault="00C742A9" w:rsidP="00752E0C">
      <w:pPr>
        <w:pStyle w:val="Normal1"/>
        <w:spacing w:line="360" w:lineRule="auto"/>
        <w:rPr>
          <w:rFonts w:ascii="Times New Roman" w:eastAsia="Times New Roman" w:hAnsi="Times New Roman" w:cs="Times New Roman"/>
          <w:b/>
          <w:color w:val="000000" w:themeColor="text1"/>
          <w:sz w:val="36"/>
          <w:szCs w:val="36"/>
        </w:rPr>
      </w:pPr>
    </w:p>
    <w:p w14:paraId="3232E489"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657631A3"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6E8307EC" w14:textId="6816068D"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STUDENT NAME:DISHANT MO</w:t>
      </w:r>
      <w:r w:rsidR="00ED27D9">
        <w:rPr>
          <w:rFonts w:ascii="Times New Roman" w:eastAsia="Times New Roman" w:hAnsi="Times New Roman" w:cs="Times New Roman"/>
          <w:b/>
          <w:color w:val="000000" w:themeColor="text1"/>
          <w:sz w:val="36"/>
          <w:szCs w:val="36"/>
        </w:rPr>
        <w:t>RA</w:t>
      </w:r>
      <w:r>
        <w:rPr>
          <w:rFonts w:ascii="Times New Roman" w:eastAsia="Times New Roman" w:hAnsi="Times New Roman" w:cs="Times New Roman"/>
          <w:b/>
          <w:color w:val="000000" w:themeColor="text1"/>
          <w:sz w:val="36"/>
          <w:szCs w:val="36"/>
        </w:rPr>
        <w:t>DIYA</w:t>
      </w:r>
    </w:p>
    <w:p w14:paraId="4254DF97"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 xml:space="preserve">STUDENT ID:2213506 </w:t>
      </w:r>
    </w:p>
    <w:p w14:paraId="76C96AF8" w14:textId="42D142B8"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PROF. H</w:t>
      </w:r>
      <w:r w:rsidR="00817D00">
        <w:rPr>
          <w:rFonts w:ascii="Times New Roman" w:eastAsia="Times New Roman" w:hAnsi="Times New Roman" w:cs="Times New Roman"/>
          <w:b/>
          <w:color w:val="000000" w:themeColor="text1"/>
          <w:sz w:val="36"/>
          <w:szCs w:val="36"/>
        </w:rPr>
        <w:t>U</w:t>
      </w:r>
      <w:r>
        <w:rPr>
          <w:rFonts w:ascii="Times New Roman" w:eastAsia="Times New Roman" w:hAnsi="Times New Roman" w:cs="Times New Roman"/>
          <w:b/>
          <w:color w:val="000000" w:themeColor="text1"/>
          <w:sz w:val="36"/>
          <w:szCs w:val="36"/>
        </w:rPr>
        <w:t xml:space="preserve">SAM HELMI </w:t>
      </w:r>
    </w:p>
    <w:p w14:paraId="79DD0968"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48C11D43"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2BA48223" w14:textId="77777777" w:rsidR="00C742A9"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p>
    <w:p w14:paraId="025B1A34" w14:textId="338C6251" w:rsidR="00C742A9" w:rsidRPr="00982ED6" w:rsidRDefault="00C742A9" w:rsidP="00C742A9">
      <w:pPr>
        <w:pStyle w:val="Normal1"/>
        <w:spacing w:line="360" w:lineRule="auto"/>
        <w:jc w:val="center"/>
        <w:rPr>
          <w:rFonts w:ascii="Times New Roman" w:eastAsia="Times New Roman" w:hAnsi="Times New Roman" w:cs="Times New Roman"/>
          <w:b/>
          <w:color w:val="000000" w:themeColor="text1"/>
          <w:sz w:val="36"/>
          <w:szCs w:val="36"/>
        </w:rPr>
      </w:pPr>
      <w:r w:rsidRPr="00982ED6">
        <w:rPr>
          <w:rFonts w:ascii="Times New Roman" w:eastAsia="Times New Roman" w:hAnsi="Times New Roman" w:cs="Times New Roman"/>
          <w:b/>
          <w:color w:val="000000" w:themeColor="text1"/>
          <w:sz w:val="36"/>
          <w:szCs w:val="36"/>
        </w:rPr>
        <w:t xml:space="preserve">BRIDGING CULTURES FOR EMPLOYEE ENGAGEMENT: THE IMPACT OF </w:t>
      </w:r>
      <w:r>
        <w:rPr>
          <w:rFonts w:ascii="Times New Roman" w:eastAsia="Times New Roman" w:hAnsi="Times New Roman" w:cs="Times New Roman"/>
          <w:b/>
          <w:color w:val="000000" w:themeColor="text1"/>
          <w:sz w:val="34"/>
          <w:szCs w:val="34"/>
        </w:rPr>
        <w:t xml:space="preserve">[CCHRM] </w:t>
      </w:r>
      <w:r w:rsidRPr="00982ED6">
        <w:rPr>
          <w:rFonts w:ascii="Times New Roman" w:eastAsia="Times New Roman" w:hAnsi="Times New Roman" w:cs="Times New Roman"/>
          <w:b/>
          <w:color w:val="000000" w:themeColor="text1"/>
          <w:sz w:val="36"/>
          <w:szCs w:val="36"/>
        </w:rPr>
        <w:t>C</w:t>
      </w:r>
      <w:r>
        <w:rPr>
          <w:rFonts w:ascii="Times New Roman" w:eastAsia="Times New Roman" w:hAnsi="Times New Roman" w:cs="Times New Roman"/>
          <w:b/>
          <w:color w:val="000000" w:themeColor="text1"/>
          <w:sz w:val="36"/>
          <w:szCs w:val="36"/>
        </w:rPr>
        <w:t>ROSS CULTURAL HUMAN RESOURCE MANAGEMENT</w:t>
      </w:r>
      <w:r w:rsidRPr="00982ED6">
        <w:rPr>
          <w:rFonts w:ascii="Times New Roman" w:eastAsia="Times New Roman" w:hAnsi="Times New Roman" w:cs="Times New Roman"/>
          <w:b/>
          <w:color w:val="000000" w:themeColor="text1"/>
          <w:sz w:val="36"/>
          <w:szCs w:val="36"/>
        </w:rPr>
        <w:t xml:space="preserve"> IN MULTINATIONAL CORPORATIONS (MNCS)</w:t>
      </w:r>
    </w:p>
    <w:p w14:paraId="7C08E426" w14:textId="77777777" w:rsidR="00C742A9" w:rsidRPr="00C372E4" w:rsidRDefault="00C742A9" w:rsidP="00C742A9">
      <w:pPr>
        <w:rPr>
          <w:rFonts w:ascii="Times New Roman" w:eastAsia="Times New Roman" w:hAnsi="Times New Roman" w:cs="Times New Roman"/>
          <w:b/>
          <w:color w:val="000000" w:themeColor="text1"/>
          <w:sz w:val="24"/>
          <w:szCs w:val="24"/>
        </w:rPr>
      </w:pPr>
      <w:bookmarkStart w:id="0" w:name="_agonh7xtf318" w:colFirst="0" w:colLast="0"/>
      <w:bookmarkEnd w:id="0"/>
      <w:r w:rsidRPr="00C372E4">
        <w:rPr>
          <w:color w:val="000000" w:themeColor="text1"/>
          <w:sz w:val="24"/>
          <w:szCs w:val="24"/>
        </w:rPr>
        <w:br w:type="page"/>
      </w:r>
    </w:p>
    <w:p w14:paraId="7C258CE6" w14:textId="77777777" w:rsidR="00C742A9" w:rsidRPr="00C372E4" w:rsidRDefault="00C742A9" w:rsidP="00C742A9">
      <w:pPr>
        <w:pStyle w:val="Heading1"/>
        <w:rPr>
          <w:sz w:val="24"/>
          <w:szCs w:val="24"/>
        </w:rPr>
      </w:pPr>
      <w:r w:rsidRPr="00C372E4">
        <w:rPr>
          <w:sz w:val="24"/>
          <w:szCs w:val="24"/>
        </w:rPr>
        <w:t xml:space="preserve">Chapter 1: Introduction   </w:t>
      </w:r>
      <w:r w:rsidRPr="00C372E4">
        <w:rPr>
          <w:sz w:val="24"/>
          <w:szCs w:val="24"/>
        </w:rPr>
        <w:tab/>
      </w:r>
    </w:p>
    <w:p w14:paraId="479B5781" w14:textId="77777777" w:rsidR="00C742A9" w:rsidRPr="00C372E4" w:rsidRDefault="00C742A9" w:rsidP="00C742A9">
      <w:pPr>
        <w:pStyle w:val="Heading2"/>
        <w:rPr>
          <w:color w:val="000000" w:themeColor="text1"/>
        </w:rPr>
      </w:pPr>
      <w:bookmarkStart w:id="1" w:name="_y3h593oklf0s" w:colFirst="0" w:colLast="0"/>
      <w:bookmarkEnd w:id="1"/>
      <w:r w:rsidRPr="00C372E4">
        <w:rPr>
          <w:color w:val="000000" w:themeColor="text1"/>
        </w:rPr>
        <w:t>1.1 Introduction</w:t>
      </w:r>
    </w:p>
    <w:p w14:paraId="2D78C4C2"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study of management in a multicultural setting is known as cross-cultural management. It entails examining how managers and other business workers are impacted by their cultural origins as well as the effects of social subcultures on management and control methods. CCHRM strategies and methods aim to navigate cultural differences within the workforce (Behl, 2020). Cross-cultural human research management strategies </w:t>
      </w:r>
      <w:proofErr w:type="spellStart"/>
      <w:r w:rsidRPr="00C372E4">
        <w:rPr>
          <w:rFonts w:ascii="Times New Roman" w:eastAsia="Times New Roman" w:hAnsi="Times New Roman" w:cs="Times New Roman"/>
          <w:color w:val="000000" w:themeColor="text1"/>
          <w:sz w:val="24"/>
          <w:szCs w:val="24"/>
        </w:rPr>
        <w:t>recognise</w:t>
      </w:r>
      <w:proofErr w:type="spellEnd"/>
      <w:r w:rsidRPr="00C372E4">
        <w:rPr>
          <w:rFonts w:ascii="Times New Roman" w:eastAsia="Times New Roman" w:hAnsi="Times New Roman" w:cs="Times New Roman"/>
          <w:color w:val="000000" w:themeColor="text1"/>
          <w:sz w:val="24"/>
          <w:szCs w:val="24"/>
        </w:rPr>
        <w:t xml:space="preserve"> that cultural differences affect employees'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expectations, communication styles and work standards. One of the essential effects of effective CCHRM in multinational corporations is improved employee engagement. CCHRM initiatives such as training and effective communication strategies help employees to understand and appreciate each other's backgrounds. This study focuses on how cross-cultural practices affect productivity and performance in multinational companies. Language differences and communication styles create misunderstandings between employees from different cultural environments (</w:t>
      </w:r>
      <w:proofErr w:type="spellStart"/>
      <w:r w:rsidRPr="00C372E4">
        <w:rPr>
          <w:rFonts w:ascii="Times New Roman" w:eastAsia="Times New Roman" w:hAnsi="Times New Roman" w:cs="Times New Roman"/>
          <w:color w:val="000000" w:themeColor="text1"/>
          <w:sz w:val="24"/>
          <w:szCs w:val="24"/>
        </w:rPr>
        <w:t>Bouranta</w:t>
      </w:r>
      <w:proofErr w:type="spellEnd"/>
      <w:r w:rsidRPr="00C372E4">
        <w:rPr>
          <w:rFonts w:ascii="Times New Roman" w:eastAsia="Times New Roman" w:hAnsi="Times New Roman" w:cs="Times New Roman"/>
          <w:color w:val="000000" w:themeColor="text1"/>
          <w:sz w:val="24"/>
          <w:szCs w:val="24"/>
        </w:rPr>
        <w:t xml:space="preserve"> et al., 2019). Effective communication becomes challenging, and collaboration in teams between various subsidies. Managing a diverse workforce with different cultural backgrounds is essential to employee engagement and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success. This study explores the importance of CCHRM in multinational companies.</w:t>
      </w:r>
    </w:p>
    <w:p w14:paraId="0D21189A" w14:textId="77777777" w:rsidR="00C742A9" w:rsidRPr="00C372E4" w:rsidRDefault="00C742A9" w:rsidP="00C742A9">
      <w:pPr>
        <w:pStyle w:val="Heading2"/>
        <w:rPr>
          <w:color w:val="000000" w:themeColor="text1"/>
        </w:rPr>
      </w:pPr>
      <w:bookmarkStart w:id="2" w:name="_opmg5ohmpqjx" w:colFirst="0" w:colLast="0"/>
      <w:bookmarkEnd w:id="2"/>
      <w:r w:rsidRPr="00C372E4">
        <w:rPr>
          <w:color w:val="000000" w:themeColor="text1"/>
        </w:rPr>
        <w:t>1.2 Research Context</w:t>
      </w:r>
    </w:p>
    <w:p w14:paraId="49B9826B"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Nowadays, CCHRM has achieved significant attention due to the increasing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of business to manage a diverse workforce in multinational corporations effectively. This research study explores the impact of CCHRM on employee engagement in international companies. In an interconnected world, global companies operate in different countries with different cultures and languages (</w:t>
      </w:r>
      <w:proofErr w:type="spellStart"/>
      <w:r w:rsidRPr="00C372E4">
        <w:rPr>
          <w:rFonts w:ascii="Times New Roman" w:eastAsia="Times New Roman" w:hAnsi="Times New Roman" w:cs="Times New Roman"/>
          <w:color w:val="000000" w:themeColor="text1"/>
          <w:sz w:val="24"/>
          <w:szCs w:val="24"/>
        </w:rPr>
        <w:t>Ciuk</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Śliwa</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Harzing</w:t>
      </w:r>
      <w:proofErr w:type="spellEnd"/>
      <w:r w:rsidRPr="00C372E4">
        <w:rPr>
          <w:rFonts w:ascii="Times New Roman" w:eastAsia="Times New Roman" w:hAnsi="Times New Roman" w:cs="Times New Roman"/>
          <w:color w:val="000000" w:themeColor="text1"/>
          <w:sz w:val="24"/>
          <w:szCs w:val="24"/>
        </w:rPr>
        <w:t xml:space="preserve">, 2022). This diversification presents opportunities for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It brings talent with diverse perspectives, which leads to innovation and creativity.</w:t>
      </w:r>
    </w:p>
    <w:p w14:paraId="6CCD1EBB"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Conversely, there are some challenges for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of this diversity; a diverse workforce requires careful consideration of cultural differences to ensure collaboration and improve employee performance. This research study provides knowledge about cultural values that influence communication and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xml:space="preserve">. The requirement process looks for cultural fit and ensures employees align with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values. Training and development programs enhance cultural intelligence. Furthermore, cultural communication skills enable employees to work effectively in multicultural companies.</w:t>
      </w:r>
    </w:p>
    <w:p w14:paraId="1420E04D"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1DE421A6" wp14:editId="53EBB113">
            <wp:extent cx="5943600" cy="2921000"/>
            <wp:effectExtent l="0" t="0" r="0" b="0"/>
            <wp:docPr id="5" name="image3.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png" descr="A diagram of a company&#10;&#10;Description automatically generated"/>
                    <pic:cNvPicPr/>
                  </pic:nvPicPr>
                  <pic:blipFill>
                    <a:blip r:embed="rId11"/>
                    <a:stretch>
                      <a:fillRect/>
                    </a:stretch>
                  </pic:blipFill>
                  <pic:spPr>
                    <a:xfrm>
                      <a:off x="0" y="0"/>
                      <a:ext cx="5943600" cy="2921000"/>
                    </a:xfrm>
                    <a:prstGeom prst="rect">
                      <a:avLst/>
                    </a:prstGeom>
                  </pic:spPr>
                </pic:pic>
              </a:graphicData>
            </a:graphic>
          </wp:inline>
        </w:drawing>
      </w:r>
    </w:p>
    <w:p w14:paraId="4C49A0E5" w14:textId="77777777" w:rsidR="00C742A9" w:rsidRPr="00C372E4" w:rsidRDefault="00C742A9" w:rsidP="00C742A9">
      <w:pPr>
        <w:pStyle w:val="Heading4"/>
        <w:rPr>
          <w:color w:val="000000" w:themeColor="text1"/>
        </w:rPr>
      </w:pPr>
      <w:bookmarkStart w:id="3" w:name="_159prco8ial2" w:colFirst="0" w:colLast="0"/>
      <w:bookmarkEnd w:id="3"/>
      <w:r w:rsidRPr="00C372E4">
        <w:rPr>
          <w:color w:val="000000" w:themeColor="text1"/>
        </w:rPr>
        <w:t>Figure 1.1 Human Resource Management Framework in MNCs</w:t>
      </w:r>
    </w:p>
    <w:p w14:paraId="3FAE5080"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sidRPr="00C372E4">
        <w:rPr>
          <w:rFonts w:ascii="Times New Roman" w:eastAsia="Times New Roman" w:hAnsi="Times New Roman" w:cs="Times New Roman"/>
          <w:color w:val="000000" w:themeColor="text1"/>
          <w:sz w:val="24"/>
          <w:szCs w:val="24"/>
        </w:rPr>
        <w:t>Ciuk</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Śliwa</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Harzing</w:t>
      </w:r>
      <w:proofErr w:type="spellEnd"/>
      <w:r w:rsidRPr="00C372E4">
        <w:rPr>
          <w:rFonts w:ascii="Times New Roman" w:eastAsia="Times New Roman" w:hAnsi="Times New Roman" w:cs="Times New Roman"/>
          <w:color w:val="000000" w:themeColor="text1"/>
          <w:sz w:val="24"/>
          <w:szCs w:val="24"/>
        </w:rPr>
        <w:t>, 2022)</w:t>
      </w:r>
    </w:p>
    <w:p w14:paraId="1D531A2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With an open economy, most companies are now, in one way or another, signing significant contracts with companies originating from various countries. MNCs' conduct in the context of national-related events and culture becomes important because an MNC often operates in a different country (Lee et al., 2020). At the same time, they are working among employees familiar with the parent company's culture from the host country. Employees working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will form an essential component of a business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In an MNC, employees come from different backgrounds. MNCs have a diverse knowledge base but with high expectations. Language barriers are a problem for workers from other ethnic groups struggling to communicate.   Nevertheless,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including cultural differences, is a challenge for us (OBSUWAN et al., 2021). If cross-cultural differences are not adequately addressed, it is a significant obstacle to expanding horizons at the global level.</w:t>
      </w:r>
    </w:p>
    <w:p w14:paraId="181E902D" w14:textId="77777777" w:rsidR="00C742A9" w:rsidRPr="00C372E4" w:rsidRDefault="00C742A9" w:rsidP="00C742A9">
      <w:pPr>
        <w:pStyle w:val="Heading2"/>
        <w:rPr>
          <w:color w:val="000000" w:themeColor="text1"/>
        </w:rPr>
      </w:pPr>
      <w:bookmarkStart w:id="4" w:name="_g6q8t69bne99" w:colFirst="0" w:colLast="0"/>
      <w:bookmarkEnd w:id="4"/>
      <w:r w:rsidRPr="00C372E4">
        <w:rPr>
          <w:color w:val="000000" w:themeColor="text1"/>
        </w:rPr>
        <w:t>1.3 Problem statement</w:t>
      </w:r>
    </w:p>
    <w:p w14:paraId="678DD18E"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research study problem statement is an analysis of CCHRM's effects on multinational firms. With the rapid growth of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business has moved beyond the country's borders and seen a significant rise in international companies operating outside their homelands. The workforce is becoming more diverse, and HRM managers are facing increasing problems with the importance of cross-cultural management in emerging economies (Pham and Lo, 2023). Global business climate bonding faces more challenges. Increased domestic and international competition resulted in a greater focus on HRM, cross-cultural studies, analysis and comparison of HRM activities in the sense of HRM. Cross-cultural management and ethics are used to avoid and solve current problems of HRM diversity, which will draw on the company's cultural diversity and prevent cross-cultural misunderstandings (Rezaei, Jafari-Sadeghi and Bresciani, 2020). The success of human resource management practices in Western parts may be incompatible with their Eastern counterparts for cultural reasons. Cross-cultural management and ethics are on the rise for obvious reasons and mainly due to economic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driving business firms to look for a new market to </w:t>
      </w:r>
      <w:proofErr w:type="spellStart"/>
      <w:r w:rsidRPr="00C372E4">
        <w:rPr>
          <w:rFonts w:ascii="Times New Roman" w:eastAsia="Times New Roman" w:hAnsi="Times New Roman" w:cs="Times New Roman"/>
          <w:color w:val="000000" w:themeColor="text1"/>
          <w:sz w:val="24"/>
          <w:szCs w:val="24"/>
        </w:rPr>
        <w:t>maximise</w:t>
      </w:r>
      <w:proofErr w:type="spellEnd"/>
      <w:r w:rsidRPr="00C372E4">
        <w:rPr>
          <w:rFonts w:ascii="Times New Roman" w:eastAsia="Times New Roman" w:hAnsi="Times New Roman" w:cs="Times New Roman"/>
          <w:color w:val="000000" w:themeColor="text1"/>
          <w:sz w:val="24"/>
          <w:szCs w:val="24"/>
        </w:rPr>
        <w:t xml:space="preserve"> their profits (</w:t>
      </w:r>
      <w:proofErr w:type="spellStart"/>
      <w:r w:rsidRPr="00C372E4">
        <w:rPr>
          <w:rFonts w:ascii="Times New Roman" w:eastAsia="Times New Roman" w:hAnsi="Times New Roman" w:cs="Times New Roman"/>
          <w:color w:val="000000" w:themeColor="text1"/>
          <w:sz w:val="24"/>
          <w:szCs w:val="24"/>
        </w:rPr>
        <w:t>Rutishauser</w:t>
      </w:r>
      <w:proofErr w:type="spellEnd"/>
      <w:r w:rsidRPr="00C372E4">
        <w:rPr>
          <w:rFonts w:ascii="Times New Roman" w:eastAsia="Times New Roman" w:hAnsi="Times New Roman" w:cs="Times New Roman"/>
          <w:color w:val="000000" w:themeColor="text1"/>
          <w:sz w:val="24"/>
          <w:szCs w:val="24"/>
        </w:rPr>
        <w:t xml:space="preserve"> and Sender, 2019). The aim is to find it, provide those interested with a better understanding, and retreat to cross-cultural management groups such as academics, HR managers and corporate sectors.</w:t>
      </w:r>
    </w:p>
    <w:p w14:paraId="46AD322A" w14:textId="77777777" w:rsidR="00C742A9" w:rsidRPr="00C372E4" w:rsidRDefault="00C742A9" w:rsidP="00C742A9">
      <w:pPr>
        <w:pStyle w:val="Heading2"/>
        <w:rPr>
          <w:color w:val="000000" w:themeColor="text1"/>
        </w:rPr>
      </w:pPr>
      <w:bookmarkStart w:id="5" w:name="_dh8uo3p0mqna" w:colFirst="0" w:colLast="0"/>
      <w:bookmarkEnd w:id="5"/>
      <w:r w:rsidRPr="00C372E4">
        <w:rPr>
          <w:color w:val="000000" w:themeColor="text1"/>
        </w:rPr>
        <w:t>1.4 Research Aims and Objectives</w:t>
      </w:r>
    </w:p>
    <w:p w14:paraId="7D6A5F9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Aim</w:t>
      </w:r>
    </w:p>
    <w:p w14:paraId="74E1A74D"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This study intends to examine how CCHRM has helped MNCs create collaborative work environments.</w:t>
      </w:r>
    </w:p>
    <w:p w14:paraId="0FDC1C9A"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Objectives</w:t>
      </w:r>
    </w:p>
    <w:p w14:paraId="0A41FB84"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b/>
          <w:color w:val="000000" w:themeColor="text1"/>
          <w:sz w:val="24"/>
          <w:szCs w:val="24"/>
        </w:rPr>
        <w:t xml:space="preserve">●  </w:t>
      </w:r>
      <w:r w:rsidRPr="00C372E4">
        <w:rPr>
          <w:rFonts w:ascii="Times New Roman" w:eastAsia="Times New Roman" w:hAnsi="Times New Roman" w:cs="Times New Roman"/>
          <w:color w:val="000000" w:themeColor="text1"/>
          <w:sz w:val="24"/>
          <w:szCs w:val="24"/>
        </w:rPr>
        <w:t xml:space="preserve">     To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 Impact of CCHRM in Multinational Corporations.</w:t>
      </w:r>
    </w:p>
    <w:p w14:paraId="205AB9F1"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To evaluate challenges that arise in workplace management due to cultural differences among employees.</w:t>
      </w:r>
    </w:p>
    <w:p w14:paraId="539C14DD"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To Determine Strategies to Implement CCHRM in Multinational Corporations.</w:t>
      </w:r>
    </w:p>
    <w:p w14:paraId="25D9329C" w14:textId="77777777" w:rsidR="00C742A9" w:rsidRPr="00C372E4" w:rsidRDefault="00C742A9" w:rsidP="00C742A9">
      <w:pPr>
        <w:pStyle w:val="Heading2"/>
        <w:rPr>
          <w:color w:val="000000" w:themeColor="text1"/>
        </w:rPr>
      </w:pPr>
      <w:bookmarkStart w:id="6" w:name="_z06pz0ghgwri" w:colFirst="0" w:colLast="0"/>
      <w:bookmarkEnd w:id="6"/>
      <w:r w:rsidRPr="00C372E4">
        <w:rPr>
          <w:color w:val="000000" w:themeColor="text1"/>
        </w:rPr>
        <w:t>1.5 Research Questions</w:t>
      </w:r>
    </w:p>
    <w:p w14:paraId="187759B9"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b/>
          <w:color w:val="000000" w:themeColor="text1"/>
          <w:sz w:val="24"/>
          <w:szCs w:val="24"/>
        </w:rPr>
        <w:t xml:space="preserve">1)  </w:t>
      </w:r>
      <w:r w:rsidRPr="00C372E4">
        <w:rPr>
          <w:rFonts w:ascii="Times New Roman" w:eastAsia="Times New Roman" w:hAnsi="Times New Roman" w:cs="Times New Roman"/>
          <w:color w:val="000000" w:themeColor="text1"/>
          <w:sz w:val="24"/>
          <w:szCs w:val="24"/>
        </w:rPr>
        <w:t xml:space="preserve">    How Does CCHRM Impact Multinational Corporations?</w:t>
      </w:r>
    </w:p>
    <w:p w14:paraId="35B9D9E3"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2)       What challenges arise in workplace management due to cultural differences among employees?</w:t>
      </w:r>
    </w:p>
    <w:p w14:paraId="35E89E7A" w14:textId="77777777" w:rsidR="00C742A9" w:rsidRPr="00C372E4" w:rsidRDefault="00C742A9" w:rsidP="00C742A9">
      <w:pPr>
        <w:pStyle w:val="Normal1"/>
        <w:spacing w:before="240" w:after="240" w:line="360" w:lineRule="auto"/>
        <w:ind w:left="1080" w:hanging="360"/>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3)      What Strategies can be implemented to implement CCHRM in Multinational Corporations?</w:t>
      </w:r>
    </w:p>
    <w:p w14:paraId="38146CF6" w14:textId="77777777" w:rsidR="00C742A9" w:rsidRPr="00C372E4" w:rsidRDefault="00C742A9" w:rsidP="00C742A9">
      <w:pPr>
        <w:pStyle w:val="Heading2"/>
        <w:rPr>
          <w:color w:val="000000" w:themeColor="text1"/>
        </w:rPr>
      </w:pPr>
      <w:bookmarkStart w:id="7" w:name="_7cft41g4acfh" w:colFirst="0" w:colLast="0"/>
      <w:bookmarkEnd w:id="7"/>
      <w:r w:rsidRPr="00C372E4">
        <w:rPr>
          <w:color w:val="000000" w:themeColor="text1"/>
        </w:rPr>
        <w:t>1.6 Research Significance</w:t>
      </w:r>
    </w:p>
    <w:p w14:paraId="02A4ED8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Human resource management plays a vital role in maintaining industrial relations. CCHRM's significance lies in its ability to effectively manage complexities arising from employee cultural differences, which affect many aspects of an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performance. It enhances employee collaboration with multinational teams. Multinational corporations are individuals from diverse cultural backgrounds, each bringing unique perspectives (Yari et al., 2020). CCHRM empowers employees with their differences to solve problems, improving the quality of decision-making and providing a competitive advantage in the </w:t>
      </w:r>
      <w:proofErr w:type="spellStart"/>
      <w:r w:rsidRPr="00C372E4">
        <w:rPr>
          <w:rFonts w:ascii="Times New Roman" w:eastAsia="Times New Roman" w:hAnsi="Times New Roman" w:cs="Times New Roman"/>
          <w:color w:val="000000" w:themeColor="text1"/>
          <w:sz w:val="24"/>
          <w:szCs w:val="24"/>
        </w:rPr>
        <w:t>globalised</w:t>
      </w:r>
      <w:proofErr w:type="spellEnd"/>
      <w:r w:rsidRPr="00C372E4">
        <w:rPr>
          <w:rFonts w:ascii="Times New Roman" w:eastAsia="Times New Roman" w:hAnsi="Times New Roman" w:cs="Times New Roman"/>
          <w:color w:val="000000" w:themeColor="text1"/>
          <w:sz w:val="24"/>
          <w:szCs w:val="24"/>
        </w:rPr>
        <w:t xml:space="preserve"> market. CCHRM helps multinational corporations to accept their management practices to local cultural preferences. This path ensures requirement, training and performance management that reproduce with the standards of different sectors. Human resource management helps employees understand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culture, which dictates work (Rutishauser and Sender, 2019). This will enable employees to choose appropriate strategies and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xml:space="preserve"> for their personality. Human resource management helps improve productivity, reduces turnover rates, and provides long-term success in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If human resource management practices do not fit with employees' core values, employees will be dissatisfied, uncomfortable and overwhelmed. Conversely,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will be high when human resource practices align with employees' shared values.</w:t>
      </w:r>
    </w:p>
    <w:p w14:paraId="0C3893C2" w14:textId="77777777" w:rsidR="00C742A9" w:rsidRPr="00C372E4" w:rsidRDefault="00C742A9" w:rsidP="00C742A9">
      <w:pPr>
        <w:pStyle w:val="Heading2"/>
        <w:rPr>
          <w:color w:val="000000" w:themeColor="text1"/>
        </w:rPr>
      </w:pPr>
      <w:bookmarkStart w:id="8" w:name="_abjkpeoli18m" w:colFirst="0" w:colLast="0"/>
      <w:bookmarkEnd w:id="8"/>
      <w:r w:rsidRPr="00C372E4">
        <w:rPr>
          <w:color w:val="000000" w:themeColor="text1"/>
        </w:rPr>
        <w:t>1.7 Future Scope</w:t>
      </w:r>
    </w:p>
    <w:p w14:paraId="718932CC"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future scope of this research is </w:t>
      </w:r>
      <w:proofErr w:type="spellStart"/>
      <w:r w:rsidRPr="00C372E4">
        <w:rPr>
          <w:rFonts w:ascii="Times New Roman" w:eastAsia="Times New Roman" w:hAnsi="Times New Roman" w:cs="Times New Roman"/>
          <w:color w:val="000000" w:themeColor="text1"/>
          <w:sz w:val="24"/>
          <w:szCs w:val="24"/>
        </w:rPr>
        <w:t>analysing</w:t>
      </w:r>
      <w:proofErr w:type="spellEnd"/>
      <w:r w:rsidRPr="00C372E4">
        <w:rPr>
          <w:rFonts w:ascii="Times New Roman" w:eastAsia="Times New Roman" w:hAnsi="Times New Roman" w:cs="Times New Roman"/>
          <w:color w:val="000000" w:themeColor="text1"/>
          <w:sz w:val="24"/>
          <w:szCs w:val="24"/>
        </w:rPr>
        <w:t xml:space="preserve"> the impact of CCHRM in multinational corporations. Furthermore, it holds strong potential if the business direction continues to grow in International markets. Furthermore, the future scope of this study will increase the importance of managing cultural diversity in multinational corporations. Future research of a similar nature could select a much larger area choice of the method where a qualitative survey method may be mentioned in place of questionnaires. The future scope of this study continues to expand to global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and the need for effective CRM strategies will increase, making it an essential place of study. Several previous studies have identified the impact of CCHRM on multinational corporations. However, there are future opportunities for this research to investigate a deeper understanding of the true nature, role and outcomes of the effects of CCHRM in multinational corporations (Lee et al., 2020). The future scope of this study provides proper knowledge about this research topic.</w:t>
      </w:r>
    </w:p>
    <w:p w14:paraId="376EAB38" w14:textId="77777777" w:rsidR="00C742A9" w:rsidRPr="00C372E4" w:rsidRDefault="00C742A9" w:rsidP="00C742A9">
      <w:pPr>
        <w:pStyle w:val="Heading2"/>
        <w:rPr>
          <w:color w:val="000000" w:themeColor="text1"/>
        </w:rPr>
      </w:pPr>
      <w:bookmarkStart w:id="9" w:name="_98kah6c5v0li" w:colFirst="0" w:colLast="0"/>
      <w:bookmarkEnd w:id="9"/>
      <w:r w:rsidRPr="00C372E4">
        <w:rPr>
          <w:color w:val="000000" w:themeColor="text1"/>
        </w:rPr>
        <w:t>1.8 Research Structure</w:t>
      </w:r>
    </w:p>
    <w:p w14:paraId="2BAB5C49" w14:textId="77777777" w:rsidR="00C742A9" w:rsidRDefault="00C742A9" w:rsidP="00C742A9">
      <w:pPr>
        <w:pStyle w:val="Normal1"/>
        <w:rPr>
          <w:color w:val="000000" w:themeColor="text1"/>
        </w:rPr>
      </w:pPr>
      <w:r w:rsidRPr="00C372E4">
        <w:rPr>
          <w:noProof/>
          <w:color w:val="000000" w:themeColor="text1"/>
        </w:rPr>
        <w:drawing>
          <wp:inline distT="0" distB="0" distL="0" distR="0" wp14:anchorId="13F50297" wp14:editId="397128C8">
            <wp:extent cx="5486400" cy="3200400"/>
            <wp:effectExtent l="57150" t="0" r="57150" b="19050"/>
            <wp:docPr id="21048021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800274C" w14:textId="77777777" w:rsidR="00C742A9" w:rsidRPr="00C372E4" w:rsidRDefault="00C742A9" w:rsidP="00C742A9">
      <w:pPr>
        <w:pStyle w:val="Heading4"/>
        <w:rPr>
          <w:color w:val="000000" w:themeColor="text1"/>
        </w:rPr>
      </w:pPr>
      <w:r w:rsidRPr="00C372E4">
        <w:rPr>
          <w:color w:val="000000" w:themeColor="text1"/>
        </w:rPr>
        <w:t>Figure 1.</w:t>
      </w:r>
      <w:r>
        <w:rPr>
          <w:color w:val="000000" w:themeColor="text1"/>
        </w:rPr>
        <w:t xml:space="preserve">2: Research Structure </w:t>
      </w:r>
    </w:p>
    <w:p w14:paraId="68F07316"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Pr>
          <w:rFonts w:ascii="Times New Roman" w:eastAsia="Times New Roman" w:hAnsi="Times New Roman" w:cs="Times New Roman"/>
          <w:color w:val="000000" w:themeColor="text1"/>
          <w:sz w:val="24"/>
          <w:szCs w:val="24"/>
        </w:rPr>
        <w:t>Selfmade</w:t>
      </w:r>
      <w:proofErr w:type="spellEnd"/>
      <w:r w:rsidRPr="00C372E4">
        <w:rPr>
          <w:rFonts w:ascii="Times New Roman" w:eastAsia="Times New Roman" w:hAnsi="Times New Roman" w:cs="Times New Roman"/>
          <w:color w:val="000000" w:themeColor="text1"/>
          <w:sz w:val="24"/>
          <w:szCs w:val="24"/>
        </w:rPr>
        <w:t>)</w:t>
      </w:r>
    </w:p>
    <w:p w14:paraId="6B7C0315" w14:textId="77777777" w:rsidR="00C742A9" w:rsidRPr="00C372E4" w:rsidRDefault="00C742A9" w:rsidP="00C742A9">
      <w:pPr>
        <w:pStyle w:val="Heading2"/>
        <w:rPr>
          <w:color w:val="000000" w:themeColor="text1"/>
        </w:rPr>
      </w:pPr>
      <w:bookmarkStart w:id="10" w:name="_k4dxco0b8e3" w:colFirst="0" w:colLast="0"/>
      <w:bookmarkEnd w:id="10"/>
      <w:r w:rsidRPr="00C372E4">
        <w:rPr>
          <w:color w:val="000000" w:themeColor="text1"/>
        </w:rPr>
        <w:t>1.9 Summary</w:t>
      </w:r>
    </w:p>
    <w:p w14:paraId="0F8F32A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color w:val="000000" w:themeColor="text1"/>
          <w:sz w:val="24"/>
          <w:szCs w:val="24"/>
        </w:rPr>
        <w:t>The introduction part of this research study clearly defines the impact of CCHRM in multinational corporations. The research context of this study provides proper knowledge about the role of bridging culture for employee engagement and the effects of CCHRM in multinational corporations. This study analyses the problem statement and explains the future scope. This study finds the proper questions and objectives about this research topic. It explains the significance of the research and provides an exact research structure.</w:t>
      </w:r>
    </w:p>
    <w:p w14:paraId="03969AB8"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color w:val="000000" w:themeColor="text1"/>
          <w:sz w:val="24"/>
          <w:szCs w:val="24"/>
        </w:rPr>
      </w:pPr>
      <w:r w:rsidRPr="00C372E4">
        <w:rPr>
          <w:color w:val="000000" w:themeColor="text1"/>
        </w:rPr>
        <w:br w:type="page"/>
      </w:r>
    </w:p>
    <w:p w14:paraId="43BA2FDA" w14:textId="77777777" w:rsidR="00C742A9" w:rsidRPr="00C372E4" w:rsidRDefault="00C742A9" w:rsidP="00C742A9">
      <w:pPr>
        <w:pStyle w:val="Heading1"/>
        <w:rPr>
          <w:sz w:val="24"/>
          <w:szCs w:val="24"/>
        </w:rPr>
      </w:pPr>
      <w:bookmarkStart w:id="11" w:name="_q4xyvp2iiuxq" w:colFirst="0" w:colLast="0"/>
      <w:bookmarkEnd w:id="11"/>
      <w:r w:rsidRPr="00C372E4">
        <w:rPr>
          <w:sz w:val="24"/>
          <w:szCs w:val="24"/>
        </w:rPr>
        <w:t>Chapter 2: Literature Review</w:t>
      </w:r>
    </w:p>
    <w:p w14:paraId="58CAA213" w14:textId="77777777" w:rsidR="00C742A9" w:rsidRPr="00C372E4" w:rsidRDefault="00C742A9" w:rsidP="00C742A9">
      <w:pPr>
        <w:pStyle w:val="Heading2"/>
        <w:rPr>
          <w:color w:val="000000" w:themeColor="text1"/>
        </w:rPr>
      </w:pPr>
      <w:bookmarkStart w:id="12" w:name="_v7jxrzm633jq" w:colFirst="0" w:colLast="0"/>
      <w:bookmarkEnd w:id="12"/>
      <w:r w:rsidRPr="00C372E4">
        <w:rPr>
          <w:color w:val="000000" w:themeColor="text1"/>
        </w:rPr>
        <w:t>2.1 Introduction</w:t>
      </w:r>
    </w:p>
    <w:p w14:paraId="70B8919C"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objective of the study is the impact of bridging cultures on employee engagement and CCHRM in multinational corporations. The literature review of this study provides the framework for further analysis of the research topic. It highlights the importance of CCHRM in the substance of multinational corporations and its impact on employee engagement. This study's review highlights the challenges CCHRM faces in multinational corporations. The literature review of this study highlights the gaps in research studies. The introduction of the literature review leads the way for successive sections of the survey. A literature review is presented in a specific way to study the result. Power distance,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values, aspects of cross-cultural management leadership, and their literary works are discussed first. In contrast, HRM functions have been designated in the literature. </w:t>
      </w:r>
    </w:p>
    <w:p w14:paraId="73B6FE49" w14:textId="77777777" w:rsidR="00C742A9" w:rsidRPr="00C372E4" w:rsidRDefault="00C742A9" w:rsidP="00C742A9">
      <w:pPr>
        <w:pStyle w:val="Heading2"/>
        <w:rPr>
          <w:color w:val="000000" w:themeColor="text1"/>
        </w:rPr>
      </w:pPr>
      <w:bookmarkStart w:id="13" w:name="_fq9nl4py8bhm" w:colFirst="0" w:colLast="0"/>
      <w:bookmarkEnd w:id="13"/>
      <w:r w:rsidRPr="00C372E4">
        <w:rPr>
          <w:color w:val="000000" w:themeColor="text1"/>
        </w:rPr>
        <w:t xml:space="preserve">2.2 Impact of Cross-Cultural Human Resource Management in MNCs </w:t>
      </w:r>
    </w:p>
    <w:p w14:paraId="4E46370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most significant impact of cost-cultural human resource management is improved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It affects employee engagement, talent attraction,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and innovation. Multinational corporations </w:t>
      </w:r>
      <w:proofErr w:type="spellStart"/>
      <w:r w:rsidRPr="00C372E4">
        <w:rPr>
          <w:rFonts w:ascii="Times New Roman" w:eastAsia="Times New Roman" w:hAnsi="Times New Roman" w:cs="Times New Roman"/>
          <w:color w:val="000000" w:themeColor="text1"/>
          <w:sz w:val="24"/>
          <w:szCs w:val="24"/>
        </w:rPr>
        <w:t>prioritising</w:t>
      </w:r>
      <w:proofErr w:type="spellEnd"/>
      <w:r w:rsidRPr="00C372E4">
        <w:rPr>
          <w:rFonts w:ascii="Times New Roman" w:eastAsia="Times New Roman" w:hAnsi="Times New Roman" w:cs="Times New Roman"/>
          <w:color w:val="000000" w:themeColor="text1"/>
          <w:sz w:val="24"/>
          <w:szCs w:val="24"/>
        </w:rPr>
        <w:t xml:space="preserve"> CCHRM practices are better positioned to exploit the benefits of a diverse workforce and create a productive work environment (</w:t>
      </w:r>
      <w:proofErr w:type="spellStart"/>
      <w:r w:rsidRPr="00C372E4">
        <w:rPr>
          <w:rFonts w:ascii="Times New Roman" w:eastAsia="Times New Roman" w:hAnsi="Times New Roman" w:cs="Times New Roman"/>
          <w:color w:val="000000" w:themeColor="text1"/>
          <w:sz w:val="24"/>
          <w:szCs w:val="24"/>
        </w:rPr>
        <w:t>Bouranta</w:t>
      </w:r>
      <w:proofErr w:type="spellEnd"/>
      <w:r w:rsidRPr="00C372E4">
        <w:rPr>
          <w:rFonts w:ascii="Times New Roman" w:eastAsia="Times New Roman" w:hAnsi="Times New Roman" w:cs="Times New Roman"/>
          <w:color w:val="000000" w:themeColor="text1"/>
          <w:sz w:val="24"/>
          <w:szCs w:val="24"/>
        </w:rPr>
        <w:t xml:space="preserve"> et al., 2019). In an experiment known as cross-cultural management, individuals from various backgrounds and cultures collaborate on an equal basis. The advantages of CCHRM in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include forging good ties with cross-cultural business partners, being more competitive with cross-cultural training, and creating culturally competent, more successful teams. Training in the arts enhances employment opportunities and provides useful insight into global company operations (Behl, 2020). It increases employee retention, offers possibilities for rewarding international assignments, and is invaluable to staff members serving in positions of international leadership. </w:t>
      </w:r>
    </w:p>
    <w:p w14:paraId="76B9A86F"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People from different cultures work together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The concept has many elements because controlling multicultural people is not always clear. Cross-cultural context includes the analysis of individual managers and cultural orientation. It is also an influence of social subcultures on management practices. Cross-cultural human resource management plays a vital role in the performance of multinational companies. Effective communication is an essential aspect of every multinational company. Cross-Cultural Human Resource Management helps international companies to develop communication skills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2019). Effective communication ensures understanding of every message and clears every confusion.</w:t>
      </w:r>
    </w:p>
    <w:p w14:paraId="4B7FA090"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453656E6" wp14:editId="50B09204">
            <wp:extent cx="5705475" cy="3429000"/>
            <wp:effectExtent l="0" t="0" r="0" b="0"/>
            <wp:docPr id="4" name="image5.png" descr="A diagram of a business process&#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5.png" descr="A diagram of a business process&#10;&#10;Description automatically generated"/>
                    <pic:cNvPicPr/>
                  </pic:nvPicPr>
                  <pic:blipFill>
                    <a:blip r:embed="rId17"/>
                    <a:stretch>
                      <a:fillRect/>
                    </a:stretch>
                  </pic:blipFill>
                  <pic:spPr>
                    <a:xfrm>
                      <a:off x="0" y="0"/>
                      <a:ext cx="5705475" cy="3429000"/>
                    </a:xfrm>
                    <a:prstGeom prst="rect">
                      <a:avLst/>
                    </a:prstGeom>
                  </pic:spPr>
                </pic:pic>
              </a:graphicData>
            </a:graphic>
          </wp:inline>
        </w:drawing>
      </w:r>
    </w:p>
    <w:p w14:paraId="7A3F8010" w14:textId="77777777" w:rsidR="00C742A9" w:rsidRPr="00C372E4" w:rsidRDefault="00C742A9" w:rsidP="00C742A9">
      <w:pPr>
        <w:pStyle w:val="Heading4"/>
        <w:rPr>
          <w:color w:val="000000" w:themeColor="text1"/>
        </w:rPr>
      </w:pPr>
      <w:bookmarkStart w:id="14" w:name="_e5uvb9eu2cb2" w:colFirst="0" w:colLast="0"/>
      <w:bookmarkEnd w:id="14"/>
      <w:r w:rsidRPr="00C372E4">
        <w:rPr>
          <w:color w:val="000000" w:themeColor="text1"/>
        </w:rPr>
        <w:t>Figure 2.1:  Impact of CCHRM on employee and organisation performance</w:t>
      </w:r>
    </w:p>
    <w:p w14:paraId="7120D827"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2019)</w:t>
      </w:r>
    </w:p>
    <w:p w14:paraId="1411313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Cost efficiency is important because it allows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to grow profit. It </w:t>
      </w:r>
      <w:proofErr w:type="spellStart"/>
      <w:r w:rsidRPr="00C372E4">
        <w:rPr>
          <w:rFonts w:ascii="Times New Roman" w:eastAsia="Times New Roman" w:hAnsi="Times New Roman" w:cs="Times New Roman"/>
          <w:color w:val="000000" w:themeColor="text1"/>
          <w:sz w:val="24"/>
          <w:szCs w:val="24"/>
        </w:rPr>
        <w:t>maximises</w:t>
      </w:r>
      <w:proofErr w:type="spellEnd"/>
      <w:r w:rsidRPr="00C372E4">
        <w:rPr>
          <w:rFonts w:ascii="Times New Roman" w:eastAsia="Times New Roman" w:hAnsi="Times New Roman" w:cs="Times New Roman"/>
          <w:color w:val="000000" w:themeColor="text1"/>
          <w:sz w:val="24"/>
          <w:szCs w:val="24"/>
        </w:rPr>
        <w:t xml:space="preserve"> a business's potential, allowing it to increase income and enhance the value it provides to customers. (Bader et al., 2021). It is an essential aspect of business growth and expansion in the market. Cross-Cultural Human Resource Management reduces misunderstandings that prevent costly errors. It helps multinational companies to cut down on additional costs. Cross-Cultural HRM encourages cultural intelligence in employees by expanding the knowledge of understanding and respect for diverse artistic types (Bausch, </w:t>
      </w:r>
      <w:proofErr w:type="spellStart"/>
      <w:r w:rsidRPr="00C372E4">
        <w:rPr>
          <w:rFonts w:ascii="Times New Roman" w:eastAsia="Times New Roman" w:hAnsi="Times New Roman" w:cs="Times New Roman"/>
          <w:color w:val="000000" w:themeColor="text1"/>
          <w:sz w:val="24"/>
          <w:szCs w:val="24"/>
        </w:rPr>
        <w:t>Barmeyer</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Mayrhofer</w:t>
      </w:r>
      <w:proofErr w:type="spellEnd"/>
      <w:r w:rsidRPr="00C372E4">
        <w:rPr>
          <w:rFonts w:ascii="Times New Roman" w:eastAsia="Times New Roman" w:hAnsi="Times New Roman" w:cs="Times New Roman"/>
          <w:color w:val="000000" w:themeColor="text1"/>
          <w:sz w:val="24"/>
          <w:szCs w:val="24"/>
        </w:rPr>
        <w:t>, 2021). It provides a knowledgeable workforce in multinational companies.</w:t>
      </w:r>
    </w:p>
    <w:p w14:paraId="7299540E"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Cross-Cultural Human Resource Management provides a board of experience and perspectives through a diverse workforce in multinational companies (Cooke et al., 2019). This diversity encourages creativity, leading to the development of unique products for global markets. Market expansion provides greater brand recognition and access to global talent. Cross-Cultural Human Resource Management provides multinational companies with a deep understanding of local markets, services and products that coordinate with cultural preferences. This design strengthens the company's competitive edge in market growth (Cooke, Schuler and Varma, 2020).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is the sum of the knowledge of each person. It helps to provide a better work environment and better productivity. Culturally diverse teams promote knowledge sharing among employees of diverse backgrounds (Farndale et al., 2022). It helps to contribute ideas for learning and skills development in multinational companies.</w:t>
      </w:r>
    </w:p>
    <w:p w14:paraId="7F3A97D1"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Teamwork and problem-solving are improved through collaboration, which results in more successful procedures, innovation, and helping one another attain goals through listening to and learning from one another (Iwashita, 2021). Team members from different places are becoming common. Cross-cultural human resource management enhances team effectiveness by fostering collaboration and trust across cultures. Cross-Cultural Human Resource Management helps address probable cultural support when implementing new policies and changes (</w:t>
      </w:r>
      <w:proofErr w:type="spellStart"/>
      <w:r w:rsidRPr="00C372E4">
        <w:rPr>
          <w:rFonts w:ascii="Times New Roman" w:eastAsia="Times New Roman" w:hAnsi="Times New Roman" w:cs="Times New Roman"/>
          <w:color w:val="000000" w:themeColor="text1"/>
          <w:sz w:val="24"/>
          <w:szCs w:val="24"/>
        </w:rPr>
        <w:t>Kornau</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Frerichs</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Sieben</w:t>
      </w:r>
      <w:proofErr w:type="spellEnd"/>
      <w:r w:rsidRPr="00C372E4">
        <w:rPr>
          <w:rFonts w:ascii="Times New Roman" w:eastAsia="Times New Roman" w:hAnsi="Times New Roman" w:cs="Times New Roman"/>
          <w:color w:val="000000" w:themeColor="text1"/>
          <w:sz w:val="24"/>
          <w:szCs w:val="24"/>
        </w:rPr>
        <w:t>, 2020). Accepting these strategies to hold cultural preferences and increase success.</w:t>
      </w:r>
    </w:p>
    <w:p w14:paraId="05DF1B2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Recruits and existing employees must be on-the-job training and refresher courses from the Cross-Cultural Human Resource Management department (Kumar, Pandey and Mukherjee, 2021) t. Suitable options for training in this vital role make employees more irritable; therefore, it is the resource for sharing ideas and communication. Measurement and observation are another critical component of training, encouraging the acceptance of new skills by employees. Human resource management training and development focuses on developing individuals and groups in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activities. Cross-cultural human resource management provides a healthy workplace for employees in multinational companies through its strategies.</w:t>
      </w:r>
    </w:p>
    <w:p w14:paraId="5B213BC6" w14:textId="77777777" w:rsidR="00C742A9" w:rsidRPr="00C372E4" w:rsidRDefault="00C742A9" w:rsidP="00C742A9">
      <w:pPr>
        <w:pStyle w:val="Heading2"/>
        <w:rPr>
          <w:color w:val="000000" w:themeColor="text1"/>
        </w:rPr>
      </w:pPr>
      <w:bookmarkStart w:id="15" w:name="_wxu6nrgy9l3t" w:colFirst="0" w:colLast="0"/>
      <w:bookmarkEnd w:id="15"/>
      <w:r w:rsidRPr="00C372E4">
        <w:rPr>
          <w:color w:val="000000" w:themeColor="text1"/>
        </w:rPr>
        <w:t>2.3 Challenges arise in workplace management due to cultural differences among employees</w:t>
      </w:r>
    </w:p>
    <w:p w14:paraId="24FEF2E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Diversity has many benefits in the workplace, but some challenges arise in workplace management due to cultural differences among employees. Communication problems are somewhat common in different groups and for other languages; various communication styles and groups may include people with hearing loss (Kwon and Farndale, 2018). It is essential to address these challenges before they become problems. A lack of clear direction from management causes employees to feel disengaged, which lowers satisfaction, performance on an individual level and engagement. Poor communication in the workplace is felt throughout the board. Teams are unable to collaborate effectively at the departmental level due to the lack of top-level leadership and a clear vision for the future. (Lee and Gyamfi, 2021) Different cultural backgrounds lead to differences in language and communication styles, creating misunderstandings among employees in multinational companies.</w:t>
      </w:r>
    </w:p>
    <w:p w14:paraId="63B91E78"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Different cultures have distinct ways of expressing respect, which create potential offence and discomfort if not understood. Conflicting dress codes and workplace dignity lead to pain and misunderstandings. Different cultures value authority in decision-making, potentially creating conflict over preferred methods (Liu et al., 2020). Differences in conflict resolution methods hinder problem-solving and team coordination. Other time management and punctuality approaches lead to schedule conflicts and project delays. Employees from different cultural backgrounds bring with them different workplace values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They create ill feelings and misunderstandings among team members. Diversification has some disadvantages that reduce its significant benefits. In problem-solving situations, extraordinary expenditure of time and financial resources negates the benefits of coordination and even frustrates it.</w:t>
      </w:r>
    </w:p>
    <w:p w14:paraId="4FD2D548"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20DE82D7" wp14:editId="134E2E5A">
            <wp:extent cx="5943600" cy="4318000"/>
            <wp:effectExtent l="0" t="0" r="0" b="0"/>
            <wp:docPr id="1" name="image4.png" descr="A diagram of a proble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4.png" descr="A diagram of a problem&#10;&#10;Description automatically generated"/>
                    <pic:cNvPicPr/>
                  </pic:nvPicPr>
                  <pic:blipFill>
                    <a:blip r:embed="rId18"/>
                    <a:stretch>
                      <a:fillRect/>
                    </a:stretch>
                  </pic:blipFill>
                  <pic:spPr>
                    <a:xfrm>
                      <a:off x="0" y="0"/>
                      <a:ext cx="5943600" cy="4318000"/>
                    </a:xfrm>
                    <a:prstGeom prst="rect">
                      <a:avLst/>
                    </a:prstGeom>
                  </pic:spPr>
                </pic:pic>
              </a:graphicData>
            </a:graphic>
          </wp:inline>
        </w:drawing>
      </w:r>
    </w:p>
    <w:p w14:paraId="664D1660"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Figure 2.3: Challenges of a Culturally diverse workplace</w:t>
      </w:r>
    </w:p>
    <w:p w14:paraId="36605E4E"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(Source: Liu et al., 2020)</w:t>
      </w:r>
    </w:p>
    <w:p w14:paraId="2A0EB2B9"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Diversity is not good, even in the face of inherent uncertainty and complexity, leading to confusion and frustration. Variety makes it challenging to agree on particular coursework, resulting in negative dynamics and cultural clashes that create work difficulties for women. Cultural conflicts are usually resolved between the members of majority and minority groups for the majority team (Ma, 2021). It creates significant barriers to the full participation of minority members in conflict situations. Diversity is associated with low levels of identification with group members that create disruptive productivity and consequent adverse impact on the overall performance of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Primecz</w:t>
      </w:r>
      <w:proofErr w:type="spellEnd"/>
      <w:r w:rsidRPr="00C372E4">
        <w:rPr>
          <w:rFonts w:ascii="Times New Roman" w:eastAsia="Times New Roman" w:hAnsi="Times New Roman" w:cs="Times New Roman"/>
          <w:color w:val="000000" w:themeColor="text1"/>
          <w:sz w:val="24"/>
          <w:szCs w:val="24"/>
        </w:rPr>
        <w:t xml:space="preserve">, 2020). Serious communication problems make it more difficult for every employee to contribute their best team effort. The generation gap is one of workplace diversity's biggest challenges. The effect is a lack of coordination partially caused by an absence of communication between generations. It causes issues at work, particularly during crucial strategic shifts for the development of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w:t>
      </w:r>
    </w:p>
    <w:p w14:paraId="10EB3BA0"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Disability denotes how a person is harmed by a mental or physical injury. In reality, such restrictions have a severe and lasting negative impact on a person's capacity to carry out typical daily tasks. A person's capacity to complete tasks and duties at work is not hindered by a disability, although it offers difficulties and restrictions. Choices about gender and lifestyle in numerous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worldwide (</w:t>
      </w:r>
      <w:proofErr w:type="spellStart"/>
      <w:r w:rsidRPr="00C372E4">
        <w:rPr>
          <w:rFonts w:ascii="Times New Roman" w:eastAsia="Times New Roman" w:hAnsi="Times New Roman" w:cs="Times New Roman"/>
          <w:color w:val="000000" w:themeColor="text1"/>
          <w:sz w:val="24"/>
          <w:szCs w:val="24"/>
        </w:rPr>
        <w:t>Ristic</w:t>
      </w:r>
      <w:proofErr w:type="spellEnd"/>
      <w:r w:rsidRPr="00C372E4">
        <w:rPr>
          <w:rFonts w:ascii="Times New Roman" w:eastAsia="Times New Roman" w:hAnsi="Times New Roman" w:cs="Times New Roman"/>
          <w:color w:val="000000" w:themeColor="text1"/>
          <w:sz w:val="24"/>
          <w:szCs w:val="24"/>
        </w:rPr>
        <w:t xml:space="preserve"> et al., 2020). Employee debate has become an important issue. Based on this concept, employees' cognitive biases, attitudes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xml:space="preserve">. The workplace influences decision-making and irreversible problems. As a result of </w:t>
      </w:r>
      <w:proofErr w:type="spellStart"/>
      <w:r w:rsidRPr="00C372E4">
        <w:rPr>
          <w:rFonts w:ascii="Times New Roman" w:eastAsia="Times New Roman" w:hAnsi="Times New Roman" w:cs="Times New Roman"/>
          <w:color w:val="000000" w:themeColor="text1"/>
          <w:sz w:val="24"/>
          <w:szCs w:val="24"/>
        </w:rPr>
        <w:t>behavioural</w:t>
      </w:r>
      <w:proofErr w:type="spellEnd"/>
      <w:r w:rsidRPr="00C372E4">
        <w:rPr>
          <w:rFonts w:ascii="Times New Roman" w:eastAsia="Times New Roman" w:hAnsi="Times New Roman" w:cs="Times New Roman"/>
          <w:color w:val="000000" w:themeColor="text1"/>
          <w:sz w:val="24"/>
          <w:szCs w:val="24"/>
        </w:rPr>
        <w:t xml:space="preserve"> perspectives, several challenges are not limited to an uncomfortable environment. Gender is a primary focus of many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because of the relationship with human diversity (Ristic et al., 2020). Negative stereotypes interfere with integrating multicultural groups, misunderstandings of professional communication across cultures and languages, professional dignity varies across cultures and conflicting work styles across teams. Negative attitudes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xml:space="preserve"> challenge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diversity by harming the work environment and employee relationships and damaging work productivity. </w:t>
      </w:r>
    </w:p>
    <w:p w14:paraId="2B5B297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current analysis is focused on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that use an integrated administrative structure because global businesses can be either multinational or transnational. Cultural differences include how workers carry out their tasks depending on where they work. Cultural differences include things like distinct time management methods, gesticulation patterns and dress codes. </w:t>
      </w:r>
    </w:p>
    <w:p w14:paraId="63537B5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efforts both employees and employers make to advance their skills and stay current on recent professional advances at the national and international levels are referred to as career growth opportunities. Numerous technical changes Globalization has caused changes that are necessary for workers and their Employers to increase their skill sets to compete in the very cutthroat business environment. Business setting (</w:t>
      </w:r>
      <w:proofErr w:type="spellStart"/>
      <w:r w:rsidRPr="00C372E4">
        <w:rPr>
          <w:rFonts w:ascii="Times New Roman" w:eastAsia="Times New Roman" w:hAnsi="Times New Roman" w:cs="Times New Roman"/>
          <w:color w:val="000000" w:themeColor="text1"/>
          <w:sz w:val="24"/>
          <w:szCs w:val="24"/>
        </w:rPr>
        <w:t>Stor</w:t>
      </w:r>
      <w:proofErr w:type="spellEnd"/>
      <w:r w:rsidRPr="00C372E4">
        <w:rPr>
          <w:rFonts w:ascii="Times New Roman" w:eastAsia="Times New Roman" w:hAnsi="Times New Roman" w:cs="Times New Roman"/>
          <w:color w:val="000000" w:themeColor="text1"/>
          <w:sz w:val="24"/>
          <w:szCs w:val="24"/>
        </w:rPr>
        <w:t xml:space="preserve">, 2021). Internally pursuing professional development Programs and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can lessen instances of outstanding talent-seeking job chances available at many institutions. While employee training is important and crucial for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development, CCHRM has struggled to train and, as a coping mechanism, increase the global workforce's competencies with new technological developments.</w:t>
      </w:r>
    </w:p>
    <w:p w14:paraId="14B0D8F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International businesses bring new legal and environmental concerns to the world's nations. In particular, global firms' human resources divisions must routinely assess legal requirements and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commitments to spot potential noncompliance. Employees'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rights, tax and compensation obligations, and acceptance of immigration obligations must all be complied with under the laws of their work jurisdictions (Cooke et al., 2019a). It has been shown that some HR departments of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violate specific jurisdictional regulations, which can lead to a temporary suspension of commercial activities or even the downfall of entire companies. </w:t>
      </w:r>
    </w:p>
    <w:p w14:paraId="5F80FD7B" w14:textId="77777777" w:rsidR="00C742A9" w:rsidRPr="00C372E4" w:rsidRDefault="00C742A9" w:rsidP="00C742A9">
      <w:pPr>
        <w:pStyle w:val="Heading2"/>
        <w:rPr>
          <w:color w:val="000000" w:themeColor="text1"/>
        </w:rPr>
      </w:pPr>
      <w:bookmarkStart w:id="16" w:name="_87i361plltbu" w:colFirst="0" w:colLast="0"/>
      <w:bookmarkEnd w:id="16"/>
      <w:r w:rsidRPr="00C372E4">
        <w:rPr>
          <w:color w:val="000000" w:themeColor="text1"/>
        </w:rPr>
        <w:t xml:space="preserve">2.4 International Cross- Cultures Human Resource Management </w:t>
      </w:r>
    </w:p>
    <w:p w14:paraId="728951E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MNCs were contrasted with the claim that cultural challenges in International HRM emerged because of worker diversity in terms of ethnicity and background. Since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made it possible for parent firms to set up subsidiaries worldwide, it was determined that it was the predecessor of cultural diversity in multinational corporations (</w:t>
      </w:r>
      <w:proofErr w:type="spellStart"/>
      <w:r w:rsidRPr="00C372E4">
        <w:rPr>
          <w:rFonts w:ascii="Times New Roman" w:eastAsia="Times New Roman" w:hAnsi="Times New Roman" w:cs="Times New Roman"/>
          <w:color w:val="000000" w:themeColor="text1"/>
          <w:sz w:val="24"/>
          <w:szCs w:val="24"/>
        </w:rPr>
        <w:t>Budhwar</w:t>
      </w:r>
      <w:proofErr w:type="spellEnd"/>
      <w:r w:rsidRPr="00C372E4">
        <w:rPr>
          <w:rFonts w:ascii="Times New Roman" w:eastAsia="Times New Roman" w:hAnsi="Times New Roman" w:cs="Times New Roman"/>
          <w:color w:val="000000" w:themeColor="text1"/>
          <w:sz w:val="24"/>
          <w:szCs w:val="24"/>
        </w:rPr>
        <w:t xml:space="preserve"> et al., 2022). It was clear that cultural variations might, depending on their severity, either increase competitive advantage or cause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failure. Human resources executives oversaw employee cultural diversity as it became </w:t>
      </w:r>
      <w:proofErr w:type="spellStart"/>
      <w:r w:rsidRPr="00C372E4">
        <w:rPr>
          <w:rFonts w:ascii="Times New Roman" w:eastAsia="Times New Roman" w:hAnsi="Times New Roman" w:cs="Times New Roman"/>
          <w:color w:val="000000" w:themeColor="text1"/>
          <w:sz w:val="24"/>
          <w:szCs w:val="24"/>
        </w:rPr>
        <w:t>recognised</w:t>
      </w:r>
      <w:proofErr w:type="spellEnd"/>
      <w:r w:rsidRPr="00C372E4">
        <w:rPr>
          <w:rFonts w:ascii="Times New Roman" w:eastAsia="Times New Roman" w:hAnsi="Times New Roman" w:cs="Times New Roman"/>
          <w:color w:val="000000" w:themeColor="text1"/>
          <w:sz w:val="24"/>
          <w:szCs w:val="24"/>
        </w:rPr>
        <w:t>. Therefore, it meant that global HR leaders who were culturally aware and created corporate cultures that supported cultural change increased the likelihood that employees would be engaged and produce new ideas despite their cultural differences (</w:t>
      </w:r>
      <w:proofErr w:type="spellStart"/>
      <w:r w:rsidRPr="00C372E4">
        <w:rPr>
          <w:rFonts w:ascii="Times New Roman" w:eastAsia="Times New Roman" w:hAnsi="Times New Roman" w:cs="Times New Roman"/>
          <w:color w:val="000000" w:themeColor="text1"/>
          <w:sz w:val="24"/>
          <w:szCs w:val="24"/>
        </w:rPr>
        <w:t>Caligiuri</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Caprar</w:t>
      </w:r>
      <w:proofErr w:type="spellEnd"/>
      <w:r w:rsidRPr="00C372E4">
        <w:rPr>
          <w:rFonts w:ascii="Times New Roman" w:eastAsia="Times New Roman" w:hAnsi="Times New Roman" w:cs="Times New Roman"/>
          <w:color w:val="000000" w:themeColor="text1"/>
          <w:sz w:val="24"/>
          <w:szCs w:val="24"/>
        </w:rPr>
        <w:t xml:space="preserve">, 2022). On the other hand, ineffective management of cultural diversity among staff could increase the chance of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failure as individuals struggle with cultural adjustment. </w:t>
      </w:r>
    </w:p>
    <w:p w14:paraId="19177B7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It was possible for cultural differences to have various negative impacts, such as the formation of cultural shock in employees, issues with cross-cultural communication, and cross-cultural disputes when they were detected. It was revealed that there are several ways to approach the issue of cultural differences in international HRM. One strategy for reducing the harmful effects of cultural variety was found to be cross-cultural training. Cross-cultural training was found to raise customers' awareness of cultural diversity and educate them on the abilities required to achieve high degrees of cultural acculturation (Cooke et al., 2019). The conclusion was consistent with the assertion made by HR executives that cross-cultural training should be implemented in their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as it not only helps to reduce culture shock but also improves cultural adjustment for expatriates working in different countries. </w:t>
      </w:r>
    </w:p>
    <w:p w14:paraId="34E90E0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It became clear that HR directors might reduce issues with cultural diversity by teaching their staff members how to adapt to a place with varied cultural orientations. It was clear that embracing a global perspective would also help to eradicate cultural distinctions. People with a global mindset were more able to adapt to new cultures and use the information offered by the new work surroundings (Edwards, </w:t>
      </w:r>
      <w:proofErr w:type="spellStart"/>
      <w:r w:rsidRPr="00C372E4">
        <w:rPr>
          <w:rFonts w:ascii="Times New Roman" w:eastAsia="Times New Roman" w:hAnsi="Times New Roman" w:cs="Times New Roman"/>
          <w:color w:val="000000" w:themeColor="text1"/>
          <w:sz w:val="24"/>
          <w:szCs w:val="24"/>
        </w:rPr>
        <w:t>Schnyder</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Fortwengel</w:t>
      </w:r>
      <w:proofErr w:type="spellEnd"/>
      <w:r w:rsidRPr="00C372E4">
        <w:rPr>
          <w:rFonts w:ascii="Times New Roman" w:eastAsia="Times New Roman" w:hAnsi="Times New Roman" w:cs="Times New Roman"/>
          <w:color w:val="000000" w:themeColor="text1"/>
          <w:sz w:val="24"/>
          <w:szCs w:val="24"/>
        </w:rPr>
        <w:t xml:space="preserve">, 2019). This meant that people with cultural intelligence relied on information that was accessible at their new employment in a global context rather than on prior experience to adjust to new work environments. Because the optimum course of action evolved based on the available possibilities, adopting a global mentality enabled expatriates to overcome the environmental and emotional stressors that were common when working in international situations. </w:t>
      </w:r>
    </w:p>
    <w:p w14:paraId="6BCAFA8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It was determined that the method of overcoming cultural differences in multinational corporations operating in global environments was the </w:t>
      </w:r>
      <w:proofErr w:type="spellStart"/>
      <w:r w:rsidRPr="00C372E4">
        <w:rPr>
          <w:rFonts w:ascii="Times New Roman" w:eastAsia="Times New Roman" w:hAnsi="Times New Roman" w:cs="Times New Roman"/>
          <w:color w:val="000000" w:themeColor="text1"/>
          <w:sz w:val="24"/>
          <w:szCs w:val="24"/>
        </w:rPr>
        <w:t>authorised</w:t>
      </w:r>
      <w:proofErr w:type="spellEnd"/>
      <w:r w:rsidRPr="00C372E4">
        <w:rPr>
          <w:rFonts w:ascii="Times New Roman" w:eastAsia="Times New Roman" w:hAnsi="Times New Roman" w:cs="Times New Roman"/>
          <w:color w:val="000000" w:themeColor="text1"/>
          <w:sz w:val="24"/>
          <w:szCs w:val="24"/>
        </w:rPr>
        <w:t xml:space="preserve"> development of an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culture that fostered cultural transformation. It became clear that HR executives also required training on handling cultural differences common in international HRM (Edwards, Tregaskis and McDonnell, 2020). To manage local and international staff, global HR executives received training on handling difficulties relating to cultural diversity (</w:t>
      </w:r>
      <w:proofErr w:type="spellStart"/>
      <w:r w:rsidRPr="00C372E4">
        <w:rPr>
          <w:rFonts w:ascii="Times New Roman" w:eastAsia="Times New Roman" w:hAnsi="Times New Roman" w:cs="Times New Roman"/>
          <w:color w:val="000000" w:themeColor="text1"/>
          <w:sz w:val="24"/>
          <w:szCs w:val="24"/>
        </w:rPr>
        <w:t>Glazyrina</w:t>
      </w:r>
      <w:proofErr w:type="spellEnd"/>
      <w:r w:rsidRPr="00C372E4">
        <w:rPr>
          <w:rFonts w:ascii="Times New Roman" w:eastAsia="Times New Roman" w:hAnsi="Times New Roman" w:cs="Times New Roman"/>
          <w:color w:val="000000" w:themeColor="text1"/>
          <w:sz w:val="24"/>
          <w:szCs w:val="24"/>
        </w:rPr>
        <w:t>, 2020). It was argued that multinational HR managers needed to be knowledgeable about and skilled at handling cultural differences as a result.</w:t>
      </w:r>
    </w:p>
    <w:p w14:paraId="64FAEA48" w14:textId="77777777" w:rsidR="00C742A9" w:rsidRPr="00C372E4" w:rsidRDefault="00C742A9" w:rsidP="00C742A9">
      <w:pPr>
        <w:pStyle w:val="Heading2"/>
        <w:rPr>
          <w:color w:val="000000" w:themeColor="text1"/>
        </w:rPr>
      </w:pPr>
      <w:bookmarkStart w:id="17" w:name="_gcrbftrv94s9" w:colFirst="0" w:colLast="0"/>
      <w:bookmarkEnd w:id="17"/>
      <w:r w:rsidRPr="00C372E4">
        <w:rPr>
          <w:color w:val="000000" w:themeColor="text1"/>
        </w:rPr>
        <w:t xml:space="preserve">2.5 Importance of Cross-cultural in MNCs Business </w:t>
      </w:r>
    </w:p>
    <w:p w14:paraId="08FABE2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Cross-cultural communication is essential in MNC companies. It is essential for successful business negotiations, connecting with global business partners, and fostering teamwork inside and outside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xml:space="preserve">, 2019). Furthermore, cross-cultural communication encompasses more than just verbal communication. When speaking, it is helpful to be able to decipher eye contact,  other non-verbal signals and non-verbal cues, including body language. These cultural peculiarities have a big impact on effective communication. Having this knowledge and making an attempt to learn more about different cultures are necessary for cross-cultural communication. To develop this knowledge, one can ask questions, engage in conversation with people from other cultural backgrounds, sign up for classes, read books, and visit cultural institutions like museums or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w:t>
      </w:r>
      <w:r w:rsidRPr="00C372E4">
        <w:rPr>
          <w:rFonts w:ascii="Times New Roman" w:eastAsia="Times New Roman" w:hAnsi="Times New Roman" w:cs="Times New Roman"/>
          <w:b/>
          <w:color w:val="000000" w:themeColor="text1"/>
          <w:sz w:val="24"/>
          <w:szCs w:val="24"/>
        </w:rPr>
        <w:t xml:space="preserve"> </w:t>
      </w:r>
      <w:r w:rsidRPr="00C372E4">
        <w:rPr>
          <w:rFonts w:ascii="Times New Roman" w:eastAsia="Times New Roman" w:hAnsi="Times New Roman" w:cs="Times New Roman"/>
          <w:color w:val="000000" w:themeColor="text1"/>
          <w:sz w:val="24"/>
          <w:szCs w:val="24"/>
        </w:rPr>
        <w:t>For cross-cultural business communication, learning a new language can be quite helpful. When routinely studying a new language, we can communicate with others more readily and learn about the culture.</w:t>
      </w:r>
    </w:p>
    <w:p w14:paraId="165C8FA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3954E7AC" wp14:editId="09487513">
            <wp:extent cx="5943600" cy="2765231"/>
            <wp:effectExtent l="0" t="0" r="0" b="0"/>
            <wp:docPr id="2" name="image1.png" descr="A diagram of a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1.png" descr="A diagram of a diagram&#10;&#10;Description automatically generated with medium confidence"/>
                    <pic:cNvPicPr/>
                  </pic:nvPicPr>
                  <pic:blipFill>
                    <a:blip r:embed="rId19"/>
                    <a:srcRect t="17289"/>
                    <a:stretch>
                      <a:fillRect/>
                    </a:stretch>
                  </pic:blipFill>
                  <pic:spPr>
                    <a:xfrm>
                      <a:off x="0" y="0"/>
                      <a:ext cx="5943600" cy="2765231"/>
                    </a:xfrm>
                    <a:prstGeom prst="rect">
                      <a:avLst/>
                    </a:prstGeom>
                  </pic:spPr>
                </pic:pic>
              </a:graphicData>
            </a:graphic>
          </wp:inline>
        </w:drawing>
      </w:r>
    </w:p>
    <w:p w14:paraId="780055E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3FEB92DF"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Figure 2.4: Benefits of CCHRM in MNC workplace</w:t>
      </w:r>
    </w:p>
    <w:p w14:paraId="4B6E51D9"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(Source: Yahiaoui, Nakhle and Farndale, 2021)</w:t>
      </w:r>
    </w:p>
    <w:p w14:paraId="6246CDB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(Source: Liu et al., 2020)When meeting a new consumer or business partner, manners are essential. For instance, if you are meeting someone from Japan, Expectations for formality and etiquette differ by culture. Poor manners are a sign of inexperience or carelessness and can make the difference between a business succeeding or failing (Yahiaoui, Nakhle and Farndale, 2021). When in doubt, do some research and look at it. When I work for a large global MNC company, colleagues from other cultures have a variety of talents, experiences, and viewpoints.</w:t>
      </w:r>
      <w:r w:rsidRPr="00C372E4">
        <w:rPr>
          <w:rFonts w:ascii="Times New Roman" w:eastAsia="Times New Roman" w:hAnsi="Times New Roman" w:cs="Times New Roman"/>
          <w:b/>
          <w:color w:val="000000" w:themeColor="text1"/>
          <w:sz w:val="24"/>
          <w:szCs w:val="24"/>
        </w:rPr>
        <w:t xml:space="preserve"> </w:t>
      </w:r>
      <w:r w:rsidRPr="00C372E4">
        <w:rPr>
          <w:rFonts w:ascii="Times New Roman" w:eastAsia="Times New Roman" w:hAnsi="Times New Roman" w:cs="Times New Roman"/>
          <w:color w:val="000000" w:themeColor="text1"/>
          <w:sz w:val="24"/>
          <w:szCs w:val="24"/>
        </w:rPr>
        <w:t>Communication across cultural boundaries is essential for success, particularly in business. Thunderbird University's cross-cultural business curriculum equips leaders for a global career that can take them anywhere.</w:t>
      </w:r>
    </w:p>
    <w:p w14:paraId="514DF3AA" w14:textId="77777777" w:rsidR="00C742A9" w:rsidRPr="00C372E4" w:rsidRDefault="00C742A9" w:rsidP="00C742A9">
      <w:pPr>
        <w:pStyle w:val="Heading2"/>
        <w:rPr>
          <w:color w:val="000000" w:themeColor="text1"/>
        </w:rPr>
      </w:pPr>
      <w:bookmarkStart w:id="18" w:name="_k2cwixcfxvqs" w:colFirst="0" w:colLast="0"/>
      <w:bookmarkEnd w:id="18"/>
      <w:r w:rsidRPr="00C372E4">
        <w:rPr>
          <w:color w:val="000000" w:themeColor="text1"/>
        </w:rPr>
        <w:t>2.6 International business cross-cultural issues</w:t>
      </w:r>
    </w:p>
    <w:p w14:paraId="36899DF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corporate world has cultures that are relationship and deal-focused. People in India tend to be more people-oriented, place a strong emphasis on creating enduring connections, and seek to promote harmony among all. On the other hand, the folks in the USA are direct, deal-focused, occasionally aggressive and task-oriented. People from deal-focused cultures who want to do business in India must understand that forging profitable business alliances requires developing trustworthy relationships more than upholding agreements (Feng, 2023). They prefer transacting business with reputable and well-known parties. MNCs, therefore, need to be adaptable since tenacity and developing human relationships will keep the company viable. The </w:t>
      </w:r>
      <w:proofErr w:type="spellStart"/>
      <w:r w:rsidRPr="00C372E4">
        <w:rPr>
          <w:rFonts w:ascii="Times New Roman" w:eastAsia="Times New Roman" w:hAnsi="Times New Roman" w:cs="Times New Roman"/>
          <w:color w:val="000000" w:themeColor="text1"/>
          <w:sz w:val="24"/>
          <w:szCs w:val="24"/>
        </w:rPr>
        <w:t>Bharatiya</w:t>
      </w:r>
      <w:proofErr w:type="spellEnd"/>
      <w:r w:rsidRPr="00C372E4">
        <w:rPr>
          <w:rFonts w:ascii="Times New Roman" w:eastAsia="Times New Roman" w:hAnsi="Times New Roman" w:cs="Times New Roman"/>
          <w:color w:val="000000" w:themeColor="text1"/>
          <w:sz w:val="24"/>
          <w:szCs w:val="24"/>
        </w:rPr>
        <w:t xml:space="preserve"> Janata Party formed the current administration in India. It is comparable to what previous big nations used their own native tongues to accomplish, such as China, Japan, France, Russia, and Germany. A duplicate of society's culture cannot be found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IT firms like Wipro, Tata Consultancy Services, and Infosys have similar businesses and societal outlooks. </w:t>
      </w:r>
    </w:p>
    <w:p w14:paraId="587E0B6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Despite sharing a similar cultural heritage, their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cultures greatly differ. Despite being integrated into the social culture,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remain open to global impacts such as management philosophy, systems, technology import, exercises, etc. (</w:t>
      </w:r>
      <w:proofErr w:type="spellStart"/>
      <w:r w:rsidRPr="00C372E4">
        <w:rPr>
          <w:rFonts w:ascii="Times New Roman" w:eastAsia="Times New Roman" w:hAnsi="Times New Roman" w:cs="Times New Roman"/>
          <w:color w:val="000000" w:themeColor="text1"/>
          <w:sz w:val="24"/>
          <w:szCs w:val="24"/>
        </w:rPr>
        <w:t>Koc</w:t>
      </w:r>
      <w:proofErr w:type="spellEnd"/>
      <w:r w:rsidRPr="00C372E4">
        <w:rPr>
          <w:rFonts w:ascii="Times New Roman" w:eastAsia="Times New Roman" w:hAnsi="Times New Roman" w:cs="Times New Roman"/>
          <w:color w:val="000000" w:themeColor="text1"/>
          <w:sz w:val="24"/>
          <w:szCs w:val="24"/>
        </w:rPr>
        <w:t xml:space="preserve">, 2020). In this way, the cultures of society, the world, and the workplace coexist. India differs greatly from other nations in terms of culture, and inside its borders, a two-hour trip will transport you from one extreme to the other. If any multinational is to succeed in India, finding cultural affinities for ease of doing business is essential (Eden and Nielsen, 2020). For instance, the bulk of IT/ITES companies and car manufacturers like Mercedes, BMW, Hyundai, etc., have their headquarters in South India, which has fewer people who speak Hindi. Therefore, both national and international entities must consider regional location assessments. In IT/ITES firms, people from different levels travel worldwide to corporate headquarters and customer locations (Pudelko, 2020). </w:t>
      </w:r>
    </w:p>
    <w:p w14:paraId="7689811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contrasts or challenges they face at work are lessened by their movement across sites compared to the industrial sector, where manufacturing is typically less mobile or of a regional character. India is a developing market, and the difficulties that companies face are inherent to every developing country (Hong et al., 2022), despite the fact that institutional gaps can be a major barrier for MNCs conducting business in developing nations like India. The institutional settings of the nations where MNCs plan to conduct business must first be </w:t>
      </w:r>
      <w:proofErr w:type="spellStart"/>
      <w:r w:rsidRPr="00C372E4">
        <w:rPr>
          <w:rFonts w:ascii="Times New Roman" w:eastAsia="Times New Roman" w:hAnsi="Times New Roman" w:cs="Times New Roman"/>
          <w:color w:val="000000" w:themeColor="text1"/>
          <w:sz w:val="24"/>
          <w:szCs w:val="24"/>
        </w:rPr>
        <w:t>analysed</w:t>
      </w:r>
      <w:proofErr w:type="spellEnd"/>
      <w:r w:rsidRPr="00C372E4">
        <w:rPr>
          <w:rFonts w:ascii="Times New Roman" w:eastAsia="Times New Roman" w:hAnsi="Times New Roman" w:cs="Times New Roman"/>
          <w:color w:val="000000" w:themeColor="text1"/>
          <w:sz w:val="24"/>
          <w:szCs w:val="24"/>
        </w:rPr>
        <w:t>. Domestic firms perform better than multinational corporations (MNCs) in developing nations due to their familiarity with local markets and early identification of possibilities and threats (Liou and Rao-Nicholson, 2020). In contrast, in developed markets, MNCs are highly regarded and have a lot of experience. Given India's multilingual, multireligious, and multicultural human capital mix, established Western or Eastern management paradigms will not work well without local changes (Hansen et al., 2020). English-speaking populations are not a guarantee for fruitful commercial collaborations. Significant communication style differences could be problematic and result in business failure.</w:t>
      </w:r>
    </w:p>
    <w:p w14:paraId="1429E1B7" w14:textId="77777777" w:rsidR="00C742A9" w:rsidRPr="00C372E4" w:rsidRDefault="00C742A9" w:rsidP="00C742A9">
      <w:pPr>
        <w:pStyle w:val="Heading2"/>
        <w:rPr>
          <w:color w:val="000000" w:themeColor="text1"/>
        </w:rPr>
      </w:pPr>
      <w:bookmarkStart w:id="19" w:name="_ynhv38a8zs9m" w:colFirst="0" w:colLast="0"/>
      <w:bookmarkEnd w:id="19"/>
      <w:r w:rsidRPr="00C372E4">
        <w:rPr>
          <w:color w:val="000000" w:themeColor="text1"/>
        </w:rPr>
        <w:t xml:space="preserve"> 2.7 Strategies to Implement Cross-Cultural Human Resource Management </w:t>
      </w:r>
    </w:p>
    <w:p w14:paraId="25C4F04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Cultural adaptability is necessary, given cross-cultural variances. Contemporary HR will encounter several cross-cultural disparities when dealing with consumers and staff. It is not easy to encounter every circumstance because of the roughly 60 worldwide societal cultures discovered and the countless regional differences within each country's culture. Cultural differences may be significant, rapidly turn into conflict, and reduce the efficacy of a CCHRM and its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(Liu et al., 2020). Processes for acquiring and retaining cross-cultural talent necessitate fresh perspectives on employment, workers, and the workplace. For each HR and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attracting and keeping top talent is essential. The strain on executives to recruit personnel that can contribute to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right away with short onboarding times is intensified by increased competition (Wilkinson, 2021). The fact that the work is changing swiftly and certain roles may not be available in the future makes the situation much more difficult. The limitations imposed on contemporary HR are also multiplied by the rising need for cross-cultural experts and CCHRM.</w:t>
      </w:r>
    </w:p>
    <w:p w14:paraId="0F43135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Due to socioeconomic and cultural differences, recruiting and keeping cross-cultural talent is typically difficult. Retention interviews are designed to find out from current workers what criteria led them to accept a job offer from your business and whether those considerations are still being satisfied in their eyes today. Cross-cultural talent development necessitates different skill sets and learning strategies (</w:t>
      </w:r>
      <w:proofErr w:type="spellStart"/>
      <w:r w:rsidRPr="00C372E4">
        <w:rPr>
          <w:rFonts w:ascii="Times New Roman" w:eastAsia="Times New Roman" w:hAnsi="Times New Roman" w:cs="Times New Roman"/>
          <w:color w:val="000000" w:themeColor="text1"/>
          <w:sz w:val="24"/>
          <w:szCs w:val="24"/>
        </w:rPr>
        <w:t>Lawter</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Garnjost</w:t>
      </w:r>
      <w:proofErr w:type="spellEnd"/>
      <w:r w:rsidRPr="00C372E4">
        <w:rPr>
          <w:rFonts w:ascii="Times New Roman" w:eastAsia="Times New Roman" w:hAnsi="Times New Roman" w:cs="Times New Roman"/>
          <w:color w:val="000000" w:themeColor="text1"/>
          <w:sz w:val="24"/>
          <w:szCs w:val="24"/>
        </w:rPr>
        <w:t xml:space="preserve">, 2021). Operating in a more multicultural environment involves more than just fulfilling arbitrary tenure requirements for a particular function or following a conventional career path. Several examples of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have relocated outstanding executives with extensive technical training and expertise to another cross-cultural setting. Because they neglected to account for cultural variations, the HR. They are not born. Cross-cultural HRM must be cultivated. It takes committed effort and commitment to depart from the usual classroom presentation or eLearning session to develop the competency of cultural adaptability.</w:t>
      </w:r>
    </w:p>
    <w:p w14:paraId="1B48A20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A setting with a blended learning approach that combines evaluations, cross-cultural immersion activities, and structured feedback is necessary to develop cross-cultural talent. The legal system is a method or process for applying and interpreting the law. It provides several examples of the rights and obligations. Civil, common, and religious laws are the three main legal systems globally (</w:t>
      </w:r>
      <w:proofErr w:type="spellStart"/>
      <w:r w:rsidRPr="00C372E4">
        <w:rPr>
          <w:rFonts w:ascii="Times New Roman" w:eastAsia="Times New Roman" w:hAnsi="Times New Roman" w:cs="Times New Roman"/>
          <w:color w:val="000000" w:themeColor="text1"/>
          <w:sz w:val="24"/>
          <w:szCs w:val="24"/>
        </w:rPr>
        <w:t>Kraiger</w:t>
      </w:r>
      <w:proofErr w:type="spellEnd"/>
      <w:r w:rsidRPr="00C372E4">
        <w:rPr>
          <w:rFonts w:ascii="Times New Roman" w:eastAsia="Times New Roman" w:hAnsi="Times New Roman" w:cs="Times New Roman"/>
          <w:color w:val="000000" w:themeColor="text1"/>
          <w:sz w:val="24"/>
          <w:szCs w:val="24"/>
        </w:rPr>
        <w:t xml:space="preserve"> and Ford, 2021). Any politically </w:t>
      </w:r>
      <w:proofErr w:type="spellStart"/>
      <w:r w:rsidRPr="00C372E4">
        <w:rPr>
          <w:rFonts w:ascii="Times New Roman" w:eastAsia="Times New Roman" w:hAnsi="Times New Roman" w:cs="Times New Roman"/>
          <w:color w:val="000000" w:themeColor="text1"/>
          <w:sz w:val="24"/>
          <w:szCs w:val="24"/>
        </w:rPr>
        <w:t>organised</w:t>
      </w:r>
      <w:proofErr w:type="spellEnd"/>
      <w:r w:rsidRPr="00C372E4">
        <w:rPr>
          <w:rFonts w:ascii="Times New Roman" w:eastAsia="Times New Roman" w:hAnsi="Times New Roman" w:cs="Times New Roman"/>
          <w:color w:val="000000" w:themeColor="text1"/>
          <w:sz w:val="24"/>
          <w:szCs w:val="24"/>
        </w:rPr>
        <w:t xml:space="preserve"> society under a single form of governance is called a state. State sovereignty may or may not exist. For example, federated states, which may only have partial sovereignty and are members of a federal union, are nonetheless considered states.</w:t>
      </w:r>
    </w:p>
    <w:p w14:paraId="4C7CC8B3"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must provide culture training to their employees and leaders. This training helps them understand differences in cultural patterns, values and </w:t>
      </w:r>
      <w:proofErr w:type="spellStart"/>
      <w:r w:rsidRPr="00C372E4">
        <w:rPr>
          <w:rFonts w:ascii="Times New Roman" w:eastAsia="Times New Roman" w:hAnsi="Times New Roman" w:cs="Times New Roman"/>
          <w:color w:val="000000" w:themeColor="text1"/>
          <w:sz w:val="24"/>
          <w:szCs w:val="24"/>
        </w:rPr>
        <w:t>behaviours</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Ristic</w:t>
      </w:r>
      <w:proofErr w:type="spellEnd"/>
      <w:r w:rsidRPr="00C372E4">
        <w:rPr>
          <w:rFonts w:ascii="Times New Roman" w:eastAsia="Times New Roman" w:hAnsi="Times New Roman" w:cs="Times New Roman"/>
          <w:color w:val="000000" w:themeColor="text1"/>
          <w:sz w:val="24"/>
          <w:szCs w:val="24"/>
        </w:rPr>
        <w:t xml:space="preserve"> et al., 2020). This knowledge helps prevent his understanding of conflicts and biases, creating a healthy work environment. Cultures promote compelling communication actors, encourage employees to be active listeners, and help clear communication channels (</w:t>
      </w:r>
      <w:proofErr w:type="spellStart"/>
      <w:r w:rsidRPr="00C372E4">
        <w:rPr>
          <w:rFonts w:ascii="Times New Roman" w:eastAsia="Times New Roman" w:hAnsi="Times New Roman" w:cs="Times New Roman"/>
          <w:color w:val="000000" w:themeColor="text1"/>
          <w:sz w:val="24"/>
          <w:szCs w:val="24"/>
        </w:rPr>
        <w:t>Primecz</w:t>
      </w:r>
      <w:proofErr w:type="spellEnd"/>
      <w:r w:rsidRPr="00C372E4">
        <w:rPr>
          <w:rFonts w:ascii="Times New Roman" w:eastAsia="Times New Roman" w:hAnsi="Times New Roman" w:cs="Times New Roman"/>
          <w:color w:val="000000" w:themeColor="text1"/>
          <w:sz w:val="24"/>
          <w:szCs w:val="24"/>
        </w:rPr>
        <w:t>, 2020). It helps to prevent misunderstandings and conflicts arising from cultural differences in communication styles.</w:t>
      </w:r>
    </w:p>
    <w:p w14:paraId="6A2C52EA"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Train leaders to be culturally competent in managing diverse teams. Leaders who adapt their management styles to different cultural contexts are more likely to succeed in cross-cultural HRM. Create policies that are inclusive of all cultural backgrounds. This might involve allowing flexible work hours to accommodate religious practices or providing language assistance for non-native speakers. Inclusivity ensures that all employees feel valued and respected (Ma, 2021). </w:t>
      </w:r>
    </w:p>
    <w:p w14:paraId="4175DDAF" w14:textId="77777777" w:rsidR="00C742A9" w:rsidRPr="00C372E4" w:rsidRDefault="00C742A9" w:rsidP="00C742A9">
      <w:pPr>
        <w:pStyle w:val="Heading2"/>
        <w:rPr>
          <w:color w:val="000000" w:themeColor="text1"/>
        </w:rPr>
      </w:pPr>
      <w:bookmarkStart w:id="20" w:name="_1yn72vm22896" w:colFirst="0" w:colLast="0"/>
      <w:bookmarkEnd w:id="20"/>
      <w:r w:rsidRPr="00C372E4">
        <w:rPr>
          <w:color w:val="000000" w:themeColor="text1"/>
        </w:rPr>
        <w:t>2.8 Theoretical Analysis</w:t>
      </w:r>
    </w:p>
    <w:p w14:paraId="61C65405" w14:textId="77777777" w:rsidR="00C742A9" w:rsidRPr="00C372E4" w:rsidRDefault="00C742A9" w:rsidP="00C742A9">
      <w:pPr>
        <w:pStyle w:val="Heading3"/>
        <w:rPr>
          <w:color w:val="000000" w:themeColor="text1"/>
        </w:rPr>
      </w:pPr>
      <w:bookmarkStart w:id="21" w:name="_cn61o4hci0mj" w:colFirst="0" w:colLast="0"/>
      <w:bookmarkEnd w:id="21"/>
      <w:r w:rsidRPr="00C372E4">
        <w:rPr>
          <w:color w:val="000000" w:themeColor="text1"/>
        </w:rPr>
        <w:t xml:space="preserve">2.8.1 Democratic Leadership Theory </w:t>
      </w:r>
    </w:p>
    <w:p w14:paraId="10922EAB"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Studies of CCHRM and democratic philosophy are strongly intertwined. However, democratic leadership is, by its very nature, contradictory. The idea of democracy is built on popular sovereignty, or self-government by an independent populace, and is strongly egalitarian in nature, whereas the idea of leadership always includes hierarchy and, consequently, inequality. The leader is the outlier in a society that </w:t>
      </w:r>
      <w:proofErr w:type="spellStart"/>
      <w:r w:rsidRPr="00C372E4">
        <w:rPr>
          <w:rFonts w:ascii="Times New Roman" w:eastAsia="Times New Roman" w:hAnsi="Times New Roman" w:cs="Times New Roman"/>
          <w:color w:val="000000" w:themeColor="text1"/>
          <w:sz w:val="24"/>
          <w:szCs w:val="24"/>
        </w:rPr>
        <w:t>practises</w:t>
      </w:r>
      <w:proofErr w:type="spellEnd"/>
      <w:r w:rsidRPr="00C372E4">
        <w:rPr>
          <w:rFonts w:ascii="Times New Roman" w:eastAsia="Times New Roman" w:hAnsi="Times New Roman" w:cs="Times New Roman"/>
          <w:color w:val="000000" w:themeColor="text1"/>
          <w:sz w:val="24"/>
          <w:szCs w:val="24"/>
        </w:rPr>
        <w:t xml:space="preserve"> true democracy. CCHRM and democracy, therefore, have a fairly strained relationship at their theoretical extremes (Morris et al., 2019). It is widely accepted that this contradiction exists, both conceptually and experimentally. The line between providing essential direction and enforcing authoritarian control is fine for political leaders to walk. Many academics have contributed incisive research that has impacted the understanding of the relationship between leadership and democracy. Many academic researchers have noted the conflicts that exist within the concept of "democratic leadership." Democracy is the practice of independent demos governing themselves collectively (</w:t>
      </w:r>
      <w:proofErr w:type="spellStart"/>
      <w:r w:rsidRPr="00C372E4">
        <w:rPr>
          <w:rFonts w:ascii="Times New Roman" w:eastAsia="Times New Roman" w:hAnsi="Times New Roman" w:cs="Times New Roman"/>
          <w:color w:val="000000" w:themeColor="text1"/>
          <w:sz w:val="24"/>
          <w:szCs w:val="24"/>
        </w:rPr>
        <w:t>Nedelko</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Potocan</w:t>
      </w:r>
      <w:proofErr w:type="spellEnd"/>
      <w:r w:rsidRPr="00C372E4">
        <w:rPr>
          <w:rFonts w:ascii="Times New Roman" w:eastAsia="Times New Roman" w:hAnsi="Times New Roman" w:cs="Times New Roman"/>
          <w:color w:val="000000" w:themeColor="text1"/>
          <w:sz w:val="24"/>
          <w:szCs w:val="24"/>
        </w:rPr>
        <w:t>, 2021). This implies that those in charge of the state's coercive authority must be restrained. Democracy is opposed by authoritarian rule. The notion of democracy, as a  result, does not treat leaders kindly.</w:t>
      </w:r>
    </w:p>
    <w:p w14:paraId="53150A58"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Politicians are therefore faced with a significant conundrum: "The more democratic leaders lead from the front, the less democratic they appear; the more they act like good democrats, the less they seem to be true leaders." Most people will be likely to acknowledge the empirical sufficiency of Ruscio's thesis that a rejection of leadership is implicitly a rejection of democracy in the theoretical sense, even if not everyone may agree with this statement (</w:t>
      </w:r>
      <w:proofErr w:type="spellStart"/>
      <w:r w:rsidRPr="00C372E4">
        <w:rPr>
          <w:rFonts w:ascii="Times New Roman" w:eastAsia="Times New Roman" w:hAnsi="Times New Roman" w:cs="Times New Roman"/>
          <w:color w:val="000000" w:themeColor="text1"/>
          <w:sz w:val="24"/>
          <w:szCs w:val="24"/>
        </w:rPr>
        <w:t>Abdulfatai</w:t>
      </w:r>
      <w:proofErr w:type="spellEnd"/>
      <w:r w:rsidRPr="00C372E4">
        <w:rPr>
          <w:rFonts w:ascii="Times New Roman" w:eastAsia="Times New Roman" w:hAnsi="Times New Roman" w:cs="Times New Roman"/>
          <w:color w:val="000000" w:themeColor="text1"/>
          <w:sz w:val="24"/>
          <w:szCs w:val="24"/>
        </w:rPr>
        <w:t xml:space="preserve">, 2021). A certain level of leadership is necessary for modern democracies. Checks and balances are </w:t>
      </w:r>
      <w:proofErr w:type="spellStart"/>
      <w:r w:rsidRPr="00C372E4">
        <w:rPr>
          <w:rFonts w:ascii="Times New Roman" w:eastAsia="Times New Roman" w:hAnsi="Times New Roman" w:cs="Times New Roman"/>
          <w:color w:val="000000" w:themeColor="text1"/>
          <w:sz w:val="24"/>
          <w:szCs w:val="24"/>
        </w:rPr>
        <w:t>institutionalised</w:t>
      </w:r>
      <w:proofErr w:type="spellEnd"/>
      <w:r w:rsidRPr="00C372E4">
        <w:rPr>
          <w:rFonts w:ascii="Times New Roman" w:eastAsia="Times New Roman" w:hAnsi="Times New Roman" w:cs="Times New Roman"/>
          <w:color w:val="000000" w:themeColor="text1"/>
          <w:sz w:val="24"/>
          <w:szCs w:val="24"/>
        </w:rPr>
        <w:t xml:space="preserve"> across democratic regimes to keep leaders in check, but at the same time, those leaders are viewed with Argus's eyes, and they are occasionally even despised. Power is subjective to the number of limitations and restraints under modern democratic regimes when CCHRM has largely been placed in the executive arm of government (Barthold et al., 2020). A number of accountability procedures are used to guarantee that leaders are responsive to their followers and to avoid corruption and the misuse of power in the institutional setting of democracy. Leaders also give direction, and in modern democracies, there is a desire for a stronger CCHRM.</w:t>
      </w:r>
    </w:p>
    <w:p w14:paraId="693AC2F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noProof/>
          <w:color w:val="000000" w:themeColor="text1"/>
          <w:sz w:val="24"/>
          <w:szCs w:val="24"/>
        </w:rPr>
        <w:drawing>
          <wp:inline distT="114300" distB="114300" distL="114300" distR="114300" wp14:anchorId="3BC0073C" wp14:editId="50E25E84">
            <wp:extent cx="5943600" cy="2968303"/>
            <wp:effectExtent l="0" t="0" r="0" b="0"/>
            <wp:docPr id="3" name="image2.png" descr="A diagram of different types of leadership&#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diagram of different types of leadership&#10;&#10;Description automatically generated"/>
                    <pic:cNvPicPr/>
                  </pic:nvPicPr>
                  <pic:blipFill>
                    <a:blip r:embed="rId20"/>
                    <a:srcRect b="4112"/>
                    <a:stretch>
                      <a:fillRect/>
                    </a:stretch>
                  </pic:blipFill>
                  <pic:spPr>
                    <a:xfrm>
                      <a:off x="0" y="0"/>
                      <a:ext cx="5943600" cy="2968303"/>
                    </a:xfrm>
                    <a:prstGeom prst="rect">
                      <a:avLst/>
                    </a:prstGeom>
                  </pic:spPr>
                </pic:pic>
              </a:graphicData>
            </a:graphic>
          </wp:inline>
        </w:drawing>
      </w:r>
    </w:p>
    <w:p w14:paraId="0E562DEA"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b/>
          <w:i/>
          <w:color w:val="000000" w:themeColor="text1"/>
          <w:sz w:val="24"/>
          <w:szCs w:val="24"/>
        </w:rPr>
        <w:t>Figure 2.5: Pros and Cons of Democratic Leader</w:t>
      </w:r>
    </w:p>
    <w:p w14:paraId="1B2C159E" w14:textId="77777777" w:rsidR="00C742A9" w:rsidRPr="00C372E4" w:rsidRDefault="00C742A9" w:rsidP="00C742A9">
      <w:pPr>
        <w:pStyle w:val="Normal1"/>
        <w:spacing w:before="240" w:after="240" w:line="360" w:lineRule="auto"/>
        <w:jc w:val="center"/>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(Source: </w:t>
      </w:r>
      <w:proofErr w:type="spellStart"/>
      <w:r w:rsidRPr="00C372E4">
        <w:rPr>
          <w:rFonts w:ascii="Times New Roman" w:eastAsia="Times New Roman" w:hAnsi="Times New Roman" w:cs="Times New Roman"/>
          <w:color w:val="000000" w:themeColor="text1"/>
          <w:sz w:val="24"/>
          <w:szCs w:val="24"/>
        </w:rPr>
        <w:t>Abdulfatai</w:t>
      </w:r>
      <w:proofErr w:type="spellEnd"/>
      <w:r w:rsidRPr="00C372E4">
        <w:rPr>
          <w:rFonts w:ascii="Times New Roman" w:eastAsia="Times New Roman" w:hAnsi="Times New Roman" w:cs="Times New Roman"/>
          <w:color w:val="000000" w:themeColor="text1"/>
          <w:sz w:val="24"/>
          <w:szCs w:val="24"/>
        </w:rPr>
        <w:t>, 2021)</w:t>
      </w:r>
    </w:p>
    <w:p w14:paraId="05461D4D"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Thus, the paradox of democratic leadership has significant particle consequences and is not only an intellectual misunderstanding. </w:t>
      </w:r>
      <w:proofErr w:type="spellStart"/>
      <w:r w:rsidRPr="00C372E4">
        <w:rPr>
          <w:rFonts w:ascii="Times New Roman" w:eastAsia="Times New Roman" w:hAnsi="Times New Roman" w:cs="Times New Roman"/>
          <w:color w:val="000000" w:themeColor="text1"/>
          <w:sz w:val="24"/>
          <w:szCs w:val="24"/>
        </w:rPr>
        <w:t>Demoracias</w:t>
      </w:r>
      <w:proofErr w:type="spellEnd"/>
      <w:r w:rsidRPr="00C372E4">
        <w:rPr>
          <w:rFonts w:ascii="Times New Roman" w:eastAsia="Times New Roman" w:hAnsi="Times New Roman" w:cs="Times New Roman"/>
          <w:color w:val="000000" w:themeColor="text1"/>
          <w:sz w:val="24"/>
          <w:szCs w:val="24"/>
        </w:rPr>
        <w:t xml:space="preserve"> political leaders juggle a variety of difficult-to-agree demands. Because of this, many academic researchers have pondered what it means to be a democratic leader and how individuals engaged may handle the special difficulties presented to them (Thanh Nguyen et al., 2020). The sort of democracy a leader operates in, and the numerous accountability systems put in place to keep HR in check are intermediary factors that have a significant impact on the link between democracy and leadership. The study's current chapter focuses on how various democratic institutions and CCHRM interact. </w:t>
      </w:r>
    </w:p>
    <w:p w14:paraId="6DDED0B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study presents an overview of important studies that offer insightful perspectives for delving deeper into the connection between CCHRM and democracy and offers a number of examples of situations that feel are quite instructional for this purpose. More than any other democratic model, participatory democracy is wary of HR who drift away from the base, which is meant to be the starting point and final point of everything. For groups and movements that support participatory democracy, several barriers have been put in place to stop this from occurring (</w:t>
      </w:r>
      <w:proofErr w:type="spellStart"/>
      <w:r w:rsidRPr="00C372E4">
        <w:rPr>
          <w:rFonts w:ascii="Times New Roman" w:eastAsia="Times New Roman" w:hAnsi="Times New Roman" w:cs="Times New Roman"/>
          <w:color w:val="000000" w:themeColor="text1"/>
          <w:sz w:val="24"/>
          <w:szCs w:val="24"/>
        </w:rPr>
        <w:t>Afthon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Kumbara</w:t>
      </w:r>
      <w:proofErr w:type="spellEnd"/>
      <w:r w:rsidRPr="00C372E4">
        <w:rPr>
          <w:rFonts w:ascii="Times New Roman" w:eastAsia="Times New Roman" w:hAnsi="Times New Roman" w:cs="Times New Roman"/>
          <w:color w:val="000000" w:themeColor="text1"/>
          <w:sz w:val="24"/>
          <w:szCs w:val="24"/>
        </w:rPr>
        <w:t>, 2020). New social movements and decision-making procedures frequently call for near-unanimity, or at the very least, overwhelming majorities, before approving individuals who attempt to assume the lead (</w:t>
      </w:r>
      <w:proofErr w:type="spellStart"/>
      <w:r w:rsidRPr="00C372E4">
        <w:rPr>
          <w:rFonts w:ascii="Times New Roman" w:eastAsia="Times New Roman" w:hAnsi="Times New Roman" w:cs="Times New Roman"/>
          <w:color w:val="000000" w:themeColor="text1"/>
          <w:sz w:val="24"/>
          <w:szCs w:val="24"/>
        </w:rPr>
        <w:t>Syamsidar</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Lian</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Fitriani</w:t>
      </w:r>
      <w:proofErr w:type="spellEnd"/>
      <w:r w:rsidRPr="00C372E4">
        <w:rPr>
          <w:rFonts w:ascii="Times New Roman" w:eastAsia="Times New Roman" w:hAnsi="Times New Roman" w:cs="Times New Roman"/>
          <w:color w:val="000000" w:themeColor="text1"/>
          <w:sz w:val="24"/>
          <w:szCs w:val="24"/>
        </w:rPr>
        <w:t>, 2021). Before agreeing to those who try to take the lead, decision-making procedures in new social movements sometimes call for near unanimity or, at the very least, overwhelming majorities.</w:t>
      </w:r>
    </w:p>
    <w:p w14:paraId="17F9C9BC" w14:textId="77777777" w:rsidR="00C742A9" w:rsidRPr="00C372E4" w:rsidRDefault="00C742A9" w:rsidP="00C742A9">
      <w:pPr>
        <w:pStyle w:val="Heading3"/>
        <w:rPr>
          <w:color w:val="000000" w:themeColor="text1"/>
        </w:rPr>
      </w:pPr>
      <w:bookmarkStart w:id="22" w:name="_fsogo127q9ij" w:colFirst="0" w:colLast="0"/>
      <w:bookmarkEnd w:id="22"/>
      <w:r w:rsidRPr="00C372E4">
        <w:rPr>
          <w:color w:val="000000" w:themeColor="text1"/>
        </w:rPr>
        <w:t>2.8.2 CCHRM Theory</w:t>
      </w:r>
    </w:p>
    <w:p w14:paraId="64BCEF43"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Comprehending CCM and viewing the words cross-culture and management are essential. The term "cross-culture" is easily understood from one culture to another. CC is a phenomenon brought about by market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When a firm travels to another nation to conduct business, it takes its culture with it, resulting in cross-culture. While the cultures of different countries may be somewhat similar, they are not the same. Culture differs in terms of its components and manifestations: 10% visible to the naked eye, such as language, </w:t>
      </w:r>
      <w:proofErr w:type="spellStart"/>
      <w:r w:rsidRPr="00C372E4">
        <w:rPr>
          <w:rFonts w:ascii="Times New Roman" w:eastAsia="Times New Roman" w:hAnsi="Times New Roman" w:cs="Times New Roman"/>
          <w:color w:val="000000" w:themeColor="text1"/>
          <w:sz w:val="24"/>
          <w:szCs w:val="24"/>
        </w:rPr>
        <w:t>behaviour</w:t>
      </w:r>
      <w:proofErr w:type="spellEnd"/>
      <w:r w:rsidRPr="00C372E4">
        <w:rPr>
          <w:rFonts w:ascii="Times New Roman" w:eastAsia="Times New Roman" w:hAnsi="Times New Roman" w:cs="Times New Roman"/>
          <w:color w:val="000000" w:themeColor="text1"/>
          <w:sz w:val="24"/>
          <w:szCs w:val="24"/>
        </w:rPr>
        <w:t>, cuisine, and clothing, and 90% intangible, such as beliefs, values, and mental models. Management has several definitions, says Frederick Winslow. Taylor believes that leadership is ordering people to work in the most effective manner possible.</w:t>
      </w:r>
    </w:p>
    <w:p w14:paraId="3F33BF7F"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Simon provided a definition of decision-making for management. According to Henri </w:t>
      </w:r>
      <w:proofErr w:type="spellStart"/>
      <w:r w:rsidRPr="00C372E4">
        <w:rPr>
          <w:rFonts w:ascii="Times New Roman" w:eastAsia="Times New Roman" w:hAnsi="Times New Roman" w:cs="Times New Roman"/>
          <w:color w:val="000000" w:themeColor="text1"/>
          <w:sz w:val="24"/>
          <w:szCs w:val="24"/>
        </w:rPr>
        <w:t>Fayol</w:t>
      </w:r>
      <w:proofErr w:type="spellEnd"/>
      <w:r w:rsidRPr="00C372E4">
        <w:rPr>
          <w:rFonts w:ascii="Times New Roman" w:eastAsia="Times New Roman" w:hAnsi="Times New Roman" w:cs="Times New Roman"/>
          <w:color w:val="000000" w:themeColor="text1"/>
          <w:sz w:val="24"/>
          <w:szCs w:val="24"/>
        </w:rPr>
        <w:t xml:space="preserve">, all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engage in some form of management. Its five components are planning, </w:t>
      </w:r>
      <w:proofErr w:type="spellStart"/>
      <w:r w:rsidRPr="00C372E4">
        <w:rPr>
          <w:rFonts w:ascii="Times New Roman" w:eastAsia="Times New Roman" w:hAnsi="Times New Roman" w:cs="Times New Roman"/>
          <w:color w:val="000000" w:themeColor="text1"/>
          <w:sz w:val="24"/>
          <w:szCs w:val="24"/>
        </w:rPr>
        <w:t>organising</w:t>
      </w:r>
      <w:proofErr w:type="spellEnd"/>
      <w:r w:rsidRPr="00C372E4">
        <w:rPr>
          <w:rFonts w:ascii="Times New Roman" w:eastAsia="Times New Roman" w:hAnsi="Times New Roman" w:cs="Times New Roman"/>
          <w:color w:val="000000" w:themeColor="text1"/>
          <w:sz w:val="24"/>
          <w:szCs w:val="24"/>
        </w:rPr>
        <w:t xml:space="preserve">, directing, coordinating, and controlling. A definition of management that effectively plans, </w:t>
      </w:r>
      <w:proofErr w:type="spellStart"/>
      <w:r w:rsidRPr="00C372E4">
        <w:rPr>
          <w:rFonts w:ascii="Times New Roman" w:eastAsia="Times New Roman" w:hAnsi="Times New Roman" w:cs="Times New Roman"/>
          <w:color w:val="000000" w:themeColor="text1"/>
          <w:sz w:val="24"/>
          <w:szCs w:val="24"/>
        </w:rPr>
        <w:t>organises</w:t>
      </w:r>
      <w:proofErr w:type="spellEnd"/>
      <w:r w:rsidRPr="00C372E4">
        <w:rPr>
          <w:rFonts w:ascii="Times New Roman" w:eastAsia="Times New Roman" w:hAnsi="Times New Roman" w:cs="Times New Roman"/>
          <w:color w:val="000000" w:themeColor="text1"/>
          <w:sz w:val="24"/>
          <w:szCs w:val="24"/>
        </w:rPr>
        <w:t>, directs, coordinates, and controls the organizationally owned resources in a specific setting should be used to wrap up your argument (Caillier, 2020). This research will comprehend the meaning of cross-cultural management after seeing the terms adequately defined. For cross-cultural management, the manager must comprehensively understand the differences and similarities since management differs in various contexts (Cooke, Schuler and Varma, 2020). Ancient Greeks, Egyptians, and Phoenicians all started international trade and were adept at conducting business with individuals from many cultural backgrounds.</w:t>
      </w:r>
    </w:p>
    <w:p w14:paraId="3F464307"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When interacting with individuals from various cultural trajectories throughout the Renaissance, to avoid conflicts and maintain smooth business dealings, the Danish, British, and other European traders who had established a worldwide trade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would be considerate of their language, beliefs, and customs. These were early cross-cultural management </w:t>
      </w:r>
      <w:proofErr w:type="spellStart"/>
      <w:r w:rsidRPr="00C372E4">
        <w:rPr>
          <w:rFonts w:ascii="Times New Roman" w:eastAsia="Times New Roman" w:hAnsi="Times New Roman" w:cs="Times New Roman"/>
          <w:color w:val="000000" w:themeColor="text1"/>
          <w:sz w:val="24"/>
          <w:szCs w:val="24"/>
        </w:rPr>
        <w:t>endeavours</w:t>
      </w:r>
      <w:proofErr w:type="spellEnd"/>
      <w:r w:rsidRPr="00C372E4">
        <w:rPr>
          <w:rFonts w:ascii="Times New Roman" w:eastAsia="Times New Roman" w:hAnsi="Times New Roman" w:cs="Times New Roman"/>
          <w:color w:val="000000" w:themeColor="text1"/>
          <w:sz w:val="24"/>
          <w:szCs w:val="24"/>
        </w:rPr>
        <w:t xml:space="preserve"> and enterprises that relied solely on the merchants' knowledge and their past commercial experiences. The failures of the foreign trades of American multinational corporations are the primary driver behind the scientific advancement of cross-cultural management. American management researchers are </w:t>
      </w:r>
      <w:proofErr w:type="spellStart"/>
      <w:r w:rsidRPr="00C372E4">
        <w:rPr>
          <w:rFonts w:ascii="Times New Roman" w:eastAsia="Times New Roman" w:hAnsi="Times New Roman" w:cs="Times New Roman"/>
          <w:color w:val="000000" w:themeColor="text1"/>
          <w:sz w:val="24"/>
          <w:szCs w:val="24"/>
        </w:rPr>
        <w:t>recognised</w:t>
      </w:r>
      <w:proofErr w:type="spellEnd"/>
      <w:r w:rsidRPr="00C372E4">
        <w:rPr>
          <w:rFonts w:ascii="Times New Roman" w:eastAsia="Times New Roman" w:hAnsi="Times New Roman" w:cs="Times New Roman"/>
          <w:color w:val="000000" w:themeColor="text1"/>
          <w:sz w:val="24"/>
          <w:szCs w:val="24"/>
        </w:rPr>
        <w:t xml:space="preserve"> for methodically creating management theories, proposing scientific management, and successfully putting these concepts into practice in management practices, resulting in considerable increases in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productivity (Bader et al., 2021). It is generally accepted that American management ideas are applicable worldwide due to their innovative role in forming management theories and practices. However, failures showed that it was challenging to be successful if American multinational corporations simply copied the ideas and applied them to their operations abroad.</w:t>
      </w:r>
    </w:p>
    <w:p w14:paraId="05863FDC"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Meanwhile, several instances have demonstrated that the failure of American multinational corporations was caused by the slowing down of cultural differences and a lack of cultural awareness of the destination. Americans were forced to research the causes of failures from the cross-cultural management viewpoint to learn from other nations' experiences (</w:t>
      </w:r>
      <w:proofErr w:type="spellStart"/>
      <w:r w:rsidRPr="00C372E4">
        <w:rPr>
          <w:rFonts w:ascii="Times New Roman" w:eastAsia="Times New Roman" w:hAnsi="Times New Roman" w:cs="Times New Roman"/>
          <w:color w:val="000000" w:themeColor="text1"/>
          <w:sz w:val="24"/>
          <w:szCs w:val="24"/>
        </w:rPr>
        <w:t>Eizaguirre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Parés</w:t>
      </w:r>
      <w:proofErr w:type="spellEnd"/>
      <w:r w:rsidRPr="00C372E4">
        <w:rPr>
          <w:rFonts w:ascii="Times New Roman" w:eastAsia="Times New Roman" w:hAnsi="Times New Roman" w:cs="Times New Roman"/>
          <w:color w:val="000000" w:themeColor="text1"/>
          <w:sz w:val="24"/>
          <w:szCs w:val="24"/>
        </w:rPr>
        <w:t>, 2018). This led to the creation of a new study area for CCM. CCHRM improves and fosters interpersonal trust if viewed as vital. People who can communicate and understand one another well may come together to form a team, increasing employee loyalty. When employees feel at home and like they belong at work, they are likely to stay with the firm.</w:t>
      </w:r>
    </w:p>
    <w:p w14:paraId="0A4C8602" w14:textId="77777777" w:rsidR="00C742A9" w:rsidRPr="00C372E4" w:rsidRDefault="00C742A9" w:rsidP="00C742A9">
      <w:pPr>
        <w:pStyle w:val="Heading2"/>
        <w:rPr>
          <w:color w:val="000000" w:themeColor="text1"/>
        </w:rPr>
      </w:pPr>
      <w:bookmarkStart w:id="23" w:name="_oewd84y0wp1r" w:colFirst="0" w:colLast="0"/>
      <w:bookmarkEnd w:id="23"/>
      <w:r w:rsidRPr="00C372E4">
        <w:rPr>
          <w:color w:val="000000" w:themeColor="text1"/>
        </w:rPr>
        <w:t>2.9 Literature gap</w:t>
      </w:r>
    </w:p>
    <w:p w14:paraId="34BDBF36"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critical connection between cross-cultural human resource management (CCHRM) practices and employee engagement within multinational corporations has been examined in the literature on the topic of "Bridging Cultures for Employee Engagement: The Impact of CCHRM in Multinational Corporations (MNCs)." However, the comprehensive understanding of how certain cultural aspects and their interplay impact the efficacy of CCHRM measures in promoting employee engagement represents a significant gap in the research. While current research </w:t>
      </w:r>
      <w:proofErr w:type="spellStart"/>
      <w:r w:rsidRPr="00C372E4">
        <w:rPr>
          <w:rFonts w:ascii="Times New Roman" w:eastAsia="Times New Roman" w:hAnsi="Times New Roman" w:cs="Times New Roman"/>
          <w:color w:val="000000" w:themeColor="text1"/>
          <w:sz w:val="24"/>
          <w:szCs w:val="24"/>
        </w:rPr>
        <w:t>recognises</w:t>
      </w:r>
      <w:proofErr w:type="spellEnd"/>
      <w:r w:rsidRPr="00C372E4">
        <w:rPr>
          <w:rFonts w:ascii="Times New Roman" w:eastAsia="Times New Roman" w:hAnsi="Times New Roman" w:cs="Times New Roman"/>
          <w:color w:val="000000" w:themeColor="text1"/>
          <w:sz w:val="24"/>
          <w:szCs w:val="24"/>
        </w:rPr>
        <w:t xml:space="preserve"> the overall significance of cross-cultural adaptation in MNCs, a thorough analysis of the cultural elements that may either aid or hinder it is lacking. Obstruct the effective use of CCHRM methods for improved employee engagement. In addition, much research has not been done on how different cultural viewpoints and values inside MNCs could clash and how they might influence the goals of CCHRM programs. There is a vacuum in the literature regarding the possible downsides and restrictions of CCHRM tactics when used in various cultural contexts inside MNCs. Furthermore, current research frequently ignores any difficulties or </w:t>
      </w:r>
      <w:proofErr w:type="spellStart"/>
      <w:r w:rsidRPr="00C372E4">
        <w:rPr>
          <w:rFonts w:ascii="Times New Roman" w:eastAsia="Times New Roman" w:hAnsi="Times New Roman" w:cs="Times New Roman"/>
          <w:color w:val="000000" w:themeColor="text1"/>
          <w:sz w:val="24"/>
          <w:szCs w:val="24"/>
        </w:rPr>
        <w:t>unfavourable</w:t>
      </w:r>
      <w:proofErr w:type="spellEnd"/>
      <w:r w:rsidRPr="00C372E4">
        <w:rPr>
          <w:rFonts w:ascii="Times New Roman" w:eastAsia="Times New Roman" w:hAnsi="Times New Roman" w:cs="Times New Roman"/>
          <w:color w:val="000000" w:themeColor="text1"/>
          <w:sz w:val="24"/>
          <w:szCs w:val="24"/>
        </w:rPr>
        <w:t xml:space="preserve"> effects resulting from cultural conflicts, misalignments, or misinterpretations in </w:t>
      </w:r>
      <w:proofErr w:type="spellStart"/>
      <w:r w:rsidRPr="00C372E4">
        <w:rPr>
          <w:rFonts w:ascii="Times New Roman" w:eastAsia="Times New Roman" w:hAnsi="Times New Roman" w:cs="Times New Roman"/>
          <w:color w:val="000000" w:themeColor="text1"/>
          <w:sz w:val="24"/>
          <w:szCs w:val="24"/>
        </w:rPr>
        <w:t>favour</w:t>
      </w:r>
      <w:proofErr w:type="spellEnd"/>
      <w:r w:rsidRPr="00C372E4">
        <w:rPr>
          <w:rFonts w:ascii="Times New Roman" w:eastAsia="Times New Roman" w:hAnsi="Times New Roman" w:cs="Times New Roman"/>
          <w:color w:val="000000" w:themeColor="text1"/>
          <w:sz w:val="24"/>
          <w:szCs w:val="24"/>
        </w:rPr>
        <w:t xml:space="preserve"> of focusing mainly on the beneficial impact of CCHRM on employee engagement. By filling this knowledge gap, we may better grasp the intricacies of cross-cultural relationships and the consequences of HRM tactics in various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contexts.</w:t>
      </w:r>
    </w:p>
    <w:p w14:paraId="6E5D5534" w14:textId="77777777" w:rsidR="00C742A9" w:rsidRPr="00C372E4" w:rsidRDefault="00C742A9" w:rsidP="00C742A9">
      <w:pPr>
        <w:pStyle w:val="Heading2"/>
        <w:rPr>
          <w:color w:val="000000" w:themeColor="text1"/>
        </w:rPr>
      </w:pPr>
      <w:bookmarkStart w:id="24" w:name="_pver5av4biam" w:colFirst="0" w:colLast="0"/>
      <w:bookmarkEnd w:id="24"/>
      <w:r w:rsidRPr="00C372E4">
        <w:rPr>
          <w:color w:val="000000" w:themeColor="text1"/>
        </w:rPr>
        <w:t>2.7 Summary</w:t>
      </w:r>
    </w:p>
    <w:p w14:paraId="0D9A9CE3"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literature study highlights the importance of CCHRM inside MNCs and its impact on employee engagement, illuminating the difficulties faced by CCHRM and highlighting gaps in the body of knowledge. The tremendous effect of CCHRM on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which improves talent acquisition, employee engagement, and creativity, emerges as a significant topic. MNCs gain from integrating a diverse workforce since it </w:t>
      </w:r>
      <w:proofErr w:type="spellStart"/>
      <w:r w:rsidRPr="00C372E4">
        <w:rPr>
          <w:rFonts w:ascii="Times New Roman" w:eastAsia="Times New Roman" w:hAnsi="Times New Roman" w:cs="Times New Roman"/>
          <w:color w:val="000000" w:themeColor="text1"/>
          <w:sz w:val="24"/>
          <w:szCs w:val="24"/>
        </w:rPr>
        <w:t>prioritises</w:t>
      </w:r>
      <w:proofErr w:type="spellEnd"/>
      <w:r w:rsidRPr="00C372E4">
        <w:rPr>
          <w:rFonts w:ascii="Times New Roman" w:eastAsia="Times New Roman" w:hAnsi="Times New Roman" w:cs="Times New Roman"/>
          <w:color w:val="000000" w:themeColor="text1"/>
          <w:sz w:val="24"/>
          <w:szCs w:val="24"/>
        </w:rPr>
        <w:t xml:space="preserve"> CCHRM and fosters a positive work environment. The review discusses the benefits of cross-cultural competence, partnerships with foreign partners, and creative training for professional success. While cultural variety enhances the workplace, miscommunications resulting from different cultural perspectives can impede productive cooperation and performance.</w:t>
      </w:r>
    </w:p>
    <w:p w14:paraId="7F8160A4"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rPr>
      </w:pPr>
    </w:p>
    <w:p w14:paraId="21656BEA" w14:textId="77777777" w:rsidR="00C742A9" w:rsidRPr="00C372E4" w:rsidRDefault="00C742A9" w:rsidP="00C742A9">
      <w:pPr>
        <w:pStyle w:val="Normal1"/>
        <w:spacing w:before="240" w:after="240" w:line="360" w:lineRule="auto"/>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 xml:space="preserve"> </w:t>
      </w:r>
    </w:p>
    <w:p w14:paraId="4AE9BF0F"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b/>
          <w:color w:val="000000" w:themeColor="text1"/>
          <w:sz w:val="24"/>
          <w:szCs w:val="24"/>
        </w:rPr>
      </w:pPr>
      <w:r w:rsidRPr="00C372E4">
        <w:rPr>
          <w:color w:val="000000" w:themeColor="text1"/>
        </w:rPr>
        <w:br w:type="page"/>
      </w:r>
    </w:p>
    <w:p w14:paraId="04536E21" w14:textId="77777777" w:rsidR="00C742A9" w:rsidRPr="00C372E4" w:rsidRDefault="00C742A9" w:rsidP="00C742A9">
      <w:pPr>
        <w:pStyle w:val="Heading1"/>
        <w:rPr>
          <w:sz w:val="24"/>
          <w:szCs w:val="24"/>
        </w:rPr>
      </w:pPr>
      <w:bookmarkStart w:id="25" w:name="_u0xo6fkq4m3k" w:colFirst="0" w:colLast="0"/>
      <w:bookmarkEnd w:id="25"/>
      <w:r w:rsidRPr="00C372E4">
        <w:rPr>
          <w:sz w:val="24"/>
          <w:szCs w:val="24"/>
        </w:rPr>
        <w:t>Chapter 3: Methodology</w:t>
      </w:r>
    </w:p>
    <w:p w14:paraId="0FB4AD00" w14:textId="77777777" w:rsidR="00C742A9" w:rsidRPr="00C372E4" w:rsidRDefault="00C742A9" w:rsidP="00C742A9">
      <w:pPr>
        <w:pStyle w:val="Heading2"/>
        <w:rPr>
          <w:color w:val="000000" w:themeColor="text1"/>
        </w:rPr>
      </w:pPr>
      <w:bookmarkStart w:id="26" w:name="_dxwppxhmt0vs" w:colFirst="0" w:colLast="0"/>
      <w:bookmarkEnd w:id="26"/>
      <w:r w:rsidRPr="00C372E4">
        <w:rPr>
          <w:color w:val="000000" w:themeColor="text1"/>
        </w:rPr>
        <w:t>3.1 Introduction</w:t>
      </w:r>
    </w:p>
    <w:p w14:paraId="215D97A4"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study's methodology provides a systematic framework for examining how CCHRM affects employee engagement inside MNCs. The study examines the complex interactions between CCHRM practices in various cultural contexts and how they influence employee engagement. This section describes the qualitative research strategy, positivist philosophy, logical technique, and use of random sampling to collect solid and thorough insights into the research issue. The deductive method, positivist philosophy, qualitative research strategy, and random selection are all rigorously integrated into the study methodology to thoroughly investigate the effect of CCHRM on employee engagement in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This section will develop an understanding of the selected methodology that is most effective for the most appropriate research result. </w:t>
      </w:r>
    </w:p>
    <w:p w14:paraId="1E8F42BA" w14:textId="77777777" w:rsidR="00C742A9" w:rsidRPr="00C372E4" w:rsidRDefault="00C742A9" w:rsidP="00C742A9">
      <w:pPr>
        <w:pStyle w:val="Heading2"/>
        <w:rPr>
          <w:color w:val="000000" w:themeColor="text1"/>
        </w:rPr>
      </w:pPr>
      <w:bookmarkStart w:id="27" w:name="_ifz2cemwckv8" w:colFirst="0" w:colLast="0"/>
      <w:bookmarkEnd w:id="27"/>
      <w:r w:rsidRPr="00C372E4">
        <w:rPr>
          <w:color w:val="000000" w:themeColor="text1"/>
        </w:rPr>
        <w:t>3.2 Deductive research approach</w:t>
      </w:r>
    </w:p>
    <w:p w14:paraId="78FF8C5E"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deductive method is a systematic,  theory-driven technique whereby pre-existing ideas and frameworks are used to create hypotheses tested via empirical research (Young et al., 2019). Well-established views on employee engagement, cross-cultural management, and the effects of CCHRM support the Deductive approach in this study. Deductive research approaches guide the creation of research questions and hypotheses. The study establishes theoretical frameworks and concepts connected to CCHRM and its impact on employee engagement through current literature. Deductive research approaches serve as a roadmap for creating hypotheses that suggest how CCHRM practice improves employee engagement levels in large multinational businesses. Surveys, Interviews, or other relevant research techniques gather empirical data to evaluate the proposed hypotheses (</w:t>
      </w:r>
      <w:proofErr w:type="spellStart"/>
      <w:r w:rsidRPr="00C372E4">
        <w:rPr>
          <w:rFonts w:ascii="Times New Roman" w:eastAsia="Times New Roman" w:hAnsi="Times New Roman" w:cs="Times New Roman"/>
          <w:color w:val="000000" w:themeColor="text1"/>
          <w:sz w:val="24"/>
          <w:szCs w:val="24"/>
        </w:rPr>
        <w:t>Groenland</w:t>
      </w:r>
      <w:proofErr w:type="spellEnd"/>
      <w:r w:rsidRPr="00C372E4">
        <w:rPr>
          <w:rFonts w:ascii="Times New Roman" w:eastAsia="Times New Roman" w:hAnsi="Times New Roman" w:cs="Times New Roman"/>
          <w:color w:val="000000" w:themeColor="text1"/>
          <w:sz w:val="24"/>
          <w:szCs w:val="24"/>
        </w:rPr>
        <w:t>, 2016). The validity of the ideas is subsequently assessed by statistical analysis of the acquired data in the survey method. Deductive research approaches contribute to a more profound knowledge of the subject by allowing for the drawing of conclusions regarding the connection between CCHRM and employee engagement in MNCs.</w:t>
      </w:r>
    </w:p>
    <w:p w14:paraId="7EB8F831"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study intends to provide a systematic and evidence-based examination of the effect of CCHRM on employee engagement by using a deductive research technique. This strategy guarantees a systematic inquiry that expands upon accepted ideas, enabling a thorough examination of the research issue and its consequences for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Deductive research approaches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existing theory and measure research context quantitatively and quantitatively in order to </w:t>
      </w:r>
      <w:proofErr w:type="spellStart"/>
      <w:r w:rsidRPr="00C372E4">
        <w:rPr>
          <w:rFonts w:ascii="Times New Roman" w:eastAsia="Times New Roman" w:hAnsi="Times New Roman" w:cs="Times New Roman"/>
          <w:color w:val="000000" w:themeColor="text1"/>
          <w:sz w:val="24"/>
          <w:szCs w:val="24"/>
        </w:rPr>
        <w:t>generalise</w:t>
      </w:r>
      <w:proofErr w:type="spellEnd"/>
      <w:r w:rsidRPr="00C372E4">
        <w:rPr>
          <w:rFonts w:ascii="Times New Roman" w:eastAsia="Times New Roman" w:hAnsi="Times New Roman" w:cs="Times New Roman"/>
          <w:color w:val="000000" w:themeColor="text1"/>
          <w:sz w:val="24"/>
          <w:szCs w:val="24"/>
        </w:rPr>
        <w:t xml:space="preserve"> findings. The deductive research approach </w:t>
      </w:r>
      <w:proofErr w:type="spellStart"/>
      <w:r w:rsidRPr="00C372E4">
        <w:rPr>
          <w:rFonts w:ascii="Times New Roman" w:eastAsia="Times New Roman" w:hAnsi="Times New Roman" w:cs="Times New Roman"/>
          <w:color w:val="000000" w:themeColor="text1"/>
          <w:sz w:val="24"/>
          <w:szCs w:val="24"/>
        </w:rPr>
        <w:t>minimises</w:t>
      </w:r>
      <w:proofErr w:type="spellEnd"/>
      <w:r w:rsidRPr="00C372E4">
        <w:rPr>
          <w:rFonts w:ascii="Times New Roman" w:eastAsia="Times New Roman" w:hAnsi="Times New Roman" w:cs="Times New Roman"/>
          <w:color w:val="000000" w:themeColor="text1"/>
          <w:sz w:val="24"/>
          <w:szCs w:val="24"/>
        </w:rPr>
        <w:t xml:space="preserve"> the risk of including biased data, and it is highly applicable when a short time is available for data collection  (</w:t>
      </w:r>
      <w:proofErr w:type="spellStart"/>
      <w:r w:rsidRPr="00C372E4">
        <w:rPr>
          <w:rFonts w:ascii="Times New Roman" w:eastAsia="Times New Roman" w:hAnsi="Times New Roman" w:cs="Times New Roman"/>
          <w:color w:val="000000" w:themeColor="text1"/>
          <w:sz w:val="24"/>
          <w:szCs w:val="24"/>
        </w:rPr>
        <w:t>Groenland</w:t>
      </w:r>
      <w:proofErr w:type="spellEnd"/>
      <w:r w:rsidRPr="00C372E4">
        <w:rPr>
          <w:rFonts w:ascii="Times New Roman" w:eastAsia="Times New Roman" w:hAnsi="Times New Roman" w:cs="Times New Roman"/>
          <w:color w:val="000000" w:themeColor="text1"/>
          <w:sz w:val="24"/>
          <w:szCs w:val="24"/>
        </w:rPr>
        <w:t xml:space="preserve">, 2016). Deductive research approaches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theory, develop hypotheses based on literature gaps, and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observations to confirm the prediction. In this research, it is predicted that cross-cultural human resource management increases the engagement of multinational employees in the workplace. Following the deductive research approach, the entire context is </w:t>
      </w:r>
      <w:proofErr w:type="spellStart"/>
      <w:r w:rsidRPr="00C372E4">
        <w:rPr>
          <w:rFonts w:ascii="Times New Roman" w:eastAsia="Times New Roman" w:hAnsi="Times New Roman" w:cs="Times New Roman"/>
          <w:color w:val="000000" w:themeColor="text1"/>
          <w:sz w:val="24"/>
          <w:szCs w:val="24"/>
        </w:rPr>
        <w:t>analysed</w:t>
      </w:r>
      <w:proofErr w:type="spellEnd"/>
      <w:r w:rsidRPr="00C372E4">
        <w:rPr>
          <w:rFonts w:ascii="Times New Roman" w:eastAsia="Times New Roman" w:hAnsi="Times New Roman" w:cs="Times New Roman"/>
          <w:color w:val="000000" w:themeColor="text1"/>
          <w:sz w:val="24"/>
          <w:szCs w:val="24"/>
        </w:rPr>
        <w:t>, and the result is</w:t>
      </w:r>
    </w:p>
    <w:p w14:paraId="19166E5B" w14:textId="77777777" w:rsidR="00C742A9" w:rsidRPr="00C372E4" w:rsidRDefault="00C742A9" w:rsidP="00C742A9">
      <w:pPr>
        <w:pStyle w:val="Heading2"/>
        <w:rPr>
          <w:color w:val="000000" w:themeColor="text1"/>
        </w:rPr>
      </w:pPr>
      <w:bookmarkStart w:id="28" w:name="_winno4hvdd05" w:colFirst="0" w:colLast="0"/>
      <w:bookmarkEnd w:id="28"/>
      <w:r w:rsidRPr="00C372E4">
        <w:rPr>
          <w:color w:val="000000" w:themeColor="text1"/>
        </w:rPr>
        <w:t>3.3 Positivism Philosophy</w:t>
      </w:r>
    </w:p>
    <w:p w14:paraId="0C946AF5" w14:textId="77777777" w:rsidR="00C742A9" w:rsidRPr="00C372E4" w:rsidRDefault="00C742A9" w:rsidP="00C742A9">
      <w:pPr>
        <w:pStyle w:val="Normal1"/>
        <w:spacing w:before="240" w:after="24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Positivism is a philosophical perspective that uses empirical observation and scientific methods to learn the truth about the concepts (Michele, 2019). The positivist method is used in this study to gather and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qualitative data to identify a causal link between HRM practices and employee engagement results. Employees from major multinational firms are surveyed and given </w:t>
      </w:r>
      <w:proofErr w:type="spellStart"/>
      <w:r w:rsidRPr="00C372E4">
        <w:rPr>
          <w:rFonts w:ascii="Times New Roman" w:eastAsia="Times New Roman" w:hAnsi="Times New Roman" w:cs="Times New Roman"/>
          <w:color w:val="000000" w:themeColor="text1"/>
          <w:sz w:val="24"/>
          <w:szCs w:val="24"/>
        </w:rPr>
        <w:t>standardised</w:t>
      </w:r>
      <w:proofErr w:type="spellEnd"/>
      <w:r w:rsidRPr="00C372E4">
        <w:rPr>
          <w:rFonts w:ascii="Times New Roman" w:eastAsia="Times New Roman" w:hAnsi="Times New Roman" w:cs="Times New Roman"/>
          <w:color w:val="000000" w:themeColor="text1"/>
          <w:sz w:val="24"/>
          <w:szCs w:val="24"/>
        </w:rPr>
        <w:t xml:space="preserve"> questionnaires to get insights about how CCHRM affects employee engagement. Following the Positivism Philosophy, the study aims to provide empirical support for the impact of particular CCHRM practices on employee engagement in MNCs with varied cultural settings. The results of a positivist approach help to improve understanding of the causal link between HRM and employee engagement, facilitating evidence-based decision-making for multinational corporations looking to increase employee engagement levels while navigating cultural diversity. Overall, this study's research methodology is guided by the positivist philosophy, which strongly </w:t>
      </w:r>
      <w:proofErr w:type="spellStart"/>
      <w:r w:rsidRPr="00C372E4">
        <w:rPr>
          <w:rFonts w:ascii="Times New Roman" w:eastAsia="Times New Roman" w:hAnsi="Times New Roman" w:cs="Times New Roman"/>
          <w:color w:val="000000" w:themeColor="text1"/>
          <w:sz w:val="24"/>
          <w:szCs w:val="24"/>
        </w:rPr>
        <w:t>emphasises</w:t>
      </w:r>
      <w:proofErr w:type="spellEnd"/>
      <w:r w:rsidRPr="00C372E4">
        <w:rPr>
          <w:rFonts w:ascii="Times New Roman" w:eastAsia="Times New Roman" w:hAnsi="Times New Roman" w:cs="Times New Roman"/>
          <w:color w:val="000000" w:themeColor="text1"/>
          <w:sz w:val="24"/>
          <w:szCs w:val="24"/>
        </w:rPr>
        <w:t xml:space="preserve"> empirical evidence, objectivity, and scientific </w:t>
      </w:r>
      <w:proofErr w:type="spellStart"/>
      <w:r w:rsidRPr="00C372E4">
        <w:rPr>
          <w:rFonts w:ascii="Times New Roman" w:eastAsia="Times New Roman" w:hAnsi="Times New Roman" w:cs="Times New Roman"/>
          <w:color w:val="000000" w:themeColor="text1"/>
          <w:sz w:val="24"/>
          <w:szCs w:val="24"/>
        </w:rPr>
        <w:t>rigour</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Irshaidat</w:t>
      </w:r>
      <w:proofErr w:type="spellEnd"/>
      <w:r w:rsidRPr="00C372E4">
        <w:rPr>
          <w:rFonts w:ascii="Times New Roman" w:eastAsia="Times New Roman" w:hAnsi="Times New Roman" w:cs="Times New Roman"/>
          <w:color w:val="000000" w:themeColor="text1"/>
          <w:sz w:val="24"/>
          <w:szCs w:val="24"/>
        </w:rPr>
        <w:t xml:space="preserve">, 2019). The Positivism Philosophy adds new information to the ongoing discussion of how CCHRM initiatives successfully bridge cultures and impact employee engagement in multinational corporations. Positivism philosophy is a scientific approach that helps independent observers to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irrelevant human interests and demonstrate causality through the deduction process. The concept of the research is </w:t>
      </w:r>
      <w:proofErr w:type="spellStart"/>
      <w:r w:rsidRPr="00C372E4">
        <w:rPr>
          <w:rFonts w:ascii="Times New Roman" w:eastAsia="Times New Roman" w:hAnsi="Times New Roman" w:cs="Times New Roman"/>
          <w:color w:val="000000" w:themeColor="text1"/>
          <w:sz w:val="24"/>
          <w:szCs w:val="24"/>
        </w:rPr>
        <w:t>operationalised</w:t>
      </w:r>
      <w:proofErr w:type="spellEnd"/>
      <w:r w:rsidRPr="00C372E4">
        <w:rPr>
          <w:rFonts w:ascii="Times New Roman" w:eastAsia="Times New Roman" w:hAnsi="Times New Roman" w:cs="Times New Roman"/>
          <w:color w:val="000000" w:themeColor="text1"/>
          <w:sz w:val="24"/>
          <w:szCs w:val="24"/>
        </w:rPr>
        <w:t xml:space="preserve"> to measure </w:t>
      </w:r>
      <w:proofErr w:type="spellStart"/>
      <w:r w:rsidRPr="00C372E4">
        <w:rPr>
          <w:rFonts w:ascii="Times New Roman" w:eastAsia="Times New Roman" w:hAnsi="Times New Roman" w:cs="Times New Roman"/>
          <w:color w:val="000000" w:themeColor="text1"/>
          <w:sz w:val="24"/>
          <w:szCs w:val="24"/>
        </w:rPr>
        <w:t>generalisation</w:t>
      </w:r>
      <w:proofErr w:type="spellEnd"/>
      <w:r w:rsidRPr="00C372E4">
        <w:rPr>
          <w:rFonts w:ascii="Times New Roman" w:eastAsia="Times New Roman" w:hAnsi="Times New Roman" w:cs="Times New Roman"/>
          <w:color w:val="000000" w:themeColor="text1"/>
          <w:sz w:val="24"/>
          <w:szCs w:val="24"/>
        </w:rPr>
        <w:t xml:space="preserve">. Positivism facts and it is the value-free  approach of science that is the most effective </w:t>
      </w:r>
    </w:p>
    <w:p w14:paraId="34D800F0" w14:textId="77777777" w:rsidR="00C742A9" w:rsidRPr="00C372E4" w:rsidRDefault="00C742A9" w:rsidP="00C742A9">
      <w:pPr>
        <w:pStyle w:val="Heading2"/>
        <w:spacing w:after="100"/>
        <w:rPr>
          <w:color w:val="000000" w:themeColor="text1"/>
        </w:rPr>
      </w:pPr>
      <w:bookmarkStart w:id="29" w:name="_8vnq2qy875at" w:colFirst="0" w:colLast="0"/>
      <w:bookmarkEnd w:id="29"/>
      <w:r w:rsidRPr="00C372E4">
        <w:rPr>
          <w:color w:val="000000" w:themeColor="text1"/>
        </w:rPr>
        <w:t>3.4 Qualitative research strategy</w:t>
      </w:r>
    </w:p>
    <w:p w14:paraId="5DA8B90C"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qualitative research approach entails thoroughly examining the views, experiences, and viewpoints of stakeholders inside MNCs. Open-end interviews are techniques used to collect rich, qualitative data that reflects the breadth and context of people's experiences with CCHRM practices and their effects on employee engagement. The qualitative research strategy enables participants to share their thoughts, stories, and opinions through open-ended questions and in-depth conversation (</w:t>
      </w:r>
      <w:proofErr w:type="spellStart"/>
      <w:r w:rsidRPr="00C372E4">
        <w:rPr>
          <w:rFonts w:ascii="Times New Roman" w:eastAsia="Times New Roman" w:hAnsi="Times New Roman" w:cs="Times New Roman"/>
          <w:color w:val="000000" w:themeColor="text1"/>
          <w:sz w:val="24"/>
          <w:szCs w:val="24"/>
        </w:rPr>
        <w:t>Abugre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Debrah</w:t>
      </w:r>
      <w:proofErr w:type="spellEnd"/>
      <w:r w:rsidRPr="00C372E4">
        <w:rPr>
          <w:rFonts w:ascii="Times New Roman" w:eastAsia="Times New Roman" w:hAnsi="Times New Roman" w:cs="Times New Roman"/>
          <w:color w:val="000000" w:themeColor="text1"/>
          <w:sz w:val="24"/>
          <w:szCs w:val="24"/>
        </w:rPr>
        <w:t xml:space="preserve">, 2019). The qualitative approach data has been greater to find recurrent themes, patterns and deeper meanings in the participant narratives. This study employs a qualitative research methodology to clarify the intricate dynamics of how the CCHRM program affects employee engagement. A qualitative research strategy offers a greater comprehension of the elements that aid or obstruct successful cross-cultural practices and their results. The qualitative research methodology used in this study provides the qualitative lens through which the effects of CCHRM on employee engagement in multinational firms are examined. It explores the individual stories and the contextual details that qualitative techniques miss, resulting in a better and more comprehensive understanding of this crucial relationship. Qualitative data is used to develop critical knowledge about the research context, and the entire research result is created based on in-depth understanding. Cross-cultural human resource management in international business is a broad concept. For this reason, a qualitative research strategy is selected, which helps in developing an understanding and </w:t>
      </w:r>
      <w:proofErr w:type="spellStart"/>
      <w:r w:rsidRPr="00C372E4">
        <w:rPr>
          <w:rFonts w:ascii="Times New Roman" w:eastAsia="Times New Roman" w:hAnsi="Times New Roman" w:cs="Times New Roman"/>
          <w:color w:val="000000" w:themeColor="text1"/>
          <w:sz w:val="24"/>
          <w:szCs w:val="24"/>
        </w:rPr>
        <w:t>contextualising</w:t>
      </w:r>
      <w:proofErr w:type="spellEnd"/>
      <w:r w:rsidRPr="00C372E4">
        <w:rPr>
          <w:rFonts w:ascii="Times New Roman" w:eastAsia="Times New Roman" w:hAnsi="Times New Roman" w:cs="Times New Roman"/>
          <w:color w:val="000000" w:themeColor="text1"/>
          <w:sz w:val="24"/>
          <w:szCs w:val="24"/>
        </w:rPr>
        <w:t xml:space="preserve"> the research context in a more efficient way.</w:t>
      </w:r>
    </w:p>
    <w:p w14:paraId="2CCFF49A" w14:textId="77777777" w:rsidR="00C742A9" w:rsidRPr="00C372E4" w:rsidRDefault="00C742A9" w:rsidP="00C742A9">
      <w:pPr>
        <w:pStyle w:val="Heading2"/>
        <w:spacing w:after="100"/>
        <w:rPr>
          <w:color w:val="000000" w:themeColor="text1"/>
        </w:rPr>
      </w:pPr>
      <w:bookmarkStart w:id="30" w:name="_v4aws8wmqdyx" w:colFirst="0" w:colLast="0"/>
      <w:bookmarkEnd w:id="30"/>
      <w:r w:rsidRPr="00C372E4">
        <w:rPr>
          <w:color w:val="000000" w:themeColor="text1"/>
        </w:rPr>
        <w:t>3.5 Random sampling</w:t>
      </w:r>
    </w:p>
    <w:p w14:paraId="40E7795C"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impartial selection of participants from a broader population to ensure that each member of the population has an equal probability of being included in the research is known as random sampling. This study uses this approach to choose a broad and representative sample of workers from several international firms. Making a list of all prospective participants from the target group is the first step in the process. The study's use of random sampling improves the findings' applicability to a broader group of employees in global firms. It guarantees that the sample chosen appropriately reflects the degree of employee involvement and cultural diversity within MNCs, providing more generalizable conclusions. Simple random sampling empowers researchers to </w:t>
      </w:r>
      <w:proofErr w:type="spellStart"/>
      <w:r w:rsidRPr="00C372E4">
        <w:rPr>
          <w:rFonts w:ascii="Times New Roman" w:eastAsia="Times New Roman" w:hAnsi="Times New Roman" w:cs="Times New Roman"/>
          <w:color w:val="000000" w:themeColor="text1"/>
          <w:sz w:val="24"/>
          <w:szCs w:val="24"/>
        </w:rPr>
        <w:t>minimise</w:t>
      </w:r>
      <w:proofErr w:type="spellEnd"/>
      <w:r w:rsidRPr="00C372E4">
        <w:rPr>
          <w:rFonts w:ascii="Times New Roman" w:eastAsia="Times New Roman" w:hAnsi="Times New Roman" w:cs="Times New Roman"/>
          <w:color w:val="000000" w:themeColor="text1"/>
          <w:sz w:val="24"/>
          <w:szCs w:val="24"/>
        </w:rPr>
        <w:t xml:space="preserve"> bias from the research result. Random sampling is effective in gathering advanced knowledge from multiple sources (Bhardwaj, 2019). An interview is going to be </w:t>
      </w:r>
      <w:proofErr w:type="spellStart"/>
      <w:r w:rsidRPr="00C372E4">
        <w:rPr>
          <w:rFonts w:ascii="Times New Roman" w:eastAsia="Times New Roman" w:hAnsi="Times New Roman" w:cs="Times New Roman"/>
          <w:color w:val="000000" w:themeColor="text1"/>
          <w:sz w:val="24"/>
          <w:szCs w:val="24"/>
        </w:rPr>
        <w:t>organised</w:t>
      </w:r>
      <w:proofErr w:type="spellEnd"/>
      <w:r w:rsidRPr="00C372E4">
        <w:rPr>
          <w:rFonts w:ascii="Times New Roman" w:eastAsia="Times New Roman" w:hAnsi="Times New Roman" w:cs="Times New Roman"/>
          <w:color w:val="000000" w:themeColor="text1"/>
          <w:sz w:val="24"/>
          <w:szCs w:val="24"/>
        </w:rPr>
        <w:t xml:space="preserve"> in this research in order to collect qualitative data from the potential respondents. The random sampling method has the power to improve the quality of data sets and can enhance the applicability of this research.</w:t>
      </w:r>
    </w:p>
    <w:p w14:paraId="0B2787DB" w14:textId="77777777" w:rsidR="00C742A9" w:rsidRPr="00C372E4" w:rsidRDefault="00C742A9" w:rsidP="00C742A9">
      <w:pPr>
        <w:pStyle w:val="Heading2"/>
        <w:spacing w:after="100"/>
        <w:rPr>
          <w:color w:val="000000" w:themeColor="text1"/>
        </w:rPr>
      </w:pPr>
      <w:bookmarkStart w:id="31" w:name="_advr2zew7pwb" w:colFirst="0" w:colLast="0"/>
      <w:bookmarkEnd w:id="31"/>
      <w:r w:rsidRPr="00C372E4">
        <w:rPr>
          <w:color w:val="000000" w:themeColor="text1"/>
        </w:rPr>
        <w:t xml:space="preserve">3.6 Descriptive research design </w:t>
      </w:r>
    </w:p>
    <w:p w14:paraId="06939056"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Descriptive research aims to shed light on present challenges or problems. The descriptive data-gathering approach enables researchers to explain the situation more thoroughly. It is an efficient way to gather data that is used to create hypotheses and suggest relationships. Although researchers do not always use the observation data-gathering approach, descriptive studies are closely related to observational studies. Typical data-gathering techniques for descriptive research include interviews. Descriptive studies are used to completely comprehend a topic by examining its history, specifics, and current trends. Research that was descriptive served as both a foundation and an end (Siedlecki, 2020). This research Creates a questionnaire using the descriptive approaches, distributes it, and uses the data to do additional analysis. Find out more about the variations between questionnaires and interviews using descriptive research design. A study comparing the health of night shift workers to general shift workers over the course of a decade is an example of longitudinal research. Interviews collect in-depth data to uncover the features of a tightly defined subject rather than gathering data to find trends throughout time or space. This study creates falsifiable ideas or models. Psychological, sociological, and market researchers frequently employ this technique to comprehend how individuals behave in actual circumstances.</w:t>
      </w:r>
    </w:p>
    <w:p w14:paraId="6614FA6C" w14:textId="77777777" w:rsidR="00C742A9" w:rsidRPr="00C372E4" w:rsidRDefault="00C742A9" w:rsidP="00C742A9">
      <w:pPr>
        <w:pStyle w:val="Heading2"/>
        <w:spacing w:after="100"/>
        <w:rPr>
          <w:color w:val="000000" w:themeColor="text1"/>
        </w:rPr>
      </w:pPr>
      <w:bookmarkStart w:id="32" w:name="_eshkctx577fc" w:colFirst="0" w:colLast="0"/>
      <w:bookmarkEnd w:id="32"/>
      <w:r w:rsidRPr="00C372E4">
        <w:rPr>
          <w:color w:val="000000" w:themeColor="text1"/>
        </w:rPr>
        <w:t xml:space="preserve">3.7 Primary data collection using the interview method </w:t>
      </w:r>
    </w:p>
    <w:p w14:paraId="4DD7F081"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Primary data collection involves gathering information from a living source, such as a person. Accurate and comprehensive data collection is the aim of primary data collection. The quality of life for both people and the environment improved using this data. The most crucial sort of research is primary data collecting since it enables the acquisition of rich data that is </w:t>
      </w:r>
      <w:proofErr w:type="spellStart"/>
      <w:r w:rsidRPr="00C372E4">
        <w:rPr>
          <w:rFonts w:ascii="Times New Roman" w:eastAsia="Times New Roman" w:hAnsi="Times New Roman" w:cs="Times New Roman"/>
          <w:color w:val="000000" w:themeColor="text1"/>
          <w:sz w:val="24"/>
          <w:szCs w:val="24"/>
        </w:rPr>
        <w:t>utilised</w:t>
      </w:r>
      <w:proofErr w:type="spellEnd"/>
      <w:r w:rsidRPr="00C372E4">
        <w:rPr>
          <w:rFonts w:ascii="Times New Roman" w:eastAsia="Times New Roman" w:hAnsi="Times New Roman" w:cs="Times New Roman"/>
          <w:color w:val="000000" w:themeColor="text1"/>
          <w:sz w:val="24"/>
          <w:szCs w:val="24"/>
        </w:rPr>
        <w:t xml:space="preserve"> to enhance goods and services. Evaluating and </w:t>
      </w:r>
      <w:proofErr w:type="spellStart"/>
      <w:r w:rsidRPr="00C372E4">
        <w:rPr>
          <w:rFonts w:ascii="Times New Roman" w:eastAsia="Times New Roman" w:hAnsi="Times New Roman" w:cs="Times New Roman"/>
          <w:color w:val="000000" w:themeColor="text1"/>
          <w:sz w:val="24"/>
          <w:szCs w:val="24"/>
        </w:rPr>
        <w:t>utilising</w:t>
      </w:r>
      <w:proofErr w:type="spellEnd"/>
      <w:r w:rsidRPr="00C372E4">
        <w:rPr>
          <w:rFonts w:ascii="Times New Roman" w:eastAsia="Times New Roman" w:hAnsi="Times New Roman" w:cs="Times New Roman"/>
          <w:color w:val="000000" w:themeColor="text1"/>
          <w:sz w:val="24"/>
          <w:szCs w:val="24"/>
        </w:rPr>
        <w:t xml:space="preserve"> this data for business choices is challenging in any case. Primary data collecting is useful for determining how customers </w:t>
      </w:r>
      <w:proofErr w:type="spellStart"/>
      <w:r w:rsidRPr="00C372E4">
        <w:rPr>
          <w:rFonts w:ascii="Times New Roman" w:eastAsia="Times New Roman" w:hAnsi="Times New Roman" w:cs="Times New Roman"/>
          <w:color w:val="000000" w:themeColor="text1"/>
          <w:sz w:val="24"/>
          <w:szCs w:val="24"/>
        </w:rPr>
        <w:t>utilise</w:t>
      </w:r>
      <w:proofErr w:type="spellEnd"/>
      <w:r w:rsidRPr="00C372E4">
        <w:rPr>
          <w:rFonts w:ascii="Times New Roman" w:eastAsia="Times New Roman" w:hAnsi="Times New Roman" w:cs="Times New Roman"/>
          <w:color w:val="000000" w:themeColor="text1"/>
          <w:sz w:val="24"/>
          <w:szCs w:val="24"/>
        </w:rPr>
        <w:t xml:space="preserve"> a product or service, but it is less effective for gaining an understanding of customer attitudes and sentiments. A qualitative research technique used to get first-hand information is an interview. Conversations with respondents are held one-on-one during interviews (</w:t>
      </w:r>
      <w:proofErr w:type="spellStart"/>
      <w:r w:rsidRPr="00C372E4">
        <w:rPr>
          <w:rFonts w:ascii="Times New Roman" w:eastAsia="Times New Roman" w:hAnsi="Times New Roman" w:cs="Times New Roman"/>
          <w:color w:val="000000" w:themeColor="text1"/>
          <w:sz w:val="24"/>
          <w:szCs w:val="24"/>
        </w:rPr>
        <w:t>Budianto</w:t>
      </w:r>
      <w:proofErr w:type="spellEnd"/>
      <w:r w:rsidRPr="00C372E4">
        <w:rPr>
          <w:rFonts w:ascii="Times New Roman" w:eastAsia="Times New Roman" w:hAnsi="Times New Roman" w:cs="Times New Roman"/>
          <w:color w:val="000000" w:themeColor="text1"/>
          <w:sz w:val="24"/>
          <w:szCs w:val="24"/>
        </w:rPr>
        <w:t>, 2020). Personal interviews are the most typical method for gathering information on vocal replies. Participants want to speak with regular social media users to learn about their experiences. An interviewee is scheduled for a meeting with the researcher, who then grills them on their use of social media, how it impacts their mood, and whether consumers observed any changes in mental health as a result. The interview is recorded, and the researcher analyses the replies to learn more about the connection between social media and mental health.</w:t>
      </w:r>
    </w:p>
    <w:p w14:paraId="70325496" w14:textId="77777777" w:rsidR="00C742A9" w:rsidRPr="00C372E4" w:rsidRDefault="00C742A9" w:rsidP="00C742A9">
      <w:pPr>
        <w:pStyle w:val="Heading2"/>
        <w:spacing w:after="100"/>
        <w:rPr>
          <w:color w:val="000000" w:themeColor="text1"/>
        </w:rPr>
      </w:pPr>
      <w:bookmarkStart w:id="33" w:name="_ubx01hykaoh1" w:colFirst="0" w:colLast="0"/>
      <w:bookmarkEnd w:id="33"/>
      <w:r w:rsidRPr="00C372E4">
        <w:rPr>
          <w:color w:val="000000" w:themeColor="text1"/>
        </w:rPr>
        <w:t>3.8 Data Analysis</w:t>
      </w:r>
    </w:p>
    <w:p w14:paraId="55E3E285"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color w:val="000000" w:themeColor="text1"/>
          <w:sz w:val="24"/>
          <w:szCs w:val="24"/>
        </w:rPr>
        <w:t>Thematic data analysis is a process of qualitative research that interprets core narratives of personal experience. The experience of individuals is critically understood through Thematic analysis, and it is applicable when the research context is broad in nature. Thematic data analysis is used in this research to present the personal views of interview participants on the 6 different research questions (Braun and Clarke, 2019). After the Thematic analysis, a structural framework is represented in the findings and analysis section in order to represent the final outcome of the research result. Data analysis becomes easier in Thematic analysis, and it is the most appropriate analytical approach when a researcher takes into account individual experience through the interview process. The thematic analysis involves identifying patterns, themes and motifs that help to develop a critical understanding of the research context and find the research result in a more efficient way.</w:t>
      </w:r>
    </w:p>
    <w:p w14:paraId="2275F50A" w14:textId="77777777" w:rsidR="00C742A9" w:rsidRPr="00C372E4" w:rsidRDefault="00C742A9" w:rsidP="00C742A9">
      <w:pPr>
        <w:pStyle w:val="Heading2"/>
        <w:spacing w:after="100"/>
        <w:rPr>
          <w:color w:val="000000" w:themeColor="text1"/>
        </w:rPr>
      </w:pPr>
      <w:bookmarkStart w:id="34" w:name="_yf2tqvwkm29c" w:colFirst="0" w:colLast="0"/>
      <w:bookmarkEnd w:id="34"/>
      <w:r w:rsidRPr="00C372E4">
        <w:rPr>
          <w:color w:val="000000" w:themeColor="text1"/>
        </w:rPr>
        <w:t xml:space="preserve">3.9 Reliability, Validity, and Bias </w:t>
      </w:r>
    </w:p>
    <w:p w14:paraId="2246499D"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Reliability, validity and bias are the most important parts of research that are required to be maintained to create research results that are widely applicable. The reliability of this research is ensured through positivism philosophy and deductive research approach that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theories in order to prove the hypothesis. Participants in the interview are selected through a random method, and any </w:t>
      </w:r>
      <w:proofErr w:type="spellStart"/>
      <w:r w:rsidRPr="00C372E4">
        <w:rPr>
          <w:rFonts w:ascii="Times New Roman" w:eastAsia="Times New Roman" w:hAnsi="Times New Roman" w:cs="Times New Roman"/>
          <w:color w:val="000000" w:themeColor="text1"/>
          <w:sz w:val="24"/>
          <w:szCs w:val="24"/>
        </w:rPr>
        <w:t>personalised</w:t>
      </w:r>
      <w:proofErr w:type="spellEnd"/>
      <w:r w:rsidRPr="00C372E4">
        <w:rPr>
          <w:rFonts w:ascii="Times New Roman" w:eastAsia="Times New Roman" w:hAnsi="Times New Roman" w:cs="Times New Roman"/>
          <w:color w:val="000000" w:themeColor="text1"/>
          <w:sz w:val="24"/>
          <w:szCs w:val="24"/>
        </w:rPr>
        <w:t xml:space="preserve"> participant is not included in this research, which has increased the reliability of this research (Braun and Clarke, 2019). The specific set of questionnaires is asked of the interview participants sequentially, and the unnecessary arguments or conversation is ignored in order to maintain the validity of the data. Ensuring the reliability and validity of this research, bias is also removed from the research process by choosing the primary data collection process and interview method. Primary data collection removes the scope of including biased data because there is no scope for including personal perception in the data set. On the other hand, secondary data collection may have the opportunity to manipulate data sets because of different understandings about the same context. In this way, reliability, validity and bias are maintained in this research. </w:t>
      </w:r>
    </w:p>
    <w:p w14:paraId="7D82E2B9" w14:textId="77777777" w:rsidR="00C742A9" w:rsidRPr="00C372E4" w:rsidRDefault="00C742A9" w:rsidP="00C742A9">
      <w:pPr>
        <w:pStyle w:val="Heading2"/>
        <w:spacing w:after="100"/>
        <w:rPr>
          <w:color w:val="000000" w:themeColor="text1"/>
        </w:rPr>
      </w:pPr>
      <w:bookmarkStart w:id="35" w:name="_oeyz5ib7lqa7" w:colFirst="0" w:colLast="0"/>
      <w:bookmarkEnd w:id="35"/>
      <w:r w:rsidRPr="00C372E4">
        <w:rPr>
          <w:color w:val="000000" w:themeColor="text1"/>
        </w:rPr>
        <w:t xml:space="preserve">3.10 Sample size and target population </w:t>
      </w:r>
    </w:p>
    <w:p w14:paraId="2140D97B"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Time for this research is limited for this reason. The sample size of this research is around 8 participants who have worked in multinational corporations and dealt with cross-cultural teams. Around 6 questions are asked to the potential interview participants one by one using video conferencing and calls. </w:t>
      </w:r>
      <w:proofErr w:type="spellStart"/>
      <w:r w:rsidRPr="00C372E4">
        <w:rPr>
          <w:rFonts w:ascii="Times New Roman" w:eastAsia="Times New Roman" w:hAnsi="Times New Roman" w:cs="Times New Roman"/>
          <w:color w:val="000000" w:themeColor="text1"/>
          <w:sz w:val="24"/>
          <w:szCs w:val="24"/>
        </w:rPr>
        <w:t>Analysing</w:t>
      </w:r>
      <w:proofErr w:type="spellEnd"/>
      <w:r w:rsidRPr="00C372E4">
        <w:rPr>
          <w:rFonts w:ascii="Times New Roman" w:eastAsia="Times New Roman" w:hAnsi="Times New Roman" w:cs="Times New Roman"/>
          <w:color w:val="000000" w:themeColor="text1"/>
          <w:sz w:val="24"/>
          <w:szCs w:val="24"/>
        </w:rPr>
        <w:t xml:space="preserve"> the different perspectives of 8 participants can help to develop critical knowledge about cross-cultural human resource management in international business scenarios. All the interview participants are sent a consent form to invite them to the research process. First of all, the potential and price of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are identified, and their designation is identified before including participants in the interview process. All the participants have more than 2 years of experience in multinational corporations, which has increased the reliability of the data set. </w:t>
      </w:r>
    </w:p>
    <w:p w14:paraId="4FE40A57" w14:textId="77777777" w:rsidR="00C742A9" w:rsidRPr="00C372E4" w:rsidRDefault="00C742A9" w:rsidP="00C742A9">
      <w:pPr>
        <w:pStyle w:val="Heading2"/>
        <w:spacing w:after="100"/>
        <w:rPr>
          <w:color w:val="000000" w:themeColor="text1"/>
        </w:rPr>
      </w:pPr>
      <w:bookmarkStart w:id="36" w:name="_6793u2ykcgxg" w:colFirst="0" w:colLast="0"/>
      <w:bookmarkEnd w:id="36"/>
      <w:r w:rsidRPr="00C372E4">
        <w:rPr>
          <w:color w:val="000000" w:themeColor="text1"/>
        </w:rPr>
        <w:t xml:space="preserve">3.11 Ethical consideration </w:t>
      </w:r>
    </w:p>
    <w:p w14:paraId="7A6D9075" w14:textId="77777777" w:rsidR="00C742A9" w:rsidRPr="00C372E4" w:rsidRDefault="00C742A9" w:rsidP="00C742A9">
      <w:pPr>
        <w:pStyle w:val="Normal1"/>
        <w:spacing w:before="240" w:after="100"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A consent form has not been sent to the participants of this research, and they are not forced or influenced to provide any </w:t>
      </w:r>
      <w:proofErr w:type="spellStart"/>
      <w:r w:rsidRPr="00C372E4">
        <w:rPr>
          <w:rFonts w:ascii="Times New Roman" w:eastAsia="Times New Roman" w:hAnsi="Times New Roman" w:cs="Times New Roman"/>
          <w:color w:val="000000" w:themeColor="text1"/>
          <w:sz w:val="24"/>
          <w:szCs w:val="24"/>
        </w:rPr>
        <w:t>personalised</w:t>
      </w:r>
      <w:proofErr w:type="spellEnd"/>
      <w:r w:rsidRPr="00C372E4">
        <w:rPr>
          <w:rFonts w:ascii="Times New Roman" w:eastAsia="Times New Roman" w:hAnsi="Times New Roman" w:cs="Times New Roman"/>
          <w:color w:val="000000" w:themeColor="text1"/>
          <w:sz w:val="24"/>
          <w:szCs w:val="24"/>
        </w:rPr>
        <w:t xml:space="preserve"> data or information in this research result. Ethical consideration is most important for every research in order to maintain authenticity and quality of results. Qualitative data collected from the interview participants are stored in a Google drive with a secured password. Information gathered from the participants is not going to be shared with third-party users without their consent (Braun and Clarke, 2019). Participants of this research are allowed to take down their data before preparation of the research result. Any kind of unnecessary information is not included in the data set that can divert the research result. </w:t>
      </w:r>
    </w:p>
    <w:p w14:paraId="584BC513" w14:textId="77777777" w:rsidR="00C742A9" w:rsidRPr="00C372E4" w:rsidRDefault="00C742A9" w:rsidP="00C742A9">
      <w:pPr>
        <w:pStyle w:val="Heading2"/>
        <w:spacing w:after="100"/>
        <w:rPr>
          <w:color w:val="000000" w:themeColor="text1"/>
        </w:rPr>
      </w:pPr>
      <w:bookmarkStart w:id="37" w:name="_lavq18751c6o" w:colFirst="0" w:colLast="0"/>
      <w:bookmarkEnd w:id="37"/>
      <w:r w:rsidRPr="00C372E4">
        <w:rPr>
          <w:color w:val="000000" w:themeColor="text1"/>
        </w:rPr>
        <w:t xml:space="preserve">3.12 Summary </w:t>
      </w:r>
    </w:p>
    <w:p w14:paraId="6DD44B62"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section has outlined the methodological choices that have been used in this research and are necessary to prepare the most appropriate result. As the concept of cross-cultural human resource management is broad and its application in multinational corporations has various aspects, a qualitative research strategy is undertaken. The primary data collection method with a simple random sampling method has led to eliminating the chances of including biased data in this research. It can be summarized that the validity and reliability of the data set are critically tested in this research, and a thematic analysis approach is used to represent the results in an easy-to-understand way. The </w:t>
      </w:r>
      <w:proofErr w:type="spellStart"/>
      <w:r w:rsidRPr="00C372E4">
        <w:rPr>
          <w:rFonts w:ascii="Times New Roman" w:eastAsia="Times New Roman" w:hAnsi="Times New Roman" w:cs="Times New Roman"/>
          <w:color w:val="000000" w:themeColor="text1"/>
          <w:sz w:val="24"/>
          <w:szCs w:val="24"/>
        </w:rPr>
        <w:t>positivismPositivist</w:t>
      </w:r>
      <w:proofErr w:type="spellEnd"/>
      <w:r w:rsidRPr="00C372E4">
        <w:rPr>
          <w:rFonts w:ascii="Times New Roman" w:eastAsia="Times New Roman" w:hAnsi="Times New Roman" w:cs="Times New Roman"/>
          <w:color w:val="000000" w:themeColor="text1"/>
          <w:sz w:val="24"/>
          <w:szCs w:val="24"/>
        </w:rPr>
        <w:t xml:space="preserve"> philosophy and deductive research approach have helped to maintain the consistency and reliability of the research result in this research. </w:t>
      </w:r>
    </w:p>
    <w:p w14:paraId="045CD482"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785133E6"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5E40F2FE"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7CB6DE99"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0E869C1B" w14:textId="77777777" w:rsidR="00C742A9" w:rsidRPr="00C372E4" w:rsidRDefault="00C742A9" w:rsidP="00C742A9">
      <w:pPr>
        <w:pStyle w:val="Normal1"/>
        <w:spacing w:line="360" w:lineRule="auto"/>
        <w:rPr>
          <w:rFonts w:ascii="Times New Roman" w:eastAsia="Times New Roman" w:hAnsi="Times New Roman" w:cs="Times New Roman"/>
          <w:color w:val="000000" w:themeColor="text1"/>
          <w:sz w:val="24"/>
          <w:szCs w:val="24"/>
        </w:rPr>
      </w:pPr>
    </w:p>
    <w:p w14:paraId="5D1F697C"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rPr>
      </w:pPr>
      <w:r w:rsidRPr="00C372E4">
        <w:rPr>
          <w:color w:val="000000" w:themeColor="text1"/>
        </w:rPr>
        <w:br w:type="page"/>
      </w:r>
    </w:p>
    <w:p w14:paraId="191EA44C" w14:textId="77777777" w:rsidR="00C742A9" w:rsidRPr="00C372E4" w:rsidRDefault="00C742A9" w:rsidP="00C742A9">
      <w:pPr>
        <w:pStyle w:val="Heading1"/>
        <w:rPr>
          <w:sz w:val="24"/>
          <w:szCs w:val="24"/>
        </w:rPr>
      </w:pPr>
      <w:bookmarkStart w:id="38" w:name="_wlaq2aqckpvp" w:colFirst="0" w:colLast="0"/>
      <w:bookmarkEnd w:id="38"/>
      <w:r w:rsidRPr="00C372E4">
        <w:rPr>
          <w:sz w:val="24"/>
          <w:szCs w:val="24"/>
        </w:rPr>
        <w:t>Chapter 4: Findings and Analysis</w:t>
      </w:r>
    </w:p>
    <w:p w14:paraId="4791C0D0" w14:textId="77777777" w:rsidR="00C742A9" w:rsidRPr="00C372E4" w:rsidRDefault="00C742A9" w:rsidP="00C742A9">
      <w:pPr>
        <w:pStyle w:val="Heading2"/>
        <w:rPr>
          <w:color w:val="000000" w:themeColor="text1"/>
        </w:rPr>
      </w:pPr>
      <w:bookmarkStart w:id="39" w:name="_hvdkgjoxea" w:colFirst="0" w:colLast="0"/>
      <w:bookmarkEnd w:id="39"/>
      <w:r w:rsidRPr="00C372E4">
        <w:rPr>
          <w:color w:val="000000" w:themeColor="text1"/>
        </w:rPr>
        <w:t>4.1 Introduction</w:t>
      </w:r>
    </w:p>
    <w:p w14:paraId="3D9ED72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Findings and analysis section has used a thematic analysis method in order to interpret the interview data using themes based on the interview questions. Thematic analysis is going to highlight the results in a strategic manner so that learners can easily understand the research context. Effectiveness of cross-cultural human management in multinational corporations and strategic initiatives of management teams to sustain their competitiveness. This section analyses the outcomes of interview questions in an effective way, and the conclusion action will be drawn based on this section. </w:t>
      </w:r>
    </w:p>
    <w:p w14:paraId="11B11371" w14:textId="77777777" w:rsidR="00C742A9" w:rsidRPr="00C372E4" w:rsidRDefault="00C742A9" w:rsidP="00C742A9">
      <w:pPr>
        <w:pStyle w:val="Heading2"/>
        <w:rPr>
          <w:color w:val="000000" w:themeColor="text1"/>
        </w:rPr>
      </w:pPr>
      <w:bookmarkStart w:id="40" w:name="_isp2ttllm2gm" w:colFirst="0" w:colLast="0"/>
      <w:bookmarkEnd w:id="40"/>
      <w:r w:rsidRPr="00C372E4">
        <w:rPr>
          <w:color w:val="000000" w:themeColor="text1"/>
        </w:rPr>
        <w:t xml:space="preserve">4.2 Thematic analysis </w:t>
      </w:r>
    </w:p>
    <w:p w14:paraId="51439DD5"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1: CCHRM  is necessary in MNCs</w:t>
      </w:r>
    </w:p>
    <w:p w14:paraId="2A0ACEA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Joint ventures, collaborations and cross-culture differences have repeatedly been cited as the most crucial factors in relation to overseas initiatives. Most managers acknowledge that a diverse workforce benefits employers (Duggan et al., 2019). Additionally,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has a strong tendency to diversify its project teams. Understanding many value systems is frequently required when blending cultures, providing an advantage in the corporate sector.</w:t>
      </w:r>
    </w:p>
    <w:p w14:paraId="7BA74B3C"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“Employing managers and staff sensitive to and conscious of cultural differences can easily turn obstacles into opportunities, leading to innovation. Additionally, it assists businesses to compete in global marketplaces. MNCs must interact with stakeholders across borders, which inevitably presents the difficulty of cross-cultural cooperation. That's why CCHRM is necessary for MNCs.”</w:t>
      </w:r>
    </w:p>
    <w:p w14:paraId="5BFE4A2F" w14:textId="77777777" w:rsidR="00C742A9" w:rsidRPr="00C372E4" w:rsidRDefault="00C742A9" w:rsidP="00C742A9">
      <w:pPr>
        <w:pStyle w:val="Normal1"/>
        <w:spacing w:line="360" w:lineRule="auto"/>
        <w:jc w:val="both"/>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color w:val="000000" w:themeColor="text1"/>
          <w:sz w:val="24"/>
          <w:szCs w:val="24"/>
        </w:rPr>
        <w:t xml:space="preserve">Recruitment, communication, development,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relations, training and performance evaluations are the main strategic focuses of CCHRM on MNCs (Pudelko and Tenzer, 2023). HR policies adopted by the various CCHRM functions. A particular form of CCHRM is required depending on the need for </w:t>
      </w:r>
      <w:proofErr w:type="spellStart"/>
      <w:r w:rsidRPr="00C372E4">
        <w:rPr>
          <w:rFonts w:ascii="Times New Roman" w:eastAsia="Times New Roman" w:hAnsi="Times New Roman" w:cs="Times New Roman"/>
          <w:color w:val="000000" w:themeColor="text1"/>
          <w:sz w:val="24"/>
          <w:szCs w:val="24"/>
        </w:rPr>
        <w:t>standardisation</w:t>
      </w:r>
      <w:proofErr w:type="spellEnd"/>
      <w:r w:rsidRPr="00C372E4">
        <w:rPr>
          <w:rFonts w:ascii="Times New Roman" w:eastAsia="Times New Roman" w:hAnsi="Times New Roman" w:cs="Times New Roman"/>
          <w:color w:val="000000" w:themeColor="text1"/>
          <w:sz w:val="24"/>
          <w:szCs w:val="24"/>
        </w:rPr>
        <w:t xml:space="preserve"> or </w:t>
      </w:r>
      <w:proofErr w:type="spellStart"/>
      <w:r w:rsidRPr="00C372E4">
        <w:rPr>
          <w:rFonts w:ascii="Times New Roman" w:eastAsia="Times New Roman" w:hAnsi="Times New Roman" w:cs="Times New Roman"/>
          <w:color w:val="000000" w:themeColor="text1"/>
          <w:sz w:val="24"/>
          <w:szCs w:val="24"/>
        </w:rPr>
        <w:t>customisations</w:t>
      </w:r>
      <w:proofErr w:type="spellEnd"/>
      <w:r w:rsidRPr="00C372E4">
        <w:rPr>
          <w:rFonts w:ascii="Times New Roman" w:eastAsia="Times New Roman" w:hAnsi="Times New Roman" w:cs="Times New Roman"/>
          <w:color w:val="000000" w:themeColor="text1"/>
          <w:sz w:val="24"/>
          <w:szCs w:val="24"/>
        </w:rPr>
        <w:t xml:space="preserve">. It is more challenging to manage HR abroad than at home because of the stark differences between headquarters and subsidiaries.  </w:t>
      </w:r>
    </w:p>
    <w:p w14:paraId="4570E3FC"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“Most essential element of CCHRM is staffing. The recruiting practices of MNCs are influenced by their </w:t>
      </w:r>
      <w:proofErr w:type="spellStart"/>
      <w:r w:rsidRPr="00C372E4">
        <w:rPr>
          <w:rFonts w:ascii="Times New Roman" w:eastAsia="Times New Roman" w:hAnsi="Times New Roman" w:cs="Times New Roman"/>
          <w:i/>
          <w:color w:val="000000" w:themeColor="text1"/>
          <w:sz w:val="24"/>
          <w:szCs w:val="24"/>
        </w:rPr>
        <w:t>globalisation</w:t>
      </w:r>
      <w:proofErr w:type="spellEnd"/>
      <w:r w:rsidRPr="00C372E4">
        <w:rPr>
          <w:rFonts w:ascii="Times New Roman" w:eastAsia="Times New Roman" w:hAnsi="Times New Roman" w:cs="Times New Roman"/>
          <w:i/>
          <w:color w:val="000000" w:themeColor="text1"/>
          <w:sz w:val="24"/>
          <w:szCs w:val="24"/>
        </w:rPr>
        <w:t xml:space="preserve"> strategy. MNCs with an ethnocentric strategy fill all top management positions with nationals of their home countries to ensure that home country practices are replicated in subsidiaries.” </w:t>
      </w:r>
    </w:p>
    <w:p w14:paraId="16E71E8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Effectiveness of any corporation and how much more of an effect it has on enterprises worldwide. This condition is thought to exist because cultural differences directly affect project success or failure (Vogelsang and Pilz, 2020). Therefore, it was deemed essential to ascertain how different cultures affected foreign firms. To achieve the highest level of </w:t>
      </w:r>
      <w:proofErr w:type="spellStart"/>
      <w:r w:rsidRPr="00C372E4">
        <w:rPr>
          <w:rFonts w:ascii="Times New Roman" w:eastAsia="Times New Roman" w:hAnsi="Times New Roman" w:cs="Times New Roman"/>
          <w:color w:val="000000" w:themeColor="text1"/>
          <w:sz w:val="24"/>
          <w:szCs w:val="24"/>
        </w:rPr>
        <w:t>localisation</w:t>
      </w:r>
      <w:proofErr w:type="spellEnd"/>
      <w:r w:rsidRPr="00C372E4">
        <w:rPr>
          <w:rFonts w:ascii="Times New Roman" w:eastAsia="Times New Roman" w:hAnsi="Times New Roman" w:cs="Times New Roman"/>
          <w:color w:val="000000" w:themeColor="text1"/>
          <w:sz w:val="24"/>
          <w:szCs w:val="24"/>
        </w:rPr>
        <w:t xml:space="preserve">, businesses that adopt a polycentric approach to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hire locals for all senior management positions.</w:t>
      </w:r>
    </w:p>
    <w:p w14:paraId="3B89FA2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Developing a person's abilities and attitudes leads to personal growth and self-</w:t>
      </w:r>
      <w:proofErr w:type="spellStart"/>
      <w:r w:rsidRPr="00C372E4">
        <w:rPr>
          <w:rFonts w:ascii="Times New Roman" w:eastAsia="Times New Roman" w:hAnsi="Times New Roman" w:cs="Times New Roman"/>
          <w:color w:val="000000" w:themeColor="text1"/>
          <w:sz w:val="24"/>
          <w:szCs w:val="24"/>
        </w:rPr>
        <w:t>actualisation</w:t>
      </w:r>
      <w:proofErr w:type="spellEnd"/>
      <w:r w:rsidRPr="00C372E4">
        <w:rPr>
          <w:rFonts w:ascii="Times New Roman" w:eastAsia="Times New Roman" w:hAnsi="Times New Roman" w:cs="Times New Roman"/>
          <w:color w:val="000000" w:themeColor="text1"/>
          <w:sz w:val="24"/>
          <w:szCs w:val="24"/>
        </w:rPr>
        <w:t xml:space="preserve">, enabling them to support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objectives. The phrase HRM refers to all managerial actions taken to ensure that a company's human resources are developed, hired, screened and used to their total capacity (</w:t>
      </w:r>
      <w:proofErr w:type="spellStart"/>
      <w:r w:rsidRPr="00C372E4">
        <w:rPr>
          <w:rFonts w:ascii="Times New Roman" w:eastAsia="Times New Roman" w:hAnsi="Times New Roman" w:cs="Times New Roman"/>
          <w:color w:val="000000" w:themeColor="text1"/>
          <w:sz w:val="24"/>
          <w:szCs w:val="24"/>
        </w:rPr>
        <w:t>Nawangsari</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Sutawidjaya</w:t>
      </w:r>
      <w:proofErr w:type="spellEnd"/>
      <w:r w:rsidRPr="00C372E4">
        <w:rPr>
          <w:rFonts w:ascii="Times New Roman" w:eastAsia="Times New Roman" w:hAnsi="Times New Roman" w:cs="Times New Roman"/>
          <w:color w:val="000000" w:themeColor="text1"/>
          <w:sz w:val="24"/>
          <w:szCs w:val="24"/>
        </w:rPr>
        <w:t xml:space="preserve">, 2019). Comparative advantages and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success are greatly influenced by the effective management of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human resources and the important contribution of CCHRM techniques.</w:t>
      </w:r>
    </w:p>
    <w:p w14:paraId="374F7CD8"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“Effectively </w:t>
      </w:r>
      <w:proofErr w:type="spellStart"/>
      <w:r w:rsidRPr="00C372E4">
        <w:rPr>
          <w:rFonts w:ascii="Times New Roman" w:eastAsia="Times New Roman" w:hAnsi="Times New Roman" w:cs="Times New Roman"/>
          <w:i/>
          <w:color w:val="000000" w:themeColor="text1"/>
          <w:sz w:val="24"/>
          <w:szCs w:val="24"/>
        </w:rPr>
        <w:t>utilising</w:t>
      </w:r>
      <w:proofErr w:type="spellEnd"/>
      <w:r w:rsidRPr="00C372E4">
        <w:rPr>
          <w:rFonts w:ascii="Times New Roman" w:eastAsia="Times New Roman" w:hAnsi="Times New Roman" w:cs="Times New Roman"/>
          <w:i/>
          <w:color w:val="000000" w:themeColor="text1"/>
          <w:sz w:val="24"/>
          <w:szCs w:val="24"/>
        </w:rPr>
        <w:t xml:space="preserve"> cross-cultural teams can increase an </w:t>
      </w:r>
      <w:proofErr w:type="spellStart"/>
      <w:r w:rsidRPr="00C372E4">
        <w:rPr>
          <w:rFonts w:ascii="Times New Roman" w:eastAsia="Times New Roman" w:hAnsi="Times New Roman" w:cs="Times New Roman"/>
          <w:i/>
          <w:color w:val="000000" w:themeColor="text1"/>
          <w:sz w:val="24"/>
          <w:szCs w:val="24"/>
        </w:rPr>
        <w:t>organisation's</w:t>
      </w:r>
      <w:proofErr w:type="spellEnd"/>
      <w:r w:rsidRPr="00C372E4">
        <w:rPr>
          <w:rFonts w:ascii="Times New Roman" w:eastAsia="Times New Roman" w:hAnsi="Times New Roman" w:cs="Times New Roman"/>
          <w:i/>
          <w:color w:val="000000" w:themeColor="text1"/>
          <w:sz w:val="24"/>
          <w:szCs w:val="24"/>
        </w:rPr>
        <w:t xml:space="preserve"> capacity for competition by fostering innovative thinking and sharing experiences.” </w:t>
      </w:r>
    </w:p>
    <w:p w14:paraId="7F7544E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However, cultural differences can frequently prevent projects from being properly completed in today's multicultural, transnational corporate sector. To fulfil project goals and avoid cultural misunderstandings, project managers should consider cultural variations and promote motivation and innovation among their staff (Khan, 2022). It is crucial to remember that professional cultures develop through </w:t>
      </w:r>
      <w:proofErr w:type="spellStart"/>
      <w:r w:rsidRPr="00C372E4">
        <w:rPr>
          <w:rFonts w:ascii="Times New Roman" w:eastAsia="Times New Roman" w:hAnsi="Times New Roman" w:cs="Times New Roman"/>
          <w:color w:val="000000" w:themeColor="text1"/>
          <w:sz w:val="24"/>
          <w:szCs w:val="24"/>
        </w:rPr>
        <w:t>socialisation</w:t>
      </w:r>
      <w:proofErr w:type="spellEnd"/>
      <w:r w:rsidRPr="00C372E4">
        <w:rPr>
          <w:rFonts w:ascii="Times New Roman" w:eastAsia="Times New Roman" w:hAnsi="Times New Roman" w:cs="Times New Roman"/>
          <w:color w:val="000000" w:themeColor="text1"/>
          <w:sz w:val="24"/>
          <w:szCs w:val="24"/>
        </w:rPr>
        <w:t xml:space="preserve"> during training and occupational education. The individuals' professional relationships and experiences improve </w:t>
      </w:r>
      <w:proofErr w:type="spellStart"/>
      <w:r w:rsidRPr="00C372E4">
        <w:rPr>
          <w:rFonts w:ascii="Times New Roman" w:eastAsia="Times New Roman" w:hAnsi="Times New Roman" w:cs="Times New Roman"/>
          <w:color w:val="000000" w:themeColor="text1"/>
          <w:sz w:val="24"/>
          <w:szCs w:val="24"/>
        </w:rPr>
        <w:t>socialisation</w:t>
      </w:r>
      <w:proofErr w:type="spellEnd"/>
      <w:r w:rsidRPr="00C372E4">
        <w:rPr>
          <w:rFonts w:ascii="Times New Roman" w:eastAsia="Times New Roman" w:hAnsi="Times New Roman" w:cs="Times New Roman"/>
          <w:color w:val="000000" w:themeColor="text1"/>
          <w:sz w:val="24"/>
          <w:szCs w:val="24"/>
        </w:rPr>
        <w:t xml:space="preserve"> by providing a broad understanding of how their work area should be performed. Professional cultures are formed as individuals uphold a common set of standards, ideas, and perspectives pertinent to their field of work. The interacting staff commonly encounters the most significant and visible cultural differences.</w:t>
      </w:r>
    </w:p>
    <w:p w14:paraId="50E15B56"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2: Impact of CCHRM on MNCs</w:t>
      </w:r>
    </w:p>
    <w:p w14:paraId="7079D12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Potential countries, and even parts within counties, that can potentially be MNC locations must compete with one another. Competition is one another. Competition is one of the main external pressures on nations in Western Europe. Conversely, MNCs are now forced by competition to provide consumers worldwide with a huge selection of high-quality and fairly priced items (</w:t>
      </w:r>
      <w:proofErr w:type="spellStart"/>
      <w:r w:rsidRPr="00C372E4">
        <w:rPr>
          <w:rFonts w:ascii="Times New Roman" w:eastAsia="Times New Roman" w:hAnsi="Times New Roman" w:cs="Times New Roman"/>
          <w:color w:val="000000" w:themeColor="text1"/>
          <w:sz w:val="24"/>
          <w:szCs w:val="24"/>
        </w:rPr>
        <w:t>Glazyrina</w:t>
      </w:r>
      <w:proofErr w:type="spellEnd"/>
      <w:r w:rsidRPr="00C372E4">
        <w:rPr>
          <w:rFonts w:ascii="Times New Roman" w:eastAsia="Times New Roman" w:hAnsi="Times New Roman" w:cs="Times New Roman"/>
          <w:color w:val="000000" w:themeColor="text1"/>
          <w:sz w:val="24"/>
          <w:szCs w:val="24"/>
        </w:rPr>
        <w:t>, 2020a). Delivers trade benefits that are advantageous for all parties and promotes international cooperation to manufacture commodities efficiently.</w:t>
      </w:r>
    </w:p>
    <w:p w14:paraId="0C5A8A83"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“MNC expansion has a negative impact on training and HRM procedures. MNCs that operate in different countries and institutional settings encounter a range of restrictions.” </w:t>
      </w:r>
    </w:p>
    <w:p w14:paraId="08806B1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The HRM practices at both the host and home institutions are significantly impacted by many of these institutional pressures, including R&amp;D and technical projects. Numerous data points point to the possibility that businesses in other economies respond differently to similar challenges.</w:t>
      </w:r>
    </w:p>
    <w:p w14:paraId="4198AD8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Economic, political, and social issues were some of the institution's foundational tenets. Thanks to these factors, businesses receive incentives for carrying out specific types of activity there. Firms function more efficiently if they get institutional support (Burke and Morley, 2022). HRM viewpoints on </w:t>
      </w:r>
      <w:proofErr w:type="spellStart"/>
      <w:r w:rsidRPr="00C372E4">
        <w:rPr>
          <w:rFonts w:ascii="Times New Roman" w:eastAsia="Times New Roman" w:hAnsi="Times New Roman" w:cs="Times New Roman"/>
          <w:color w:val="000000" w:themeColor="text1"/>
          <w:sz w:val="24"/>
          <w:szCs w:val="24"/>
        </w:rPr>
        <w:t>centralisation</w:t>
      </w:r>
      <w:proofErr w:type="spellEnd"/>
      <w:r w:rsidRPr="00C372E4">
        <w:rPr>
          <w:rFonts w:ascii="Times New Roman" w:eastAsia="Times New Roman" w:hAnsi="Times New Roman" w:cs="Times New Roman"/>
          <w:color w:val="000000" w:themeColor="text1"/>
          <w:sz w:val="24"/>
          <w:szCs w:val="24"/>
        </w:rPr>
        <w:t xml:space="preserve"> typically depend on how well-known systems support knowledge, skills, and information streams and how adaptable employees are to new systems. </w:t>
      </w:r>
    </w:p>
    <w:p w14:paraId="194667B8"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“The MNC may unquestionably improve its relationship with the parent firm by implementing parent company HRM procedures throughout all subsidiaries.” </w:t>
      </w:r>
    </w:p>
    <w:p w14:paraId="3D05B67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Cultural disparities are undoubtedly a major cause of conflict for MNCs. International management teams and human resources frequently deal with challenges ranging from the need to resolve minor cross-cultural communication concerns to more serious ones, such as the exploitation of a particular nation for corporate benefit (DeNisi et al., 2021). As a means of reducing some of the friction resulting from cultural differences in MNCs, diversity of culture and its impact on human resource policies have gained importance. </w:t>
      </w:r>
    </w:p>
    <w:p w14:paraId="1F36BF8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Institutional assistance helps businesses run more effectively. The degree to which well-known systems support knowledge, skill, and information streams and how amenable people are to new systems determines how HRM professionals feel about </w:t>
      </w:r>
      <w:proofErr w:type="spellStart"/>
      <w:r w:rsidRPr="00C372E4">
        <w:rPr>
          <w:rFonts w:ascii="Times New Roman" w:eastAsia="Times New Roman" w:hAnsi="Times New Roman" w:cs="Times New Roman"/>
          <w:color w:val="000000" w:themeColor="text1"/>
          <w:sz w:val="24"/>
          <w:szCs w:val="24"/>
        </w:rPr>
        <w:t>centralisation</w:t>
      </w:r>
      <w:proofErr w:type="spellEnd"/>
      <w:r w:rsidRPr="00C372E4">
        <w:rPr>
          <w:rFonts w:ascii="Times New Roman" w:eastAsia="Times New Roman" w:hAnsi="Times New Roman" w:cs="Times New Roman"/>
          <w:color w:val="000000" w:themeColor="text1"/>
          <w:sz w:val="24"/>
          <w:szCs w:val="24"/>
        </w:rPr>
        <w:t xml:space="preserve"> (Rashid, 2022). Consistent HR procedures may, therefore, make integration easier and improve business capabilities. Performance, training, and salary evaluation are some examples. Both recruitment.</w:t>
      </w:r>
    </w:p>
    <w:p w14:paraId="125EDAB7"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“The assumption that there is a linear relationship between specific CCHRM practices in an </w:t>
      </w:r>
      <w:proofErr w:type="spellStart"/>
      <w:r w:rsidRPr="00C372E4">
        <w:rPr>
          <w:rFonts w:ascii="Times New Roman" w:eastAsia="Times New Roman" w:hAnsi="Times New Roman" w:cs="Times New Roman"/>
          <w:i/>
          <w:color w:val="000000" w:themeColor="text1"/>
          <w:sz w:val="24"/>
          <w:szCs w:val="24"/>
        </w:rPr>
        <w:t>organisation</w:t>
      </w:r>
      <w:proofErr w:type="spellEnd"/>
      <w:r w:rsidRPr="00C372E4">
        <w:rPr>
          <w:rFonts w:ascii="Times New Roman" w:eastAsia="Times New Roman" w:hAnsi="Times New Roman" w:cs="Times New Roman"/>
          <w:i/>
          <w:color w:val="000000" w:themeColor="text1"/>
          <w:sz w:val="24"/>
          <w:szCs w:val="24"/>
        </w:rPr>
        <w:t xml:space="preserve"> is typically the foundation for investigating the link between HRM and various </w:t>
      </w:r>
      <w:proofErr w:type="spellStart"/>
      <w:r w:rsidRPr="00C372E4">
        <w:rPr>
          <w:rFonts w:ascii="Times New Roman" w:eastAsia="Times New Roman" w:hAnsi="Times New Roman" w:cs="Times New Roman"/>
          <w:i/>
          <w:color w:val="000000" w:themeColor="text1"/>
          <w:sz w:val="24"/>
          <w:szCs w:val="24"/>
        </w:rPr>
        <w:t>organisational</w:t>
      </w:r>
      <w:proofErr w:type="spellEnd"/>
      <w:r w:rsidRPr="00C372E4">
        <w:rPr>
          <w:rFonts w:ascii="Times New Roman" w:eastAsia="Times New Roman" w:hAnsi="Times New Roman" w:cs="Times New Roman"/>
          <w:i/>
          <w:color w:val="000000" w:themeColor="text1"/>
          <w:sz w:val="24"/>
          <w:szCs w:val="24"/>
        </w:rPr>
        <w:t xml:space="preserve"> performance indicators.”</w:t>
      </w:r>
    </w:p>
    <w:p w14:paraId="5BF9603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Regarding the outcomes of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performance, likewise, by </w:t>
      </w:r>
      <w:proofErr w:type="spellStart"/>
      <w:r w:rsidRPr="00C372E4">
        <w:rPr>
          <w:rFonts w:ascii="Times New Roman" w:eastAsia="Times New Roman" w:hAnsi="Times New Roman" w:cs="Times New Roman"/>
          <w:color w:val="000000" w:themeColor="text1"/>
          <w:sz w:val="24"/>
          <w:szCs w:val="24"/>
        </w:rPr>
        <w:t>recognising</w:t>
      </w:r>
      <w:proofErr w:type="spellEnd"/>
      <w:r w:rsidRPr="00C372E4">
        <w:rPr>
          <w:rFonts w:ascii="Times New Roman" w:eastAsia="Times New Roman" w:hAnsi="Times New Roman" w:cs="Times New Roman"/>
          <w:color w:val="000000" w:themeColor="text1"/>
          <w:sz w:val="24"/>
          <w:szCs w:val="24"/>
        </w:rPr>
        <w:t xml:space="preserve"> these dependencies, It is feasible to develop a theory regarding broad patterns in business conduct. CCHRM policies are often rigorous; research shows that boosting employee performance by one unit is comparable to a 40% pay raise (</w:t>
      </w:r>
      <w:proofErr w:type="spellStart"/>
      <w:r w:rsidRPr="00C372E4">
        <w:rPr>
          <w:rFonts w:ascii="Times New Roman" w:eastAsia="Times New Roman" w:hAnsi="Times New Roman" w:cs="Times New Roman"/>
          <w:color w:val="000000" w:themeColor="text1"/>
          <w:sz w:val="24"/>
          <w:szCs w:val="24"/>
        </w:rPr>
        <w:t>Nassoura</w:t>
      </w:r>
      <w:proofErr w:type="spellEnd"/>
      <w:r w:rsidRPr="00C372E4">
        <w:rPr>
          <w:rFonts w:ascii="Times New Roman" w:eastAsia="Times New Roman" w:hAnsi="Times New Roman" w:cs="Times New Roman"/>
          <w:color w:val="000000" w:themeColor="text1"/>
          <w:sz w:val="24"/>
          <w:szCs w:val="24"/>
        </w:rPr>
        <w:t xml:space="preserve"> and Hassan, 2021). The effect of CCHRM on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performance has been highlighted in these studies. The CCHRM impacts employee performance and outcomes in global businesses and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In other words, it appears that the influence of CCHRM has not been highlighted globally and much less from the aforementioned literature evaluation. The opposing presumption holds that there is no consistent, linear relationship between specific CCHRM practices in 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and the performance outcomes of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Thrassou</w:t>
      </w:r>
      <w:proofErr w:type="spellEnd"/>
      <w:r w:rsidRPr="00C372E4">
        <w:rPr>
          <w:rFonts w:ascii="Times New Roman" w:eastAsia="Times New Roman" w:hAnsi="Times New Roman" w:cs="Times New Roman"/>
          <w:color w:val="000000" w:themeColor="text1"/>
          <w:sz w:val="24"/>
          <w:szCs w:val="24"/>
        </w:rPr>
        <w:t xml:space="preserve"> et al., 2022). Because many situational factors, In a variety of situations, may either directly affect these two variables or mediate their correlations, it is necessary always to </w:t>
      </w:r>
      <w:proofErr w:type="spellStart"/>
      <w:r w:rsidRPr="00C372E4">
        <w:rPr>
          <w:rFonts w:ascii="Times New Roman" w:eastAsia="Times New Roman" w:hAnsi="Times New Roman" w:cs="Times New Roman"/>
          <w:color w:val="000000" w:themeColor="text1"/>
          <w:sz w:val="24"/>
          <w:szCs w:val="24"/>
        </w:rPr>
        <w:t>analyse</w:t>
      </w:r>
      <w:proofErr w:type="spellEnd"/>
      <w:r w:rsidRPr="00C372E4">
        <w:rPr>
          <w:rFonts w:ascii="Times New Roman" w:eastAsia="Times New Roman" w:hAnsi="Times New Roman" w:cs="Times New Roman"/>
          <w:color w:val="000000" w:themeColor="text1"/>
          <w:sz w:val="24"/>
          <w:szCs w:val="24"/>
        </w:rPr>
        <w:t xml:space="preserve"> the relationship in a specific contingent situation and context.</w:t>
      </w:r>
    </w:p>
    <w:p w14:paraId="08EC1D1C"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3: Challenges that arise in the workplace due to Cross-cultural differences</w:t>
      </w:r>
    </w:p>
    <w:p w14:paraId="65255E7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increasing involvement in the global economy has made managing across cultures more difficult. People from various ethnic backgrounds are compelled to coexist under one roof while holding various social standards since there are more global enterprises. </w:t>
      </w:r>
    </w:p>
    <w:p w14:paraId="65A5C3E9"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“Cross-cultural management is not an unavoidable reality that every manager must deal with as a result of the market’s underlying intellectual and technological inclinations. In today’s economy, the one-way , western-inspired management paradigm is intolerable. Techniques from both western and Asian culture traditions are used by the participants.”</w:t>
      </w:r>
    </w:p>
    <w:p w14:paraId="2359A2D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Unfortunately, even though many managers and specialists were able to call out the outdated methods, they were unable to come up with a workable remedy. The goal of this study is to identify the main difficulties MNCs encounter while managing cross-cultural teams and to make a solid suggestion for how to address those difficulties (Caligiuri et al., 2020). Many nations have welcomed multinational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into their territories in an effort to develop an industrial status and obtain a competitive edge. One of them is Malaysia. There is a rise in the demand for knowledge with the influx of these businesses. The nation then imports expatriates to provide skilled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Additionally, foreign nationals provide skilled </w:t>
      </w:r>
      <w:proofErr w:type="spellStart"/>
      <w:r w:rsidRPr="00C372E4">
        <w:rPr>
          <w:rFonts w:ascii="Times New Roman" w:eastAsia="Times New Roman" w:hAnsi="Times New Roman" w:cs="Times New Roman"/>
          <w:color w:val="000000" w:themeColor="text1"/>
          <w:sz w:val="24"/>
          <w:szCs w:val="24"/>
        </w:rPr>
        <w:t>labour</w:t>
      </w:r>
      <w:proofErr w:type="spellEnd"/>
      <w:r w:rsidRPr="00C372E4">
        <w:rPr>
          <w:rFonts w:ascii="Times New Roman" w:eastAsia="Times New Roman" w:hAnsi="Times New Roman" w:cs="Times New Roman"/>
          <w:color w:val="000000" w:themeColor="text1"/>
          <w:sz w:val="24"/>
          <w:szCs w:val="24"/>
        </w:rPr>
        <w:t xml:space="preserve"> in a variety of production areas.</w:t>
      </w:r>
    </w:p>
    <w:p w14:paraId="40C8690C"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“pursuing national competitive advantage, businesses from wealthy nations like the United States relocate their headquarters to underdeveloped countries to reduce operating costs. This clearly shows that people from other cultures will be forced to move to existing locations, increasing the variety of the workplace. It is consequently predicted that there would be more instances of cultural issues as the world continues to move toward </w:t>
      </w:r>
      <w:proofErr w:type="spellStart"/>
      <w:r w:rsidRPr="00C372E4">
        <w:rPr>
          <w:rFonts w:ascii="Times New Roman" w:eastAsia="Times New Roman" w:hAnsi="Times New Roman" w:cs="Times New Roman"/>
          <w:i/>
          <w:color w:val="000000" w:themeColor="text1"/>
          <w:sz w:val="24"/>
          <w:szCs w:val="24"/>
        </w:rPr>
        <w:t>globalisation</w:t>
      </w:r>
      <w:proofErr w:type="spellEnd"/>
      <w:r w:rsidRPr="00C372E4">
        <w:rPr>
          <w:rFonts w:ascii="Times New Roman" w:eastAsia="Times New Roman" w:hAnsi="Times New Roman" w:cs="Times New Roman"/>
          <w:i/>
          <w:color w:val="000000" w:themeColor="text1"/>
          <w:sz w:val="24"/>
          <w:szCs w:val="24"/>
        </w:rPr>
        <w:t>.”</w:t>
      </w:r>
    </w:p>
    <w:p w14:paraId="6372B6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 It is not easy to develop an ethical culture because of the cultural diversity inside MNCs. Shakespeare makes it abundantly evident in his explanation of ethics that there is nothing that can be categorically </w:t>
      </w:r>
      <w:proofErr w:type="spellStart"/>
      <w:r w:rsidRPr="00C372E4">
        <w:rPr>
          <w:rFonts w:ascii="Times New Roman" w:eastAsia="Times New Roman" w:hAnsi="Times New Roman" w:cs="Times New Roman"/>
          <w:color w:val="000000" w:themeColor="text1"/>
          <w:sz w:val="24"/>
          <w:szCs w:val="24"/>
        </w:rPr>
        <w:t>categorised</w:t>
      </w:r>
      <w:proofErr w:type="spellEnd"/>
      <w:r w:rsidRPr="00C372E4">
        <w:rPr>
          <w:rFonts w:ascii="Times New Roman" w:eastAsia="Times New Roman" w:hAnsi="Times New Roman" w:cs="Times New Roman"/>
          <w:color w:val="000000" w:themeColor="text1"/>
          <w:sz w:val="24"/>
          <w:szCs w:val="24"/>
        </w:rPr>
        <w:t xml:space="preserve"> as good or wicked. However, what gives it the attribute of excellent or terrible is the created thinking of the individual. On the other hand, different cultures support various norms, leading to variations in good or evil. This presents a major challenge to MNCs. While MNCs employ people from various cultures, smaller businesses and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typically rely mostly on workers from a more or less similar culture (Dobrin, 2021). The difficulty arises from the fact that an activity may be good in one culture while being bad in another, making it difficult to define what is good and bad. This forces management to devise a strategy for accommodating all of these cultures so that they can collaborate for the benefit of the business. </w:t>
      </w:r>
    </w:p>
    <w:p w14:paraId="42D0D8E5"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“A universal and relative ethical standard must be developed so that varied cultural perspectives are not entirely </w:t>
      </w:r>
      <w:proofErr w:type="spellStart"/>
      <w:r w:rsidRPr="00C372E4">
        <w:rPr>
          <w:rFonts w:ascii="Times New Roman" w:eastAsia="Times New Roman" w:hAnsi="Times New Roman" w:cs="Times New Roman"/>
          <w:i/>
          <w:color w:val="000000" w:themeColor="text1"/>
          <w:sz w:val="24"/>
          <w:szCs w:val="24"/>
        </w:rPr>
        <w:t>disregarded.This</w:t>
      </w:r>
      <w:proofErr w:type="spellEnd"/>
      <w:r w:rsidRPr="00C372E4">
        <w:rPr>
          <w:rFonts w:ascii="Times New Roman" w:eastAsia="Times New Roman" w:hAnsi="Times New Roman" w:cs="Times New Roman"/>
          <w:i/>
          <w:color w:val="000000" w:themeColor="text1"/>
          <w:sz w:val="24"/>
          <w:szCs w:val="24"/>
        </w:rPr>
        <w:t xml:space="preserve"> will help the business to successfully compete in the market. ” </w:t>
      </w:r>
    </w:p>
    <w:p w14:paraId="611D951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Another significant challenge to cultural diversity is gender relations. In a place with many different cultures, different workers could have different expectations for women. In some societies, it might be challenging for a woman to expect to assume a significant position in management. In nations where men predominate, like Malaysia, male employees may find it challenging to accept a female as the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head (</w:t>
      </w:r>
      <w:proofErr w:type="spellStart"/>
      <w:r w:rsidRPr="00C372E4">
        <w:rPr>
          <w:rFonts w:ascii="Times New Roman" w:eastAsia="Times New Roman" w:hAnsi="Times New Roman" w:cs="Times New Roman"/>
          <w:color w:val="000000" w:themeColor="text1"/>
          <w:sz w:val="24"/>
          <w:szCs w:val="24"/>
        </w:rPr>
        <w:t>Horak</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Suseno</w:t>
      </w:r>
      <w:proofErr w:type="spellEnd"/>
      <w:r w:rsidRPr="00C372E4">
        <w:rPr>
          <w:rFonts w:ascii="Times New Roman" w:eastAsia="Times New Roman" w:hAnsi="Times New Roman" w:cs="Times New Roman"/>
          <w:color w:val="000000" w:themeColor="text1"/>
          <w:sz w:val="24"/>
          <w:szCs w:val="24"/>
        </w:rPr>
        <w:t xml:space="preserve">, 2022). In Western countries, which strive toward equality, women and men can hold any post as long as their competence and educational attainment let it. As a result, managing a business that reflects two cultures creates significant difficulties. </w:t>
      </w:r>
    </w:p>
    <w:p w14:paraId="46ED93A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2345867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3D45650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2A42259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46A926D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6242D74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394A615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p>
    <w:p w14:paraId="7586160E"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p>
    <w:p w14:paraId="34091F28"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4: MNCs sustain their competitiveness without CCHRM</w:t>
      </w:r>
    </w:p>
    <w:p w14:paraId="5CFD15F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A MNC's HR department is managed by a CCHRM, who is also responsible for diversity and inclusion, employee relations, remuneration and benefits, and talent acquisitions. They are essential in ensuring that the MNC has the right personnel in the proper positions with the necessary training and expertise to meet its strategic objectives. MNCs must be able to draw in and keep the best talent from across the globe. To keep their staff motivated and productive, they must also be able to manage it well (Falletta and Combs, 2020). A CCHRM assists MNCs in achieving these objectives by creating and implementing HR strategies that align with the broader corporate aims.</w:t>
      </w:r>
    </w:p>
    <w:p w14:paraId="7440E67E"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“It is important to note that </w:t>
      </w:r>
      <w:proofErr w:type="spellStart"/>
      <w:r w:rsidRPr="00C372E4">
        <w:rPr>
          <w:rFonts w:ascii="Times New Roman" w:eastAsia="Times New Roman" w:hAnsi="Times New Roman" w:cs="Times New Roman"/>
          <w:i/>
          <w:color w:val="000000" w:themeColor="text1"/>
          <w:sz w:val="24"/>
          <w:szCs w:val="24"/>
        </w:rPr>
        <w:t>socialisation</w:t>
      </w:r>
      <w:proofErr w:type="spellEnd"/>
      <w:r w:rsidRPr="00C372E4">
        <w:rPr>
          <w:rFonts w:ascii="Times New Roman" w:eastAsia="Times New Roman" w:hAnsi="Times New Roman" w:cs="Times New Roman"/>
          <w:i/>
          <w:color w:val="000000" w:themeColor="text1"/>
          <w:sz w:val="24"/>
          <w:szCs w:val="24"/>
        </w:rPr>
        <w:t xml:space="preserve"> plays a role in developing professional cultures since it happens when people are in school and working. The people's professional connections and experiences strengthen </w:t>
      </w:r>
      <w:proofErr w:type="spellStart"/>
      <w:r w:rsidRPr="00C372E4">
        <w:rPr>
          <w:rFonts w:ascii="Times New Roman" w:eastAsia="Times New Roman" w:hAnsi="Times New Roman" w:cs="Times New Roman"/>
          <w:i/>
          <w:color w:val="000000" w:themeColor="text1"/>
          <w:sz w:val="24"/>
          <w:szCs w:val="24"/>
        </w:rPr>
        <w:t>socialisation</w:t>
      </w:r>
      <w:proofErr w:type="spellEnd"/>
      <w:r w:rsidRPr="00C372E4">
        <w:rPr>
          <w:rFonts w:ascii="Times New Roman" w:eastAsia="Times New Roman" w:hAnsi="Times New Roman" w:cs="Times New Roman"/>
          <w:i/>
          <w:color w:val="000000" w:themeColor="text1"/>
          <w:sz w:val="24"/>
          <w:szCs w:val="24"/>
        </w:rPr>
        <w:t xml:space="preserve"> by giving them a wide idea of how their work should be carried out. Additionally, Trice and Beyer concluded that professional cultures develop as people share a set of standards, ideals, and viewpoints relevant to their line of work.”</w:t>
      </w:r>
    </w:p>
    <w:p w14:paraId="78D7655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Professional cultural differences are the most disruptive to the alliance's ability to successfully complete its major value-creating activities because they are frequently the most significant and salient cultural differences in the interacting worker's experience (Han et al., 2019). To prevent cultural factors from adversely affecting operations and the motivation of personnel to achieve goals,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and commercial enterprises </w:t>
      </w:r>
      <w:proofErr w:type="spellStart"/>
      <w:r w:rsidRPr="00C372E4">
        <w:rPr>
          <w:rFonts w:ascii="Times New Roman" w:eastAsia="Times New Roman" w:hAnsi="Times New Roman" w:cs="Times New Roman"/>
          <w:color w:val="000000" w:themeColor="text1"/>
          <w:sz w:val="24"/>
          <w:szCs w:val="24"/>
        </w:rPr>
        <w:t>utilise</w:t>
      </w:r>
      <w:proofErr w:type="spellEnd"/>
      <w:r w:rsidRPr="00C372E4">
        <w:rPr>
          <w:rFonts w:ascii="Times New Roman" w:eastAsia="Times New Roman" w:hAnsi="Times New Roman" w:cs="Times New Roman"/>
          <w:color w:val="000000" w:themeColor="text1"/>
          <w:sz w:val="24"/>
          <w:szCs w:val="24"/>
        </w:rPr>
        <w:t xml:space="preserve"> training and other induction tactics.</w:t>
      </w:r>
    </w:p>
    <w:p w14:paraId="7A576DE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Culture considerably influences any company’s success, and this impact is more pronounced when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is multinational. This situation exists because cultural variances can significantly affect a project’s likelihood of success or failure (Mohammed, 2019). It was therefore thought crucial to determine how various cultural influences affect multinational commercial enterprises using Rwanda as a proxy.</w:t>
      </w:r>
    </w:p>
    <w:p w14:paraId="07212DA3"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“The others hire from the outside, which may be the professional </w:t>
      </w:r>
      <w:proofErr w:type="spellStart"/>
      <w:r w:rsidRPr="00C372E4">
        <w:rPr>
          <w:rFonts w:ascii="Times New Roman" w:eastAsia="Times New Roman" w:hAnsi="Times New Roman" w:cs="Times New Roman"/>
          <w:i/>
          <w:color w:val="000000" w:themeColor="text1"/>
          <w:sz w:val="24"/>
          <w:szCs w:val="24"/>
        </w:rPr>
        <w:t>labour</w:t>
      </w:r>
      <w:proofErr w:type="spellEnd"/>
      <w:r w:rsidRPr="00C372E4">
        <w:rPr>
          <w:rFonts w:ascii="Times New Roman" w:eastAsia="Times New Roman" w:hAnsi="Times New Roman" w:cs="Times New Roman"/>
          <w:i/>
          <w:color w:val="000000" w:themeColor="text1"/>
          <w:sz w:val="24"/>
          <w:szCs w:val="24"/>
        </w:rPr>
        <w:t xml:space="preserve"> market. Creatine MNCs want to train and develop their personnel before giving them specific international jobs abroad. An MNC’s training and development </w:t>
      </w:r>
      <w:proofErr w:type="spellStart"/>
      <w:r w:rsidRPr="00C372E4">
        <w:rPr>
          <w:rFonts w:ascii="Times New Roman" w:eastAsia="Times New Roman" w:hAnsi="Times New Roman" w:cs="Times New Roman"/>
          <w:i/>
          <w:color w:val="000000" w:themeColor="text1"/>
          <w:sz w:val="24"/>
          <w:szCs w:val="24"/>
        </w:rPr>
        <w:t>programme</w:t>
      </w:r>
      <w:proofErr w:type="spellEnd"/>
      <w:r w:rsidRPr="00C372E4">
        <w:rPr>
          <w:rFonts w:ascii="Times New Roman" w:eastAsia="Times New Roman" w:hAnsi="Times New Roman" w:cs="Times New Roman"/>
          <w:i/>
          <w:color w:val="000000" w:themeColor="text1"/>
          <w:sz w:val="24"/>
          <w:szCs w:val="24"/>
        </w:rPr>
        <w:t xml:space="preserve"> faces a bigger difficulty once it has </w:t>
      </w:r>
      <w:proofErr w:type="spellStart"/>
      <w:r w:rsidRPr="00C372E4">
        <w:rPr>
          <w:rFonts w:ascii="Times New Roman" w:eastAsia="Times New Roman" w:hAnsi="Times New Roman" w:cs="Times New Roman"/>
          <w:i/>
          <w:color w:val="000000" w:themeColor="text1"/>
          <w:sz w:val="24"/>
          <w:szCs w:val="24"/>
        </w:rPr>
        <w:t>internationalised</w:t>
      </w:r>
      <w:proofErr w:type="spellEnd"/>
      <w:r w:rsidRPr="00C372E4">
        <w:rPr>
          <w:rFonts w:ascii="Times New Roman" w:eastAsia="Times New Roman" w:hAnsi="Times New Roman" w:cs="Times New Roman"/>
          <w:i/>
          <w:color w:val="000000" w:themeColor="text1"/>
          <w:sz w:val="24"/>
          <w:szCs w:val="24"/>
        </w:rPr>
        <w:t xml:space="preserve"> because of the involvement of numerous, worldwide.”</w:t>
      </w:r>
    </w:p>
    <w:p w14:paraId="1EE0888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There is a high possibility of encountering many cultural variances in a global setting with a diversified workforce and workers that use various communication philosophies affected by their own cultures. The first significant problem is a result of the language barrier, negative stereotypes, and </w:t>
      </w:r>
      <w:proofErr w:type="spellStart"/>
      <w:r w:rsidRPr="00C372E4">
        <w:rPr>
          <w:rFonts w:ascii="Times New Roman" w:eastAsia="Times New Roman" w:hAnsi="Times New Roman" w:cs="Times New Roman"/>
          <w:color w:val="000000" w:themeColor="text1"/>
          <w:sz w:val="24"/>
          <w:szCs w:val="24"/>
        </w:rPr>
        <w:t>behavioural</w:t>
      </w:r>
      <w:proofErr w:type="spellEnd"/>
      <w:r w:rsidRPr="00C372E4">
        <w:rPr>
          <w:rFonts w:ascii="Times New Roman" w:eastAsia="Times New Roman" w:hAnsi="Times New Roman" w:cs="Times New Roman"/>
          <w:color w:val="000000" w:themeColor="text1"/>
          <w:sz w:val="24"/>
          <w:szCs w:val="24"/>
        </w:rPr>
        <w:t xml:space="preserve"> differences, and it has to do with the diverse communication methods (Sawicka et al., 2022). Engaging in communication with persons who speak various languages leads to emotional imbalances. Cultural intelligence is now essential for globally competitive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Employees with greater levels of CQ aid in bridging gaps caused by cultural differences. They can effectively manage multicultural workforces, build good interpersonal relationships via effective communication, and educate their colleagues about cultural differences.</w:t>
      </w:r>
    </w:p>
    <w:p w14:paraId="26E2735E"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5: Role of Democratic leadership theory in managing cross-cultural diversity</w:t>
      </w:r>
    </w:p>
    <w:p w14:paraId="5870AC3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Cross-functional terms benefit from a democratic leadership approach, including greater motivation and engagement, creativity and invention, and cooperation and communication. Team members are more likely to be motivated and involved in their jobs and report feeling appreciated and respected for their contributions, which raises morale and satisfaction (</w:t>
      </w:r>
      <w:proofErr w:type="spellStart"/>
      <w:r w:rsidRPr="00C372E4">
        <w:rPr>
          <w:rFonts w:ascii="Times New Roman" w:eastAsia="Times New Roman" w:hAnsi="Times New Roman" w:cs="Times New Roman"/>
          <w:color w:val="000000" w:themeColor="text1"/>
          <w:sz w:val="24"/>
          <w:szCs w:val="24"/>
        </w:rPr>
        <w:t>Sertel</w:t>
      </w:r>
      <w:proofErr w:type="spellEnd"/>
      <w:r w:rsidRPr="00C372E4">
        <w:rPr>
          <w:rFonts w:ascii="Times New Roman" w:eastAsia="Times New Roman" w:hAnsi="Times New Roman" w:cs="Times New Roman"/>
          <w:color w:val="000000" w:themeColor="text1"/>
          <w:sz w:val="24"/>
          <w:szCs w:val="24"/>
        </w:rPr>
        <w:t xml:space="preserve">, </w:t>
      </w:r>
      <w:proofErr w:type="spellStart"/>
      <w:r w:rsidRPr="00C372E4">
        <w:rPr>
          <w:rFonts w:ascii="Times New Roman" w:eastAsia="Times New Roman" w:hAnsi="Times New Roman" w:cs="Times New Roman"/>
          <w:color w:val="000000" w:themeColor="text1"/>
          <w:sz w:val="24"/>
          <w:szCs w:val="24"/>
        </w:rPr>
        <w:t>Karadag</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Ergin-Kocatürk</w:t>
      </w:r>
      <w:proofErr w:type="spellEnd"/>
      <w:r w:rsidRPr="00C372E4">
        <w:rPr>
          <w:rFonts w:ascii="Times New Roman" w:eastAsia="Times New Roman" w:hAnsi="Times New Roman" w:cs="Times New Roman"/>
          <w:color w:val="000000" w:themeColor="text1"/>
          <w:sz w:val="24"/>
          <w:szCs w:val="24"/>
        </w:rPr>
        <w:t xml:space="preserve">, 2022). </w:t>
      </w:r>
    </w:p>
    <w:p w14:paraId="758AEC34" w14:textId="77777777" w:rsidR="00C742A9" w:rsidRPr="00C372E4" w:rsidRDefault="00C742A9" w:rsidP="00C742A9">
      <w:pPr>
        <w:pStyle w:val="Normal1"/>
        <w:spacing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i/>
          <w:color w:val="000000" w:themeColor="text1"/>
          <w:sz w:val="24"/>
          <w:szCs w:val="24"/>
        </w:rPr>
        <w:t>“The democratic leadership does not have a one-size-fits-all strategy; the leader must adapt their level of engagement and influence based on the situation and the desired outcome. One must evaluate the problem and the team, explain expectations and goals, support the team's decision-making process, and acknowledge and appreciate the team's efforts. Consider the task's significance, complexity, and urgency while evaluating the scenario and the team members' abilities, backgrounds, and preferences.”</w:t>
      </w:r>
    </w:p>
    <w:p w14:paraId="6D94724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Peers sharing information, fostering more dynamic ideas and improving team understanding are critical components of democratic leadership. Democratic leadership approaches increase employee engagement and sense of worth, which improves work satisfaction (Wang and </w:t>
      </w:r>
      <w:proofErr w:type="spellStart"/>
      <w:r w:rsidRPr="00C372E4">
        <w:rPr>
          <w:rFonts w:ascii="Times New Roman" w:eastAsia="Times New Roman" w:hAnsi="Times New Roman" w:cs="Times New Roman"/>
          <w:color w:val="000000" w:themeColor="text1"/>
          <w:sz w:val="24"/>
          <w:szCs w:val="24"/>
        </w:rPr>
        <w:t>Fränti</w:t>
      </w:r>
      <w:proofErr w:type="spellEnd"/>
      <w:r w:rsidRPr="00C372E4">
        <w:rPr>
          <w:rFonts w:ascii="Times New Roman" w:eastAsia="Times New Roman" w:hAnsi="Times New Roman" w:cs="Times New Roman"/>
          <w:color w:val="000000" w:themeColor="text1"/>
          <w:sz w:val="24"/>
          <w:szCs w:val="24"/>
        </w:rPr>
        <w:t xml:space="preserve">, 2022). </w:t>
      </w:r>
      <w:proofErr w:type="spellStart"/>
      <w:r w:rsidRPr="00C372E4">
        <w:rPr>
          <w:rFonts w:ascii="Times New Roman" w:eastAsia="Times New Roman" w:hAnsi="Times New Roman" w:cs="Times New Roman"/>
          <w:color w:val="000000" w:themeColor="text1"/>
          <w:sz w:val="24"/>
          <w:szCs w:val="24"/>
        </w:rPr>
        <w:t>Organisations</w:t>
      </w:r>
      <w:proofErr w:type="spellEnd"/>
      <w:r w:rsidRPr="00C372E4">
        <w:rPr>
          <w:rFonts w:ascii="Times New Roman" w:eastAsia="Times New Roman" w:hAnsi="Times New Roman" w:cs="Times New Roman"/>
          <w:color w:val="000000" w:themeColor="text1"/>
          <w:sz w:val="24"/>
          <w:szCs w:val="24"/>
        </w:rPr>
        <w:t xml:space="preserve"> with common leadership styles can save money by avoiding high turnover rates. </w:t>
      </w:r>
    </w:p>
    <w:p w14:paraId="72F0596A"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“Rule-making authorities want their regulations to be strictly adhered to. Employees in western nations like the UK have a sense of their independence. Leaders keep their distance from their workers. They typically don’t support their workers and don’t tolerate failure. In these individualistic societies, leaders </w:t>
      </w:r>
      <w:proofErr w:type="spellStart"/>
      <w:r w:rsidRPr="00C372E4">
        <w:rPr>
          <w:rFonts w:ascii="Times New Roman" w:eastAsia="Times New Roman" w:hAnsi="Times New Roman" w:cs="Times New Roman"/>
          <w:i/>
          <w:color w:val="000000" w:themeColor="text1"/>
          <w:sz w:val="24"/>
          <w:szCs w:val="24"/>
        </w:rPr>
        <w:t>favour</w:t>
      </w:r>
      <w:proofErr w:type="spellEnd"/>
      <w:r w:rsidRPr="00C372E4">
        <w:rPr>
          <w:rFonts w:ascii="Times New Roman" w:eastAsia="Times New Roman" w:hAnsi="Times New Roman" w:cs="Times New Roman"/>
          <w:i/>
          <w:color w:val="000000" w:themeColor="text1"/>
          <w:sz w:val="24"/>
          <w:szCs w:val="24"/>
        </w:rPr>
        <w:t xml:space="preserve"> preserving their business connections.”</w:t>
      </w:r>
    </w:p>
    <w:p w14:paraId="09A3391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Workplaces with shared leadership encouraged collaboration, according to Participant 5. Successful democratic leadership entails maintaining one's position of power while fostering cooperation and mutual respect. Democratic leadership promotes employee participation, which is crucial for raising morale and productivity (Paauwe, 2020). When workers believe their ideas count, they are more likely to be content and to go above and beyond.</w:t>
      </w:r>
    </w:p>
    <w:p w14:paraId="55D0D089"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“Leaders who motivate their team members to create and share a vision with zeal and passion. An </w:t>
      </w:r>
      <w:proofErr w:type="spellStart"/>
      <w:r w:rsidRPr="00C372E4">
        <w:rPr>
          <w:rFonts w:ascii="Times New Roman" w:eastAsia="Times New Roman" w:hAnsi="Times New Roman" w:cs="Times New Roman"/>
          <w:i/>
          <w:color w:val="000000" w:themeColor="text1"/>
          <w:sz w:val="24"/>
          <w:szCs w:val="24"/>
        </w:rPr>
        <w:t>organisation</w:t>
      </w:r>
      <w:proofErr w:type="spellEnd"/>
      <w:r w:rsidRPr="00C372E4">
        <w:rPr>
          <w:rFonts w:ascii="Times New Roman" w:eastAsia="Times New Roman" w:hAnsi="Times New Roman" w:cs="Times New Roman"/>
          <w:i/>
          <w:color w:val="000000" w:themeColor="text1"/>
          <w:sz w:val="24"/>
          <w:szCs w:val="24"/>
        </w:rPr>
        <w:t xml:space="preserve"> founded by a compelling leader has devoted members who share objectives. These leaders </w:t>
      </w:r>
      <w:proofErr w:type="spellStart"/>
      <w:r w:rsidRPr="00C372E4">
        <w:rPr>
          <w:rFonts w:ascii="Times New Roman" w:eastAsia="Times New Roman" w:hAnsi="Times New Roman" w:cs="Times New Roman"/>
          <w:i/>
          <w:color w:val="000000" w:themeColor="text1"/>
          <w:sz w:val="24"/>
          <w:szCs w:val="24"/>
        </w:rPr>
        <w:t>prioritise</w:t>
      </w:r>
      <w:proofErr w:type="spellEnd"/>
      <w:r w:rsidRPr="00C372E4">
        <w:rPr>
          <w:rFonts w:ascii="Times New Roman" w:eastAsia="Times New Roman" w:hAnsi="Times New Roman" w:cs="Times New Roman"/>
          <w:i/>
          <w:color w:val="000000" w:themeColor="text1"/>
          <w:sz w:val="24"/>
          <w:szCs w:val="24"/>
        </w:rPr>
        <w:t xml:space="preserve"> work completion in individualist societies and support paternalism, a hierarchy </w:t>
      </w:r>
      <w:proofErr w:type="spellStart"/>
      <w:r w:rsidRPr="00C372E4">
        <w:rPr>
          <w:rFonts w:ascii="Times New Roman" w:eastAsia="Times New Roman" w:hAnsi="Times New Roman" w:cs="Times New Roman"/>
          <w:i/>
          <w:color w:val="000000" w:themeColor="text1"/>
          <w:sz w:val="24"/>
          <w:szCs w:val="24"/>
        </w:rPr>
        <w:t>centred</w:t>
      </w:r>
      <w:proofErr w:type="spellEnd"/>
      <w:r w:rsidRPr="00C372E4">
        <w:rPr>
          <w:rFonts w:ascii="Times New Roman" w:eastAsia="Times New Roman" w:hAnsi="Times New Roman" w:cs="Times New Roman"/>
          <w:i/>
          <w:color w:val="000000" w:themeColor="text1"/>
          <w:sz w:val="24"/>
          <w:szCs w:val="24"/>
        </w:rPr>
        <w:t xml:space="preserve"> on a father figure.”</w:t>
      </w:r>
    </w:p>
    <w:p w14:paraId="46DCFAA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The democratic leadership must be understood in the context of government. It draws on the institutional and cultural structure governing the </w:t>
      </w:r>
      <w:proofErr w:type="spellStart"/>
      <w:r w:rsidRPr="00C372E4">
        <w:rPr>
          <w:rFonts w:ascii="Times New Roman" w:eastAsia="Times New Roman" w:hAnsi="Times New Roman" w:cs="Times New Roman"/>
          <w:color w:val="000000" w:themeColor="text1"/>
          <w:sz w:val="24"/>
          <w:szCs w:val="24"/>
        </w:rPr>
        <w:t>neighbourhood</w:t>
      </w:r>
      <w:proofErr w:type="spellEnd"/>
      <w:r w:rsidRPr="00C372E4">
        <w:rPr>
          <w:rFonts w:ascii="Times New Roman" w:eastAsia="Times New Roman" w:hAnsi="Times New Roman" w:cs="Times New Roman"/>
          <w:color w:val="000000" w:themeColor="text1"/>
          <w:sz w:val="24"/>
          <w:szCs w:val="24"/>
        </w:rPr>
        <w:t xml:space="preserve"> and coordinates social life. In modern society, two ideal forms of government that place democratic agency differently might be contrasted (</w:t>
      </w:r>
      <w:proofErr w:type="spellStart"/>
      <w:r w:rsidRPr="00C372E4">
        <w:rPr>
          <w:rFonts w:ascii="Times New Roman" w:eastAsia="Times New Roman" w:hAnsi="Times New Roman" w:cs="Times New Roman"/>
          <w:color w:val="000000" w:themeColor="text1"/>
          <w:sz w:val="24"/>
          <w:szCs w:val="24"/>
        </w:rPr>
        <w:t>Olayisade</w:t>
      </w:r>
      <w:proofErr w:type="spellEnd"/>
      <w:r w:rsidRPr="00C372E4">
        <w:rPr>
          <w:rFonts w:ascii="Times New Roman" w:eastAsia="Times New Roman" w:hAnsi="Times New Roman" w:cs="Times New Roman"/>
          <w:color w:val="000000" w:themeColor="text1"/>
          <w:sz w:val="24"/>
          <w:szCs w:val="24"/>
        </w:rPr>
        <w:t xml:space="preserve"> and </w:t>
      </w:r>
      <w:proofErr w:type="spellStart"/>
      <w:r w:rsidRPr="00C372E4">
        <w:rPr>
          <w:rFonts w:ascii="Times New Roman" w:eastAsia="Times New Roman" w:hAnsi="Times New Roman" w:cs="Times New Roman"/>
          <w:color w:val="000000" w:themeColor="text1"/>
          <w:sz w:val="24"/>
          <w:szCs w:val="24"/>
        </w:rPr>
        <w:t>Awolusi</w:t>
      </w:r>
      <w:proofErr w:type="spellEnd"/>
      <w:r w:rsidRPr="00C372E4">
        <w:rPr>
          <w:rFonts w:ascii="Times New Roman" w:eastAsia="Times New Roman" w:hAnsi="Times New Roman" w:cs="Times New Roman"/>
          <w:color w:val="000000" w:themeColor="text1"/>
          <w:sz w:val="24"/>
          <w:szCs w:val="24"/>
        </w:rPr>
        <w:t>, 2021). The most prominent example is network governance, which is found in the literature and governance innovations. Less emphasis is placed on democracy, which is seen in a more limited way.</w:t>
      </w:r>
    </w:p>
    <w:p w14:paraId="26898FB2" w14:textId="77777777" w:rsidR="00C742A9" w:rsidRPr="00C372E4" w:rsidRDefault="00C742A9" w:rsidP="00C742A9">
      <w:pPr>
        <w:pStyle w:val="Normal1"/>
        <w:spacing w:line="360" w:lineRule="auto"/>
        <w:jc w:val="both"/>
        <w:rPr>
          <w:rFonts w:ascii="Times New Roman" w:eastAsia="Times New Roman" w:hAnsi="Times New Roman" w:cs="Times New Roman"/>
          <w:b/>
          <w:color w:val="000000" w:themeColor="text1"/>
          <w:sz w:val="24"/>
          <w:szCs w:val="24"/>
        </w:rPr>
      </w:pPr>
      <w:r w:rsidRPr="00C372E4">
        <w:rPr>
          <w:rFonts w:ascii="Times New Roman" w:eastAsia="Times New Roman" w:hAnsi="Times New Roman" w:cs="Times New Roman"/>
          <w:b/>
          <w:color w:val="000000" w:themeColor="text1"/>
          <w:sz w:val="24"/>
          <w:szCs w:val="24"/>
        </w:rPr>
        <w:t>Question 6: Strategy can help to manage cross-cultural conflicts in the workplace</w:t>
      </w:r>
    </w:p>
    <w:p w14:paraId="065A792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An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should look at structural concerns as much as interpersonal issues in situations where cultural diversity is ripe for conflict. Assuming that variety equals wrongness not only fuels conflict but also creates a hostile work atmosphere for employees who deviate from the restrictive norms already in place (Loh, Thorsteinsson and Loi, 2019). </w:t>
      </w:r>
    </w:p>
    <w:p w14:paraId="57E5BC2E" w14:textId="77777777" w:rsidR="00C742A9" w:rsidRPr="00C372E4" w:rsidRDefault="00C742A9" w:rsidP="00C742A9">
      <w:pPr>
        <w:pStyle w:val="Normal1"/>
        <w:spacing w:line="360" w:lineRule="auto"/>
        <w:jc w:val="center"/>
        <w:rPr>
          <w:rFonts w:ascii="Times New Roman" w:eastAsia="Times New Roman" w:hAnsi="Times New Roman" w:cs="Times New Roman"/>
          <w:b/>
          <w:i/>
          <w:color w:val="000000" w:themeColor="text1"/>
          <w:sz w:val="24"/>
          <w:szCs w:val="24"/>
        </w:rPr>
      </w:pPr>
      <w:r w:rsidRPr="00C372E4">
        <w:rPr>
          <w:rFonts w:ascii="Times New Roman" w:eastAsia="Times New Roman" w:hAnsi="Times New Roman" w:cs="Times New Roman"/>
          <w:i/>
          <w:color w:val="000000" w:themeColor="text1"/>
          <w:sz w:val="24"/>
          <w:szCs w:val="24"/>
        </w:rPr>
        <w:t>“The</w:t>
      </w:r>
      <w:r w:rsidRPr="00C372E4">
        <w:rPr>
          <w:rFonts w:ascii="Times New Roman" w:eastAsia="Times New Roman" w:hAnsi="Times New Roman" w:cs="Times New Roman"/>
          <w:b/>
          <w:i/>
          <w:color w:val="000000" w:themeColor="text1"/>
          <w:sz w:val="24"/>
          <w:szCs w:val="24"/>
        </w:rPr>
        <w:t xml:space="preserve"> </w:t>
      </w:r>
      <w:r w:rsidRPr="00C372E4">
        <w:rPr>
          <w:rFonts w:ascii="Times New Roman" w:eastAsia="Times New Roman" w:hAnsi="Times New Roman" w:cs="Times New Roman"/>
          <w:i/>
          <w:color w:val="000000" w:themeColor="text1"/>
          <w:sz w:val="24"/>
          <w:szCs w:val="24"/>
        </w:rPr>
        <w:t>democratic leadership's oppositional nature is a crucial component. The above mentioned need to go from Enlightenment ideas in an easy complementarity to a more in-depth investigation also pertains to current policy. This more thorough approach acknowledges the difficulties in reducing alienation and overcoming the predominance of instrumental rationality rooted in hierarchy and trade relationships in the setting of a global capitalist economic system.”</w:t>
      </w:r>
    </w:p>
    <w:p w14:paraId="23711EB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Everyone should be on the same page to monitor data and process flows. The collective values, assumptions, and beliefs that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members hold explain how they respond to both internal and external pressures (Einarsen et al., 2020). Additionally, it establishes performance criteria, the general tone, and HR policies in light of the socioeconomic conditions and cultural norms of the nation in which the </w:t>
      </w:r>
      <w:proofErr w:type="spellStart"/>
      <w:r w:rsidRPr="00C372E4">
        <w:rPr>
          <w:rFonts w:ascii="Times New Roman" w:eastAsia="Times New Roman" w:hAnsi="Times New Roman" w:cs="Times New Roman"/>
          <w:color w:val="000000" w:themeColor="text1"/>
          <w:sz w:val="24"/>
          <w:szCs w:val="24"/>
        </w:rPr>
        <w:t>organisation</w:t>
      </w:r>
      <w:proofErr w:type="spellEnd"/>
      <w:r w:rsidRPr="00C372E4">
        <w:rPr>
          <w:rFonts w:ascii="Times New Roman" w:eastAsia="Times New Roman" w:hAnsi="Times New Roman" w:cs="Times New Roman"/>
          <w:color w:val="000000" w:themeColor="text1"/>
          <w:sz w:val="24"/>
          <w:szCs w:val="24"/>
        </w:rPr>
        <w:t xml:space="preserve"> conducts business. </w:t>
      </w:r>
    </w:p>
    <w:p w14:paraId="45B3D21B"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 xml:space="preserve">“Democratic leadership strategy with human resource management resulting from the many national cultures of the employees in the subsidiaries. </w:t>
      </w:r>
      <w:proofErr w:type="spellStart"/>
      <w:r w:rsidRPr="00C372E4">
        <w:rPr>
          <w:rFonts w:ascii="Times New Roman" w:eastAsia="Times New Roman" w:hAnsi="Times New Roman" w:cs="Times New Roman"/>
          <w:i/>
          <w:color w:val="000000" w:themeColor="text1"/>
          <w:sz w:val="24"/>
          <w:szCs w:val="24"/>
        </w:rPr>
        <w:t>Utilising</w:t>
      </w:r>
      <w:proofErr w:type="spellEnd"/>
      <w:r w:rsidRPr="00C372E4">
        <w:rPr>
          <w:rFonts w:ascii="Times New Roman" w:eastAsia="Times New Roman" w:hAnsi="Times New Roman" w:cs="Times New Roman"/>
          <w:i/>
          <w:color w:val="000000" w:themeColor="text1"/>
          <w:sz w:val="24"/>
          <w:szCs w:val="24"/>
        </w:rPr>
        <w:t xml:space="preserve"> stratified random selection, employees in the </w:t>
      </w:r>
      <w:proofErr w:type="spellStart"/>
      <w:r w:rsidRPr="00C372E4">
        <w:rPr>
          <w:rFonts w:ascii="Times New Roman" w:eastAsia="Times New Roman" w:hAnsi="Times New Roman" w:cs="Times New Roman"/>
          <w:i/>
          <w:color w:val="000000" w:themeColor="text1"/>
          <w:sz w:val="24"/>
          <w:szCs w:val="24"/>
        </w:rPr>
        <w:t>organisations</w:t>
      </w:r>
      <w:proofErr w:type="spellEnd"/>
      <w:r w:rsidRPr="00C372E4">
        <w:rPr>
          <w:rFonts w:ascii="Times New Roman" w:eastAsia="Times New Roman" w:hAnsi="Times New Roman" w:cs="Times New Roman"/>
          <w:i/>
          <w:color w:val="000000" w:themeColor="text1"/>
          <w:sz w:val="24"/>
          <w:szCs w:val="24"/>
        </w:rPr>
        <w:t xml:space="preserve"> were chosen based on the departments of the </w:t>
      </w:r>
      <w:proofErr w:type="spellStart"/>
      <w:r w:rsidRPr="00C372E4">
        <w:rPr>
          <w:rFonts w:ascii="Times New Roman" w:eastAsia="Times New Roman" w:hAnsi="Times New Roman" w:cs="Times New Roman"/>
          <w:i/>
          <w:color w:val="000000" w:themeColor="text1"/>
          <w:sz w:val="24"/>
          <w:szCs w:val="24"/>
        </w:rPr>
        <w:t>organisations</w:t>
      </w:r>
      <w:proofErr w:type="spellEnd"/>
      <w:r w:rsidRPr="00C372E4">
        <w:rPr>
          <w:rFonts w:ascii="Times New Roman" w:eastAsia="Times New Roman" w:hAnsi="Times New Roman" w:cs="Times New Roman"/>
          <w:i/>
          <w:color w:val="000000" w:themeColor="text1"/>
          <w:sz w:val="24"/>
          <w:szCs w:val="24"/>
        </w:rPr>
        <w:t>. Some businesses in wealthy nations have established subsidiaries in developing nations in response to the need to do business innovatively to succeed in the competitive market.”</w:t>
      </w:r>
    </w:p>
    <w:p w14:paraId="1E90332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Managers and executives of MNCs should not only overcome such problems, but they also need to modify how they handle cultural differences. The cultural perspective of a person on the relative significance of the individual vs. the collective is referred to as individualism or collectivism (Yousaf et al., 2022). Collectivistic cultures have close-knit social structures, but individualistic cultures prefer to see their people as independent and unconnected. </w:t>
      </w:r>
      <w:proofErr w:type="spellStart"/>
      <w:r w:rsidRPr="00C372E4">
        <w:rPr>
          <w:rFonts w:ascii="Times New Roman" w:eastAsia="Times New Roman" w:hAnsi="Times New Roman" w:cs="Times New Roman"/>
          <w:color w:val="000000" w:themeColor="text1"/>
          <w:sz w:val="24"/>
          <w:szCs w:val="24"/>
        </w:rPr>
        <w:t>Recognising</w:t>
      </w:r>
      <w:proofErr w:type="spellEnd"/>
      <w:r w:rsidRPr="00C372E4">
        <w:rPr>
          <w:rFonts w:ascii="Times New Roman" w:eastAsia="Times New Roman" w:hAnsi="Times New Roman" w:cs="Times New Roman"/>
          <w:color w:val="000000" w:themeColor="text1"/>
          <w:sz w:val="24"/>
          <w:szCs w:val="24"/>
        </w:rPr>
        <w:t xml:space="preserve"> conflict tactics in the context of heritage and the cultural values of the host nation is necessary for resolving cross-cultural </w:t>
      </w:r>
      <w:proofErr w:type="spellStart"/>
      <w:r w:rsidRPr="00C372E4">
        <w:rPr>
          <w:rFonts w:ascii="Times New Roman" w:eastAsia="Times New Roman" w:hAnsi="Times New Roman" w:cs="Times New Roman"/>
          <w:color w:val="000000" w:themeColor="text1"/>
          <w:sz w:val="24"/>
          <w:szCs w:val="24"/>
        </w:rPr>
        <w:t>organisational</w:t>
      </w:r>
      <w:proofErr w:type="spellEnd"/>
      <w:r w:rsidRPr="00C372E4">
        <w:rPr>
          <w:rFonts w:ascii="Times New Roman" w:eastAsia="Times New Roman" w:hAnsi="Times New Roman" w:cs="Times New Roman"/>
          <w:color w:val="000000" w:themeColor="text1"/>
          <w:sz w:val="24"/>
          <w:szCs w:val="24"/>
        </w:rPr>
        <w:t xml:space="preserve"> conflict. The control approach entails relentlessly pursuing one's interests and acting dominantly while coming to a decision.</w:t>
      </w:r>
    </w:p>
    <w:p w14:paraId="1D07DEE7" w14:textId="77777777" w:rsidR="00C742A9" w:rsidRPr="00C372E4" w:rsidRDefault="00C742A9" w:rsidP="00C742A9">
      <w:pPr>
        <w:pStyle w:val="Normal1"/>
        <w:spacing w:line="360" w:lineRule="auto"/>
        <w:jc w:val="center"/>
        <w:rPr>
          <w:rFonts w:ascii="Times New Roman" w:eastAsia="Times New Roman" w:hAnsi="Times New Roman" w:cs="Times New Roman"/>
          <w:i/>
          <w:color w:val="000000" w:themeColor="text1"/>
          <w:sz w:val="24"/>
          <w:szCs w:val="24"/>
        </w:rPr>
      </w:pPr>
      <w:r w:rsidRPr="00C372E4">
        <w:rPr>
          <w:rFonts w:ascii="Times New Roman" w:eastAsia="Times New Roman" w:hAnsi="Times New Roman" w:cs="Times New Roman"/>
          <w:i/>
          <w:color w:val="000000" w:themeColor="text1"/>
          <w:sz w:val="24"/>
          <w:szCs w:val="24"/>
        </w:rPr>
        <w:t>“cross-cultural misunderstandings occur when HR reads other people's actions, attitudes, and values through the lens. Learning as much as possible about the other side’s culture is crucial to overcoming this inclination.”</w:t>
      </w:r>
    </w:p>
    <w:p w14:paraId="51FEF51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Unlike a typical approach, companies that implement strategic HRM concepts do not have HR as a department distinct from other verticals like MNCs, operations, or marketing (Zhong, Zhu and Zhang, 2021). Another critical component of strategic HRM is using talent and possibilities inside the department more effectively to benefit other departments.</w:t>
      </w:r>
    </w:p>
    <w:p w14:paraId="3D0C935F" w14:textId="77777777" w:rsidR="00C742A9" w:rsidRPr="00C372E4" w:rsidRDefault="00C742A9" w:rsidP="00C742A9">
      <w:pPr>
        <w:pStyle w:val="Heading2"/>
        <w:rPr>
          <w:color w:val="000000" w:themeColor="text1"/>
        </w:rPr>
      </w:pPr>
      <w:bookmarkStart w:id="41" w:name="_i8es0zbttcdb" w:colFirst="0" w:colLast="0"/>
      <w:bookmarkEnd w:id="41"/>
      <w:r w:rsidRPr="00C372E4">
        <w:rPr>
          <w:color w:val="000000" w:themeColor="text1"/>
        </w:rPr>
        <w:t>4.3 Summary</w:t>
      </w:r>
    </w:p>
    <w:p w14:paraId="267E8991" w14:textId="77777777" w:rsidR="00C742A9"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This section of this dissertation is the most crucial section of the dissertation because it is the central point of this research, and the entire research result is developed based on this section. The conclusion chapter of the dissertation is highly dependent on this section. Based on the findings and analysis of these questions, it has been found that CCHRM has a positive correlation with the growth of HRM in international businesses. On the other hand, </w:t>
      </w:r>
      <w:proofErr w:type="spellStart"/>
      <w:r w:rsidRPr="00C372E4">
        <w:rPr>
          <w:rFonts w:ascii="Times New Roman" w:eastAsia="Times New Roman" w:hAnsi="Times New Roman" w:cs="Times New Roman"/>
          <w:color w:val="000000" w:themeColor="text1"/>
          <w:sz w:val="24"/>
          <w:szCs w:val="24"/>
        </w:rPr>
        <w:t>specialised</w:t>
      </w:r>
      <w:proofErr w:type="spellEnd"/>
      <w:r w:rsidRPr="00C372E4">
        <w:rPr>
          <w:rFonts w:ascii="Times New Roman" w:eastAsia="Times New Roman" w:hAnsi="Times New Roman" w:cs="Times New Roman"/>
          <w:color w:val="000000" w:themeColor="text1"/>
          <w:sz w:val="24"/>
          <w:szCs w:val="24"/>
        </w:rPr>
        <w:t xml:space="preserve"> training programs and democratic leadership strategies have the power to manage cross-cultural conflicts. Cultural diversity has increased in businesses in the last few decades due to </w:t>
      </w:r>
      <w:proofErr w:type="spellStart"/>
      <w:r w:rsidRPr="00C372E4">
        <w:rPr>
          <w:rFonts w:ascii="Times New Roman" w:eastAsia="Times New Roman" w:hAnsi="Times New Roman" w:cs="Times New Roman"/>
          <w:color w:val="000000" w:themeColor="text1"/>
          <w:sz w:val="24"/>
          <w:szCs w:val="24"/>
        </w:rPr>
        <w:t>globalisation</w:t>
      </w:r>
      <w:proofErr w:type="spellEnd"/>
      <w:r w:rsidRPr="00C372E4">
        <w:rPr>
          <w:rFonts w:ascii="Times New Roman" w:eastAsia="Times New Roman" w:hAnsi="Times New Roman" w:cs="Times New Roman"/>
          <w:color w:val="000000" w:themeColor="text1"/>
          <w:sz w:val="24"/>
          <w:szCs w:val="24"/>
        </w:rPr>
        <w:t xml:space="preserve">. However, the CCHRM has improved collaboration and communication between employees. </w:t>
      </w:r>
    </w:p>
    <w:p w14:paraId="5F704249" w14:textId="77777777" w:rsidR="00C742A9" w:rsidRDefault="00C742A9" w:rsidP="00C742A9">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70ABD6B7" w14:textId="77777777" w:rsidR="00C742A9" w:rsidRDefault="00C742A9" w:rsidP="00C742A9">
      <w:pPr>
        <w:pStyle w:val="Heading1"/>
        <w:rPr>
          <w:lang w:val="en-GB"/>
        </w:rPr>
      </w:pPr>
      <w:r>
        <w:rPr>
          <w:lang w:val="en-GB"/>
        </w:rPr>
        <w:t>Reference list</w:t>
      </w:r>
    </w:p>
    <w:p w14:paraId="0B590F6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Abugre</w:t>
      </w:r>
      <w:proofErr w:type="spellEnd"/>
      <w:r w:rsidRPr="00C372E4">
        <w:rPr>
          <w:rFonts w:ascii="Times New Roman" w:eastAsia="Times New Roman" w:hAnsi="Times New Roman" w:cs="Times New Roman"/>
          <w:color w:val="000000" w:themeColor="text1"/>
          <w:sz w:val="24"/>
          <w:szCs w:val="24"/>
          <w:lang w:val="en-GB"/>
        </w:rPr>
        <w:t xml:space="preserve">, J.B. and </w:t>
      </w:r>
      <w:proofErr w:type="spellStart"/>
      <w:r w:rsidRPr="00C372E4">
        <w:rPr>
          <w:rFonts w:ascii="Times New Roman" w:eastAsia="Times New Roman" w:hAnsi="Times New Roman" w:cs="Times New Roman"/>
          <w:color w:val="000000" w:themeColor="text1"/>
          <w:sz w:val="24"/>
          <w:szCs w:val="24"/>
          <w:lang w:val="en-GB"/>
        </w:rPr>
        <w:t>Debrah</w:t>
      </w:r>
      <w:proofErr w:type="spellEnd"/>
      <w:r w:rsidRPr="00C372E4">
        <w:rPr>
          <w:rFonts w:ascii="Times New Roman" w:eastAsia="Times New Roman" w:hAnsi="Times New Roman" w:cs="Times New Roman"/>
          <w:color w:val="000000" w:themeColor="text1"/>
          <w:sz w:val="24"/>
          <w:szCs w:val="24"/>
          <w:lang w:val="en-GB"/>
        </w:rPr>
        <w:t xml:space="preserve">, Y.A. (2019). Assessing the impact of cross-cultural communication competence on expatriate business operations in multinational corporations of a Sub-Saharan African context. </w:t>
      </w:r>
      <w:r w:rsidRPr="00C372E4">
        <w:rPr>
          <w:rFonts w:ascii="Times New Roman" w:eastAsia="Times New Roman" w:hAnsi="Times New Roman" w:cs="Times New Roman"/>
          <w:i/>
          <w:iCs/>
          <w:color w:val="000000" w:themeColor="text1"/>
          <w:sz w:val="24"/>
          <w:szCs w:val="24"/>
          <w:lang w:val="en-GB"/>
        </w:rPr>
        <w:t>International Journal of Cross Cultural Management</w:t>
      </w:r>
      <w:r w:rsidRPr="00C372E4">
        <w:rPr>
          <w:rFonts w:ascii="Times New Roman" w:eastAsia="Times New Roman" w:hAnsi="Times New Roman" w:cs="Times New Roman"/>
          <w:color w:val="000000" w:themeColor="text1"/>
          <w:sz w:val="24"/>
          <w:szCs w:val="24"/>
          <w:lang w:val="en-GB"/>
        </w:rPr>
        <w:t xml:space="preserve">, [online] 19(1), pp.85–104.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://doi.org/10.1177/1470595819839739.</w:t>
      </w:r>
    </w:p>
    <w:p w14:paraId="72B0FC6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Afthon</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Kumbara</w:t>
      </w:r>
      <w:proofErr w:type="spellEnd"/>
      <w:r w:rsidRPr="00C372E4">
        <w:rPr>
          <w:rFonts w:ascii="Times New Roman" w:eastAsia="Times New Roman" w:hAnsi="Times New Roman" w:cs="Times New Roman"/>
          <w:color w:val="000000" w:themeColor="text1"/>
          <w:sz w:val="24"/>
          <w:szCs w:val="24"/>
          <w:lang w:val="en-GB"/>
        </w:rPr>
        <w:t xml:space="preserve"> (2020). MANAGEMENT STRATEGY SWOT ANALYSIS OF LUCKY TEXTILE GROUP IN FACING TEXTILE INDUSTRY COMPETITION. </w:t>
      </w:r>
      <w:r w:rsidRPr="00C372E4">
        <w:rPr>
          <w:rFonts w:ascii="Times New Roman" w:eastAsia="Times New Roman" w:hAnsi="Times New Roman" w:cs="Times New Roman"/>
          <w:i/>
          <w:iCs/>
          <w:color w:val="000000" w:themeColor="text1"/>
          <w:sz w:val="24"/>
          <w:szCs w:val="24"/>
          <w:lang w:val="en-GB"/>
        </w:rPr>
        <w:t>Dinasti International Journal of Management Science</w:t>
      </w:r>
      <w:r w:rsidRPr="00C372E4">
        <w:rPr>
          <w:rFonts w:ascii="Times New Roman" w:eastAsia="Times New Roman" w:hAnsi="Times New Roman" w:cs="Times New Roman"/>
          <w:color w:val="000000" w:themeColor="text1"/>
          <w:sz w:val="24"/>
          <w:szCs w:val="24"/>
          <w:lang w:val="en-GB"/>
        </w:rPr>
        <w:t xml:space="preserve">, 1(3), pp.430–454.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://doi.org/10.31933/dijms.v1i3.377.</w:t>
      </w:r>
    </w:p>
    <w:p w14:paraId="0ACF92F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Aravindh, R.V. and Thirupathi, S. (2019). Data Analysis In Social Sciences: Comparison between Quantitative and Qualitative Research. </w:t>
      </w:r>
      <w:r w:rsidRPr="00C372E4">
        <w:rPr>
          <w:rFonts w:ascii="Times New Roman" w:eastAsia="Times New Roman" w:hAnsi="Times New Roman" w:cs="Times New Roman"/>
          <w:i/>
          <w:iCs/>
          <w:color w:val="000000" w:themeColor="text1"/>
          <w:sz w:val="24"/>
          <w:szCs w:val="24"/>
          <w:lang w:val="en-GB"/>
        </w:rPr>
        <w:t>International Journal of Management Research and Social Science</w:t>
      </w:r>
      <w:r w:rsidRPr="00C372E4">
        <w:rPr>
          <w:rFonts w:ascii="Times New Roman" w:eastAsia="Times New Roman" w:hAnsi="Times New Roman" w:cs="Times New Roman"/>
          <w:color w:val="000000" w:themeColor="text1"/>
          <w:sz w:val="24"/>
          <w:szCs w:val="24"/>
          <w:lang w:val="en-GB"/>
        </w:rPr>
        <w:t xml:space="preserve">, 6(1).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://doi.org/10.30726/ijmrss/v6.i1.2019.61002.</w:t>
      </w:r>
    </w:p>
    <w:p w14:paraId="5845294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Bader, A.K., Bader, B., Froese, F.J. and Sekiguchi, T. (2021). One way or another? An international comparison of expatriate performance management in multinational companies.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[online] 60(5), pp.737–752.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://doi.org/10.1002/hrm.22065.</w:t>
      </w:r>
    </w:p>
    <w:p w14:paraId="704C663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Bar-Haim, A. and </w:t>
      </w:r>
      <w:proofErr w:type="spellStart"/>
      <w:r w:rsidRPr="00C372E4">
        <w:rPr>
          <w:rFonts w:ascii="Times New Roman" w:eastAsia="Times New Roman" w:hAnsi="Times New Roman" w:cs="Times New Roman"/>
          <w:color w:val="000000" w:themeColor="text1"/>
          <w:sz w:val="24"/>
          <w:szCs w:val="24"/>
          <w:lang w:val="en-GB"/>
        </w:rPr>
        <w:t>Karassin</w:t>
      </w:r>
      <w:proofErr w:type="spellEnd"/>
      <w:r w:rsidRPr="00C372E4">
        <w:rPr>
          <w:rFonts w:ascii="Times New Roman" w:eastAsia="Times New Roman" w:hAnsi="Times New Roman" w:cs="Times New Roman"/>
          <w:color w:val="000000" w:themeColor="text1"/>
          <w:sz w:val="24"/>
          <w:szCs w:val="24"/>
          <w:lang w:val="en-GB"/>
        </w:rPr>
        <w:t xml:space="preserve">, O. (2022). CSR-Related Employment Relations and HRM Practices at Small and Medium-Sized Enterprises vs. Multinational Corporations. </w:t>
      </w:r>
      <w:r w:rsidRPr="00C372E4">
        <w:rPr>
          <w:rFonts w:ascii="Times New Roman" w:eastAsia="Times New Roman" w:hAnsi="Times New Roman" w:cs="Times New Roman"/>
          <w:i/>
          <w:iCs/>
          <w:color w:val="000000" w:themeColor="text1"/>
          <w:sz w:val="24"/>
          <w:szCs w:val="24"/>
          <w:lang w:val="en-GB"/>
        </w:rPr>
        <w:t>Journal of Human Resource and Sustainability Studies</w:t>
      </w:r>
      <w:r w:rsidRPr="00C372E4">
        <w:rPr>
          <w:rFonts w:ascii="Times New Roman" w:eastAsia="Times New Roman" w:hAnsi="Times New Roman" w:cs="Times New Roman"/>
          <w:color w:val="000000" w:themeColor="text1"/>
          <w:sz w:val="24"/>
          <w:szCs w:val="24"/>
          <w:lang w:val="en-GB"/>
        </w:rPr>
        <w:t xml:space="preserve">, 10(01), pp.44–66.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://doi.org/10.4236/jhrss.2022.101004.</w:t>
      </w:r>
    </w:p>
    <w:p w14:paraId="3DF9863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Barthold, C., Checchi, M., </w:t>
      </w:r>
      <w:proofErr w:type="spellStart"/>
      <w:r w:rsidRPr="00C372E4">
        <w:rPr>
          <w:rFonts w:ascii="Times New Roman" w:eastAsia="Times New Roman" w:hAnsi="Times New Roman" w:cs="Times New Roman"/>
          <w:color w:val="000000" w:themeColor="text1"/>
          <w:sz w:val="24"/>
          <w:szCs w:val="24"/>
          <w:lang w:val="en-GB"/>
        </w:rPr>
        <w:t>Imas</w:t>
      </w:r>
      <w:proofErr w:type="spellEnd"/>
      <w:r w:rsidRPr="00C372E4">
        <w:rPr>
          <w:rFonts w:ascii="Times New Roman" w:eastAsia="Times New Roman" w:hAnsi="Times New Roman" w:cs="Times New Roman"/>
          <w:color w:val="000000" w:themeColor="text1"/>
          <w:sz w:val="24"/>
          <w:szCs w:val="24"/>
          <w:lang w:val="en-GB"/>
        </w:rPr>
        <w:t xml:space="preserve">, M. and </w:t>
      </w:r>
      <w:proofErr w:type="spellStart"/>
      <w:r w:rsidRPr="00C372E4">
        <w:rPr>
          <w:rFonts w:ascii="Times New Roman" w:eastAsia="Times New Roman" w:hAnsi="Times New Roman" w:cs="Times New Roman"/>
          <w:color w:val="000000" w:themeColor="text1"/>
          <w:sz w:val="24"/>
          <w:szCs w:val="24"/>
          <w:lang w:val="en-GB"/>
        </w:rPr>
        <w:t>Smolović</w:t>
      </w:r>
      <w:proofErr w:type="spellEnd"/>
      <w:r w:rsidRPr="00C372E4">
        <w:rPr>
          <w:rFonts w:ascii="Times New Roman" w:eastAsia="Times New Roman" w:hAnsi="Times New Roman" w:cs="Times New Roman"/>
          <w:color w:val="000000" w:themeColor="text1"/>
          <w:sz w:val="24"/>
          <w:szCs w:val="24"/>
          <w:lang w:val="en-GB"/>
        </w:rPr>
        <w:t xml:space="preserve"> Jones, O. (2020). </w:t>
      </w:r>
      <w:proofErr w:type="spellStart"/>
      <w:r w:rsidRPr="00C372E4">
        <w:rPr>
          <w:rFonts w:ascii="Times New Roman" w:eastAsia="Times New Roman" w:hAnsi="Times New Roman" w:cs="Times New Roman"/>
          <w:color w:val="000000" w:themeColor="text1"/>
          <w:sz w:val="24"/>
          <w:szCs w:val="24"/>
          <w:lang w:val="en-GB"/>
        </w:rPr>
        <w:t>Dissensual</w:t>
      </w:r>
      <w:proofErr w:type="spellEnd"/>
      <w:r w:rsidRPr="00C372E4">
        <w:rPr>
          <w:rFonts w:ascii="Times New Roman" w:eastAsia="Times New Roman" w:hAnsi="Times New Roman" w:cs="Times New Roman"/>
          <w:color w:val="000000" w:themeColor="text1"/>
          <w:sz w:val="24"/>
          <w:szCs w:val="24"/>
          <w:lang w:val="en-GB"/>
        </w:rPr>
        <w:t xml:space="preserve"> Leadership: Rethinking democratic leadership with Jacques </w:t>
      </w:r>
      <w:proofErr w:type="spellStart"/>
      <w:r w:rsidRPr="00C372E4">
        <w:rPr>
          <w:rFonts w:ascii="Times New Roman" w:eastAsia="Times New Roman" w:hAnsi="Times New Roman" w:cs="Times New Roman"/>
          <w:color w:val="000000" w:themeColor="text1"/>
          <w:sz w:val="24"/>
          <w:szCs w:val="24"/>
          <w:lang w:val="en-GB"/>
        </w:rPr>
        <w:t>Rancière</w:t>
      </w:r>
      <w:proofErr w:type="spellEnd"/>
      <w:r w:rsidRPr="00C372E4">
        <w:rPr>
          <w:rFonts w:ascii="Times New Roman" w:eastAsia="Times New Roman" w:hAnsi="Times New Roman" w:cs="Times New Roman"/>
          <w:color w:val="000000" w:themeColor="text1"/>
          <w:sz w:val="24"/>
          <w:szCs w:val="24"/>
          <w:lang w:val="en-GB"/>
        </w:rPr>
        <w:t xml:space="preserve">. </w:t>
      </w:r>
      <w:r w:rsidRPr="00C372E4">
        <w:rPr>
          <w:rFonts w:ascii="Times New Roman" w:eastAsia="Times New Roman" w:hAnsi="Times New Roman" w:cs="Times New Roman"/>
          <w:i/>
          <w:iCs/>
          <w:color w:val="000000" w:themeColor="text1"/>
          <w:sz w:val="24"/>
          <w:szCs w:val="24"/>
          <w:lang w:val="en-GB"/>
        </w:rPr>
        <w:t>Organization</w:t>
      </w:r>
      <w:r w:rsidRPr="00C372E4">
        <w:rPr>
          <w:rFonts w:ascii="Times New Roman" w:eastAsia="Times New Roman" w:hAnsi="Times New Roman" w:cs="Times New Roman"/>
          <w:color w:val="000000" w:themeColor="text1"/>
          <w:sz w:val="24"/>
          <w:szCs w:val="24"/>
          <w:lang w:val="en-GB"/>
        </w:rPr>
        <w:t xml:space="preserve">, [online] 29(4), p.135050842096152.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://doi.org/10.1177/1350508420961529.</w:t>
      </w:r>
    </w:p>
    <w:p w14:paraId="289F0E8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Bausch, M., </w:t>
      </w:r>
      <w:proofErr w:type="spellStart"/>
      <w:r w:rsidRPr="00C372E4">
        <w:rPr>
          <w:rFonts w:ascii="Times New Roman" w:eastAsia="Times New Roman" w:hAnsi="Times New Roman" w:cs="Times New Roman"/>
          <w:color w:val="000000" w:themeColor="text1"/>
          <w:sz w:val="24"/>
          <w:szCs w:val="24"/>
          <w:lang w:val="en-GB"/>
        </w:rPr>
        <w:t>Barmeyer</w:t>
      </w:r>
      <w:proofErr w:type="spellEnd"/>
      <w:r w:rsidRPr="00C372E4">
        <w:rPr>
          <w:rFonts w:ascii="Times New Roman" w:eastAsia="Times New Roman" w:hAnsi="Times New Roman" w:cs="Times New Roman"/>
          <w:color w:val="000000" w:themeColor="text1"/>
          <w:sz w:val="24"/>
          <w:szCs w:val="24"/>
          <w:lang w:val="en-GB"/>
        </w:rPr>
        <w:t xml:space="preserve">, C. and Mayrhofer, U. (2021). Facilitating factors in the cross-cultural transfer of management practices: The case of a German multinational in Brazil. </w:t>
      </w:r>
      <w:r w:rsidRPr="00C372E4">
        <w:rPr>
          <w:rFonts w:ascii="Times New Roman" w:eastAsia="Times New Roman" w:hAnsi="Times New Roman" w:cs="Times New Roman"/>
          <w:i/>
          <w:iCs/>
          <w:color w:val="000000" w:themeColor="text1"/>
          <w:sz w:val="24"/>
          <w:szCs w:val="24"/>
          <w:lang w:val="en-GB"/>
        </w:rPr>
        <w:t>International Business Review</w:t>
      </w:r>
      <w:r w:rsidRPr="00C372E4">
        <w:rPr>
          <w:rFonts w:ascii="Times New Roman" w:eastAsia="Times New Roman" w:hAnsi="Times New Roman" w:cs="Times New Roman"/>
          <w:color w:val="000000" w:themeColor="text1"/>
          <w:sz w:val="24"/>
          <w:szCs w:val="24"/>
          <w:lang w:val="en-GB"/>
        </w:rPr>
        <w:t xml:space="preserve">, 31(2), p.101921.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://doi.org/10.1016/j.ibusrev.2021.101921.</w:t>
      </w:r>
    </w:p>
    <w:p w14:paraId="78FC1D8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Behl, A. (2020). Antecedents to firm performance and competitiveness using the lens of big data analytics: a cross-cultural study. </w:t>
      </w:r>
      <w:r w:rsidRPr="00C372E4">
        <w:rPr>
          <w:rFonts w:ascii="Times New Roman" w:eastAsia="Times New Roman" w:hAnsi="Times New Roman" w:cs="Times New Roman"/>
          <w:i/>
          <w:iCs/>
          <w:color w:val="000000" w:themeColor="text1"/>
          <w:sz w:val="24"/>
          <w:szCs w:val="24"/>
          <w:lang w:val="en-GB"/>
        </w:rPr>
        <w:t>Management Decision</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://doi.org/10.1108/md-01-2020-0121.</w:t>
      </w:r>
    </w:p>
    <w:p w14:paraId="7B0522B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Beletskiy</w:t>
      </w:r>
      <w:proofErr w:type="spellEnd"/>
      <w:r w:rsidRPr="00C372E4">
        <w:rPr>
          <w:rFonts w:ascii="Times New Roman" w:eastAsia="Times New Roman" w:hAnsi="Times New Roman" w:cs="Times New Roman"/>
          <w:color w:val="000000" w:themeColor="text1"/>
          <w:sz w:val="24"/>
          <w:szCs w:val="24"/>
          <w:lang w:val="en-GB"/>
        </w:rPr>
        <w:t xml:space="preserve">, A. and Fey, C.F. (2020). HR ambidexterity and absorptive capacities: A paradox‐based approach to HRM capabilities and practice adoption in MNC subsidiaries.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://doi.org/10.1002/hrm.22039.</w:t>
      </w:r>
    </w:p>
    <w:p w14:paraId="0F110D7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Bhardwaj, P. (2019). Types of Sampling in Research. </w:t>
      </w:r>
      <w:r w:rsidRPr="00C372E4">
        <w:rPr>
          <w:rFonts w:ascii="Times New Roman" w:eastAsia="Times New Roman" w:hAnsi="Times New Roman" w:cs="Times New Roman"/>
          <w:i/>
          <w:iCs/>
          <w:color w:val="000000" w:themeColor="text1"/>
          <w:sz w:val="24"/>
          <w:szCs w:val="24"/>
          <w:lang w:val="en-GB"/>
        </w:rPr>
        <w:t>Journal of the Practice of Cardiovascular Sciences</w:t>
      </w:r>
      <w:r w:rsidRPr="00C372E4">
        <w:rPr>
          <w:rFonts w:ascii="Times New Roman" w:eastAsia="Times New Roman" w:hAnsi="Times New Roman" w:cs="Times New Roman"/>
          <w:color w:val="000000" w:themeColor="text1"/>
          <w:sz w:val="24"/>
          <w:szCs w:val="24"/>
          <w:lang w:val="en-GB"/>
        </w:rPr>
        <w:t>, [online] 5(3), pp.157–163. Available at: https://www.researchgate.net/publication/338091050_Types_of_sampling_in_research.</w:t>
      </w:r>
    </w:p>
    <w:p w14:paraId="1C3E390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Bouranta</w:t>
      </w:r>
      <w:proofErr w:type="spellEnd"/>
      <w:r w:rsidRPr="00C372E4">
        <w:rPr>
          <w:rFonts w:ascii="Times New Roman" w:eastAsia="Times New Roman" w:hAnsi="Times New Roman" w:cs="Times New Roman"/>
          <w:color w:val="000000" w:themeColor="text1"/>
          <w:sz w:val="24"/>
          <w:szCs w:val="24"/>
          <w:lang w:val="en-GB"/>
        </w:rPr>
        <w:t xml:space="preserve">, N., Psomas, E., Suárez-Barraza, M.F. and Jaca, C. (2019). The key factors of total quality management in the service sector: a cross-cultural study. </w:t>
      </w:r>
      <w:r w:rsidRPr="00C372E4">
        <w:rPr>
          <w:rFonts w:ascii="Times New Roman" w:eastAsia="Times New Roman" w:hAnsi="Times New Roman" w:cs="Times New Roman"/>
          <w:i/>
          <w:iCs/>
          <w:color w:val="000000" w:themeColor="text1"/>
          <w:sz w:val="24"/>
          <w:szCs w:val="24"/>
          <w:lang w:val="en-GB"/>
        </w:rPr>
        <w:t>Benchmarking: An International Journal</w:t>
      </w:r>
      <w:r w:rsidRPr="00C372E4">
        <w:rPr>
          <w:rFonts w:ascii="Times New Roman" w:eastAsia="Times New Roman" w:hAnsi="Times New Roman" w:cs="Times New Roman"/>
          <w:color w:val="000000" w:themeColor="text1"/>
          <w:sz w:val="24"/>
          <w:szCs w:val="24"/>
          <w:lang w:val="en-GB"/>
        </w:rPr>
        <w:t xml:space="preserve">, 26(3), pp.893–921.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://doi.org/10.1108/bij-09-2017-0240.</w:t>
      </w:r>
    </w:p>
    <w:p w14:paraId="1A1E1D6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Braun, V. and Clarke, V. (2019). Reflecting on reflexive thematic analysis. </w:t>
      </w:r>
      <w:r w:rsidRPr="00C372E4">
        <w:rPr>
          <w:rFonts w:ascii="Times New Roman" w:eastAsia="Times New Roman" w:hAnsi="Times New Roman" w:cs="Times New Roman"/>
          <w:i/>
          <w:iCs/>
          <w:color w:val="000000" w:themeColor="text1"/>
          <w:sz w:val="24"/>
          <w:szCs w:val="24"/>
          <w:lang w:val="en-GB"/>
        </w:rPr>
        <w:t>Qualitative Research in Sport, Exercise and Health</w:t>
      </w:r>
      <w:r w:rsidRPr="00C372E4">
        <w:rPr>
          <w:rFonts w:ascii="Times New Roman" w:eastAsia="Times New Roman" w:hAnsi="Times New Roman" w:cs="Times New Roman"/>
          <w:color w:val="000000" w:themeColor="text1"/>
          <w:sz w:val="24"/>
          <w:szCs w:val="24"/>
          <w:lang w:val="en-GB"/>
        </w:rPr>
        <w:t xml:space="preserve">, [online] 11(4), pp.589–597.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://doi.org/10.1080/2159676x.2019.1628806.</w:t>
      </w:r>
    </w:p>
    <w:p w14:paraId="105BC9A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Budhwar</w:t>
      </w:r>
      <w:proofErr w:type="spellEnd"/>
      <w:r w:rsidRPr="00C372E4">
        <w:rPr>
          <w:rFonts w:ascii="Times New Roman" w:eastAsia="Times New Roman" w:hAnsi="Times New Roman" w:cs="Times New Roman"/>
          <w:color w:val="000000" w:themeColor="text1"/>
          <w:sz w:val="24"/>
          <w:szCs w:val="24"/>
          <w:lang w:val="en-GB"/>
        </w:rPr>
        <w:t xml:space="preserve">, P., Malik, A., De Silva, M.T.T. and </w:t>
      </w:r>
      <w:proofErr w:type="spellStart"/>
      <w:r w:rsidRPr="00C372E4">
        <w:rPr>
          <w:rFonts w:ascii="Times New Roman" w:eastAsia="Times New Roman" w:hAnsi="Times New Roman" w:cs="Times New Roman"/>
          <w:color w:val="000000" w:themeColor="text1"/>
          <w:sz w:val="24"/>
          <w:szCs w:val="24"/>
          <w:lang w:val="en-GB"/>
        </w:rPr>
        <w:t>Thevisuthan</w:t>
      </w:r>
      <w:proofErr w:type="spellEnd"/>
      <w:r w:rsidRPr="00C372E4">
        <w:rPr>
          <w:rFonts w:ascii="Times New Roman" w:eastAsia="Times New Roman" w:hAnsi="Times New Roman" w:cs="Times New Roman"/>
          <w:color w:val="000000" w:themeColor="text1"/>
          <w:sz w:val="24"/>
          <w:szCs w:val="24"/>
          <w:lang w:val="en-GB"/>
        </w:rPr>
        <w:t xml:space="preserve">, P. (2022). Artificial intelligence – challenges and opportunities for international HRM: a review and research agenda.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33(6), pp.1065–1097.</w:t>
      </w:r>
    </w:p>
    <w:p w14:paraId="2C54949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Budianto</w:t>
      </w:r>
      <w:proofErr w:type="spellEnd"/>
      <w:r w:rsidRPr="00C372E4">
        <w:rPr>
          <w:rFonts w:ascii="Times New Roman" w:eastAsia="Times New Roman" w:hAnsi="Times New Roman" w:cs="Times New Roman"/>
          <w:color w:val="000000" w:themeColor="text1"/>
          <w:sz w:val="24"/>
          <w:szCs w:val="24"/>
          <w:lang w:val="en-GB"/>
        </w:rPr>
        <w:t xml:space="preserve">, A. (2020). Legal Research Methodology Reposition in Research on Social Science. </w:t>
      </w:r>
      <w:r w:rsidRPr="00C372E4">
        <w:rPr>
          <w:rFonts w:ascii="Times New Roman" w:eastAsia="Times New Roman" w:hAnsi="Times New Roman" w:cs="Times New Roman"/>
          <w:i/>
          <w:iCs/>
          <w:color w:val="000000" w:themeColor="text1"/>
          <w:sz w:val="24"/>
          <w:szCs w:val="24"/>
          <w:lang w:val="en-GB"/>
        </w:rPr>
        <w:t>International Journal of Criminology and Sociology</w:t>
      </w:r>
      <w:r w:rsidRPr="00C372E4">
        <w:rPr>
          <w:rFonts w:ascii="Times New Roman" w:eastAsia="Times New Roman" w:hAnsi="Times New Roman" w:cs="Times New Roman"/>
          <w:color w:val="000000" w:themeColor="text1"/>
          <w:sz w:val="24"/>
          <w:szCs w:val="24"/>
          <w:lang w:val="en-GB"/>
        </w:rPr>
        <w:t xml:space="preserve">, 9, pp.1339–1346.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://doi.org/10.6000/1929-4409.2020.09.154.</w:t>
      </w:r>
    </w:p>
    <w:p w14:paraId="43D62FA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Burke, C.M. and Morley, M.J. (2022). Toward a non‐organizational theory of human resource management? A complex adaptive systems perspective on the human resource management ecosystem in (con)temporary organizing.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://doi.org/10.1002/hrm.22132.</w:t>
      </w:r>
    </w:p>
    <w:p w14:paraId="0AEF646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 O.U., G, O.O. and </w:t>
      </w:r>
      <w:proofErr w:type="spellStart"/>
      <w:r w:rsidRPr="00C372E4">
        <w:rPr>
          <w:rFonts w:ascii="Times New Roman" w:eastAsia="Times New Roman" w:hAnsi="Times New Roman" w:cs="Times New Roman"/>
          <w:color w:val="000000" w:themeColor="text1"/>
          <w:sz w:val="24"/>
          <w:szCs w:val="24"/>
          <w:lang w:val="en-GB"/>
        </w:rPr>
        <w:t>Abdulfatai</w:t>
      </w:r>
      <w:proofErr w:type="spellEnd"/>
      <w:r w:rsidRPr="00C372E4">
        <w:rPr>
          <w:rFonts w:ascii="Times New Roman" w:eastAsia="Times New Roman" w:hAnsi="Times New Roman" w:cs="Times New Roman"/>
          <w:color w:val="000000" w:themeColor="text1"/>
          <w:sz w:val="24"/>
          <w:szCs w:val="24"/>
          <w:lang w:val="en-GB"/>
        </w:rPr>
        <w:t xml:space="preserve">, Y. (2021). LEADERSHIP AND EFFECTIVE HUMAN RESOURCE MANAGEMENT IN ORGANIZATION. </w:t>
      </w:r>
      <w:proofErr w:type="spellStart"/>
      <w:r w:rsidRPr="00C372E4">
        <w:rPr>
          <w:rFonts w:ascii="Times New Roman" w:eastAsia="Times New Roman" w:hAnsi="Times New Roman" w:cs="Times New Roman"/>
          <w:i/>
          <w:iCs/>
          <w:color w:val="000000" w:themeColor="text1"/>
          <w:sz w:val="24"/>
          <w:szCs w:val="24"/>
          <w:lang w:val="en-GB"/>
        </w:rPr>
        <w:t>Вестник</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Российского</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университета</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дружбы</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народов</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Серия</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Государственное</w:t>
      </w:r>
      <w:proofErr w:type="spellEnd"/>
      <w:r w:rsidRPr="00C372E4">
        <w:rPr>
          <w:rFonts w:ascii="Times New Roman" w:eastAsia="Times New Roman" w:hAnsi="Times New Roman" w:cs="Times New Roman"/>
          <w:i/>
          <w:iCs/>
          <w:color w:val="000000" w:themeColor="text1"/>
          <w:sz w:val="24"/>
          <w:szCs w:val="24"/>
          <w:lang w:val="en-GB"/>
        </w:rPr>
        <w:t xml:space="preserve"> и </w:t>
      </w:r>
      <w:proofErr w:type="spellStart"/>
      <w:r w:rsidRPr="00C372E4">
        <w:rPr>
          <w:rFonts w:ascii="Times New Roman" w:eastAsia="Times New Roman" w:hAnsi="Times New Roman" w:cs="Times New Roman"/>
          <w:i/>
          <w:iCs/>
          <w:color w:val="000000" w:themeColor="text1"/>
          <w:sz w:val="24"/>
          <w:szCs w:val="24"/>
          <w:lang w:val="en-GB"/>
        </w:rPr>
        <w:t>муниципальное</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управление</w:t>
      </w:r>
      <w:proofErr w:type="spellEnd"/>
      <w:r w:rsidRPr="00C372E4">
        <w:rPr>
          <w:rFonts w:ascii="Times New Roman" w:eastAsia="Times New Roman" w:hAnsi="Times New Roman" w:cs="Times New Roman"/>
          <w:color w:val="000000" w:themeColor="text1"/>
          <w:sz w:val="24"/>
          <w:szCs w:val="24"/>
          <w:lang w:val="en-GB"/>
        </w:rPr>
        <w:t>, [online] 8(3), pp.277–296. Available at: https://cyberleninka.ru/article/n/leadership-and-effective-human-resource-management-in-organization.</w:t>
      </w:r>
    </w:p>
    <w:p w14:paraId="1CEC710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Caillier, J.G. (2020). Testing the Influence of Autocratic Leadership, Democratic Leadership, and Public Service Motivation on Citizen Ratings of An Agency Head’s Performance. </w:t>
      </w:r>
      <w:r w:rsidRPr="00C372E4">
        <w:rPr>
          <w:rFonts w:ascii="Times New Roman" w:eastAsia="Times New Roman" w:hAnsi="Times New Roman" w:cs="Times New Roman"/>
          <w:i/>
          <w:iCs/>
          <w:color w:val="000000" w:themeColor="text1"/>
          <w:sz w:val="24"/>
          <w:szCs w:val="24"/>
          <w:lang w:val="en-GB"/>
        </w:rPr>
        <w:t>Public Performance &amp; Management Review</w:t>
      </w:r>
      <w:r w:rsidRPr="00C372E4">
        <w:rPr>
          <w:rFonts w:ascii="Times New Roman" w:eastAsia="Times New Roman" w:hAnsi="Times New Roman" w:cs="Times New Roman"/>
          <w:color w:val="000000" w:themeColor="text1"/>
          <w:sz w:val="24"/>
          <w:szCs w:val="24"/>
          <w:lang w:val="en-GB"/>
        </w:rPr>
        <w:t>, [online] 43(4), pp.1–24. Available at: https://www.tandfonline.com/doi/full/10.1080/15309576.2020.1730919.</w:t>
      </w:r>
    </w:p>
    <w:p w14:paraId="35B8112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Caligiuri, P. and </w:t>
      </w:r>
      <w:proofErr w:type="spellStart"/>
      <w:r w:rsidRPr="00C372E4">
        <w:rPr>
          <w:rFonts w:ascii="Times New Roman" w:eastAsia="Times New Roman" w:hAnsi="Times New Roman" w:cs="Times New Roman"/>
          <w:color w:val="000000" w:themeColor="text1"/>
          <w:sz w:val="24"/>
          <w:szCs w:val="24"/>
          <w:lang w:val="en-GB"/>
        </w:rPr>
        <w:t>Caprar</w:t>
      </w:r>
      <w:proofErr w:type="spellEnd"/>
      <w:r w:rsidRPr="00C372E4">
        <w:rPr>
          <w:rFonts w:ascii="Times New Roman" w:eastAsia="Times New Roman" w:hAnsi="Times New Roman" w:cs="Times New Roman"/>
          <w:color w:val="000000" w:themeColor="text1"/>
          <w:sz w:val="24"/>
          <w:szCs w:val="24"/>
          <w:lang w:val="en-GB"/>
        </w:rPr>
        <w:t xml:space="preserve">, D.V. (2022). Becoming culturally agile: Effectively varying contextual responses through international experience and cross-cultural competencies.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xml:space="preserve">, pp.1–22.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://doi.org/10.1080/09585192.2022.2083918.</w:t>
      </w:r>
    </w:p>
    <w:p w14:paraId="7177AEB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it-IT"/>
        </w:rPr>
        <w:t xml:space="preserve">Caligiuri, P., Cieri, H., Minbaeva, D., Verbeke, A. and Zimmermann, A. (2020). </w:t>
      </w:r>
      <w:r w:rsidRPr="00C372E4">
        <w:rPr>
          <w:rFonts w:ascii="Times New Roman" w:eastAsia="Times New Roman" w:hAnsi="Times New Roman" w:cs="Times New Roman"/>
          <w:color w:val="000000" w:themeColor="text1"/>
          <w:sz w:val="24"/>
          <w:szCs w:val="24"/>
          <w:lang w:val="en-GB"/>
        </w:rPr>
        <w:t xml:space="preserve">International HRM insights for navigating the COVID-19 pandemic: Implications for future research and practice. </w:t>
      </w:r>
      <w:r w:rsidRPr="00C372E4">
        <w:rPr>
          <w:rFonts w:ascii="Times New Roman" w:eastAsia="Times New Roman" w:hAnsi="Times New Roman" w:cs="Times New Roman"/>
          <w:i/>
          <w:iCs/>
          <w:color w:val="000000" w:themeColor="text1"/>
          <w:sz w:val="24"/>
          <w:szCs w:val="24"/>
          <w:lang w:val="en-GB"/>
        </w:rPr>
        <w:t>Journal of International Business Studies</w:t>
      </w:r>
      <w:r w:rsidRPr="00C372E4">
        <w:rPr>
          <w:rFonts w:ascii="Times New Roman" w:eastAsia="Times New Roman" w:hAnsi="Times New Roman" w:cs="Times New Roman"/>
          <w:color w:val="000000" w:themeColor="text1"/>
          <w:sz w:val="24"/>
          <w:szCs w:val="24"/>
          <w:lang w:val="en-GB"/>
        </w:rPr>
        <w:t xml:space="preserve">, [online] 51(5), pp.697–713.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://doi.org/10.1057/s41267-020-00335-9.</w:t>
      </w:r>
    </w:p>
    <w:p w14:paraId="17763AE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Ciuk</w:t>
      </w:r>
      <w:proofErr w:type="spellEnd"/>
      <w:r w:rsidRPr="00C372E4">
        <w:rPr>
          <w:rFonts w:ascii="Times New Roman" w:eastAsia="Times New Roman" w:hAnsi="Times New Roman" w:cs="Times New Roman"/>
          <w:color w:val="000000" w:themeColor="text1"/>
          <w:sz w:val="24"/>
          <w:szCs w:val="24"/>
          <w:lang w:val="en-GB"/>
        </w:rPr>
        <w:t xml:space="preserve">, S., Śliwa, M. and </w:t>
      </w:r>
      <w:proofErr w:type="spellStart"/>
      <w:r w:rsidRPr="00C372E4">
        <w:rPr>
          <w:rFonts w:ascii="Times New Roman" w:eastAsia="Times New Roman" w:hAnsi="Times New Roman" w:cs="Times New Roman"/>
          <w:color w:val="000000" w:themeColor="text1"/>
          <w:sz w:val="24"/>
          <w:szCs w:val="24"/>
          <w:lang w:val="en-GB"/>
        </w:rPr>
        <w:t>Harzing</w:t>
      </w:r>
      <w:proofErr w:type="spellEnd"/>
      <w:r w:rsidRPr="00C372E4">
        <w:rPr>
          <w:rFonts w:ascii="Times New Roman" w:eastAsia="Times New Roman" w:hAnsi="Times New Roman" w:cs="Times New Roman"/>
          <w:color w:val="000000" w:themeColor="text1"/>
          <w:sz w:val="24"/>
          <w:szCs w:val="24"/>
          <w:lang w:val="en-GB"/>
        </w:rPr>
        <w:t xml:space="preserve">, A. (2022). Implementing the equality, diversity, and inclusion agenda in multinational companies: A framework for the management of (linguistic) diversity.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[online]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://doi.org/10.1111/1748-8583.12487.</w:t>
      </w:r>
    </w:p>
    <w:p w14:paraId="2DBEB8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Collins, C.J. (2021). Expanding the resource based view model of strategic human resource management.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32(2), pp.1–28.</w:t>
      </w:r>
    </w:p>
    <w:p w14:paraId="08B9587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Cooke, F.L., Liu, M., Liu, L.A. and Chen, C.C. (2019). Human resource management and industrial relations in multinational corporations in and from China: Challenges and new insights.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58(5), pp.455–471.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://doi.org/10.1002/hrm.21986.</w:t>
      </w:r>
    </w:p>
    <w:p w14:paraId="49830BF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Cooke, F.L., Schuler, R. and Varma, A. (2020). Human resource management research and practice in Asia: Past, present and future.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[online] 30(4), p.100778.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://doi.org/10.1016/j.hrmr.2020.100778.</w:t>
      </w:r>
    </w:p>
    <w:p w14:paraId="436EFAE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Cooke, F.L., Wood, G., Wang, M. and Veen, A. (2019b). How far has international HRM travelled? A systematic review of literature on multinational corporations (2000–2014).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[online] 29(1), pp.59–75.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://doi.org/10.1016/j.hrmr.2018.05.001.</w:t>
      </w:r>
    </w:p>
    <w:p w14:paraId="139CCA5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DeNisi, A., Murphy, K., Varma, A. and </w:t>
      </w:r>
      <w:proofErr w:type="spellStart"/>
      <w:r w:rsidRPr="00C372E4">
        <w:rPr>
          <w:rFonts w:ascii="Times New Roman" w:eastAsia="Times New Roman" w:hAnsi="Times New Roman" w:cs="Times New Roman"/>
          <w:color w:val="000000" w:themeColor="text1"/>
          <w:sz w:val="24"/>
          <w:szCs w:val="24"/>
          <w:lang w:val="en-GB"/>
        </w:rPr>
        <w:t>Budhwar</w:t>
      </w:r>
      <w:proofErr w:type="spellEnd"/>
      <w:r w:rsidRPr="00C372E4">
        <w:rPr>
          <w:rFonts w:ascii="Times New Roman" w:eastAsia="Times New Roman" w:hAnsi="Times New Roman" w:cs="Times New Roman"/>
          <w:color w:val="000000" w:themeColor="text1"/>
          <w:sz w:val="24"/>
          <w:szCs w:val="24"/>
          <w:lang w:val="en-GB"/>
        </w:rPr>
        <w:t xml:space="preserve">, P. (2021). Performance management systems and multinational enterprises: Where we are and where we should go.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60(5), pp.707–713.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://doi.org/10.1002/hrm.22080.</w:t>
      </w:r>
    </w:p>
    <w:p w14:paraId="010B0B3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Devi, A.D. and </w:t>
      </w:r>
      <w:proofErr w:type="spellStart"/>
      <w:r w:rsidRPr="00C372E4">
        <w:rPr>
          <w:rFonts w:ascii="Times New Roman" w:eastAsia="Times New Roman" w:hAnsi="Times New Roman" w:cs="Times New Roman"/>
          <w:color w:val="000000" w:themeColor="text1"/>
          <w:sz w:val="24"/>
          <w:szCs w:val="24"/>
          <w:lang w:val="en-GB"/>
        </w:rPr>
        <w:t>Subiyantoro</w:t>
      </w:r>
      <w:proofErr w:type="spellEnd"/>
      <w:r w:rsidRPr="00C372E4">
        <w:rPr>
          <w:rFonts w:ascii="Times New Roman" w:eastAsia="Times New Roman" w:hAnsi="Times New Roman" w:cs="Times New Roman"/>
          <w:color w:val="000000" w:themeColor="text1"/>
          <w:sz w:val="24"/>
          <w:szCs w:val="24"/>
          <w:lang w:val="en-GB"/>
        </w:rPr>
        <w:t xml:space="preserve">, S. (2021). Implementation of Democratic Leadership Style and Transformational Head of Madrasah in Improving The Quality. </w:t>
      </w:r>
      <w:proofErr w:type="spellStart"/>
      <w:r w:rsidRPr="00C372E4">
        <w:rPr>
          <w:rFonts w:ascii="Times New Roman" w:eastAsia="Times New Roman" w:hAnsi="Times New Roman" w:cs="Times New Roman"/>
          <w:i/>
          <w:iCs/>
          <w:color w:val="000000" w:themeColor="text1"/>
          <w:sz w:val="24"/>
          <w:szCs w:val="24"/>
          <w:lang w:val="en-GB"/>
        </w:rPr>
        <w:t>Nidhomul</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Haq</w:t>
      </w:r>
      <w:proofErr w:type="spellEnd"/>
      <w:r w:rsidRPr="00C372E4">
        <w:rPr>
          <w:rFonts w:ascii="Times New Roman" w:eastAsia="Times New Roman" w:hAnsi="Times New Roman" w:cs="Times New Roman"/>
          <w:i/>
          <w:iCs/>
          <w:color w:val="000000" w:themeColor="text1"/>
          <w:sz w:val="24"/>
          <w:szCs w:val="24"/>
          <w:lang w:val="en-GB"/>
        </w:rPr>
        <w:t xml:space="preserve"> : </w:t>
      </w:r>
      <w:proofErr w:type="spellStart"/>
      <w:r w:rsidRPr="00C372E4">
        <w:rPr>
          <w:rFonts w:ascii="Times New Roman" w:eastAsia="Times New Roman" w:hAnsi="Times New Roman" w:cs="Times New Roman"/>
          <w:i/>
          <w:iCs/>
          <w:color w:val="000000" w:themeColor="text1"/>
          <w:sz w:val="24"/>
          <w:szCs w:val="24"/>
          <w:lang w:val="en-GB"/>
        </w:rPr>
        <w:t>Jurnal</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Manajemen</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Pendidikan</w:t>
      </w:r>
      <w:proofErr w:type="spellEnd"/>
      <w:r w:rsidRPr="00C372E4">
        <w:rPr>
          <w:rFonts w:ascii="Times New Roman" w:eastAsia="Times New Roman" w:hAnsi="Times New Roman" w:cs="Times New Roman"/>
          <w:i/>
          <w:iCs/>
          <w:color w:val="000000" w:themeColor="text1"/>
          <w:sz w:val="24"/>
          <w:szCs w:val="24"/>
          <w:lang w:val="en-GB"/>
        </w:rPr>
        <w:t xml:space="preserve"> Islam</w:t>
      </w:r>
      <w:r w:rsidRPr="00C372E4">
        <w:rPr>
          <w:rFonts w:ascii="Times New Roman" w:eastAsia="Times New Roman" w:hAnsi="Times New Roman" w:cs="Times New Roman"/>
          <w:color w:val="000000" w:themeColor="text1"/>
          <w:sz w:val="24"/>
          <w:szCs w:val="24"/>
          <w:lang w:val="en-GB"/>
        </w:rPr>
        <w:t xml:space="preserve">, [online] 6(1), pp.14–26.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://doi.org/10.31538/ndh.v6i1.1162.</w:t>
      </w:r>
    </w:p>
    <w:p w14:paraId="1FBA7C9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Dobrin, C. (2021). Does Organizational Culture Influence Job Satisfaction? A Comparative Analysis of Two Multinational Companies. </w:t>
      </w:r>
      <w:proofErr w:type="spellStart"/>
      <w:r w:rsidRPr="00C372E4">
        <w:rPr>
          <w:rFonts w:ascii="Times New Roman" w:eastAsia="Times New Roman" w:hAnsi="Times New Roman" w:cs="Times New Roman"/>
          <w:i/>
          <w:iCs/>
          <w:color w:val="000000" w:themeColor="text1"/>
          <w:sz w:val="24"/>
          <w:szCs w:val="24"/>
          <w:lang w:val="en-GB"/>
        </w:rPr>
        <w:t>Revista</w:t>
      </w:r>
      <w:proofErr w:type="spellEnd"/>
      <w:r w:rsidRPr="00C372E4">
        <w:rPr>
          <w:rFonts w:ascii="Times New Roman" w:eastAsia="Times New Roman" w:hAnsi="Times New Roman" w:cs="Times New Roman"/>
          <w:i/>
          <w:iCs/>
          <w:color w:val="000000" w:themeColor="text1"/>
          <w:sz w:val="24"/>
          <w:szCs w:val="24"/>
          <w:lang w:val="en-GB"/>
        </w:rPr>
        <w:t xml:space="preserve"> de Management </w:t>
      </w:r>
      <w:proofErr w:type="spellStart"/>
      <w:r w:rsidRPr="00C372E4">
        <w:rPr>
          <w:rFonts w:ascii="Times New Roman" w:eastAsia="Times New Roman" w:hAnsi="Times New Roman" w:cs="Times New Roman"/>
          <w:i/>
          <w:iCs/>
          <w:color w:val="000000" w:themeColor="text1"/>
          <w:sz w:val="24"/>
          <w:szCs w:val="24"/>
          <w:lang w:val="en-GB"/>
        </w:rPr>
        <w:t>Comparat</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Internațional</w:t>
      </w:r>
      <w:proofErr w:type="spellEnd"/>
      <w:r w:rsidRPr="00C372E4">
        <w:rPr>
          <w:rFonts w:ascii="Times New Roman" w:eastAsia="Times New Roman" w:hAnsi="Times New Roman" w:cs="Times New Roman"/>
          <w:color w:val="000000" w:themeColor="text1"/>
          <w:sz w:val="24"/>
          <w:szCs w:val="24"/>
          <w:lang w:val="en-GB"/>
        </w:rPr>
        <w:t>, [online] 22(2), pp.138–157. Available at: https://www.ceeol.com/search/article-detail?id=1047326.</w:t>
      </w:r>
    </w:p>
    <w:p w14:paraId="5049D85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Duggan, J., Sherman, U., Carbery, R. and McDonnell, A. (2019). Algorithmic management and app‐work in the gig economy: A research agenda for employment relations and HRM.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[online] 30(1), pp.114–132.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://doi.org/10.1111/1748-8583.12258.</w:t>
      </w:r>
    </w:p>
    <w:p w14:paraId="3BFD44C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Eden, L. and Nielsen, B.B. (2020). Research methods in international business: The challenge of complexity. </w:t>
      </w:r>
      <w:r w:rsidRPr="00C372E4">
        <w:rPr>
          <w:rFonts w:ascii="Times New Roman" w:eastAsia="Times New Roman" w:hAnsi="Times New Roman" w:cs="Times New Roman"/>
          <w:i/>
          <w:iCs/>
          <w:color w:val="000000" w:themeColor="text1"/>
          <w:sz w:val="24"/>
          <w:szCs w:val="24"/>
          <w:lang w:val="en-GB"/>
        </w:rPr>
        <w:t>Journal of International Business Studies</w:t>
      </w:r>
      <w:r w:rsidRPr="00C372E4">
        <w:rPr>
          <w:rFonts w:ascii="Times New Roman" w:eastAsia="Times New Roman" w:hAnsi="Times New Roman" w:cs="Times New Roman"/>
          <w:color w:val="000000" w:themeColor="text1"/>
          <w:sz w:val="24"/>
          <w:szCs w:val="24"/>
          <w:lang w:val="en-GB"/>
        </w:rPr>
        <w:t xml:space="preserve">, 51(9).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://doi.org/10.1057/s41267-020-00374-2.</w:t>
      </w:r>
    </w:p>
    <w:p w14:paraId="7E446D3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Edwards, T., Schnyder, G. and </w:t>
      </w:r>
      <w:proofErr w:type="spellStart"/>
      <w:r w:rsidRPr="00C372E4">
        <w:rPr>
          <w:rFonts w:ascii="Times New Roman" w:eastAsia="Times New Roman" w:hAnsi="Times New Roman" w:cs="Times New Roman"/>
          <w:color w:val="000000" w:themeColor="text1"/>
          <w:sz w:val="24"/>
          <w:szCs w:val="24"/>
          <w:lang w:val="en-GB"/>
        </w:rPr>
        <w:t>Fortwengel</w:t>
      </w:r>
      <w:proofErr w:type="spellEnd"/>
      <w:r w:rsidRPr="00C372E4">
        <w:rPr>
          <w:rFonts w:ascii="Times New Roman" w:eastAsia="Times New Roman" w:hAnsi="Times New Roman" w:cs="Times New Roman"/>
          <w:color w:val="000000" w:themeColor="text1"/>
          <w:sz w:val="24"/>
          <w:szCs w:val="24"/>
          <w:lang w:val="en-GB"/>
        </w:rPr>
        <w:t xml:space="preserve">, J. (2019). Mapping the impact of home‐ and host‐country institutions on human resource management in emerging market multinational companies: A conceptual framework. </w:t>
      </w:r>
      <w:r w:rsidRPr="00C372E4">
        <w:rPr>
          <w:rFonts w:ascii="Times New Roman" w:eastAsia="Times New Roman" w:hAnsi="Times New Roman" w:cs="Times New Roman"/>
          <w:i/>
          <w:iCs/>
          <w:color w:val="000000" w:themeColor="text1"/>
          <w:sz w:val="24"/>
          <w:szCs w:val="24"/>
          <w:lang w:val="en-GB"/>
        </w:rPr>
        <w:t>Thunderbird International Business Review</w:t>
      </w:r>
      <w:r w:rsidRPr="00C372E4">
        <w:rPr>
          <w:rFonts w:ascii="Times New Roman" w:eastAsia="Times New Roman" w:hAnsi="Times New Roman" w:cs="Times New Roman"/>
          <w:color w:val="000000" w:themeColor="text1"/>
          <w:sz w:val="24"/>
          <w:szCs w:val="24"/>
          <w:lang w:val="en-GB"/>
        </w:rPr>
        <w:t xml:space="preserve">, 61(3), pp.531–544.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://doi.org/10.1002/tie.22036.</w:t>
      </w:r>
    </w:p>
    <w:p w14:paraId="221FD36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Edwards, T., Tregaskis, O. and McDonnell, A. (2020). Towards an understanding of configurational and national influences on international integration in the HR function in MNCs. </w:t>
      </w:r>
      <w:r w:rsidRPr="00C372E4">
        <w:rPr>
          <w:rFonts w:ascii="Times New Roman" w:eastAsia="Times New Roman" w:hAnsi="Times New Roman" w:cs="Times New Roman"/>
          <w:i/>
          <w:iCs/>
          <w:color w:val="000000" w:themeColor="text1"/>
          <w:sz w:val="24"/>
          <w:szCs w:val="24"/>
          <w:lang w:val="en-GB"/>
        </w:rPr>
        <w:t>The International Journal of Human Resource Management</w:t>
      </w:r>
      <w:r w:rsidRPr="00C372E4">
        <w:rPr>
          <w:rFonts w:ascii="Times New Roman" w:eastAsia="Times New Roman" w:hAnsi="Times New Roman" w:cs="Times New Roman"/>
          <w:color w:val="000000" w:themeColor="text1"/>
          <w:sz w:val="24"/>
          <w:szCs w:val="24"/>
          <w:lang w:val="en-GB"/>
        </w:rPr>
        <w:t xml:space="preserve">, pp.1–26.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://doi.org/10.1080/09585192.2020.1771399.</w:t>
      </w:r>
    </w:p>
    <w:p w14:paraId="39FD848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Einarsen, S.V., Hoel, H., Zapf, D. and Cooper, C.L. (2020). </w:t>
      </w:r>
      <w:r w:rsidRPr="00C372E4">
        <w:rPr>
          <w:rFonts w:ascii="Times New Roman" w:eastAsia="Times New Roman" w:hAnsi="Times New Roman" w:cs="Times New Roman"/>
          <w:i/>
          <w:iCs/>
          <w:color w:val="000000" w:themeColor="text1"/>
          <w:sz w:val="24"/>
          <w:szCs w:val="24"/>
          <w:lang w:val="en-GB"/>
        </w:rPr>
        <w:t>Bullying and Harassment in the Workplace: Theory, Research and Practice</w:t>
      </w:r>
      <w:r w:rsidRPr="00C372E4">
        <w:rPr>
          <w:rFonts w:ascii="Times New Roman" w:eastAsia="Times New Roman" w:hAnsi="Times New Roman" w:cs="Times New Roman"/>
          <w:color w:val="000000" w:themeColor="text1"/>
          <w:sz w:val="24"/>
          <w:szCs w:val="24"/>
          <w:lang w:val="en-GB"/>
        </w:rPr>
        <w:t xml:space="preserve">. [online] </w:t>
      </w:r>
      <w:r w:rsidRPr="00C372E4">
        <w:rPr>
          <w:rFonts w:ascii="Times New Roman" w:eastAsia="Times New Roman" w:hAnsi="Times New Roman" w:cs="Times New Roman"/>
          <w:i/>
          <w:iCs/>
          <w:color w:val="000000" w:themeColor="text1"/>
          <w:sz w:val="24"/>
          <w:szCs w:val="24"/>
          <w:lang w:val="en-GB"/>
        </w:rPr>
        <w:t>Google Books</w:t>
      </w:r>
      <w:r w:rsidRPr="00C372E4">
        <w:rPr>
          <w:rFonts w:ascii="Times New Roman" w:eastAsia="Times New Roman" w:hAnsi="Times New Roman" w:cs="Times New Roman"/>
          <w:color w:val="000000" w:themeColor="text1"/>
          <w:sz w:val="24"/>
          <w:szCs w:val="24"/>
          <w:lang w:val="en-GB"/>
        </w:rPr>
        <w:t>. CRC Press. Available at: https://books.google.com/books?hl=en&amp;lr=&amp;id=jGPcDwAAQBAJ&amp;oi=fnd&amp;pg=PA435&amp;dq=cross-cultural+conflicts+in+the+workplace&amp;ots=LoPh6sDtgp&amp;sig=gYsHk3c8R1iJ8nrIv4SUNGWqX_c [Accessed 1 Sep. 2023].</w:t>
      </w:r>
    </w:p>
    <w:p w14:paraId="4DD15F9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Eizaguirre</w:t>
      </w:r>
      <w:proofErr w:type="spellEnd"/>
      <w:r w:rsidRPr="00C372E4">
        <w:rPr>
          <w:rFonts w:ascii="Times New Roman" w:eastAsia="Times New Roman" w:hAnsi="Times New Roman" w:cs="Times New Roman"/>
          <w:color w:val="000000" w:themeColor="text1"/>
          <w:sz w:val="24"/>
          <w:szCs w:val="24"/>
          <w:lang w:val="en-GB"/>
        </w:rPr>
        <w:t xml:space="preserve">, S. and </w:t>
      </w:r>
      <w:proofErr w:type="spellStart"/>
      <w:r w:rsidRPr="00C372E4">
        <w:rPr>
          <w:rFonts w:ascii="Times New Roman" w:eastAsia="Times New Roman" w:hAnsi="Times New Roman" w:cs="Times New Roman"/>
          <w:color w:val="000000" w:themeColor="text1"/>
          <w:sz w:val="24"/>
          <w:szCs w:val="24"/>
          <w:lang w:val="en-GB"/>
        </w:rPr>
        <w:t>Parés</w:t>
      </w:r>
      <w:proofErr w:type="spellEnd"/>
      <w:r w:rsidRPr="00C372E4">
        <w:rPr>
          <w:rFonts w:ascii="Times New Roman" w:eastAsia="Times New Roman" w:hAnsi="Times New Roman" w:cs="Times New Roman"/>
          <w:color w:val="000000" w:themeColor="text1"/>
          <w:sz w:val="24"/>
          <w:szCs w:val="24"/>
          <w:lang w:val="en-GB"/>
        </w:rPr>
        <w:t xml:space="preserve">, M. (2018). Communities making social change from below. Social innovation and democratic leadership in two disenfranchised neighbourhoods in Barcelona. </w:t>
      </w:r>
      <w:r w:rsidRPr="00C372E4">
        <w:rPr>
          <w:rFonts w:ascii="Times New Roman" w:eastAsia="Times New Roman" w:hAnsi="Times New Roman" w:cs="Times New Roman"/>
          <w:i/>
          <w:iCs/>
          <w:color w:val="000000" w:themeColor="text1"/>
          <w:sz w:val="24"/>
          <w:szCs w:val="24"/>
          <w:lang w:val="en-GB"/>
        </w:rPr>
        <w:t>Urban Research &amp; Practice</w:t>
      </w:r>
      <w:r w:rsidRPr="00C372E4">
        <w:rPr>
          <w:rFonts w:ascii="Times New Roman" w:eastAsia="Times New Roman" w:hAnsi="Times New Roman" w:cs="Times New Roman"/>
          <w:color w:val="000000" w:themeColor="text1"/>
          <w:sz w:val="24"/>
          <w:szCs w:val="24"/>
          <w:lang w:val="en-GB"/>
        </w:rPr>
        <w:t xml:space="preserve">, 12(2), pp.173–191.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://doi.org/10.1080/17535069.2018.1426782.</w:t>
      </w:r>
    </w:p>
    <w:p w14:paraId="744E1BE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Falletta, S.V. and Combs, W.L. (2020). The HR analytics cycle: a seven-step process for building evidence-based and ethical HR analytics capabilities. </w:t>
      </w:r>
      <w:r w:rsidRPr="00C372E4">
        <w:rPr>
          <w:rFonts w:ascii="Times New Roman" w:eastAsia="Times New Roman" w:hAnsi="Times New Roman" w:cs="Times New Roman"/>
          <w:i/>
          <w:iCs/>
          <w:color w:val="000000" w:themeColor="text1"/>
          <w:sz w:val="24"/>
          <w:szCs w:val="24"/>
          <w:lang w:val="en-GB"/>
        </w:rPr>
        <w:t>Journal of Work-Applied Management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://doi.org/10.1108/jwam-03-2020-0020.</w:t>
      </w:r>
    </w:p>
    <w:p w14:paraId="7391F94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Farndale, E., </w:t>
      </w:r>
      <w:proofErr w:type="spellStart"/>
      <w:r w:rsidRPr="00C372E4">
        <w:rPr>
          <w:rFonts w:ascii="Times New Roman" w:eastAsia="Times New Roman" w:hAnsi="Times New Roman" w:cs="Times New Roman"/>
          <w:color w:val="000000" w:themeColor="text1"/>
          <w:sz w:val="24"/>
          <w:szCs w:val="24"/>
          <w:lang w:val="en-GB"/>
        </w:rPr>
        <w:t>Bonache</w:t>
      </w:r>
      <w:proofErr w:type="spellEnd"/>
      <w:r w:rsidRPr="00C372E4">
        <w:rPr>
          <w:rFonts w:ascii="Times New Roman" w:eastAsia="Times New Roman" w:hAnsi="Times New Roman" w:cs="Times New Roman"/>
          <w:color w:val="000000" w:themeColor="text1"/>
          <w:sz w:val="24"/>
          <w:szCs w:val="24"/>
          <w:lang w:val="en-GB"/>
        </w:rPr>
        <w:t xml:space="preserve">, J., McDonnell, A. and Kwon, B. (2022). Positioning context front and </w:t>
      </w:r>
      <w:proofErr w:type="spellStart"/>
      <w:r w:rsidRPr="00C372E4">
        <w:rPr>
          <w:rFonts w:ascii="Times New Roman" w:eastAsia="Times New Roman" w:hAnsi="Times New Roman" w:cs="Times New Roman"/>
          <w:color w:val="000000" w:themeColor="text1"/>
          <w:sz w:val="24"/>
          <w:szCs w:val="24"/>
          <w:lang w:val="en-GB"/>
        </w:rPr>
        <w:t>center</w:t>
      </w:r>
      <w:proofErr w:type="spellEnd"/>
      <w:r w:rsidRPr="00C372E4">
        <w:rPr>
          <w:rFonts w:ascii="Times New Roman" w:eastAsia="Times New Roman" w:hAnsi="Times New Roman" w:cs="Times New Roman"/>
          <w:color w:val="000000" w:themeColor="text1"/>
          <w:sz w:val="24"/>
          <w:szCs w:val="24"/>
          <w:lang w:val="en-GB"/>
        </w:rPr>
        <w:t xml:space="preserve"> in international human resource management research.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33(1).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://doi.org/10.1111/1748-8583.12483.</w:t>
      </w:r>
    </w:p>
    <w:p w14:paraId="42163E1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Genest, J. (2021). </w:t>
      </w:r>
      <w:r w:rsidRPr="00C372E4">
        <w:rPr>
          <w:rFonts w:ascii="Times New Roman" w:eastAsia="Times New Roman" w:hAnsi="Times New Roman" w:cs="Times New Roman"/>
          <w:i/>
          <w:iCs/>
          <w:color w:val="000000" w:themeColor="text1"/>
          <w:sz w:val="24"/>
          <w:szCs w:val="24"/>
          <w:lang w:val="en-GB"/>
        </w:rPr>
        <w:t>Democratic Leadership Style</w:t>
      </w:r>
      <w:r w:rsidRPr="00C372E4">
        <w:rPr>
          <w:rFonts w:ascii="Times New Roman" w:eastAsia="Times New Roman" w:hAnsi="Times New Roman" w:cs="Times New Roman"/>
          <w:color w:val="000000" w:themeColor="text1"/>
          <w:sz w:val="24"/>
          <w:szCs w:val="24"/>
          <w:lang w:val="en-GB"/>
        </w:rPr>
        <w:t>. [online] Investigations of a Dog. Available at: https://investigationsquality.com/2021/03/21/democratic-leadership-style/ [Accessed 2023].</w:t>
      </w:r>
    </w:p>
    <w:p w14:paraId="6A59C67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George, B., Li, C. and Hou, Y. (2020). Human Resource Management Strategies in the Chinese Multinational Corporations: Ideology, Institutions, and Culture. </w:t>
      </w:r>
      <w:proofErr w:type="spellStart"/>
      <w:r w:rsidRPr="00C372E4">
        <w:rPr>
          <w:rFonts w:ascii="Times New Roman" w:eastAsia="Times New Roman" w:hAnsi="Times New Roman" w:cs="Times New Roman"/>
          <w:i/>
          <w:iCs/>
          <w:color w:val="000000" w:themeColor="text1"/>
          <w:sz w:val="24"/>
          <w:szCs w:val="24"/>
          <w:lang w:val="en-GB"/>
        </w:rPr>
        <w:t>Ecoforum</w:t>
      </w:r>
      <w:proofErr w:type="spellEnd"/>
      <w:r w:rsidRPr="00C372E4">
        <w:rPr>
          <w:rFonts w:ascii="Times New Roman" w:eastAsia="Times New Roman" w:hAnsi="Times New Roman" w:cs="Times New Roman"/>
          <w:i/>
          <w:iCs/>
          <w:color w:val="000000" w:themeColor="text1"/>
          <w:sz w:val="24"/>
          <w:szCs w:val="24"/>
          <w:lang w:val="en-GB"/>
        </w:rPr>
        <w:t xml:space="preserve"> Journal</w:t>
      </w:r>
      <w:r w:rsidRPr="00C372E4">
        <w:rPr>
          <w:rFonts w:ascii="Times New Roman" w:eastAsia="Times New Roman" w:hAnsi="Times New Roman" w:cs="Times New Roman"/>
          <w:color w:val="000000" w:themeColor="text1"/>
          <w:sz w:val="24"/>
          <w:szCs w:val="24"/>
          <w:lang w:val="en-GB"/>
        </w:rPr>
        <w:t>, [online] 9(3). Available at: http://ecoforumjournal.ro/index.php/eco/article/view/1117/0 [Accessed 29 Aug. 2023].</w:t>
      </w:r>
    </w:p>
    <w:p w14:paraId="111F743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Glazyrina</w:t>
      </w:r>
      <w:proofErr w:type="spellEnd"/>
      <w:r w:rsidRPr="00C372E4">
        <w:rPr>
          <w:rFonts w:ascii="Times New Roman" w:eastAsia="Times New Roman" w:hAnsi="Times New Roman" w:cs="Times New Roman"/>
          <w:color w:val="000000" w:themeColor="text1"/>
          <w:sz w:val="24"/>
          <w:szCs w:val="24"/>
          <w:lang w:val="en-GB"/>
        </w:rPr>
        <w:t xml:space="preserve">, M. (2020). </w:t>
      </w:r>
      <w:r w:rsidRPr="00C372E4">
        <w:rPr>
          <w:rFonts w:ascii="Times New Roman" w:eastAsia="Times New Roman" w:hAnsi="Times New Roman" w:cs="Times New Roman"/>
          <w:i/>
          <w:iCs/>
          <w:color w:val="000000" w:themeColor="text1"/>
          <w:sz w:val="24"/>
          <w:szCs w:val="24"/>
          <w:lang w:val="en-GB"/>
        </w:rPr>
        <w:t>Human Resource Management Challenges of International Business and Their Possible Solutions</w:t>
      </w:r>
      <w:r w:rsidRPr="00C372E4">
        <w:rPr>
          <w:rFonts w:ascii="Times New Roman" w:eastAsia="Times New Roman" w:hAnsi="Times New Roman" w:cs="Times New Roman"/>
          <w:color w:val="000000" w:themeColor="text1"/>
          <w:sz w:val="24"/>
          <w:szCs w:val="24"/>
          <w:lang w:val="en-GB"/>
        </w:rPr>
        <w:t>. [online] www.theseus.fi. Available at: https://www.theseus.fi/handle/10024/349355 [Accessed 2023].</w:t>
      </w:r>
    </w:p>
    <w:p w14:paraId="7EBAF3B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Groenland</w:t>
      </w:r>
      <w:proofErr w:type="spellEnd"/>
      <w:r w:rsidRPr="00C372E4">
        <w:rPr>
          <w:rFonts w:ascii="Times New Roman" w:eastAsia="Times New Roman" w:hAnsi="Times New Roman" w:cs="Times New Roman"/>
          <w:color w:val="000000" w:themeColor="text1"/>
          <w:sz w:val="24"/>
          <w:szCs w:val="24"/>
          <w:lang w:val="en-GB"/>
        </w:rPr>
        <w:t xml:space="preserve">, E.A.G. (2016). Using the Matrix Method for the Analysis of Deductive, Qualitative Research Data. An Introduction with an Annotated Illustration. </w:t>
      </w:r>
      <w:r w:rsidRPr="00C372E4">
        <w:rPr>
          <w:rFonts w:ascii="Times New Roman" w:eastAsia="Times New Roman" w:hAnsi="Times New Roman" w:cs="Times New Roman"/>
          <w:i/>
          <w:iCs/>
          <w:color w:val="000000" w:themeColor="text1"/>
          <w:sz w:val="24"/>
          <w:szCs w:val="24"/>
          <w:lang w:val="en-GB"/>
        </w:rPr>
        <w:t>SSRN Electronic Journal</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://doi.org/10.2139/ssrn.2769834.</w:t>
      </w:r>
    </w:p>
    <w:p w14:paraId="6523BB9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Han, J.H., Kang, S., Oh, I.-S., Kehoe, R.R. and Lepak, D.P. (2019). The Goldilocks Effect of Strategic Human Resource Management? Optimizing the Benefits of a High-Performance Work System Through the Dual Alignment of Vertical and Horizontal Fit. </w:t>
      </w:r>
      <w:r w:rsidRPr="00C372E4">
        <w:rPr>
          <w:rFonts w:ascii="Times New Roman" w:eastAsia="Times New Roman" w:hAnsi="Times New Roman" w:cs="Times New Roman"/>
          <w:i/>
          <w:iCs/>
          <w:color w:val="000000" w:themeColor="text1"/>
          <w:sz w:val="24"/>
          <w:szCs w:val="24"/>
          <w:lang w:val="en-GB"/>
        </w:rPr>
        <w:t>Academy of Management Journal</w:t>
      </w:r>
      <w:r w:rsidRPr="00C372E4">
        <w:rPr>
          <w:rFonts w:ascii="Times New Roman" w:eastAsia="Times New Roman" w:hAnsi="Times New Roman" w:cs="Times New Roman"/>
          <w:color w:val="000000" w:themeColor="text1"/>
          <w:sz w:val="24"/>
          <w:szCs w:val="24"/>
          <w:lang w:val="en-GB"/>
        </w:rPr>
        <w:t xml:space="preserve">, 62(5), pp.1388–1412.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://doi.org/10.5465/amj.2016.1187.</w:t>
      </w:r>
    </w:p>
    <w:p w14:paraId="26E09E7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Hansen, U.E., Larsen, T.H., Bhasin, S., Burgers, R. and Larsen, H. (2020). Innovation capability building in subsidiaries of multinational companies in emerging economies: Insights from the wind turbine industry. </w:t>
      </w:r>
      <w:r w:rsidRPr="00C372E4">
        <w:rPr>
          <w:rFonts w:ascii="Times New Roman" w:eastAsia="Times New Roman" w:hAnsi="Times New Roman" w:cs="Times New Roman"/>
          <w:i/>
          <w:iCs/>
          <w:color w:val="000000" w:themeColor="text1"/>
          <w:sz w:val="24"/>
          <w:szCs w:val="24"/>
          <w:lang w:val="en-GB"/>
        </w:rPr>
        <w:t>Journal of Cleaner Production</w:t>
      </w:r>
      <w:r w:rsidRPr="00C372E4">
        <w:rPr>
          <w:rFonts w:ascii="Times New Roman" w:eastAsia="Times New Roman" w:hAnsi="Times New Roman" w:cs="Times New Roman"/>
          <w:color w:val="000000" w:themeColor="text1"/>
          <w:sz w:val="24"/>
          <w:szCs w:val="24"/>
          <w:lang w:val="en-GB"/>
        </w:rPr>
        <w:t xml:space="preserve">, 244, p.118746.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://doi.org/10.1016/j.jclepro.2019.118746.</w:t>
      </w:r>
    </w:p>
    <w:p w14:paraId="122B484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Hong, P.C., Singh, N.P., Elangovan, N. and Yeon, G. (2022). Responding to pandemic challenges: leadership lessons from multinational enterprises (MNEs) in India. </w:t>
      </w:r>
      <w:r w:rsidRPr="00C372E4">
        <w:rPr>
          <w:rFonts w:ascii="Times New Roman" w:eastAsia="Times New Roman" w:hAnsi="Times New Roman" w:cs="Times New Roman"/>
          <w:i/>
          <w:iCs/>
          <w:color w:val="000000" w:themeColor="text1"/>
          <w:sz w:val="24"/>
          <w:szCs w:val="24"/>
          <w:lang w:val="en-GB"/>
        </w:rPr>
        <w:t>Journal of Management Development</w:t>
      </w:r>
      <w:r w:rsidRPr="00C372E4">
        <w:rPr>
          <w:rFonts w:ascii="Times New Roman" w:eastAsia="Times New Roman" w:hAnsi="Times New Roman" w:cs="Times New Roman"/>
          <w:color w:val="000000" w:themeColor="text1"/>
          <w:sz w:val="24"/>
          <w:szCs w:val="24"/>
          <w:lang w:val="en-GB"/>
        </w:rPr>
        <w:t xml:space="preserve">, 41(4), pp.205–222.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://doi.org/10.1108/jmd-11-2021-0309.</w:t>
      </w:r>
    </w:p>
    <w:p w14:paraId="218126A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Horak, S. and </w:t>
      </w:r>
      <w:proofErr w:type="spellStart"/>
      <w:r w:rsidRPr="00C372E4">
        <w:rPr>
          <w:rFonts w:ascii="Times New Roman" w:eastAsia="Times New Roman" w:hAnsi="Times New Roman" w:cs="Times New Roman"/>
          <w:color w:val="000000" w:themeColor="text1"/>
          <w:sz w:val="24"/>
          <w:szCs w:val="24"/>
          <w:lang w:val="en-GB"/>
        </w:rPr>
        <w:t>Suseno</w:t>
      </w:r>
      <w:proofErr w:type="spellEnd"/>
      <w:r w:rsidRPr="00C372E4">
        <w:rPr>
          <w:rFonts w:ascii="Times New Roman" w:eastAsia="Times New Roman" w:hAnsi="Times New Roman" w:cs="Times New Roman"/>
          <w:color w:val="000000" w:themeColor="text1"/>
          <w:sz w:val="24"/>
          <w:szCs w:val="24"/>
          <w:lang w:val="en-GB"/>
        </w:rPr>
        <w:t xml:space="preserve">, Y. (2022). Informal Networks, Informal Institutions, and Social Exclusion in the Workplace: Insights from Subsidiaries of Multinational Corporations in Korea. </w:t>
      </w:r>
      <w:r w:rsidRPr="00C372E4">
        <w:rPr>
          <w:rFonts w:ascii="Times New Roman" w:eastAsia="Times New Roman" w:hAnsi="Times New Roman" w:cs="Times New Roman"/>
          <w:i/>
          <w:iCs/>
          <w:color w:val="000000" w:themeColor="text1"/>
          <w:sz w:val="24"/>
          <w:szCs w:val="24"/>
          <w:lang w:val="en-GB"/>
        </w:rPr>
        <w:t>Journal of Business Ethics</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://doi.org/10.1007/s10551-022-05244-5.</w:t>
      </w:r>
    </w:p>
    <w:p w14:paraId="72B4EAD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Irshaidat</w:t>
      </w:r>
      <w:proofErr w:type="spellEnd"/>
      <w:r w:rsidRPr="00C372E4">
        <w:rPr>
          <w:rFonts w:ascii="Times New Roman" w:eastAsia="Times New Roman" w:hAnsi="Times New Roman" w:cs="Times New Roman"/>
          <w:color w:val="000000" w:themeColor="text1"/>
          <w:sz w:val="24"/>
          <w:szCs w:val="24"/>
          <w:lang w:val="en-GB"/>
        </w:rPr>
        <w:t xml:space="preserve">, R. (2019). Interpretivism vs. Positivism in Political Marketing Research. </w:t>
      </w:r>
      <w:r w:rsidRPr="00C372E4">
        <w:rPr>
          <w:rFonts w:ascii="Times New Roman" w:eastAsia="Times New Roman" w:hAnsi="Times New Roman" w:cs="Times New Roman"/>
          <w:i/>
          <w:iCs/>
          <w:color w:val="000000" w:themeColor="text1"/>
          <w:sz w:val="24"/>
          <w:szCs w:val="24"/>
          <w:lang w:val="en-GB"/>
        </w:rPr>
        <w:t>Journal of Political Marketing</w:t>
      </w:r>
      <w:r w:rsidRPr="00C372E4">
        <w:rPr>
          <w:rFonts w:ascii="Times New Roman" w:eastAsia="Times New Roman" w:hAnsi="Times New Roman" w:cs="Times New Roman"/>
          <w:color w:val="000000" w:themeColor="text1"/>
          <w:sz w:val="24"/>
          <w:szCs w:val="24"/>
          <w:lang w:val="en-GB"/>
        </w:rPr>
        <w:t>, 21(2), pp.1–35.</w:t>
      </w:r>
    </w:p>
    <w:p w14:paraId="21A17AC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Iwashita, H. (2021). The future of remote work in Japan: Covid-19’s implications for international human resource management. </w:t>
      </w:r>
      <w:r w:rsidRPr="00C372E4">
        <w:rPr>
          <w:rFonts w:ascii="Times New Roman" w:eastAsia="Times New Roman" w:hAnsi="Times New Roman" w:cs="Times New Roman"/>
          <w:i/>
          <w:iCs/>
          <w:color w:val="000000" w:themeColor="text1"/>
          <w:sz w:val="24"/>
          <w:szCs w:val="24"/>
          <w:lang w:val="en-GB"/>
        </w:rPr>
        <w:t>Entrepreneurial Business and Economics Review</w:t>
      </w:r>
      <w:r w:rsidRPr="00C372E4">
        <w:rPr>
          <w:rFonts w:ascii="Times New Roman" w:eastAsia="Times New Roman" w:hAnsi="Times New Roman" w:cs="Times New Roman"/>
          <w:color w:val="000000" w:themeColor="text1"/>
          <w:sz w:val="24"/>
          <w:szCs w:val="24"/>
          <w:lang w:val="en-GB"/>
        </w:rPr>
        <w:t xml:space="preserve">, 9(4), pp.7–18.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://doi.org/10.15678/eber.2021.090401.</w:t>
      </w:r>
    </w:p>
    <w:p w14:paraId="4AF0850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Khan, S. (2022). </w:t>
      </w:r>
      <w:r w:rsidRPr="00C372E4">
        <w:rPr>
          <w:rFonts w:ascii="Times New Roman" w:eastAsia="Times New Roman" w:hAnsi="Times New Roman" w:cs="Times New Roman"/>
          <w:i/>
          <w:iCs/>
          <w:color w:val="000000" w:themeColor="text1"/>
          <w:sz w:val="24"/>
          <w:szCs w:val="24"/>
          <w:lang w:val="en-GB"/>
        </w:rPr>
        <w:t>Can Leadership Possess Virtual Pair of Eyes? Organizational Networks to Address Cultural Differences for Fostering Business Model Innovation in Cross-Cultural Teams - Tooling with E-Leadership</w:t>
      </w:r>
      <w:r w:rsidRPr="00C372E4">
        <w:rPr>
          <w:rFonts w:ascii="Times New Roman" w:eastAsia="Times New Roman" w:hAnsi="Times New Roman" w:cs="Times New Roman"/>
          <w:color w:val="000000" w:themeColor="text1"/>
          <w:sz w:val="24"/>
          <w:szCs w:val="24"/>
          <w:lang w:val="en-GB"/>
        </w:rPr>
        <w:t>. [online] www.zbw.eu. Available at: https://www.zbw.eu/econis-archiv/handle/11159/508604 [Accessed 1 Sep. 2023].</w:t>
      </w:r>
    </w:p>
    <w:p w14:paraId="082B473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Koc</w:t>
      </w:r>
      <w:proofErr w:type="spellEnd"/>
      <w:r w:rsidRPr="00C372E4">
        <w:rPr>
          <w:rFonts w:ascii="Times New Roman" w:eastAsia="Times New Roman" w:hAnsi="Times New Roman" w:cs="Times New Roman"/>
          <w:color w:val="000000" w:themeColor="text1"/>
          <w:sz w:val="24"/>
          <w:szCs w:val="24"/>
          <w:lang w:val="en-GB"/>
        </w:rPr>
        <w:t xml:space="preserve">, E. (2020). </w:t>
      </w:r>
      <w:r w:rsidRPr="00C372E4">
        <w:rPr>
          <w:rFonts w:ascii="Times New Roman" w:eastAsia="Times New Roman" w:hAnsi="Times New Roman" w:cs="Times New Roman"/>
          <w:i/>
          <w:iCs/>
          <w:color w:val="000000" w:themeColor="text1"/>
          <w:sz w:val="24"/>
          <w:szCs w:val="24"/>
          <w:lang w:val="en-GB"/>
        </w:rPr>
        <w:t>Cross-Cultural Aspects of Tourism and Hospitality: A Services Marketing and Management Perspective</w:t>
      </w:r>
      <w:r w:rsidRPr="00C372E4">
        <w:rPr>
          <w:rFonts w:ascii="Times New Roman" w:eastAsia="Times New Roman" w:hAnsi="Times New Roman" w:cs="Times New Roman"/>
          <w:color w:val="000000" w:themeColor="text1"/>
          <w:sz w:val="24"/>
          <w:szCs w:val="24"/>
          <w:lang w:val="en-GB"/>
        </w:rPr>
        <w:t xml:space="preserve">. [online] </w:t>
      </w:r>
      <w:r w:rsidRPr="00C372E4">
        <w:rPr>
          <w:rFonts w:ascii="Times New Roman" w:eastAsia="Times New Roman" w:hAnsi="Times New Roman" w:cs="Times New Roman"/>
          <w:i/>
          <w:iCs/>
          <w:color w:val="000000" w:themeColor="text1"/>
          <w:sz w:val="24"/>
          <w:szCs w:val="24"/>
          <w:lang w:val="en-GB"/>
        </w:rPr>
        <w:t>Google Books</w:t>
      </w:r>
      <w:r w:rsidRPr="00C372E4">
        <w:rPr>
          <w:rFonts w:ascii="Times New Roman" w:eastAsia="Times New Roman" w:hAnsi="Times New Roman" w:cs="Times New Roman"/>
          <w:color w:val="000000" w:themeColor="text1"/>
          <w:sz w:val="24"/>
          <w:szCs w:val="24"/>
          <w:lang w:val="en-GB"/>
        </w:rPr>
        <w:t>. Routledge. Available at: https://books.google.com/books?hl=en&amp;lr=&amp;id=EMHyDwAAQBAJ&amp;oi=fnd&amp;pg=PT7&amp;dq=International+business+cross-cultural+issues+&amp;ots=EtLY33LwHd&amp;sig=Atgm-1pz_O9RLChQH43aiTd4SLA [Accessed 29 Aug. 2023].</w:t>
      </w:r>
    </w:p>
    <w:p w14:paraId="7F58BAC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Kornau</w:t>
      </w:r>
      <w:proofErr w:type="spellEnd"/>
      <w:r w:rsidRPr="00C372E4">
        <w:rPr>
          <w:rFonts w:ascii="Times New Roman" w:eastAsia="Times New Roman" w:hAnsi="Times New Roman" w:cs="Times New Roman"/>
          <w:color w:val="000000" w:themeColor="text1"/>
          <w:sz w:val="24"/>
          <w:szCs w:val="24"/>
          <w:lang w:val="en-GB"/>
        </w:rPr>
        <w:t xml:space="preserve">, A., Frerichs, I.M. and Sieben, B. (2020). An empirical analysis of research paradigms within international human resource management: The need for more diversity. </w:t>
      </w:r>
      <w:r w:rsidRPr="00C372E4">
        <w:rPr>
          <w:rFonts w:ascii="Times New Roman" w:eastAsia="Times New Roman" w:hAnsi="Times New Roman" w:cs="Times New Roman"/>
          <w:i/>
          <w:iCs/>
          <w:color w:val="000000" w:themeColor="text1"/>
          <w:sz w:val="24"/>
          <w:szCs w:val="24"/>
          <w:lang w:val="en-GB"/>
        </w:rPr>
        <w:t xml:space="preserve">German Journal of Human Resource Management: </w:t>
      </w:r>
      <w:proofErr w:type="spellStart"/>
      <w:r w:rsidRPr="00C372E4">
        <w:rPr>
          <w:rFonts w:ascii="Times New Roman" w:eastAsia="Times New Roman" w:hAnsi="Times New Roman" w:cs="Times New Roman"/>
          <w:i/>
          <w:iCs/>
          <w:color w:val="000000" w:themeColor="text1"/>
          <w:sz w:val="24"/>
          <w:szCs w:val="24"/>
          <w:lang w:val="en-GB"/>
        </w:rPr>
        <w:t>Zeitschrift</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für</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Personalforschung</w:t>
      </w:r>
      <w:proofErr w:type="spellEnd"/>
      <w:r w:rsidRPr="00C372E4">
        <w:rPr>
          <w:rFonts w:ascii="Times New Roman" w:eastAsia="Times New Roman" w:hAnsi="Times New Roman" w:cs="Times New Roman"/>
          <w:color w:val="000000" w:themeColor="text1"/>
          <w:sz w:val="24"/>
          <w:szCs w:val="24"/>
          <w:lang w:val="en-GB"/>
        </w:rPr>
        <w:t xml:space="preserve">, 34(2), pp.148–177.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://doi.org/10.1177/2397002220908035.</w:t>
      </w:r>
    </w:p>
    <w:p w14:paraId="0A01AF3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Kraiger</w:t>
      </w:r>
      <w:proofErr w:type="spellEnd"/>
      <w:r w:rsidRPr="00C372E4">
        <w:rPr>
          <w:rFonts w:ascii="Times New Roman" w:eastAsia="Times New Roman" w:hAnsi="Times New Roman" w:cs="Times New Roman"/>
          <w:color w:val="000000" w:themeColor="text1"/>
          <w:sz w:val="24"/>
          <w:szCs w:val="24"/>
          <w:lang w:val="en-GB"/>
        </w:rPr>
        <w:t xml:space="preserve">, K. and Ford, J.K. (2021). The Science of Workplace Instruction: Learning and Development Applied to Work. </w:t>
      </w:r>
      <w:r w:rsidRPr="00C372E4">
        <w:rPr>
          <w:rFonts w:ascii="Times New Roman" w:eastAsia="Times New Roman" w:hAnsi="Times New Roman" w:cs="Times New Roman"/>
          <w:i/>
          <w:iCs/>
          <w:color w:val="000000" w:themeColor="text1"/>
          <w:sz w:val="24"/>
          <w:szCs w:val="24"/>
          <w:lang w:val="en-GB"/>
        </w:rPr>
        <w:t xml:space="preserve">Annual Review of Organizational Psychology and Organizational </w:t>
      </w:r>
      <w:proofErr w:type="spellStart"/>
      <w:r w:rsidRPr="00C372E4">
        <w:rPr>
          <w:rFonts w:ascii="Times New Roman" w:eastAsia="Times New Roman" w:hAnsi="Times New Roman" w:cs="Times New Roman"/>
          <w:i/>
          <w:iCs/>
          <w:color w:val="000000" w:themeColor="text1"/>
          <w:sz w:val="24"/>
          <w:szCs w:val="24"/>
          <w:lang w:val="en-GB"/>
        </w:rPr>
        <w:t>Behavior</w:t>
      </w:r>
      <w:proofErr w:type="spellEnd"/>
      <w:r w:rsidRPr="00C372E4">
        <w:rPr>
          <w:rFonts w:ascii="Times New Roman" w:eastAsia="Times New Roman" w:hAnsi="Times New Roman" w:cs="Times New Roman"/>
          <w:color w:val="000000" w:themeColor="text1"/>
          <w:sz w:val="24"/>
          <w:szCs w:val="24"/>
          <w:lang w:val="en-GB"/>
        </w:rPr>
        <w:t xml:space="preserve">, 8(1), pp.45–72.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://doi.org/10.1146/annurev-orgpsych-012420-060109.</w:t>
      </w:r>
    </w:p>
    <w:p w14:paraId="7DACC6A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Kumar, S., Pandey, N. and Mukherjee, D. (2021). Cross Cultural and Strategic Management: a retrospective overview using bibliometric analysis. </w:t>
      </w:r>
      <w:r w:rsidRPr="00C372E4">
        <w:rPr>
          <w:rFonts w:ascii="Times New Roman" w:eastAsia="Times New Roman" w:hAnsi="Times New Roman" w:cs="Times New Roman"/>
          <w:i/>
          <w:iCs/>
          <w:color w:val="000000" w:themeColor="text1"/>
          <w:sz w:val="24"/>
          <w:szCs w:val="24"/>
          <w:lang w:val="en-GB"/>
        </w:rPr>
        <w:t>Cross Cultural &amp; Strategic Management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://doi.org/10.1108/ccsm-08-2021-0147.</w:t>
      </w:r>
    </w:p>
    <w:p w14:paraId="684DA21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Kwon, B. and Farndale, E. (2018). Employee voice viewed through a cross-cultural lens.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30(1).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://doi.org/10.1016/j.hrmr.2018.06.002.</w:t>
      </w:r>
    </w:p>
    <w:p w14:paraId="054F8FB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Lawter, L. and </w:t>
      </w:r>
      <w:proofErr w:type="spellStart"/>
      <w:r w:rsidRPr="00C372E4">
        <w:rPr>
          <w:rFonts w:ascii="Times New Roman" w:eastAsia="Times New Roman" w:hAnsi="Times New Roman" w:cs="Times New Roman"/>
          <w:color w:val="000000" w:themeColor="text1"/>
          <w:sz w:val="24"/>
          <w:szCs w:val="24"/>
          <w:lang w:val="en-GB"/>
        </w:rPr>
        <w:t>Garnjost</w:t>
      </w:r>
      <w:proofErr w:type="spellEnd"/>
      <w:r w:rsidRPr="00C372E4">
        <w:rPr>
          <w:rFonts w:ascii="Times New Roman" w:eastAsia="Times New Roman" w:hAnsi="Times New Roman" w:cs="Times New Roman"/>
          <w:color w:val="000000" w:themeColor="text1"/>
          <w:sz w:val="24"/>
          <w:szCs w:val="24"/>
          <w:lang w:val="en-GB"/>
        </w:rPr>
        <w:t xml:space="preserve">, P. (2021). Cross-Cultural comparison of digital natives in flipped classrooms. </w:t>
      </w:r>
      <w:r w:rsidRPr="00C372E4">
        <w:rPr>
          <w:rFonts w:ascii="Times New Roman" w:eastAsia="Times New Roman" w:hAnsi="Times New Roman" w:cs="Times New Roman"/>
          <w:i/>
          <w:iCs/>
          <w:color w:val="000000" w:themeColor="text1"/>
          <w:sz w:val="24"/>
          <w:szCs w:val="24"/>
          <w:lang w:val="en-GB"/>
        </w:rPr>
        <w:t>The International Journal of Management Education</w:t>
      </w:r>
      <w:r w:rsidRPr="00C372E4">
        <w:rPr>
          <w:rFonts w:ascii="Times New Roman" w:eastAsia="Times New Roman" w:hAnsi="Times New Roman" w:cs="Times New Roman"/>
          <w:color w:val="000000" w:themeColor="text1"/>
          <w:sz w:val="24"/>
          <w:szCs w:val="24"/>
          <w:lang w:val="en-GB"/>
        </w:rPr>
        <w:t xml:space="preserve">, 19(3), p.100559.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://doi.org/10.1016/j.ijme.2021.100559.</w:t>
      </w:r>
    </w:p>
    <w:p w14:paraId="584A218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Lee, J.Y., Choi, B.C., Ghauri, P.N. and Park, B.I. (2020). Knowledge centralization and international R&amp;D team performance: Unpacking the moderating roles of team-specific characteristics. </w:t>
      </w:r>
      <w:r w:rsidRPr="00C372E4">
        <w:rPr>
          <w:rFonts w:ascii="Times New Roman" w:eastAsia="Times New Roman" w:hAnsi="Times New Roman" w:cs="Times New Roman"/>
          <w:i/>
          <w:iCs/>
          <w:color w:val="000000" w:themeColor="text1"/>
          <w:sz w:val="24"/>
          <w:szCs w:val="24"/>
          <w:lang w:val="en-GB"/>
        </w:rPr>
        <w:t>Journal of Business Research</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://doi.org/10.1016/j.jbusres.2020.06.052.</w:t>
      </w:r>
    </w:p>
    <w:p w14:paraId="2EF4DFA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Lee, Y.-T. and Gyamfi, N.Y.A. (2021). The Sage handbook of contemporary cross-cultural management. </w:t>
      </w:r>
      <w:r w:rsidRPr="00C372E4">
        <w:rPr>
          <w:rFonts w:ascii="Times New Roman" w:eastAsia="Times New Roman" w:hAnsi="Times New Roman" w:cs="Times New Roman"/>
          <w:i/>
          <w:iCs/>
          <w:color w:val="000000" w:themeColor="text1"/>
          <w:sz w:val="24"/>
          <w:szCs w:val="24"/>
          <w:lang w:val="en-GB"/>
        </w:rPr>
        <w:t>Journal of International Business Studies</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://doi.org/10.1057/s41267-021-00443-0.</w:t>
      </w:r>
    </w:p>
    <w:p w14:paraId="0335F36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Liou, R.-S. and Rao-Nicholson, R. (2020). Multinational enterprises and Sustainable Development Goals: A foreign subsidiary perspective on tackling wicked problems. </w:t>
      </w:r>
      <w:r w:rsidRPr="00C372E4">
        <w:rPr>
          <w:rFonts w:ascii="Times New Roman" w:eastAsia="Times New Roman" w:hAnsi="Times New Roman" w:cs="Times New Roman"/>
          <w:i/>
          <w:iCs/>
          <w:color w:val="000000" w:themeColor="text1"/>
          <w:sz w:val="24"/>
          <w:szCs w:val="24"/>
          <w:lang w:val="en-GB"/>
        </w:rPr>
        <w:t>Journal of International Business Policy</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://doi.org/10.1057/s42214-020-00080-8.</w:t>
      </w:r>
    </w:p>
    <w:p w14:paraId="47C84E9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Liu, Y., </w:t>
      </w:r>
      <w:proofErr w:type="spellStart"/>
      <w:r w:rsidRPr="00C372E4">
        <w:rPr>
          <w:rFonts w:ascii="Times New Roman" w:eastAsia="Times New Roman" w:hAnsi="Times New Roman" w:cs="Times New Roman"/>
          <w:color w:val="000000" w:themeColor="text1"/>
          <w:sz w:val="24"/>
          <w:szCs w:val="24"/>
          <w:lang w:val="en-GB"/>
        </w:rPr>
        <w:t>Vrontis</w:t>
      </w:r>
      <w:proofErr w:type="spellEnd"/>
      <w:r w:rsidRPr="00C372E4">
        <w:rPr>
          <w:rFonts w:ascii="Times New Roman" w:eastAsia="Times New Roman" w:hAnsi="Times New Roman" w:cs="Times New Roman"/>
          <w:color w:val="000000" w:themeColor="text1"/>
          <w:sz w:val="24"/>
          <w:szCs w:val="24"/>
          <w:lang w:val="en-GB"/>
        </w:rPr>
        <w:t xml:space="preserve">, D., Visser, M., Stokes, P., Smith, S., Moore, N., </w:t>
      </w:r>
      <w:proofErr w:type="spellStart"/>
      <w:r w:rsidRPr="00C372E4">
        <w:rPr>
          <w:rFonts w:ascii="Times New Roman" w:eastAsia="Times New Roman" w:hAnsi="Times New Roman" w:cs="Times New Roman"/>
          <w:color w:val="000000" w:themeColor="text1"/>
          <w:sz w:val="24"/>
          <w:szCs w:val="24"/>
          <w:lang w:val="en-GB"/>
        </w:rPr>
        <w:t>Thrassou</w:t>
      </w:r>
      <w:proofErr w:type="spellEnd"/>
      <w:r w:rsidRPr="00C372E4">
        <w:rPr>
          <w:rFonts w:ascii="Times New Roman" w:eastAsia="Times New Roman" w:hAnsi="Times New Roman" w:cs="Times New Roman"/>
          <w:color w:val="000000" w:themeColor="text1"/>
          <w:sz w:val="24"/>
          <w:szCs w:val="24"/>
          <w:lang w:val="en-GB"/>
        </w:rPr>
        <w:t xml:space="preserve">, A. and Ashta, A. (2020). Talent management and the HR function in cross-cultural mergers and acquisitions: The role and impact of bi-cultural identity. </w:t>
      </w:r>
      <w:r w:rsidRPr="00C372E4">
        <w:rPr>
          <w:rFonts w:ascii="Times New Roman" w:eastAsia="Times New Roman" w:hAnsi="Times New Roman" w:cs="Times New Roman"/>
          <w:i/>
          <w:iCs/>
          <w:color w:val="000000" w:themeColor="text1"/>
          <w:sz w:val="24"/>
          <w:szCs w:val="24"/>
          <w:lang w:val="en-GB"/>
        </w:rPr>
        <w:t>Human Resource Management Review</w:t>
      </w:r>
      <w:r w:rsidRPr="00C372E4">
        <w:rPr>
          <w:rFonts w:ascii="Times New Roman" w:eastAsia="Times New Roman" w:hAnsi="Times New Roman" w:cs="Times New Roman"/>
          <w:color w:val="000000" w:themeColor="text1"/>
          <w:sz w:val="24"/>
          <w:szCs w:val="24"/>
          <w:lang w:val="en-GB"/>
        </w:rPr>
        <w:t xml:space="preserve">, [online] 31(3), p.100744.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://doi.org/10.1016/j.hrmr.2020.100744.</w:t>
      </w:r>
    </w:p>
    <w:p w14:paraId="6A7B3D2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Loh, J.M.I., Thorsteinsson, E.B. and Loi, N.M. (2019). Workplace incivility and work outcomes: cross‐cultural comparison between Australian and Singaporean employees. </w:t>
      </w:r>
      <w:r w:rsidRPr="00C372E4">
        <w:rPr>
          <w:rFonts w:ascii="Times New Roman" w:eastAsia="Times New Roman" w:hAnsi="Times New Roman" w:cs="Times New Roman"/>
          <w:i/>
          <w:iCs/>
          <w:color w:val="000000" w:themeColor="text1"/>
          <w:sz w:val="24"/>
          <w:szCs w:val="24"/>
          <w:lang w:val="en-GB"/>
        </w:rPr>
        <w:t>Asia Pacific Journal of Human Resources</w:t>
      </w:r>
      <w:r w:rsidRPr="00C372E4">
        <w:rPr>
          <w:rFonts w:ascii="Times New Roman" w:eastAsia="Times New Roman" w:hAnsi="Times New Roman" w:cs="Times New Roman"/>
          <w:color w:val="000000" w:themeColor="text1"/>
          <w:sz w:val="24"/>
          <w:szCs w:val="24"/>
          <w:lang w:val="en-GB"/>
        </w:rPr>
        <w:t xml:space="preserve">, 59(2).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://doi.org/10.1111/1744-7941.12233.</w:t>
      </w:r>
    </w:p>
    <w:p w14:paraId="14E643F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Ma, R. (2021). Human resource management in multinational companies—— from the perspective of Hilton Hotels. </w:t>
      </w:r>
      <w:r w:rsidRPr="00C372E4">
        <w:rPr>
          <w:rFonts w:ascii="Times New Roman" w:eastAsia="Times New Roman" w:hAnsi="Times New Roman" w:cs="Times New Roman"/>
          <w:i/>
          <w:iCs/>
          <w:color w:val="000000" w:themeColor="text1"/>
          <w:sz w:val="24"/>
          <w:szCs w:val="24"/>
          <w:lang w:val="en-GB"/>
        </w:rPr>
        <w:t>E3S Web of Conferences</w:t>
      </w:r>
      <w:r w:rsidRPr="00C372E4">
        <w:rPr>
          <w:rFonts w:ascii="Times New Roman" w:eastAsia="Times New Roman" w:hAnsi="Times New Roman" w:cs="Times New Roman"/>
          <w:color w:val="000000" w:themeColor="text1"/>
          <w:sz w:val="24"/>
          <w:szCs w:val="24"/>
          <w:lang w:val="en-GB"/>
        </w:rPr>
        <w:t xml:space="preserve">, [online] 235, p.02058.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://doi.org/10.1051/e3sconf/202123502058.</w:t>
      </w:r>
    </w:p>
    <w:p w14:paraId="60CAD83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Metz, R. (2021). Democratic leadership as a political weapon: competition between fictions and practices. </w:t>
      </w:r>
      <w:r w:rsidRPr="00C372E4">
        <w:rPr>
          <w:rFonts w:ascii="Times New Roman" w:eastAsia="Times New Roman" w:hAnsi="Times New Roman" w:cs="Times New Roman"/>
          <w:i/>
          <w:iCs/>
          <w:color w:val="000000" w:themeColor="text1"/>
          <w:sz w:val="24"/>
          <w:szCs w:val="24"/>
          <w:lang w:val="en-GB"/>
        </w:rPr>
        <w:t>International Journal of Public Leadership</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://doi.org/10.1108/ijpl-09-2020-0094.</w:t>
      </w:r>
    </w:p>
    <w:p w14:paraId="60D57C4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Michele, M. (2019). Philosophy and Logical Positivism. </w:t>
      </w:r>
      <w:r w:rsidRPr="00C372E4">
        <w:rPr>
          <w:rFonts w:ascii="Times New Roman" w:eastAsia="Times New Roman" w:hAnsi="Times New Roman" w:cs="Times New Roman"/>
          <w:i/>
          <w:iCs/>
          <w:color w:val="000000" w:themeColor="text1"/>
          <w:sz w:val="24"/>
          <w:szCs w:val="24"/>
          <w:lang w:val="en-GB"/>
        </w:rPr>
        <w:t>Academicus International Scientific Journal</w:t>
      </w:r>
      <w:r w:rsidRPr="00C372E4">
        <w:rPr>
          <w:rFonts w:ascii="Times New Roman" w:eastAsia="Times New Roman" w:hAnsi="Times New Roman" w:cs="Times New Roman"/>
          <w:color w:val="000000" w:themeColor="text1"/>
          <w:sz w:val="24"/>
          <w:szCs w:val="24"/>
          <w:lang w:val="en-GB"/>
        </w:rPr>
        <w:t xml:space="preserve">, 19, pp.32–36.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://doi.org/10.7336/academicus.2019.19.02.</w:t>
      </w:r>
    </w:p>
    <w:p w14:paraId="790CFEB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Mohammed, D.A.Q. (2019). </w:t>
      </w:r>
      <w:r w:rsidRPr="00C372E4">
        <w:rPr>
          <w:rFonts w:ascii="Times New Roman" w:eastAsia="Times New Roman" w:hAnsi="Times New Roman" w:cs="Times New Roman"/>
          <w:i/>
          <w:iCs/>
          <w:color w:val="000000" w:themeColor="text1"/>
          <w:sz w:val="24"/>
          <w:szCs w:val="24"/>
          <w:lang w:val="en-GB"/>
        </w:rPr>
        <w:t>HR Analytics: A Modern Tool in HR for Predictive Decision Making</w:t>
      </w:r>
      <w:r w:rsidRPr="00C372E4">
        <w:rPr>
          <w:rFonts w:ascii="Times New Roman" w:eastAsia="Times New Roman" w:hAnsi="Times New Roman" w:cs="Times New Roman"/>
          <w:color w:val="000000" w:themeColor="text1"/>
          <w:sz w:val="24"/>
          <w:szCs w:val="24"/>
          <w:lang w:val="en-GB"/>
        </w:rPr>
        <w:t>. [online] papers.ssrn.com. Available at: https://papers.ssrn.com/sol3/papers.cfm?abstract_id=3525328 [Accessed 2023].</w:t>
      </w:r>
    </w:p>
    <w:p w14:paraId="02948D4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Morris, J., Hassard, J., Delbridge, R. and Endo, T. (2019). Understanding managerial work in the modern Japanese firm: The influence of new organizational forms and changing human resource management practices. </w:t>
      </w:r>
      <w:r w:rsidRPr="00C372E4">
        <w:rPr>
          <w:rFonts w:ascii="Times New Roman" w:eastAsia="Times New Roman" w:hAnsi="Times New Roman" w:cs="Times New Roman"/>
          <w:i/>
          <w:iCs/>
          <w:color w:val="000000" w:themeColor="text1"/>
          <w:sz w:val="24"/>
          <w:szCs w:val="24"/>
          <w:lang w:val="en-GB"/>
        </w:rPr>
        <w:t>Economic and Industrial Democracy</w:t>
      </w:r>
      <w:r w:rsidRPr="00C372E4">
        <w:rPr>
          <w:rFonts w:ascii="Times New Roman" w:eastAsia="Times New Roman" w:hAnsi="Times New Roman" w:cs="Times New Roman"/>
          <w:color w:val="000000" w:themeColor="text1"/>
          <w:sz w:val="24"/>
          <w:szCs w:val="24"/>
          <w:lang w:val="en-GB"/>
        </w:rPr>
        <w:t xml:space="preserve">, 42(4), p.0143831X1987578.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://doi.org/10.1177/0143831x19875785.</w:t>
      </w:r>
    </w:p>
    <w:p w14:paraId="17FD55C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Mortazavi, S., Laine, I., Quarshie, A., </w:t>
      </w:r>
      <w:proofErr w:type="spellStart"/>
      <w:r w:rsidRPr="00C372E4">
        <w:rPr>
          <w:rFonts w:ascii="Times New Roman" w:eastAsia="Times New Roman" w:hAnsi="Times New Roman" w:cs="Times New Roman"/>
          <w:color w:val="000000" w:themeColor="text1"/>
          <w:sz w:val="24"/>
          <w:szCs w:val="24"/>
          <w:lang w:val="en-GB"/>
        </w:rPr>
        <w:t>Väätänen</w:t>
      </w:r>
      <w:proofErr w:type="spellEnd"/>
      <w:r w:rsidRPr="00C372E4">
        <w:rPr>
          <w:rFonts w:ascii="Times New Roman" w:eastAsia="Times New Roman" w:hAnsi="Times New Roman" w:cs="Times New Roman"/>
          <w:color w:val="000000" w:themeColor="text1"/>
          <w:sz w:val="24"/>
          <w:szCs w:val="24"/>
          <w:lang w:val="en-GB"/>
        </w:rPr>
        <w:t xml:space="preserve">, J. and Gupta, S. (2019). Multinational Enterprise and Inclusive Innovation at the Bottom of the Pyramid: A Systematic Literature Review. </w:t>
      </w:r>
      <w:r w:rsidRPr="00C372E4">
        <w:rPr>
          <w:rFonts w:ascii="Times New Roman" w:eastAsia="Times New Roman" w:hAnsi="Times New Roman" w:cs="Times New Roman"/>
          <w:i/>
          <w:iCs/>
          <w:color w:val="000000" w:themeColor="text1"/>
          <w:sz w:val="24"/>
          <w:szCs w:val="24"/>
          <w:lang w:val="en-GB"/>
        </w:rPr>
        <w:t>International Business and Emerging Economy Firms</w:t>
      </w:r>
      <w:r w:rsidRPr="00C372E4">
        <w:rPr>
          <w:rFonts w:ascii="Times New Roman" w:eastAsia="Times New Roman" w:hAnsi="Times New Roman" w:cs="Times New Roman"/>
          <w:color w:val="000000" w:themeColor="text1"/>
          <w:sz w:val="24"/>
          <w:szCs w:val="24"/>
          <w:lang w:val="en-GB"/>
        </w:rPr>
        <w:t xml:space="preserve">, [online] pp.19–47.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://doi.org/10.1007/978-3-030-24482-8_2.</w:t>
      </w:r>
    </w:p>
    <w:p w14:paraId="6CD0A3D6"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Nassoura</w:t>
      </w:r>
      <w:proofErr w:type="spellEnd"/>
      <w:r w:rsidRPr="00C372E4">
        <w:rPr>
          <w:rFonts w:ascii="Times New Roman" w:eastAsia="Times New Roman" w:hAnsi="Times New Roman" w:cs="Times New Roman"/>
          <w:color w:val="000000" w:themeColor="text1"/>
          <w:sz w:val="24"/>
          <w:szCs w:val="24"/>
          <w:lang w:val="en-GB"/>
        </w:rPr>
        <w:t xml:space="preserve">, M.B. and Hassan, S. (2021). IMPACT OF INTENTION TO ADOPT CLOUD-BASED HUMAN RESOURCE MANAGEMENT ON INNOVATION BEHAVIOUR: THE MEDIATING ROLE OF LEADERSHIP SUPPORT IN SMES IN JORDAN. </w:t>
      </w:r>
      <w:proofErr w:type="spellStart"/>
      <w:r w:rsidRPr="00C372E4">
        <w:rPr>
          <w:rFonts w:ascii="Times New Roman" w:eastAsia="Times New Roman" w:hAnsi="Times New Roman" w:cs="Times New Roman"/>
          <w:i/>
          <w:iCs/>
          <w:color w:val="000000" w:themeColor="text1"/>
          <w:sz w:val="24"/>
          <w:szCs w:val="24"/>
          <w:lang w:val="en-GB"/>
        </w:rPr>
        <w:t>PalArch’s</w:t>
      </w:r>
      <w:proofErr w:type="spellEnd"/>
      <w:r w:rsidRPr="00C372E4">
        <w:rPr>
          <w:rFonts w:ascii="Times New Roman" w:eastAsia="Times New Roman" w:hAnsi="Times New Roman" w:cs="Times New Roman"/>
          <w:i/>
          <w:iCs/>
          <w:color w:val="000000" w:themeColor="text1"/>
          <w:sz w:val="24"/>
          <w:szCs w:val="24"/>
          <w:lang w:val="en-GB"/>
        </w:rPr>
        <w:t xml:space="preserve"> Journal of Archaeology of Egypt / Egyptology</w:t>
      </w:r>
      <w:r w:rsidRPr="00C372E4">
        <w:rPr>
          <w:rFonts w:ascii="Times New Roman" w:eastAsia="Times New Roman" w:hAnsi="Times New Roman" w:cs="Times New Roman"/>
          <w:color w:val="000000" w:themeColor="text1"/>
          <w:sz w:val="24"/>
          <w:szCs w:val="24"/>
          <w:lang w:val="en-GB"/>
        </w:rPr>
        <w:t>, [online] 18(09), pp.1380–1395. Available at: https://archives.palarch.nl/index.php/jae/article/view/9599.</w:t>
      </w:r>
    </w:p>
    <w:p w14:paraId="1B2A32D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Nawangsari</w:t>
      </w:r>
      <w:proofErr w:type="spellEnd"/>
      <w:r w:rsidRPr="00C372E4">
        <w:rPr>
          <w:rFonts w:ascii="Times New Roman" w:eastAsia="Times New Roman" w:hAnsi="Times New Roman" w:cs="Times New Roman"/>
          <w:color w:val="000000" w:themeColor="text1"/>
          <w:sz w:val="24"/>
          <w:szCs w:val="24"/>
          <w:lang w:val="en-GB"/>
        </w:rPr>
        <w:t xml:space="preserve">, L.C. and </w:t>
      </w:r>
      <w:proofErr w:type="spellStart"/>
      <w:r w:rsidRPr="00C372E4">
        <w:rPr>
          <w:rFonts w:ascii="Times New Roman" w:eastAsia="Times New Roman" w:hAnsi="Times New Roman" w:cs="Times New Roman"/>
          <w:color w:val="000000" w:themeColor="text1"/>
          <w:sz w:val="24"/>
          <w:szCs w:val="24"/>
          <w:lang w:val="en-GB"/>
        </w:rPr>
        <w:t>Sutawidjaya</w:t>
      </w:r>
      <w:proofErr w:type="spellEnd"/>
      <w:r w:rsidRPr="00C372E4">
        <w:rPr>
          <w:rFonts w:ascii="Times New Roman" w:eastAsia="Times New Roman" w:hAnsi="Times New Roman" w:cs="Times New Roman"/>
          <w:color w:val="000000" w:themeColor="text1"/>
          <w:sz w:val="24"/>
          <w:szCs w:val="24"/>
          <w:lang w:val="en-GB"/>
        </w:rPr>
        <w:t xml:space="preserve">, A.H. (2019). How the Green Human Resources Management (GHRM) Process Can Be Adopted for the Organization Business? </w:t>
      </w:r>
      <w:r w:rsidRPr="00C372E4">
        <w:rPr>
          <w:rFonts w:ascii="Times New Roman" w:eastAsia="Times New Roman" w:hAnsi="Times New Roman" w:cs="Times New Roman"/>
          <w:i/>
          <w:iCs/>
          <w:color w:val="000000" w:themeColor="text1"/>
          <w:sz w:val="24"/>
          <w:szCs w:val="24"/>
          <w:lang w:val="en-GB"/>
        </w:rPr>
        <w:t>Proceedings of the 1st International Conference on Economics, Business, Entrepreneurship, and Finance (ICEBEF 2018)</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://doi.org/10.2991/icebef-18.2019.100.</w:t>
      </w:r>
    </w:p>
    <w:p w14:paraId="3CED43B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Nedelko, Z. and </w:t>
      </w:r>
      <w:proofErr w:type="spellStart"/>
      <w:r w:rsidRPr="00C372E4">
        <w:rPr>
          <w:rFonts w:ascii="Times New Roman" w:eastAsia="Times New Roman" w:hAnsi="Times New Roman" w:cs="Times New Roman"/>
          <w:color w:val="000000" w:themeColor="text1"/>
          <w:sz w:val="24"/>
          <w:szCs w:val="24"/>
          <w:lang w:val="en-GB"/>
        </w:rPr>
        <w:t>Potocan</w:t>
      </w:r>
      <w:proofErr w:type="spellEnd"/>
      <w:r w:rsidRPr="00C372E4">
        <w:rPr>
          <w:rFonts w:ascii="Times New Roman" w:eastAsia="Times New Roman" w:hAnsi="Times New Roman" w:cs="Times New Roman"/>
          <w:color w:val="000000" w:themeColor="text1"/>
          <w:sz w:val="24"/>
          <w:szCs w:val="24"/>
          <w:lang w:val="en-GB"/>
        </w:rPr>
        <w:t xml:space="preserve">, V. (2021). Sustainability of Organizations: The Contribution of Personal Values to Democratic Leadership </w:t>
      </w:r>
      <w:proofErr w:type="spellStart"/>
      <w:r w:rsidRPr="00C372E4">
        <w:rPr>
          <w:rFonts w:ascii="Times New Roman" w:eastAsia="Times New Roman" w:hAnsi="Times New Roman" w:cs="Times New Roman"/>
          <w:color w:val="000000" w:themeColor="text1"/>
          <w:sz w:val="24"/>
          <w:szCs w:val="24"/>
          <w:lang w:val="en-GB"/>
        </w:rPr>
        <w:t>Behavior</w:t>
      </w:r>
      <w:proofErr w:type="spellEnd"/>
      <w:r w:rsidRPr="00C372E4">
        <w:rPr>
          <w:rFonts w:ascii="Times New Roman" w:eastAsia="Times New Roman" w:hAnsi="Times New Roman" w:cs="Times New Roman"/>
          <w:color w:val="000000" w:themeColor="text1"/>
          <w:sz w:val="24"/>
          <w:szCs w:val="24"/>
          <w:lang w:val="en-GB"/>
        </w:rPr>
        <w:t xml:space="preserve"> Focused on the Sustainability of Organizations. </w:t>
      </w:r>
      <w:r w:rsidRPr="00C372E4">
        <w:rPr>
          <w:rFonts w:ascii="Times New Roman" w:eastAsia="Times New Roman" w:hAnsi="Times New Roman" w:cs="Times New Roman"/>
          <w:i/>
          <w:iCs/>
          <w:color w:val="000000" w:themeColor="text1"/>
          <w:sz w:val="24"/>
          <w:szCs w:val="24"/>
          <w:lang w:val="en-GB"/>
        </w:rPr>
        <w:t>Sustainability</w:t>
      </w:r>
      <w:r w:rsidRPr="00C372E4">
        <w:rPr>
          <w:rFonts w:ascii="Times New Roman" w:eastAsia="Times New Roman" w:hAnsi="Times New Roman" w:cs="Times New Roman"/>
          <w:color w:val="000000" w:themeColor="text1"/>
          <w:sz w:val="24"/>
          <w:szCs w:val="24"/>
          <w:lang w:val="en-GB"/>
        </w:rPr>
        <w:t xml:space="preserve">, [online] 13(8), p.4207.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://doi.org/10.3390/su13084207.</w:t>
      </w:r>
    </w:p>
    <w:p w14:paraId="754C772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OBSUWAN, S., CHANDRASHEKAR, D., KRAUS, S., BREM, A. and BOUNCKEN, R. (2021). DOES CULTURAL DIVERSITY MATTER FOR TEAM PERFORMANCE IN MULTINATIONAL COMPANIES? AN ANALYSIS OF CONFLICT, COMMUNICATION, SOCIAL INTEGRATION, CREATIVITY AND SATISFACTION. </w:t>
      </w:r>
      <w:r w:rsidRPr="00C372E4">
        <w:rPr>
          <w:rFonts w:ascii="Times New Roman" w:eastAsia="Times New Roman" w:hAnsi="Times New Roman" w:cs="Times New Roman"/>
          <w:i/>
          <w:iCs/>
          <w:color w:val="000000" w:themeColor="text1"/>
          <w:sz w:val="24"/>
          <w:szCs w:val="24"/>
          <w:lang w:val="en-GB"/>
        </w:rPr>
        <w:t>International Journal of Innovation Management</w:t>
      </w:r>
      <w:r w:rsidRPr="00C372E4">
        <w:rPr>
          <w:rFonts w:ascii="Times New Roman" w:eastAsia="Times New Roman" w:hAnsi="Times New Roman" w:cs="Times New Roman"/>
          <w:color w:val="000000" w:themeColor="text1"/>
          <w:sz w:val="24"/>
          <w:szCs w:val="24"/>
          <w:lang w:val="en-GB"/>
        </w:rPr>
        <w:t xml:space="preserve">, 25(7), p.2150082.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://doi.org/10.1142/s1363919621500821.</w:t>
      </w:r>
    </w:p>
    <w:p w14:paraId="11834C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Olayisade</w:t>
      </w:r>
      <w:proofErr w:type="spellEnd"/>
      <w:r w:rsidRPr="00C372E4">
        <w:rPr>
          <w:rFonts w:ascii="Times New Roman" w:eastAsia="Times New Roman" w:hAnsi="Times New Roman" w:cs="Times New Roman"/>
          <w:color w:val="000000" w:themeColor="text1"/>
          <w:sz w:val="24"/>
          <w:szCs w:val="24"/>
          <w:lang w:val="en-GB"/>
        </w:rPr>
        <w:t xml:space="preserve">, A. and </w:t>
      </w:r>
      <w:proofErr w:type="spellStart"/>
      <w:r w:rsidRPr="00C372E4">
        <w:rPr>
          <w:rFonts w:ascii="Times New Roman" w:eastAsia="Times New Roman" w:hAnsi="Times New Roman" w:cs="Times New Roman"/>
          <w:color w:val="000000" w:themeColor="text1"/>
          <w:sz w:val="24"/>
          <w:szCs w:val="24"/>
          <w:lang w:val="en-GB"/>
        </w:rPr>
        <w:t>Awolusi</w:t>
      </w:r>
      <w:proofErr w:type="spellEnd"/>
      <w:r w:rsidRPr="00C372E4">
        <w:rPr>
          <w:rFonts w:ascii="Times New Roman" w:eastAsia="Times New Roman" w:hAnsi="Times New Roman" w:cs="Times New Roman"/>
          <w:color w:val="000000" w:themeColor="text1"/>
          <w:sz w:val="24"/>
          <w:szCs w:val="24"/>
          <w:lang w:val="en-GB"/>
        </w:rPr>
        <w:t xml:space="preserve">, O.D. (2021). The Effect of Leadership Styles on Employee’s Productivity in the Nigerian Oil and Gas Industry. </w:t>
      </w:r>
      <w:r w:rsidRPr="00C372E4">
        <w:rPr>
          <w:rFonts w:ascii="Times New Roman" w:eastAsia="Times New Roman" w:hAnsi="Times New Roman" w:cs="Times New Roman"/>
          <w:i/>
          <w:iCs/>
          <w:color w:val="000000" w:themeColor="text1"/>
          <w:sz w:val="24"/>
          <w:szCs w:val="24"/>
          <w:lang w:val="en-GB"/>
        </w:rPr>
        <w:t>Information Management and Business Review</w:t>
      </w:r>
      <w:r w:rsidRPr="00C372E4">
        <w:rPr>
          <w:rFonts w:ascii="Times New Roman" w:eastAsia="Times New Roman" w:hAnsi="Times New Roman" w:cs="Times New Roman"/>
          <w:color w:val="000000" w:themeColor="text1"/>
          <w:sz w:val="24"/>
          <w:szCs w:val="24"/>
          <w:lang w:val="en-GB"/>
        </w:rPr>
        <w:t xml:space="preserve">, [online] 13(1(I)), pp.47–64.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://doi.org/10.22610/imbr.v13i1(I).3194.</w:t>
      </w:r>
    </w:p>
    <w:p w14:paraId="751B0C7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Ouyang, C., Liu, M., Chen, Y., Li, J. and Qin, W. (2019). Overcoming liabilities of origin: Human resource management localization of Chinese multinational corporations in developed markets.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58(5), pp.543–561.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://doi.org/10.1002/hrm.21984.</w:t>
      </w:r>
    </w:p>
    <w:p w14:paraId="29BAFB8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Paauwe, J. (2020). HRM and Performance: Achievements, Methodological Issues and Prospects. </w:t>
      </w:r>
      <w:r w:rsidRPr="00C372E4">
        <w:rPr>
          <w:rFonts w:ascii="Times New Roman" w:eastAsia="Times New Roman" w:hAnsi="Times New Roman" w:cs="Times New Roman"/>
          <w:i/>
          <w:iCs/>
          <w:color w:val="000000" w:themeColor="text1"/>
          <w:sz w:val="24"/>
          <w:szCs w:val="24"/>
          <w:lang w:val="en-GB"/>
        </w:rPr>
        <w:t>Journal of Management Studies</w:t>
      </w:r>
      <w:r w:rsidRPr="00C372E4">
        <w:rPr>
          <w:rFonts w:ascii="Times New Roman" w:eastAsia="Times New Roman" w:hAnsi="Times New Roman" w:cs="Times New Roman"/>
          <w:color w:val="000000" w:themeColor="text1"/>
          <w:sz w:val="24"/>
          <w:szCs w:val="24"/>
          <w:lang w:val="en-GB"/>
        </w:rPr>
        <w:t>, 46(1), pp.129–142.</w:t>
      </w:r>
    </w:p>
    <w:p w14:paraId="054FC43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Pham, T.-D.T. and Lo, F.-Y. (2023). How does top management team diversity influence firm performance? A causal complexity analysis. </w:t>
      </w:r>
      <w:r w:rsidRPr="00C372E4">
        <w:rPr>
          <w:rFonts w:ascii="Times New Roman" w:eastAsia="Times New Roman" w:hAnsi="Times New Roman" w:cs="Times New Roman"/>
          <w:i/>
          <w:iCs/>
          <w:color w:val="000000" w:themeColor="text1"/>
          <w:sz w:val="24"/>
          <w:szCs w:val="24"/>
          <w:lang w:val="en-GB"/>
        </w:rPr>
        <w:t>Technological Forecasting and Social Change</w:t>
      </w:r>
      <w:r w:rsidRPr="00C372E4">
        <w:rPr>
          <w:rFonts w:ascii="Times New Roman" w:eastAsia="Times New Roman" w:hAnsi="Times New Roman" w:cs="Times New Roman"/>
          <w:color w:val="000000" w:themeColor="text1"/>
          <w:sz w:val="24"/>
          <w:szCs w:val="24"/>
          <w:lang w:val="en-GB"/>
        </w:rPr>
        <w:t xml:space="preserve">, 186, p.122162.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://doi.org/10.1016/j.techfore.2022.122162.</w:t>
      </w:r>
    </w:p>
    <w:p w14:paraId="6026E325"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Primecz</w:t>
      </w:r>
      <w:proofErr w:type="spellEnd"/>
      <w:r w:rsidRPr="00C372E4">
        <w:rPr>
          <w:rFonts w:ascii="Times New Roman" w:eastAsia="Times New Roman" w:hAnsi="Times New Roman" w:cs="Times New Roman"/>
          <w:color w:val="000000" w:themeColor="text1"/>
          <w:sz w:val="24"/>
          <w:szCs w:val="24"/>
          <w:lang w:val="en-GB"/>
        </w:rPr>
        <w:t xml:space="preserve">, H. (2020). Positivist, constructivist and critical approaches to international human resource management and some future directions. </w:t>
      </w:r>
      <w:r w:rsidRPr="00C372E4">
        <w:rPr>
          <w:rFonts w:ascii="Times New Roman" w:eastAsia="Times New Roman" w:hAnsi="Times New Roman" w:cs="Times New Roman"/>
          <w:i/>
          <w:iCs/>
          <w:color w:val="000000" w:themeColor="text1"/>
          <w:sz w:val="24"/>
          <w:szCs w:val="24"/>
          <w:lang w:val="en-GB"/>
        </w:rPr>
        <w:t xml:space="preserve">German Journal of Human Resource Management: </w:t>
      </w:r>
      <w:proofErr w:type="spellStart"/>
      <w:r w:rsidRPr="00C372E4">
        <w:rPr>
          <w:rFonts w:ascii="Times New Roman" w:eastAsia="Times New Roman" w:hAnsi="Times New Roman" w:cs="Times New Roman"/>
          <w:i/>
          <w:iCs/>
          <w:color w:val="000000" w:themeColor="text1"/>
          <w:sz w:val="24"/>
          <w:szCs w:val="24"/>
          <w:lang w:val="en-GB"/>
        </w:rPr>
        <w:t>Zeitschrift</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Für</w:t>
      </w:r>
      <w:proofErr w:type="spellEnd"/>
      <w:r w:rsidRPr="00C372E4">
        <w:rPr>
          <w:rFonts w:ascii="Times New Roman" w:eastAsia="Times New Roman" w:hAnsi="Times New Roman" w:cs="Times New Roman"/>
          <w:i/>
          <w:iCs/>
          <w:color w:val="000000" w:themeColor="text1"/>
          <w:sz w:val="24"/>
          <w:szCs w:val="24"/>
          <w:lang w:val="en-GB"/>
        </w:rPr>
        <w:t xml:space="preserve"> </w:t>
      </w:r>
      <w:proofErr w:type="spellStart"/>
      <w:r w:rsidRPr="00C372E4">
        <w:rPr>
          <w:rFonts w:ascii="Times New Roman" w:eastAsia="Times New Roman" w:hAnsi="Times New Roman" w:cs="Times New Roman"/>
          <w:i/>
          <w:iCs/>
          <w:color w:val="000000" w:themeColor="text1"/>
          <w:sz w:val="24"/>
          <w:szCs w:val="24"/>
          <w:lang w:val="en-GB"/>
        </w:rPr>
        <w:t>Personalforschung</w:t>
      </w:r>
      <w:proofErr w:type="spellEnd"/>
      <w:r w:rsidRPr="00C372E4">
        <w:rPr>
          <w:rFonts w:ascii="Times New Roman" w:eastAsia="Times New Roman" w:hAnsi="Times New Roman" w:cs="Times New Roman"/>
          <w:color w:val="000000" w:themeColor="text1"/>
          <w:sz w:val="24"/>
          <w:szCs w:val="24"/>
          <w:lang w:val="en-GB"/>
        </w:rPr>
        <w:t xml:space="preserve">, 34(2).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://doi.org/10.1177/2397002220909069.</w:t>
      </w:r>
    </w:p>
    <w:p w14:paraId="4EE4DDA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Pudelko, M. (2020). Bringing context back into international business studies: own research experiences, reflections and suggestions for future research. </w:t>
      </w:r>
      <w:r w:rsidRPr="00C372E4">
        <w:rPr>
          <w:rFonts w:ascii="Times New Roman" w:eastAsia="Times New Roman" w:hAnsi="Times New Roman" w:cs="Times New Roman"/>
          <w:i/>
          <w:iCs/>
          <w:color w:val="000000" w:themeColor="text1"/>
          <w:sz w:val="24"/>
          <w:szCs w:val="24"/>
          <w:lang w:val="en-GB"/>
        </w:rPr>
        <w:t>International Studies of Management &amp; Organization</w:t>
      </w:r>
      <w:r w:rsidRPr="00C372E4">
        <w:rPr>
          <w:rFonts w:ascii="Times New Roman" w:eastAsia="Times New Roman" w:hAnsi="Times New Roman" w:cs="Times New Roman"/>
          <w:color w:val="000000" w:themeColor="text1"/>
          <w:sz w:val="24"/>
          <w:szCs w:val="24"/>
          <w:lang w:val="en-GB"/>
        </w:rPr>
        <w:t xml:space="preserve">, 50(4), pp.317–333.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://doi.org/10.1080/00208825.2020.1850976.</w:t>
      </w:r>
    </w:p>
    <w:p w14:paraId="3D17458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Pudelko, M. and Tenzer, H. (2023). From professional aspirations to identity confirmation and transformation: The case of Japanese career women working for foreign subsidiaries in Japan. </w:t>
      </w:r>
      <w:r w:rsidRPr="00C372E4">
        <w:rPr>
          <w:rFonts w:ascii="Times New Roman" w:eastAsia="Times New Roman" w:hAnsi="Times New Roman" w:cs="Times New Roman"/>
          <w:i/>
          <w:iCs/>
          <w:color w:val="000000" w:themeColor="text1"/>
          <w:sz w:val="24"/>
          <w:szCs w:val="24"/>
          <w:lang w:val="en-GB"/>
        </w:rPr>
        <w:t>Human Resource Management Journal</w:t>
      </w:r>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://doi.org/10.1111/1748-8583.12497.</w:t>
      </w:r>
    </w:p>
    <w:p w14:paraId="40D21B7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Rashid, S. (2022). Challenges Concord Group of Companies might face while switching from centralized HRM to decentralized one. </w:t>
      </w:r>
      <w:r w:rsidRPr="00C372E4">
        <w:rPr>
          <w:rFonts w:ascii="Times New Roman" w:eastAsia="Times New Roman" w:hAnsi="Times New Roman" w:cs="Times New Roman"/>
          <w:i/>
          <w:iCs/>
          <w:color w:val="000000" w:themeColor="text1"/>
          <w:sz w:val="24"/>
          <w:szCs w:val="24"/>
          <w:lang w:val="en-GB"/>
        </w:rPr>
        <w:t>dspace.bracu.ac.bd</w:t>
      </w:r>
      <w:r w:rsidRPr="00C372E4">
        <w:rPr>
          <w:rFonts w:ascii="Times New Roman" w:eastAsia="Times New Roman" w:hAnsi="Times New Roman" w:cs="Times New Roman"/>
          <w:color w:val="000000" w:themeColor="text1"/>
          <w:sz w:val="24"/>
          <w:szCs w:val="24"/>
          <w:lang w:val="en-GB"/>
        </w:rPr>
        <w:t>. [online] Available at: http://dspace.bracu.ac.bd/xmlui/handle/10361/17933 [Accessed 1 Sep. 2023].</w:t>
      </w:r>
    </w:p>
    <w:p w14:paraId="57736CA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it-IT"/>
        </w:rPr>
        <w:t xml:space="preserve">Rezaei, M., Jafari-Sadeghi, V. and Bresciani, S. (2020). </w:t>
      </w:r>
      <w:r w:rsidRPr="00C372E4">
        <w:rPr>
          <w:rFonts w:ascii="Times New Roman" w:eastAsia="Times New Roman" w:hAnsi="Times New Roman" w:cs="Times New Roman"/>
          <w:color w:val="000000" w:themeColor="text1"/>
          <w:sz w:val="24"/>
          <w:szCs w:val="24"/>
          <w:lang w:val="en-GB"/>
        </w:rPr>
        <w:t xml:space="preserve">What drives the process of knowledge management in a cross-cultural setting. </w:t>
      </w:r>
      <w:r w:rsidRPr="00C372E4">
        <w:rPr>
          <w:rFonts w:ascii="Times New Roman" w:eastAsia="Times New Roman" w:hAnsi="Times New Roman" w:cs="Times New Roman"/>
          <w:i/>
          <w:iCs/>
          <w:color w:val="000000" w:themeColor="text1"/>
          <w:sz w:val="24"/>
          <w:szCs w:val="24"/>
          <w:lang w:val="en-GB"/>
        </w:rPr>
        <w:t>European Business Review</w:t>
      </w:r>
      <w:r w:rsidRPr="00C372E4">
        <w:rPr>
          <w:rFonts w:ascii="Times New Roman" w:eastAsia="Times New Roman" w:hAnsi="Times New Roman" w:cs="Times New Roman"/>
          <w:color w:val="000000" w:themeColor="text1"/>
          <w:sz w:val="24"/>
          <w:szCs w:val="24"/>
          <w:lang w:val="en-GB"/>
        </w:rPr>
        <w:t xml:space="preserve">, 32(3), pp.485–511.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://doi.org/10.1108/ebr-06-2019-0127.</w:t>
      </w:r>
    </w:p>
    <w:p w14:paraId="021C4220"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Ristic</w:t>
      </w:r>
      <w:proofErr w:type="spellEnd"/>
      <w:r w:rsidRPr="00C372E4">
        <w:rPr>
          <w:rFonts w:ascii="Times New Roman" w:eastAsia="Times New Roman" w:hAnsi="Times New Roman" w:cs="Times New Roman"/>
          <w:color w:val="000000" w:themeColor="text1"/>
          <w:sz w:val="24"/>
          <w:szCs w:val="24"/>
          <w:lang w:val="en-GB"/>
        </w:rPr>
        <w:t xml:space="preserve">, M.R., </w:t>
      </w:r>
      <w:proofErr w:type="spellStart"/>
      <w:r w:rsidRPr="00C372E4">
        <w:rPr>
          <w:rFonts w:ascii="Times New Roman" w:eastAsia="Times New Roman" w:hAnsi="Times New Roman" w:cs="Times New Roman"/>
          <w:color w:val="000000" w:themeColor="text1"/>
          <w:sz w:val="24"/>
          <w:szCs w:val="24"/>
          <w:lang w:val="en-GB"/>
        </w:rPr>
        <w:t>Ljepava</w:t>
      </w:r>
      <w:proofErr w:type="spellEnd"/>
      <w:r w:rsidRPr="00C372E4">
        <w:rPr>
          <w:rFonts w:ascii="Times New Roman" w:eastAsia="Times New Roman" w:hAnsi="Times New Roman" w:cs="Times New Roman"/>
          <w:color w:val="000000" w:themeColor="text1"/>
          <w:sz w:val="24"/>
          <w:szCs w:val="24"/>
          <w:lang w:val="en-GB"/>
        </w:rPr>
        <w:t xml:space="preserve">, N., Qureshi, T.M. and Milla, A.C. (2020). A Cross-Cultural Comparison of Conflict Management Styles in Multinational Organisations: Empirical Evidence from Serbia. </w:t>
      </w:r>
      <w:r w:rsidRPr="00C372E4">
        <w:rPr>
          <w:rFonts w:ascii="Times New Roman" w:eastAsia="Times New Roman" w:hAnsi="Times New Roman" w:cs="Times New Roman"/>
          <w:i/>
          <w:iCs/>
          <w:color w:val="000000" w:themeColor="text1"/>
          <w:sz w:val="24"/>
          <w:szCs w:val="24"/>
          <w:lang w:val="en-GB"/>
        </w:rPr>
        <w:t>Journal of East European Management Studies</w:t>
      </w:r>
      <w:r w:rsidRPr="00C372E4">
        <w:rPr>
          <w:rFonts w:ascii="Times New Roman" w:eastAsia="Times New Roman" w:hAnsi="Times New Roman" w:cs="Times New Roman"/>
          <w:color w:val="000000" w:themeColor="text1"/>
          <w:sz w:val="24"/>
          <w:szCs w:val="24"/>
          <w:lang w:val="en-GB"/>
        </w:rPr>
        <w:t xml:space="preserve">, 25(3), pp.418–447.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://doi.org/10.5771/0949-6181-2020-3-418.</w:t>
      </w:r>
    </w:p>
    <w:p w14:paraId="112177F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Rutishauser, L. and Sender, A. (2019). Effect of Team-Member Exchange on Turnover Intention: A Cross-Cultural Perspective on a Selected Aspect of Employee Engagement. </w:t>
      </w:r>
      <w:r w:rsidRPr="00C372E4">
        <w:rPr>
          <w:rFonts w:ascii="Times New Roman" w:eastAsia="Times New Roman" w:hAnsi="Times New Roman" w:cs="Times New Roman"/>
          <w:i/>
          <w:iCs/>
          <w:color w:val="000000" w:themeColor="text1"/>
          <w:sz w:val="24"/>
          <w:szCs w:val="24"/>
          <w:lang w:val="en-GB"/>
        </w:rPr>
        <w:t>International Studies of Management &amp; Organization</w:t>
      </w:r>
      <w:r w:rsidRPr="00C372E4">
        <w:rPr>
          <w:rFonts w:ascii="Times New Roman" w:eastAsia="Times New Roman" w:hAnsi="Times New Roman" w:cs="Times New Roman"/>
          <w:color w:val="000000" w:themeColor="text1"/>
          <w:sz w:val="24"/>
          <w:szCs w:val="24"/>
          <w:lang w:val="en-GB"/>
        </w:rPr>
        <w:t xml:space="preserve">, 49(1), pp.43–62.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://doi.org/10.1080/00208825.2019.1565093.</w:t>
      </w:r>
    </w:p>
    <w:p w14:paraId="4C048E0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Sawicka, B., Aslan, I., Della Corte, V., </w:t>
      </w:r>
      <w:proofErr w:type="spellStart"/>
      <w:r w:rsidRPr="00C372E4">
        <w:rPr>
          <w:rFonts w:ascii="Times New Roman" w:eastAsia="Times New Roman" w:hAnsi="Times New Roman" w:cs="Times New Roman"/>
          <w:color w:val="000000" w:themeColor="text1"/>
          <w:sz w:val="24"/>
          <w:szCs w:val="24"/>
          <w:lang w:val="en-GB"/>
        </w:rPr>
        <w:t>Periasamy</w:t>
      </w:r>
      <w:proofErr w:type="spellEnd"/>
      <w:r w:rsidRPr="00C372E4">
        <w:rPr>
          <w:rFonts w:ascii="Times New Roman" w:eastAsia="Times New Roman" w:hAnsi="Times New Roman" w:cs="Times New Roman"/>
          <w:color w:val="000000" w:themeColor="text1"/>
          <w:sz w:val="24"/>
          <w:szCs w:val="24"/>
          <w:lang w:val="en-GB"/>
        </w:rPr>
        <w:t xml:space="preserve">, A., Krishnamurthy, S.K., Mohammed, A., Tolba Said, M.M., Saravanan, P., Del Gaudio, G., Adom, D., Sawicki, B., Nevola, G., </w:t>
      </w:r>
      <w:proofErr w:type="spellStart"/>
      <w:r w:rsidRPr="00C372E4">
        <w:rPr>
          <w:rFonts w:ascii="Times New Roman" w:eastAsia="Times New Roman" w:hAnsi="Times New Roman" w:cs="Times New Roman"/>
          <w:color w:val="000000" w:themeColor="text1"/>
          <w:sz w:val="24"/>
          <w:szCs w:val="24"/>
          <w:lang w:val="en-GB"/>
        </w:rPr>
        <w:t>Hanchate</w:t>
      </w:r>
      <w:proofErr w:type="spellEnd"/>
      <w:r w:rsidRPr="00C372E4">
        <w:rPr>
          <w:rFonts w:ascii="Times New Roman" w:eastAsia="Times New Roman" w:hAnsi="Times New Roman" w:cs="Times New Roman"/>
          <w:color w:val="000000" w:themeColor="text1"/>
          <w:sz w:val="24"/>
          <w:szCs w:val="24"/>
          <w:lang w:val="en-GB"/>
        </w:rPr>
        <w:t xml:space="preserve">, D.B. and </w:t>
      </w:r>
      <w:proofErr w:type="spellStart"/>
      <w:r w:rsidRPr="00C372E4">
        <w:rPr>
          <w:rFonts w:ascii="Times New Roman" w:eastAsia="Times New Roman" w:hAnsi="Times New Roman" w:cs="Times New Roman"/>
          <w:color w:val="000000" w:themeColor="text1"/>
          <w:sz w:val="24"/>
          <w:szCs w:val="24"/>
          <w:lang w:val="en-GB"/>
        </w:rPr>
        <w:t>Umachandran</w:t>
      </w:r>
      <w:proofErr w:type="spellEnd"/>
      <w:r w:rsidRPr="00C372E4">
        <w:rPr>
          <w:rFonts w:ascii="Times New Roman" w:eastAsia="Times New Roman" w:hAnsi="Times New Roman" w:cs="Times New Roman"/>
          <w:color w:val="000000" w:themeColor="text1"/>
          <w:sz w:val="24"/>
          <w:szCs w:val="24"/>
          <w:lang w:val="en-GB"/>
        </w:rPr>
        <w:t xml:space="preserve">, K. (2022). </w:t>
      </w:r>
      <w:r w:rsidRPr="00C372E4">
        <w:rPr>
          <w:rFonts w:ascii="Times New Roman" w:eastAsia="Times New Roman" w:hAnsi="Times New Roman" w:cs="Times New Roman"/>
          <w:i/>
          <w:iCs/>
          <w:color w:val="000000" w:themeColor="text1"/>
          <w:sz w:val="24"/>
          <w:szCs w:val="24"/>
          <w:lang w:val="en-GB"/>
        </w:rPr>
        <w:t>Chapter 14 - The coronavirus global pandemic and its impacts on society</w:t>
      </w:r>
      <w:r w:rsidRPr="00C372E4">
        <w:rPr>
          <w:rFonts w:ascii="Times New Roman" w:eastAsia="Times New Roman" w:hAnsi="Times New Roman" w:cs="Times New Roman"/>
          <w:color w:val="000000" w:themeColor="text1"/>
          <w:sz w:val="24"/>
          <w:szCs w:val="24"/>
          <w:lang w:val="en-GB"/>
        </w:rPr>
        <w:t>. [online] ScienceDirect. Available at: https://www.sciencedirect.com/science/article/pii/B9780323851565000377 [Accessed 1 Sep. 2023].</w:t>
      </w:r>
    </w:p>
    <w:p w14:paraId="65CAB6EE"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Sertel</w:t>
      </w:r>
      <w:proofErr w:type="spellEnd"/>
      <w:r w:rsidRPr="00C372E4">
        <w:rPr>
          <w:rFonts w:ascii="Times New Roman" w:eastAsia="Times New Roman" w:hAnsi="Times New Roman" w:cs="Times New Roman"/>
          <w:color w:val="000000" w:themeColor="text1"/>
          <w:sz w:val="24"/>
          <w:szCs w:val="24"/>
          <w:lang w:val="en-GB"/>
        </w:rPr>
        <w:t xml:space="preserve">, G., Karadag, E. and Ergin-Kocatürk, H. (2022). Effects of leadership on performance: A cross-cultural meta-analysis. </w:t>
      </w:r>
      <w:r w:rsidRPr="00C372E4">
        <w:rPr>
          <w:rFonts w:ascii="Times New Roman" w:eastAsia="Times New Roman" w:hAnsi="Times New Roman" w:cs="Times New Roman"/>
          <w:i/>
          <w:iCs/>
          <w:color w:val="000000" w:themeColor="text1"/>
          <w:sz w:val="24"/>
          <w:szCs w:val="24"/>
          <w:lang w:val="en-GB"/>
        </w:rPr>
        <w:t>International Journal of Cross Cultural Management</w:t>
      </w:r>
      <w:r w:rsidRPr="00C372E4">
        <w:rPr>
          <w:rFonts w:ascii="Times New Roman" w:eastAsia="Times New Roman" w:hAnsi="Times New Roman" w:cs="Times New Roman"/>
          <w:color w:val="000000" w:themeColor="text1"/>
          <w:sz w:val="24"/>
          <w:szCs w:val="24"/>
          <w:lang w:val="en-GB"/>
        </w:rPr>
        <w:t xml:space="preserve">, 22(1), p.147059582210764.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://doi.org/10.1177/14705958221076404.</w:t>
      </w:r>
    </w:p>
    <w:p w14:paraId="2CD8AE5D"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Shields, C.M. and </w:t>
      </w:r>
      <w:proofErr w:type="spellStart"/>
      <w:r w:rsidRPr="00C372E4">
        <w:rPr>
          <w:rFonts w:ascii="Times New Roman" w:eastAsia="Times New Roman" w:hAnsi="Times New Roman" w:cs="Times New Roman"/>
          <w:color w:val="000000" w:themeColor="text1"/>
          <w:sz w:val="24"/>
          <w:szCs w:val="24"/>
          <w:lang w:val="en-GB"/>
        </w:rPr>
        <w:t>Hesbol</w:t>
      </w:r>
      <w:proofErr w:type="spellEnd"/>
      <w:r w:rsidRPr="00C372E4">
        <w:rPr>
          <w:rFonts w:ascii="Times New Roman" w:eastAsia="Times New Roman" w:hAnsi="Times New Roman" w:cs="Times New Roman"/>
          <w:color w:val="000000" w:themeColor="text1"/>
          <w:sz w:val="24"/>
          <w:szCs w:val="24"/>
          <w:lang w:val="en-GB"/>
        </w:rPr>
        <w:t xml:space="preserve">, K.A. (2019). Transformative Leadership Approaches to Inclusion, Equity, and Social Justice. </w:t>
      </w:r>
      <w:r w:rsidRPr="00C372E4">
        <w:rPr>
          <w:rFonts w:ascii="Times New Roman" w:eastAsia="Times New Roman" w:hAnsi="Times New Roman" w:cs="Times New Roman"/>
          <w:i/>
          <w:iCs/>
          <w:color w:val="000000" w:themeColor="text1"/>
          <w:sz w:val="24"/>
          <w:szCs w:val="24"/>
          <w:lang w:val="en-GB"/>
        </w:rPr>
        <w:t>Journal of School Leadership</w:t>
      </w:r>
      <w:r w:rsidRPr="00C372E4">
        <w:rPr>
          <w:rFonts w:ascii="Times New Roman" w:eastAsia="Times New Roman" w:hAnsi="Times New Roman" w:cs="Times New Roman"/>
          <w:color w:val="000000" w:themeColor="text1"/>
          <w:sz w:val="24"/>
          <w:szCs w:val="24"/>
          <w:lang w:val="en-GB"/>
        </w:rPr>
        <w:t xml:space="preserve">, 30(1), p.105268461987334.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://doi.org/10.1177/1052684619873343.</w:t>
      </w:r>
    </w:p>
    <w:p w14:paraId="0FA600D4"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Siedlecki, S.L. (2020). Understanding Descriptive Research Designs and Methods. </w:t>
      </w:r>
      <w:r w:rsidRPr="00C372E4">
        <w:rPr>
          <w:rFonts w:ascii="Times New Roman" w:eastAsia="Times New Roman" w:hAnsi="Times New Roman" w:cs="Times New Roman"/>
          <w:i/>
          <w:iCs/>
          <w:color w:val="000000" w:themeColor="text1"/>
          <w:sz w:val="24"/>
          <w:szCs w:val="24"/>
          <w:lang w:val="en-GB"/>
        </w:rPr>
        <w:t>Clinical Nurse Specialist</w:t>
      </w:r>
      <w:r w:rsidRPr="00C372E4">
        <w:rPr>
          <w:rFonts w:ascii="Times New Roman" w:eastAsia="Times New Roman" w:hAnsi="Times New Roman" w:cs="Times New Roman"/>
          <w:color w:val="000000" w:themeColor="text1"/>
          <w:sz w:val="24"/>
          <w:szCs w:val="24"/>
          <w:lang w:val="en-GB"/>
        </w:rPr>
        <w:t xml:space="preserve">, [online] 34(1), pp.8–12.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://doi.org/10.1097/NUR.0000000000000493.</w:t>
      </w:r>
    </w:p>
    <w:p w14:paraId="6E7A6CB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Song, S. (2022). Cultural diversification, human resource-based coordination, and downside risks of </w:t>
      </w:r>
      <w:proofErr w:type="spellStart"/>
      <w:r w:rsidRPr="00C372E4">
        <w:rPr>
          <w:rFonts w:ascii="Times New Roman" w:eastAsia="Times New Roman" w:hAnsi="Times New Roman" w:cs="Times New Roman"/>
          <w:color w:val="000000" w:themeColor="text1"/>
          <w:sz w:val="24"/>
          <w:szCs w:val="24"/>
          <w:lang w:val="en-GB"/>
        </w:rPr>
        <w:t>multinationality</w:t>
      </w:r>
      <w:proofErr w:type="spellEnd"/>
      <w:r w:rsidRPr="00C372E4">
        <w:rPr>
          <w:rFonts w:ascii="Times New Roman" w:eastAsia="Times New Roman" w:hAnsi="Times New Roman" w:cs="Times New Roman"/>
          <w:color w:val="000000" w:themeColor="text1"/>
          <w:sz w:val="24"/>
          <w:szCs w:val="24"/>
          <w:lang w:val="en-GB"/>
        </w:rPr>
        <w:t xml:space="preserve">. </w:t>
      </w:r>
      <w:r w:rsidRPr="00C372E4">
        <w:rPr>
          <w:rFonts w:ascii="Times New Roman" w:eastAsia="Times New Roman" w:hAnsi="Times New Roman" w:cs="Times New Roman"/>
          <w:i/>
          <w:iCs/>
          <w:color w:val="000000" w:themeColor="text1"/>
          <w:sz w:val="24"/>
          <w:szCs w:val="24"/>
          <w:lang w:val="en-GB"/>
        </w:rPr>
        <w:t>Journal of Business Research</w:t>
      </w:r>
      <w:r w:rsidRPr="00C372E4">
        <w:rPr>
          <w:rFonts w:ascii="Times New Roman" w:eastAsia="Times New Roman" w:hAnsi="Times New Roman" w:cs="Times New Roman"/>
          <w:color w:val="000000" w:themeColor="text1"/>
          <w:sz w:val="24"/>
          <w:szCs w:val="24"/>
          <w:lang w:val="en-GB"/>
        </w:rPr>
        <w:t xml:space="preserve">, 142, pp.562–571.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://doi.org/10.1016/j.jbusres.2022.01.008.</w:t>
      </w:r>
    </w:p>
    <w:p w14:paraId="69A9FFB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Srivastava, S., Singh, S. and Dhir, S. (2020). Culture and International business research: A review and research agenda. </w:t>
      </w:r>
      <w:r w:rsidRPr="00C372E4">
        <w:rPr>
          <w:rFonts w:ascii="Times New Roman" w:eastAsia="Times New Roman" w:hAnsi="Times New Roman" w:cs="Times New Roman"/>
          <w:i/>
          <w:iCs/>
          <w:color w:val="000000" w:themeColor="text1"/>
          <w:sz w:val="24"/>
          <w:szCs w:val="24"/>
          <w:lang w:val="en-GB"/>
        </w:rPr>
        <w:t>International Business Review</w:t>
      </w:r>
      <w:r w:rsidRPr="00C372E4">
        <w:rPr>
          <w:rFonts w:ascii="Times New Roman" w:eastAsia="Times New Roman" w:hAnsi="Times New Roman" w:cs="Times New Roman"/>
          <w:color w:val="000000" w:themeColor="text1"/>
          <w:sz w:val="24"/>
          <w:szCs w:val="24"/>
          <w:lang w:val="en-GB"/>
        </w:rPr>
        <w:t xml:space="preserve">, [online] 29(4), p.101709.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://doi.org/10.1016/j.ibusrev.2020.101709.</w:t>
      </w:r>
    </w:p>
    <w:p w14:paraId="39C53D0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Stor</w:t>
      </w:r>
      <w:proofErr w:type="spellEnd"/>
      <w:r w:rsidRPr="00C372E4">
        <w:rPr>
          <w:rFonts w:ascii="Times New Roman" w:eastAsia="Times New Roman" w:hAnsi="Times New Roman" w:cs="Times New Roman"/>
          <w:color w:val="000000" w:themeColor="text1"/>
          <w:sz w:val="24"/>
          <w:szCs w:val="24"/>
          <w:lang w:val="en-GB"/>
        </w:rPr>
        <w:t xml:space="preserve">, M. (2021). The configurations of HRM bundles in MNCs by their contributions to subsidiaries’ performance and cultural dimensions. </w:t>
      </w:r>
      <w:r w:rsidRPr="00C372E4">
        <w:rPr>
          <w:rFonts w:ascii="Times New Roman" w:eastAsia="Times New Roman" w:hAnsi="Times New Roman" w:cs="Times New Roman"/>
          <w:i/>
          <w:iCs/>
          <w:color w:val="000000" w:themeColor="text1"/>
          <w:sz w:val="24"/>
          <w:szCs w:val="24"/>
          <w:lang w:val="en-GB"/>
        </w:rPr>
        <w:t>International Journal of Cross Cultural Management</w:t>
      </w:r>
      <w:r w:rsidRPr="00C372E4">
        <w:rPr>
          <w:rFonts w:ascii="Times New Roman" w:eastAsia="Times New Roman" w:hAnsi="Times New Roman" w:cs="Times New Roman"/>
          <w:color w:val="000000" w:themeColor="text1"/>
          <w:sz w:val="24"/>
          <w:szCs w:val="24"/>
          <w:lang w:val="en-GB"/>
        </w:rPr>
        <w:t xml:space="preserve">, 21(1), pp.123–166.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://doi.org/10.1177/1470595821997488.</w:t>
      </w:r>
    </w:p>
    <w:p w14:paraId="5EC3B61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Syamsidar</w:t>
      </w:r>
      <w:proofErr w:type="spellEnd"/>
      <w:r w:rsidRPr="00C372E4">
        <w:rPr>
          <w:rFonts w:ascii="Times New Roman" w:eastAsia="Times New Roman" w:hAnsi="Times New Roman" w:cs="Times New Roman"/>
          <w:color w:val="000000" w:themeColor="text1"/>
          <w:sz w:val="24"/>
          <w:szCs w:val="24"/>
          <w:lang w:val="en-GB"/>
        </w:rPr>
        <w:t xml:space="preserve">, S., Lian, B. and Fitriani, Y. (2021). Application of Democratic Leadership Style in Improving Employee Work Discipline and Motivation. </w:t>
      </w:r>
      <w:r w:rsidRPr="00C372E4">
        <w:rPr>
          <w:rFonts w:ascii="Times New Roman" w:eastAsia="Times New Roman" w:hAnsi="Times New Roman" w:cs="Times New Roman"/>
          <w:i/>
          <w:iCs/>
          <w:color w:val="000000" w:themeColor="text1"/>
          <w:sz w:val="24"/>
          <w:szCs w:val="24"/>
          <w:lang w:val="en-GB"/>
        </w:rPr>
        <w:t>ISEJ : Indonesian Science Education Journal</w:t>
      </w:r>
      <w:r w:rsidRPr="00C372E4">
        <w:rPr>
          <w:rFonts w:ascii="Times New Roman" w:eastAsia="Times New Roman" w:hAnsi="Times New Roman" w:cs="Times New Roman"/>
          <w:color w:val="000000" w:themeColor="text1"/>
          <w:sz w:val="24"/>
          <w:szCs w:val="24"/>
          <w:lang w:val="en-GB"/>
        </w:rPr>
        <w:t>, [online] 2(1), pp.1–11. Available at: https://siducat.org/index.php/isej/article/view/154.</w:t>
      </w:r>
    </w:p>
    <w:p w14:paraId="152DB487"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Tahir, R. (2021). Cross-cultural training: a study of European expatriates in New Zealand. </w:t>
      </w:r>
      <w:r w:rsidRPr="00C372E4">
        <w:rPr>
          <w:rFonts w:ascii="Times New Roman" w:eastAsia="Times New Roman" w:hAnsi="Times New Roman" w:cs="Times New Roman"/>
          <w:i/>
          <w:iCs/>
          <w:color w:val="000000" w:themeColor="text1"/>
          <w:sz w:val="24"/>
          <w:szCs w:val="24"/>
          <w:lang w:val="en-GB"/>
        </w:rPr>
        <w:t>European Journal of Training and Development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://doi.org/10.1108/ejtd-01-2021-0013.</w:t>
      </w:r>
    </w:p>
    <w:p w14:paraId="1573518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Tayali</w:t>
      </w:r>
      <w:proofErr w:type="spellEnd"/>
      <w:r w:rsidRPr="00C372E4">
        <w:rPr>
          <w:rFonts w:ascii="Times New Roman" w:eastAsia="Times New Roman" w:hAnsi="Times New Roman" w:cs="Times New Roman"/>
          <w:color w:val="000000" w:themeColor="text1"/>
          <w:sz w:val="24"/>
          <w:szCs w:val="24"/>
          <w:lang w:val="en-GB"/>
        </w:rPr>
        <w:t xml:space="preserve">, E.M. and </w:t>
      </w:r>
      <w:proofErr w:type="spellStart"/>
      <w:r w:rsidRPr="00C372E4">
        <w:rPr>
          <w:rFonts w:ascii="Times New Roman" w:eastAsia="Times New Roman" w:hAnsi="Times New Roman" w:cs="Times New Roman"/>
          <w:color w:val="000000" w:themeColor="text1"/>
          <w:sz w:val="24"/>
          <w:szCs w:val="24"/>
          <w:lang w:val="en-GB"/>
        </w:rPr>
        <w:t>Sakyi</w:t>
      </w:r>
      <w:proofErr w:type="spellEnd"/>
      <w:r w:rsidRPr="00C372E4">
        <w:rPr>
          <w:rFonts w:ascii="Times New Roman" w:eastAsia="Times New Roman" w:hAnsi="Times New Roman" w:cs="Times New Roman"/>
          <w:color w:val="000000" w:themeColor="text1"/>
          <w:sz w:val="24"/>
          <w:szCs w:val="24"/>
          <w:lang w:val="en-GB"/>
        </w:rPr>
        <w:t xml:space="preserve">, K.A. (2020). Reputable Relevant Realistic Reliable and Rigorous Human Resource Management Strategic Approaches and Practices in the 21st century. </w:t>
      </w:r>
      <w:r w:rsidRPr="00C372E4">
        <w:rPr>
          <w:rFonts w:ascii="Times New Roman" w:eastAsia="Times New Roman" w:hAnsi="Times New Roman" w:cs="Times New Roman"/>
          <w:i/>
          <w:iCs/>
          <w:color w:val="000000" w:themeColor="text1"/>
          <w:sz w:val="24"/>
          <w:szCs w:val="24"/>
          <w:lang w:val="en-GB"/>
        </w:rPr>
        <w:t>Advances in Social Sciences Research Journal</w:t>
      </w:r>
      <w:r w:rsidRPr="00C372E4">
        <w:rPr>
          <w:rFonts w:ascii="Times New Roman" w:eastAsia="Times New Roman" w:hAnsi="Times New Roman" w:cs="Times New Roman"/>
          <w:color w:val="000000" w:themeColor="text1"/>
          <w:sz w:val="24"/>
          <w:szCs w:val="24"/>
          <w:lang w:val="en-GB"/>
        </w:rPr>
        <w:t xml:space="preserve">, 7(6), pp.600–621.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://doi.org/10.14738/assrj.76.8373.</w:t>
      </w:r>
    </w:p>
    <w:p w14:paraId="040C2BA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Thanh Nguyen, P., </w:t>
      </w:r>
      <w:proofErr w:type="spellStart"/>
      <w:r w:rsidRPr="00C372E4">
        <w:rPr>
          <w:rFonts w:ascii="Times New Roman" w:eastAsia="Times New Roman" w:hAnsi="Times New Roman" w:cs="Times New Roman"/>
          <w:color w:val="000000" w:themeColor="text1"/>
          <w:sz w:val="24"/>
          <w:szCs w:val="24"/>
          <w:lang w:val="en-GB"/>
        </w:rPr>
        <w:t>Az</w:t>
      </w:r>
      <w:proofErr w:type="spellEnd"/>
      <w:r w:rsidRPr="00C372E4">
        <w:rPr>
          <w:rFonts w:ascii="Times New Roman" w:eastAsia="Times New Roman" w:hAnsi="Times New Roman" w:cs="Times New Roman"/>
          <w:color w:val="000000" w:themeColor="text1"/>
          <w:sz w:val="24"/>
          <w:szCs w:val="24"/>
          <w:lang w:val="en-GB"/>
        </w:rPr>
        <w:t xml:space="preserve"> Zahra Tania </w:t>
      </w:r>
      <w:proofErr w:type="spellStart"/>
      <w:r w:rsidRPr="00C372E4">
        <w:rPr>
          <w:rFonts w:ascii="Times New Roman" w:eastAsia="Times New Roman" w:hAnsi="Times New Roman" w:cs="Times New Roman"/>
          <w:color w:val="000000" w:themeColor="text1"/>
          <w:sz w:val="24"/>
          <w:szCs w:val="24"/>
          <w:lang w:val="en-GB"/>
        </w:rPr>
        <w:t>Arifani</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Azzalia</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Yuniar</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Susanti</w:t>
      </w:r>
      <w:proofErr w:type="spellEnd"/>
      <w:r w:rsidRPr="00C372E4">
        <w:rPr>
          <w:rFonts w:ascii="Times New Roman" w:eastAsia="Times New Roman" w:hAnsi="Times New Roman" w:cs="Times New Roman"/>
          <w:color w:val="000000" w:themeColor="text1"/>
          <w:sz w:val="24"/>
          <w:szCs w:val="24"/>
          <w:lang w:val="en-GB"/>
        </w:rPr>
        <w:t xml:space="preserve"> and M. </w:t>
      </w:r>
      <w:proofErr w:type="spellStart"/>
      <w:r w:rsidRPr="00C372E4">
        <w:rPr>
          <w:rFonts w:ascii="Times New Roman" w:eastAsia="Times New Roman" w:hAnsi="Times New Roman" w:cs="Times New Roman"/>
          <w:color w:val="000000" w:themeColor="text1"/>
          <w:sz w:val="24"/>
          <w:szCs w:val="24"/>
          <w:lang w:val="en-GB"/>
        </w:rPr>
        <w:t>Rizky</w:t>
      </w:r>
      <w:proofErr w:type="spellEnd"/>
      <w:r w:rsidRPr="00C372E4">
        <w:rPr>
          <w:rFonts w:ascii="Times New Roman" w:eastAsia="Times New Roman" w:hAnsi="Times New Roman" w:cs="Times New Roman"/>
          <w:color w:val="000000" w:themeColor="text1"/>
          <w:sz w:val="24"/>
          <w:szCs w:val="24"/>
          <w:lang w:val="en-GB"/>
        </w:rPr>
        <w:t xml:space="preserve"> </w:t>
      </w:r>
      <w:proofErr w:type="spellStart"/>
      <w:r w:rsidRPr="00C372E4">
        <w:rPr>
          <w:rFonts w:ascii="Times New Roman" w:eastAsia="Times New Roman" w:hAnsi="Times New Roman" w:cs="Times New Roman"/>
          <w:color w:val="000000" w:themeColor="text1"/>
          <w:sz w:val="24"/>
          <w:szCs w:val="24"/>
          <w:lang w:val="en-GB"/>
        </w:rPr>
        <w:t>Mahaputra</w:t>
      </w:r>
      <w:proofErr w:type="spellEnd"/>
      <w:r w:rsidRPr="00C372E4">
        <w:rPr>
          <w:rFonts w:ascii="Times New Roman" w:eastAsia="Times New Roman" w:hAnsi="Times New Roman" w:cs="Times New Roman"/>
          <w:color w:val="000000" w:themeColor="text1"/>
          <w:sz w:val="24"/>
          <w:szCs w:val="24"/>
          <w:lang w:val="en-GB"/>
        </w:rPr>
        <w:t xml:space="preserve"> (2020). LITERETURE REVIEW FACTORS AFFECTING EMPLOYEE PERFORMANCE : COMPETENCE, COMPENSATION AND LEADERSHIP. </w:t>
      </w:r>
      <w:r w:rsidRPr="00C372E4">
        <w:rPr>
          <w:rFonts w:ascii="Times New Roman" w:eastAsia="Times New Roman" w:hAnsi="Times New Roman" w:cs="Times New Roman"/>
          <w:i/>
          <w:iCs/>
          <w:color w:val="000000" w:themeColor="text1"/>
          <w:sz w:val="24"/>
          <w:szCs w:val="24"/>
          <w:lang w:val="en-GB"/>
        </w:rPr>
        <w:t>Dinasti International Journal of Economics, Finance &amp; Accounting</w:t>
      </w:r>
      <w:r w:rsidRPr="00C372E4">
        <w:rPr>
          <w:rFonts w:ascii="Times New Roman" w:eastAsia="Times New Roman" w:hAnsi="Times New Roman" w:cs="Times New Roman"/>
          <w:color w:val="000000" w:themeColor="text1"/>
          <w:sz w:val="24"/>
          <w:szCs w:val="24"/>
          <w:lang w:val="en-GB"/>
        </w:rPr>
        <w:t xml:space="preserve">, 1(3), pp.538–549.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://doi.org/10.38035/dijefa.v1i3.491.</w:t>
      </w:r>
    </w:p>
    <w:p w14:paraId="61F427B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C372E4">
        <w:rPr>
          <w:rFonts w:ascii="Times New Roman" w:eastAsia="Times New Roman" w:hAnsi="Times New Roman" w:cs="Times New Roman"/>
          <w:color w:val="000000" w:themeColor="text1"/>
          <w:sz w:val="24"/>
          <w:szCs w:val="24"/>
          <w:lang w:val="en-GB"/>
        </w:rPr>
        <w:t>Thrassou</w:t>
      </w:r>
      <w:proofErr w:type="spellEnd"/>
      <w:r w:rsidRPr="00C372E4">
        <w:rPr>
          <w:rFonts w:ascii="Times New Roman" w:eastAsia="Times New Roman" w:hAnsi="Times New Roman" w:cs="Times New Roman"/>
          <w:color w:val="000000" w:themeColor="text1"/>
          <w:sz w:val="24"/>
          <w:szCs w:val="24"/>
          <w:lang w:val="en-GB"/>
        </w:rPr>
        <w:t xml:space="preserve">, A., </w:t>
      </w:r>
      <w:proofErr w:type="spellStart"/>
      <w:r w:rsidRPr="00C372E4">
        <w:rPr>
          <w:rFonts w:ascii="Times New Roman" w:eastAsia="Times New Roman" w:hAnsi="Times New Roman" w:cs="Times New Roman"/>
          <w:color w:val="000000" w:themeColor="text1"/>
          <w:sz w:val="24"/>
          <w:szCs w:val="24"/>
          <w:lang w:val="en-GB"/>
        </w:rPr>
        <w:t>Vrontis</w:t>
      </w:r>
      <w:proofErr w:type="spellEnd"/>
      <w:r w:rsidRPr="00C372E4">
        <w:rPr>
          <w:rFonts w:ascii="Times New Roman" w:eastAsia="Times New Roman" w:hAnsi="Times New Roman" w:cs="Times New Roman"/>
          <w:color w:val="000000" w:themeColor="text1"/>
          <w:sz w:val="24"/>
          <w:szCs w:val="24"/>
          <w:lang w:val="en-GB"/>
        </w:rPr>
        <w:t xml:space="preserve">, D., Efthymiou, L., Weber, Y., Shams, S.M.R. and </w:t>
      </w:r>
      <w:proofErr w:type="spellStart"/>
      <w:r w:rsidRPr="00C372E4">
        <w:rPr>
          <w:rFonts w:ascii="Times New Roman" w:eastAsia="Times New Roman" w:hAnsi="Times New Roman" w:cs="Times New Roman"/>
          <w:color w:val="000000" w:themeColor="text1"/>
          <w:sz w:val="24"/>
          <w:szCs w:val="24"/>
          <w:lang w:val="en-GB"/>
        </w:rPr>
        <w:t>Tsoukatos</w:t>
      </w:r>
      <w:proofErr w:type="spellEnd"/>
      <w:r w:rsidRPr="00C372E4">
        <w:rPr>
          <w:rFonts w:ascii="Times New Roman" w:eastAsia="Times New Roman" w:hAnsi="Times New Roman" w:cs="Times New Roman"/>
          <w:color w:val="000000" w:themeColor="text1"/>
          <w:sz w:val="24"/>
          <w:szCs w:val="24"/>
          <w:lang w:val="en-GB"/>
        </w:rPr>
        <w:t xml:space="preserve">, E. (2022). </w:t>
      </w:r>
      <w:r w:rsidRPr="00C372E4">
        <w:rPr>
          <w:rFonts w:ascii="Times New Roman" w:eastAsia="Times New Roman" w:hAnsi="Times New Roman" w:cs="Times New Roman"/>
          <w:i/>
          <w:iCs/>
          <w:color w:val="000000" w:themeColor="text1"/>
          <w:sz w:val="24"/>
          <w:szCs w:val="24"/>
          <w:lang w:val="en-GB"/>
        </w:rPr>
        <w:t>Business Advancement through Technology Volume II: The Changing Landscape of Industry and Employment</w:t>
      </w:r>
      <w:r w:rsidRPr="00C372E4">
        <w:rPr>
          <w:rFonts w:ascii="Times New Roman" w:eastAsia="Times New Roman" w:hAnsi="Times New Roman" w:cs="Times New Roman"/>
          <w:color w:val="000000" w:themeColor="text1"/>
          <w:sz w:val="24"/>
          <w:szCs w:val="24"/>
          <w:lang w:val="en-GB"/>
        </w:rPr>
        <w:t xml:space="preserve">. [online] </w:t>
      </w:r>
      <w:r w:rsidRPr="00C372E4">
        <w:rPr>
          <w:rFonts w:ascii="Times New Roman" w:eastAsia="Times New Roman" w:hAnsi="Times New Roman" w:cs="Times New Roman"/>
          <w:i/>
          <w:iCs/>
          <w:color w:val="000000" w:themeColor="text1"/>
          <w:sz w:val="24"/>
          <w:szCs w:val="24"/>
          <w:lang w:val="en-GB"/>
        </w:rPr>
        <w:t>Google Books</w:t>
      </w:r>
      <w:r w:rsidRPr="00C372E4">
        <w:rPr>
          <w:rFonts w:ascii="Times New Roman" w:eastAsia="Times New Roman" w:hAnsi="Times New Roman" w:cs="Times New Roman"/>
          <w:color w:val="000000" w:themeColor="text1"/>
          <w:sz w:val="24"/>
          <w:szCs w:val="24"/>
          <w:lang w:val="en-GB"/>
        </w:rPr>
        <w:t>. Springer Nature. Available at: https://books.google.com/books?hl=en&amp;lr=&amp;id=4jahEAAAQBAJ&amp;oi=fnd&amp;pg=PR5&amp;dq=CCHRM+practices+in+an+organisation+and+the+performance+outcomes+of+the+organisation&amp;ots=gtRCXf85FU&amp;sig=-8f4iuAk4XJNlfNWSaFxQjHMd84 [Accessed 1 Sep. 2023].</w:t>
      </w:r>
    </w:p>
    <w:p w14:paraId="6EA4AD8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Uslu, O. (2019). General Overview to Leadership Theories from a Critical Perspective. </w:t>
      </w:r>
      <w:r w:rsidRPr="00C372E4">
        <w:rPr>
          <w:rFonts w:ascii="Times New Roman" w:eastAsia="Times New Roman" w:hAnsi="Times New Roman" w:cs="Times New Roman"/>
          <w:i/>
          <w:iCs/>
          <w:color w:val="000000" w:themeColor="text1"/>
          <w:sz w:val="24"/>
          <w:szCs w:val="24"/>
          <w:lang w:val="en-GB"/>
        </w:rPr>
        <w:t>Marketing and Management of Innovations</w:t>
      </w:r>
      <w:r w:rsidRPr="00C372E4">
        <w:rPr>
          <w:rFonts w:ascii="Times New Roman" w:eastAsia="Times New Roman" w:hAnsi="Times New Roman" w:cs="Times New Roman"/>
          <w:color w:val="000000" w:themeColor="text1"/>
          <w:sz w:val="24"/>
          <w:szCs w:val="24"/>
          <w:lang w:val="en-GB"/>
        </w:rPr>
        <w:t>, 1(1), pp.161–172.</w:t>
      </w:r>
    </w:p>
    <w:p w14:paraId="3EA3407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Vogelsang, B. and Pilz, M. (2020). Conditional factors for training activities in Chinese, Indian and Mexican subsidiaries of German companies. </w:t>
      </w:r>
      <w:r w:rsidRPr="00C372E4">
        <w:rPr>
          <w:rFonts w:ascii="Times New Roman" w:eastAsia="Times New Roman" w:hAnsi="Times New Roman" w:cs="Times New Roman"/>
          <w:i/>
          <w:iCs/>
          <w:color w:val="000000" w:themeColor="text1"/>
          <w:sz w:val="24"/>
          <w:szCs w:val="24"/>
          <w:lang w:val="en-GB"/>
        </w:rPr>
        <w:t>European Journal of Training and Development</w:t>
      </w:r>
      <w:r w:rsidRPr="00C372E4">
        <w:rPr>
          <w:rFonts w:ascii="Times New Roman" w:eastAsia="Times New Roman" w:hAnsi="Times New Roman" w:cs="Times New Roman"/>
          <w:color w:val="000000" w:themeColor="text1"/>
          <w:sz w:val="24"/>
          <w:szCs w:val="24"/>
          <w:lang w:val="en-GB"/>
        </w:rPr>
        <w:t xml:space="preserve">, 45(4/5), pp.419–435.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://doi.org/10.1108/ejtd-04-2020-0066.</w:t>
      </w:r>
    </w:p>
    <w:p w14:paraId="17EDA081"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Wang, S. and </w:t>
      </w:r>
      <w:proofErr w:type="spellStart"/>
      <w:r w:rsidRPr="00C372E4">
        <w:rPr>
          <w:rFonts w:ascii="Times New Roman" w:eastAsia="Times New Roman" w:hAnsi="Times New Roman" w:cs="Times New Roman"/>
          <w:color w:val="000000" w:themeColor="text1"/>
          <w:sz w:val="24"/>
          <w:szCs w:val="24"/>
          <w:lang w:val="en-GB"/>
        </w:rPr>
        <w:t>Fränti</w:t>
      </w:r>
      <w:proofErr w:type="spellEnd"/>
      <w:r w:rsidRPr="00C372E4">
        <w:rPr>
          <w:rFonts w:ascii="Times New Roman" w:eastAsia="Times New Roman" w:hAnsi="Times New Roman" w:cs="Times New Roman"/>
          <w:color w:val="000000" w:themeColor="text1"/>
          <w:sz w:val="24"/>
          <w:szCs w:val="24"/>
          <w:lang w:val="en-GB"/>
        </w:rPr>
        <w:t xml:space="preserve">, P. (2022). How power distance affect motivation in cross-cultural environment: findings from Chinese companies in Europe. </w:t>
      </w:r>
      <w:r w:rsidRPr="00C372E4">
        <w:rPr>
          <w:rFonts w:ascii="Times New Roman" w:eastAsia="Times New Roman" w:hAnsi="Times New Roman" w:cs="Times New Roman"/>
          <w:i/>
          <w:iCs/>
          <w:color w:val="000000" w:themeColor="text1"/>
          <w:sz w:val="24"/>
          <w:szCs w:val="24"/>
          <w:lang w:val="en-GB"/>
        </w:rPr>
        <w:t>erepo.uef.fi</w:t>
      </w:r>
      <w:r w:rsidRPr="00C372E4">
        <w:rPr>
          <w:rFonts w:ascii="Times New Roman" w:eastAsia="Times New Roman" w:hAnsi="Times New Roman" w:cs="Times New Roman"/>
          <w:color w:val="000000" w:themeColor="text1"/>
          <w:sz w:val="24"/>
          <w:szCs w:val="24"/>
          <w:lang w:val="en-GB"/>
        </w:rPr>
        <w:t>. [online] Available at: https://erepo.uef.fi/handle/123456789/29074.</w:t>
      </w:r>
    </w:p>
    <w:p w14:paraId="123324F8"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Wilkinson, A. (2021). Contemporary Human Resource Management : Text and Cases. </w:t>
      </w:r>
      <w:r w:rsidRPr="00C372E4">
        <w:rPr>
          <w:rFonts w:ascii="Times New Roman" w:eastAsia="Times New Roman" w:hAnsi="Times New Roman" w:cs="Times New Roman"/>
          <w:i/>
          <w:iCs/>
          <w:color w:val="000000" w:themeColor="text1"/>
          <w:sz w:val="24"/>
          <w:szCs w:val="24"/>
          <w:lang w:val="en-GB"/>
        </w:rPr>
        <w:t>Contemporary Human Resource Management</w:t>
      </w:r>
      <w:r w:rsidRPr="00C372E4">
        <w:rPr>
          <w:rFonts w:ascii="Times New Roman" w:eastAsia="Times New Roman" w:hAnsi="Times New Roman" w:cs="Times New Roman"/>
          <w:color w:val="000000" w:themeColor="text1"/>
          <w:sz w:val="24"/>
          <w:szCs w:val="24"/>
          <w:lang w:val="en-GB"/>
        </w:rPr>
        <w:t>, [online] pp.1–100. Available at: https://www.torrossa.com/gs/resourceProxy?an=5017880&amp;publisher=FZ7200#page=244.</w:t>
      </w:r>
    </w:p>
    <w:p w14:paraId="4F1E0919"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Wilson, D.E. (2020). Moving toward democratic-transformational leadership in academic libraries. </w:t>
      </w:r>
      <w:r w:rsidRPr="00C372E4">
        <w:rPr>
          <w:rFonts w:ascii="Times New Roman" w:eastAsia="Times New Roman" w:hAnsi="Times New Roman" w:cs="Times New Roman"/>
          <w:i/>
          <w:iCs/>
          <w:color w:val="000000" w:themeColor="text1"/>
          <w:sz w:val="24"/>
          <w:szCs w:val="24"/>
          <w:lang w:val="en-GB"/>
        </w:rPr>
        <w:t>Library Management</w:t>
      </w:r>
      <w:r w:rsidRPr="00C372E4">
        <w:rPr>
          <w:rFonts w:ascii="Times New Roman" w:eastAsia="Times New Roman" w:hAnsi="Times New Roman" w:cs="Times New Roman"/>
          <w:color w:val="000000" w:themeColor="text1"/>
          <w:sz w:val="24"/>
          <w:szCs w:val="24"/>
          <w:lang w:val="en-GB"/>
        </w:rPr>
        <w:t xml:space="preserve">, ahead-of-print(ahead-of-print).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://doi.org/10.1108/lm-03-2020-0044.</w:t>
      </w:r>
    </w:p>
    <w:p w14:paraId="4E4FD71A"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Yahiaoui, D., Nakhle, S.F. and Farndale, E. (2021). Culture and performance appraisal in multinational enterprises: Implementing French headquarters’ practices in Middle East and North Africa subsidiaries. </w:t>
      </w:r>
      <w:r w:rsidRPr="00C372E4">
        <w:rPr>
          <w:rFonts w:ascii="Times New Roman" w:eastAsia="Times New Roman" w:hAnsi="Times New Roman" w:cs="Times New Roman"/>
          <w:i/>
          <w:iCs/>
          <w:color w:val="000000" w:themeColor="text1"/>
          <w:sz w:val="24"/>
          <w:szCs w:val="24"/>
          <w:lang w:val="en-GB"/>
        </w:rPr>
        <w:t>Human Resource Management</w:t>
      </w:r>
      <w:r w:rsidRPr="00C372E4">
        <w:rPr>
          <w:rFonts w:ascii="Times New Roman" w:eastAsia="Times New Roman" w:hAnsi="Times New Roman" w:cs="Times New Roman"/>
          <w:color w:val="000000" w:themeColor="text1"/>
          <w:sz w:val="24"/>
          <w:szCs w:val="24"/>
          <w:lang w:val="en-GB"/>
        </w:rPr>
        <w:t xml:space="preserve">, 60.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://doi.org/10.1002/hrm.22063.</w:t>
      </w:r>
    </w:p>
    <w:p w14:paraId="67FBE42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Yari, N., </w:t>
      </w:r>
      <w:proofErr w:type="spellStart"/>
      <w:r w:rsidRPr="00C372E4">
        <w:rPr>
          <w:rFonts w:ascii="Times New Roman" w:eastAsia="Times New Roman" w:hAnsi="Times New Roman" w:cs="Times New Roman"/>
          <w:color w:val="000000" w:themeColor="text1"/>
          <w:sz w:val="24"/>
          <w:szCs w:val="24"/>
          <w:lang w:val="en-GB"/>
        </w:rPr>
        <w:t>Lankut</w:t>
      </w:r>
      <w:proofErr w:type="spellEnd"/>
      <w:r w:rsidRPr="00C372E4">
        <w:rPr>
          <w:rFonts w:ascii="Times New Roman" w:eastAsia="Times New Roman" w:hAnsi="Times New Roman" w:cs="Times New Roman"/>
          <w:color w:val="000000" w:themeColor="text1"/>
          <w:sz w:val="24"/>
          <w:szCs w:val="24"/>
          <w:lang w:val="en-GB"/>
        </w:rPr>
        <w:t xml:space="preserve">, E., Alon, I. and Richter, N.F. (2020). Cultural intelligence, global mindset, and cross-cultural competencies: a systematic review using bibliometric methods. </w:t>
      </w:r>
      <w:r w:rsidRPr="00C372E4">
        <w:rPr>
          <w:rFonts w:ascii="Times New Roman" w:eastAsia="Times New Roman" w:hAnsi="Times New Roman" w:cs="Times New Roman"/>
          <w:i/>
          <w:iCs/>
          <w:color w:val="000000" w:themeColor="text1"/>
          <w:sz w:val="24"/>
          <w:szCs w:val="24"/>
          <w:lang w:val="en-GB"/>
        </w:rPr>
        <w:t>European J. of International Management</w:t>
      </w:r>
      <w:r w:rsidRPr="00C372E4">
        <w:rPr>
          <w:rFonts w:ascii="Times New Roman" w:eastAsia="Times New Roman" w:hAnsi="Times New Roman" w:cs="Times New Roman"/>
          <w:color w:val="000000" w:themeColor="text1"/>
          <w:sz w:val="24"/>
          <w:szCs w:val="24"/>
          <w:lang w:val="en-GB"/>
        </w:rPr>
        <w:t xml:space="preserve">, 14(2), p.210.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://doi.org/10.1504/ejim.2020.105567.</w:t>
      </w:r>
    </w:p>
    <w:p w14:paraId="456D631F"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YOON, K.-H., KIM, B.-Y. and EOM, J.-G. (2019). The Effects of Job Crafting on Career Success of Multinational Corporations’ Employees. </w:t>
      </w:r>
      <w:r w:rsidRPr="00C372E4">
        <w:rPr>
          <w:rFonts w:ascii="Times New Roman" w:eastAsia="Times New Roman" w:hAnsi="Times New Roman" w:cs="Times New Roman"/>
          <w:i/>
          <w:iCs/>
          <w:color w:val="000000" w:themeColor="text1"/>
          <w:sz w:val="24"/>
          <w:szCs w:val="24"/>
          <w:lang w:val="en-GB"/>
        </w:rPr>
        <w:t>The Journal of Asian Finance, Economics and Business</w:t>
      </w:r>
      <w:r w:rsidRPr="00C372E4">
        <w:rPr>
          <w:rFonts w:ascii="Times New Roman" w:eastAsia="Times New Roman" w:hAnsi="Times New Roman" w:cs="Times New Roman"/>
          <w:color w:val="000000" w:themeColor="text1"/>
          <w:sz w:val="24"/>
          <w:szCs w:val="24"/>
          <w:lang w:val="en-GB"/>
        </w:rPr>
        <w:t xml:space="preserve">, 6(4), pp.213–225.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://doi.org/10.13106/jafeb.2019.vol6.no4.213.</w:t>
      </w:r>
    </w:p>
    <w:p w14:paraId="10806EC3"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Young, M., </w:t>
      </w:r>
      <w:proofErr w:type="spellStart"/>
      <w:r w:rsidRPr="00C372E4">
        <w:rPr>
          <w:rFonts w:ascii="Times New Roman" w:eastAsia="Times New Roman" w:hAnsi="Times New Roman" w:cs="Times New Roman"/>
          <w:color w:val="000000" w:themeColor="text1"/>
          <w:sz w:val="24"/>
          <w:szCs w:val="24"/>
          <w:lang w:val="en-GB"/>
        </w:rPr>
        <w:t>Varpio</w:t>
      </w:r>
      <w:proofErr w:type="spellEnd"/>
      <w:r w:rsidRPr="00C372E4">
        <w:rPr>
          <w:rFonts w:ascii="Times New Roman" w:eastAsia="Times New Roman" w:hAnsi="Times New Roman" w:cs="Times New Roman"/>
          <w:color w:val="000000" w:themeColor="text1"/>
          <w:sz w:val="24"/>
          <w:szCs w:val="24"/>
          <w:lang w:val="en-GB"/>
        </w:rPr>
        <w:t xml:space="preserve">, L., </w:t>
      </w:r>
      <w:proofErr w:type="spellStart"/>
      <w:r w:rsidRPr="00C372E4">
        <w:rPr>
          <w:rFonts w:ascii="Times New Roman" w:eastAsia="Times New Roman" w:hAnsi="Times New Roman" w:cs="Times New Roman"/>
          <w:color w:val="000000" w:themeColor="text1"/>
          <w:sz w:val="24"/>
          <w:szCs w:val="24"/>
          <w:lang w:val="en-GB"/>
        </w:rPr>
        <w:t>Uijtdehaage</w:t>
      </w:r>
      <w:proofErr w:type="spellEnd"/>
      <w:r w:rsidRPr="00C372E4">
        <w:rPr>
          <w:rFonts w:ascii="Times New Roman" w:eastAsia="Times New Roman" w:hAnsi="Times New Roman" w:cs="Times New Roman"/>
          <w:color w:val="000000" w:themeColor="text1"/>
          <w:sz w:val="24"/>
          <w:szCs w:val="24"/>
          <w:lang w:val="en-GB"/>
        </w:rPr>
        <w:t xml:space="preserve">, S. and Paradis, E. (2019). The Spectrum of Inductive and Deductive Research Approaches Using Quantitative and Qualitative Data. </w:t>
      </w:r>
      <w:r w:rsidRPr="00C372E4">
        <w:rPr>
          <w:rFonts w:ascii="Times New Roman" w:eastAsia="Times New Roman" w:hAnsi="Times New Roman" w:cs="Times New Roman"/>
          <w:i/>
          <w:iCs/>
          <w:color w:val="000000" w:themeColor="text1"/>
          <w:sz w:val="24"/>
          <w:szCs w:val="24"/>
          <w:lang w:val="en-GB"/>
        </w:rPr>
        <w:t>Academic Medicine</w:t>
      </w:r>
      <w:r w:rsidRPr="00C372E4">
        <w:rPr>
          <w:rFonts w:ascii="Times New Roman" w:eastAsia="Times New Roman" w:hAnsi="Times New Roman" w:cs="Times New Roman"/>
          <w:color w:val="000000" w:themeColor="text1"/>
          <w:sz w:val="24"/>
          <w:szCs w:val="24"/>
          <w:lang w:val="en-GB"/>
        </w:rPr>
        <w:t>, 95(7), p.1122.</w:t>
      </w:r>
    </w:p>
    <w:p w14:paraId="2A25E1CB"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Yousaf, S., Imran Rasheed, M., Kaur, P., Islam, N. and Dhir, A. (2022). The dark side of phubbing in the workplace: Investigating the role of intrinsic motivation and the use of enterprise social media (ESM) in a cross-cultural setting. </w:t>
      </w:r>
      <w:r w:rsidRPr="00C372E4">
        <w:rPr>
          <w:rFonts w:ascii="Times New Roman" w:eastAsia="Times New Roman" w:hAnsi="Times New Roman" w:cs="Times New Roman"/>
          <w:i/>
          <w:iCs/>
          <w:color w:val="000000" w:themeColor="text1"/>
          <w:sz w:val="24"/>
          <w:szCs w:val="24"/>
          <w:lang w:val="en-GB"/>
        </w:rPr>
        <w:t>Journal of Business Research</w:t>
      </w:r>
      <w:r w:rsidRPr="00C372E4">
        <w:rPr>
          <w:rFonts w:ascii="Times New Roman" w:eastAsia="Times New Roman" w:hAnsi="Times New Roman" w:cs="Times New Roman"/>
          <w:color w:val="000000" w:themeColor="text1"/>
          <w:sz w:val="24"/>
          <w:szCs w:val="24"/>
          <w:lang w:val="en-GB"/>
        </w:rPr>
        <w:t xml:space="preserve">, [online] 143, pp.81–93.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://doi.org/10.1016/j.jbusres.2022.01.043.</w:t>
      </w:r>
    </w:p>
    <w:p w14:paraId="0A53F00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Feng , Z.F. (2023). Cross-cultural Management in International Business. 5(6).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://doi.org/10.23977/acccm.2023.050607.</w:t>
      </w:r>
    </w:p>
    <w:p w14:paraId="512B263C"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lang w:val="en-GB"/>
        </w:rPr>
      </w:pPr>
      <w:r w:rsidRPr="00C372E4">
        <w:rPr>
          <w:rFonts w:ascii="Times New Roman" w:eastAsia="Times New Roman" w:hAnsi="Times New Roman" w:cs="Times New Roman"/>
          <w:color w:val="000000" w:themeColor="text1"/>
          <w:sz w:val="24"/>
          <w:szCs w:val="24"/>
          <w:lang w:val="en-GB"/>
        </w:rPr>
        <w:t xml:space="preserve">Zhong, Y., Zhu, J.C. and Zhang, M.M. (2021). Expatriate Management of Emerging Market Multinational Enterprises: A Multiple Case Study Approach. </w:t>
      </w:r>
      <w:r w:rsidRPr="00C372E4">
        <w:rPr>
          <w:rFonts w:ascii="Times New Roman" w:eastAsia="Times New Roman" w:hAnsi="Times New Roman" w:cs="Times New Roman"/>
          <w:i/>
          <w:iCs/>
          <w:color w:val="000000" w:themeColor="text1"/>
          <w:sz w:val="24"/>
          <w:szCs w:val="24"/>
          <w:lang w:val="en-GB"/>
        </w:rPr>
        <w:t>Journal of Risk and Financial Management</w:t>
      </w:r>
      <w:r w:rsidRPr="00C372E4">
        <w:rPr>
          <w:rFonts w:ascii="Times New Roman" w:eastAsia="Times New Roman" w:hAnsi="Times New Roman" w:cs="Times New Roman"/>
          <w:color w:val="000000" w:themeColor="text1"/>
          <w:sz w:val="24"/>
          <w:szCs w:val="24"/>
          <w:lang w:val="en-GB"/>
        </w:rPr>
        <w:t xml:space="preserve">, [online] 14(6), p.252. </w:t>
      </w:r>
      <w:proofErr w:type="spellStart"/>
      <w:r w:rsidRPr="00C372E4">
        <w:rPr>
          <w:rFonts w:ascii="Times New Roman" w:eastAsia="Times New Roman" w:hAnsi="Times New Roman" w:cs="Times New Roman"/>
          <w:color w:val="000000" w:themeColor="text1"/>
          <w:sz w:val="24"/>
          <w:szCs w:val="24"/>
          <w:lang w:val="en-GB"/>
        </w:rPr>
        <w:t>doi:https</w:t>
      </w:r>
      <w:proofErr w:type="spellEnd"/>
      <w:r w:rsidRPr="00C372E4">
        <w:rPr>
          <w:rFonts w:ascii="Times New Roman" w:eastAsia="Times New Roman" w:hAnsi="Times New Roman" w:cs="Times New Roman"/>
          <w:color w:val="000000" w:themeColor="text1"/>
          <w:sz w:val="24"/>
          <w:szCs w:val="24"/>
          <w:lang w:val="en-GB"/>
        </w:rPr>
        <w:t>://doi.org/10.3390/jrfm14060252.</w:t>
      </w:r>
    </w:p>
    <w:p w14:paraId="7F66BDC2" w14:textId="77777777" w:rsidR="00C742A9" w:rsidRPr="00C372E4" w:rsidRDefault="00C742A9" w:rsidP="00C742A9">
      <w:pPr>
        <w:pStyle w:val="Normal1"/>
        <w:spacing w:line="360" w:lineRule="auto"/>
        <w:jc w:val="both"/>
        <w:rPr>
          <w:rFonts w:ascii="Times New Roman" w:eastAsia="Times New Roman" w:hAnsi="Times New Roman" w:cs="Times New Roman"/>
          <w:color w:val="000000" w:themeColor="text1"/>
          <w:sz w:val="24"/>
          <w:szCs w:val="24"/>
        </w:rPr>
      </w:pPr>
      <w:r w:rsidRPr="00C372E4">
        <w:rPr>
          <w:rFonts w:ascii="Times New Roman" w:eastAsia="Times New Roman" w:hAnsi="Times New Roman" w:cs="Times New Roman"/>
          <w:color w:val="000000" w:themeColor="text1"/>
          <w:sz w:val="24"/>
          <w:szCs w:val="24"/>
        </w:rPr>
        <w:t xml:space="preserve"> </w:t>
      </w:r>
      <w:r w:rsidRPr="00C372E4">
        <w:rPr>
          <w:color w:val="000000" w:themeColor="text1"/>
        </w:rPr>
        <w:br w:type="page"/>
      </w:r>
    </w:p>
    <w:p w14:paraId="238AC63F" w14:textId="77777777" w:rsidR="00C742A9" w:rsidRPr="00C372E4" w:rsidRDefault="00C742A9" w:rsidP="00C742A9">
      <w:pPr>
        <w:pStyle w:val="Normal1"/>
        <w:spacing w:line="360" w:lineRule="auto"/>
        <w:rPr>
          <w:rFonts w:ascii="Times New Roman" w:eastAsia="Times New Roman" w:hAnsi="Times New Roman" w:cs="Times New Roman"/>
          <w:b/>
          <w:color w:val="000000" w:themeColor="text1"/>
          <w:sz w:val="24"/>
          <w:szCs w:val="24"/>
          <w:lang w:val="en-GB"/>
        </w:rPr>
      </w:pPr>
    </w:p>
    <w:p w14:paraId="4143EE8B" w14:textId="77777777" w:rsidR="00900FAA" w:rsidRPr="009D55E8" w:rsidRDefault="00900FAA" w:rsidP="00C53C60">
      <w:pPr>
        <w:rPr>
          <w:rFonts w:cstheme="minorHAnsi"/>
          <w:sz w:val="32"/>
          <w:szCs w:val="32"/>
          <w:lang w:val="en-GB"/>
        </w:rPr>
      </w:pPr>
    </w:p>
    <w:sectPr w:rsidR="00900FAA" w:rsidRPr="009D55E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95D82" w14:textId="77777777" w:rsidR="00214FDB" w:rsidRDefault="00214FDB" w:rsidP="00C742A9">
      <w:pPr>
        <w:spacing w:line="240" w:lineRule="auto"/>
      </w:pPr>
      <w:r>
        <w:separator/>
      </w:r>
    </w:p>
  </w:endnote>
  <w:endnote w:type="continuationSeparator" w:id="0">
    <w:p w14:paraId="3E50DE58" w14:textId="77777777" w:rsidR="00214FDB" w:rsidRDefault="00214FDB" w:rsidP="00C742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4E872" w14:textId="77777777" w:rsidR="00214FDB" w:rsidRDefault="00214FDB" w:rsidP="00C742A9">
      <w:pPr>
        <w:spacing w:line="240" w:lineRule="auto"/>
      </w:pPr>
      <w:r>
        <w:separator/>
      </w:r>
    </w:p>
  </w:footnote>
  <w:footnote w:type="continuationSeparator" w:id="0">
    <w:p w14:paraId="496CDB19" w14:textId="77777777" w:rsidR="00214FDB" w:rsidRDefault="00214FDB" w:rsidP="00C742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750F3C"/>
    <w:multiLevelType w:val="hybridMultilevel"/>
    <w:tmpl w:val="00000000"/>
    <w:lvl w:ilvl="0" w:tplc="D08C2A40">
      <w:start w:val="1"/>
      <w:numFmt w:val="bullet"/>
      <w:lvlText w:val="●"/>
      <w:lvlJc w:val="left"/>
      <w:pPr>
        <w:ind w:left="1440" w:hanging="360"/>
      </w:pPr>
      <w:rPr>
        <w:u w:val="none"/>
      </w:rPr>
    </w:lvl>
    <w:lvl w:ilvl="1" w:tplc="490E138C">
      <w:start w:val="1"/>
      <w:numFmt w:val="bullet"/>
      <w:lvlText w:val="○"/>
      <w:lvlJc w:val="left"/>
      <w:pPr>
        <w:ind w:left="2160" w:hanging="360"/>
      </w:pPr>
      <w:rPr>
        <w:u w:val="none"/>
      </w:rPr>
    </w:lvl>
    <w:lvl w:ilvl="2" w:tplc="33AA6A12">
      <w:start w:val="1"/>
      <w:numFmt w:val="bullet"/>
      <w:lvlText w:val="■"/>
      <w:lvlJc w:val="left"/>
      <w:pPr>
        <w:ind w:left="2880" w:hanging="360"/>
      </w:pPr>
      <w:rPr>
        <w:u w:val="none"/>
      </w:rPr>
    </w:lvl>
    <w:lvl w:ilvl="3" w:tplc="C730F62A">
      <w:start w:val="1"/>
      <w:numFmt w:val="bullet"/>
      <w:lvlText w:val="●"/>
      <w:lvlJc w:val="left"/>
      <w:pPr>
        <w:ind w:left="3600" w:hanging="360"/>
      </w:pPr>
      <w:rPr>
        <w:u w:val="none"/>
      </w:rPr>
    </w:lvl>
    <w:lvl w:ilvl="4" w:tplc="6B703D64">
      <w:start w:val="1"/>
      <w:numFmt w:val="bullet"/>
      <w:lvlText w:val="○"/>
      <w:lvlJc w:val="left"/>
      <w:pPr>
        <w:ind w:left="4320" w:hanging="360"/>
      </w:pPr>
      <w:rPr>
        <w:u w:val="none"/>
      </w:rPr>
    </w:lvl>
    <w:lvl w:ilvl="5" w:tplc="A782C778">
      <w:start w:val="1"/>
      <w:numFmt w:val="bullet"/>
      <w:lvlText w:val="■"/>
      <w:lvlJc w:val="left"/>
      <w:pPr>
        <w:ind w:left="5040" w:hanging="360"/>
      </w:pPr>
      <w:rPr>
        <w:u w:val="none"/>
      </w:rPr>
    </w:lvl>
    <w:lvl w:ilvl="6" w:tplc="F64C83E8">
      <w:start w:val="1"/>
      <w:numFmt w:val="bullet"/>
      <w:lvlText w:val="●"/>
      <w:lvlJc w:val="left"/>
      <w:pPr>
        <w:ind w:left="5760" w:hanging="360"/>
      </w:pPr>
      <w:rPr>
        <w:u w:val="none"/>
      </w:rPr>
    </w:lvl>
    <w:lvl w:ilvl="7" w:tplc="EEBC4D8E">
      <w:start w:val="1"/>
      <w:numFmt w:val="bullet"/>
      <w:lvlText w:val="○"/>
      <w:lvlJc w:val="left"/>
      <w:pPr>
        <w:ind w:left="6480" w:hanging="360"/>
      </w:pPr>
      <w:rPr>
        <w:u w:val="none"/>
      </w:rPr>
    </w:lvl>
    <w:lvl w:ilvl="8" w:tplc="A198B3A8">
      <w:start w:val="1"/>
      <w:numFmt w:val="bullet"/>
      <w:lvlText w:val="■"/>
      <w:lvlJc w:val="left"/>
      <w:pPr>
        <w:ind w:left="7200" w:hanging="360"/>
      </w:pPr>
      <w:rPr>
        <w:u w:val="none"/>
      </w:rPr>
    </w:lvl>
  </w:abstractNum>
  <w:num w:numId="1" w16cid:durableId="126091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C60"/>
    <w:rsid w:val="000254DC"/>
    <w:rsid w:val="00031E1A"/>
    <w:rsid w:val="000A39F7"/>
    <w:rsid w:val="00140C04"/>
    <w:rsid w:val="0017081D"/>
    <w:rsid w:val="001769B3"/>
    <w:rsid w:val="001D3D2D"/>
    <w:rsid w:val="001E7586"/>
    <w:rsid w:val="00214FDB"/>
    <w:rsid w:val="002E25A2"/>
    <w:rsid w:val="002F42C0"/>
    <w:rsid w:val="00343AC2"/>
    <w:rsid w:val="003C5287"/>
    <w:rsid w:val="003D1F87"/>
    <w:rsid w:val="004238F9"/>
    <w:rsid w:val="004F7EC3"/>
    <w:rsid w:val="005222AC"/>
    <w:rsid w:val="00571B4B"/>
    <w:rsid w:val="006C25DE"/>
    <w:rsid w:val="007070F8"/>
    <w:rsid w:val="00707FB9"/>
    <w:rsid w:val="00726723"/>
    <w:rsid w:val="00752E0C"/>
    <w:rsid w:val="00770EAE"/>
    <w:rsid w:val="00777362"/>
    <w:rsid w:val="007B00BC"/>
    <w:rsid w:val="007C0EEF"/>
    <w:rsid w:val="00817D00"/>
    <w:rsid w:val="0087715A"/>
    <w:rsid w:val="00886814"/>
    <w:rsid w:val="00890BEB"/>
    <w:rsid w:val="00896B9F"/>
    <w:rsid w:val="008C4D15"/>
    <w:rsid w:val="00900FAA"/>
    <w:rsid w:val="00935BBA"/>
    <w:rsid w:val="00964FCD"/>
    <w:rsid w:val="00984786"/>
    <w:rsid w:val="0099424F"/>
    <w:rsid w:val="00994764"/>
    <w:rsid w:val="009A64D4"/>
    <w:rsid w:val="009D55E8"/>
    <w:rsid w:val="00A00823"/>
    <w:rsid w:val="00A2702F"/>
    <w:rsid w:val="00A35A21"/>
    <w:rsid w:val="00A735F8"/>
    <w:rsid w:val="00AF1A2B"/>
    <w:rsid w:val="00B20260"/>
    <w:rsid w:val="00B62AB4"/>
    <w:rsid w:val="00BA3E1C"/>
    <w:rsid w:val="00C32308"/>
    <w:rsid w:val="00C32840"/>
    <w:rsid w:val="00C44FB4"/>
    <w:rsid w:val="00C53C60"/>
    <w:rsid w:val="00C618CC"/>
    <w:rsid w:val="00C73EA0"/>
    <w:rsid w:val="00C742A9"/>
    <w:rsid w:val="00CA26C2"/>
    <w:rsid w:val="00CA4B69"/>
    <w:rsid w:val="00CC2E29"/>
    <w:rsid w:val="00D1597E"/>
    <w:rsid w:val="00D2631E"/>
    <w:rsid w:val="00D34A82"/>
    <w:rsid w:val="00D42974"/>
    <w:rsid w:val="00D836A9"/>
    <w:rsid w:val="00DB0C3C"/>
    <w:rsid w:val="00DD0C69"/>
    <w:rsid w:val="00DD65D1"/>
    <w:rsid w:val="00EB1CA3"/>
    <w:rsid w:val="00ED27D9"/>
    <w:rsid w:val="00F06DF1"/>
    <w:rsid w:val="00F26184"/>
    <w:rsid w:val="00F32B7F"/>
    <w:rsid w:val="00F47B33"/>
    <w:rsid w:val="00F55761"/>
    <w:rsid w:val="00FB0827"/>
    <w:rsid w:val="00FC5FD4"/>
    <w:rsid w:val="00FD3F1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C9F6FD"/>
  <w15:chartTrackingRefBased/>
  <w15:docId w15:val="{79B75B08-2B7D-44BF-9394-571C78ADB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2A9"/>
    <w:pPr>
      <w:spacing w:after="0" w:line="276" w:lineRule="auto"/>
    </w:pPr>
    <w:rPr>
      <w:rFonts w:ascii="Arial" w:eastAsia="Arial" w:hAnsi="Arial" w:cs="Arial"/>
      <w:kern w:val="0"/>
      <w:lang w:val="" w:eastAsia="en-US"/>
      <w14:ligatures w14:val="none"/>
    </w:rPr>
  </w:style>
  <w:style w:type="paragraph" w:styleId="Heading1">
    <w:name w:val="heading 1"/>
    <w:basedOn w:val="Normal"/>
    <w:next w:val="Normal"/>
    <w:link w:val="Heading1Char"/>
    <w:autoRedefine/>
    <w:rsid w:val="00CC2E29"/>
    <w:pPr>
      <w:keepNext/>
      <w:keepLines/>
      <w:spacing w:line="360" w:lineRule="auto"/>
      <w:jc w:val="both"/>
      <w:outlineLvl w:val="0"/>
    </w:pPr>
    <w:rPr>
      <w:rFonts w:ascii="Times New Roman" w:hAnsi="Times New Roman"/>
      <w:b/>
      <w:color w:val="000000" w:themeColor="text1"/>
      <w:sz w:val="28"/>
      <w:szCs w:val="40"/>
      <w:lang w:val="en-US"/>
    </w:rPr>
  </w:style>
  <w:style w:type="paragraph" w:styleId="Heading2">
    <w:name w:val="heading 2"/>
    <w:basedOn w:val="Normal"/>
    <w:next w:val="Normal"/>
    <w:link w:val="Heading2Char"/>
    <w:uiPriority w:val="9"/>
    <w:semiHidden/>
    <w:unhideWhenUsed/>
    <w:qFormat/>
    <w:rsid w:val="00C73EA0"/>
    <w:pPr>
      <w:keepNext/>
      <w:keepLines/>
      <w:spacing w:before="40" w:line="259" w:lineRule="auto"/>
      <w:outlineLvl w:val="1"/>
    </w:pPr>
    <w:rPr>
      <w:rFonts w:asciiTheme="majorHAnsi" w:eastAsiaTheme="majorEastAsia" w:hAnsiTheme="majorHAnsi" w:cstheme="majorBidi"/>
      <w:color w:val="2F5496" w:themeColor="accent1" w:themeShade="BF"/>
      <w:kern w:val="2"/>
      <w:sz w:val="26"/>
      <w:szCs w:val="26"/>
      <w:lang w:val="en-IN" w:eastAsia="zh-CN"/>
      <w14:ligatures w14:val="standardContextual"/>
    </w:rPr>
  </w:style>
  <w:style w:type="paragraph" w:styleId="Heading3">
    <w:name w:val="heading 3"/>
    <w:basedOn w:val="Normal"/>
    <w:next w:val="Normal"/>
    <w:link w:val="Heading3Char"/>
    <w:uiPriority w:val="9"/>
    <w:semiHidden/>
    <w:unhideWhenUsed/>
    <w:qFormat/>
    <w:rsid w:val="00C742A9"/>
    <w:pPr>
      <w:keepNext/>
      <w:keepLines/>
      <w:spacing w:before="40" w:line="259" w:lineRule="auto"/>
      <w:outlineLvl w:val="2"/>
    </w:pPr>
    <w:rPr>
      <w:rFonts w:asciiTheme="majorHAnsi" w:eastAsiaTheme="majorEastAsia" w:hAnsiTheme="majorHAnsi" w:cstheme="majorBidi"/>
      <w:color w:val="1F3763" w:themeColor="accent1" w:themeShade="7F"/>
      <w:kern w:val="2"/>
      <w:sz w:val="24"/>
      <w:szCs w:val="24"/>
      <w:lang w:val="en-IN" w:eastAsia="zh-CN"/>
      <w14:ligatures w14:val="standardContextual"/>
    </w:rPr>
  </w:style>
  <w:style w:type="paragraph" w:styleId="Heading4">
    <w:name w:val="heading 4"/>
    <w:basedOn w:val="Normal"/>
    <w:next w:val="Normal"/>
    <w:link w:val="Heading4Char"/>
    <w:uiPriority w:val="9"/>
    <w:semiHidden/>
    <w:unhideWhenUsed/>
    <w:qFormat/>
    <w:rsid w:val="00C742A9"/>
    <w:pPr>
      <w:keepNext/>
      <w:keepLines/>
      <w:spacing w:before="40" w:line="259" w:lineRule="auto"/>
      <w:outlineLvl w:val="3"/>
    </w:pPr>
    <w:rPr>
      <w:rFonts w:asciiTheme="majorHAnsi" w:eastAsiaTheme="majorEastAsia" w:hAnsiTheme="majorHAnsi" w:cstheme="majorBidi"/>
      <w:i/>
      <w:iCs/>
      <w:color w:val="2F5496" w:themeColor="accent1" w:themeShade="BF"/>
      <w:kern w:val="2"/>
      <w:lang w:val="en-IN"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34A82"/>
    <w:pPr>
      <w:spacing w:after="0" w:line="276" w:lineRule="auto"/>
    </w:pPr>
    <w:rPr>
      <w:rFonts w:ascii="Arial" w:eastAsia="Arial" w:hAnsi="Arial" w:cs="Arial"/>
      <w:kern w:val="0"/>
      <w:lang w:val="en-US" w:eastAsia="en-US"/>
      <w14:ligatures w14:val="none"/>
    </w:rPr>
  </w:style>
  <w:style w:type="character" w:customStyle="1" w:styleId="Heading1Char">
    <w:name w:val="Heading 1 Char"/>
    <w:basedOn w:val="DefaultParagraphFont"/>
    <w:link w:val="Heading1"/>
    <w:rsid w:val="00CC2E29"/>
    <w:rPr>
      <w:rFonts w:ascii="Times New Roman" w:eastAsia="Arial" w:hAnsi="Times New Roman" w:cs="Arial"/>
      <w:b/>
      <w:color w:val="000000" w:themeColor="text1"/>
      <w:kern w:val="0"/>
      <w:sz w:val="28"/>
      <w:szCs w:val="40"/>
      <w:lang w:val="en-US" w:eastAsia="en-US"/>
      <w14:ligatures w14:val="none"/>
    </w:rPr>
  </w:style>
  <w:style w:type="character" w:customStyle="1" w:styleId="Heading2Char">
    <w:name w:val="Heading 2 Char"/>
    <w:basedOn w:val="DefaultParagraphFont"/>
    <w:link w:val="Heading2"/>
    <w:uiPriority w:val="9"/>
    <w:semiHidden/>
    <w:rsid w:val="00C73EA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742A9"/>
    <w:pPr>
      <w:tabs>
        <w:tab w:val="center" w:pos="4513"/>
        <w:tab w:val="right" w:pos="9026"/>
      </w:tabs>
      <w:spacing w:line="240" w:lineRule="auto"/>
    </w:pPr>
    <w:rPr>
      <w:rFonts w:asciiTheme="minorHAnsi" w:eastAsiaTheme="minorEastAsia" w:hAnsiTheme="minorHAnsi" w:cstheme="minorBidi"/>
      <w:kern w:val="2"/>
      <w:lang w:val="en-IN" w:eastAsia="zh-CN"/>
      <w14:ligatures w14:val="standardContextual"/>
    </w:rPr>
  </w:style>
  <w:style w:type="character" w:customStyle="1" w:styleId="HeaderChar">
    <w:name w:val="Header Char"/>
    <w:basedOn w:val="DefaultParagraphFont"/>
    <w:link w:val="Header"/>
    <w:uiPriority w:val="99"/>
    <w:rsid w:val="00C742A9"/>
  </w:style>
  <w:style w:type="paragraph" w:styleId="Footer">
    <w:name w:val="footer"/>
    <w:basedOn w:val="Normal"/>
    <w:link w:val="FooterChar"/>
    <w:uiPriority w:val="99"/>
    <w:unhideWhenUsed/>
    <w:rsid w:val="00C742A9"/>
    <w:pPr>
      <w:tabs>
        <w:tab w:val="center" w:pos="4513"/>
        <w:tab w:val="right" w:pos="9026"/>
      </w:tabs>
      <w:spacing w:line="240" w:lineRule="auto"/>
    </w:pPr>
    <w:rPr>
      <w:rFonts w:asciiTheme="minorHAnsi" w:eastAsiaTheme="minorEastAsia" w:hAnsiTheme="minorHAnsi" w:cstheme="minorBidi"/>
      <w:kern w:val="2"/>
      <w:lang w:val="en-IN" w:eastAsia="zh-CN"/>
      <w14:ligatures w14:val="standardContextual"/>
    </w:rPr>
  </w:style>
  <w:style w:type="character" w:customStyle="1" w:styleId="FooterChar">
    <w:name w:val="Footer Char"/>
    <w:basedOn w:val="DefaultParagraphFont"/>
    <w:link w:val="Footer"/>
    <w:uiPriority w:val="99"/>
    <w:rsid w:val="00C742A9"/>
  </w:style>
  <w:style w:type="character" w:customStyle="1" w:styleId="Heading3Char">
    <w:name w:val="Heading 3 Char"/>
    <w:basedOn w:val="DefaultParagraphFont"/>
    <w:link w:val="Heading3"/>
    <w:uiPriority w:val="9"/>
    <w:semiHidden/>
    <w:rsid w:val="00C742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742A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diagramLayout" Target="diagrams/layout1.xml" /><Relationship Id="rId18" Type="http://schemas.openxmlformats.org/officeDocument/2006/relationships/image" Target="media/image3.png"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diagramData" Target="diagrams/data1.xml" /><Relationship Id="rId17" Type="http://schemas.openxmlformats.org/officeDocument/2006/relationships/image" Target="media/image2.png" /><Relationship Id="rId2" Type="http://schemas.openxmlformats.org/officeDocument/2006/relationships/customXml" Target="../customXml/item2.xml" /><Relationship Id="rId16" Type="http://schemas.microsoft.com/office/2007/relationships/diagramDrawing" Target="diagrams/drawing1.xml" /><Relationship Id="rId20" Type="http://schemas.openxmlformats.org/officeDocument/2006/relationships/image" Target="media/image5.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diagramColors" Target="diagrams/colors1.xml" /><Relationship Id="rId10" Type="http://schemas.openxmlformats.org/officeDocument/2006/relationships/endnotes" Target="endnotes.xml" /><Relationship Id="rId19" Type="http://schemas.openxmlformats.org/officeDocument/2006/relationships/image" Target="media/image4.png"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diagramQuickStyle" Target="diagrams/quickStyle1.xm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30041F-1E34-4CD1-9C9E-AC020D3521C0}" type="doc">
      <dgm:prSet loTypeId="urn:microsoft.com/office/officeart/2005/8/layout/list1" loCatId="list" qsTypeId="urn:microsoft.com/office/officeart/2005/8/quickstyle/3d2" qsCatId="3D" csTypeId="urn:microsoft.com/office/officeart/2005/8/colors/colorful3" csCatId="colorful" phldr="1"/>
      <dgm:spPr/>
      <dgm:t>
        <a:bodyPr/>
        <a:lstStyle/>
        <a:p>
          <a:endParaRPr lang="en-GB"/>
        </a:p>
      </dgm:t>
    </dgm:pt>
    <dgm:pt modelId="{A54F09FB-9043-49CE-BAB8-B52401FD55E0}">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Introduction</a:t>
          </a:r>
        </a:p>
      </dgm:t>
    </dgm:pt>
    <dgm:pt modelId="{4D97D400-9FC6-460F-BB98-0424AD149D14}" type="parTrans" cxnId="{C5E4C371-7186-41A3-A63A-784670277BF9}">
      <dgm:prSet/>
      <dgm:spPr/>
      <dgm:t>
        <a:bodyPr/>
        <a:lstStyle/>
        <a:p>
          <a:endParaRPr lang="en-GB"/>
        </a:p>
      </dgm:t>
    </dgm:pt>
    <dgm:pt modelId="{8018F43A-7566-4AE5-AA62-458F7523A51B}" type="sibTrans" cxnId="{C5E4C371-7186-41A3-A63A-784670277BF9}">
      <dgm:prSet/>
      <dgm:spPr/>
      <dgm:t>
        <a:bodyPr/>
        <a:lstStyle/>
        <a:p>
          <a:endParaRPr lang="en-GB"/>
        </a:p>
      </dgm:t>
    </dgm:pt>
    <dgm:pt modelId="{C9E25527-B296-4F39-95FD-B54A2C4640FC}">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Methodology</a:t>
          </a:r>
        </a:p>
      </dgm:t>
    </dgm:pt>
    <dgm:pt modelId="{70A32F88-F99B-4C08-B5FA-00F3C779946E}" type="parTrans" cxnId="{B8FDF507-734D-4114-8C33-479AFCDDF687}">
      <dgm:prSet/>
      <dgm:spPr/>
      <dgm:t>
        <a:bodyPr/>
        <a:lstStyle/>
        <a:p>
          <a:endParaRPr lang="en-GB"/>
        </a:p>
      </dgm:t>
    </dgm:pt>
    <dgm:pt modelId="{D885B0AE-BE9F-4A91-B119-FE39D690E2A8}" type="sibTrans" cxnId="{B8FDF507-734D-4114-8C33-479AFCDDF687}">
      <dgm:prSet/>
      <dgm:spPr/>
      <dgm:t>
        <a:bodyPr/>
        <a:lstStyle/>
        <a:p>
          <a:endParaRPr lang="en-GB"/>
        </a:p>
      </dgm:t>
    </dgm:pt>
    <dgm:pt modelId="{D938E25E-090E-43DA-90C9-FCF74E02A8C1}">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Data collection </a:t>
          </a:r>
        </a:p>
      </dgm:t>
    </dgm:pt>
    <dgm:pt modelId="{F8C8703D-F249-46FB-9DFD-2446AA209389}" type="parTrans" cxnId="{0DEDD188-1177-4FEB-B6D7-67631441C243}">
      <dgm:prSet/>
      <dgm:spPr/>
      <dgm:t>
        <a:bodyPr/>
        <a:lstStyle/>
        <a:p>
          <a:endParaRPr lang="en-GB"/>
        </a:p>
      </dgm:t>
    </dgm:pt>
    <dgm:pt modelId="{C8BA3E5E-AA3C-400E-A56E-C795596D7E2B}" type="sibTrans" cxnId="{0DEDD188-1177-4FEB-B6D7-67631441C243}">
      <dgm:prSet/>
      <dgm:spPr/>
      <dgm:t>
        <a:bodyPr/>
        <a:lstStyle/>
        <a:p>
          <a:endParaRPr lang="en-GB"/>
        </a:p>
      </dgm:t>
    </dgm:pt>
    <dgm:pt modelId="{FC65C225-0983-40A1-8C34-A7A864036F29}">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Literature Review</a:t>
          </a:r>
        </a:p>
      </dgm:t>
    </dgm:pt>
    <dgm:pt modelId="{2DC15122-D752-4DC0-9CA3-8A5633BFC175}" type="parTrans" cxnId="{A3CEA8FB-F7EE-4F22-845D-EA612D46573B}">
      <dgm:prSet/>
      <dgm:spPr/>
    </dgm:pt>
    <dgm:pt modelId="{0C89201F-AEF8-4828-80E7-D34B3E91813A}" type="sibTrans" cxnId="{A3CEA8FB-F7EE-4F22-845D-EA612D46573B}">
      <dgm:prSet/>
      <dgm:spPr/>
    </dgm:pt>
    <dgm:pt modelId="{3641F5E7-0172-4094-BDE6-94766C473388}">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Result and Findings </a:t>
          </a:r>
        </a:p>
      </dgm:t>
    </dgm:pt>
    <dgm:pt modelId="{DBA9610F-69C5-42BD-91D8-12A40ED65164}" type="parTrans" cxnId="{250A0064-0F8A-467E-ABB1-63B8CB0894D6}">
      <dgm:prSet/>
      <dgm:spPr/>
    </dgm:pt>
    <dgm:pt modelId="{A76F65DE-F68D-414E-B609-65EFC24350D1}" type="sibTrans" cxnId="{250A0064-0F8A-467E-ABB1-63B8CB0894D6}">
      <dgm:prSet/>
      <dgm:spPr/>
    </dgm:pt>
    <dgm:pt modelId="{4D52C64A-59FF-4D0E-9EFC-B153F9ACB341}">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Concluision and Recomendation</a:t>
          </a:r>
        </a:p>
      </dgm:t>
    </dgm:pt>
    <dgm:pt modelId="{C280325E-F3C0-44A1-8DE7-FC6C228BC717}" type="parTrans" cxnId="{DDEF9C32-34D3-4DB2-B5E5-8CFB863683A9}">
      <dgm:prSet/>
      <dgm:spPr/>
    </dgm:pt>
    <dgm:pt modelId="{D909CA51-7F20-4CDC-95F2-9E4DF1596CDE}" type="sibTrans" cxnId="{DDEF9C32-34D3-4DB2-B5E5-8CFB863683A9}">
      <dgm:prSet/>
      <dgm:spPr/>
    </dgm:pt>
    <dgm:pt modelId="{A71390D6-256B-485F-A00D-0C7AF62047BD}">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Reflection</a:t>
          </a:r>
        </a:p>
      </dgm:t>
    </dgm:pt>
    <dgm:pt modelId="{BA527F37-AE37-48B7-9915-814616EBE776}" type="parTrans" cxnId="{DAC9FCB3-B5C9-480F-9621-0485CE5966E1}">
      <dgm:prSet/>
      <dgm:spPr/>
    </dgm:pt>
    <dgm:pt modelId="{6328759B-9823-4342-B49B-762600631272}" type="sibTrans" cxnId="{DAC9FCB3-B5C9-480F-9621-0485CE5966E1}">
      <dgm:prSet/>
      <dgm:spPr/>
    </dgm:pt>
    <dgm:pt modelId="{7637ED41-CF18-49BB-8B9F-20F1E72FF926}" type="pres">
      <dgm:prSet presAssocID="{1430041F-1E34-4CD1-9C9E-AC020D3521C0}" presName="linear" presStyleCnt="0">
        <dgm:presLayoutVars>
          <dgm:dir/>
          <dgm:animLvl val="lvl"/>
          <dgm:resizeHandles val="exact"/>
        </dgm:presLayoutVars>
      </dgm:prSet>
      <dgm:spPr/>
    </dgm:pt>
    <dgm:pt modelId="{B16FB2E5-11B8-4528-8EA3-21FC7E2EDDE1}" type="pres">
      <dgm:prSet presAssocID="{A54F09FB-9043-49CE-BAB8-B52401FD55E0}" presName="parentLin" presStyleCnt="0"/>
      <dgm:spPr/>
    </dgm:pt>
    <dgm:pt modelId="{74657014-2125-4822-A8F1-A3F0CF027F44}" type="pres">
      <dgm:prSet presAssocID="{A54F09FB-9043-49CE-BAB8-B52401FD55E0}" presName="parentLeftMargin" presStyleLbl="node1" presStyleIdx="0" presStyleCnt="7"/>
      <dgm:spPr/>
    </dgm:pt>
    <dgm:pt modelId="{670D9728-8FB1-4818-A3EE-D8EC9F4D0531}" type="pres">
      <dgm:prSet presAssocID="{A54F09FB-9043-49CE-BAB8-B52401FD55E0}" presName="parentText" presStyleLbl="node1" presStyleIdx="0" presStyleCnt="7">
        <dgm:presLayoutVars>
          <dgm:chMax val="0"/>
          <dgm:bulletEnabled val="1"/>
        </dgm:presLayoutVars>
      </dgm:prSet>
      <dgm:spPr/>
    </dgm:pt>
    <dgm:pt modelId="{61032A37-AE0F-4EF4-A160-45FB58BC4197}" type="pres">
      <dgm:prSet presAssocID="{A54F09FB-9043-49CE-BAB8-B52401FD55E0}" presName="negativeSpace" presStyleCnt="0"/>
      <dgm:spPr/>
    </dgm:pt>
    <dgm:pt modelId="{E999579D-8AA7-4443-A74A-17385EC3C371}" type="pres">
      <dgm:prSet presAssocID="{A54F09FB-9043-49CE-BAB8-B52401FD55E0}" presName="childText" presStyleLbl="conFgAcc1" presStyleIdx="0" presStyleCnt="7">
        <dgm:presLayoutVars>
          <dgm:bulletEnabled val="1"/>
        </dgm:presLayoutVars>
      </dgm:prSet>
      <dgm:spPr/>
    </dgm:pt>
    <dgm:pt modelId="{D2727643-9353-4F0D-8C88-F5339F725FA7}" type="pres">
      <dgm:prSet presAssocID="{8018F43A-7566-4AE5-AA62-458F7523A51B}" presName="spaceBetweenRectangles" presStyleCnt="0"/>
      <dgm:spPr/>
    </dgm:pt>
    <dgm:pt modelId="{27401099-104A-4579-A029-D782CA3A9F92}" type="pres">
      <dgm:prSet presAssocID="{FC65C225-0983-40A1-8C34-A7A864036F29}" presName="parentLin" presStyleCnt="0"/>
      <dgm:spPr/>
    </dgm:pt>
    <dgm:pt modelId="{B545188F-CF1A-4DE9-8266-17503D795471}" type="pres">
      <dgm:prSet presAssocID="{FC65C225-0983-40A1-8C34-A7A864036F29}" presName="parentLeftMargin" presStyleLbl="node1" presStyleIdx="0" presStyleCnt="7"/>
      <dgm:spPr/>
    </dgm:pt>
    <dgm:pt modelId="{C5723E1D-0893-48D2-A9AA-2C078235CD12}" type="pres">
      <dgm:prSet presAssocID="{FC65C225-0983-40A1-8C34-A7A864036F29}" presName="parentText" presStyleLbl="node1" presStyleIdx="1" presStyleCnt="7">
        <dgm:presLayoutVars>
          <dgm:chMax val="0"/>
          <dgm:bulletEnabled val="1"/>
        </dgm:presLayoutVars>
      </dgm:prSet>
      <dgm:spPr/>
    </dgm:pt>
    <dgm:pt modelId="{E8B47EEF-0ABA-4D8B-A2CB-DF886C09C2F7}" type="pres">
      <dgm:prSet presAssocID="{FC65C225-0983-40A1-8C34-A7A864036F29}" presName="negativeSpace" presStyleCnt="0"/>
      <dgm:spPr/>
    </dgm:pt>
    <dgm:pt modelId="{7D4A8CC0-F7E0-437B-9391-15B96A93C137}" type="pres">
      <dgm:prSet presAssocID="{FC65C225-0983-40A1-8C34-A7A864036F29}" presName="childText" presStyleLbl="conFgAcc1" presStyleIdx="1" presStyleCnt="7">
        <dgm:presLayoutVars>
          <dgm:bulletEnabled val="1"/>
        </dgm:presLayoutVars>
      </dgm:prSet>
      <dgm:spPr/>
    </dgm:pt>
    <dgm:pt modelId="{DDD51A35-D503-4EFE-9504-AA6324300EF1}" type="pres">
      <dgm:prSet presAssocID="{0C89201F-AEF8-4828-80E7-D34B3E91813A}" presName="spaceBetweenRectangles" presStyleCnt="0"/>
      <dgm:spPr/>
    </dgm:pt>
    <dgm:pt modelId="{6CEF6A20-F0B6-4C92-83CE-55480F44DC14}" type="pres">
      <dgm:prSet presAssocID="{C9E25527-B296-4F39-95FD-B54A2C4640FC}" presName="parentLin" presStyleCnt="0"/>
      <dgm:spPr/>
    </dgm:pt>
    <dgm:pt modelId="{81100FBA-0A66-4443-AAC2-E59108F36C72}" type="pres">
      <dgm:prSet presAssocID="{C9E25527-B296-4F39-95FD-B54A2C4640FC}" presName="parentLeftMargin" presStyleLbl="node1" presStyleIdx="1" presStyleCnt="7"/>
      <dgm:spPr/>
    </dgm:pt>
    <dgm:pt modelId="{9B3AD08F-A6D1-4458-BE6C-CFC70EDE6DC3}" type="pres">
      <dgm:prSet presAssocID="{C9E25527-B296-4F39-95FD-B54A2C4640FC}" presName="parentText" presStyleLbl="node1" presStyleIdx="2" presStyleCnt="7">
        <dgm:presLayoutVars>
          <dgm:chMax val="0"/>
          <dgm:bulletEnabled val="1"/>
        </dgm:presLayoutVars>
      </dgm:prSet>
      <dgm:spPr/>
    </dgm:pt>
    <dgm:pt modelId="{2162BD7D-9DF5-4FC4-8B7C-F1D5E56A3BD5}" type="pres">
      <dgm:prSet presAssocID="{C9E25527-B296-4F39-95FD-B54A2C4640FC}" presName="negativeSpace" presStyleCnt="0"/>
      <dgm:spPr/>
    </dgm:pt>
    <dgm:pt modelId="{EE25FBCA-AA4C-450C-B4A9-2B9C738062F0}" type="pres">
      <dgm:prSet presAssocID="{C9E25527-B296-4F39-95FD-B54A2C4640FC}" presName="childText" presStyleLbl="conFgAcc1" presStyleIdx="2" presStyleCnt="7">
        <dgm:presLayoutVars>
          <dgm:bulletEnabled val="1"/>
        </dgm:presLayoutVars>
      </dgm:prSet>
      <dgm:spPr/>
    </dgm:pt>
    <dgm:pt modelId="{E60B3E7D-5B5A-4868-A222-6A7629406F4B}" type="pres">
      <dgm:prSet presAssocID="{D885B0AE-BE9F-4A91-B119-FE39D690E2A8}" presName="spaceBetweenRectangles" presStyleCnt="0"/>
      <dgm:spPr/>
    </dgm:pt>
    <dgm:pt modelId="{C94304A4-29C5-4FC7-9E7E-94AB529C37B0}" type="pres">
      <dgm:prSet presAssocID="{D938E25E-090E-43DA-90C9-FCF74E02A8C1}" presName="parentLin" presStyleCnt="0"/>
      <dgm:spPr/>
    </dgm:pt>
    <dgm:pt modelId="{1BE043AB-D78B-4BBB-BF37-8C22EA3A5474}" type="pres">
      <dgm:prSet presAssocID="{D938E25E-090E-43DA-90C9-FCF74E02A8C1}" presName="parentLeftMargin" presStyleLbl="node1" presStyleIdx="2" presStyleCnt="7"/>
      <dgm:spPr/>
    </dgm:pt>
    <dgm:pt modelId="{91F95376-04E8-494E-AD14-8846487FB12E}" type="pres">
      <dgm:prSet presAssocID="{D938E25E-090E-43DA-90C9-FCF74E02A8C1}" presName="parentText" presStyleLbl="node1" presStyleIdx="3" presStyleCnt="7">
        <dgm:presLayoutVars>
          <dgm:chMax val="0"/>
          <dgm:bulletEnabled val="1"/>
        </dgm:presLayoutVars>
      </dgm:prSet>
      <dgm:spPr/>
    </dgm:pt>
    <dgm:pt modelId="{82095553-4880-47AE-96DA-5EFBA88501F9}" type="pres">
      <dgm:prSet presAssocID="{D938E25E-090E-43DA-90C9-FCF74E02A8C1}" presName="negativeSpace" presStyleCnt="0"/>
      <dgm:spPr/>
    </dgm:pt>
    <dgm:pt modelId="{7A0E7ACE-C9DD-4952-99C3-1C37D28D6C19}" type="pres">
      <dgm:prSet presAssocID="{D938E25E-090E-43DA-90C9-FCF74E02A8C1}" presName="childText" presStyleLbl="conFgAcc1" presStyleIdx="3" presStyleCnt="7">
        <dgm:presLayoutVars>
          <dgm:bulletEnabled val="1"/>
        </dgm:presLayoutVars>
      </dgm:prSet>
      <dgm:spPr/>
    </dgm:pt>
    <dgm:pt modelId="{5D6C2C50-5B5D-4BCC-9BBA-0836C4FA1E9D}" type="pres">
      <dgm:prSet presAssocID="{C8BA3E5E-AA3C-400E-A56E-C795596D7E2B}" presName="spaceBetweenRectangles" presStyleCnt="0"/>
      <dgm:spPr/>
    </dgm:pt>
    <dgm:pt modelId="{EA8589EB-7E64-4AC5-81A2-9EBD65E9C5EB}" type="pres">
      <dgm:prSet presAssocID="{3641F5E7-0172-4094-BDE6-94766C473388}" presName="parentLin" presStyleCnt="0"/>
      <dgm:spPr/>
    </dgm:pt>
    <dgm:pt modelId="{8AC790A0-CAA9-4A3B-97AF-1413B943C89B}" type="pres">
      <dgm:prSet presAssocID="{3641F5E7-0172-4094-BDE6-94766C473388}" presName="parentLeftMargin" presStyleLbl="node1" presStyleIdx="3" presStyleCnt="7"/>
      <dgm:spPr/>
    </dgm:pt>
    <dgm:pt modelId="{DDB276E2-3D38-4387-8CA8-F16B75313DC1}" type="pres">
      <dgm:prSet presAssocID="{3641F5E7-0172-4094-BDE6-94766C473388}" presName="parentText" presStyleLbl="node1" presStyleIdx="4" presStyleCnt="7">
        <dgm:presLayoutVars>
          <dgm:chMax val="0"/>
          <dgm:bulletEnabled val="1"/>
        </dgm:presLayoutVars>
      </dgm:prSet>
      <dgm:spPr/>
    </dgm:pt>
    <dgm:pt modelId="{4098A1D1-935A-4F7D-AFB7-EEFA545347FE}" type="pres">
      <dgm:prSet presAssocID="{3641F5E7-0172-4094-BDE6-94766C473388}" presName="negativeSpace" presStyleCnt="0"/>
      <dgm:spPr/>
    </dgm:pt>
    <dgm:pt modelId="{5FA09DB9-35C5-4A7B-9A8F-BA359E8D2D5C}" type="pres">
      <dgm:prSet presAssocID="{3641F5E7-0172-4094-BDE6-94766C473388}" presName="childText" presStyleLbl="conFgAcc1" presStyleIdx="4" presStyleCnt="7">
        <dgm:presLayoutVars>
          <dgm:bulletEnabled val="1"/>
        </dgm:presLayoutVars>
      </dgm:prSet>
      <dgm:spPr/>
    </dgm:pt>
    <dgm:pt modelId="{C561BCAC-6B2A-41CA-A179-0C9D802B53EB}" type="pres">
      <dgm:prSet presAssocID="{A76F65DE-F68D-414E-B609-65EFC24350D1}" presName="spaceBetweenRectangles" presStyleCnt="0"/>
      <dgm:spPr/>
    </dgm:pt>
    <dgm:pt modelId="{7A142581-181C-4472-A098-EA26995CFA39}" type="pres">
      <dgm:prSet presAssocID="{4D52C64A-59FF-4D0E-9EFC-B153F9ACB341}" presName="parentLin" presStyleCnt="0"/>
      <dgm:spPr/>
    </dgm:pt>
    <dgm:pt modelId="{AEE7CA0F-DB96-48CB-B152-E54D37C37657}" type="pres">
      <dgm:prSet presAssocID="{4D52C64A-59FF-4D0E-9EFC-B153F9ACB341}" presName="parentLeftMargin" presStyleLbl="node1" presStyleIdx="4" presStyleCnt="7"/>
      <dgm:spPr/>
    </dgm:pt>
    <dgm:pt modelId="{3570283F-C922-4751-9213-6D164E17F9D0}" type="pres">
      <dgm:prSet presAssocID="{4D52C64A-59FF-4D0E-9EFC-B153F9ACB341}" presName="parentText" presStyleLbl="node1" presStyleIdx="5" presStyleCnt="7">
        <dgm:presLayoutVars>
          <dgm:chMax val="0"/>
          <dgm:bulletEnabled val="1"/>
        </dgm:presLayoutVars>
      </dgm:prSet>
      <dgm:spPr/>
    </dgm:pt>
    <dgm:pt modelId="{9956553E-7CF9-4F16-A223-7EA059CFF78B}" type="pres">
      <dgm:prSet presAssocID="{4D52C64A-59FF-4D0E-9EFC-B153F9ACB341}" presName="negativeSpace" presStyleCnt="0"/>
      <dgm:spPr/>
    </dgm:pt>
    <dgm:pt modelId="{F9D1943A-5CD3-46B4-82BD-692422FBC8DC}" type="pres">
      <dgm:prSet presAssocID="{4D52C64A-59FF-4D0E-9EFC-B153F9ACB341}" presName="childText" presStyleLbl="conFgAcc1" presStyleIdx="5" presStyleCnt="7">
        <dgm:presLayoutVars>
          <dgm:bulletEnabled val="1"/>
        </dgm:presLayoutVars>
      </dgm:prSet>
      <dgm:spPr/>
    </dgm:pt>
    <dgm:pt modelId="{2217DE6B-3802-4413-8D8D-12E3E7F8024D}" type="pres">
      <dgm:prSet presAssocID="{D909CA51-7F20-4CDC-95F2-9E4DF1596CDE}" presName="spaceBetweenRectangles" presStyleCnt="0"/>
      <dgm:spPr/>
    </dgm:pt>
    <dgm:pt modelId="{F1A072E2-2E92-4410-A30E-B809D82DB1C7}" type="pres">
      <dgm:prSet presAssocID="{A71390D6-256B-485F-A00D-0C7AF62047BD}" presName="parentLin" presStyleCnt="0"/>
      <dgm:spPr/>
    </dgm:pt>
    <dgm:pt modelId="{B0AC5A6A-A5B6-447A-829E-25DA148F5899}" type="pres">
      <dgm:prSet presAssocID="{A71390D6-256B-485F-A00D-0C7AF62047BD}" presName="parentLeftMargin" presStyleLbl="node1" presStyleIdx="5" presStyleCnt="7"/>
      <dgm:spPr/>
    </dgm:pt>
    <dgm:pt modelId="{6F93A3A2-1F21-47AA-977C-86CA3A3A9F1E}" type="pres">
      <dgm:prSet presAssocID="{A71390D6-256B-485F-A00D-0C7AF62047BD}" presName="parentText" presStyleLbl="node1" presStyleIdx="6" presStyleCnt="7">
        <dgm:presLayoutVars>
          <dgm:chMax val="0"/>
          <dgm:bulletEnabled val="1"/>
        </dgm:presLayoutVars>
      </dgm:prSet>
      <dgm:spPr/>
    </dgm:pt>
    <dgm:pt modelId="{1D9E931E-42BA-42D2-84EE-A11384C216E7}" type="pres">
      <dgm:prSet presAssocID="{A71390D6-256B-485F-A00D-0C7AF62047BD}" presName="negativeSpace" presStyleCnt="0"/>
      <dgm:spPr/>
    </dgm:pt>
    <dgm:pt modelId="{A684124D-C05D-4802-87EB-F7F153CB1DC1}" type="pres">
      <dgm:prSet presAssocID="{A71390D6-256B-485F-A00D-0C7AF62047BD}" presName="childText" presStyleLbl="conFgAcc1" presStyleIdx="6" presStyleCnt="7">
        <dgm:presLayoutVars>
          <dgm:bulletEnabled val="1"/>
        </dgm:presLayoutVars>
      </dgm:prSet>
      <dgm:spPr/>
    </dgm:pt>
  </dgm:ptLst>
  <dgm:cxnLst>
    <dgm:cxn modelId="{B8FDF507-734D-4114-8C33-479AFCDDF687}" srcId="{1430041F-1E34-4CD1-9C9E-AC020D3521C0}" destId="{C9E25527-B296-4F39-95FD-B54A2C4640FC}" srcOrd="2" destOrd="0" parTransId="{70A32F88-F99B-4C08-B5FA-00F3C779946E}" sibTransId="{D885B0AE-BE9F-4A91-B119-FE39D690E2A8}"/>
    <dgm:cxn modelId="{3BA49816-545D-4CE7-BA5A-3BAC8F45325C}" type="presOf" srcId="{3641F5E7-0172-4094-BDE6-94766C473388}" destId="{DDB276E2-3D38-4387-8CA8-F16B75313DC1}" srcOrd="1" destOrd="0" presId="urn:microsoft.com/office/officeart/2005/8/layout/list1"/>
    <dgm:cxn modelId="{9B0F9617-44AE-4B6F-B1C3-E43455D39F80}" type="presOf" srcId="{4D52C64A-59FF-4D0E-9EFC-B153F9ACB341}" destId="{AEE7CA0F-DB96-48CB-B152-E54D37C37657}" srcOrd="0" destOrd="0" presId="urn:microsoft.com/office/officeart/2005/8/layout/list1"/>
    <dgm:cxn modelId="{DDEF9C32-34D3-4DB2-B5E5-8CFB863683A9}" srcId="{1430041F-1E34-4CD1-9C9E-AC020D3521C0}" destId="{4D52C64A-59FF-4D0E-9EFC-B153F9ACB341}" srcOrd="5" destOrd="0" parTransId="{C280325E-F3C0-44A1-8DE7-FC6C228BC717}" sibTransId="{D909CA51-7F20-4CDC-95F2-9E4DF1596CDE}"/>
    <dgm:cxn modelId="{250A0064-0F8A-467E-ABB1-63B8CB0894D6}" srcId="{1430041F-1E34-4CD1-9C9E-AC020D3521C0}" destId="{3641F5E7-0172-4094-BDE6-94766C473388}" srcOrd="4" destOrd="0" parTransId="{DBA9610F-69C5-42BD-91D8-12A40ED65164}" sibTransId="{A76F65DE-F68D-414E-B609-65EFC24350D1}"/>
    <dgm:cxn modelId="{4C236749-9990-4BAC-9827-238859088085}" type="presOf" srcId="{C9E25527-B296-4F39-95FD-B54A2C4640FC}" destId="{9B3AD08F-A6D1-4458-BE6C-CFC70EDE6DC3}" srcOrd="1" destOrd="0" presId="urn:microsoft.com/office/officeart/2005/8/layout/list1"/>
    <dgm:cxn modelId="{C5E4C371-7186-41A3-A63A-784670277BF9}" srcId="{1430041F-1E34-4CD1-9C9E-AC020D3521C0}" destId="{A54F09FB-9043-49CE-BAB8-B52401FD55E0}" srcOrd="0" destOrd="0" parTransId="{4D97D400-9FC6-460F-BB98-0424AD149D14}" sibTransId="{8018F43A-7566-4AE5-AA62-458F7523A51B}"/>
    <dgm:cxn modelId="{0DEDD188-1177-4FEB-B6D7-67631441C243}" srcId="{1430041F-1E34-4CD1-9C9E-AC020D3521C0}" destId="{D938E25E-090E-43DA-90C9-FCF74E02A8C1}" srcOrd="3" destOrd="0" parTransId="{F8C8703D-F249-46FB-9DFD-2446AA209389}" sibTransId="{C8BA3E5E-AA3C-400E-A56E-C795596D7E2B}"/>
    <dgm:cxn modelId="{0102D38B-8EBF-4F74-AEC5-27E0BEA09477}" type="presOf" srcId="{4D52C64A-59FF-4D0E-9EFC-B153F9ACB341}" destId="{3570283F-C922-4751-9213-6D164E17F9D0}" srcOrd="1" destOrd="0" presId="urn:microsoft.com/office/officeart/2005/8/layout/list1"/>
    <dgm:cxn modelId="{ECAA9E90-F439-4839-9577-F4B3D6781895}" type="presOf" srcId="{FC65C225-0983-40A1-8C34-A7A864036F29}" destId="{C5723E1D-0893-48D2-A9AA-2C078235CD12}" srcOrd="1" destOrd="0" presId="urn:microsoft.com/office/officeart/2005/8/layout/list1"/>
    <dgm:cxn modelId="{CD93F992-3954-4E38-8190-15EB7272B12B}" type="presOf" srcId="{A54F09FB-9043-49CE-BAB8-B52401FD55E0}" destId="{670D9728-8FB1-4818-A3EE-D8EC9F4D0531}" srcOrd="1" destOrd="0" presId="urn:microsoft.com/office/officeart/2005/8/layout/list1"/>
    <dgm:cxn modelId="{BC14D496-3AD9-48C9-BB3F-462B973B0A25}" type="presOf" srcId="{D938E25E-090E-43DA-90C9-FCF74E02A8C1}" destId="{1BE043AB-D78B-4BBB-BF37-8C22EA3A5474}" srcOrd="0" destOrd="0" presId="urn:microsoft.com/office/officeart/2005/8/layout/list1"/>
    <dgm:cxn modelId="{9A9A5497-8A1F-4403-94D6-35DA6587DF22}" type="presOf" srcId="{A71390D6-256B-485F-A00D-0C7AF62047BD}" destId="{B0AC5A6A-A5B6-447A-829E-25DA148F5899}" srcOrd="0" destOrd="0" presId="urn:microsoft.com/office/officeart/2005/8/layout/list1"/>
    <dgm:cxn modelId="{307C259D-90FF-466D-8569-FFBBC92DBC77}" type="presOf" srcId="{FC65C225-0983-40A1-8C34-A7A864036F29}" destId="{B545188F-CF1A-4DE9-8266-17503D795471}" srcOrd="0" destOrd="0" presId="urn:microsoft.com/office/officeart/2005/8/layout/list1"/>
    <dgm:cxn modelId="{560268A2-95A4-49D6-8A7A-1CF10B85837C}" type="presOf" srcId="{A54F09FB-9043-49CE-BAB8-B52401FD55E0}" destId="{74657014-2125-4822-A8F1-A3F0CF027F44}" srcOrd="0" destOrd="0" presId="urn:microsoft.com/office/officeart/2005/8/layout/list1"/>
    <dgm:cxn modelId="{FC1D87AA-71A7-45E8-BFCA-47271F996C49}" type="presOf" srcId="{C9E25527-B296-4F39-95FD-B54A2C4640FC}" destId="{81100FBA-0A66-4443-AAC2-E59108F36C72}" srcOrd="0" destOrd="0" presId="urn:microsoft.com/office/officeart/2005/8/layout/list1"/>
    <dgm:cxn modelId="{DAC9FCB3-B5C9-480F-9621-0485CE5966E1}" srcId="{1430041F-1E34-4CD1-9C9E-AC020D3521C0}" destId="{A71390D6-256B-485F-A00D-0C7AF62047BD}" srcOrd="6" destOrd="0" parTransId="{BA527F37-AE37-48B7-9915-814616EBE776}" sibTransId="{6328759B-9823-4342-B49B-762600631272}"/>
    <dgm:cxn modelId="{0F8B6AC5-5FB2-47E2-BE43-8643CE40F42B}" type="presOf" srcId="{D938E25E-090E-43DA-90C9-FCF74E02A8C1}" destId="{91F95376-04E8-494E-AD14-8846487FB12E}" srcOrd="1" destOrd="0" presId="urn:microsoft.com/office/officeart/2005/8/layout/list1"/>
    <dgm:cxn modelId="{D35F75DE-04EB-4735-AD20-A7AE893C2615}" type="presOf" srcId="{3641F5E7-0172-4094-BDE6-94766C473388}" destId="{8AC790A0-CAA9-4A3B-97AF-1413B943C89B}" srcOrd="0" destOrd="0" presId="urn:microsoft.com/office/officeart/2005/8/layout/list1"/>
    <dgm:cxn modelId="{668448ED-87C6-4722-83EC-7A723623C4AD}" type="presOf" srcId="{A71390D6-256B-485F-A00D-0C7AF62047BD}" destId="{6F93A3A2-1F21-47AA-977C-86CA3A3A9F1E}" srcOrd="1" destOrd="0" presId="urn:microsoft.com/office/officeart/2005/8/layout/list1"/>
    <dgm:cxn modelId="{1ACA55FB-D423-4CA1-8B5D-F67AA255E4DE}" type="presOf" srcId="{1430041F-1E34-4CD1-9C9E-AC020D3521C0}" destId="{7637ED41-CF18-49BB-8B9F-20F1E72FF926}" srcOrd="0" destOrd="0" presId="urn:microsoft.com/office/officeart/2005/8/layout/list1"/>
    <dgm:cxn modelId="{A3CEA8FB-F7EE-4F22-845D-EA612D46573B}" srcId="{1430041F-1E34-4CD1-9C9E-AC020D3521C0}" destId="{FC65C225-0983-40A1-8C34-A7A864036F29}" srcOrd="1" destOrd="0" parTransId="{2DC15122-D752-4DC0-9CA3-8A5633BFC175}" sibTransId="{0C89201F-AEF8-4828-80E7-D34B3E91813A}"/>
    <dgm:cxn modelId="{2551B7CE-C757-42B5-9F03-A0AD14864A66}" type="presParOf" srcId="{7637ED41-CF18-49BB-8B9F-20F1E72FF926}" destId="{B16FB2E5-11B8-4528-8EA3-21FC7E2EDDE1}" srcOrd="0" destOrd="0" presId="urn:microsoft.com/office/officeart/2005/8/layout/list1"/>
    <dgm:cxn modelId="{AC3DE791-4081-4ED9-9D1A-E7CE461242FB}" type="presParOf" srcId="{B16FB2E5-11B8-4528-8EA3-21FC7E2EDDE1}" destId="{74657014-2125-4822-A8F1-A3F0CF027F44}" srcOrd="0" destOrd="0" presId="urn:microsoft.com/office/officeart/2005/8/layout/list1"/>
    <dgm:cxn modelId="{A7510AC1-912A-43E4-A5F0-D1579CBAA35F}" type="presParOf" srcId="{B16FB2E5-11B8-4528-8EA3-21FC7E2EDDE1}" destId="{670D9728-8FB1-4818-A3EE-D8EC9F4D0531}" srcOrd="1" destOrd="0" presId="urn:microsoft.com/office/officeart/2005/8/layout/list1"/>
    <dgm:cxn modelId="{2AB0E321-F788-465D-B303-D59D9F07F58A}" type="presParOf" srcId="{7637ED41-CF18-49BB-8B9F-20F1E72FF926}" destId="{61032A37-AE0F-4EF4-A160-45FB58BC4197}" srcOrd="1" destOrd="0" presId="urn:microsoft.com/office/officeart/2005/8/layout/list1"/>
    <dgm:cxn modelId="{74A563E8-BD68-42ED-A542-25B37FD18835}" type="presParOf" srcId="{7637ED41-CF18-49BB-8B9F-20F1E72FF926}" destId="{E999579D-8AA7-4443-A74A-17385EC3C371}" srcOrd="2" destOrd="0" presId="urn:microsoft.com/office/officeart/2005/8/layout/list1"/>
    <dgm:cxn modelId="{552E083C-B624-460C-B197-5F9DF6CF82E7}" type="presParOf" srcId="{7637ED41-CF18-49BB-8B9F-20F1E72FF926}" destId="{D2727643-9353-4F0D-8C88-F5339F725FA7}" srcOrd="3" destOrd="0" presId="urn:microsoft.com/office/officeart/2005/8/layout/list1"/>
    <dgm:cxn modelId="{4BBE3427-8B35-4A05-8E74-DC884F1DCC19}" type="presParOf" srcId="{7637ED41-CF18-49BB-8B9F-20F1E72FF926}" destId="{27401099-104A-4579-A029-D782CA3A9F92}" srcOrd="4" destOrd="0" presId="urn:microsoft.com/office/officeart/2005/8/layout/list1"/>
    <dgm:cxn modelId="{4EA37582-D5CB-48FF-AAAF-B57C27F05E0F}" type="presParOf" srcId="{27401099-104A-4579-A029-D782CA3A9F92}" destId="{B545188F-CF1A-4DE9-8266-17503D795471}" srcOrd="0" destOrd="0" presId="urn:microsoft.com/office/officeart/2005/8/layout/list1"/>
    <dgm:cxn modelId="{82F4DAC1-801E-4D35-BCA7-431E5A1346B0}" type="presParOf" srcId="{27401099-104A-4579-A029-D782CA3A9F92}" destId="{C5723E1D-0893-48D2-A9AA-2C078235CD12}" srcOrd="1" destOrd="0" presId="urn:microsoft.com/office/officeart/2005/8/layout/list1"/>
    <dgm:cxn modelId="{655F84A3-80DD-482A-9B04-E82A843933D1}" type="presParOf" srcId="{7637ED41-CF18-49BB-8B9F-20F1E72FF926}" destId="{E8B47EEF-0ABA-4D8B-A2CB-DF886C09C2F7}" srcOrd="5" destOrd="0" presId="urn:microsoft.com/office/officeart/2005/8/layout/list1"/>
    <dgm:cxn modelId="{A30CAF18-C293-4EEF-8540-C747B80DE22F}" type="presParOf" srcId="{7637ED41-CF18-49BB-8B9F-20F1E72FF926}" destId="{7D4A8CC0-F7E0-437B-9391-15B96A93C137}" srcOrd="6" destOrd="0" presId="urn:microsoft.com/office/officeart/2005/8/layout/list1"/>
    <dgm:cxn modelId="{94BF9EA7-3030-4C3A-A7B3-76CC2BC417CB}" type="presParOf" srcId="{7637ED41-CF18-49BB-8B9F-20F1E72FF926}" destId="{DDD51A35-D503-4EFE-9504-AA6324300EF1}" srcOrd="7" destOrd="0" presId="urn:microsoft.com/office/officeart/2005/8/layout/list1"/>
    <dgm:cxn modelId="{5B6E5660-0949-4B45-8BE3-627D329CEA32}" type="presParOf" srcId="{7637ED41-CF18-49BB-8B9F-20F1E72FF926}" destId="{6CEF6A20-F0B6-4C92-83CE-55480F44DC14}" srcOrd="8" destOrd="0" presId="urn:microsoft.com/office/officeart/2005/8/layout/list1"/>
    <dgm:cxn modelId="{831AC728-8595-40FA-BD73-8438B49DC1F6}" type="presParOf" srcId="{6CEF6A20-F0B6-4C92-83CE-55480F44DC14}" destId="{81100FBA-0A66-4443-AAC2-E59108F36C72}" srcOrd="0" destOrd="0" presId="urn:microsoft.com/office/officeart/2005/8/layout/list1"/>
    <dgm:cxn modelId="{F41B0D7C-9721-4808-8E5E-D14FE3130F63}" type="presParOf" srcId="{6CEF6A20-F0B6-4C92-83CE-55480F44DC14}" destId="{9B3AD08F-A6D1-4458-BE6C-CFC70EDE6DC3}" srcOrd="1" destOrd="0" presId="urn:microsoft.com/office/officeart/2005/8/layout/list1"/>
    <dgm:cxn modelId="{BED4C6A0-65EA-4680-B04C-646F61B3E8C9}" type="presParOf" srcId="{7637ED41-CF18-49BB-8B9F-20F1E72FF926}" destId="{2162BD7D-9DF5-4FC4-8B7C-F1D5E56A3BD5}" srcOrd="9" destOrd="0" presId="urn:microsoft.com/office/officeart/2005/8/layout/list1"/>
    <dgm:cxn modelId="{858D3AD1-74FA-450F-822E-8126878D9B3F}" type="presParOf" srcId="{7637ED41-CF18-49BB-8B9F-20F1E72FF926}" destId="{EE25FBCA-AA4C-450C-B4A9-2B9C738062F0}" srcOrd="10" destOrd="0" presId="urn:microsoft.com/office/officeart/2005/8/layout/list1"/>
    <dgm:cxn modelId="{81A3F384-51A8-4313-B97C-70C5C87172C5}" type="presParOf" srcId="{7637ED41-CF18-49BB-8B9F-20F1E72FF926}" destId="{E60B3E7D-5B5A-4868-A222-6A7629406F4B}" srcOrd="11" destOrd="0" presId="urn:microsoft.com/office/officeart/2005/8/layout/list1"/>
    <dgm:cxn modelId="{88C584D0-A995-47DD-A85D-90F5385B9BA7}" type="presParOf" srcId="{7637ED41-CF18-49BB-8B9F-20F1E72FF926}" destId="{C94304A4-29C5-4FC7-9E7E-94AB529C37B0}" srcOrd="12" destOrd="0" presId="urn:microsoft.com/office/officeart/2005/8/layout/list1"/>
    <dgm:cxn modelId="{42708201-34D8-456D-AB74-42E514EBD3BA}" type="presParOf" srcId="{C94304A4-29C5-4FC7-9E7E-94AB529C37B0}" destId="{1BE043AB-D78B-4BBB-BF37-8C22EA3A5474}" srcOrd="0" destOrd="0" presId="urn:microsoft.com/office/officeart/2005/8/layout/list1"/>
    <dgm:cxn modelId="{B809CECE-E73E-4E3D-8F9C-4B7C0484B6A6}" type="presParOf" srcId="{C94304A4-29C5-4FC7-9E7E-94AB529C37B0}" destId="{91F95376-04E8-494E-AD14-8846487FB12E}" srcOrd="1" destOrd="0" presId="urn:microsoft.com/office/officeart/2005/8/layout/list1"/>
    <dgm:cxn modelId="{262121E6-629C-486E-9870-8EED30E01619}" type="presParOf" srcId="{7637ED41-CF18-49BB-8B9F-20F1E72FF926}" destId="{82095553-4880-47AE-96DA-5EFBA88501F9}" srcOrd="13" destOrd="0" presId="urn:microsoft.com/office/officeart/2005/8/layout/list1"/>
    <dgm:cxn modelId="{4C803BFD-8103-4D8B-A53F-DBEA30273E3A}" type="presParOf" srcId="{7637ED41-CF18-49BB-8B9F-20F1E72FF926}" destId="{7A0E7ACE-C9DD-4952-99C3-1C37D28D6C19}" srcOrd="14" destOrd="0" presId="urn:microsoft.com/office/officeart/2005/8/layout/list1"/>
    <dgm:cxn modelId="{B9B78EFE-A256-457F-BF63-8585A7C59AB8}" type="presParOf" srcId="{7637ED41-CF18-49BB-8B9F-20F1E72FF926}" destId="{5D6C2C50-5B5D-4BCC-9BBA-0836C4FA1E9D}" srcOrd="15" destOrd="0" presId="urn:microsoft.com/office/officeart/2005/8/layout/list1"/>
    <dgm:cxn modelId="{0AB0D1FD-E496-4A7F-AC0C-543A0B453FB9}" type="presParOf" srcId="{7637ED41-CF18-49BB-8B9F-20F1E72FF926}" destId="{EA8589EB-7E64-4AC5-81A2-9EBD65E9C5EB}" srcOrd="16" destOrd="0" presId="urn:microsoft.com/office/officeart/2005/8/layout/list1"/>
    <dgm:cxn modelId="{5AD1CD58-4C1A-48EF-96D0-3A14975D2847}" type="presParOf" srcId="{EA8589EB-7E64-4AC5-81A2-9EBD65E9C5EB}" destId="{8AC790A0-CAA9-4A3B-97AF-1413B943C89B}" srcOrd="0" destOrd="0" presId="urn:microsoft.com/office/officeart/2005/8/layout/list1"/>
    <dgm:cxn modelId="{244007DE-849B-4D59-8B66-F736FC357441}" type="presParOf" srcId="{EA8589EB-7E64-4AC5-81A2-9EBD65E9C5EB}" destId="{DDB276E2-3D38-4387-8CA8-F16B75313DC1}" srcOrd="1" destOrd="0" presId="urn:microsoft.com/office/officeart/2005/8/layout/list1"/>
    <dgm:cxn modelId="{E21BF590-D939-4DEB-AA68-C00A6884A76B}" type="presParOf" srcId="{7637ED41-CF18-49BB-8B9F-20F1E72FF926}" destId="{4098A1D1-935A-4F7D-AFB7-EEFA545347FE}" srcOrd="17" destOrd="0" presId="urn:microsoft.com/office/officeart/2005/8/layout/list1"/>
    <dgm:cxn modelId="{45C8788F-CBDB-4190-A21E-20AB7D67D25F}" type="presParOf" srcId="{7637ED41-CF18-49BB-8B9F-20F1E72FF926}" destId="{5FA09DB9-35C5-4A7B-9A8F-BA359E8D2D5C}" srcOrd="18" destOrd="0" presId="urn:microsoft.com/office/officeart/2005/8/layout/list1"/>
    <dgm:cxn modelId="{FEFD1819-0E5B-4970-8E7C-AD549ED90328}" type="presParOf" srcId="{7637ED41-CF18-49BB-8B9F-20F1E72FF926}" destId="{C561BCAC-6B2A-41CA-A179-0C9D802B53EB}" srcOrd="19" destOrd="0" presId="urn:microsoft.com/office/officeart/2005/8/layout/list1"/>
    <dgm:cxn modelId="{4C3BE4C3-CA08-4F3A-9D8A-2645FDE9B51E}" type="presParOf" srcId="{7637ED41-CF18-49BB-8B9F-20F1E72FF926}" destId="{7A142581-181C-4472-A098-EA26995CFA39}" srcOrd="20" destOrd="0" presId="urn:microsoft.com/office/officeart/2005/8/layout/list1"/>
    <dgm:cxn modelId="{023AC7CC-9686-4F59-B0B9-6BA0605B65E2}" type="presParOf" srcId="{7A142581-181C-4472-A098-EA26995CFA39}" destId="{AEE7CA0F-DB96-48CB-B152-E54D37C37657}" srcOrd="0" destOrd="0" presId="urn:microsoft.com/office/officeart/2005/8/layout/list1"/>
    <dgm:cxn modelId="{61E72685-0BB0-42C7-80BE-D1C021A08A31}" type="presParOf" srcId="{7A142581-181C-4472-A098-EA26995CFA39}" destId="{3570283F-C922-4751-9213-6D164E17F9D0}" srcOrd="1" destOrd="0" presId="urn:microsoft.com/office/officeart/2005/8/layout/list1"/>
    <dgm:cxn modelId="{1649790D-FC0E-4803-B2B1-DBA3F3623636}" type="presParOf" srcId="{7637ED41-CF18-49BB-8B9F-20F1E72FF926}" destId="{9956553E-7CF9-4F16-A223-7EA059CFF78B}" srcOrd="21" destOrd="0" presId="urn:microsoft.com/office/officeart/2005/8/layout/list1"/>
    <dgm:cxn modelId="{501EE633-FD27-4CA1-B3D5-A3EABEE2EE39}" type="presParOf" srcId="{7637ED41-CF18-49BB-8B9F-20F1E72FF926}" destId="{F9D1943A-5CD3-46B4-82BD-692422FBC8DC}" srcOrd="22" destOrd="0" presId="urn:microsoft.com/office/officeart/2005/8/layout/list1"/>
    <dgm:cxn modelId="{8895CFFE-6F42-4B0C-829A-CF007F50855A}" type="presParOf" srcId="{7637ED41-CF18-49BB-8B9F-20F1E72FF926}" destId="{2217DE6B-3802-4413-8D8D-12E3E7F8024D}" srcOrd="23" destOrd="0" presId="urn:microsoft.com/office/officeart/2005/8/layout/list1"/>
    <dgm:cxn modelId="{9CA8EAC8-A748-49AA-8067-CCA214F1A68C}" type="presParOf" srcId="{7637ED41-CF18-49BB-8B9F-20F1E72FF926}" destId="{F1A072E2-2E92-4410-A30E-B809D82DB1C7}" srcOrd="24" destOrd="0" presId="urn:microsoft.com/office/officeart/2005/8/layout/list1"/>
    <dgm:cxn modelId="{261D92DB-78EB-4CB4-AD1C-50F85DAC9C15}" type="presParOf" srcId="{F1A072E2-2E92-4410-A30E-B809D82DB1C7}" destId="{B0AC5A6A-A5B6-447A-829E-25DA148F5899}" srcOrd="0" destOrd="0" presId="urn:microsoft.com/office/officeart/2005/8/layout/list1"/>
    <dgm:cxn modelId="{5FEEA77A-49F2-44AD-AEA1-6467C961955B}" type="presParOf" srcId="{F1A072E2-2E92-4410-A30E-B809D82DB1C7}" destId="{6F93A3A2-1F21-47AA-977C-86CA3A3A9F1E}" srcOrd="1" destOrd="0" presId="urn:microsoft.com/office/officeart/2005/8/layout/list1"/>
    <dgm:cxn modelId="{DD17C539-497C-4530-A1F6-29C1F7A1BC37}" type="presParOf" srcId="{7637ED41-CF18-49BB-8B9F-20F1E72FF926}" destId="{1D9E931E-42BA-42D2-84EE-A11384C216E7}" srcOrd="25" destOrd="0" presId="urn:microsoft.com/office/officeart/2005/8/layout/list1"/>
    <dgm:cxn modelId="{9FC920F7-8A18-451A-ADB3-2564940F59C1}" type="presParOf" srcId="{7637ED41-CF18-49BB-8B9F-20F1E72FF926}" destId="{A684124D-C05D-4802-87EB-F7F153CB1DC1}" srcOrd="26"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99579D-8AA7-4443-A74A-17385EC3C371}">
      <dsp:nvSpPr>
        <dsp:cNvPr id="0" name=""/>
        <dsp:cNvSpPr/>
      </dsp:nvSpPr>
      <dsp:spPr>
        <a:xfrm>
          <a:off x="0" y="187199"/>
          <a:ext cx="5486400" cy="2520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70D9728-8FB1-4818-A3EE-D8EC9F4D0531}">
      <dsp:nvSpPr>
        <dsp:cNvPr id="0" name=""/>
        <dsp:cNvSpPr/>
      </dsp:nvSpPr>
      <dsp:spPr>
        <a:xfrm>
          <a:off x="274320" y="39599"/>
          <a:ext cx="3840480" cy="29520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Introduction</a:t>
          </a:r>
        </a:p>
      </dsp:txBody>
      <dsp:txXfrm>
        <a:off x="288730" y="54009"/>
        <a:ext cx="3811660" cy="266380"/>
      </dsp:txXfrm>
    </dsp:sp>
    <dsp:sp modelId="{7D4A8CC0-F7E0-437B-9391-15B96A93C137}">
      <dsp:nvSpPr>
        <dsp:cNvPr id="0" name=""/>
        <dsp:cNvSpPr/>
      </dsp:nvSpPr>
      <dsp:spPr>
        <a:xfrm>
          <a:off x="0" y="640799"/>
          <a:ext cx="5486400" cy="252000"/>
        </a:xfrm>
        <a:prstGeom prst="rect">
          <a:avLst/>
        </a:prstGeom>
        <a:solidFill>
          <a:schemeClr val="lt1">
            <a:alpha val="90000"/>
            <a:hueOff val="0"/>
            <a:satOff val="0"/>
            <a:lumOff val="0"/>
            <a:alphaOff val="0"/>
          </a:schemeClr>
        </a:solidFill>
        <a:ln w="6350" cap="flat" cmpd="sng" algn="ctr">
          <a:solidFill>
            <a:schemeClr val="accent3">
              <a:hueOff val="451767"/>
              <a:satOff val="16667"/>
              <a:lumOff val="-2451"/>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5723E1D-0893-48D2-A9AA-2C078235CD12}">
      <dsp:nvSpPr>
        <dsp:cNvPr id="0" name=""/>
        <dsp:cNvSpPr/>
      </dsp:nvSpPr>
      <dsp:spPr>
        <a:xfrm>
          <a:off x="274320" y="493199"/>
          <a:ext cx="3840480" cy="295200"/>
        </a:xfrm>
        <a:prstGeom prst="roundRect">
          <a:avLst/>
        </a:prstGeom>
        <a:gradFill rotWithShape="0">
          <a:gsLst>
            <a:gs pos="0">
              <a:schemeClr val="accent3">
                <a:hueOff val="451767"/>
                <a:satOff val="16667"/>
                <a:lumOff val="-2451"/>
                <a:alphaOff val="0"/>
                <a:satMod val="103000"/>
                <a:lumMod val="102000"/>
                <a:tint val="94000"/>
              </a:schemeClr>
            </a:gs>
            <a:gs pos="50000">
              <a:schemeClr val="accent3">
                <a:hueOff val="451767"/>
                <a:satOff val="16667"/>
                <a:lumOff val="-2451"/>
                <a:alphaOff val="0"/>
                <a:satMod val="110000"/>
                <a:lumMod val="100000"/>
                <a:shade val="100000"/>
              </a:schemeClr>
            </a:gs>
            <a:gs pos="100000">
              <a:schemeClr val="accent3">
                <a:hueOff val="451767"/>
                <a:satOff val="16667"/>
                <a:lumOff val="-245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Literature Review</a:t>
          </a:r>
        </a:p>
      </dsp:txBody>
      <dsp:txXfrm>
        <a:off x="288730" y="507609"/>
        <a:ext cx="3811660" cy="266380"/>
      </dsp:txXfrm>
    </dsp:sp>
    <dsp:sp modelId="{EE25FBCA-AA4C-450C-B4A9-2B9C738062F0}">
      <dsp:nvSpPr>
        <dsp:cNvPr id="0" name=""/>
        <dsp:cNvSpPr/>
      </dsp:nvSpPr>
      <dsp:spPr>
        <a:xfrm>
          <a:off x="0" y="1094400"/>
          <a:ext cx="5486400" cy="252000"/>
        </a:xfrm>
        <a:prstGeom prst="rect">
          <a:avLst/>
        </a:prstGeom>
        <a:solidFill>
          <a:schemeClr val="lt1">
            <a:alpha val="90000"/>
            <a:hueOff val="0"/>
            <a:satOff val="0"/>
            <a:lumOff val="0"/>
            <a:alphaOff val="0"/>
          </a:schemeClr>
        </a:solidFill>
        <a:ln w="6350" cap="flat" cmpd="sng" algn="ctr">
          <a:solidFill>
            <a:schemeClr val="accent3">
              <a:hueOff val="903533"/>
              <a:satOff val="33333"/>
              <a:lumOff val="-4902"/>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9B3AD08F-A6D1-4458-BE6C-CFC70EDE6DC3}">
      <dsp:nvSpPr>
        <dsp:cNvPr id="0" name=""/>
        <dsp:cNvSpPr/>
      </dsp:nvSpPr>
      <dsp:spPr>
        <a:xfrm>
          <a:off x="274320" y="946799"/>
          <a:ext cx="3840480" cy="295200"/>
        </a:xfrm>
        <a:prstGeom prst="roundRect">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Methodology</a:t>
          </a:r>
        </a:p>
      </dsp:txBody>
      <dsp:txXfrm>
        <a:off x="288730" y="961209"/>
        <a:ext cx="3811660" cy="266380"/>
      </dsp:txXfrm>
    </dsp:sp>
    <dsp:sp modelId="{7A0E7ACE-C9DD-4952-99C3-1C37D28D6C19}">
      <dsp:nvSpPr>
        <dsp:cNvPr id="0" name=""/>
        <dsp:cNvSpPr/>
      </dsp:nvSpPr>
      <dsp:spPr>
        <a:xfrm>
          <a:off x="0" y="1548000"/>
          <a:ext cx="5486400" cy="252000"/>
        </a:xfrm>
        <a:prstGeom prst="rect">
          <a:avLst/>
        </a:prstGeom>
        <a:solidFill>
          <a:schemeClr val="lt1">
            <a:alpha val="90000"/>
            <a:hueOff val="0"/>
            <a:satOff val="0"/>
            <a:lumOff val="0"/>
            <a:alphaOff val="0"/>
          </a:schemeClr>
        </a:solidFill>
        <a:ln w="6350" cap="flat" cmpd="sng" algn="ctr">
          <a:solidFill>
            <a:schemeClr val="accent3">
              <a:hueOff val="1355300"/>
              <a:satOff val="50000"/>
              <a:lumOff val="-7353"/>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91F95376-04E8-494E-AD14-8846487FB12E}">
      <dsp:nvSpPr>
        <dsp:cNvPr id="0" name=""/>
        <dsp:cNvSpPr/>
      </dsp:nvSpPr>
      <dsp:spPr>
        <a:xfrm>
          <a:off x="274320" y="1400400"/>
          <a:ext cx="3840480" cy="295200"/>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Data collection </a:t>
          </a:r>
        </a:p>
      </dsp:txBody>
      <dsp:txXfrm>
        <a:off x="288730" y="1414810"/>
        <a:ext cx="3811660" cy="266380"/>
      </dsp:txXfrm>
    </dsp:sp>
    <dsp:sp modelId="{5FA09DB9-35C5-4A7B-9A8F-BA359E8D2D5C}">
      <dsp:nvSpPr>
        <dsp:cNvPr id="0" name=""/>
        <dsp:cNvSpPr/>
      </dsp:nvSpPr>
      <dsp:spPr>
        <a:xfrm>
          <a:off x="0" y="2001600"/>
          <a:ext cx="5486400" cy="252000"/>
        </a:xfrm>
        <a:prstGeom prst="rect">
          <a:avLst/>
        </a:prstGeom>
        <a:solidFill>
          <a:schemeClr val="lt1">
            <a:alpha val="90000"/>
            <a:hueOff val="0"/>
            <a:satOff val="0"/>
            <a:lumOff val="0"/>
            <a:alphaOff val="0"/>
          </a:schemeClr>
        </a:solidFill>
        <a:ln w="6350" cap="flat" cmpd="sng" algn="ctr">
          <a:solidFill>
            <a:schemeClr val="accent3">
              <a:hueOff val="1807066"/>
              <a:satOff val="66667"/>
              <a:lumOff val="-9804"/>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DDB276E2-3D38-4387-8CA8-F16B75313DC1}">
      <dsp:nvSpPr>
        <dsp:cNvPr id="0" name=""/>
        <dsp:cNvSpPr/>
      </dsp:nvSpPr>
      <dsp:spPr>
        <a:xfrm>
          <a:off x="274320" y="1854000"/>
          <a:ext cx="3840480" cy="295200"/>
        </a:xfrm>
        <a:prstGeom prst="roundRect">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Result and Findings </a:t>
          </a:r>
        </a:p>
      </dsp:txBody>
      <dsp:txXfrm>
        <a:off x="288730" y="1868410"/>
        <a:ext cx="3811660" cy="266380"/>
      </dsp:txXfrm>
    </dsp:sp>
    <dsp:sp modelId="{F9D1943A-5CD3-46B4-82BD-692422FBC8DC}">
      <dsp:nvSpPr>
        <dsp:cNvPr id="0" name=""/>
        <dsp:cNvSpPr/>
      </dsp:nvSpPr>
      <dsp:spPr>
        <a:xfrm>
          <a:off x="0" y="2455200"/>
          <a:ext cx="5486400" cy="252000"/>
        </a:xfrm>
        <a:prstGeom prst="rect">
          <a:avLst/>
        </a:prstGeom>
        <a:solidFill>
          <a:schemeClr val="lt1">
            <a:alpha val="90000"/>
            <a:hueOff val="0"/>
            <a:satOff val="0"/>
            <a:lumOff val="0"/>
            <a:alphaOff val="0"/>
          </a:schemeClr>
        </a:solidFill>
        <a:ln w="6350" cap="flat" cmpd="sng" algn="ctr">
          <a:solidFill>
            <a:schemeClr val="accent3">
              <a:hueOff val="2258833"/>
              <a:satOff val="83333"/>
              <a:lumOff val="-12255"/>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3570283F-C922-4751-9213-6D164E17F9D0}">
      <dsp:nvSpPr>
        <dsp:cNvPr id="0" name=""/>
        <dsp:cNvSpPr/>
      </dsp:nvSpPr>
      <dsp:spPr>
        <a:xfrm>
          <a:off x="274320" y="2307599"/>
          <a:ext cx="3840480" cy="295200"/>
        </a:xfrm>
        <a:prstGeom prst="roundRect">
          <a:avLst/>
        </a:prstGeom>
        <a:gradFill rotWithShape="0">
          <a:gsLst>
            <a:gs pos="0">
              <a:schemeClr val="accent3">
                <a:hueOff val="2258833"/>
                <a:satOff val="83333"/>
                <a:lumOff val="-12255"/>
                <a:alphaOff val="0"/>
                <a:satMod val="103000"/>
                <a:lumMod val="102000"/>
                <a:tint val="94000"/>
              </a:schemeClr>
            </a:gs>
            <a:gs pos="50000">
              <a:schemeClr val="accent3">
                <a:hueOff val="2258833"/>
                <a:satOff val="83333"/>
                <a:lumOff val="-12255"/>
                <a:alphaOff val="0"/>
                <a:satMod val="110000"/>
                <a:lumMod val="100000"/>
                <a:shade val="100000"/>
              </a:schemeClr>
            </a:gs>
            <a:gs pos="100000">
              <a:schemeClr val="accent3">
                <a:hueOff val="2258833"/>
                <a:satOff val="83333"/>
                <a:lumOff val="-1225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Concluision and Recomendation</a:t>
          </a:r>
        </a:p>
      </dsp:txBody>
      <dsp:txXfrm>
        <a:off x="288730" y="2322009"/>
        <a:ext cx="3811660" cy="266380"/>
      </dsp:txXfrm>
    </dsp:sp>
    <dsp:sp modelId="{A684124D-C05D-4802-87EB-F7F153CB1DC1}">
      <dsp:nvSpPr>
        <dsp:cNvPr id="0" name=""/>
        <dsp:cNvSpPr/>
      </dsp:nvSpPr>
      <dsp:spPr>
        <a:xfrm>
          <a:off x="0" y="2908800"/>
          <a:ext cx="5486400" cy="252000"/>
        </a:xfrm>
        <a:prstGeom prst="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F93A3A2-1F21-47AA-977C-86CA3A3A9F1E}">
      <dsp:nvSpPr>
        <dsp:cNvPr id="0" name=""/>
        <dsp:cNvSpPr/>
      </dsp:nvSpPr>
      <dsp:spPr>
        <a:xfrm>
          <a:off x="274320" y="2761200"/>
          <a:ext cx="3840480" cy="29520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Reflection</a:t>
          </a: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5823e13cd72d0dbe8c96a7cb3dce4b74">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1DF386-D175-4473-B385-318834740D92}">
  <ds:schemaRefs>
    <ds:schemaRef ds:uri="http://schemas.microsoft.com/sharepoint/v3/contenttype/forms"/>
  </ds:schemaRefs>
</ds:datastoreItem>
</file>

<file path=customXml/itemProps2.xml><?xml version="1.0" encoding="utf-8"?>
<ds:datastoreItem xmlns:ds="http://schemas.openxmlformats.org/officeDocument/2006/customXml" ds:itemID="{3EB25B85-8491-46C5-BD21-A2B0FC7180A5}">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AED7B6AE-CDD9-4CA4-9EF3-D66A191DF46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7D9760C-B7A4-4214-A5BD-093B7194E66E}">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16374</Words>
  <Characters>93336</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Dishant Sanjaybhai Moradiya (2213506)</dc:creator>
  <cp:keywords/>
  <dc:description/>
  <cp:lastModifiedBy>Dishant Sanjaybhai Moradiya (2213506)</cp:lastModifiedBy>
  <cp:revision>2</cp:revision>
  <dcterms:created xsi:type="dcterms:W3CDTF">2023-09-17T17:38:00Z</dcterms:created>
  <dcterms:modified xsi:type="dcterms:W3CDTF">2023-09-17T17:38:00Z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