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5BF53" w14:textId="5CFE2275" w:rsidR="009012A7" w:rsidRDefault="00FE7CCC" w:rsidP="009012A7">
      <w:r>
        <w:t xml:space="preserve">Chapter 6 </w:t>
      </w:r>
      <w:r w:rsidR="009012A7">
        <w:t>ASSESSING POLICY ALTERNATIVES</w:t>
      </w:r>
    </w:p>
    <w:p w14:paraId="000F4D60" w14:textId="2146337D" w:rsidR="009012A7" w:rsidRDefault="009012A7" w:rsidP="009012A7">
      <w:r>
        <w:t>Looking for alternatives. The price of gasoline rose sharply in 2022 as the COVID-19 pandemic eased and both business travel and family vacations resumed. A global scarcity of oil after Russia invaded Ukraine in late February of 2022 made the situation worse and predictably sparked consumer and political outrage. While there is little that any public official can do to counter such a short-term spike in prices, public and partisan anger tends to be directed at the incumbent president.</w:t>
      </w:r>
    </w:p>
    <w:p w14:paraId="6618198A" w14:textId="77777777" w:rsidR="009012A7" w:rsidRDefault="009012A7" w:rsidP="009012A7">
      <w:r>
        <w:t>Learning Objectives</w:t>
      </w:r>
    </w:p>
    <w:p w14:paraId="4598AFC8" w14:textId="77777777" w:rsidR="009012A7" w:rsidRDefault="009012A7" w:rsidP="009012A7">
      <w:pPr>
        <w:pStyle w:val="ListParagraph"/>
        <w:numPr>
          <w:ilvl w:val="0"/>
          <w:numId w:val="2"/>
        </w:numPr>
      </w:pPr>
      <w:r>
        <w:t>Describe evaluative criteria for judging the value of policy proposals or alternatives.</w:t>
      </w:r>
    </w:p>
    <w:p w14:paraId="0D9C5B4F" w14:textId="77777777" w:rsidR="009012A7" w:rsidRDefault="009012A7" w:rsidP="009012A7">
      <w:pPr>
        <w:pStyle w:val="ListParagraph"/>
        <w:numPr>
          <w:ilvl w:val="0"/>
          <w:numId w:val="2"/>
        </w:numPr>
      </w:pPr>
      <w:r>
        <w:t>Explain how to apply the methods of policy analysis.</w:t>
      </w:r>
    </w:p>
    <w:p w14:paraId="42679C66" w14:textId="77777777" w:rsidR="009012A7" w:rsidRDefault="009012A7" w:rsidP="009012A7">
      <w:pPr>
        <w:pStyle w:val="ListParagraph"/>
        <w:numPr>
          <w:ilvl w:val="0"/>
          <w:numId w:val="2"/>
        </w:numPr>
      </w:pPr>
      <w:r>
        <w:t>Identify three key economic approaches to policy analysis.</w:t>
      </w:r>
    </w:p>
    <w:p w14:paraId="1BE7BF76" w14:textId="77777777" w:rsidR="009012A7" w:rsidRDefault="009012A7" w:rsidP="009012A7">
      <w:pPr>
        <w:pStyle w:val="ListParagraph"/>
        <w:numPr>
          <w:ilvl w:val="0"/>
          <w:numId w:val="2"/>
        </w:numPr>
      </w:pPr>
      <w:r>
        <w:t>Distinguish between the several kinds of decision-making and impact analyses.</w:t>
      </w:r>
    </w:p>
    <w:p w14:paraId="24A8D382" w14:textId="77777777" w:rsidR="009012A7" w:rsidRDefault="009012A7" w:rsidP="009012A7">
      <w:pPr>
        <w:pStyle w:val="ListParagraph"/>
        <w:numPr>
          <w:ilvl w:val="0"/>
          <w:numId w:val="2"/>
        </w:numPr>
      </w:pPr>
      <w:r>
        <w:t>Compare the ethical approach of policy analysis against other methods.</w:t>
      </w:r>
    </w:p>
    <w:p w14:paraId="16ADA44E" w14:textId="7E87FEAB" w:rsidR="009012A7" w:rsidRDefault="009012A7" w:rsidP="009012A7">
      <w:r>
        <w:t>Over a decade ago, when gasoline prices surged, automobile makers responded by heavily promoting a new generation of more efficient vehicles and touting their highway fuel economy. Nearly all of them also invested heavily in development of new hybrid or electric models to meet rising public demand for efficient cars, trucks, and SUVs. The same forces led the Obama administration to strike a deal with U.S. auto companies that took effect in 2012 and was to raise fuel efficiency standards to a fleet average of 54.5 miles per gallon by 2025. Six years later, the Trump administration sought to reverse that decision in response to complaints from the fossil fuel industry and some automakers and as gasoline prices dropped to as low as $2 per gallon in 2018. Among other changes that flowed from these new conditions, vehicle manufacturers stopped touting the fuel economy of their cars and trucks and reverted to emphasizing power, performance, and luxury in the ever-abundant television and online advertisements.</w:t>
      </w:r>
    </w:p>
    <w:p w14:paraId="71489405" w14:textId="62EE604A" w:rsidR="009012A7" w:rsidRDefault="009012A7" w:rsidP="009012A7">
      <w:r>
        <w:t>By 2022, during the Biden administration, gasoline prices surged once more. This time they rose to over $5 per gallon when demand for oil increased sharply as the COVID-19 pandemic eased and both business travel and family vacations resumed. The global supply of oil was insufficient and was made worse after Russia invaded Ukraine in late February of 2022, and many nations announced plans to embargo Russian energy exports. Yet U.S. oil companies were reluctant to increase production because they believed prices would not stay high for long enough to justify the additional investment they would have to make; they also enjoyed robust profits in 2022.1</w:t>
      </w:r>
    </w:p>
    <w:p w14:paraId="08638093" w14:textId="77777777" w:rsidR="009012A7" w:rsidRDefault="009012A7" w:rsidP="009012A7">
      <w:r>
        <w:t>Public complaints about high gas prices rose dramatically in the summer and into the fall of 2022, and pundits were quick to say that President Biden and Democrats would pay a steep price in the fall midterm elections. Conservative critics blamed them for what they termed a “war on American energy production,” a long-standing critique they have offered about U.S. policies on domestic oil and other energy production. Nearly every automaker also announced plans during the year to rapidly develop new electric vehicles that promised to free buyers from the increasingly unpredictable gasoline marketplace. To ease the cost of purchase, in August of 2022 Congress approved the Inflation Reduction Act, which included a provision to extend federal tax credits for electric vehicles for another ten years. Largely unrelated to these complaints and actions, by December 2022 gas prices had dropped significantly, with the national average falling to $3.10 a gallon, and the price in some states below $2.80 a gallon.</w:t>
      </w:r>
    </w:p>
    <w:p w14:paraId="6C484B83" w14:textId="77777777" w:rsidR="009012A7" w:rsidRDefault="009012A7" w:rsidP="009012A7"/>
    <w:p w14:paraId="21F1B843" w14:textId="4241DD68" w:rsidR="009012A7" w:rsidRDefault="009012A7" w:rsidP="009012A7">
      <w:r>
        <w:lastRenderedPageBreak/>
        <w:t>From Obama and Trump to Biden, wildly fluctuating gasoline prices and public reactions to them remind us that public policies can have enormous impacts. They can directly affect what we pay for goods and services, such as the fuel to power our cars, but also can influence foreign relations, national security, jobs and the economy, public health, and climate change.</w:t>
      </w:r>
    </w:p>
    <w:p w14:paraId="3B17AB4F" w14:textId="36CF720E" w:rsidR="009012A7" w:rsidRDefault="009012A7" w:rsidP="009012A7">
      <w:r>
        <w:t>These fascinating twists and turns in gasoline prices and debates over them during the last decade involved most of the criteria that policy analysts use to assess public policy proposals. Commentators and policymakers at all levels of government raised questions about access to energy sources and their costs; national security implications of U.S. dependence on imported oil; environmental, health, and safety risks of energy exploration, development, and use; the role of government and regulation (e.g., in setting fuel efficiency standards); and the importance of economic incentives for energy development, including renewable sources such as wind and solar power because of rising concern over climate change. Each side pointed to arguments that bolstered its position, and each challenged the other’s assumptions and portrayals of the situation</w:t>
      </w:r>
    </w:p>
    <w:p w14:paraId="0D9B3A83" w14:textId="4F574B3E" w:rsidR="009012A7" w:rsidRDefault="009012A7" w:rsidP="009012A7">
      <w:r>
        <w:t xml:space="preserve">In most respects, these were typical policy disputes and illustrated well the tendency of policymakers and their staffs to engage in intensive issue-framing and to use policy studies to reinforce and advocate their positions and as ammunition against opponents. It showed </w:t>
      </w:r>
      <w:proofErr w:type="gramStart"/>
      <w:r>
        <w:t>as well the importance</w:t>
      </w:r>
      <w:proofErr w:type="gramEnd"/>
      <w:r>
        <w:t xml:space="preserve"> of asking which proposals, such as subsidies for purchase of electric vehicles, increases in the gasoline tax, or continued support for fossil fuel development, would be most likely to meet competing national needs, and which would be technically feasible, economically acceptable, fair, and socially and politically acceptable.</w:t>
      </w:r>
    </w:p>
    <w:p w14:paraId="50EDEB0C" w14:textId="6DF0DDC2" w:rsidR="009012A7" w:rsidRDefault="009012A7" w:rsidP="009012A7">
      <w:r>
        <w:t>Whether policymakers use them well or not, policy analyses conducted and reported in response to these debates are integral to the modern policymaking process precisely because the issues often are complicated and involve technical questions well beyond the expertise of elected officials, not to mention the ability of the public to sort out facts from campaign rhetoric. At the core of such analyses is a clear delineation of the criteria developed for judging policy alternatives and the application of available tools and methods to provide information essential to decision-making. Yet even the best studies may persuade few elected officials and their supporters in the heat of political competition.</w:t>
      </w:r>
    </w:p>
    <w:p w14:paraId="525EFE14" w14:textId="77777777" w:rsidR="009012A7" w:rsidRDefault="009012A7" w:rsidP="009012A7">
      <w:r>
        <w:t>This chapter reviews the leading evaluative criteria used today as well as the methods of policy analysis most commonly employed. These range from cost-benefit analysis that addresses economic criteria to assessments that estimate political or administrative feasibility and sometimes the ethical aspects of policy choices. The combination of clear evaluative criteria and careful analysis should make it easier to determine whether one policy alternative is better than another. Policy analysts and those involved in making policy decisions want to know whether one alternative is more likely than another to be more effective, cheaper, or more easily implemented by government agencies. They want to ask as well about differences in equity or fairness, such as how these alternative policy options will affect different groups in the population—that is, will some (e.g., retirees, the wealthy, the middle class) gain more than others? Will some pay more than others for that policy, possibly through higher taxes? It is the purpose of policy analysis to provide that kind of information, and it is up to policymakers and the public to decide what to do with it.</w:t>
      </w:r>
    </w:p>
    <w:p w14:paraId="3CE3FC1B" w14:textId="25651445" w:rsidR="009012A7" w:rsidRDefault="009012A7" w:rsidP="009012A7"/>
    <w:p w14:paraId="60D81288" w14:textId="70E5380E" w:rsidR="009012A7" w:rsidRDefault="009012A7" w:rsidP="009012A7">
      <w:r>
        <w:rPr>
          <w:noProof/>
        </w:rPr>
        <w:drawing>
          <wp:inline distT="0" distB="0" distL="0" distR="0" wp14:anchorId="24A463BA" wp14:editId="767F8B3F">
            <wp:extent cx="5731510" cy="4091940"/>
            <wp:effectExtent l="0" t="0" r="2540" b="3810"/>
            <wp:docPr id="3" name="Picture 2" descr="A screenshot of a computer&#10;&#10;Description automatically generated">
              <a:extLst xmlns:a="http://schemas.openxmlformats.org/drawingml/2006/main">
                <a:ext uri="{FF2B5EF4-FFF2-40B4-BE49-F238E27FC236}">
                  <a16:creationId xmlns:a16="http://schemas.microsoft.com/office/drawing/2014/main" id="{8C4C1EA8-EE11-00B6-80F1-B3195B80D5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a:extLst>
                        <a:ext uri="{FF2B5EF4-FFF2-40B4-BE49-F238E27FC236}">
                          <a16:creationId xmlns:a16="http://schemas.microsoft.com/office/drawing/2014/main" id="{8C4C1EA8-EE11-00B6-80F1-B3195B80D579}"/>
                        </a:ext>
                      </a:extLst>
                    </pic:cNvPr>
                    <pic:cNvPicPr>
                      <a:picLocks noChangeAspect="1"/>
                    </pic:cNvPicPr>
                  </pic:nvPicPr>
                  <pic:blipFill rotWithShape="1">
                    <a:blip r:embed="rId7"/>
                    <a:srcRect l="40000" t="27955" r="27500" b="26659"/>
                    <a:stretch/>
                  </pic:blipFill>
                  <pic:spPr>
                    <a:xfrm>
                      <a:off x="0" y="0"/>
                      <a:ext cx="5731510" cy="4091940"/>
                    </a:xfrm>
                    <a:prstGeom prst="rect">
                      <a:avLst/>
                    </a:prstGeom>
                    <a:noFill/>
                  </pic:spPr>
                </pic:pic>
              </a:graphicData>
            </a:graphic>
          </wp:inline>
        </w:drawing>
      </w:r>
    </w:p>
    <w:p w14:paraId="5CF3A8C7" w14:textId="63DC6CFA" w:rsidR="009012A7" w:rsidRDefault="009012A7" w:rsidP="009012A7">
      <w:r>
        <w:t>Typically, when these criteria are used, they must be expressed in terms of operational measurements or indicators, such as those discussed in Chapter 5. For example, analysts usually speak of efficiency in terms of dollar cost in relation to the value of benefits expected to be realized from governmental action, such as improved workplace safety that might follow adoption of federal ergonomics standards or the number of lives that would be saved through improvements in vehicle safety or actions against distracted driving. Effectiveness can be measured in terms of the likelihood of reaching a specific policy objective, such as reducing automobile accident rates by 20 percent over a five-year period or keeping the costs of health care from rising by more than the level of inflation.</w:t>
      </w:r>
    </w:p>
    <w:p w14:paraId="05435019" w14:textId="1A4D9F18" w:rsidR="009012A7" w:rsidRDefault="009012A7" w:rsidP="009012A7">
      <w:r>
        <w:t>For most of these criteria, multiple indicators are available, and analysts normally use several to compensate for the limitations of any one of them. Some criteria, however, involve making qualitative judgments rather than using such indicators—for example, when questions of equity arise or when the debate turns on the loss of personal liberty for the benefit of the larger public welfare. The personal liberty issues arise in controversies as diverse as gun control or gun safety, freedom of religious practice, restrictions on private property rights, and actions to constrain possible terrorist activity. Indeed, they are a frequent subject of debate in nearly all areas in which government authority may impinge on individual rights. Recent proposals to reform the federal tax code involve questions of equity or fairness even if that criterion is not always made clear or the proposals are framed in terms of how they will affect economic growth or job creation.</w:t>
      </w:r>
    </w:p>
    <w:p w14:paraId="63424D05" w14:textId="745183AA" w:rsidR="009012A7" w:rsidRDefault="009012A7" w:rsidP="009012A7">
      <w:r>
        <w:t>Most policy debates resemble the battles over what to do about high gasoline prices; they involve multiple and competing criteria. Policymakers and analysts want policy action to be effective, but they also want to minimize costs, to promote the most equitable solution, or to maintain individual rights against expansion of governmental authority. It is a rare policy action that can maximize each of these criteria simultaneously. Those concerned with public policy must therefore figure out which criteria are most important and use those preferences to rank policy alternatives from best to worst. In a more formal exercise, policy analysts might assign weights to each of the various criteria to reflect their relative importance. Then multiple criteria can be used at the same time to assess the attractiveness of different policy options. A brief discussion of the three most frequently used criteria (effectiveness, efficiency, and equity) should clarify their meanings and suggest how they might be used in policy analysis. The fourth major criterion, political feasibility, is addressed separately at the end of the chapter as part of a review of methods of policy analysis.</w:t>
      </w:r>
    </w:p>
    <w:p w14:paraId="0191968F" w14:textId="77777777" w:rsidR="009012A7" w:rsidRDefault="009012A7" w:rsidP="009012A7">
      <w:r>
        <w:t>Effectiveness</w:t>
      </w:r>
    </w:p>
    <w:p w14:paraId="277EB565" w14:textId="4E9922E4" w:rsidR="009012A7" w:rsidRDefault="009012A7" w:rsidP="009012A7">
      <w:r>
        <w:t xml:space="preserve">The need for the effectiveness criterion is evident in the all-too-frequent complaints about the failure of government programs. Analysts and policymakers speak informally of what does and does not work, about policy success and the lack of it. In a narrow sense, effectiveness refers to reaching a policy or program’s stated goals and objectives. For a program already in existence, evaluation of its effectiveness usually turns on whether it has achieved the expected results or policy outcomes. For example, does a city’s use of school vouchers or charter schools raise the overall quality of education (see Chapter 10)? Or do federally funded abstinence-only programs to prevent teenage pregnancy—which have been enthusiastically backed by conservatives—produce lower rates of pregnancy? Nonpartisan analyses suggest they do not, and as a result, some states have chosen to turn down federal funds offered for such initiatives. In 2009, the Obama administration sought to curtail federal funding for the programs on the grounds that they were ineffective in reducing teen pregnancy; instead, it </w:t>
      </w:r>
      <w:proofErr w:type="spellStart"/>
      <w:r>
        <w:t>favored</w:t>
      </w:r>
      <w:proofErr w:type="spellEnd"/>
      <w:r>
        <w:t xml:space="preserve"> comprehensive sex education, as did many state legislatures, because this type of program was demonstrably more effective. The Trump administration reversed these actions and once again </w:t>
      </w:r>
      <w:proofErr w:type="spellStart"/>
      <w:r>
        <w:t>favored</w:t>
      </w:r>
      <w:proofErr w:type="spellEnd"/>
      <w:r>
        <w:t xml:space="preserve"> abstinence-only educational programs. It also announced it would no longer fund the Department of Health and Human Services’ evidence-based Teen Pregnancy Prevention Program.2</w:t>
      </w:r>
    </w:p>
    <w:p w14:paraId="32165B81" w14:textId="2EDD2141" w:rsidR="009012A7" w:rsidRDefault="009012A7" w:rsidP="009012A7">
      <w:r>
        <w:t>Assessments like these generally require that analysts develop suitable indicators or measurements for the specified outcomes. For a proposed policy rather than an existing program, they try to estimate the likelihood that such goals and objectives would be attained if the proposal were adopted. For example, in 2011 Google was quietly lobbying policymakers in Nevada to approve legislation that would make the state the first to permit self-driving cars to be used on public roads, which had been illegal in all fifty states. The proposal also would have permitted the car’s occupants to send text messages even if sitting in the driver’s seat. As was evident by 2023, professional transportation analysts consider self-driving cars a serious option for the future, and some vehicles, such as Tesla cars with autopilot, already have much, although not all, of this capability.</w:t>
      </w:r>
    </w:p>
    <w:p w14:paraId="76F00DFB" w14:textId="10E57A7F" w:rsidR="009012A7" w:rsidRDefault="009012A7" w:rsidP="009012A7">
      <w:r>
        <w:t>Analysts anticipate ever-increasing congestion on public roads and thus the need eventually for smart roads and computer-driven or autonomous vehicles that will be able to move at high speeds with greatly reduced risk of accidents. Nevada approved Google’s request, and by 2023, many other cities and states began allowing similar experiments. If these go well, we can anticipate self-driving delivery vans and big-rig trucks within a few years, all of which are expected to reduce the cost of transporting people and goods. Many also hope that such vehicles will spark other innovations in the application of artificial intelligence technology and become a critical element in future economic growth. These are among the reasons why the federal government in 2016 announced its support for automated car technology by issuing formal guidelines for the new industry.3</w:t>
      </w:r>
    </w:p>
    <w:p w14:paraId="4E86C9A5" w14:textId="7B01D8C2" w:rsidR="009012A7" w:rsidRDefault="009012A7" w:rsidP="009012A7">
      <w:r>
        <w:t>The view of effectiveness we summarize here is a little narrow, however, because programs usually have multiple goals and objectives and may succeed at some and fall short on others. Moreover, some objectives may be attainable only over a long period of time, making assessment of short-term outcomes problematic. Another limitation is that estimating the probability that a proposal will be effective, or more effective than the present policy, requires a forecast of future conditions and events, an uncertain activity at best. In addition, analysts must learn to deal with a political environment in which politicians often exaggerate the weaknesses of current programs and tout the strengths of alternatives based more on ideological beliefs than an assessment of empirical evidence of program effectiveness.</w:t>
      </w:r>
    </w:p>
    <w:p w14:paraId="2EB36D1F" w14:textId="763514C7" w:rsidR="009012A7" w:rsidRDefault="009012A7" w:rsidP="009012A7">
      <w:r>
        <w:t>On the plus side, the federal Government Performance and Results Act of 1993 requires regular evaluations of all existing programs and demonstrations of their performance or achievements. The act encourages agencies to focus on results, service quality, and public satisfaction, and it mandates annual performance plans and reports. The current political mood in Washington, DC, and across the nation creates a strong expectation that new policy proposals will be able to meet the same standards of effectiveness as policies already in place or improve upon them. The economic recession that began in 2008 and subsequent soaring budgetary deficits reinforced these expectations at both the federal and state levels. The same logic applies today. With scarce budgetary dollars and a fast-rising deficit, policymakers are likely to be highly attentive to program effectiveness and eager to cut or terminate programs that cannot prove their worth. Analysts who evaluate policy proposals in terms of likely effectiveness or who try to measure the achievements of existing programs therefore find a ready audience for their assessments.</w:t>
      </w:r>
    </w:p>
    <w:p w14:paraId="30C04885" w14:textId="346DFFFA" w:rsidR="009012A7" w:rsidRDefault="009012A7" w:rsidP="009012A7">
      <w:r>
        <w:t>Efficiency</w:t>
      </w:r>
    </w:p>
    <w:p w14:paraId="140C4466" w14:textId="290AFEE7" w:rsidR="009012A7" w:rsidRDefault="009012A7" w:rsidP="009012A7">
      <w:r>
        <w:t>Ethical influences on public policy. Some public policy alternatives are evaluated using ethical criteria rather than economic efficiency, political feasibility, or other standards. Women’s health care and reproductive rights are prime examples. The photo shows pro-choice activists demonstrating against the Supreme Court’s decision overturning the long-standing precedent established by Roe v. Wade in 1973. In the case of Dobbs v. Jackson Women’s Health Organization, decided in June 2022, the Supreme Court allowed individual states to set policy on access to such services, and many chose to sharply curtail such access.</w:t>
      </w:r>
    </w:p>
    <w:p w14:paraId="2321BEBD" w14:textId="6075086D" w:rsidR="009012A7" w:rsidRDefault="009012A7" w:rsidP="009012A7">
      <w:r>
        <w:t xml:space="preserve">Policy debates over personal privacy (e.g., cell phone records), property rights, copyright laws, access to health care services (including abortion), research on human stem cells derived from embryos, and many other contemporary issues clearly require an assessment in terms of normative and legal criteria, not just economics. Even for a seemingly technical subject such as nuclear waste disposal, it is both possible and necessary to </w:t>
      </w:r>
      <w:proofErr w:type="spellStart"/>
      <w:r>
        <w:t>analyze</w:t>
      </w:r>
      <w:proofErr w:type="spellEnd"/>
      <w:r>
        <w:t xml:space="preserve"> ethical issues such as the effects on future generations, whether it is fair for governments to offer monetary compensation to communities if they agree to host a waste repository, and how much public involvement in decision-making should be required (Kraft 2000; Shrader-Frechette 1993; E. Weiss 1990).</w:t>
      </w:r>
    </w:p>
    <w:p w14:paraId="5430A364" w14:textId="04D1163E" w:rsidR="009012A7" w:rsidRDefault="009012A7" w:rsidP="009012A7">
      <w:r>
        <w:t xml:space="preserve">As this review of evaluative criteria indicates, there are many different bases on which to </w:t>
      </w:r>
      <w:proofErr w:type="spellStart"/>
      <w:r>
        <w:t>analyze</w:t>
      </w:r>
      <w:proofErr w:type="spellEnd"/>
      <w:r>
        <w:t xml:space="preserve"> policy. Students of public policy should be aware of the range of standards that are applied and alert to their strengths and limitations and the trade-offs between them. Sometimes promoting the public’s welfare—for example, through food safety, consumer safety, or environmental protection policies—imposes a cost on individuals and corporations. Restrictions on their freedom or liberty may be justified by the public’s gains. Conversely, at times the protection of individual rights and liberties is so important that society is willing to extend rights to those not otherwise viewed positively. Thus, the Constitution and judicial rulings mandate elaborate protections to those accused of criminal </w:t>
      </w:r>
      <w:proofErr w:type="spellStart"/>
      <w:r>
        <w:t>behavior</w:t>
      </w:r>
      <w:proofErr w:type="spellEnd"/>
      <w:r>
        <w:t>, even for horrific crimes such as serial murder or terrorism.</w:t>
      </w:r>
    </w:p>
    <w:p w14:paraId="351C2090" w14:textId="5D2030D7" w:rsidR="009012A7" w:rsidRDefault="009012A7" w:rsidP="009012A7">
      <w:r>
        <w:t>A recent decision in election law illustrates the importance of how these competing criteria, particularly the right to free speech and the broader public welfare, are used and assessed. The Supreme Court decided in early 2010 in the case of Citizens United v. Federal Election Commission that spending money on election campaigns is a form of protected free speech under the First Amendment. Therefore, the government cannot prevent corporations or unions from spending their money to support or criticize candidates. The corporations and unions cannot give the money directly to candidates (which is prohibited by campaign finance laws), but they can spend as much as they desire on television and other ads intended to influence voters. The controversial ruling led many to complain that the court’s decision protects the free-speech rights of corporations (and unions) over the broader citizen interests in having competitive and fair election campaigns. Then in a related ruling in 2014, McCutcheon v. Federal Election Commission, the Supreme Court struck down long-established limits on what one person could donate to federal candidates and political parties in each election cycle. The result was a surge in contributions by, and presumably political influence of, wealthy individuals and families.</w:t>
      </w:r>
    </w:p>
    <w:p w14:paraId="66EEBEBF" w14:textId="36FE9A5F" w:rsidR="009012A7" w:rsidRDefault="009012A7" w:rsidP="009012A7">
      <w:r>
        <w:t>The use of diverse evaluative criteria can help in another way. Too often, policymakers, analysts, and commentators make statements that reflect their strong ideological beliefs when they discuss pending policy choices. Liberals know what they like and dislike and apply those philosophical standards to the full range of contemporary policies, and conservatives do the same, although both sides would have much to gain from dispassionate assessments of current government programs and proposed policies. An objective analysis of this kind could be grounded in one or more of the evaluative criteria described in this chapter. Doing so does not mean that citizens and policymakers need to abandon their convictions about what government should or should not be doing. Rather, it means that they ought to be sure they have the facts about a given issue, be it immigration, student loan forgiveness, gun safety, or health care alternatives, and think about a range of considerations in addition to their personal values and policy beliefs. They will have an easier time defending the position they take, and the policy positions they endorse will stand a better chance of success.</w:t>
      </w:r>
    </w:p>
    <w:p w14:paraId="701898A0" w14:textId="77777777" w:rsidR="009012A7" w:rsidRDefault="009012A7" w:rsidP="009012A7">
      <w:r>
        <w:t>USING THE METHODS OF POLICY ANALYSIS</w:t>
      </w:r>
    </w:p>
    <w:p w14:paraId="7AA419E6" w14:textId="77777777" w:rsidR="009012A7" w:rsidRDefault="009012A7" w:rsidP="009012A7">
      <w:r>
        <w:t xml:space="preserve">This section of the chapter surveys the most frequently used methods of policy analysis and highlights their strengths and most significant weaknesses or limitations. The suggested reading list at the end of the chapter provides substantial coverage of analytic methods. Those wishing to read further will find this list a good place to start. The leading methods of policy analysis draw heavily from economics and focus on the evaluative criterion of efficiency, particularly for cost-benefit and cost-effectiveness analyses (Dunn 2018; Weimer and Vining 2017). The ideas found in </w:t>
      </w:r>
      <w:proofErr w:type="gramStart"/>
      <w:r>
        <w:t>these</w:t>
      </w:r>
      <w:proofErr w:type="gramEnd"/>
      <w:r>
        <w:t xml:space="preserve"> and related methods are useful even for nontechnical analysis. The methods are tools for critical thinking about public policy that anyone can use.</w:t>
      </w:r>
    </w:p>
    <w:p w14:paraId="04827C6D" w14:textId="77777777" w:rsidR="009012A7" w:rsidRDefault="009012A7" w:rsidP="009012A7"/>
    <w:p w14:paraId="1CEC1C6B" w14:textId="77777777" w:rsidR="009012A7" w:rsidRDefault="009012A7" w:rsidP="009012A7">
      <w:r>
        <w:t>By now, however, it should be clear that public policy evaluation is about more than economics. It is also about effectiveness, equity, liberty, and, fundamentally, politics. As stated earlier, analytic methods can be used to clarify problems and policy choices, but decisions about which policies to adopt or maintain are up to policymakers and, ultimately, up to the public that elects them.</w:t>
      </w:r>
    </w:p>
    <w:p w14:paraId="747928E9" w14:textId="67237AA3" w:rsidR="00FE7CCC" w:rsidRDefault="00FE7CCC" w:rsidP="00FE7CCC">
      <w:r>
        <w:t>Using a discount rate allows analysts to determine the value of future benefits today, but the choice of the rate, essentially an estimate of inflation over time, clearly can have a profound impact on the results. For example, consider the present value of $100 earned a hundred years from now, with varying assumptions of a discount rate. At a 1 percent discount rate, that $100 is worth $36.97; at 2 percent, $13.80; at 3 percent, $5.20; and at 5 percent, only $0.76. As these calculations illustrate, distant benefits may be of minimal value in current dollars, and a cost-benefit analysis can therefore yield wildly different results depending on the rate selected.</w:t>
      </w:r>
    </w:p>
    <w:p w14:paraId="02995C55" w14:textId="0763175A" w:rsidR="00FE7CCC" w:rsidRDefault="00FE7CCC" w:rsidP="00FE7CCC">
      <w:r>
        <w:t>Because the choice of a discount rate can have a great effect on how one appraises policy options, that choice underlies innumerable conflicts over government policy decisions, from protection against hurricanes like Katrina or Ian, which struck Florida in 2022, to efforts to reduce the risk of future climate change. The benefits of preventing damage from hurricanes or of slowing or halting global climate change are real and often substantial, but they may occur so far in the future that discounting the benefits to today’s values tends to minimize them in a cost-benefit calculation. In contrast, the costs of hurricane damage mitigation or dealing with climate change can be quite large, and they will be paid for in today’s dollars.</w:t>
      </w:r>
    </w:p>
    <w:p w14:paraId="23A625B5" w14:textId="096BCB4E" w:rsidR="00FE7CCC" w:rsidRDefault="00FE7CCC" w:rsidP="00FE7CCC">
      <w:r>
        <w:t>These complications lead economic analysts to suggest other methods for discounting in a responsible way that consider long-term costs and benefits.13 Yet, as noted earlier, at least one calculation in the aftermath of Katrina did employ such discounting and nonetheless concluded that the benefits of a massive investment in disaster prevention could easily have been justified on economic grounds.14 Many public officials in New York drew similar conclusions about the logic of spending now on infrastructure improvements that could help to minimize the economic costs in the future should a storm like 2012’s Hurricane Sandy strike the area again; that storm caused an estimated $70 billion in damages to New York and New Jersey.15</w:t>
      </w:r>
    </w:p>
    <w:p w14:paraId="246C940E" w14:textId="5724B321" w:rsidR="00FE7CCC" w:rsidRDefault="00FE7CCC" w:rsidP="00FE7CCC">
      <w:r>
        <w:t>Another vulnerable part of the process of cost-benefit analysis is the estimate of intangible human costs and benefits, such as well-being, aesthetic preferences, or even the value of a life or of human suffering. Some analysts choose not to include them at all in a cost-benefit analysis and instead highlight that omission in reporting the results. Others prefer to use available economic methods to estimate intangible or nonmarket values and then include them in the cost-benefit analysis. For example, economists use techniques known as contingent valuation methods, which are essentially questionnaires or interviews with individuals, designed to allow an estimate of the dollar value of the time spent stuck in traffic or the preservation of lakes or forests. If done well, such methods can provide a useful estimate of the value people attach to certain intangibles. The use of sensitivity analysis can minimize to some extent the weaknesses inherent in cost-benefit analysis. When the calculations are “sensitive” to a basic assumption such as the chosen discount rate, the analyst can report on several different rates, and the reader can choose the assumptions that seem most reasonable.</w:t>
      </w:r>
    </w:p>
    <w:p w14:paraId="530096F2" w14:textId="6FB82782" w:rsidR="00FE7CCC" w:rsidRDefault="00FE7CCC" w:rsidP="00FE7CCC">
      <w:r>
        <w:t xml:space="preserve">Even with its obvious limitations, cost-benefit analysis is a powerful tool that is widely used in government decision-making. It forces analysts and policymakers to define what they expect government action to do (produce benefits) and to consider the costs associated with that action. If done properly, cost-benefit analysis can help justify public policy that might otherwise be ignored or challenged. Consider the case of lead in gasoline and its effect on public health. During the 1980s, the Environmental Protection Agency (EPA) asked for a reduction in the amount of lead allowed in gasoline from 1.1 grams per gallon to 0.1 grams; lead was used to boost the octane level of gasoline. The benefits of controlling lead in this way included a reduction in adverse health and cognitive problems in children, a lowered level of high blood pressure and cardiovascular disease in adults, and reduced automobile maintenance costs. Not all benefits could be measured, but counting those that could </w:t>
      </w:r>
      <w:proofErr w:type="spellStart"/>
      <w:r>
        <w:t>produced</w:t>
      </w:r>
      <w:proofErr w:type="spellEnd"/>
      <w:r>
        <w:t xml:space="preserve"> a benefit-cost ratio of 10 to 1 (A. Freeman 2000, 194). That calculation helped gain approval for eliminating lead in gasoline despite opposition from automobile companies and oil refineries and the Ronald Reagan administration’s concerns about the action. Lead was eliminated from U.S. gasoline by 1996, and it also has been phased out of gasoline nearly all over the world, often with dramatic effects on children’s health.16</w:t>
      </w:r>
    </w:p>
    <w:p w14:paraId="4BB97ED1" w14:textId="5EBC0FD4" w:rsidR="00FE7CCC" w:rsidRDefault="00FE7CCC" w:rsidP="00FE7CCC">
      <w:r>
        <w:t xml:space="preserve">Critics of cost-benefit analysis claim that the method can be abused if only some costs and benefits are </w:t>
      </w:r>
      <w:proofErr w:type="gramStart"/>
      <w:r>
        <w:t>considered</w:t>
      </w:r>
      <w:proofErr w:type="gramEnd"/>
      <w:r>
        <w:t xml:space="preserve"> and inappropriate measures are used to estimate their value (Stone 2012; Tong 1986). Their concerns are genuine, even though in the real world of policy debate, it is likely that analysts on both sides of the policy question will scrutinize any cost-benefit analysis. Moreover, the Office of Management and Budget (OMB) has set out elaborate guidelines that federal government agencies are expected to follow for the conduct of such studies.</w:t>
      </w:r>
    </w:p>
    <w:p w14:paraId="737AE444" w14:textId="2DDBA7AB" w:rsidR="00FE7CCC" w:rsidRDefault="00FE7CCC" w:rsidP="00FE7CCC">
      <w:r>
        <w:t>OMB’s Office of Information and Regulatory Affairs (OIRA) oversees this process since President Reagan’s 1981 executive order mandating that economic analysis be used to justify proposed regulations. Each successive president has established a similar review process, albeit with differing guidelines and expectations, and the agencies have improved their ability to conduct them. Despite these expectations and procedures, the public policy student should always ask about the underlying assumptions in a cost-benefit analysis and how the costs and benefits were estimated. As noted in several other examples, estimates of a new government regulation’s future costs often reveal very wide ranges, indicating that the analysts used quite different assumptions and calculations.</w:t>
      </w:r>
    </w:p>
    <w:p w14:paraId="63EF1CA6" w14:textId="06D08ADC" w:rsidR="00FE7CCC" w:rsidRDefault="00FE7CCC" w:rsidP="00FE7CCC">
      <w:r>
        <w:t>Cost-benefit analysis is used less in areas of public policy where such measurements are not readily available. Even in these areas, however, one could carry out a kind of qualitative cost-benefit analysis in which the important benefits and costs are listed and considered but without an attempt to place a dollar value on them. Such an exercise might allow citizens, analysts, and policymakers to think comprehensively about the pros and cons of government policies for which they have either no dollar estimates of costs or only partial information.</w:t>
      </w:r>
    </w:p>
    <w:p w14:paraId="672AFEA5" w14:textId="77777777" w:rsidR="00FE7CCC" w:rsidRDefault="00FE7CCC" w:rsidP="00FE7CCC">
      <w:r>
        <w:t>Cost-Effectiveness Analysis</w:t>
      </w:r>
    </w:p>
    <w:p w14:paraId="4CF8D32C" w14:textId="63862F91" w:rsidR="00FE7CCC" w:rsidRDefault="00FE7CCC" w:rsidP="00FE7CCC">
      <w:r>
        <w:t xml:space="preserve">Sometimes the concerns about the ability to measure the benefits of a policy action are so significant that cost-benefit analysis is not useful. For example, many policies, such as health regulations, highway safety, and medical research, may prevent disease or devastating injury and may save lives. But how do analysts place a dollar value on human life and health? Government agency officials and analysts, along with insurance companies, have methods for estimating how much a life is worth, even though many critics object in principle to making such calculations (Tong 1986). The advantage of cost-effectiveness </w:t>
      </w:r>
      <w:proofErr w:type="spellStart"/>
      <w:r>
        <w:t>analysisis</w:t>
      </w:r>
      <w:proofErr w:type="spellEnd"/>
      <w:r>
        <w:t xml:space="preserve"> that it requires no measurements of the value of intangible benefits such as human lives; it simply compares different policy alternatives that can produce these benefits in terms of their relative costs—that is, analysts are asking which actions can save the most human lives given a fixed dollar cost, or which dollar investments produce the greatest benefits.</w:t>
      </w:r>
    </w:p>
    <w:p w14:paraId="00CA14A2" w14:textId="77777777" w:rsidR="00FE7CCC" w:rsidRDefault="00FE7CCC" w:rsidP="00FE7CCC">
      <w:r>
        <w:t>For example, in the early 1990s, Oregon created a prioritized list as part of the Oregon Health Plan, which chiefly serves the state’s Medicaid beneficiaries. The plan ranked 709 medical procedures “according to their benefit to the entire population being served.” Coverage was to be provided for all conditions that fell above a threshold on the list, and the state legislature was to determine the cutoff points each year based on estimates for health care services and budget constraints. The state used a cost-benefit methodology to establish the list, consulting fifty physician panels and surveying the Oregon public. The choices were based on factors such as the likelihood that treatment would reduce suffering or prevent death, the cost of care, and the duration of benefits. In effect, the state was trying to determine how to get the greatest benefit to society from the limited resources available for health care. As might be expected, the state’s innovative approach was highly controversial, and the federal government initially rejected it, but it later approved a modified form.17 Oregon adjusted the plan in 2012 and transferred the prioritization of health services to a Health Evidence Review Commission, whose members are appointed by the governor and confirmed by the state senate. The plan also was expanded to cover a larger number of individuals and families under the state’s Medicaid program as part of its response to the Affordable Care Act of 2010. Is such a cost-effective approach to state health care benefits a good idea? What are its strengths and weaknesses?</w:t>
      </w:r>
    </w:p>
    <w:p w14:paraId="3CD71AFB" w14:textId="77777777" w:rsidR="00FE7CCC" w:rsidRDefault="00FE7CCC" w:rsidP="00FE7CCC">
      <w:r>
        <w:t>DECISION-MAKING AND IMPACTS</w:t>
      </w:r>
    </w:p>
    <w:p w14:paraId="74337090" w14:textId="42665A2B" w:rsidR="00FE7CCC" w:rsidRDefault="00FE7CCC" w:rsidP="00FE7CCC">
      <w:r>
        <w:t>Throughout the text, we have emphasized the centrality of decision-making in the study of public policy. The methods discussed in this section focus on formal ways to model the choices that policymakers face as well as techniques to consider how information about possible future events can be brought into the decision-making process. By introducing new perspectives and information in this way, the hope is that policymakers and the public can better determine which policy alternatives hold the most promise.</w:t>
      </w:r>
    </w:p>
    <w:p w14:paraId="74723C32" w14:textId="77777777" w:rsidR="00FE7CCC" w:rsidRDefault="00FE7CCC" w:rsidP="00FE7CCC">
      <w:r>
        <w:t>Forecasting</w:t>
      </w:r>
    </w:p>
    <w:p w14:paraId="0215E2BB" w14:textId="21E752F6" w:rsidR="00FE7CCC" w:rsidRDefault="00FE7CCC" w:rsidP="00FE7CCC">
      <w:r>
        <w:t>In Chapter 5, we discussed the logic of forecasting in terms of understanding how present problems, such as public demand for Social Security and Medicare benefits, might change over time as the number of senior citizens increases. We also referred to it earlier in this chapter in our discussion of the risk of hurricanes striking the Gulf Coast states. Forecasting can be defined as “a procedure for producing factual information about future states of society on the basis of prior information about policy problems”28—that is, forecasting methods allow us to anticipate what the future is likely to hold based on our understanding of current conditions and how they might change over time. This information can be exceptionally valuable because public problems are dynamic, not static. In other words, when policymakers aim at public problems, they face a moving target.</w:t>
      </w:r>
    </w:p>
    <w:p w14:paraId="6C386265" w14:textId="6B9E034D" w:rsidR="00FE7CCC" w:rsidRDefault="00FE7CCC" w:rsidP="00FE7CCC">
      <w:r>
        <w:t>In the cases of Social Security and Medicare, each program produces annual reports that include updated estimates of future demand for these services as well as estimates of the economic gap between the cost of providing the services and the expected revenues to cover those costs. Agency officials and other experts say both programs face enormous shortfalls in the future. They also argue that making long-term forecasts that look ahead seventy-five years, even with some degree of uncertainty, is essential to provide critical information for policymakers.29</w:t>
      </w:r>
    </w:p>
    <w:p w14:paraId="574EF7BB" w14:textId="1364ED11" w:rsidR="00FE7CCC" w:rsidRDefault="00FE7CCC" w:rsidP="00FE7CCC">
      <w:r>
        <w:t xml:space="preserve">For example, the population of the United States in 2023 was about 335 million, but what will it be in twenty-five or fifty years? The U.S. Census Bureau (www.census.gov) has a population clock that reports continuously on the changing U.S. and global populations. The bureau also offers several different projections of the nation’s future population. All of them depend on a series of assumptions about the average number of children each woman is likely to have, the rate of immigration, and other factors. The bureau offers different scenarios, with alternate assumptions. The medium projection is most widely cited, and it indicates that we are likely to see a United States population of about 360 million in 2035 and 375 million in 2050.30 Cities and states that are growing more rapidly—or more slowly—than the nation as a whole </w:t>
      </w:r>
      <w:proofErr w:type="gramStart"/>
      <w:r>
        <w:t>find</w:t>
      </w:r>
      <w:proofErr w:type="gramEnd"/>
      <w:r>
        <w:t xml:space="preserve"> their specific forecasts helpful in determining how to cope with the anticipated demand for public services.</w:t>
      </w:r>
    </w:p>
    <w:p w14:paraId="2F32F02D" w14:textId="7A39B86B" w:rsidR="00FE7CCC" w:rsidRDefault="00FE7CCC" w:rsidP="00FE7CCC">
      <w:r>
        <w:t xml:space="preserve">Projections of what is usually called geometric or exponential growth, such as population growth, are easy once one knows the rate of growth. It is the same equation used to determine compound interest: An = </w:t>
      </w:r>
      <w:proofErr w:type="gramStart"/>
      <w:r>
        <w:t>P(</w:t>
      </w:r>
      <w:proofErr w:type="gramEnd"/>
      <w:r>
        <w:t xml:space="preserve">1 + </w:t>
      </w:r>
      <w:proofErr w:type="spellStart"/>
      <w:r>
        <w:t>i</w:t>
      </w:r>
      <w:proofErr w:type="spellEnd"/>
      <w:r>
        <w:t xml:space="preserve">)n, where A is the amount being projected, n is the number of years, P is the initial amount or principal, and </w:t>
      </w:r>
      <w:proofErr w:type="spellStart"/>
      <w:r>
        <w:t>i</w:t>
      </w:r>
      <w:proofErr w:type="spellEnd"/>
      <w:r>
        <w:t xml:space="preserve"> is the rate of growth. The formula is quite handy for determining how much a given amount will grow in one, five, or ten years. A savings account deposit of $100 (P) that grows at 3 percent a year (</w:t>
      </w:r>
      <w:proofErr w:type="spellStart"/>
      <w:r>
        <w:t>i</w:t>
      </w:r>
      <w:proofErr w:type="spellEnd"/>
      <w:r>
        <w:t>) will be worth $103 after one year, $116 at the end of five years, and $134 after ten years. As this example illustrates, even a small rate of annual increase can produce sizable changes over time.</w:t>
      </w:r>
    </w:p>
    <w:p w14:paraId="134712BE" w14:textId="4ABB2E28" w:rsidR="00FE7CCC" w:rsidRDefault="00FE7CCC" w:rsidP="00FE7CCC">
      <w:r>
        <w:t>Most forecasting is more complex than the examples provided here, but the principles are the same. Forecasting can include a variety of quantitative methods, such as econometric models for estimating future economic growth and job creation, or the increasing use of artificial intelligence (AI) in business operations and many other fields. Qualitative, or intuitive, methods are also widely used. These include brainstorming, the so-called Delphi method of asking experts to estimate future conditions, scenario development, and even simple monitoring of trends that looks for signs of change (Patton, Sawicki, and Clark 2016; Starling 1988).</w:t>
      </w:r>
    </w:p>
    <w:p w14:paraId="20942894" w14:textId="27F19F74" w:rsidR="00FE7CCC" w:rsidRDefault="00FE7CCC" w:rsidP="00FE7CCC">
      <w:r>
        <w:t>As one might guess, whether quantitative or qualitative, forecasting methods are necessarily limited by available data, the validity of the basic assumptions made in projecting the future from present conditions, and how far out the projection goes. A look backward to earlier forecasts is sobering.32 Quite often, the futurists have been dead wrong in their projections, sometimes spectacularly so. For example, during the 1970s, electric power companies believed that energy demand would grow indefinitely at 6 percent to 7 percent a year. They planned for and built power plants that turned out not to be needed and, in some cases, drove the power companies into bankruptcy.</w:t>
      </w:r>
    </w:p>
    <w:p w14:paraId="724B1DF6" w14:textId="21B57E4E" w:rsidR="00FE7CCC" w:rsidRDefault="00FE7CCC" w:rsidP="00FE7CCC">
      <w:r>
        <w:t>Lest we think that forecasts about technological change are inevitably better today, it is worth noting that even as late as 1990 few analysts anticipated the explosive demand for home personal computers, not to mention the proliferation of smartphones and inexpensive laptop and tablet computers that spread computing and communication far from the office and home. Development of the internet throughout the 1990s was a major reason for that rapid growth, as were falling computer prices and the development of easy-to-use web browsers. Even in the business community, where the ability to make accurate forecasts is essential for a company’s success, hundreds of major firms and thousands of start-up companies greatly overestimated the demand for internet business services, and many did not survive the dot-com implosion of the late 1990s. To compensate for these kinds of egregious forecasting errors, most analysts recommend using a variety of forecasting methods in the hope that a few of them will come up with comparable findings and increase confidence in the results. Even with the qualifications that should always accompany forecasting studies, being able to anticipate societal changes and prepare for them is a far better strategy than being surprised when problems develop.</w:t>
      </w:r>
    </w:p>
    <w:p w14:paraId="46C94BE5" w14:textId="77777777" w:rsidR="00FE7CCC" w:rsidRDefault="00FE7CCC" w:rsidP="00FE7CCC">
      <w:r>
        <w:t>Impact Assessment</w:t>
      </w:r>
    </w:p>
    <w:p w14:paraId="33716ED4" w14:textId="77777777" w:rsidR="00FE7CCC" w:rsidRDefault="00FE7CCC" w:rsidP="00FE7CCC">
      <w:r>
        <w:t>During the highly contentious debate in 2002 over oil and gas drilling in the Arctic National Wildlife Refuge (ANWR), proponents of drilling repeatedly cited a 1990 economic study suggesting that opening the refuge for commercial oil production would create some 735,000 jobs. Independent economists said that number was suspect because the assumptions on which it was based were probably no longer valid. Indeed, a separate study prepared for the Department of Energy in 1992 indicated that approximately 222,000 jobs would result, but only when ANWR reached peak production; the jobs would be chiefly in construction and manufacturing. Environmentalists argued that the correct number was lower still, perhaps 50,000 jobs. The wide variation in estimates of job creation may seem to indicate that analysts are unable to forecast economic impacts very well, but the real lesson is probably that studies of this kind may be seriously flawed because of the fanciful assumptions they make. Policy advocates often are more interested in scoring political points in a highly contentious debate than in arriving at a sound estimate of these jobs.</w:t>
      </w:r>
    </w:p>
    <w:p w14:paraId="19F76594" w14:textId="505AD571" w:rsidR="00FE7CCC" w:rsidRDefault="00FE7CCC" w:rsidP="00FE7CCC">
      <w:r>
        <w:t xml:space="preserve">Much like forecasting, the purpose of an impact assessment is to see if analysts can systematically examine the effects that may occur from taking a certain action. That action may be introducing or expanding the use of new internet technologies or deploying a national missile </w:t>
      </w:r>
      <w:proofErr w:type="spellStart"/>
      <w:r>
        <w:t>defense</w:t>
      </w:r>
      <w:proofErr w:type="spellEnd"/>
      <w:r>
        <w:t xml:space="preserve"> system. No matter the subject, the analyst tries to identify possible impacts and the likelihood they will occur.</w:t>
      </w:r>
    </w:p>
    <w:p w14:paraId="0AA0678C" w14:textId="03BEF8C8" w:rsidR="00FE7CCC" w:rsidRDefault="00FE7CCC" w:rsidP="00FE7CCC">
      <w:r>
        <w:t>Impact assessments are not new. Federal law has required environmental impact analyses since Congress enacted the National Environmental Policy Act (NEPA) in 1969. The logic was simple and powerful. Before governments undertake major projects that are likely to have significant effects on the environment, policymakers ought to identify and measure those impacts, and they also ought to consider alternatives that may avoid the undesirable effects. The law’s strength is in its requirement that the impact assessments be made public, which creates an opportunity for environmental groups and others to influence agency decision-making. The agency, in turn, is forced to deal with a concerned public and to respond to the information produced by the impact assessment. The hope was that the combination of information and political forces would “make bureaucracies think” and dissuade them from making poor decisions that could harm the environment. Evaluations of NEPA indicate that it has been quite successful (Caldwell 1998).</w:t>
      </w:r>
    </w:p>
    <w:p w14:paraId="46B12DA4" w14:textId="77777777" w:rsidR="00FE7CCC" w:rsidRDefault="00FE7CCC" w:rsidP="00FE7CCC">
      <w:r>
        <w:t>POLITICAL AND INSTITUTIONAL APPROACHES</w:t>
      </w:r>
    </w:p>
    <w:p w14:paraId="1630C6DF" w14:textId="77777777" w:rsidR="00FE7CCC" w:rsidRDefault="00FE7CCC" w:rsidP="00FE7CCC">
      <w:r>
        <w:t>At this point in the chapter, the reader may be wondering whether policy analysis ever considers more than economic and technical estimates. The answer is clearly yes. Political scientists are likely to use political and institutional approaches to understanding proposed policy alternatives and to evaluating existing programs. Such studies are often more qualitative than the methods discussed so far, but they may also be just as rigorous and just as valuable for understanding public policy.</w:t>
      </w:r>
    </w:p>
    <w:p w14:paraId="684A07C4" w14:textId="77777777" w:rsidR="00FE7CCC" w:rsidRDefault="00FE7CCC" w:rsidP="00FE7CCC"/>
    <w:p w14:paraId="7B18D13A" w14:textId="77777777" w:rsidR="00FE7CCC" w:rsidRDefault="00FE7CCC" w:rsidP="00FE7CCC">
      <w:r>
        <w:t>Political Feasibility Analysis</w:t>
      </w:r>
    </w:p>
    <w:p w14:paraId="10A0656C" w14:textId="0B0FFF1B" w:rsidR="00FE7CCC" w:rsidRDefault="00FE7CCC" w:rsidP="00FE7CCC">
      <w:r>
        <w:t xml:space="preserve">Political feasibility, a criterion for evaluating suggested policy changes, as discussed earlier in the chapter, is the extent to which elected officials and other policy actors support the change. No formula is available for estimating political feasibility. Even experienced and thoughtful observers of politics acknowledge how difficult it is to determine the level of support that might be forthcoming for a proposal in local or state government or at the national level. It may be easier to recognize the actions that are unlikely to fly politically, particularly in a time of intense political polarization in the nation that often makes it extremely difficult to build support for controversial actions (Mann and Ornstein 2012; </w:t>
      </w:r>
      <w:proofErr w:type="spellStart"/>
      <w:r>
        <w:t>Persily</w:t>
      </w:r>
      <w:proofErr w:type="spellEnd"/>
      <w:r>
        <w:t xml:space="preserve"> 2015; Thurber and Yoshinaka 2015). Examples are plentiful. The Affordable Care Act passed Congress with not a single Republican vote in </w:t>
      </w:r>
      <w:proofErr w:type="spellStart"/>
      <w:r>
        <w:t>favor</w:t>
      </w:r>
      <w:proofErr w:type="spellEnd"/>
      <w:r>
        <w:t>, and Republicans in the House voted over sixty times to repeal the act. Comprehensive immigration reform, which the Senate managed to pass in 2013, was blocked by concerted Republican opposition in the House. Votes by a Democratic House to reopen government during an early 2019 shutdown over border wall funding were blocked by a Republican Senate. This kind of polarization and gridlock lies behind the sharp rise in public frustration with government today, as noted earlier in the text. Chapter 13 discusses other examples during the Biden administration that indicate no change in the degree of political polarization in the nation today.</w:t>
      </w:r>
    </w:p>
    <w:p w14:paraId="106DC469" w14:textId="47BB2026" w:rsidR="00FE7CCC" w:rsidRDefault="00FE7CCC" w:rsidP="00FE7CCC">
      <w:r>
        <w:t>Aside from partisan differences, interest group influence can make even broadly supported public policy actions unlikely to be successful. Gun control measures are a classic example of that pattern. The overwhelming majority of Americans, and even a majority of National Rifle Association (NRA) members, support many gun safety measures, such as enhanced background checks and barring people on terrorist watch lists from purchasing guns. Yet proposals of this kind generally fail to gain traction because they are opposed by the NRA organization itself, a body that historically has had great political clout, and elected officials fear the group’s electoral wrath. This is why, despite many cases of mass shootings, Congress has been mostly unwilling to approve additional gun safety measures and why historically it has also banned federal funding for research on gun violence.34</w:t>
      </w:r>
    </w:p>
    <w:p w14:paraId="5834E3AD" w14:textId="70CD324F" w:rsidR="00FE7CCC" w:rsidRDefault="00FE7CCC" w:rsidP="00FE7CCC">
      <w:r>
        <w:t>One of the most notable cases occurred after the shootings at Sandy Hook Elementary School in Connecticut in late 2012. President Obama mounted a campaign to improve gun safety laws, with emphasis on criminal background checks for all gun sales, reinstatement of a ban on assault weapons, and limiting ammunition magazines to ten rounds; however, he was unable to secure congressional approval. Many additional mass shootings since that time have not altered the political calculation as the NRA continues to maintain its opposition to these kinds of measures. As noted earlier in the text, President Biden did manage to persuade Congress to approve a modest gun safety measure following the Uvalde, Texas, school shooting in 2022.</w:t>
      </w:r>
    </w:p>
    <w:p w14:paraId="000F3DD7" w14:textId="77777777" w:rsidR="00FE7CCC" w:rsidRDefault="00FE7CCC" w:rsidP="00FE7CCC">
      <w:r>
        <w:t xml:space="preserve">At the margins of policy debate, however, it may be possible to anticipate how slight changes in proposed legislation or regulations, or an alteration in the political or economic environment, can create a majority in </w:t>
      </w:r>
      <w:proofErr w:type="spellStart"/>
      <w:r>
        <w:t>favor</w:t>
      </w:r>
      <w:proofErr w:type="spellEnd"/>
      <w:r>
        <w:t xml:space="preserve"> of action. Sometimes a shift on the part of a few legislators or a marginal change in policymaker perceptions of what the public will support makes the difference in the success or failure of a policy proposal.</w:t>
      </w:r>
    </w:p>
    <w:p w14:paraId="63C41A59" w14:textId="77777777" w:rsidR="00FE7CCC" w:rsidRDefault="00FE7CCC" w:rsidP="00FE7CCC"/>
    <w:p w14:paraId="5D539E14" w14:textId="7FBA72C4" w:rsidR="00FE7CCC" w:rsidRDefault="00FE7CCC" w:rsidP="00FE7CCC">
      <w:r>
        <w:t>Some simple determinations can provide a good idea of political feasibility. Analysts could begin by identifying the policy actors who will likely play a significant role in the decision. These actors may be members of a city council or a state legislature, or they may be members of Congress. To the formal policymakers, you would add other players, such as representatives of major interest groups and administrative officials—for example, the mayor, the governor, and top officials in a pertinent bureaucracy. For each of the major policy actors, you could determine their positions on the issues, perhaps by investigating their previous stances, such as the NRA’s opposition to gun control measures or business groups’ reluctance to endorse action on climate change. Sometimes it is possible to estimate their positions based on their party affiliation, general political attitudes, and where they stand on comparable issues. Finally, you can estimate their level of interest in the decision (how salient it is to them) and the intensity of their views or their motivation to get involved in the decision. These factors are likely to be shaped by the level of interest and preferences of the constituencies they represent, which in turn are influenced by how much the media cover the controversy and how the issues are presented. All of this information can be pulled together to estimate political feasibility.</w:t>
      </w:r>
    </w:p>
    <w:p w14:paraId="31411EDB" w14:textId="2ED1BFBE" w:rsidR="00FE7CCC" w:rsidRDefault="00FE7CCC" w:rsidP="00FE7CCC">
      <w:r>
        <w:t>We need to bear in mind that not all policy actors are equal in influencing feasibility. Relatively small groups with intensely held views on a subject are often capable of defeating proposals that have the broad support of the general public. As noted, gun safety is a policy area where this has long been the case, but there is no shortage of other examples. For a great many public policy disputes, especially those that do not rise to the highest levels of visibility, political feasibility is likely to depend on the views of a small number of people and organizations.</w:t>
      </w:r>
    </w:p>
    <w:p w14:paraId="2A4993CC" w14:textId="77777777" w:rsidR="00FE7CCC" w:rsidRDefault="00FE7CCC" w:rsidP="00FE7CCC">
      <w:r>
        <w:t>Implementation Analysis and Program Evaluation</w:t>
      </w:r>
    </w:p>
    <w:p w14:paraId="1BD74077" w14:textId="3FB59D49" w:rsidR="00FE7CCC" w:rsidRDefault="00FE7CCC" w:rsidP="00FE7CCC">
      <w:r>
        <w:t>The discussion of implementation analysis and the related program evaluation is relatively brief here because these methods are covered in the substantive policy chapters that follow. As is the case with assessment of political feasibility, these methods draw far more from the disciplines of political science and public administration than is true for most of the others reviewed here.</w:t>
      </w:r>
    </w:p>
    <w:p w14:paraId="2BD0C915" w14:textId="77777777" w:rsidR="00FE7CCC" w:rsidRDefault="00FE7CCC" w:rsidP="00FE7CCC">
      <w:r>
        <w:t>Policy implementation is one of the most important steps in the policy cycle and one that often gets insufficient attention by analysts and policymakers. Enactment of any public policy is only one part of policymaking, as we discussed in Chapter 3. Policies must be put into action by administrative agencies, and this involves judgment about what the policy calls for; adoption of pertinent rules, regulations, and guidelines; and the use of resources (staff and money) to carry out the critical components of the policy. Sometimes the process goes smoothly and sometimes not, and thus policy success depends on how well implementation goes (</w:t>
      </w:r>
      <w:proofErr w:type="spellStart"/>
      <w:r>
        <w:t>Patashnik</w:t>
      </w:r>
      <w:proofErr w:type="spellEnd"/>
      <w:r>
        <w:t xml:space="preserve"> 2008).</w:t>
      </w:r>
    </w:p>
    <w:p w14:paraId="394D6B7A" w14:textId="77777777" w:rsidR="00FE7CCC" w:rsidRDefault="00FE7CCC" w:rsidP="00FE7CCC">
      <w:r>
        <w:t>CONCLUSIONS</w:t>
      </w:r>
    </w:p>
    <w:p w14:paraId="6A20F6E4" w14:textId="77777777" w:rsidR="00FE7CCC" w:rsidRDefault="00FE7CCC" w:rsidP="00FE7CCC">
      <w:r>
        <w:t>This chapter describes the leading evaluative criteria in the study of public policy, with special emphasis on effectiveness, efficiency, political feasibility, and equity concerns. All policy analysis relies on such evaluative criteria to judge policy proposals, even if they are not always made explicit, and these are among the most important of the criteria commonly used. The chapter also briefly reviews the major kinds of policy analysis and their strengths, weaknesses, and potential contributions to the policymaking process. Students of public policy should understand that analysts select from these criteria and methods, with significant implications for the breadth and utility of their findings. They should also be alert to the assumptions and choices made in such studies and ask how they affect the validity of the conclusions reached.</w:t>
      </w:r>
    </w:p>
    <w:p w14:paraId="0DAC854A" w14:textId="77777777" w:rsidR="00FE7CCC" w:rsidRDefault="00FE7CCC" w:rsidP="00FE7CCC"/>
    <w:p w14:paraId="4EAE5D9F" w14:textId="5A511CE8" w:rsidR="00FE7CCC" w:rsidRDefault="00FE7CCC" w:rsidP="00FE7CCC">
      <w:r>
        <w:t>The chapter emphasizes that policy analysis is both a craft and an art. The craft comes in knowing the methods of policy analysis and how to apply them in specific situations. For example, when would you use one of the economic approaches, such as cost-benefit analysis or risk analysis? When would you use analysis dealing with decision-making or the impacts of policy, such as forecasting? When instead would you rely on political feasibility analysis or ethical analysis?</w:t>
      </w:r>
    </w:p>
    <w:p w14:paraId="4EE855C7" w14:textId="381D624E" w:rsidR="00FE7CCC" w:rsidRDefault="00FE7CCC" w:rsidP="00FE7CCC">
      <w:r>
        <w:t>The art of policy analysis lies in selecting suitable criteria for policy assessments, in recognizing the limitations of the available methods, and in drawing and reporting on appropriate conclusions. Artful students of public policy recognize and are sensitive to the public mood and the political and institutional context in which the analysis is conducted and reported. They may also find ways to use policy analysis to empower citizens and motivate them to participate in the democratic process (</w:t>
      </w:r>
      <w:proofErr w:type="spellStart"/>
      <w:r>
        <w:t>deLeon</w:t>
      </w:r>
      <w:proofErr w:type="spellEnd"/>
      <w:r>
        <w:t xml:space="preserve"> 1997; Ingram and Smith 1993).</w:t>
      </w:r>
    </w:p>
    <w:p w14:paraId="4FC9CEB8" w14:textId="422FA017" w:rsidR="00FE7CCC" w:rsidRDefault="00FE7CCC" w:rsidP="00FE7CCC">
      <w:r>
        <w:t xml:space="preserve">Some critics of policy analysis complain that analysts tend to view politics—that is, public opinion, interest group activity, and the actions of policymakers—as an obstacle to adopting the fruits of their </w:t>
      </w:r>
      <w:proofErr w:type="spellStart"/>
      <w:r>
        <w:t>labors</w:t>
      </w:r>
      <w:proofErr w:type="spellEnd"/>
      <w:r>
        <w:t>, which they believe represent a rational, and therefore superior, assessment of the situation (Stone 2012). It is possible, however, to view the relationship of policy analysis and politics in a different light. Analysis and politics are not incompatible as long as it is understood that analysis by itself does not and should not determine public policy. Rather, its purpose is to inform the public and policymakers so that they can make better decisions. A democratic political process offers the best way to ensure that policy decisions further the public interest (Lindblom and Woodhouse 1993).</w:t>
      </w:r>
    </w:p>
    <w:p w14:paraId="48260E2D" w14:textId="77777777" w:rsidR="00FE7CCC" w:rsidRDefault="00FE7CCC" w:rsidP="00FE7CCC">
      <w:r>
        <w:t>REFERENCES</w:t>
      </w:r>
    </w:p>
    <w:p w14:paraId="76FAAD49" w14:textId="77777777" w:rsidR="00FE7CCC" w:rsidRDefault="00FE7CCC" w:rsidP="00FE7CCC">
      <w:r>
        <w:t>Achen, Christopher H., and Larry M. Bartels. 2016. Democracy for Realists: Why Elections Do Not Produce Responsive Government. Princeton, NJ: Princeton University Press.</w:t>
      </w:r>
    </w:p>
    <w:p w14:paraId="09D6BAAA" w14:textId="77777777" w:rsidR="00FE7CCC" w:rsidRDefault="00FE7CCC" w:rsidP="00FE7CCC"/>
    <w:p w14:paraId="0DC3CA07" w14:textId="77777777" w:rsidR="00FE7CCC" w:rsidRDefault="00FE7CCC" w:rsidP="00FE7CCC">
      <w:r>
        <w:t>AEI/Brookings Working Group on Poverty and Opportunity. Opportunity, Responsibility, and Security: A Consensus Plan for Reducing Poverty and Restoring the American Dream. 2015. www.brookings.edu/wp-content/uploads/2015/12/full-report.pdf.</w:t>
      </w:r>
    </w:p>
    <w:p w14:paraId="2B2A1FD9" w14:textId="77777777" w:rsidR="00FE7CCC" w:rsidRDefault="00FE7CCC" w:rsidP="00FE7CCC"/>
    <w:p w14:paraId="0A148F3E" w14:textId="77777777" w:rsidR="00FE7CCC" w:rsidRDefault="00FE7CCC" w:rsidP="00FE7CCC">
      <w:r>
        <w:t>Amy, Douglas J. 1984. “Why Policy Analysis and Ethics Are Incompatible.” Journal of Policy Analysis and Management 3: 573–91.</w:t>
      </w:r>
    </w:p>
    <w:p w14:paraId="51C7F4F8" w14:textId="77777777" w:rsidR="00FE7CCC" w:rsidRDefault="00FE7CCC" w:rsidP="00FE7CCC"/>
    <w:p w14:paraId="7F0DB7D0" w14:textId="77777777" w:rsidR="00FE7CCC" w:rsidRDefault="00FE7CCC" w:rsidP="00FE7CCC">
      <w:r>
        <w:t>Anderson, Charles W. 1979. “The Place of Principles in Policy Analysis.” American Political Science Review 73: 711–23.</w:t>
      </w:r>
    </w:p>
    <w:p w14:paraId="4C51B214" w14:textId="77777777" w:rsidR="00FE7CCC" w:rsidRDefault="00FE7CCC" w:rsidP="00FE7CCC"/>
    <w:p w14:paraId="75298B7E" w14:textId="77777777" w:rsidR="00FE7CCC" w:rsidRDefault="00FE7CCC" w:rsidP="00FE7CCC">
      <w:r>
        <w:t xml:space="preserve">Anderson, James E., with Jeffrey Moyer and George </w:t>
      </w:r>
      <w:proofErr w:type="spellStart"/>
      <w:r>
        <w:t>Chichirau</w:t>
      </w:r>
      <w:proofErr w:type="spellEnd"/>
      <w:r>
        <w:t>. 2023. Public Policymaking. 9th ed. Boston: Cengage.</w:t>
      </w:r>
    </w:p>
    <w:p w14:paraId="55D965FF" w14:textId="77777777" w:rsidR="00FE7CCC" w:rsidRDefault="00FE7CCC" w:rsidP="00FE7CCC"/>
    <w:p w14:paraId="102ABFFB" w14:textId="77777777" w:rsidR="00FE7CCC" w:rsidRDefault="00FE7CCC" w:rsidP="00FE7CCC">
      <w:r>
        <w:t>Andrews, Richard N. L. 2006a. Managing the Environment, Managing Ourselves: A History of American Environmental Policy. 2nd ed. New Haven, CT: Yale University Press.</w:t>
      </w:r>
    </w:p>
    <w:p w14:paraId="5313B994" w14:textId="77777777" w:rsidR="00FE7CCC" w:rsidRDefault="00FE7CCC" w:rsidP="00FE7CCC"/>
    <w:p w14:paraId="36C341DA" w14:textId="77777777" w:rsidR="00FE7CCC" w:rsidRDefault="00FE7CCC" w:rsidP="00FE7CCC">
      <w:r>
        <w:t xml:space="preserve">———————. 2006b. “Risk-Based Decision Making: Policy, Science, and Politics.” In Environmental Policy. 6th ed. Edited by Norman J. </w:t>
      </w:r>
      <w:proofErr w:type="spellStart"/>
      <w:r>
        <w:t>Vig</w:t>
      </w:r>
      <w:proofErr w:type="spellEnd"/>
      <w:r>
        <w:t xml:space="preserve"> and Michael E. Kraft. Washington, DC: CQ Press.</w:t>
      </w:r>
    </w:p>
    <w:p w14:paraId="7BC20EED" w14:textId="77777777" w:rsidR="00FE7CCC" w:rsidRDefault="00FE7CCC" w:rsidP="00FE7CCC"/>
    <w:p w14:paraId="5EC385EB" w14:textId="77777777" w:rsidR="00FE7CCC" w:rsidRDefault="00FE7CCC" w:rsidP="00FE7CCC">
      <w:r>
        <w:t xml:space="preserve">———————. 2025. “The Environmental Protection Agency.” In Environmental Policy. 12th ed. Edited by Michael E. Kraft, Barry G. Rabe, and Norman J. </w:t>
      </w:r>
      <w:proofErr w:type="spellStart"/>
      <w:r>
        <w:t>Vig</w:t>
      </w:r>
      <w:proofErr w:type="spellEnd"/>
      <w:r>
        <w:t>. Thousand Oaks, CA: CQ Press.</w:t>
      </w:r>
    </w:p>
    <w:p w14:paraId="0DF570E6" w14:textId="77777777" w:rsidR="00FE7CCC" w:rsidRDefault="00FE7CCC" w:rsidP="00FE7CCC"/>
    <w:p w14:paraId="1BF8E9F2" w14:textId="77777777" w:rsidR="00FE7CCC" w:rsidRDefault="00FE7CCC" w:rsidP="00FE7CCC">
      <w:proofErr w:type="spellStart"/>
      <w:r>
        <w:t>Antonovic</w:t>
      </w:r>
      <w:proofErr w:type="spellEnd"/>
      <w:r>
        <w:t>, Kate, and Ben Backes. 2014. “The Effect of Banning Affirmative Action on College Admissions Policies and Student Quality.” Journal of Human Resources 49: 295–358.</w:t>
      </w:r>
    </w:p>
    <w:p w14:paraId="373399D8" w14:textId="77777777" w:rsidR="00FE7CCC" w:rsidRDefault="00FE7CCC" w:rsidP="00FE7CCC"/>
    <w:p w14:paraId="51A1BE65" w14:textId="77777777" w:rsidR="00FE7CCC" w:rsidRDefault="00FE7CCC" w:rsidP="00FE7CCC">
      <w:r>
        <w:t>Asher, Herbert. 2017. Polling and the Public: What Every Citizen Should Know. 9th ed. Thousand Oaks, CA: CQ Press.</w:t>
      </w:r>
    </w:p>
    <w:p w14:paraId="45121B1B" w14:textId="77777777" w:rsidR="00FE7CCC" w:rsidRDefault="00FE7CCC" w:rsidP="00FE7CCC"/>
    <w:p w14:paraId="62A6C2A8" w14:textId="77777777" w:rsidR="00FE7CCC" w:rsidRDefault="00FE7CCC" w:rsidP="00FE7CCC">
      <w:r>
        <w:t>Axelrod, Regina S., and Stacy D. VanDeveer, eds. 2020. The Global Environment: Institutions, Law, and Policy. 5th ed. Thousand Oaks, CA: CQ Press.</w:t>
      </w:r>
    </w:p>
    <w:p w14:paraId="32869DCB" w14:textId="77777777" w:rsidR="00FE7CCC" w:rsidRDefault="00FE7CCC" w:rsidP="00FE7CCC"/>
    <w:p w14:paraId="71604AC3" w14:textId="77777777" w:rsidR="00FE7CCC" w:rsidRDefault="00FE7CCC" w:rsidP="00FE7CCC">
      <w:r>
        <w:t xml:space="preserve">Bardach, Eugene, and Eric M. </w:t>
      </w:r>
      <w:proofErr w:type="spellStart"/>
      <w:r>
        <w:t>Patashnik</w:t>
      </w:r>
      <w:proofErr w:type="spellEnd"/>
      <w:r>
        <w:t>. 2020. A Practical Guide for Policy Analysis: The Eightfold Path to More Effective Problem Solving. 6th ed. Thousand Oaks, CA: CQ Press.</w:t>
      </w:r>
    </w:p>
    <w:p w14:paraId="162108C3" w14:textId="77777777" w:rsidR="00FE7CCC" w:rsidRDefault="00FE7CCC" w:rsidP="00FE7CCC"/>
    <w:p w14:paraId="0C59E64D" w14:textId="77777777" w:rsidR="00FE7CCC" w:rsidRDefault="00FE7CCC" w:rsidP="00FE7CCC">
      <w:r>
        <w:t>Bartlett, Robert, ed. 1989. Policy through Impact Assessment: Institutionalized Analysis as a Policy Strategy. New York: Greenwood Press.</w:t>
      </w:r>
    </w:p>
    <w:p w14:paraId="6FE4DA0F" w14:textId="77777777" w:rsidR="00FE7CCC" w:rsidRDefault="00FE7CCC" w:rsidP="00FE7CCC"/>
    <w:p w14:paraId="398E533B" w14:textId="77777777" w:rsidR="00FE7CCC" w:rsidRDefault="00FE7CCC" w:rsidP="00FE7CCC">
      <w:r>
        <w:t>Bason, Christian. 2017. Leading Public Design: Discovering Human-Centred Governance. Bristol, UK: Policy Press.</w:t>
      </w:r>
    </w:p>
    <w:p w14:paraId="241BD9EC" w14:textId="77777777" w:rsidR="00FE7CCC" w:rsidRDefault="00FE7CCC" w:rsidP="00FE7CCC"/>
    <w:p w14:paraId="5B840441" w14:textId="77777777" w:rsidR="00FE7CCC" w:rsidRDefault="00FE7CCC" w:rsidP="00FE7CCC">
      <w:r>
        <w:t>Baumgartner, Frank R., and Bryan D. Jones, eds. 2002. Policy Dynamics. Chicago: University of Chicago Press.</w:t>
      </w:r>
    </w:p>
    <w:p w14:paraId="72A4236D" w14:textId="77777777" w:rsidR="00FE7CCC" w:rsidRDefault="00FE7CCC" w:rsidP="00FE7CCC"/>
    <w:p w14:paraId="1DF0096E" w14:textId="77777777" w:rsidR="00FE7CCC" w:rsidRDefault="00FE7CCC" w:rsidP="00FE7CCC">
      <w:r>
        <w:t>———————. 2009. Agendas and Instability in American Politics. 2nd ed. Chicago: University of Chicago Press.</w:t>
      </w:r>
    </w:p>
    <w:p w14:paraId="1CA68C1E" w14:textId="77777777" w:rsidR="00FE7CCC" w:rsidRDefault="00FE7CCC" w:rsidP="00FE7CCC"/>
    <w:p w14:paraId="3C5A157E" w14:textId="77777777" w:rsidR="00FE7CCC" w:rsidRDefault="00FE7CCC" w:rsidP="00FE7CCC">
      <w:r>
        <w:t>———————. 2015. The Politics of Information: Problem Definition and the Course of Public Policy in America. Chicago: University of Chicago Press.</w:t>
      </w:r>
    </w:p>
    <w:p w14:paraId="66F75E42" w14:textId="77777777" w:rsidR="00FE7CCC" w:rsidRDefault="00FE7CCC" w:rsidP="00FE7CCC"/>
    <w:p w14:paraId="3AE801DD" w14:textId="77777777" w:rsidR="00FE7CCC" w:rsidRDefault="00FE7CCC" w:rsidP="00FE7CCC">
      <w:r>
        <w:t>Baumgartner, Frank R., and Beth L. Leech. 1998. Basic Interests: The Importance of Groups in Politics and Political Science. Princeton, NJ: Princeton University Press.</w:t>
      </w:r>
    </w:p>
    <w:p w14:paraId="719C46BC" w14:textId="77777777" w:rsidR="00FE7CCC" w:rsidRDefault="00FE7CCC" w:rsidP="00FE7CCC"/>
    <w:p w14:paraId="13529721" w14:textId="77777777" w:rsidR="00FE7CCC" w:rsidRDefault="00FE7CCC" w:rsidP="00FE7CCC">
      <w:r>
        <w:t>Behn, Robert D., and James W. Vaupel. 1982. Quick Analysis for Busy Decision Makers. New York: Basic Books.</w:t>
      </w:r>
    </w:p>
    <w:p w14:paraId="627C9824" w14:textId="77777777" w:rsidR="00FE7CCC" w:rsidRDefault="00FE7CCC" w:rsidP="00FE7CCC"/>
    <w:p w14:paraId="60E57E09" w14:textId="77777777" w:rsidR="00FE7CCC" w:rsidRDefault="00FE7CCC" w:rsidP="00FE7CCC">
      <w:r>
        <w:t>Beierle, Thomas C., and Jerry Cayford. 2002. Democracy in Practice: Public Participation in Environmental Decisions. Washington, DC: Resources for the Future.</w:t>
      </w:r>
    </w:p>
    <w:p w14:paraId="5F20FAC1" w14:textId="77777777" w:rsidR="00FE7CCC" w:rsidRDefault="00FE7CCC" w:rsidP="00FE7CCC"/>
    <w:p w14:paraId="0F40B600" w14:textId="77777777" w:rsidR="00FE7CCC" w:rsidRDefault="00FE7CCC" w:rsidP="00FE7CCC">
      <w:proofErr w:type="spellStart"/>
      <w:r>
        <w:t>Bennear</w:t>
      </w:r>
      <w:proofErr w:type="spellEnd"/>
      <w:r>
        <w:t>, Lori S., and Cary Coglianese. 2013. “Flexible Approaches to Environmental Regulation.” In The Oxford Handbook of U.S. Environmental Policy. Edited by Sheldon Kamieniecki and Michael E. Kraft. New York: Oxford University Press.</w:t>
      </w:r>
    </w:p>
    <w:p w14:paraId="4092E974" w14:textId="77777777" w:rsidR="00FE7CCC" w:rsidRDefault="00FE7CCC" w:rsidP="00FE7CCC"/>
    <w:p w14:paraId="5F12DD9B" w14:textId="77777777" w:rsidR="00FE7CCC" w:rsidRDefault="00FE7CCC" w:rsidP="00FE7CCC">
      <w:r>
        <w:t>Bennett, W. Lance, and Steven Livingston, eds. 2020. The Disinformation Age: Politics, Technology, and Disruptive Communication in the United States. New York: Cambridge University Press.</w:t>
      </w:r>
    </w:p>
    <w:p w14:paraId="71CC74AC" w14:textId="77777777" w:rsidR="00FE7CCC" w:rsidRDefault="00FE7CCC" w:rsidP="00FE7CCC"/>
    <w:p w14:paraId="4BA4E3DE" w14:textId="77777777" w:rsidR="00FE7CCC" w:rsidRDefault="00FE7CCC" w:rsidP="00FE7CCC">
      <w:r>
        <w:t xml:space="preserve">Berman, Evan, and </w:t>
      </w:r>
      <w:proofErr w:type="spellStart"/>
      <w:r>
        <w:t>XiaoHu</w:t>
      </w:r>
      <w:proofErr w:type="spellEnd"/>
      <w:r>
        <w:t xml:space="preserve"> Wang. 2018. Essential Statistics for Public Managers and Policy Analysts. 4th ed. Thousand Oaks, CA: CQ Press.</w:t>
      </w:r>
    </w:p>
    <w:p w14:paraId="0FC69F62" w14:textId="77777777" w:rsidR="00FE7CCC" w:rsidRDefault="00FE7CCC" w:rsidP="00FE7CCC"/>
    <w:p w14:paraId="51DD1D03" w14:textId="77777777" w:rsidR="00FE7CCC" w:rsidRDefault="00FE7CCC" w:rsidP="00FE7CCC">
      <w:r>
        <w:t>Berry, Frances Stokes, and William D. Berry. 2018. “Innovation and Diffusion Models in Policy Research.” In Theories of the Policy Process, 4th ed. Edited by Christopher M. Weible and Paul A. Sabatier. New York: Routledge.</w:t>
      </w:r>
    </w:p>
    <w:p w14:paraId="2AAECE96" w14:textId="77777777" w:rsidR="00FE7CCC" w:rsidRDefault="00FE7CCC" w:rsidP="00FE7CCC"/>
    <w:p w14:paraId="0F3829CF" w14:textId="77777777" w:rsidR="00FE7CCC" w:rsidRDefault="00FE7CCC" w:rsidP="00FE7CCC">
      <w:r>
        <w:t>Berry, Jeffrey M. 1997. The Interest Group Society. 3rd ed. New York: Longman.</w:t>
      </w:r>
    </w:p>
    <w:p w14:paraId="78A8B174" w14:textId="77777777" w:rsidR="00FE7CCC" w:rsidRDefault="00FE7CCC" w:rsidP="00FE7CCC"/>
    <w:p w14:paraId="7AACA560" w14:textId="77777777" w:rsidR="00FE7CCC" w:rsidRDefault="00FE7CCC" w:rsidP="00FE7CCC">
      <w:r>
        <w:t>———————. 1999. The New Liberalism: The Rising Power of Citizen Groups. Washington, DC: Brookings Institution.</w:t>
      </w:r>
    </w:p>
    <w:p w14:paraId="4C5145FE" w14:textId="77777777" w:rsidR="00FE7CCC" w:rsidRDefault="00FE7CCC" w:rsidP="00FE7CCC"/>
    <w:p w14:paraId="64F6ED53" w14:textId="77777777" w:rsidR="00FE7CCC" w:rsidRDefault="00FE7CCC" w:rsidP="00FE7CCC">
      <w:r>
        <w:t>Berry, Jeffrey M., and Sarah Sobieraj. 2016. The Outrage Industry: Political Opinion Media and the New Incivility. Paper ed. New York: Oxford University Press.</w:t>
      </w:r>
    </w:p>
    <w:p w14:paraId="6FFB7100" w14:textId="77777777" w:rsidR="00FE7CCC" w:rsidRDefault="00FE7CCC" w:rsidP="00FE7CCC"/>
    <w:p w14:paraId="1C2B03C4" w14:textId="77777777" w:rsidR="00FE7CCC" w:rsidRDefault="00FE7CCC" w:rsidP="00FE7CCC">
      <w:r>
        <w:t>Bimber, Bruce, Andrews J. Flanagin, and Cynthia Stohl. 2012. Collective Action in Organizations: Interaction and Engagement in an Era of Technological Change. New York: Cambridge University Press.</w:t>
      </w:r>
    </w:p>
    <w:p w14:paraId="393C25EF" w14:textId="77777777" w:rsidR="00FE7CCC" w:rsidRDefault="00FE7CCC" w:rsidP="00FE7CCC"/>
    <w:p w14:paraId="53881059" w14:textId="77777777" w:rsidR="00FE7CCC" w:rsidRDefault="00FE7CCC" w:rsidP="00FE7CCC">
      <w:r>
        <w:t>Birkland, Thomas A. 1997. After Disaster: Agenda Setting, Public Policy, and Focusing Events. Washington, DC: Georgetown University Press.</w:t>
      </w:r>
    </w:p>
    <w:p w14:paraId="25E80DF6" w14:textId="77777777" w:rsidR="00FE7CCC" w:rsidRDefault="00FE7CCC" w:rsidP="00FE7CCC"/>
    <w:p w14:paraId="526C51DC" w14:textId="77777777" w:rsidR="00FE7CCC" w:rsidRDefault="00FE7CCC" w:rsidP="00FE7CCC">
      <w:r>
        <w:t>———————. An Introduction to the Policy Process: Theories, Concepts, and Models of Public Policy Making. 5th ed. New York: Routledge, 2020.</w:t>
      </w:r>
    </w:p>
    <w:p w14:paraId="208D474E" w14:textId="77777777" w:rsidR="00FE7CCC" w:rsidRDefault="00FE7CCC" w:rsidP="00FE7CCC"/>
    <w:p w14:paraId="66F541C4" w14:textId="77777777" w:rsidR="00FE7CCC" w:rsidRDefault="00FE7CCC" w:rsidP="00FE7CCC">
      <w:r>
        <w:t>Bittle, Scott, and Jean Johnson. 2011. Where Does the Money Go? Your Guided Tour to the Federal Budget Crisis. Rev. ed. New York: HarperCollins.</w:t>
      </w:r>
    </w:p>
    <w:p w14:paraId="69E8F283" w14:textId="77777777" w:rsidR="00FE7CCC" w:rsidRDefault="00FE7CCC" w:rsidP="00FE7CCC"/>
    <w:p w14:paraId="28AC8487" w14:textId="77777777" w:rsidR="00FE7CCC" w:rsidRDefault="00FE7CCC" w:rsidP="00FE7CCC">
      <w:r>
        <w:t>Blinder, Alan S., Alicia H. Munnell, Henry J. Aaron, and Peter R. Orszag. 2000. Governor Bush’s Individual Account Proposal: Implications for Retirement Benefits. www.brookings.edu/research/papers/2000/06/05saving-aaron.</w:t>
      </w:r>
    </w:p>
    <w:p w14:paraId="7D64E8F6" w14:textId="77777777" w:rsidR="00FE7CCC" w:rsidRDefault="00FE7CCC" w:rsidP="00FE7CCC"/>
    <w:p w14:paraId="234A0EDE" w14:textId="77777777" w:rsidR="00FE7CCC" w:rsidRDefault="00FE7CCC" w:rsidP="00FE7CCC">
      <w:r>
        <w:t>Boardman, Anthony, David Greenberg, Aidan Vining, and David L. Weimer. 2018. Cost-Benefit Analysis: Concepts and Practices. 5th ed. New York: Pearson.</w:t>
      </w:r>
    </w:p>
    <w:p w14:paraId="6B292AE5" w14:textId="77777777" w:rsidR="00FE7CCC" w:rsidRDefault="00FE7CCC" w:rsidP="00FE7CCC"/>
    <w:p w14:paraId="255F81A3" w14:textId="77777777" w:rsidR="00FE7CCC" w:rsidRDefault="00FE7CCC" w:rsidP="00FE7CCC">
      <w:r>
        <w:t>Bok, Derek. 2001. The Trouble with Government. Cambridge, MA: Harvard University Press.</w:t>
      </w:r>
    </w:p>
    <w:p w14:paraId="5BFD1A29" w14:textId="77777777" w:rsidR="00FE7CCC" w:rsidRDefault="00FE7CCC" w:rsidP="00FE7CCC"/>
    <w:p w14:paraId="17E18FD5" w14:textId="77777777" w:rsidR="00FE7CCC" w:rsidRDefault="00FE7CCC" w:rsidP="00FE7CCC">
      <w:r>
        <w:t>Borins, Sandford. 1998. Innovating with Integrity: How Local Heroes Are Transforming American Government. Washington, DC: Georgetown University Press.</w:t>
      </w:r>
    </w:p>
    <w:p w14:paraId="4357984C" w14:textId="77777777" w:rsidR="00FE7CCC" w:rsidRDefault="00FE7CCC" w:rsidP="00FE7CCC"/>
    <w:p w14:paraId="127A851D" w14:textId="77777777" w:rsidR="00FE7CCC" w:rsidRDefault="00FE7CCC" w:rsidP="00FE7CCC">
      <w:r>
        <w:t>Bosso, Christopher J. 2005. Environment Inc.: From Grassroots to Beltway. Lawrence: University Press of Kansas.</w:t>
      </w:r>
    </w:p>
    <w:p w14:paraId="0151536D" w14:textId="77777777" w:rsidR="00FE7CCC" w:rsidRDefault="00FE7CCC" w:rsidP="00FE7CCC"/>
    <w:p w14:paraId="27FA1E51" w14:textId="77777777" w:rsidR="00FE7CCC" w:rsidRDefault="00FE7CCC" w:rsidP="00FE7CCC">
      <w:r>
        <w:t>Bowen, William G., and Derek C. Bok. 1998. The Shape of the River: Long-Term Consequences of Considering Race in College and University Admissions. Princeton, NJ: Princeton University Press.</w:t>
      </w:r>
    </w:p>
    <w:p w14:paraId="4169D93A" w14:textId="77777777" w:rsidR="00FE7CCC" w:rsidRDefault="00FE7CCC" w:rsidP="00FE7CCC"/>
    <w:p w14:paraId="14BF5636" w14:textId="77777777" w:rsidR="00FE7CCC" w:rsidRDefault="00FE7CCC" w:rsidP="00FE7CCC">
      <w:r>
        <w:t>Bowman, Ann O’M., and Richard C. Kearney. 2022. State and Local Government. 8th ed. Boston: Houghton Mifflin.</w:t>
      </w:r>
    </w:p>
    <w:p w14:paraId="0B5B0008" w14:textId="77777777" w:rsidR="00FE7CCC" w:rsidRDefault="00FE7CCC" w:rsidP="00FE7CCC"/>
    <w:p w14:paraId="3D1CDF0A" w14:textId="77777777" w:rsidR="00FE7CCC" w:rsidRDefault="00FE7CCC" w:rsidP="00FE7CCC">
      <w:r>
        <w:t>Bowman, James S., and Frederick A. Elliston, eds. 1988. Ethics, Government, and Public Policy. Westport, CT: Greenwood Press.</w:t>
      </w:r>
    </w:p>
    <w:p w14:paraId="17A55BF3" w14:textId="77777777" w:rsidR="00FE7CCC" w:rsidRDefault="00FE7CCC" w:rsidP="00FE7CCC"/>
    <w:p w14:paraId="3DC54089" w14:textId="77777777" w:rsidR="00FE7CCC" w:rsidRDefault="00FE7CCC" w:rsidP="00FE7CCC">
      <w:r>
        <w:t>Caldwell, Lynton Keith. 1998. The National Environmental Policy Act: An Agenda for the Future. Bloomington: Indiana University Press.</w:t>
      </w:r>
    </w:p>
    <w:p w14:paraId="534997A4" w14:textId="77777777" w:rsidR="00FE7CCC" w:rsidRDefault="00FE7CCC" w:rsidP="00FE7CCC"/>
    <w:p w14:paraId="6BC398E6" w14:textId="44315DAA" w:rsidR="00FE7CCC" w:rsidRDefault="00FE7CCC" w:rsidP="00FE7CCC">
      <w:r>
        <w:t>Campbell, James E. 2016. Polarized: Making Sense of a Divided America. Princeton, NJ: Princeton University Press.</w:t>
      </w:r>
    </w:p>
    <w:p w14:paraId="6F671F0E" w14:textId="0EFE1326" w:rsidR="00FE7CCC" w:rsidRDefault="00FE7CCC" w:rsidP="00FE7CCC">
      <w:r>
        <w:t>Cartwright, Nancy, and Jeremy Hardie. 2012. Evidence-Based Policy: A Practical Guide to Doing It Better. New York: Oxford University Press.</w:t>
      </w:r>
    </w:p>
    <w:p w14:paraId="63DD25FA" w14:textId="6C6C3A1B" w:rsidR="00FE7CCC" w:rsidRDefault="00FE7CCC" w:rsidP="00FE7CCC">
      <w:proofErr w:type="spellStart"/>
      <w:r>
        <w:t>Chasek</w:t>
      </w:r>
      <w:proofErr w:type="spellEnd"/>
      <w:r>
        <w:t>, Pamela S., and David L. Downie, eds. 2021. Global Environmental Politics. 8th ed. New York: Routledge.</w:t>
      </w:r>
    </w:p>
    <w:p w14:paraId="3DDB4F93" w14:textId="4021D16E" w:rsidR="00FE7CCC" w:rsidRDefault="00FE7CCC" w:rsidP="00FE7CCC">
      <w:r>
        <w:t>Chubb, John E., and Terry M. Moe. 1990. Politics, Markets, and America’s Schools. Washington, DC: Brookings Institution.</w:t>
      </w:r>
    </w:p>
    <w:p w14:paraId="0D86D8E6" w14:textId="315FB7FA" w:rsidR="00FE7CCC" w:rsidRDefault="00FE7CCC" w:rsidP="00FE7CCC">
      <w:r>
        <w:t>Chubb, John E., and Paul E. Peterson, eds. 1989. Can the Government Govern? Washington, DC: Brookings Institution.</w:t>
      </w:r>
    </w:p>
    <w:p w14:paraId="52D2BA15" w14:textId="5E02ED8A" w:rsidR="00FE7CCC" w:rsidRDefault="00FE7CCC" w:rsidP="00FE7CCC">
      <w:r>
        <w:t xml:space="preserve">Cigler, Allan J., Burdett A. Loomis, and Anthony J. </w:t>
      </w:r>
      <w:proofErr w:type="spellStart"/>
      <w:r>
        <w:t>Nownes</w:t>
      </w:r>
      <w:proofErr w:type="spellEnd"/>
      <w:r>
        <w:t>, eds. 2020. Interest Group Politics. 10th ed. Lanham, MD: Rowman and Littlefield.</w:t>
      </w:r>
    </w:p>
    <w:p w14:paraId="3182CF46" w14:textId="01FCE5A7" w:rsidR="00FE7CCC" w:rsidRDefault="00FE7CCC" w:rsidP="00FE7CCC">
      <w:r>
        <w:t>Clarke, Jeanne Nienaber, and Daniel McCool. 1996. Staking Out the Terrain: Power and Performance among Natural Resource Agencies. 2nd ed. Albany: State University of New York Press.</w:t>
      </w:r>
    </w:p>
    <w:p w14:paraId="4C34540D" w14:textId="19F5B3BC" w:rsidR="00FE7CCC" w:rsidRDefault="00FE7CCC" w:rsidP="00FE7CCC">
      <w:proofErr w:type="spellStart"/>
      <w:r>
        <w:t>Clemmitt</w:t>
      </w:r>
      <w:proofErr w:type="spellEnd"/>
      <w:r>
        <w:t>, Marcia. 2011. “School Reform.” CQ Researcher, April 29, 392.</w:t>
      </w:r>
    </w:p>
    <w:p w14:paraId="434C5F5A" w14:textId="492C9E2C" w:rsidR="00FE7CCC" w:rsidRDefault="00FE7CCC" w:rsidP="00FE7CCC">
      <w:r>
        <w:t>Clinton, Bill, and Al Gore. 1992. Putting People First. New York: Times Books.</w:t>
      </w:r>
    </w:p>
    <w:p w14:paraId="7698CE0D" w14:textId="39CEAF6C" w:rsidR="00FE7CCC" w:rsidRDefault="00FE7CCC" w:rsidP="00FE7CCC">
      <w:r>
        <w:t>Cobb, Roger W., and Charles D. Elder. 1983. Participation in American Politics: The Dynamics of Agenda-Building. 2nd ed. Baltimore: Johns Hopkins University Press.</w:t>
      </w:r>
    </w:p>
    <w:p w14:paraId="45AE73E2" w14:textId="4FBCD2F4" w:rsidR="00FE7CCC" w:rsidRDefault="00FE7CCC" w:rsidP="00FE7CCC">
      <w:r>
        <w:t>Cohen, Steven, and Guo Dong. 2021. The Sustainable City, 2nd ed. New York: Columbia University Press.</w:t>
      </w:r>
    </w:p>
    <w:p w14:paraId="3A40BD8F" w14:textId="34E319D3" w:rsidR="00FE7CCC" w:rsidRDefault="00FE7CCC" w:rsidP="00FE7CCC">
      <w:r>
        <w:t>College Board. 2018. Trends in College Pricing, 2018. https://trends.collegeboard.org/sites/default/files/2018-trends-in-college-pricing.pdf.</w:t>
      </w:r>
    </w:p>
    <w:p w14:paraId="14AC536B" w14:textId="117954A1" w:rsidR="00FE7CCC" w:rsidRDefault="00FE7CCC" w:rsidP="00FE7CCC">
      <w:r>
        <w:t>Congressional Budget Office. 1996. Federal Budget Implications of H.R. 3734, The Personal Responsibility and Work Opportunity Reconciliation Act of 1996 (August 9).</w:t>
      </w:r>
    </w:p>
    <w:p w14:paraId="19124A00" w14:textId="76B05B55" w:rsidR="00FE7CCC" w:rsidRDefault="00FE7CCC" w:rsidP="00FE7CCC">
      <w:r>
        <w:t>Cortner, Hanna J., and Margaret A. Moote. 1999. The Politics of Ecosystem Management. Washington, DC: Island Press.</w:t>
      </w:r>
    </w:p>
    <w:p w14:paraId="37FB931B" w14:textId="66ACCA95" w:rsidR="00FE7CCC" w:rsidRDefault="00FE7CCC" w:rsidP="00FE7CCC">
      <w:r>
        <w:t>Cronin, Thomas E. 1989. Direct Democracy: The Politics of Initiative, Referendum, and Recall. Cambridge, MA: Harvard University Press.</w:t>
      </w:r>
    </w:p>
    <w:p w14:paraId="4C187339" w14:textId="0DE495F7" w:rsidR="00FE7CCC" w:rsidRDefault="00FE7CCC" w:rsidP="00FE7CCC">
      <w:r>
        <w:t>Daily, Gretchen, ed. 1997. Nature’s Services: Societal Dependence on Natural Ecosystems. Washington, DC: Island Press.</w:t>
      </w:r>
    </w:p>
    <w:p w14:paraId="376B3072" w14:textId="1559E46C" w:rsidR="00FE7CCC" w:rsidRDefault="00FE7CCC" w:rsidP="00FE7CCC">
      <w:r>
        <w:t>Dalton, Russell J. 2021. The Good Citizen: How a Younger Generation Is Reshaping American Politics, 3rd ed. (Thousand Oaks, CA: CQ Press).</w:t>
      </w:r>
    </w:p>
    <w:p w14:paraId="5C708DA1" w14:textId="349CC5D9" w:rsidR="00FE7CCC" w:rsidRDefault="00FE7CCC" w:rsidP="00FE7CCC">
      <w:r>
        <w:t>Davidson, Roger H., Walter J. Oleszek, Frances E. Lee, and Eric Schickler. 2020. Congress and Its Members. 17th ed. Thousand Oaks, CA: CQ Press.</w:t>
      </w:r>
    </w:p>
    <w:p w14:paraId="54CE272B" w14:textId="7D5EDBA9" w:rsidR="00FE7CCC" w:rsidRDefault="00FE7CCC" w:rsidP="00FE7CCC">
      <w:r>
        <w:t>Davies, J. Clarence, III, and Barbara S. Davies. 1975. The Politics of Pollution. 2nd ed. Indianapolis: Bobbs-Merrill.</w:t>
      </w:r>
    </w:p>
    <w:p w14:paraId="31CD48D0" w14:textId="3B1DEDB0" w:rsidR="00FE7CCC" w:rsidRDefault="00FE7CCC" w:rsidP="00FE7CCC">
      <w:r>
        <w:t>Davies, J. Clarence, and Jan Mazurek. 1998. Pollution Control in the United States: Evaluating the System. Washington, DC: Resources for the Future.</w:t>
      </w:r>
    </w:p>
    <w:p w14:paraId="62D75DF8" w14:textId="06344631" w:rsidR="00FE7CCC" w:rsidRDefault="00FE7CCC" w:rsidP="00FE7CCC">
      <w:r>
        <w:t>Davis, Charles, ed. 2001. Western Public Lands and Environmental Politics. 2nd ed. Boulder, CO: Westview Press.</w:t>
      </w:r>
    </w:p>
    <w:p w14:paraId="67C53087" w14:textId="1E7583B2" w:rsidR="00FE7CCC" w:rsidRDefault="00FE7CCC" w:rsidP="00FE7CCC">
      <w:proofErr w:type="spellStart"/>
      <w:r>
        <w:t>deLeon</w:t>
      </w:r>
      <w:proofErr w:type="spellEnd"/>
      <w:r>
        <w:t>, Peter. 1997. Democracy and the Policy Sciences. Albany: State University of New York Press.</w:t>
      </w:r>
    </w:p>
    <w:p w14:paraId="3FAC89E9" w14:textId="1D49F87E" w:rsidR="00FE7CCC" w:rsidRDefault="00FE7CCC" w:rsidP="00FE7CCC">
      <w:r>
        <w:t>Derthick, Martha. 1979. Policymaking for Social Security. Washington, DC: Brookings Institution.</w:t>
      </w:r>
    </w:p>
    <w:p w14:paraId="26540C92" w14:textId="38B4F720" w:rsidR="00FE7CCC" w:rsidRDefault="00FE7CCC" w:rsidP="00FE7CCC">
      <w:r>
        <w:t>———————. 2005. Up in Smoke: From Legislation to Litigation in Tobacco Politics. 2nd ed. Washington, DC: CQ Press.</w:t>
      </w:r>
    </w:p>
    <w:p w14:paraId="33143785" w14:textId="304DEE1F" w:rsidR="00FE7CCC" w:rsidRDefault="00FE7CCC" w:rsidP="00FE7CCC">
      <w:r>
        <w:t>Dietz, Thomas, and Paul C. Stern, eds. 2003. New Tools for Environmental Protection: Education, Information, and Voluntary Measures. Washington, DC: National Academies Press.</w:t>
      </w:r>
    </w:p>
    <w:p w14:paraId="63DAF611" w14:textId="5F5A8FDD" w:rsidR="00FE7CCC" w:rsidRDefault="00FE7CCC" w:rsidP="00FE7CCC">
      <w:r>
        <w:t>DiMento, Joseph F. C., and Pamela Doughman, eds. 2014. Climate Change: What It Means for Us, Our Children, and Our Grandchildren. 2nd ed. Cambridge: MIT Press.</w:t>
      </w:r>
    </w:p>
    <w:p w14:paraId="5242A45D" w14:textId="59319CD5" w:rsidR="00FE7CCC" w:rsidRDefault="00FE7CCC" w:rsidP="00FE7CCC">
      <w:r>
        <w:t>Donahue, John D. 1997. Disunited States. New York: Basic Books.</w:t>
      </w:r>
    </w:p>
    <w:p w14:paraId="13BD8D8F" w14:textId="179F66A6" w:rsidR="00FE7CCC" w:rsidRDefault="00FE7CCC" w:rsidP="00FE7CCC">
      <w:r>
        <w:t>Dunlap, Riley E. 1995. “Public Opinion and Environmental Policy.” In Environmental Politics and Policy. Edited by James P. Lester. Durham, NC: Duke University Press.</w:t>
      </w:r>
    </w:p>
    <w:p w14:paraId="2B2D9B15" w14:textId="2EE80F4A" w:rsidR="00FE7CCC" w:rsidRDefault="00FE7CCC" w:rsidP="00FE7CCC">
      <w:r>
        <w:t>Dunlap, Riley E., Michael E. Kraft, and Eugene A. Rosa, eds. 1993. Public Reactions to Nuclear Waste: Citizens’ Views of Repository Siting. Durham, NC: Duke University Press.</w:t>
      </w:r>
    </w:p>
    <w:p w14:paraId="041AC4E5" w14:textId="5540B838" w:rsidR="00FE7CCC" w:rsidRDefault="00FE7CCC" w:rsidP="00FE7CCC">
      <w:r>
        <w:t>Dunlap, Riley E., and Aaron M. McCright. 2015. “Challenging Climate Change: The Denial Countermovement.” In Climate Change and Society: Sociological Perspectives. New York: Oxford University Press.</w:t>
      </w:r>
    </w:p>
    <w:p w14:paraId="2D120F3A" w14:textId="7053ADD5" w:rsidR="00FE7CCC" w:rsidRDefault="00FE7CCC" w:rsidP="00FE7CCC">
      <w:r>
        <w:t>Dunlap, Riley E., Aaron M. McCright, and Jerrod H. Yarosh. 2016. “The Political Divide on Climate Change: Partisan Polarization Widens in the U.S.” Environment 58, no. 5 (September/October): 4–22.</w:t>
      </w:r>
    </w:p>
    <w:p w14:paraId="0ADFC66D" w14:textId="10BE51C5" w:rsidR="00FE7CCC" w:rsidRDefault="00FE7CCC" w:rsidP="00FE7CCC">
      <w:r>
        <w:t>Dunn, William J. 2018. Public Policy Analysis: An Introduction. 6th ed. New York: Routledge.</w:t>
      </w:r>
    </w:p>
    <w:p w14:paraId="3FA1053E" w14:textId="2C45E711" w:rsidR="00FE7CCC" w:rsidRDefault="00FE7CCC" w:rsidP="00FE7CCC">
      <w:r>
        <w:t>Durant, Robert, Daniel Fiorino, and Rosemary O’Leary, eds. 2017. Environmental Governance Reconsidered: Challenges, Choices, and Opportunities. 2nd ed. Cambridge: MIT Press.</w:t>
      </w:r>
    </w:p>
    <w:p w14:paraId="4D5F39AA" w14:textId="52DCFA5E" w:rsidR="00FE7CCC" w:rsidRDefault="00FE7CCC" w:rsidP="00FE7CCC">
      <w:r>
        <w:t xml:space="preserve">Dye, Thomas R. 2001. </w:t>
      </w:r>
      <w:proofErr w:type="gramStart"/>
      <w:r>
        <w:t>Top Down</w:t>
      </w:r>
      <w:proofErr w:type="gramEnd"/>
      <w:r>
        <w:t xml:space="preserve"> Policymaking. New York: Chatham House.</w:t>
      </w:r>
    </w:p>
    <w:p w14:paraId="3A68FC35" w14:textId="027DB999" w:rsidR="00FE7CCC" w:rsidRDefault="00FE7CCC" w:rsidP="00FE7CCC">
      <w:r>
        <w:t>Easton, David. 1965. A Systems Analysis of Political Life. New York: Wiley.</w:t>
      </w:r>
    </w:p>
    <w:p w14:paraId="66B92DBD" w14:textId="086CD967" w:rsidR="00FE7CCC" w:rsidRDefault="00FE7CCC" w:rsidP="00FE7CCC">
      <w:r>
        <w:t>Eberstadt, Nicholas. 1995. The Tyranny of Numbers: Mismeasurement and Misrule. Washington, DC: AEI Press.</w:t>
      </w:r>
    </w:p>
    <w:p w14:paraId="091FEFCF" w14:textId="0770AB6B" w:rsidR="00FE7CCC" w:rsidRDefault="00FE7CCC" w:rsidP="00FE7CCC">
      <w:r>
        <w:t>Edin, Katherine J., and H. Luke Shaefer. 2015. $2.00 a Day: Living on Almost Nothing in America. Chicago: Houghton Mifflin.</w:t>
      </w:r>
    </w:p>
    <w:p w14:paraId="293F962B" w14:textId="77777777" w:rsidR="00FE7CCC" w:rsidRDefault="00FE7CCC" w:rsidP="00FE7CCC">
      <w:r>
        <w:t xml:space="preserve">Eisner, Marc Allen. 2007. Governing the Environment: The Transformation of Environmental Regulation. Boulder, CO: Lynne </w:t>
      </w:r>
      <w:proofErr w:type="spellStart"/>
      <w:r>
        <w:t>Rienner</w:t>
      </w:r>
      <w:proofErr w:type="spellEnd"/>
      <w:r>
        <w:t>.</w:t>
      </w:r>
    </w:p>
    <w:p w14:paraId="409B5443" w14:textId="77777777" w:rsidR="009012A7" w:rsidRPr="009012A7" w:rsidRDefault="009012A7" w:rsidP="009012A7"/>
    <w:sectPr w:rsidR="009012A7" w:rsidRPr="009012A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9F636" w14:textId="77777777" w:rsidR="00FE7CCC" w:rsidRDefault="00FE7CCC" w:rsidP="00FE7CCC">
      <w:pPr>
        <w:spacing w:after="0" w:line="240" w:lineRule="auto"/>
      </w:pPr>
      <w:r>
        <w:separator/>
      </w:r>
    </w:p>
  </w:endnote>
  <w:endnote w:type="continuationSeparator" w:id="0">
    <w:p w14:paraId="28D2CECE" w14:textId="77777777" w:rsidR="00FE7CCC" w:rsidRDefault="00FE7CCC" w:rsidP="00FE7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8685"/>
      <w:docPartObj>
        <w:docPartGallery w:val="Page Numbers (Bottom of Page)"/>
        <w:docPartUnique/>
      </w:docPartObj>
    </w:sdtPr>
    <w:sdtEndPr>
      <w:rPr>
        <w:noProof/>
      </w:rPr>
    </w:sdtEndPr>
    <w:sdtContent>
      <w:p w14:paraId="246AE404" w14:textId="5DBFFBE5" w:rsidR="00FE7CCC" w:rsidRDefault="00FE7C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F6C92D" w14:textId="77777777" w:rsidR="00FE7CCC" w:rsidRDefault="00FE7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34C31C" w14:textId="77777777" w:rsidR="00FE7CCC" w:rsidRDefault="00FE7CCC" w:rsidP="00FE7CCC">
      <w:pPr>
        <w:spacing w:after="0" w:line="240" w:lineRule="auto"/>
      </w:pPr>
      <w:r>
        <w:separator/>
      </w:r>
    </w:p>
  </w:footnote>
  <w:footnote w:type="continuationSeparator" w:id="0">
    <w:p w14:paraId="7D8B3A5F" w14:textId="77777777" w:rsidR="00FE7CCC" w:rsidRDefault="00FE7CCC" w:rsidP="00FE7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1F5804"/>
    <w:multiLevelType w:val="hybridMultilevel"/>
    <w:tmpl w:val="B2E2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5B51BD"/>
    <w:multiLevelType w:val="hybridMultilevel"/>
    <w:tmpl w:val="FC4EC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8598054">
    <w:abstractNumId w:val="1"/>
  </w:num>
  <w:num w:numId="2" w16cid:durableId="75799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A7"/>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00B4E"/>
    <w:rsid w:val="0085112B"/>
    <w:rsid w:val="00853D1F"/>
    <w:rsid w:val="008558B5"/>
    <w:rsid w:val="008A1DAB"/>
    <w:rsid w:val="008D4739"/>
    <w:rsid w:val="008F6B0E"/>
    <w:rsid w:val="009012A7"/>
    <w:rsid w:val="009015AC"/>
    <w:rsid w:val="00924EC6"/>
    <w:rsid w:val="0092503F"/>
    <w:rsid w:val="0093469B"/>
    <w:rsid w:val="00934CA5"/>
    <w:rsid w:val="009433DB"/>
    <w:rsid w:val="009F03DD"/>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E7CCC"/>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7FEA"/>
  <w15:chartTrackingRefBased/>
  <w15:docId w15:val="{D722E258-E33A-4C28-A975-754E5BA9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2A7"/>
    <w:rPr>
      <w:rFonts w:eastAsiaTheme="majorEastAsia" w:cstheme="majorBidi"/>
      <w:color w:val="272727" w:themeColor="text1" w:themeTint="D8"/>
    </w:rPr>
  </w:style>
  <w:style w:type="paragraph" w:styleId="Title">
    <w:name w:val="Title"/>
    <w:basedOn w:val="Normal"/>
    <w:next w:val="Normal"/>
    <w:link w:val="TitleChar"/>
    <w:uiPriority w:val="10"/>
    <w:qFormat/>
    <w:rsid w:val="0090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012A7"/>
    <w:rPr>
      <w:i/>
      <w:iCs/>
      <w:color w:val="404040" w:themeColor="text1" w:themeTint="BF"/>
    </w:rPr>
  </w:style>
  <w:style w:type="paragraph" w:styleId="ListParagraph">
    <w:name w:val="List Paragraph"/>
    <w:basedOn w:val="Normal"/>
    <w:uiPriority w:val="34"/>
    <w:qFormat/>
    <w:rsid w:val="009012A7"/>
    <w:pPr>
      <w:ind w:left="720"/>
      <w:contextualSpacing/>
    </w:pPr>
  </w:style>
  <w:style w:type="character" w:styleId="IntenseEmphasis">
    <w:name w:val="Intense Emphasis"/>
    <w:basedOn w:val="DefaultParagraphFont"/>
    <w:uiPriority w:val="21"/>
    <w:qFormat/>
    <w:rsid w:val="009012A7"/>
    <w:rPr>
      <w:i/>
      <w:iCs/>
      <w:color w:val="0F4761" w:themeColor="accent1" w:themeShade="BF"/>
    </w:rPr>
  </w:style>
  <w:style w:type="paragraph" w:styleId="IntenseQuote">
    <w:name w:val="Intense Quote"/>
    <w:basedOn w:val="Normal"/>
    <w:next w:val="Normal"/>
    <w:link w:val="IntenseQuoteChar"/>
    <w:uiPriority w:val="30"/>
    <w:qFormat/>
    <w:rsid w:val="0090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2A7"/>
    <w:rPr>
      <w:i/>
      <w:iCs/>
      <w:color w:val="0F4761" w:themeColor="accent1" w:themeShade="BF"/>
    </w:rPr>
  </w:style>
  <w:style w:type="character" w:styleId="IntenseReference">
    <w:name w:val="Intense Reference"/>
    <w:basedOn w:val="DefaultParagraphFont"/>
    <w:uiPriority w:val="32"/>
    <w:qFormat/>
    <w:rsid w:val="009012A7"/>
    <w:rPr>
      <w:b/>
      <w:bCs/>
      <w:smallCaps/>
      <w:color w:val="0F4761" w:themeColor="accent1" w:themeShade="BF"/>
      <w:spacing w:val="5"/>
    </w:rPr>
  </w:style>
  <w:style w:type="paragraph" w:styleId="Header">
    <w:name w:val="header"/>
    <w:basedOn w:val="Normal"/>
    <w:link w:val="HeaderChar"/>
    <w:uiPriority w:val="99"/>
    <w:unhideWhenUsed/>
    <w:rsid w:val="00FE7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CCC"/>
  </w:style>
  <w:style w:type="paragraph" w:styleId="Footer">
    <w:name w:val="footer"/>
    <w:basedOn w:val="Normal"/>
    <w:link w:val="FooterChar"/>
    <w:uiPriority w:val="99"/>
    <w:unhideWhenUsed/>
    <w:rsid w:val="00FE7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20</Pages>
  <Words>9010</Words>
  <Characters>51363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2024-12-04T11:34:00Z</dcterms:created>
  <dcterms:modified xsi:type="dcterms:W3CDTF">2024-12-04T11:55:00Z</dcterms:modified>
</cp:coreProperties>
</file>