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8F45A" w14:textId="29B4EFFE" w:rsidR="00C33E71" w:rsidRDefault="00C33E71">
      <w:r>
        <w:rPr>
          <w:noProof/>
        </w:rPr>
        <w:drawing>
          <wp:inline distT="0" distB="0" distL="0" distR="0" wp14:anchorId="1D67A9C9" wp14:editId="21AAAB50">
            <wp:extent cx="3251200" cy="1123950"/>
            <wp:effectExtent l="0" t="0" r="6350" b="0"/>
            <wp:docPr id="190704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40869" name="Picture 1907040869"/>
                    <pic:cNvPicPr/>
                  </pic:nvPicPr>
                  <pic:blipFill>
                    <a:blip r:embed="rId8">
                      <a:extLst>
                        <a:ext uri="{28A0092B-C50C-407E-A947-70E740481C1C}">
                          <a14:useLocalDpi xmlns:a14="http://schemas.microsoft.com/office/drawing/2010/main" val="0"/>
                        </a:ext>
                      </a:extLst>
                    </a:blip>
                    <a:stretch>
                      <a:fillRect/>
                    </a:stretch>
                  </pic:blipFill>
                  <pic:spPr>
                    <a:xfrm>
                      <a:off x="0" y="0"/>
                      <a:ext cx="3251385" cy="1124014"/>
                    </a:xfrm>
                    <a:prstGeom prst="rect">
                      <a:avLst/>
                    </a:prstGeom>
                  </pic:spPr>
                </pic:pic>
              </a:graphicData>
            </a:graphic>
          </wp:inline>
        </w:drawing>
      </w:r>
    </w:p>
    <w:p w14:paraId="3E165C12" w14:textId="77777777" w:rsidR="00D75BDA" w:rsidRDefault="00D75BDA"/>
    <w:p w14:paraId="23375C18" w14:textId="77777777" w:rsidR="00D75BDA" w:rsidRDefault="00D75BDA"/>
    <w:p w14:paraId="08377EF9" w14:textId="145D65B4" w:rsidR="00D75BDA" w:rsidRDefault="00237F07">
      <w:pPr>
        <w:rPr>
          <w:sz w:val="28"/>
          <w:szCs w:val="28"/>
        </w:rPr>
      </w:pPr>
      <w:r>
        <w:rPr>
          <w:sz w:val="28"/>
          <w:szCs w:val="28"/>
        </w:rPr>
        <w:t>Module</w:t>
      </w:r>
      <w:r w:rsidR="00D46D11">
        <w:rPr>
          <w:sz w:val="28"/>
          <w:szCs w:val="28"/>
        </w:rPr>
        <w:t xml:space="preserve"> Name:</w:t>
      </w:r>
      <w:r w:rsidR="00576540">
        <w:rPr>
          <w:sz w:val="28"/>
          <w:szCs w:val="28"/>
        </w:rPr>
        <w:t xml:space="preserve"> </w:t>
      </w:r>
      <w:r w:rsidR="004E2F93">
        <w:rPr>
          <w:sz w:val="28"/>
          <w:szCs w:val="28"/>
        </w:rPr>
        <w:t xml:space="preserve">Introduction to </w:t>
      </w:r>
      <w:r w:rsidR="00597855">
        <w:rPr>
          <w:sz w:val="28"/>
          <w:szCs w:val="28"/>
        </w:rPr>
        <w:t>Public Health</w:t>
      </w:r>
    </w:p>
    <w:p w14:paraId="243820B6" w14:textId="33C51389" w:rsidR="00D46D11" w:rsidRDefault="00D46D11">
      <w:pPr>
        <w:rPr>
          <w:sz w:val="28"/>
          <w:szCs w:val="28"/>
        </w:rPr>
      </w:pPr>
      <w:r>
        <w:rPr>
          <w:sz w:val="28"/>
          <w:szCs w:val="28"/>
        </w:rPr>
        <w:t>Module Code</w:t>
      </w:r>
      <w:r w:rsidR="00215A04">
        <w:rPr>
          <w:sz w:val="28"/>
          <w:szCs w:val="28"/>
        </w:rPr>
        <w:t>:</w:t>
      </w:r>
      <w:r w:rsidR="000B7F15">
        <w:rPr>
          <w:sz w:val="28"/>
          <w:szCs w:val="28"/>
        </w:rPr>
        <w:t xml:space="preserve"> LCHS4008</w:t>
      </w:r>
    </w:p>
    <w:p w14:paraId="3F6EDE89" w14:textId="2398810A" w:rsidR="00C36B68" w:rsidRPr="001D1A3B" w:rsidRDefault="00E76757">
      <w:pPr>
        <w:rPr>
          <w:sz w:val="28"/>
          <w:szCs w:val="28"/>
        </w:rPr>
      </w:pPr>
      <w:r w:rsidRPr="001D1A3B">
        <w:rPr>
          <w:sz w:val="28"/>
          <w:szCs w:val="28"/>
        </w:rPr>
        <w:t>Student Name:</w:t>
      </w:r>
      <w:r w:rsidR="00597855" w:rsidRPr="001D1A3B">
        <w:rPr>
          <w:sz w:val="28"/>
          <w:szCs w:val="28"/>
        </w:rPr>
        <w:t xml:space="preserve"> David</w:t>
      </w:r>
      <w:r w:rsidR="000835B7">
        <w:rPr>
          <w:sz w:val="28"/>
          <w:szCs w:val="28"/>
        </w:rPr>
        <w:t xml:space="preserve"> Olusegun</w:t>
      </w:r>
      <w:r w:rsidR="00597855" w:rsidRPr="001D1A3B">
        <w:rPr>
          <w:sz w:val="28"/>
          <w:szCs w:val="28"/>
        </w:rPr>
        <w:t xml:space="preserve"> Aina</w:t>
      </w:r>
    </w:p>
    <w:p w14:paraId="7B7D0B7C" w14:textId="07FC8EDA" w:rsidR="00E76757" w:rsidRPr="001D1A3B" w:rsidRDefault="00E76757">
      <w:pPr>
        <w:rPr>
          <w:sz w:val="28"/>
          <w:szCs w:val="28"/>
        </w:rPr>
      </w:pPr>
      <w:r w:rsidRPr="001D1A3B">
        <w:rPr>
          <w:sz w:val="28"/>
          <w:szCs w:val="28"/>
        </w:rPr>
        <w:t>Student</w:t>
      </w:r>
      <w:r w:rsidR="00ED1881" w:rsidRPr="001D1A3B">
        <w:rPr>
          <w:sz w:val="28"/>
          <w:szCs w:val="28"/>
        </w:rPr>
        <w:t xml:space="preserve"> ID:</w:t>
      </w:r>
      <w:r w:rsidR="00597855" w:rsidRPr="001D1A3B">
        <w:rPr>
          <w:sz w:val="28"/>
          <w:szCs w:val="28"/>
        </w:rPr>
        <w:t xml:space="preserve">  </w:t>
      </w:r>
      <w:r w:rsidR="00582C1A" w:rsidRPr="001D1A3B">
        <w:rPr>
          <w:sz w:val="28"/>
          <w:szCs w:val="28"/>
        </w:rPr>
        <w:t>2523561</w:t>
      </w:r>
    </w:p>
    <w:p w14:paraId="0351EB19" w14:textId="0EEA33DA" w:rsidR="00ED1881" w:rsidRDefault="005B125C">
      <w:pPr>
        <w:rPr>
          <w:sz w:val="28"/>
          <w:szCs w:val="28"/>
        </w:rPr>
      </w:pPr>
      <w:r>
        <w:rPr>
          <w:sz w:val="28"/>
          <w:szCs w:val="28"/>
        </w:rPr>
        <w:t>Lecturer</w:t>
      </w:r>
      <w:r w:rsidR="00617258">
        <w:rPr>
          <w:sz w:val="28"/>
          <w:szCs w:val="28"/>
        </w:rPr>
        <w:t>’s Name</w:t>
      </w:r>
      <w:r w:rsidR="00125E0E">
        <w:rPr>
          <w:sz w:val="28"/>
          <w:szCs w:val="28"/>
        </w:rPr>
        <w:t xml:space="preserve">: </w:t>
      </w:r>
      <w:r w:rsidR="008651CF" w:rsidRPr="008651CF">
        <w:rPr>
          <w:sz w:val="28"/>
          <w:szCs w:val="28"/>
        </w:rPr>
        <w:t>Shepherd Ziko</w:t>
      </w:r>
      <w:r w:rsidR="008651CF">
        <w:rPr>
          <w:sz w:val="28"/>
          <w:szCs w:val="28"/>
        </w:rPr>
        <w:t xml:space="preserve"> </w:t>
      </w:r>
    </w:p>
    <w:p w14:paraId="2EF49FD5" w14:textId="77777777" w:rsidR="00617258" w:rsidRDefault="00617258">
      <w:pPr>
        <w:rPr>
          <w:sz w:val="28"/>
          <w:szCs w:val="28"/>
        </w:rPr>
      </w:pPr>
    </w:p>
    <w:p w14:paraId="343F09BB" w14:textId="7DDF87BD" w:rsidR="00617258" w:rsidRDefault="00617258">
      <w:pPr>
        <w:rPr>
          <w:sz w:val="28"/>
          <w:szCs w:val="28"/>
        </w:rPr>
      </w:pPr>
      <w:r>
        <w:rPr>
          <w:sz w:val="28"/>
          <w:szCs w:val="28"/>
        </w:rPr>
        <w:t>W</w:t>
      </w:r>
      <w:r w:rsidR="0060511E">
        <w:rPr>
          <w:sz w:val="28"/>
          <w:szCs w:val="28"/>
        </w:rPr>
        <w:t>ord</w:t>
      </w:r>
      <w:r w:rsidR="001B30AF">
        <w:rPr>
          <w:sz w:val="28"/>
          <w:szCs w:val="28"/>
        </w:rPr>
        <w:t xml:space="preserve"> </w:t>
      </w:r>
      <w:r w:rsidR="0060511E">
        <w:rPr>
          <w:sz w:val="28"/>
          <w:szCs w:val="28"/>
        </w:rPr>
        <w:t>count:</w:t>
      </w:r>
      <w:r w:rsidR="001B30AF">
        <w:rPr>
          <w:sz w:val="28"/>
          <w:szCs w:val="28"/>
        </w:rPr>
        <w:t xml:space="preserve"> 1406</w:t>
      </w:r>
    </w:p>
    <w:p w14:paraId="0FE080E3" w14:textId="77777777" w:rsidR="00C36B68" w:rsidRPr="00237F07" w:rsidRDefault="00C36B68">
      <w:pPr>
        <w:rPr>
          <w:sz w:val="28"/>
          <w:szCs w:val="28"/>
        </w:rPr>
      </w:pPr>
    </w:p>
    <w:p w14:paraId="3479816E" w14:textId="77777777" w:rsidR="00C33E71" w:rsidRDefault="00C33E71"/>
    <w:p w14:paraId="71C4E5CE" w14:textId="77777777" w:rsidR="00C33E71" w:rsidRDefault="00C33E71"/>
    <w:p w14:paraId="649AB119" w14:textId="77777777" w:rsidR="00252DA5" w:rsidRDefault="00252DA5"/>
    <w:p w14:paraId="28CF5610" w14:textId="77777777" w:rsidR="00252DA5" w:rsidRDefault="00252DA5"/>
    <w:p w14:paraId="76D7296E" w14:textId="77777777" w:rsidR="00252DA5" w:rsidRDefault="00252DA5"/>
    <w:p w14:paraId="104F0915" w14:textId="77777777" w:rsidR="00252DA5" w:rsidRDefault="00252DA5"/>
    <w:p w14:paraId="2A4B5181" w14:textId="77777777" w:rsidR="00252DA5" w:rsidRDefault="00252DA5"/>
    <w:p w14:paraId="7BEF764F" w14:textId="77777777" w:rsidR="00252DA5" w:rsidRDefault="00252DA5"/>
    <w:p w14:paraId="455FFC25" w14:textId="77777777" w:rsidR="00252DA5" w:rsidRDefault="00252DA5"/>
    <w:p w14:paraId="0718B2B8" w14:textId="77777777" w:rsidR="00252DA5" w:rsidRDefault="00252DA5"/>
    <w:p w14:paraId="0CBBC4AF" w14:textId="77777777" w:rsidR="00252DA5" w:rsidRDefault="00252DA5"/>
    <w:p w14:paraId="1A22E5AA" w14:textId="77777777" w:rsidR="00252DA5" w:rsidRDefault="00252DA5"/>
    <w:p w14:paraId="778F80DD" w14:textId="77777777" w:rsidR="00B4761F" w:rsidRDefault="00B4761F"/>
    <w:p w14:paraId="260401C6" w14:textId="77777777" w:rsidR="00B4761F" w:rsidRDefault="00B4761F"/>
    <w:p w14:paraId="4929B22A" w14:textId="21291ECB" w:rsidR="00252DA5" w:rsidRDefault="00252DA5"/>
    <w:sdt>
      <w:sdtPr>
        <w:rPr>
          <w:rFonts w:asciiTheme="minorHAnsi" w:eastAsiaTheme="minorHAnsi" w:hAnsiTheme="minorHAnsi" w:cstheme="minorBidi"/>
          <w:color w:val="auto"/>
          <w:kern w:val="2"/>
          <w:sz w:val="24"/>
          <w:szCs w:val="24"/>
          <w:lang w:val="en-GB"/>
          <w14:ligatures w14:val="standardContextual"/>
        </w:rPr>
        <w:id w:val="1339970250"/>
        <w:docPartObj>
          <w:docPartGallery w:val="Table of Contents"/>
          <w:docPartUnique/>
        </w:docPartObj>
      </w:sdtPr>
      <w:sdtEndPr>
        <w:rPr>
          <w:b/>
          <w:bCs/>
          <w:noProof/>
        </w:rPr>
      </w:sdtEndPr>
      <w:sdtContent>
        <w:p w14:paraId="239A75E0" w14:textId="5B24A58A" w:rsidR="00187DD6" w:rsidRDefault="00187DD6">
          <w:pPr>
            <w:pStyle w:val="TOCHeading"/>
          </w:pPr>
          <w:r>
            <w:t>Table of Contents</w:t>
          </w:r>
        </w:p>
        <w:p w14:paraId="76352B3B" w14:textId="77BA7C43" w:rsidR="001B30AF" w:rsidRDefault="00187DD6">
          <w:pPr>
            <w:pStyle w:val="TOC1"/>
            <w:tabs>
              <w:tab w:val="right" w:leader="dot" w:pos="9016"/>
            </w:tabs>
            <w:rPr>
              <w:rFonts w:eastAsiaTheme="minorEastAsia"/>
              <w:noProof/>
              <w:lang w:val="en-US" w:eastAsia="zh-CN"/>
            </w:rPr>
          </w:pPr>
          <w:r>
            <w:fldChar w:fldCharType="begin"/>
          </w:r>
          <w:r>
            <w:instrText xml:space="preserve"> TOC \o "1-3" \h \z \u </w:instrText>
          </w:r>
          <w:r>
            <w:fldChar w:fldCharType="separate"/>
          </w:r>
          <w:hyperlink w:anchor="_Toc237891939" w:history="1">
            <w:r w:rsidR="001B30AF" w:rsidRPr="000F3BE8">
              <w:rPr>
                <w:rStyle w:val="Hyperlink"/>
                <w:noProof/>
              </w:rPr>
              <w:t>1.0 INTRODUCTION</w:t>
            </w:r>
            <w:r w:rsidR="001B30AF">
              <w:rPr>
                <w:noProof/>
                <w:webHidden/>
              </w:rPr>
              <w:tab/>
            </w:r>
            <w:r w:rsidR="001B30AF">
              <w:rPr>
                <w:noProof/>
                <w:webHidden/>
              </w:rPr>
              <w:fldChar w:fldCharType="begin"/>
            </w:r>
            <w:r w:rsidR="001B30AF">
              <w:rPr>
                <w:noProof/>
                <w:webHidden/>
              </w:rPr>
              <w:instrText xml:space="preserve"> PAGEREF _Toc237891939 \h </w:instrText>
            </w:r>
            <w:r w:rsidR="001B30AF">
              <w:rPr>
                <w:noProof/>
                <w:webHidden/>
              </w:rPr>
            </w:r>
            <w:r w:rsidR="001B30AF">
              <w:rPr>
                <w:noProof/>
                <w:webHidden/>
              </w:rPr>
              <w:fldChar w:fldCharType="separate"/>
            </w:r>
            <w:r w:rsidR="001B30AF">
              <w:rPr>
                <w:noProof/>
                <w:webHidden/>
              </w:rPr>
              <w:t>3</w:t>
            </w:r>
            <w:r w:rsidR="001B30AF">
              <w:rPr>
                <w:noProof/>
                <w:webHidden/>
              </w:rPr>
              <w:fldChar w:fldCharType="end"/>
            </w:r>
          </w:hyperlink>
        </w:p>
        <w:p w14:paraId="70C86181" w14:textId="0E97FF68" w:rsidR="001B30AF" w:rsidRDefault="001B30AF">
          <w:pPr>
            <w:pStyle w:val="TOC1"/>
            <w:tabs>
              <w:tab w:val="right" w:leader="dot" w:pos="9016"/>
            </w:tabs>
            <w:rPr>
              <w:rFonts w:eastAsiaTheme="minorEastAsia"/>
              <w:noProof/>
              <w:lang w:val="en-US" w:eastAsia="zh-CN"/>
            </w:rPr>
          </w:pPr>
          <w:hyperlink w:anchor="_Toc237891940" w:history="1">
            <w:r w:rsidRPr="000F3BE8">
              <w:rPr>
                <w:rStyle w:val="Hyperlink"/>
                <w:noProof/>
              </w:rPr>
              <w:t>2.0 MAIN BODY</w:t>
            </w:r>
            <w:r>
              <w:rPr>
                <w:noProof/>
                <w:webHidden/>
              </w:rPr>
              <w:tab/>
            </w:r>
            <w:r>
              <w:rPr>
                <w:noProof/>
                <w:webHidden/>
              </w:rPr>
              <w:fldChar w:fldCharType="begin"/>
            </w:r>
            <w:r>
              <w:rPr>
                <w:noProof/>
                <w:webHidden/>
              </w:rPr>
              <w:instrText xml:space="preserve"> PAGEREF _Toc237891940 \h </w:instrText>
            </w:r>
            <w:r>
              <w:rPr>
                <w:noProof/>
                <w:webHidden/>
              </w:rPr>
            </w:r>
            <w:r>
              <w:rPr>
                <w:noProof/>
                <w:webHidden/>
              </w:rPr>
              <w:fldChar w:fldCharType="separate"/>
            </w:r>
            <w:r>
              <w:rPr>
                <w:noProof/>
                <w:webHidden/>
              </w:rPr>
              <w:t>3</w:t>
            </w:r>
            <w:r>
              <w:rPr>
                <w:noProof/>
                <w:webHidden/>
              </w:rPr>
              <w:fldChar w:fldCharType="end"/>
            </w:r>
          </w:hyperlink>
        </w:p>
        <w:p w14:paraId="5251816E" w14:textId="133DE3A1" w:rsidR="001B30AF" w:rsidRDefault="001B30AF">
          <w:pPr>
            <w:pStyle w:val="TOC1"/>
            <w:tabs>
              <w:tab w:val="right" w:leader="dot" w:pos="9016"/>
            </w:tabs>
            <w:rPr>
              <w:rFonts w:eastAsiaTheme="minorEastAsia"/>
              <w:noProof/>
              <w:lang w:val="en-US" w:eastAsia="zh-CN"/>
            </w:rPr>
          </w:pPr>
          <w:hyperlink w:anchor="_Toc237891941" w:history="1">
            <w:r w:rsidRPr="000F3BE8">
              <w:rPr>
                <w:rStyle w:val="Hyperlink"/>
                <w:noProof/>
              </w:rPr>
              <w:t>3.0 CONCLUSION</w:t>
            </w:r>
            <w:r>
              <w:rPr>
                <w:noProof/>
                <w:webHidden/>
              </w:rPr>
              <w:tab/>
            </w:r>
            <w:r>
              <w:rPr>
                <w:noProof/>
                <w:webHidden/>
              </w:rPr>
              <w:fldChar w:fldCharType="begin"/>
            </w:r>
            <w:r>
              <w:rPr>
                <w:noProof/>
                <w:webHidden/>
              </w:rPr>
              <w:instrText xml:space="preserve"> PAGEREF _Toc237891941 \h </w:instrText>
            </w:r>
            <w:r>
              <w:rPr>
                <w:noProof/>
                <w:webHidden/>
              </w:rPr>
            </w:r>
            <w:r>
              <w:rPr>
                <w:noProof/>
                <w:webHidden/>
              </w:rPr>
              <w:fldChar w:fldCharType="separate"/>
            </w:r>
            <w:r>
              <w:rPr>
                <w:noProof/>
                <w:webHidden/>
              </w:rPr>
              <w:t>6</w:t>
            </w:r>
            <w:r>
              <w:rPr>
                <w:noProof/>
                <w:webHidden/>
              </w:rPr>
              <w:fldChar w:fldCharType="end"/>
            </w:r>
          </w:hyperlink>
        </w:p>
        <w:p w14:paraId="1BDF44A3" w14:textId="179FBC94" w:rsidR="001B30AF" w:rsidRDefault="001B30AF">
          <w:pPr>
            <w:pStyle w:val="TOC1"/>
            <w:tabs>
              <w:tab w:val="right" w:leader="dot" w:pos="9016"/>
            </w:tabs>
            <w:rPr>
              <w:rFonts w:eastAsiaTheme="minorEastAsia"/>
              <w:noProof/>
              <w:lang w:val="en-US" w:eastAsia="zh-CN"/>
            </w:rPr>
          </w:pPr>
          <w:hyperlink w:anchor="_Toc237891942" w:history="1">
            <w:r w:rsidRPr="000F3BE8">
              <w:rPr>
                <w:rStyle w:val="Hyperlink"/>
                <w:noProof/>
              </w:rPr>
              <w:t>REFERENCES</w:t>
            </w:r>
            <w:r>
              <w:rPr>
                <w:noProof/>
                <w:webHidden/>
              </w:rPr>
              <w:tab/>
            </w:r>
            <w:r>
              <w:rPr>
                <w:noProof/>
                <w:webHidden/>
              </w:rPr>
              <w:fldChar w:fldCharType="begin"/>
            </w:r>
            <w:r>
              <w:rPr>
                <w:noProof/>
                <w:webHidden/>
              </w:rPr>
              <w:instrText xml:space="preserve"> PAGEREF _Toc237891942 \h </w:instrText>
            </w:r>
            <w:r>
              <w:rPr>
                <w:noProof/>
                <w:webHidden/>
              </w:rPr>
            </w:r>
            <w:r>
              <w:rPr>
                <w:noProof/>
                <w:webHidden/>
              </w:rPr>
              <w:fldChar w:fldCharType="separate"/>
            </w:r>
            <w:r>
              <w:rPr>
                <w:noProof/>
                <w:webHidden/>
              </w:rPr>
              <w:t>7</w:t>
            </w:r>
            <w:r>
              <w:rPr>
                <w:noProof/>
                <w:webHidden/>
              </w:rPr>
              <w:fldChar w:fldCharType="end"/>
            </w:r>
          </w:hyperlink>
        </w:p>
        <w:p w14:paraId="77A8D3DC" w14:textId="5F58D55D" w:rsidR="00187DD6" w:rsidRDefault="00187DD6">
          <w:r>
            <w:rPr>
              <w:b/>
              <w:bCs/>
              <w:noProof/>
            </w:rPr>
            <w:fldChar w:fldCharType="end"/>
          </w:r>
        </w:p>
      </w:sdtContent>
    </w:sdt>
    <w:p w14:paraId="046013D2" w14:textId="77777777" w:rsidR="00C33E71" w:rsidRDefault="00C33E71"/>
    <w:p w14:paraId="5B9A88D6" w14:textId="77777777" w:rsidR="00B4761F" w:rsidRDefault="00B4761F"/>
    <w:p w14:paraId="22BF6E06" w14:textId="77777777" w:rsidR="00B4761F" w:rsidRDefault="00B4761F"/>
    <w:p w14:paraId="24BCD5C5" w14:textId="77777777" w:rsidR="00B4761F" w:rsidRDefault="00B4761F"/>
    <w:p w14:paraId="6EE2F5AD" w14:textId="77777777" w:rsidR="00B4761F" w:rsidRDefault="00B4761F"/>
    <w:p w14:paraId="2854C767" w14:textId="77777777" w:rsidR="00B4761F" w:rsidRDefault="00B4761F"/>
    <w:p w14:paraId="612D1F77" w14:textId="77777777" w:rsidR="00B4761F" w:rsidRDefault="00B4761F"/>
    <w:p w14:paraId="453997C4" w14:textId="77777777" w:rsidR="00B4761F" w:rsidRDefault="00B4761F"/>
    <w:p w14:paraId="4431EB51" w14:textId="77777777" w:rsidR="00B4761F" w:rsidRDefault="00B4761F"/>
    <w:p w14:paraId="63554F47" w14:textId="77777777" w:rsidR="00B4761F" w:rsidRDefault="00B4761F"/>
    <w:p w14:paraId="5DCAF782" w14:textId="77777777" w:rsidR="00B4761F" w:rsidRDefault="00B4761F"/>
    <w:p w14:paraId="09B87B9E" w14:textId="77777777" w:rsidR="00B4761F" w:rsidRDefault="00B4761F"/>
    <w:p w14:paraId="76640085" w14:textId="77777777" w:rsidR="00B4761F" w:rsidRDefault="00B4761F"/>
    <w:p w14:paraId="20262A8E" w14:textId="77777777" w:rsidR="00B4761F" w:rsidRDefault="00B4761F"/>
    <w:p w14:paraId="4309DBD4" w14:textId="77777777" w:rsidR="00B4761F" w:rsidRDefault="00B4761F"/>
    <w:p w14:paraId="68FAF3F4" w14:textId="77777777" w:rsidR="00B4761F" w:rsidRDefault="00B4761F"/>
    <w:p w14:paraId="51EB0598" w14:textId="77777777" w:rsidR="00B4761F" w:rsidRDefault="00B4761F"/>
    <w:p w14:paraId="534356E9" w14:textId="77777777" w:rsidR="00B4761F" w:rsidRDefault="00B4761F"/>
    <w:p w14:paraId="6A3C351F" w14:textId="429213E4" w:rsidR="006E6A52" w:rsidRDefault="00296D96" w:rsidP="00B4761F">
      <w:pPr>
        <w:pStyle w:val="Heading1"/>
      </w:pPr>
      <w:bookmarkStart w:id="0" w:name="_Toc237891939"/>
      <w:r>
        <w:lastRenderedPageBreak/>
        <w:t xml:space="preserve">1.0 </w:t>
      </w:r>
      <w:r w:rsidR="005A2AB7">
        <w:t>INTRODUCTION</w:t>
      </w:r>
      <w:bookmarkEnd w:id="0"/>
    </w:p>
    <w:p w14:paraId="05C0544B" w14:textId="36E59279" w:rsidR="00CA0FE7" w:rsidRPr="00B4761F" w:rsidRDefault="009B076A">
      <w:r w:rsidRPr="009B076A">
        <w:t>Depression is widely regarded as one of the most prominent psychological constructs, reflected both in the substantial volume of research devoted to it and in its extensive use and recognition within the general population.</w:t>
      </w:r>
      <w:r>
        <w:t xml:space="preserve"> </w:t>
      </w:r>
      <w:r w:rsidR="00B4761F">
        <w:t>It</w:t>
      </w:r>
      <w:r w:rsidRPr="009B076A">
        <w:t xml:space="preserve"> is classified as a mood disorder that can range from </w:t>
      </w:r>
      <w:r w:rsidRPr="00B62669">
        <w:t>ordinary, short</w:t>
      </w:r>
      <w:r w:rsidRPr="00B62669">
        <w:noBreakHyphen/>
        <w:t>lived periods of low mood experienced in everyday life to a clinically significant syndrome characterised by persistent duration, pronounced severity, and a constellation of symptoms that clearly deviate from typical emotional functioning</w:t>
      </w:r>
      <w:r w:rsidR="00CA0FE7" w:rsidRPr="00B62669">
        <w:t xml:space="preserve"> </w:t>
      </w:r>
      <w:r w:rsidR="00904DDB" w:rsidRPr="00034438">
        <w:t>(</w:t>
      </w:r>
      <w:r w:rsidR="00CA0FE7" w:rsidRPr="00034438">
        <w:t>Bernard</w:t>
      </w:r>
      <w:r w:rsidR="00D90CB7" w:rsidRPr="00034438">
        <w:t>,</w:t>
      </w:r>
      <w:r w:rsidR="00904DDB" w:rsidRPr="00034438">
        <w:t xml:space="preserve"> 2</w:t>
      </w:r>
      <w:r w:rsidR="00CA0FE7" w:rsidRPr="00034438">
        <w:t>018).</w:t>
      </w:r>
    </w:p>
    <w:p w14:paraId="2F43D705" w14:textId="099777FB" w:rsidR="00292949" w:rsidRDefault="006E6E1C">
      <w:r w:rsidRPr="006E6E1C">
        <w:t xml:space="preserve">The condition is characterised by </w:t>
      </w:r>
      <w:r w:rsidRPr="00451BB3">
        <w:t>persistent sadness, diminished capacity to experience pleasure, feelings of guilt, and reduced self</w:t>
      </w:r>
      <w:r w:rsidRPr="00451BB3">
        <w:noBreakHyphen/>
        <w:t>esteem, alongside disturbances in sleep and appetite, impaired concentration, and pervasive fatigue</w:t>
      </w:r>
      <w:r w:rsidRPr="006E6E1C">
        <w:t>.</w:t>
      </w:r>
      <w:r w:rsidR="00FD6CDA">
        <w:t xml:space="preserve"> </w:t>
      </w:r>
      <w:r w:rsidR="00E851CA" w:rsidRPr="00E851CA">
        <w:t>It is estimated that approximately 4% of the global population experiences depression, including 5.7% of adults</w:t>
      </w:r>
      <w:r w:rsidR="00B4761F">
        <w:t xml:space="preserve"> </w:t>
      </w:r>
      <w:r w:rsidR="00E851CA" w:rsidRPr="00E851CA">
        <w:t>with 4.6% of men and 6.9% of women affected</w:t>
      </w:r>
      <w:r w:rsidR="00B4761F">
        <w:t xml:space="preserve"> </w:t>
      </w:r>
      <w:r w:rsidR="00E851CA" w:rsidRPr="00E851CA">
        <w:t>and 5.9% of individuals aged 70 years and above. Overall, around 332 million people worldwide are living with depression</w:t>
      </w:r>
      <w:r w:rsidR="007A70A4">
        <w:t xml:space="preserve"> (</w:t>
      </w:r>
      <w:r w:rsidR="00BC2AB1">
        <w:t>WHO</w:t>
      </w:r>
      <w:r w:rsidR="00B4761F">
        <w:t>,</w:t>
      </w:r>
      <w:r w:rsidR="007A70A4">
        <w:t xml:space="preserve"> 2025)</w:t>
      </w:r>
      <w:r w:rsidR="00AE357B">
        <w:t>.</w:t>
      </w:r>
    </w:p>
    <w:p w14:paraId="2008381E" w14:textId="42DD75FB" w:rsidR="001E1C50" w:rsidRDefault="001E1C50">
      <w:r>
        <w:t>In the UK, about</w:t>
      </w:r>
      <w:r w:rsidRPr="001E1C50">
        <w:t xml:space="preserve"> one in six UK adults (approximately 16–20%) experience a common mental health condition, such as depression or anxiety, during any given week. </w:t>
      </w:r>
      <w:r>
        <w:t>Also</w:t>
      </w:r>
      <w:r w:rsidRPr="001E1C50">
        <w:t>, around 3.8–4.4% of adults meet the criteria for a clinically diagnosed depressive episode, while data from GP depression registers (QOF) indicate that approximately 14.3% of patients have a recorded diagnosis of depression</w:t>
      </w:r>
      <w:r>
        <w:t xml:space="preserve"> (NHS England, 2025).</w:t>
      </w:r>
    </w:p>
    <w:p w14:paraId="5D79E5D5" w14:textId="5392621F" w:rsidR="00D826E8" w:rsidRDefault="00755BEF">
      <w:r>
        <w:t xml:space="preserve">This shows the public health significance of this </w:t>
      </w:r>
      <w:r w:rsidR="00296D96">
        <w:t>condition</w:t>
      </w:r>
      <w:r>
        <w:t xml:space="preserve"> both in the UK and globally. Th</w:t>
      </w:r>
      <w:r w:rsidR="00296D96">
        <w:t>e</w:t>
      </w:r>
      <w:r>
        <w:t xml:space="preserve"> report </w:t>
      </w:r>
      <w:r w:rsidR="00296D96">
        <w:t xml:space="preserve">will highlight </w:t>
      </w:r>
      <w:r w:rsidR="009A3D39">
        <w:t xml:space="preserve">depression monitoring, prevetiion, management and social influence. </w:t>
      </w:r>
    </w:p>
    <w:p w14:paraId="5B885E56" w14:textId="77777777" w:rsidR="009A3D39" w:rsidRDefault="009A3D39"/>
    <w:p w14:paraId="0972B54A" w14:textId="27DF514C" w:rsidR="001D1A3B" w:rsidRDefault="00296D96" w:rsidP="00B4761F">
      <w:pPr>
        <w:pStyle w:val="Heading1"/>
      </w:pPr>
      <w:bookmarkStart w:id="1" w:name="_Toc237891940"/>
      <w:r>
        <w:t xml:space="preserve">2.0 </w:t>
      </w:r>
      <w:r w:rsidR="00B4761F" w:rsidRPr="00613FB8">
        <w:t>MAIN BODY</w:t>
      </w:r>
      <w:bookmarkEnd w:id="1"/>
      <w:r w:rsidR="00B4761F" w:rsidRPr="00613FB8">
        <w:t xml:space="preserve"> </w:t>
      </w:r>
    </w:p>
    <w:p w14:paraId="23F07F8F" w14:textId="66D4E60A" w:rsidR="00296D96" w:rsidRPr="009A3D39" w:rsidRDefault="00296D96" w:rsidP="00C139D1">
      <w:pPr>
        <w:pStyle w:val="Subtitle"/>
        <w:rPr>
          <w:color w:val="153D63" w:themeColor="text2" w:themeTint="E6"/>
        </w:rPr>
      </w:pPr>
      <w:r w:rsidRPr="009A3D39">
        <w:rPr>
          <w:color w:val="153D63" w:themeColor="text2" w:themeTint="E6"/>
        </w:rPr>
        <w:t>2.1 Measuring and Monitoring Depression</w:t>
      </w:r>
    </w:p>
    <w:p w14:paraId="33C95730" w14:textId="3D3E8E93" w:rsidR="004002E2" w:rsidRPr="004002E2" w:rsidRDefault="004002E2" w:rsidP="004002E2">
      <w:r w:rsidRPr="004002E2">
        <w:t>Depression monitoring involves the systematic observation of symptom progression over time through structured clinical assessments, self</w:t>
      </w:r>
      <w:r w:rsidRPr="004002E2">
        <w:noBreakHyphen/>
        <w:t>report measures, behavioural records, and emerging digital technologies. Within standard clinical practice, treatment response is typically reviewed every two to four weeks, with attention given to changes in mood, sleep patterns, daily functioning, and any adverse effects associated with interventions.</w:t>
      </w:r>
    </w:p>
    <w:p w14:paraId="4E22A155" w14:textId="77777777" w:rsidR="004002E2" w:rsidRPr="004002E2" w:rsidRDefault="004002E2" w:rsidP="004002E2">
      <w:r w:rsidRPr="004002E2">
        <w:t>A range of validated clinical tools is used to support this process. Instruments such as the PHQ</w:t>
      </w:r>
      <w:r w:rsidRPr="004002E2">
        <w:noBreakHyphen/>
        <w:t>9, a brief nine</w:t>
      </w:r>
      <w:r w:rsidRPr="004002E2">
        <w:noBreakHyphen/>
        <w:t>item measure, and the Beck Depression Inventory, a more detailed twenty</w:t>
      </w:r>
      <w:r w:rsidRPr="004002E2">
        <w:noBreakHyphen/>
        <w:t>one</w:t>
      </w:r>
      <w:r w:rsidRPr="004002E2">
        <w:noBreakHyphen/>
        <w:t xml:space="preserve">item questionnaire, provide quantifiable indicators of symptom </w:t>
      </w:r>
      <w:r w:rsidRPr="004002E2">
        <w:lastRenderedPageBreak/>
        <w:t>severity and behavioural manifestations. Individuals may also engage in self</w:t>
      </w:r>
      <w:r w:rsidRPr="004002E2">
        <w:noBreakHyphen/>
        <w:t>monitoring practices, maintaining written records of daily triggers, emotional states, and thought patterns to enhance insight and support therapeutic decision</w:t>
      </w:r>
      <w:r w:rsidRPr="004002E2">
        <w:noBreakHyphen/>
        <w:t>making.</w:t>
      </w:r>
    </w:p>
    <w:p w14:paraId="21940C01" w14:textId="0CEEAC7E" w:rsidR="004002E2" w:rsidRPr="004002E2" w:rsidRDefault="004002E2" w:rsidP="004002E2">
      <w:r w:rsidRPr="004002E2">
        <w:t>Behavioural and passive monitoring approaches further contribute to comprehensive assessment. Activity logging encourages individuals to document daily tasks and evaluate them in terms of pleasure and mastery, helping to counteract negative cognitive biases. Advances in digital phenotyping</w:t>
      </w:r>
      <w:r w:rsidR="00A51669">
        <w:t xml:space="preserve"> </w:t>
      </w:r>
      <w:r w:rsidRPr="004002E2">
        <w:t>using data from smartphones and wearable devices</w:t>
      </w:r>
      <w:r w:rsidR="00287039">
        <w:t xml:space="preserve"> </w:t>
      </w:r>
      <w:r w:rsidRPr="004002E2">
        <w:t xml:space="preserve">enable passive tracking of sleep rhythms, movement patterns, and social behaviours, an approach supported by contemporary research published in </w:t>
      </w:r>
      <w:r w:rsidRPr="004002E2">
        <w:rPr>
          <w:i/>
          <w:iCs/>
        </w:rPr>
        <w:t>Nature</w:t>
      </w:r>
      <w:r w:rsidRPr="004002E2">
        <w:t xml:space="preserve"> on remote sensing technologies. In addition, regular clinical reviews, as recommended by guidelines such as those provided by NICE, ensure ongoing evaluation of safety, risk, and the presence of suicidal ideation.</w:t>
      </w:r>
      <w:r>
        <w:t xml:space="preserve"> </w:t>
      </w:r>
    </w:p>
    <w:p w14:paraId="3002E045" w14:textId="72E54830" w:rsidR="00797886" w:rsidRPr="009A3D39" w:rsidRDefault="00C139D1" w:rsidP="00C139D1">
      <w:pPr>
        <w:pStyle w:val="Subtitle"/>
        <w:rPr>
          <w:color w:val="153D63" w:themeColor="text2" w:themeTint="E6"/>
        </w:rPr>
      </w:pPr>
      <w:r w:rsidRPr="009A3D39">
        <w:rPr>
          <w:color w:val="153D63" w:themeColor="text2" w:themeTint="E6"/>
        </w:rPr>
        <w:t xml:space="preserve">2.2 </w:t>
      </w:r>
      <w:r w:rsidR="00797886" w:rsidRPr="009A3D39">
        <w:rPr>
          <w:color w:val="153D63" w:themeColor="text2" w:themeTint="E6"/>
        </w:rPr>
        <w:t>Prevention and Control of Depression</w:t>
      </w:r>
    </w:p>
    <w:p w14:paraId="6F29C1F6" w14:textId="5EE1C60B" w:rsidR="00797886" w:rsidRDefault="00797886" w:rsidP="00FD6494">
      <w:r w:rsidRPr="00797886">
        <w:t>At a wider UK level, prevention also involves promoting mental wellbeing, encouraging people to seek support early, improving access to mental-health services and addressing factors such as social isolation and health inequalities. NICE highlights early support and community-based approaches as important parts of promoting mental wellbeing and preventing mental-health problems</w:t>
      </w:r>
      <w:r>
        <w:t xml:space="preserve"> (NICE, 2026).</w:t>
      </w:r>
    </w:p>
    <w:p w14:paraId="60BE12D8" w14:textId="2B787494" w:rsidR="00FD6494" w:rsidRPr="00FD6494" w:rsidRDefault="00FD6494" w:rsidP="00FD6494">
      <w:r w:rsidRPr="00FD6494">
        <w:t>Managing depression requires an integrated approach that combines evidence</w:t>
      </w:r>
      <w:r w:rsidRPr="00FD6494">
        <w:noBreakHyphen/>
        <w:t>based clinical interventions with supportive psychological therapies and consistent self</w:t>
      </w:r>
      <w:r w:rsidRPr="00FD6494">
        <w:noBreakHyphen/>
        <w:t>care practices. Treatment plans are typically adapted to the severity and pattern of an individual’s symptoms, and anyone experiencing acute distress or requiring urgent guidance should seek immediate support from local NHS mental health services or contact emergency advice lines</w:t>
      </w:r>
      <w:r w:rsidR="00C139D1">
        <w:t xml:space="preserve"> (NICE, 2022).</w:t>
      </w:r>
    </w:p>
    <w:p w14:paraId="76E5D4F6" w14:textId="6D3CBB53" w:rsidR="00FD6494" w:rsidRPr="00FD6494" w:rsidRDefault="00FD6494" w:rsidP="00FD6494">
      <w:r w:rsidRPr="00FD6494">
        <w:t>Psychological therapies such as cognitive behavioural therapy and behavioural activation aim to modify unhelpful cognitive processes and re</w:t>
      </w:r>
      <w:r w:rsidRPr="00FD6494">
        <w:noBreakHyphen/>
        <w:t>establish constructive routines. Pharmacological treatment, most commonly through selective serotonin reuptake inhibitors</w:t>
      </w:r>
      <w:r w:rsidR="00287039">
        <w:t xml:space="preserve"> SSRIs</w:t>
      </w:r>
      <w:r w:rsidRPr="00FD6494">
        <w:t xml:space="preserve"> or other antidepressant medications, is used to regulate neurochemical processes associated with mood. For individuals with moderate to severe or persistent depression, a combination of psychotherapy and medication often yields the most substantial clinical improvement</w:t>
      </w:r>
      <w:r w:rsidR="00C139D1">
        <w:t xml:space="preserve"> (NICE, 2022)</w:t>
      </w:r>
      <w:r w:rsidRPr="00FD6494">
        <w:t>. In cases where symptoms do not respond to conventional treatment, more advanced interventions</w:t>
      </w:r>
      <w:r w:rsidR="00C139D1">
        <w:t xml:space="preserve"> </w:t>
      </w:r>
      <w:r w:rsidRPr="00FD6494">
        <w:t>including electroconvulsive therapy or transcranial magnetic stimulation—may be considered within specialist care settings.</w:t>
      </w:r>
    </w:p>
    <w:p w14:paraId="11B62015" w14:textId="7A12B36B" w:rsidR="001D1A3B" w:rsidRDefault="00FD6494">
      <w:r w:rsidRPr="00FD6494">
        <w:t>Daily lifestyle practices also play a crucial role in supporting recovery and maintaining emotional stability. Regular physical activity</w:t>
      </w:r>
      <w:r w:rsidR="00A51669">
        <w:t>, e</w:t>
      </w:r>
      <w:r w:rsidRPr="00FD6494">
        <w:t xml:space="preserve">stablishing consistent sleep routines helps restore cognitive and physical functioning. Avoiding alcohol and recreational drugs is essential, as these substances can exacerbate depressive symptoms and </w:t>
      </w:r>
      <w:r w:rsidRPr="00FD6494">
        <w:lastRenderedPageBreak/>
        <w:t>interfere with therapeutic progress. Maintaining social contact and engaging with trusted individuals or support networks further reduces isolation and strengthens emotional resilience.</w:t>
      </w:r>
    </w:p>
    <w:p w14:paraId="47FAF2D5" w14:textId="37BFF845" w:rsidR="002203DB" w:rsidRPr="009A3D39" w:rsidRDefault="00497E3A" w:rsidP="000F1651">
      <w:pPr>
        <w:pStyle w:val="Subtitle"/>
        <w:rPr>
          <w:color w:val="153D63" w:themeColor="text2" w:themeTint="E6"/>
        </w:rPr>
      </w:pPr>
      <w:r w:rsidRPr="009A3D39">
        <w:rPr>
          <w:color w:val="153D63" w:themeColor="text2" w:themeTint="E6"/>
        </w:rPr>
        <w:t xml:space="preserve"> </w:t>
      </w:r>
      <w:r w:rsidR="000F1651" w:rsidRPr="009A3D39">
        <w:rPr>
          <w:color w:val="153D63" w:themeColor="text2" w:themeTint="E6"/>
        </w:rPr>
        <w:t>2.3 Consequences of Depression for Individuals and the Community</w:t>
      </w:r>
    </w:p>
    <w:p w14:paraId="3AFED549" w14:textId="77777777" w:rsidR="00287039" w:rsidRDefault="005C7042" w:rsidP="00287039">
      <w:r w:rsidRPr="005C7042">
        <w:t>Untreated depression is associated with profound and enduring consequences that extend across physical health, psychological functioning, and social well</w:t>
      </w:r>
      <w:r w:rsidRPr="005C7042">
        <w:noBreakHyphen/>
        <w:t xml:space="preserve">being. </w:t>
      </w:r>
      <w:r w:rsidR="00287039">
        <w:t>T</w:t>
      </w:r>
      <w:r w:rsidRPr="005C7042">
        <w:t xml:space="preserve">he condition can contribute to the development of chronic medical problems, including cardiovascular disease and type 2 diabetes, often emerging through weight fluctuations, obesity, and broader metabolic disturbances. </w:t>
      </w:r>
    </w:p>
    <w:p w14:paraId="273A65F4" w14:textId="6D30F9B2" w:rsidR="00287039" w:rsidRDefault="00287039" w:rsidP="00287039">
      <w:r>
        <w:t>Also, depression can have significant social and economic consequences for people in the community. Campbell et al. (2022), found that depression is associated with non-employment, sickness or disability, reduced working hours and lower income, suggesting that depression can affect an individual’s ability to participate in employment and maintain financial independence. This is supported by the Office for National Statistics (ONS), which found that adults experiencing moderate-to-severe depressive symptoms were more likely to experience financial difficulties, including problems paying rent or mortgages. These findings demonstrate that depression can extend beyond an individual’s mental health and contribute to wider socioeconomic difficulties within the community.</w:t>
      </w:r>
    </w:p>
    <w:p w14:paraId="56BC3A27" w14:textId="555FD212" w:rsidR="00287039" w:rsidRPr="005C7042" w:rsidRDefault="00287039" w:rsidP="005C7042">
      <w:r>
        <w:t>Depression can also have consequences for quality of life, productivity and healthcare services.</w:t>
      </w:r>
      <w:r w:rsidR="0049552E">
        <w:t xml:space="preserve"> Rathod et al (2022)</w:t>
      </w:r>
      <w:r>
        <w:t xml:space="preserve"> found that depression was associated with poorer health-related quality of life and reduced work productivity, with a greater impact among people with treatment-resistant depression. In addition, a large UK population study involving 110,406 people found that depression was associated with increased use of healthcare services, including primary-care appointments, emergency attendances and hospitalisations</w:t>
      </w:r>
      <w:r w:rsidR="0049552E">
        <w:t xml:space="preserve"> (Pappa et al., 2024)</w:t>
      </w:r>
      <w:r>
        <w:t>. The</w:t>
      </w:r>
      <w:r w:rsidR="0049552E">
        <w:t>se</w:t>
      </w:r>
      <w:r>
        <w:t xml:space="preserve"> researchers found higher healthcare costs among people with treatment-resistant depression. Overall, this evidence suggests that depression can create a substantial burden not only for individuals and their families, but also for employers, healthcare services and the wider community.</w:t>
      </w:r>
      <w:r w:rsidRPr="005C7042">
        <w:t xml:space="preserve"> </w:t>
      </w:r>
    </w:p>
    <w:p w14:paraId="140BAC9A" w14:textId="75BB18AE" w:rsidR="000F1651" w:rsidRPr="009A3D39" w:rsidRDefault="000F1651" w:rsidP="000F1651">
      <w:pPr>
        <w:pStyle w:val="Subtitle"/>
        <w:rPr>
          <w:color w:val="153D63" w:themeColor="text2" w:themeTint="E6"/>
        </w:rPr>
      </w:pPr>
      <w:r w:rsidRPr="009A3D39">
        <w:rPr>
          <w:color w:val="153D63" w:themeColor="text2" w:themeTint="E6"/>
        </w:rPr>
        <w:t>2.4 Health and Social Care Support for People with Depression</w:t>
      </w:r>
    </w:p>
    <w:p w14:paraId="1B3EC9E2" w14:textId="6D092CE1" w:rsidR="00516878" w:rsidRPr="00516878" w:rsidRDefault="00516878" w:rsidP="00516878">
      <w:r w:rsidRPr="00516878">
        <w:t>Social support functions as a significant protective factor in relation to depression, with extensive evidence from sources such as PMC and JAMA Network indicating that strong emotional, practical, and social connections can reduce the likelihood of developing depressive symptoms, alleviate loneliness, and lessen overall symptom severity. Individuals who require urgent mental health assistance in the UK are advised to seek immediate guidance through NHS services.</w:t>
      </w:r>
    </w:p>
    <w:p w14:paraId="52D3983A" w14:textId="25B14A96" w:rsidR="00516878" w:rsidRPr="00516878" w:rsidRDefault="00516878" w:rsidP="00516878">
      <w:r w:rsidRPr="00516878">
        <w:lastRenderedPageBreak/>
        <w:t>Social support encompasses several interrelated forms. Emotional support involves the provision of empathy, understanding, and validation from close relationships. Practical or tangible assistance refers to help with everyday tasks, financial pressures, or other concrete needs. Informational support includes the sharing of advice, guidance, or access to professional resources. Positive social interaction contributes to well</w:t>
      </w:r>
      <w:r w:rsidRPr="00516878">
        <w:noBreakHyphen/>
        <w:t>being by enabling enjoyable or relaxing shared experiences</w:t>
      </w:r>
      <w:r w:rsidR="00187DD6">
        <w:t xml:space="preserve"> (NICE, 2023).</w:t>
      </w:r>
    </w:p>
    <w:p w14:paraId="1A83C619" w14:textId="77777777" w:rsidR="00516878" w:rsidRPr="00516878" w:rsidRDefault="00516878" w:rsidP="00516878">
      <w:r w:rsidRPr="00516878">
        <w:t>These forms of support exert measurable effects on both psychological and neurobiological processes. Supportive relationships help to moderate stress responses, reducing the physiological burden associated with chronic stress. They also stimulate the release of neurochemicals such as oxytocin and dopamine, which enhance mood and promote feelings of safety and connection. Furthermore, strong social networks mitigate loneliness and counteract negative self</w:t>
      </w:r>
      <w:r w:rsidRPr="00516878">
        <w:noBreakHyphen/>
        <w:t>evaluation, thereby supporting emotional resilience.</w:t>
      </w:r>
    </w:p>
    <w:p w14:paraId="4C5360C8" w14:textId="66FB6FD4" w:rsidR="00516878" w:rsidRPr="00516878" w:rsidRDefault="00516878" w:rsidP="00516878">
      <w:r w:rsidRPr="00516878">
        <w:t>The sources of social support vary across different stages of life. For children and adolescents, parents, caregivers, and teachers provide essential relational stability. In adulthood, partners, close relatives, and friends typically form the core support system. For older adults, long</w:t>
      </w:r>
      <w:r w:rsidRPr="00516878">
        <w:noBreakHyphen/>
        <w:t>standing friendships and family caregivers play a crucial role in sustaining psychological and emotional well</w:t>
      </w:r>
      <w:r w:rsidRPr="00516878">
        <w:noBreakHyphen/>
        <w:t>being.</w:t>
      </w:r>
      <w:r>
        <w:t xml:space="preserve"> </w:t>
      </w:r>
    </w:p>
    <w:p w14:paraId="1203FFC5" w14:textId="77777777" w:rsidR="00516878" w:rsidRPr="005C7042" w:rsidRDefault="00516878" w:rsidP="005C7042"/>
    <w:p w14:paraId="0BF4C100" w14:textId="1F17A1CF" w:rsidR="00BD3D8B" w:rsidRDefault="00187DD6" w:rsidP="00B4761F">
      <w:pPr>
        <w:pStyle w:val="Heading1"/>
      </w:pPr>
      <w:bookmarkStart w:id="2" w:name="_Toc237891941"/>
      <w:r>
        <w:t xml:space="preserve">3.0 </w:t>
      </w:r>
      <w:r w:rsidR="00B4761F" w:rsidRPr="008A732E">
        <w:t>CONCLUSION</w:t>
      </w:r>
      <w:bookmarkEnd w:id="2"/>
      <w:r w:rsidR="00B4761F" w:rsidRPr="008A732E">
        <w:t xml:space="preserve"> </w:t>
      </w:r>
    </w:p>
    <w:p w14:paraId="70E1303A" w14:textId="1BB85661" w:rsidR="006D62D1" w:rsidRDefault="007B60FB">
      <w:r>
        <w:t>Social</w:t>
      </w:r>
      <w:r w:rsidRPr="007B60FB">
        <w:t xml:space="preserve"> support is a fundamental protective factor in the prevention and management of depression, exerting measurable influence on emotional, cognitive, and neurobiological functioning. Evidence from leading research platforms demonstrates that supportive relationships reduce stress, enhance positive neurotransmitter activity, and mitigate the effects of loneliness, thereby strengthening psychological resilience. Across the lifespan, the availability and quality of social support</w:t>
      </w:r>
      <w:r w:rsidR="00287039">
        <w:t xml:space="preserve"> </w:t>
      </w:r>
      <w:r w:rsidRPr="007B60FB">
        <w:t>from caregivers in childhood to partners, friends, and family in adulthood and later life</w:t>
      </w:r>
      <w:r w:rsidR="00287039">
        <w:t xml:space="preserve"> </w:t>
      </w:r>
      <w:r w:rsidRPr="007B60FB">
        <w:t>play a crucial role in shaping mental health outcomes. These interpersonal resources not only buffer individuals against the onset of depressive symptoms but also contribute to improved recovery trajectories for those already experiencing the condition. Understanding the multifaceted role of social support is therefore essential for developing effective clinical interventions, informing public health strategies, and promoting long</w:t>
      </w:r>
      <w:r w:rsidRPr="007B60FB">
        <w:noBreakHyphen/>
        <w:t>term well</w:t>
      </w:r>
      <w:r w:rsidRPr="007B60FB">
        <w:noBreakHyphen/>
        <w:t>being within diverse populations.</w:t>
      </w:r>
    </w:p>
    <w:p w14:paraId="5B74AC7D" w14:textId="77777777" w:rsidR="006D62D1" w:rsidRDefault="006D62D1"/>
    <w:p w14:paraId="6D0DA15B" w14:textId="77777777" w:rsidR="006D62D1" w:rsidRDefault="006D62D1"/>
    <w:p w14:paraId="35FF6217" w14:textId="77777777" w:rsidR="006D62D1" w:rsidRDefault="006D62D1"/>
    <w:p w14:paraId="5614F223" w14:textId="77777777" w:rsidR="005A2AB7" w:rsidRDefault="005A2AB7" w:rsidP="00DC0701">
      <w:pPr>
        <w:pStyle w:val="Heading1"/>
      </w:pPr>
      <w:bookmarkStart w:id="3" w:name="_Toc237891942"/>
      <w:r>
        <w:lastRenderedPageBreak/>
        <w:t>REFERENCES</w:t>
      </w:r>
      <w:bookmarkEnd w:id="3"/>
    </w:p>
    <w:p w14:paraId="44297188" w14:textId="25AEBD54" w:rsidR="001E1C50" w:rsidRDefault="005A2AB7">
      <w:r w:rsidRPr="005A2AB7">
        <w:t>Bernard, J.E.R., 2018. Depression: A review of its definition. MOJ Addict Med Ther, 5(1), pp.6-7.</w:t>
      </w:r>
      <w:r>
        <w:t xml:space="preserve"> </w:t>
      </w:r>
      <w:hyperlink r:id="rId9" w:history="1">
        <w:r w:rsidRPr="005A2AB7">
          <w:rPr>
            <w:rStyle w:val="Hyperlink"/>
          </w:rPr>
          <w:t>Depression: a review of its definition</w:t>
        </w:r>
      </w:hyperlink>
    </w:p>
    <w:p w14:paraId="06E0CDF8" w14:textId="1B83ED66" w:rsidR="00287039" w:rsidRDefault="00287039">
      <w:r w:rsidRPr="00287039">
        <w:t>Campbell, D., Green, M.J., Davies, N., Demou, E., Howe, L.D., Harrison, S., Smith, D.J., Howard, D.M., McIntosh, A.M., Munafò, M. and Katikireddi, S.V. (2022) ‘Effects of depression on employment and social outcomes: a Mendelian randomisation study’, Journal of Epidemiology and Community Health, 76(6), pp. 563–571. doi: 10.1136/jech-2021-218074</w:t>
      </w:r>
      <w:r>
        <w:t xml:space="preserve"> </w:t>
      </w:r>
    </w:p>
    <w:p w14:paraId="13153DDE" w14:textId="2C9B31D4" w:rsidR="001E1C50" w:rsidRDefault="001E1C50">
      <w:r>
        <w:t>NHS England (2025) Digital</w:t>
      </w:r>
      <w:r w:rsidR="000835B7">
        <w:t>.</w:t>
      </w:r>
      <w:r>
        <w:t xml:space="preserve"> Available at: </w:t>
      </w:r>
      <w:hyperlink r:id="rId10" w:history="1">
        <w:r w:rsidRPr="00D50221">
          <w:rPr>
            <w:rStyle w:val="Hyperlink"/>
          </w:rPr>
          <w:t>https://digital.nhs.uk/data-and-information/publications/statistical/adult-psychiatric-morbidity-survey/survey-of-mental-health-and-wellbeing-england-2023-24/common-mental-health-conditions</w:t>
        </w:r>
      </w:hyperlink>
      <w:r>
        <w:t xml:space="preserve"> (Accessed 15 August 2026).</w:t>
      </w:r>
    </w:p>
    <w:p w14:paraId="43A90A2E" w14:textId="4C85B8E2" w:rsidR="00C139D1" w:rsidRDefault="00C139D1">
      <w:r>
        <w:t>NICE (2022</w:t>
      </w:r>
      <w:r w:rsidRPr="000F1651">
        <w:rPr>
          <w:i/>
          <w:iCs/>
        </w:rPr>
        <w:t>)</w:t>
      </w:r>
      <w:r w:rsidR="000F1651">
        <w:rPr>
          <w:i/>
          <w:iCs/>
        </w:rPr>
        <w:t>.</w:t>
      </w:r>
      <w:r w:rsidRPr="000F1651">
        <w:rPr>
          <w:i/>
          <w:iCs/>
        </w:rPr>
        <w:t xml:space="preserve"> </w:t>
      </w:r>
      <w:r w:rsidR="000F1651" w:rsidRPr="000F1651">
        <w:rPr>
          <w:i/>
          <w:iCs/>
        </w:rPr>
        <w:t>Depression in Adults: Treatment and Management</w:t>
      </w:r>
      <w:r w:rsidR="000F1651">
        <w:rPr>
          <w:i/>
          <w:iCs/>
        </w:rPr>
        <w:t>.</w:t>
      </w:r>
      <w:r w:rsidR="000F1651">
        <w:t xml:space="preserve"> </w:t>
      </w:r>
      <w:r>
        <w:t xml:space="preserve">Available at: </w:t>
      </w:r>
      <w:hyperlink r:id="rId11" w:history="1">
        <w:r w:rsidR="000F1651" w:rsidRPr="00D50221">
          <w:rPr>
            <w:rStyle w:val="Hyperlink"/>
          </w:rPr>
          <w:t>https://www.nice.org.uk/guidance/ng222/chapter/Recommendations</w:t>
        </w:r>
      </w:hyperlink>
      <w:r w:rsidRPr="00C139D1">
        <w:t>?</w:t>
      </w:r>
      <w:r>
        <w:t xml:space="preserve"> (Accessed 16 August 2026).</w:t>
      </w:r>
    </w:p>
    <w:p w14:paraId="52A2A187" w14:textId="28D9637C" w:rsidR="000F1651" w:rsidRDefault="000F1651">
      <w:r>
        <w:t>NICE (2025)</w:t>
      </w:r>
      <w:r w:rsidR="00696C54">
        <w:t>.</w:t>
      </w:r>
      <w:r>
        <w:t xml:space="preserve"> </w:t>
      </w:r>
      <w:r w:rsidRPr="000F1651">
        <w:rPr>
          <w:i/>
          <w:iCs/>
        </w:rPr>
        <w:t>Depression</w:t>
      </w:r>
      <w:r w:rsidR="00EA7B9E">
        <w:rPr>
          <w:i/>
          <w:iCs/>
        </w:rPr>
        <w:t>:</w:t>
      </w:r>
      <w:r w:rsidRPr="000F1651">
        <w:rPr>
          <w:i/>
          <w:iCs/>
        </w:rPr>
        <w:t xml:space="preserve"> What are the complications?</w:t>
      </w:r>
      <w:r>
        <w:t xml:space="preserve">  Available at: </w:t>
      </w:r>
      <w:hyperlink r:id="rId12" w:history="1">
        <w:r w:rsidRPr="00D50221">
          <w:rPr>
            <w:rStyle w:val="Hyperlink"/>
          </w:rPr>
          <w:t>https://cks.nice.org.uk/topics/depression/background-information/complications/</w:t>
        </w:r>
      </w:hyperlink>
      <w:r>
        <w:t xml:space="preserve"> (Accessed 16 August 2026).</w:t>
      </w:r>
    </w:p>
    <w:p w14:paraId="7F1C5825" w14:textId="4769EAE5" w:rsidR="00797886" w:rsidRDefault="00797886">
      <w:r>
        <w:t>NICE (2026)</w:t>
      </w:r>
      <w:r w:rsidR="00696C54">
        <w:t>.</w:t>
      </w:r>
      <w:r w:rsidRPr="00797886">
        <w:t xml:space="preserve"> </w:t>
      </w:r>
      <w:r w:rsidRPr="00797886">
        <w:rPr>
          <w:i/>
          <w:iCs/>
        </w:rPr>
        <w:t>Mental wellbeing, suicide prevention and community engagement.</w:t>
      </w:r>
      <w:r>
        <w:t xml:space="preserve"> Available at: </w:t>
      </w:r>
      <w:hyperlink r:id="rId13" w:history="1">
        <w:r w:rsidRPr="00D50221">
          <w:rPr>
            <w:rStyle w:val="Hyperlink"/>
          </w:rPr>
          <w:t>https://stpsupport.nice.org.uk/mental-wellbeing-suicide-prevention-community-engagement/index.html</w:t>
        </w:r>
      </w:hyperlink>
      <w:r>
        <w:t xml:space="preserve"> Accessed (Accessed 15 August 2026).</w:t>
      </w:r>
    </w:p>
    <w:p w14:paraId="0D070EE6" w14:textId="536F9DBD" w:rsidR="00EA7B9E" w:rsidRDefault="00EA7B9E">
      <w:r>
        <w:t xml:space="preserve">NICE (2023). </w:t>
      </w:r>
      <w:r w:rsidRPr="00EA7B9E">
        <w:rPr>
          <w:i/>
          <w:iCs/>
        </w:rPr>
        <w:t>Treatment - Depression in adults.</w:t>
      </w:r>
      <w:r>
        <w:t xml:space="preserve"> Available at: </w:t>
      </w:r>
      <w:hyperlink r:id="rId14" w:history="1">
        <w:r w:rsidRPr="00D50221">
          <w:rPr>
            <w:rStyle w:val="Hyperlink"/>
          </w:rPr>
          <w:t>https://www.nhs.uk/mental-health/conditions/depression-in-adults/treatment/</w:t>
        </w:r>
      </w:hyperlink>
      <w:r w:rsidRPr="00EA7B9E">
        <w:t>?</w:t>
      </w:r>
      <w:r>
        <w:t xml:space="preserve"> (Accsessed: 16 August 2026).</w:t>
      </w:r>
    </w:p>
    <w:p w14:paraId="6F27F53D" w14:textId="638ECB9D" w:rsidR="00287039" w:rsidRDefault="00287039">
      <w:r w:rsidRPr="00287039">
        <w:t xml:space="preserve">Office for National Statistics (2022) </w:t>
      </w:r>
      <w:r w:rsidRPr="00287039">
        <w:rPr>
          <w:i/>
          <w:iCs/>
        </w:rPr>
        <w:t>Cost of living and depression in adults, Great Britain: 29 September to 23 October 2022</w:t>
      </w:r>
      <w:r w:rsidRPr="00287039">
        <w:t>. London: Office for National Statistics</w:t>
      </w:r>
      <w:r>
        <w:t xml:space="preserve">. Available at: </w:t>
      </w:r>
      <w:hyperlink r:id="rId15" w:history="1">
        <w:r w:rsidRPr="00D50221">
          <w:rPr>
            <w:rStyle w:val="Hyperlink"/>
          </w:rPr>
          <w:t>https://www.ons.gov.uk/peoplepopulationandcommunity/healthandsocialcare/mentalhealth/articles/costoflivinganddepressioninadultsgreatbritain/latest</w:t>
        </w:r>
      </w:hyperlink>
      <w:r w:rsidRPr="00287039">
        <w:t>?</w:t>
      </w:r>
      <w:r>
        <w:t xml:space="preserve"> (Accsessed: 16 August 2026).</w:t>
      </w:r>
    </w:p>
    <w:p w14:paraId="0F371022" w14:textId="216B9C2D" w:rsidR="0049552E" w:rsidRDefault="0049552E">
      <w:r>
        <w:t>Pappa, S., Shah, M., Young, S., Anwar, T. and Ming, T. (2024) ‘Health-care utilisation and associated economic burden in major depressive disorder and treatment-resistant depression in a longitudinal population-based cohort study of 110.000 patients’, Journal of Psychiatric Research, 180, pp. 511–518. doi: 10.1016/j.jpsychires.2024.11.022</w:t>
      </w:r>
    </w:p>
    <w:p w14:paraId="7E6B8430" w14:textId="2544FD92" w:rsidR="0049552E" w:rsidRDefault="0049552E" w:rsidP="0049552E">
      <w:r>
        <w:t>Rathod, S., Denee, T., Eva, J., Kerr, C., Jacobsen, N., Desai, M., Baldock, L. and Young, A.H. (2022) ‘Health-related quality of life burden associated with treatment-resistant depression in UK patients: quantitative results from a mixed-methods non-</w:t>
      </w:r>
      <w:r>
        <w:lastRenderedPageBreak/>
        <w:t>interventional study’, Journal of Affective Disorders, 300, pp. 551–562. doi: 10.1016/j.jad.2021.12.090.</w:t>
      </w:r>
    </w:p>
    <w:p w14:paraId="40CA7BA4" w14:textId="11F74049" w:rsidR="005A2AB7" w:rsidRPr="001E1C50" w:rsidRDefault="00792FA3">
      <w:r>
        <w:t>WHO</w:t>
      </w:r>
      <w:r w:rsidR="001E1C50">
        <w:t xml:space="preserve"> (2025)</w:t>
      </w:r>
      <w:r w:rsidR="00696C54">
        <w:t>.</w:t>
      </w:r>
      <w:r w:rsidR="001E1C50">
        <w:t xml:space="preserve"> Depressive disorder</w:t>
      </w:r>
      <w:r w:rsidR="000835B7">
        <w:t>.</w:t>
      </w:r>
      <w:r w:rsidR="001E1C50">
        <w:t xml:space="preserve"> Available at: </w:t>
      </w:r>
      <w:hyperlink r:id="rId16" w:history="1">
        <w:r w:rsidR="001E1C50" w:rsidRPr="001E1C50">
          <w:rPr>
            <w:rStyle w:val="Hyperlink"/>
          </w:rPr>
          <w:t>Depressive disorder (depression)</w:t>
        </w:r>
      </w:hyperlink>
      <w:r w:rsidR="001E1C50">
        <w:t xml:space="preserve"> (Accessed 15 August 2026).</w:t>
      </w:r>
    </w:p>
    <w:p w14:paraId="252EB7BF" w14:textId="5D2E8014" w:rsidR="005A2AB7" w:rsidRPr="00F415EC" w:rsidRDefault="001E1C50">
      <w:pPr>
        <w:rPr>
          <w:lang w:val="nl-NL"/>
        </w:rPr>
      </w:pPr>
      <w:r w:rsidRPr="001E1C50">
        <w:t xml:space="preserve">Wainberg, Michael, Kloiber, Stefan, Diniz, Breno, McIntyre, Roger S., Felsky, Daniel and Tripathy, Shreejoy J. (2021) ‘Clinical laboratory tests and five-year incidence of major depressive disorder: a prospective cohort study of 433,890 participants from the UK Biobank’, </w:t>
      </w:r>
      <w:r w:rsidRPr="001E1C50">
        <w:rPr>
          <w:i/>
          <w:iCs/>
        </w:rPr>
        <w:t>Translational Psychiatry</w:t>
      </w:r>
      <w:r w:rsidRPr="001E1C50">
        <w:t xml:space="preserve">, 11(1), p. 380. Available at: </w:t>
      </w:r>
      <w:hyperlink r:id="rId17" w:tgtFrame="_blank" w:history="1">
        <w:r w:rsidRPr="001E1C50">
          <w:rPr>
            <w:rStyle w:val="Hyperlink"/>
          </w:rPr>
          <w:t>https://doi.org/10.1038/s41398-021-01505-5</w:t>
        </w:r>
      </w:hyperlink>
    </w:p>
    <w:sectPr w:rsidR="005A2AB7" w:rsidRPr="00F415E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C678F" w14:textId="77777777" w:rsidR="00A51024" w:rsidRDefault="00A51024" w:rsidP="00187DD6">
      <w:pPr>
        <w:spacing w:after="0" w:line="240" w:lineRule="auto"/>
      </w:pPr>
      <w:r>
        <w:separator/>
      </w:r>
    </w:p>
  </w:endnote>
  <w:endnote w:type="continuationSeparator" w:id="0">
    <w:p w14:paraId="53557388" w14:textId="77777777" w:rsidR="00A51024" w:rsidRDefault="00A51024" w:rsidP="00187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002142"/>
      <w:docPartObj>
        <w:docPartGallery w:val="Page Numbers (Bottom of Page)"/>
        <w:docPartUnique/>
      </w:docPartObj>
    </w:sdtPr>
    <w:sdtEndPr>
      <w:rPr>
        <w:noProof/>
      </w:rPr>
    </w:sdtEndPr>
    <w:sdtContent>
      <w:p w14:paraId="7F0DCD9F" w14:textId="3E2C9634" w:rsidR="00187DD6" w:rsidRDefault="00187D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F86FF" w14:textId="77777777" w:rsidR="00187DD6" w:rsidRDefault="0018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DCAFE" w14:textId="77777777" w:rsidR="00A51024" w:rsidRDefault="00A51024" w:rsidP="00187DD6">
      <w:pPr>
        <w:spacing w:after="0" w:line="240" w:lineRule="auto"/>
      </w:pPr>
      <w:r>
        <w:separator/>
      </w:r>
    </w:p>
  </w:footnote>
  <w:footnote w:type="continuationSeparator" w:id="0">
    <w:p w14:paraId="15A8AE78" w14:textId="77777777" w:rsidR="00A51024" w:rsidRDefault="00A51024" w:rsidP="00187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D4F60"/>
    <w:multiLevelType w:val="multilevel"/>
    <w:tmpl w:val="B2FA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6321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B7"/>
    <w:rsid w:val="00034438"/>
    <w:rsid w:val="00036EE7"/>
    <w:rsid w:val="00051AA9"/>
    <w:rsid w:val="000835B7"/>
    <w:rsid w:val="000B7AC6"/>
    <w:rsid w:val="000B7F15"/>
    <w:rsid w:val="000F1651"/>
    <w:rsid w:val="00125E0E"/>
    <w:rsid w:val="00187DD6"/>
    <w:rsid w:val="001A2038"/>
    <w:rsid w:val="001B30AF"/>
    <w:rsid w:val="001B3A27"/>
    <w:rsid w:val="001D1A3B"/>
    <w:rsid w:val="001E1C50"/>
    <w:rsid w:val="00215A04"/>
    <w:rsid w:val="002203DB"/>
    <w:rsid w:val="002260A4"/>
    <w:rsid w:val="00237F07"/>
    <w:rsid w:val="00252DA5"/>
    <w:rsid w:val="00287039"/>
    <w:rsid w:val="00292949"/>
    <w:rsid w:val="00296D96"/>
    <w:rsid w:val="00296E69"/>
    <w:rsid w:val="002C2EF7"/>
    <w:rsid w:val="002F1288"/>
    <w:rsid w:val="00317E18"/>
    <w:rsid w:val="00365183"/>
    <w:rsid w:val="004002E2"/>
    <w:rsid w:val="00451BB3"/>
    <w:rsid w:val="0049552E"/>
    <w:rsid w:val="00497E3A"/>
    <w:rsid w:val="004D706A"/>
    <w:rsid w:val="004E2F93"/>
    <w:rsid w:val="00515DE4"/>
    <w:rsid w:val="00516878"/>
    <w:rsid w:val="00517BB3"/>
    <w:rsid w:val="0053216F"/>
    <w:rsid w:val="00561F76"/>
    <w:rsid w:val="005662FD"/>
    <w:rsid w:val="00576540"/>
    <w:rsid w:val="00582C1A"/>
    <w:rsid w:val="00597855"/>
    <w:rsid w:val="005A2228"/>
    <w:rsid w:val="005A2AB7"/>
    <w:rsid w:val="005B125C"/>
    <w:rsid w:val="005C7042"/>
    <w:rsid w:val="0060511E"/>
    <w:rsid w:val="00613FB8"/>
    <w:rsid w:val="00617258"/>
    <w:rsid w:val="00627BCC"/>
    <w:rsid w:val="00634881"/>
    <w:rsid w:val="006416B1"/>
    <w:rsid w:val="0066151F"/>
    <w:rsid w:val="00674AA2"/>
    <w:rsid w:val="00696C54"/>
    <w:rsid w:val="006A4F5B"/>
    <w:rsid w:val="006D62D1"/>
    <w:rsid w:val="006E2969"/>
    <w:rsid w:val="006E6A52"/>
    <w:rsid w:val="006E6E1C"/>
    <w:rsid w:val="00717B58"/>
    <w:rsid w:val="007266D9"/>
    <w:rsid w:val="00751AAC"/>
    <w:rsid w:val="00755BEF"/>
    <w:rsid w:val="00792FA3"/>
    <w:rsid w:val="00797886"/>
    <w:rsid w:val="007A36CD"/>
    <w:rsid w:val="007A70A4"/>
    <w:rsid w:val="007B60FB"/>
    <w:rsid w:val="007E1FA0"/>
    <w:rsid w:val="008651CF"/>
    <w:rsid w:val="008A732E"/>
    <w:rsid w:val="008B60E4"/>
    <w:rsid w:val="00904DDB"/>
    <w:rsid w:val="009168E6"/>
    <w:rsid w:val="009966DA"/>
    <w:rsid w:val="009A3D39"/>
    <w:rsid w:val="009B076A"/>
    <w:rsid w:val="009B3E5C"/>
    <w:rsid w:val="00A0276C"/>
    <w:rsid w:val="00A41776"/>
    <w:rsid w:val="00A51024"/>
    <w:rsid w:val="00A51669"/>
    <w:rsid w:val="00A65F13"/>
    <w:rsid w:val="00A7232C"/>
    <w:rsid w:val="00A939F9"/>
    <w:rsid w:val="00AE357B"/>
    <w:rsid w:val="00B35680"/>
    <w:rsid w:val="00B4761F"/>
    <w:rsid w:val="00B62669"/>
    <w:rsid w:val="00B77A36"/>
    <w:rsid w:val="00BA016F"/>
    <w:rsid w:val="00BC2AB1"/>
    <w:rsid w:val="00BD3D8B"/>
    <w:rsid w:val="00BF4F83"/>
    <w:rsid w:val="00C066FC"/>
    <w:rsid w:val="00C139D1"/>
    <w:rsid w:val="00C33E71"/>
    <w:rsid w:val="00C36924"/>
    <w:rsid w:val="00C36B68"/>
    <w:rsid w:val="00C40140"/>
    <w:rsid w:val="00C75055"/>
    <w:rsid w:val="00CA0FE7"/>
    <w:rsid w:val="00CB6A31"/>
    <w:rsid w:val="00D20980"/>
    <w:rsid w:val="00D46D11"/>
    <w:rsid w:val="00D75BDA"/>
    <w:rsid w:val="00D826E8"/>
    <w:rsid w:val="00D90CB7"/>
    <w:rsid w:val="00DC0701"/>
    <w:rsid w:val="00DC29E2"/>
    <w:rsid w:val="00E04A9C"/>
    <w:rsid w:val="00E31271"/>
    <w:rsid w:val="00E67BCF"/>
    <w:rsid w:val="00E76757"/>
    <w:rsid w:val="00E80B69"/>
    <w:rsid w:val="00E851CA"/>
    <w:rsid w:val="00EA7B9E"/>
    <w:rsid w:val="00EC016B"/>
    <w:rsid w:val="00ED1881"/>
    <w:rsid w:val="00F2211E"/>
    <w:rsid w:val="00F415EC"/>
    <w:rsid w:val="00FD6494"/>
    <w:rsid w:val="00FD6C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D814"/>
  <w15:chartTrackingRefBased/>
  <w15:docId w15:val="{FF313FD4-8504-4083-AE34-FD9043D6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A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2A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2A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A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A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A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A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A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A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A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2A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2A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A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A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A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A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A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AB7"/>
    <w:rPr>
      <w:rFonts w:eastAsiaTheme="majorEastAsia" w:cstheme="majorBidi"/>
      <w:color w:val="272727" w:themeColor="text1" w:themeTint="D8"/>
    </w:rPr>
  </w:style>
  <w:style w:type="paragraph" w:styleId="Title">
    <w:name w:val="Title"/>
    <w:basedOn w:val="Normal"/>
    <w:next w:val="Normal"/>
    <w:link w:val="TitleChar"/>
    <w:uiPriority w:val="10"/>
    <w:qFormat/>
    <w:rsid w:val="005A2A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A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A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A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AB7"/>
    <w:pPr>
      <w:spacing w:before="160"/>
      <w:jc w:val="center"/>
    </w:pPr>
    <w:rPr>
      <w:i/>
      <w:iCs/>
      <w:color w:val="404040" w:themeColor="text1" w:themeTint="BF"/>
    </w:rPr>
  </w:style>
  <w:style w:type="character" w:customStyle="1" w:styleId="QuoteChar">
    <w:name w:val="Quote Char"/>
    <w:basedOn w:val="DefaultParagraphFont"/>
    <w:link w:val="Quote"/>
    <w:uiPriority w:val="29"/>
    <w:rsid w:val="005A2AB7"/>
    <w:rPr>
      <w:i/>
      <w:iCs/>
      <w:color w:val="404040" w:themeColor="text1" w:themeTint="BF"/>
    </w:rPr>
  </w:style>
  <w:style w:type="paragraph" w:styleId="ListParagraph">
    <w:name w:val="List Paragraph"/>
    <w:basedOn w:val="Normal"/>
    <w:uiPriority w:val="34"/>
    <w:qFormat/>
    <w:rsid w:val="005A2AB7"/>
    <w:pPr>
      <w:ind w:left="720"/>
      <w:contextualSpacing/>
    </w:pPr>
  </w:style>
  <w:style w:type="character" w:styleId="IntenseEmphasis">
    <w:name w:val="Intense Emphasis"/>
    <w:basedOn w:val="DefaultParagraphFont"/>
    <w:uiPriority w:val="21"/>
    <w:qFormat/>
    <w:rsid w:val="005A2AB7"/>
    <w:rPr>
      <w:i/>
      <w:iCs/>
      <w:color w:val="0F4761" w:themeColor="accent1" w:themeShade="BF"/>
    </w:rPr>
  </w:style>
  <w:style w:type="paragraph" w:styleId="IntenseQuote">
    <w:name w:val="Intense Quote"/>
    <w:basedOn w:val="Normal"/>
    <w:next w:val="Normal"/>
    <w:link w:val="IntenseQuoteChar"/>
    <w:uiPriority w:val="30"/>
    <w:qFormat/>
    <w:rsid w:val="005A2A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AB7"/>
    <w:rPr>
      <w:i/>
      <w:iCs/>
      <w:color w:val="0F4761" w:themeColor="accent1" w:themeShade="BF"/>
    </w:rPr>
  </w:style>
  <w:style w:type="character" w:styleId="IntenseReference">
    <w:name w:val="Intense Reference"/>
    <w:basedOn w:val="DefaultParagraphFont"/>
    <w:uiPriority w:val="32"/>
    <w:qFormat/>
    <w:rsid w:val="005A2AB7"/>
    <w:rPr>
      <w:b/>
      <w:bCs/>
      <w:smallCaps/>
      <w:color w:val="0F4761" w:themeColor="accent1" w:themeShade="BF"/>
      <w:spacing w:val="5"/>
    </w:rPr>
  </w:style>
  <w:style w:type="character" w:styleId="Hyperlink">
    <w:name w:val="Hyperlink"/>
    <w:basedOn w:val="DefaultParagraphFont"/>
    <w:uiPriority w:val="99"/>
    <w:unhideWhenUsed/>
    <w:rsid w:val="005A2AB7"/>
    <w:rPr>
      <w:color w:val="467886" w:themeColor="hyperlink"/>
      <w:u w:val="single"/>
    </w:rPr>
  </w:style>
  <w:style w:type="character" w:styleId="UnresolvedMention">
    <w:name w:val="Unresolved Mention"/>
    <w:basedOn w:val="DefaultParagraphFont"/>
    <w:uiPriority w:val="99"/>
    <w:semiHidden/>
    <w:unhideWhenUsed/>
    <w:rsid w:val="005A2AB7"/>
    <w:rPr>
      <w:color w:val="605E5C"/>
      <w:shd w:val="clear" w:color="auto" w:fill="E1DFDD"/>
    </w:rPr>
  </w:style>
  <w:style w:type="character" w:styleId="FollowedHyperlink">
    <w:name w:val="FollowedHyperlink"/>
    <w:basedOn w:val="DefaultParagraphFont"/>
    <w:uiPriority w:val="99"/>
    <w:semiHidden/>
    <w:unhideWhenUsed/>
    <w:rsid w:val="00B4761F"/>
    <w:rPr>
      <w:color w:val="96607D" w:themeColor="followedHyperlink"/>
      <w:u w:val="single"/>
    </w:rPr>
  </w:style>
  <w:style w:type="paragraph" w:styleId="Header">
    <w:name w:val="header"/>
    <w:basedOn w:val="Normal"/>
    <w:link w:val="HeaderChar"/>
    <w:uiPriority w:val="99"/>
    <w:unhideWhenUsed/>
    <w:rsid w:val="00187D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DD6"/>
  </w:style>
  <w:style w:type="paragraph" w:styleId="Footer">
    <w:name w:val="footer"/>
    <w:basedOn w:val="Normal"/>
    <w:link w:val="FooterChar"/>
    <w:uiPriority w:val="99"/>
    <w:unhideWhenUsed/>
    <w:rsid w:val="00187D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D6"/>
  </w:style>
  <w:style w:type="paragraph" w:styleId="TOCHeading">
    <w:name w:val="TOC Heading"/>
    <w:basedOn w:val="Heading1"/>
    <w:next w:val="Normal"/>
    <w:uiPriority w:val="39"/>
    <w:unhideWhenUsed/>
    <w:qFormat/>
    <w:rsid w:val="00187DD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7D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psupport.nice.org.uk/mental-wellbeing-suicide-prevention-community-engagement/index.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ks.nice.org.uk/topics/depression/background-information/complications/" TargetMode="External"/><Relationship Id="rId17" Type="http://schemas.openxmlformats.org/officeDocument/2006/relationships/hyperlink" Target="https://doi.org/10.1038/s41398-021-01505-5?utm_source=chatgpt.com" TargetMode="External"/><Relationship Id="rId2" Type="http://schemas.openxmlformats.org/officeDocument/2006/relationships/numbering" Target="numbering.xml"/><Relationship Id="rId16" Type="http://schemas.openxmlformats.org/officeDocument/2006/relationships/hyperlink" Target="https://www.who.int/news-room/fact-sheets/detail/depres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222/chapter/Recommendations" TargetMode="External"/><Relationship Id="rId5" Type="http://schemas.openxmlformats.org/officeDocument/2006/relationships/webSettings" Target="webSettings.xml"/><Relationship Id="rId15" Type="http://schemas.openxmlformats.org/officeDocument/2006/relationships/hyperlink" Target="https://www.ons.gov.uk/peoplepopulationandcommunity/healthandsocialcare/mentalhealth/articles/costoflivinganddepressioninadultsgreatbritain/latest" TargetMode="External"/><Relationship Id="rId10" Type="http://schemas.openxmlformats.org/officeDocument/2006/relationships/hyperlink" Target="https://digital.nhs.uk/data-and-information/publications/statistical/adult-psychiatric-morbidity-survey/survey-of-mental-health-and-wellbeing-england-2023-24/common-mental-health-condition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Jose-Rondon-4/publication/323853179_Depression_A_Review_of_its_Definition/links/6168280625be2600ace76775/Depression-A-Review-of-its-Definition.pdf" TargetMode="External"/><Relationship Id="rId14" Type="http://schemas.openxmlformats.org/officeDocument/2006/relationships/hyperlink" Target="https://www.nhs.uk/mental-health/conditions/depression-in-adults/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FD2B4-A364-4B53-94B5-126C48CC3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2293</Words>
  <Characters>13073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Black</dc:creator>
  <cp:keywords/>
  <dc:description/>
  <cp:lastModifiedBy>David Olusegun Aina (2523561)</cp:lastModifiedBy>
  <cp:revision>17</cp:revision>
  <dcterms:created xsi:type="dcterms:W3CDTF">2026-08-17T17:22:00Z</dcterms:created>
  <dcterms:modified xsi:type="dcterms:W3CDTF">2026-08-17T23:23:00Z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445cd40d-cce8-4dbf-8285-8d85bb441da6</vt:lpwstr>
  </property>
</Properties>
</file>