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5A033" w14:textId="1A0F7DCC" w:rsidR="00FB65AF" w:rsidRPr="00E86742" w:rsidRDefault="009C7CE4" w:rsidP="00E86742">
      <w:pPr>
        <w:pStyle w:val="Heading1"/>
        <w:rPr>
          <w:rFonts w:ascii="Times New Roman" w:hAnsi="Times New Roman" w:cs="Times New Roman"/>
          <w:b/>
          <w:u w:val="single"/>
        </w:rPr>
      </w:pPr>
      <w:r w:rsidRPr="00E86742">
        <w:rPr>
          <w:rFonts w:ascii="Times New Roman" w:hAnsi="Times New Roman" w:cs="Times New Roman"/>
          <w:b/>
          <w:u w:val="single"/>
        </w:rPr>
        <w:t xml:space="preserve">Ancient Armies and Navies Review Coursework </w:t>
      </w:r>
    </w:p>
    <w:p w14:paraId="5F59C968" w14:textId="4DACFD1F" w:rsidR="00E86742" w:rsidRDefault="00E86742" w:rsidP="00E86742"/>
    <w:p w14:paraId="01B37494" w14:textId="489684BE" w:rsidR="00F013DA" w:rsidRDefault="00B5012B" w:rsidP="00E86742">
      <w:pPr>
        <w:rPr>
          <w:rFonts w:ascii="Times New Roman" w:hAnsi="Times New Roman" w:cs="Times New Roman"/>
          <w:sz w:val="24"/>
        </w:rPr>
      </w:pPr>
      <w:r>
        <w:rPr>
          <w:rFonts w:ascii="Times New Roman" w:hAnsi="Times New Roman" w:cs="Times New Roman"/>
          <w:sz w:val="24"/>
        </w:rPr>
        <w:t xml:space="preserve">The difficulty with any form of scholarship in regards to any historical period or topic is that it can change or adapt for numerous reasons. This could be that new evidence is discovered, </w:t>
      </w:r>
      <w:r w:rsidR="004B456C">
        <w:rPr>
          <w:rFonts w:ascii="Times New Roman" w:hAnsi="Times New Roman" w:cs="Times New Roman"/>
          <w:sz w:val="24"/>
        </w:rPr>
        <w:t>especially</w:t>
      </w:r>
      <w:r>
        <w:rPr>
          <w:rFonts w:ascii="Times New Roman" w:hAnsi="Times New Roman" w:cs="Times New Roman"/>
          <w:sz w:val="24"/>
        </w:rPr>
        <w:t xml:space="preserve"> if its </w:t>
      </w:r>
      <w:r w:rsidR="00D24E55">
        <w:rPr>
          <w:rFonts w:ascii="Times New Roman" w:hAnsi="Times New Roman" w:cs="Times New Roman"/>
          <w:sz w:val="24"/>
        </w:rPr>
        <w:t xml:space="preserve">of the ancient world which relies heavily on </w:t>
      </w:r>
      <w:r w:rsidR="004B456C">
        <w:rPr>
          <w:rFonts w:ascii="Times New Roman" w:hAnsi="Times New Roman" w:cs="Times New Roman"/>
          <w:sz w:val="24"/>
        </w:rPr>
        <w:t>archaeological</w:t>
      </w:r>
      <w:r w:rsidR="00D24E55">
        <w:rPr>
          <w:rFonts w:ascii="Times New Roman" w:hAnsi="Times New Roman" w:cs="Times New Roman"/>
          <w:sz w:val="24"/>
        </w:rPr>
        <w:t xml:space="preserve"> finds to </w:t>
      </w:r>
      <w:r w:rsidR="002A43DE">
        <w:rPr>
          <w:rFonts w:ascii="Times New Roman" w:hAnsi="Times New Roman" w:cs="Times New Roman"/>
          <w:sz w:val="24"/>
        </w:rPr>
        <w:t xml:space="preserve">facilitate understanding of the subject, or </w:t>
      </w:r>
      <w:r w:rsidR="00D62DA0">
        <w:rPr>
          <w:rFonts w:ascii="Times New Roman" w:hAnsi="Times New Roman" w:cs="Times New Roman"/>
          <w:sz w:val="24"/>
        </w:rPr>
        <w:t>it could be that previous conclusions are revisited and revised as old evidence is re-examined or reviewed from a new perspective. This is certainly the case in regards to</w:t>
      </w:r>
      <w:r w:rsidR="00350AE8">
        <w:rPr>
          <w:rFonts w:ascii="Times New Roman" w:hAnsi="Times New Roman" w:cs="Times New Roman"/>
          <w:sz w:val="24"/>
        </w:rPr>
        <w:t xml:space="preserve"> foot soldiers of the ancient world, specifically the hoplites</w:t>
      </w:r>
      <w:r w:rsidR="00F823C4">
        <w:rPr>
          <w:rFonts w:ascii="Times New Roman" w:hAnsi="Times New Roman" w:cs="Times New Roman"/>
          <w:sz w:val="24"/>
        </w:rPr>
        <w:t xml:space="preserve">, who </w:t>
      </w:r>
      <w:r w:rsidR="00350AE8">
        <w:rPr>
          <w:rFonts w:ascii="Times New Roman" w:hAnsi="Times New Roman" w:cs="Times New Roman"/>
          <w:sz w:val="24"/>
        </w:rPr>
        <w:t xml:space="preserve">were the primary soldiers of the period, </w:t>
      </w:r>
      <w:r w:rsidR="00F823C4">
        <w:rPr>
          <w:rFonts w:ascii="Times New Roman" w:hAnsi="Times New Roman" w:cs="Times New Roman"/>
          <w:sz w:val="24"/>
        </w:rPr>
        <w:t>and were citizens and soldiers</w:t>
      </w:r>
      <w:r w:rsidR="00350AE8">
        <w:rPr>
          <w:rFonts w:ascii="Times New Roman" w:hAnsi="Times New Roman" w:cs="Times New Roman"/>
          <w:sz w:val="24"/>
        </w:rPr>
        <w:t xml:space="preserve"> of the Greek city-states</w:t>
      </w:r>
      <w:r w:rsidR="00F823C4">
        <w:rPr>
          <w:rFonts w:ascii="Times New Roman" w:hAnsi="Times New Roman" w:cs="Times New Roman"/>
          <w:sz w:val="24"/>
        </w:rPr>
        <w:t xml:space="preserve">. The scholarship on the hoplites covers a wide area, and this review in particular will look at both the role of the hoplite on land and at sea, covering both social position and battlefield use. </w:t>
      </w:r>
    </w:p>
    <w:p w14:paraId="03DCDFC0" w14:textId="6DD9086A" w:rsidR="00F013DA" w:rsidRDefault="001E1248" w:rsidP="00E86742">
      <w:pPr>
        <w:rPr>
          <w:rFonts w:ascii="Times New Roman" w:hAnsi="Times New Roman" w:cs="Times New Roman"/>
          <w:sz w:val="24"/>
        </w:rPr>
      </w:pPr>
      <w:r>
        <w:rPr>
          <w:rFonts w:ascii="Times New Roman" w:hAnsi="Times New Roman" w:cs="Times New Roman"/>
          <w:sz w:val="24"/>
        </w:rPr>
        <w:t xml:space="preserve">The first piece of scholarship that </w:t>
      </w:r>
      <w:r w:rsidR="000A18BB">
        <w:rPr>
          <w:rFonts w:ascii="Times New Roman" w:hAnsi="Times New Roman" w:cs="Times New Roman"/>
          <w:sz w:val="24"/>
        </w:rPr>
        <w:t xml:space="preserve">will be examined is </w:t>
      </w:r>
      <w:r w:rsidR="00E15451">
        <w:rPr>
          <w:rFonts w:ascii="Times New Roman" w:hAnsi="Times New Roman" w:cs="Times New Roman"/>
          <w:sz w:val="24"/>
        </w:rPr>
        <w:t>a piece on the social status of the naval hoplites by Tristan Herzogenrath-Amelung, published in 2017. Entitled ‘Naval Hoplites: Social Status and Combat Reality of Classical Greek epibatai</w:t>
      </w:r>
      <w:r w:rsidR="00697D59">
        <w:rPr>
          <w:rFonts w:ascii="Times New Roman" w:hAnsi="Times New Roman" w:cs="Times New Roman"/>
          <w:sz w:val="24"/>
        </w:rPr>
        <w:t xml:space="preserve">’, the article deals primarily with who comprised the marines on Athenian ships, and whether earlier </w:t>
      </w:r>
      <w:r w:rsidR="00870CEB">
        <w:rPr>
          <w:rFonts w:ascii="Times New Roman" w:hAnsi="Times New Roman" w:cs="Times New Roman"/>
          <w:sz w:val="24"/>
        </w:rPr>
        <w:t>scholarship</w:t>
      </w:r>
      <w:r w:rsidR="00697D59">
        <w:rPr>
          <w:rFonts w:ascii="Times New Roman" w:hAnsi="Times New Roman" w:cs="Times New Roman"/>
          <w:sz w:val="24"/>
        </w:rPr>
        <w:t xml:space="preserve"> on the subject still held up. </w:t>
      </w:r>
      <w:r w:rsidR="00C2023B">
        <w:rPr>
          <w:rFonts w:ascii="Times New Roman" w:hAnsi="Times New Roman" w:cs="Times New Roman"/>
          <w:sz w:val="24"/>
        </w:rPr>
        <w:t xml:space="preserve">The </w:t>
      </w:r>
      <w:r w:rsidR="00672242">
        <w:rPr>
          <w:rFonts w:ascii="Times New Roman" w:hAnsi="Times New Roman" w:cs="Times New Roman"/>
          <w:sz w:val="24"/>
        </w:rPr>
        <w:t xml:space="preserve">author states early on that </w:t>
      </w:r>
      <w:r w:rsidR="003C55BA">
        <w:rPr>
          <w:rFonts w:ascii="Times New Roman" w:hAnsi="Times New Roman" w:cs="Times New Roman"/>
          <w:sz w:val="24"/>
        </w:rPr>
        <w:t>the previous scholarship arguing that the marines were “normally recruited from among the poorest section of society</w:t>
      </w:r>
      <w:r w:rsidR="005312E2">
        <w:rPr>
          <w:rStyle w:val="FootnoteReference"/>
          <w:rFonts w:ascii="Times New Roman" w:hAnsi="Times New Roman" w:cs="Times New Roman"/>
          <w:sz w:val="24"/>
        </w:rPr>
        <w:footnoteReference w:id="1"/>
      </w:r>
      <w:r w:rsidR="003C55BA">
        <w:rPr>
          <w:rFonts w:ascii="Times New Roman" w:hAnsi="Times New Roman" w:cs="Times New Roman"/>
          <w:sz w:val="24"/>
        </w:rPr>
        <w:t>” is in fact wrong and that they were actually drawn from the “wealthier elements of Athens</w:t>
      </w:r>
      <w:r w:rsidR="005312E2">
        <w:rPr>
          <w:rStyle w:val="FootnoteReference"/>
          <w:rFonts w:ascii="Times New Roman" w:hAnsi="Times New Roman" w:cs="Times New Roman"/>
          <w:sz w:val="24"/>
        </w:rPr>
        <w:footnoteReference w:id="2"/>
      </w:r>
      <w:r w:rsidR="003C55BA">
        <w:rPr>
          <w:rFonts w:ascii="Times New Roman" w:hAnsi="Times New Roman" w:cs="Times New Roman"/>
          <w:sz w:val="24"/>
        </w:rPr>
        <w:t xml:space="preserve">” coming from the areas that produced the hoplites for the city. Immediately, this shows that up until at least 2017, the consensus amongst scholars of hoplites was that </w:t>
      </w:r>
      <w:r w:rsidR="005312E2">
        <w:rPr>
          <w:rFonts w:ascii="Times New Roman" w:hAnsi="Times New Roman" w:cs="Times New Roman"/>
          <w:sz w:val="24"/>
        </w:rPr>
        <w:t>those who</w:t>
      </w:r>
      <w:r w:rsidR="003C55BA">
        <w:rPr>
          <w:rFonts w:ascii="Times New Roman" w:hAnsi="Times New Roman" w:cs="Times New Roman"/>
          <w:sz w:val="24"/>
        </w:rPr>
        <w:t xml:space="preserve"> served in the Athenian navy were different to those who served on land, with them being drawn from the lower economic classes of the city</w:t>
      </w:r>
      <w:r w:rsidR="00840445">
        <w:rPr>
          <w:rFonts w:ascii="Times New Roman" w:hAnsi="Times New Roman" w:cs="Times New Roman"/>
          <w:sz w:val="24"/>
        </w:rPr>
        <w:t>, and this work diverges and criticises this particular thinking. the author goes on to argue that there was in fact no difference between hoplites who served on the land and those who served at sea, pointing out that there is “no evidence that epibatai received any form of special training</w:t>
      </w:r>
      <w:r w:rsidR="00840445">
        <w:rPr>
          <w:rStyle w:val="FootnoteReference"/>
          <w:rFonts w:ascii="Times New Roman" w:hAnsi="Times New Roman" w:cs="Times New Roman"/>
          <w:sz w:val="24"/>
        </w:rPr>
        <w:footnoteReference w:id="3"/>
      </w:r>
      <w:r w:rsidR="00840445">
        <w:rPr>
          <w:rFonts w:ascii="Times New Roman" w:hAnsi="Times New Roman" w:cs="Times New Roman"/>
          <w:sz w:val="24"/>
        </w:rPr>
        <w:t>”.</w:t>
      </w:r>
      <w:r w:rsidR="00A33EA2">
        <w:rPr>
          <w:rFonts w:ascii="Times New Roman" w:hAnsi="Times New Roman" w:cs="Times New Roman"/>
          <w:sz w:val="24"/>
        </w:rPr>
        <w:t xml:space="preserve"> Again, the language used here and the previous statements of the author indicate that the scholarship up until this point differed to a considerable degree. </w:t>
      </w:r>
      <w:r w:rsidR="008A660E">
        <w:rPr>
          <w:rFonts w:ascii="Times New Roman" w:hAnsi="Times New Roman" w:cs="Times New Roman"/>
          <w:sz w:val="24"/>
        </w:rPr>
        <w:t>In addition, the author reinforces this point by arguing that the marines “regularly fought on land</w:t>
      </w:r>
      <w:r w:rsidR="008A660E">
        <w:rPr>
          <w:rStyle w:val="FootnoteReference"/>
          <w:rFonts w:ascii="Times New Roman" w:hAnsi="Times New Roman" w:cs="Times New Roman"/>
          <w:sz w:val="24"/>
        </w:rPr>
        <w:footnoteReference w:id="4"/>
      </w:r>
      <w:r w:rsidR="008A660E">
        <w:rPr>
          <w:rFonts w:ascii="Times New Roman" w:hAnsi="Times New Roman" w:cs="Times New Roman"/>
          <w:sz w:val="24"/>
        </w:rPr>
        <w:t>” alongside normal hoplite units</w:t>
      </w:r>
      <w:r w:rsidR="0001601E">
        <w:rPr>
          <w:rFonts w:ascii="Times New Roman" w:hAnsi="Times New Roman" w:cs="Times New Roman"/>
          <w:sz w:val="24"/>
        </w:rPr>
        <w:t xml:space="preserve">. In regards to the larger field of the hoplite, the author suggests that duty onboard ships </w:t>
      </w:r>
      <w:r w:rsidR="0000196E">
        <w:rPr>
          <w:rFonts w:ascii="Times New Roman" w:hAnsi="Times New Roman" w:cs="Times New Roman"/>
          <w:sz w:val="24"/>
        </w:rPr>
        <w:t>were</w:t>
      </w:r>
      <w:r w:rsidR="0001601E">
        <w:rPr>
          <w:rFonts w:ascii="Times New Roman" w:hAnsi="Times New Roman" w:cs="Times New Roman"/>
          <w:sz w:val="24"/>
        </w:rPr>
        <w:t xml:space="preserve"> a “normal part of a hoplite’s duty</w:t>
      </w:r>
      <w:r w:rsidR="0001601E">
        <w:rPr>
          <w:rStyle w:val="FootnoteReference"/>
          <w:rFonts w:ascii="Times New Roman" w:hAnsi="Times New Roman" w:cs="Times New Roman"/>
          <w:sz w:val="24"/>
        </w:rPr>
        <w:footnoteReference w:id="5"/>
      </w:r>
      <w:r w:rsidR="002A782D">
        <w:rPr>
          <w:rFonts w:ascii="Times New Roman" w:hAnsi="Times New Roman" w:cs="Times New Roman"/>
          <w:sz w:val="24"/>
        </w:rPr>
        <w:t>” at least for those recruited by the Athenians</w:t>
      </w:r>
      <w:r w:rsidR="0000196E">
        <w:rPr>
          <w:rFonts w:ascii="Times New Roman" w:hAnsi="Times New Roman" w:cs="Times New Roman"/>
          <w:sz w:val="24"/>
        </w:rPr>
        <w:t>. From the evidence provided, the author states that this was the case from at least “the beginning of the 5</w:t>
      </w:r>
      <w:r w:rsidR="0000196E" w:rsidRPr="0000196E">
        <w:rPr>
          <w:rFonts w:ascii="Times New Roman" w:hAnsi="Times New Roman" w:cs="Times New Roman"/>
          <w:sz w:val="24"/>
          <w:vertAlign w:val="superscript"/>
        </w:rPr>
        <w:t>th</w:t>
      </w:r>
      <w:r w:rsidR="0000196E">
        <w:rPr>
          <w:rFonts w:ascii="Times New Roman" w:hAnsi="Times New Roman" w:cs="Times New Roman"/>
          <w:sz w:val="24"/>
        </w:rPr>
        <w:t xml:space="preserve"> century</w:t>
      </w:r>
      <w:r w:rsidR="0000196E">
        <w:rPr>
          <w:rStyle w:val="FootnoteReference"/>
          <w:rFonts w:ascii="Times New Roman" w:hAnsi="Times New Roman" w:cs="Times New Roman"/>
          <w:sz w:val="24"/>
        </w:rPr>
        <w:footnoteReference w:id="6"/>
      </w:r>
      <w:r w:rsidR="0000196E">
        <w:rPr>
          <w:rFonts w:ascii="Times New Roman" w:hAnsi="Times New Roman" w:cs="Times New Roman"/>
          <w:sz w:val="24"/>
        </w:rPr>
        <w:t>”</w:t>
      </w:r>
      <w:r w:rsidR="00B744F3">
        <w:rPr>
          <w:rFonts w:ascii="Times New Roman" w:hAnsi="Times New Roman" w:cs="Times New Roman"/>
          <w:sz w:val="24"/>
        </w:rPr>
        <w:t xml:space="preserve">, </w:t>
      </w:r>
      <w:r w:rsidR="00E10850">
        <w:rPr>
          <w:rFonts w:ascii="Times New Roman" w:hAnsi="Times New Roman" w:cs="Times New Roman"/>
          <w:sz w:val="24"/>
        </w:rPr>
        <w:t>which the fact that one had to be of a certain wealth and rank within society to afford to be a hoplite in general, lends favour to this suggestion</w:t>
      </w:r>
      <w:r w:rsidR="00C06866">
        <w:rPr>
          <w:rFonts w:ascii="Times New Roman" w:hAnsi="Times New Roman" w:cs="Times New Roman"/>
          <w:sz w:val="24"/>
        </w:rPr>
        <w:t>, as often prospective soldiers had to purchase their own equipment and be able to maintain it during their military service. Moreover, the author cites prominent ancient figures to support his claims, mentioning Aristotle and his inclusion of the marines in the more affluent bracket when he divided the armed forces</w:t>
      </w:r>
      <w:r w:rsidR="00C06866">
        <w:rPr>
          <w:rStyle w:val="FootnoteReference"/>
          <w:rFonts w:ascii="Times New Roman" w:hAnsi="Times New Roman" w:cs="Times New Roman"/>
          <w:sz w:val="24"/>
        </w:rPr>
        <w:footnoteReference w:id="7"/>
      </w:r>
      <w:r w:rsidR="00C06866">
        <w:rPr>
          <w:rFonts w:ascii="Times New Roman" w:hAnsi="Times New Roman" w:cs="Times New Roman"/>
          <w:sz w:val="24"/>
        </w:rPr>
        <w:t xml:space="preserve">. </w:t>
      </w:r>
      <w:r w:rsidR="002705FD">
        <w:rPr>
          <w:rFonts w:ascii="Times New Roman" w:hAnsi="Times New Roman" w:cs="Times New Roman"/>
          <w:sz w:val="24"/>
        </w:rPr>
        <w:t xml:space="preserve">The author also </w:t>
      </w:r>
      <w:r w:rsidR="00FF5FEC">
        <w:rPr>
          <w:rFonts w:ascii="Times New Roman" w:hAnsi="Times New Roman" w:cs="Times New Roman"/>
          <w:sz w:val="24"/>
        </w:rPr>
        <w:t xml:space="preserve">alludes to </w:t>
      </w:r>
      <w:r w:rsidR="00FF5FEC">
        <w:rPr>
          <w:rFonts w:ascii="Times New Roman" w:hAnsi="Times New Roman" w:cs="Times New Roman"/>
          <w:sz w:val="24"/>
        </w:rPr>
        <w:lastRenderedPageBreak/>
        <w:t xml:space="preserve">ancient records, using the Themistocles Decree to point out that the marines were listed </w:t>
      </w:r>
      <w:r w:rsidR="004B456C">
        <w:rPr>
          <w:rFonts w:ascii="Times New Roman" w:hAnsi="Times New Roman" w:cs="Times New Roman"/>
          <w:sz w:val="24"/>
        </w:rPr>
        <w:t>separately</w:t>
      </w:r>
      <w:r w:rsidR="00FF5FEC">
        <w:rPr>
          <w:rFonts w:ascii="Times New Roman" w:hAnsi="Times New Roman" w:cs="Times New Roman"/>
          <w:sz w:val="24"/>
        </w:rPr>
        <w:t xml:space="preserve"> on lists, </w:t>
      </w:r>
      <w:r w:rsidR="004B456C">
        <w:rPr>
          <w:rFonts w:ascii="Times New Roman" w:hAnsi="Times New Roman" w:cs="Times New Roman"/>
          <w:sz w:val="24"/>
        </w:rPr>
        <w:t>signifying</w:t>
      </w:r>
      <w:r w:rsidR="00FF5FEC">
        <w:rPr>
          <w:rFonts w:ascii="Times New Roman" w:hAnsi="Times New Roman" w:cs="Times New Roman"/>
          <w:sz w:val="24"/>
        </w:rPr>
        <w:t xml:space="preserve"> their higher social standing and position in comparison to others</w:t>
      </w:r>
      <w:r w:rsidR="00FF5FEC">
        <w:rPr>
          <w:rStyle w:val="FootnoteReference"/>
          <w:rFonts w:ascii="Times New Roman" w:hAnsi="Times New Roman" w:cs="Times New Roman"/>
          <w:sz w:val="24"/>
        </w:rPr>
        <w:footnoteReference w:id="8"/>
      </w:r>
      <w:r w:rsidR="00FF5FEC">
        <w:rPr>
          <w:rFonts w:ascii="Times New Roman" w:hAnsi="Times New Roman" w:cs="Times New Roman"/>
          <w:sz w:val="24"/>
        </w:rPr>
        <w:t xml:space="preserve">. </w:t>
      </w:r>
      <w:r w:rsidR="00BC101D">
        <w:rPr>
          <w:rFonts w:ascii="Times New Roman" w:hAnsi="Times New Roman" w:cs="Times New Roman"/>
          <w:sz w:val="24"/>
        </w:rPr>
        <w:t xml:space="preserve">Overall, this article is quite different to other pieces of scholarship in this </w:t>
      </w:r>
      <w:r w:rsidR="004B456C">
        <w:rPr>
          <w:rFonts w:ascii="Times New Roman" w:hAnsi="Times New Roman" w:cs="Times New Roman"/>
          <w:sz w:val="24"/>
        </w:rPr>
        <w:t>twenty-year</w:t>
      </w:r>
      <w:r w:rsidR="00BC101D">
        <w:rPr>
          <w:rFonts w:ascii="Times New Roman" w:hAnsi="Times New Roman" w:cs="Times New Roman"/>
          <w:sz w:val="24"/>
        </w:rPr>
        <w:t xml:space="preserve"> period, primarily due to the fact that it challenges the then understanding of the naval hoplites recruiting ground, social status and existence as a unique unit in the Athenian military. </w:t>
      </w:r>
    </w:p>
    <w:p w14:paraId="3A24B774" w14:textId="786937D6" w:rsidR="00751972" w:rsidRDefault="00751972" w:rsidP="00E86742">
      <w:pPr>
        <w:rPr>
          <w:rFonts w:ascii="Times New Roman" w:hAnsi="Times New Roman" w:cs="Times New Roman"/>
          <w:sz w:val="24"/>
        </w:rPr>
      </w:pPr>
    </w:p>
    <w:p w14:paraId="77900CA4" w14:textId="37F31421" w:rsidR="00751972" w:rsidRDefault="00751972" w:rsidP="00E86742">
      <w:pPr>
        <w:rPr>
          <w:rFonts w:ascii="Times New Roman" w:hAnsi="Times New Roman" w:cs="Times New Roman"/>
          <w:sz w:val="24"/>
        </w:rPr>
      </w:pPr>
      <w:r>
        <w:rPr>
          <w:rFonts w:ascii="Times New Roman" w:hAnsi="Times New Roman" w:cs="Times New Roman"/>
          <w:sz w:val="24"/>
        </w:rPr>
        <w:t>The next piece of scholarship t</w:t>
      </w:r>
      <w:r w:rsidR="00611C48">
        <w:rPr>
          <w:rFonts w:ascii="Times New Roman" w:hAnsi="Times New Roman" w:cs="Times New Roman"/>
          <w:sz w:val="24"/>
        </w:rPr>
        <w:t>o be examined is piece from Brill’s New Pauly entitled “Hoplitai”</w:t>
      </w:r>
      <w:r w:rsidR="00411A22">
        <w:rPr>
          <w:rFonts w:ascii="Times New Roman" w:hAnsi="Times New Roman" w:cs="Times New Roman"/>
          <w:sz w:val="24"/>
        </w:rPr>
        <w:t xml:space="preserve">. Published in 2006 </w:t>
      </w:r>
      <w:r w:rsidR="00667919">
        <w:rPr>
          <w:rFonts w:ascii="Times New Roman" w:hAnsi="Times New Roman" w:cs="Times New Roman"/>
          <w:sz w:val="24"/>
        </w:rPr>
        <w:t xml:space="preserve">and written by </w:t>
      </w:r>
      <w:r w:rsidR="00667919" w:rsidRPr="00667919">
        <w:rPr>
          <w:rFonts w:ascii="Times New Roman" w:hAnsi="Times New Roman" w:cs="Times New Roman"/>
          <w:sz w:val="24"/>
        </w:rPr>
        <w:t>Hans-Joachim</w:t>
      </w:r>
      <w:r>
        <w:rPr>
          <w:rFonts w:ascii="Times New Roman" w:hAnsi="Times New Roman" w:cs="Times New Roman"/>
          <w:sz w:val="24"/>
        </w:rPr>
        <w:t xml:space="preserve"> </w:t>
      </w:r>
      <w:r w:rsidR="00667919" w:rsidRPr="00667919">
        <w:rPr>
          <w:rFonts w:ascii="Times New Roman" w:hAnsi="Times New Roman" w:cs="Times New Roman"/>
          <w:sz w:val="24"/>
        </w:rPr>
        <w:t>Gehrke,</w:t>
      </w:r>
      <w:r w:rsidR="00667919">
        <w:rPr>
          <w:rFonts w:ascii="Times New Roman" w:hAnsi="Times New Roman" w:cs="Times New Roman"/>
          <w:sz w:val="24"/>
        </w:rPr>
        <w:t xml:space="preserve"> the main purpose of the article is to discuss the fundamental elements of the hoplite and its role in warfare and social life during the archaic and classical period</w:t>
      </w:r>
      <w:r w:rsidR="00667919">
        <w:rPr>
          <w:rStyle w:val="FootnoteReference"/>
          <w:rFonts w:ascii="Times New Roman" w:hAnsi="Times New Roman" w:cs="Times New Roman"/>
          <w:sz w:val="24"/>
        </w:rPr>
        <w:footnoteReference w:id="9"/>
      </w:r>
      <w:r w:rsidR="00667919">
        <w:rPr>
          <w:rFonts w:ascii="Times New Roman" w:hAnsi="Times New Roman" w:cs="Times New Roman"/>
          <w:sz w:val="24"/>
        </w:rPr>
        <w:t xml:space="preserve">. </w:t>
      </w:r>
      <w:r w:rsidR="00362E21">
        <w:rPr>
          <w:rFonts w:ascii="Times New Roman" w:hAnsi="Times New Roman" w:cs="Times New Roman"/>
          <w:sz w:val="24"/>
        </w:rPr>
        <w:t>While being relatively short, covering just over 750 words, the article is quite detailed, dealing first with the details of a hoplite soldier. Gehrke highlights that a hoplite was a “heavily armed foot soldier” characterised by “bronze armament”. Gehrke goes on to list the equipment used and worn by the hoplite</w:t>
      </w:r>
      <w:r w:rsidR="00F43EA8">
        <w:rPr>
          <w:rFonts w:ascii="Times New Roman" w:hAnsi="Times New Roman" w:cs="Times New Roman"/>
          <w:sz w:val="24"/>
        </w:rPr>
        <w:t>, noting the evidence for this is located on the “Chigi Vase, a proto-Corinthian artefact</w:t>
      </w:r>
      <w:r w:rsidR="00F43EA8">
        <w:rPr>
          <w:rStyle w:val="FootnoteReference"/>
          <w:rFonts w:ascii="Times New Roman" w:hAnsi="Times New Roman" w:cs="Times New Roman"/>
          <w:sz w:val="24"/>
        </w:rPr>
        <w:footnoteReference w:id="10"/>
      </w:r>
      <w:r w:rsidR="00F43EA8">
        <w:rPr>
          <w:rFonts w:ascii="Times New Roman" w:hAnsi="Times New Roman" w:cs="Times New Roman"/>
          <w:sz w:val="24"/>
        </w:rPr>
        <w:t>” from roughly 640 BC</w:t>
      </w:r>
      <w:r w:rsidR="00F43EA8">
        <w:rPr>
          <w:rStyle w:val="FootnoteReference"/>
          <w:rFonts w:ascii="Times New Roman" w:hAnsi="Times New Roman" w:cs="Times New Roman"/>
          <w:sz w:val="24"/>
        </w:rPr>
        <w:footnoteReference w:id="11"/>
      </w:r>
      <w:r w:rsidR="00F43EA8">
        <w:rPr>
          <w:rFonts w:ascii="Times New Roman" w:hAnsi="Times New Roman" w:cs="Times New Roman"/>
          <w:sz w:val="24"/>
        </w:rPr>
        <w:t xml:space="preserve">. </w:t>
      </w:r>
      <w:r w:rsidR="003D4538">
        <w:rPr>
          <w:rFonts w:ascii="Times New Roman" w:hAnsi="Times New Roman" w:cs="Times New Roman"/>
          <w:sz w:val="24"/>
        </w:rPr>
        <w:t>Next, Gehrke illustrates how the hoplite fit</w:t>
      </w:r>
      <w:r w:rsidR="00E90F1F">
        <w:rPr>
          <w:rFonts w:ascii="Times New Roman" w:hAnsi="Times New Roman" w:cs="Times New Roman"/>
          <w:sz w:val="24"/>
        </w:rPr>
        <w:t>ted</w:t>
      </w:r>
      <w:r w:rsidR="003D4538">
        <w:rPr>
          <w:rFonts w:ascii="Times New Roman" w:hAnsi="Times New Roman" w:cs="Times New Roman"/>
          <w:sz w:val="24"/>
        </w:rPr>
        <w:t xml:space="preserve"> into the characteristics of ancient warfare, </w:t>
      </w:r>
      <w:r w:rsidR="00E90F1F">
        <w:rPr>
          <w:rFonts w:ascii="Times New Roman" w:hAnsi="Times New Roman" w:cs="Times New Roman"/>
          <w:sz w:val="24"/>
        </w:rPr>
        <w:t>primarily how the Phalanx battle formation was organised and operated.</w:t>
      </w:r>
      <w:r w:rsidR="00AE2E38">
        <w:rPr>
          <w:rFonts w:ascii="Times New Roman" w:hAnsi="Times New Roman" w:cs="Times New Roman"/>
          <w:sz w:val="24"/>
        </w:rPr>
        <w:t xml:space="preserve"> Of particular interest is his note that this style began in the seventh century BC in Sparta</w:t>
      </w:r>
      <w:r w:rsidR="00AE2E38">
        <w:rPr>
          <w:rStyle w:val="FootnoteReference"/>
          <w:rFonts w:ascii="Times New Roman" w:hAnsi="Times New Roman" w:cs="Times New Roman"/>
          <w:sz w:val="24"/>
        </w:rPr>
        <w:footnoteReference w:id="12"/>
      </w:r>
      <w:r w:rsidR="00AE2E38">
        <w:rPr>
          <w:rFonts w:ascii="Times New Roman" w:hAnsi="Times New Roman" w:cs="Times New Roman"/>
          <w:sz w:val="24"/>
        </w:rPr>
        <w:t xml:space="preserve"> and lasted till the Macedonian advances in tactics made during the fourth century BC </w:t>
      </w:r>
      <w:r w:rsidR="003A2EFB">
        <w:rPr>
          <w:rFonts w:ascii="Times New Roman" w:hAnsi="Times New Roman" w:cs="Times New Roman"/>
          <w:sz w:val="24"/>
        </w:rPr>
        <w:t>replaced it</w:t>
      </w:r>
      <w:r w:rsidR="003A2EFB">
        <w:rPr>
          <w:rStyle w:val="FootnoteReference"/>
          <w:rFonts w:ascii="Times New Roman" w:hAnsi="Times New Roman" w:cs="Times New Roman"/>
          <w:sz w:val="24"/>
        </w:rPr>
        <w:footnoteReference w:id="13"/>
      </w:r>
      <w:r w:rsidR="003A2EFB">
        <w:rPr>
          <w:rFonts w:ascii="Times New Roman" w:hAnsi="Times New Roman" w:cs="Times New Roman"/>
          <w:sz w:val="24"/>
        </w:rPr>
        <w:t xml:space="preserve">. Scholarship wise, this </w:t>
      </w:r>
      <w:r w:rsidR="004D2ADA">
        <w:rPr>
          <w:rFonts w:ascii="Times New Roman" w:hAnsi="Times New Roman" w:cs="Times New Roman"/>
          <w:sz w:val="24"/>
        </w:rPr>
        <w:t xml:space="preserve">fits into the established scholarship of </w:t>
      </w:r>
      <w:r w:rsidR="00037BED">
        <w:rPr>
          <w:rFonts w:ascii="Times New Roman" w:hAnsi="Times New Roman" w:cs="Times New Roman"/>
          <w:sz w:val="24"/>
        </w:rPr>
        <w:t>this</w:t>
      </w:r>
      <w:r w:rsidR="004D2ADA">
        <w:rPr>
          <w:rFonts w:ascii="Times New Roman" w:hAnsi="Times New Roman" w:cs="Times New Roman"/>
          <w:sz w:val="24"/>
        </w:rPr>
        <w:t xml:space="preserve"> time, being identical to the observations made by both van Wees and Sidebottom in 2004.</w:t>
      </w:r>
      <w:r w:rsidR="00B8166A">
        <w:rPr>
          <w:rFonts w:ascii="Times New Roman" w:hAnsi="Times New Roman" w:cs="Times New Roman"/>
          <w:sz w:val="24"/>
        </w:rPr>
        <w:t xml:space="preserve"> In addition, Gehrke also wades into the scholarship on the social aspect of the hoplites, </w:t>
      </w:r>
      <w:r w:rsidR="00EB2DAF">
        <w:rPr>
          <w:rFonts w:ascii="Times New Roman" w:hAnsi="Times New Roman" w:cs="Times New Roman"/>
          <w:sz w:val="24"/>
        </w:rPr>
        <w:t>arguing like Tristan that the Hoplites required “a certain economic position</w:t>
      </w:r>
      <w:r w:rsidR="00EB2DAF">
        <w:rPr>
          <w:rStyle w:val="FootnoteReference"/>
          <w:rFonts w:ascii="Times New Roman" w:hAnsi="Times New Roman" w:cs="Times New Roman"/>
          <w:sz w:val="24"/>
        </w:rPr>
        <w:footnoteReference w:id="14"/>
      </w:r>
      <w:r w:rsidR="00EB2DAF">
        <w:rPr>
          <w:rFonts w:ascii="Times New Roman" w:hAnsi="Times New Roman" w:cs="Times New Roman"/>
          <w:sz w:val="24"/>
        </w:rPr>
        <w:t xml:space="preserve">” due to </w:t>
      </w:r>
      <w:r w:rsidR="0091687E">
        <w:rPr>
          <w:rFonts w:ascii="Times New Roman" w:hAnsi="Times New Roman" w:cs="Times New Roman"/>
          <w:sz w:val="24"/>
        </w:rPr>
        <w:t>the cost of privately equipping themselves. Similarly, Gehrke argues that it was the wealthier elements of society that made up the Hoplites, but notes that this included both the nobility and th</w:t>
      </w:r>
      <w:r w:rsidR="008C1AE7">
        <w:rPr>
          <w:rFonts w:ascii="Times New Roman" w:hAnsi="Times New Roman" w:cs="Times New Roman"/>
          <w:sz w:val="24"/>
        </w:rPr>
        <w:t>ose farmers who were affluent</w:t>
      </w:r>
      <w:r w:rsidR="00DC3466">
        <w:rPr>
          <w:rFonts w:ascii="Times New Roman" w:hAnsi="Times New Roman" w:cs="Times New Roman"/>
          <w:sz w:val="24"/>
        </w:rPr>
        <w:t xml:space="preserve">, who then adopted the customs and values of the nobility due to their time as hoplites. Furthermore, </w:t>
      </w:r>
      <w:r w:rsidR="00855616">
        <w:rPr>
          <w:rFonts w:ascii="Times New Roman" w:hAnsi="Times New Roman" w:cs="Times New Roman"/>
          <w:sz w:val="24"/>
        </w:rPr>
        <w:t>the status of Hoplites outside of active duty also is of significance, with Gehrke proposing that they became an elevated middle class in ancient Greek cities, acting between the lower orders and the aristocracy</w:t>
      </w:r>
      <w:r w:rsidR="00855616">
        <w:rPr>
          <w:rStyle w:val="FootnoteReference"/>
          <w:rFonts w:ascii="Times New Roman" w:hAnsi="Times New Roman" w:cs="Times New Roman"/>
          <w:sz w:val="24"/>
        </w:rPr>
        <w:footnoteReference w:id="15"/>
      </w:r>
      <w:r w:rsidR="00855616">
        <w:rPr>
          <w:rFonts w:ascii="Times New Roman" w:hAnsi="Times New Roman" w:cs="Times New Roman"/>
          <w:sz w:val="24"/>
        </w:rPr>
        <w:t xml:space="preserve">. </w:t>
      </w:r>
      <w:r w:rsidR="00950DD3">
        <w:rPr>
          <w:rFonts w:ascii="Times New Roman" w:hAnsi="Times New Roman" w:cs="Times New Roman"/>
          <w:sz w:val="24"/>
        </w:rPr>
        <w:t xml:space="preserve">For the wider scholarship, this is </w:t>
      </w:r>
      <w:r w:rsidR="00C63FC5">
        <w:rPr>
          <w:rFonts w:ascii="Times New Roman" w:hAnsi="Times New Roman" w:cs="Times New Roman"/>
          <w:sz w:val="24"/>
        </w:rPr>
        <w:t xml:space="preserve">similar to what Tristan proposes 13 years later but it </w:t>
      </w:r>
      <w:r w:rsidR="00286C85">
        <w:rPr>
          <w:rFonts w:ascii="Times New Roman" w:hAnsi="Times New Roman" w:cs="Times New Roman"/>
          <w:sz w:val="24"/>
        </w:rPr>
        <w:t xml:space="preserve">is a much more expanded thesis and deals much more with the social elements of the </w:t>
      </w:r>
      <w:r w:rsidR="00F540CE">
        <w:rPr>
          <w:rFonts w:ascii="Times New Roman" w:hAnsi="Times New Roman" w:cs="Times New Roman"/>
          <w:sz w:val="24"/>
        </w:rPr>
        <w:t>hoplites outside of just recruitment. So overall it is a short but useful piece of scholarship for identifying key aspects of the hoplites.</w:t>
      </w:r>
    </w:p>
    <w:p w14:paraId="54F98924" w14:textId="6A5CCE63" w:rsidR="00F540CE" w:rsidRDefault="00E634A0" w:rsidP="00E86742">
      <w:pPr>
        <w:rPr>
          <w:rFonts w:ascii="Times New Roman" w:hAnsi="Times New Roman" w:cs="Times New Roman"/>
          <w:sz w:val="24"/>
        </w:rPr>
      </w:pPr>
      <w:r>
        <w:rPr>
          <w:rFonts w:ascii="Times New Roman" w:hAnsi="Times New Roman" w:cs="Times New Roman"/>
          <w:sz w:val="24"/>
        </w:rPr>
        <w:t>Another relatively short but useful piece of scholarship for understanding the hoplites and its role in warfare the article ‘Phalanx’ published in 2006 and written by Leonhard Burckhardt</w:t>
      </w:r>
      <w:r w:rsidR="008B38AD">
        <w:rPr>
          <w:rStyle w:val="FootnoteReference"/>
          <w:rFonts w:ascii="Times New Roman" w:hAnsi="Times New Roman" w:cs="Times New Roman"/>
          <w:sz w:val="24"/>
        </w:rPr>
        <w:footnoteReference w:id="16"/>
      </w:r>
      <w:r>
        <w:rPr>
          <w:rFonts w:ascii="Times New Roman" w:hAnsi="Times New Roman" w:cs="Times New Roman"/>
          <w:sz w:val="24"/>
        </w:rPr>
        <w:t xml:space="preserve">. </w:t>
      </w:r>
      <w:r w:rsidR="0026382F">
        <w:rPr>
          <w:rFonts w:ascii="Times New Roman" w:hAnsi="Times New Roman" w:cs="Times New Roman"/>
          <w:sz w:val="24"/>
        </w:rPr>
        <w:t xml:space="preserve">Unlike the two previous examples, this piece is overtly concerned with the style of fighting that the hoplites engaged in, and is less concerned with the social status of the hoplites. Burckhardt </w:t>
      </w:r>
      <w:r w:rsidR="00697C12">
        <w:rPr>
          <w:rFonts w:ascii="Times New Roman" w:hAnsi="Times New Roman" w:cs="Times New Roman"/>
          <w:sz w:val="24"/>
        </w:rPr>
        <w:t xml:space="preserve">focuses this article on the </w:t>
      </w:r>
      <w:r w:rsidR="008B38AD">
        <w:rPr>
          <w:rFonts w:ascii="Times New Roman" w:hAnsi="Times New Roman" w:cs="Times New Roman"/>
          <w:sz w:val="24"/>
        </w:rPr>
        <w:t>Phalanx, which was the battle formation most commonly used by the hoplites and how it was used by both the Greeks and the Macedonians. In regards to the scholarship, Burckhardt makes use of the Chigi Vase</w:t>
      </w:r>
      <w:r w:rsidR="00AD5C59">
        <w:rPr>
          <w:rStyle w:val="FootnoteReference"/>
          <w:rFonts w:ascii="Times New Roman" w:hAnsi="Times New Roman" w:cs="Times New Roman"/>
          <w:sz w:val="24"/>
        </w:rPr>
        <w:footnoteReference w:id="17"/>
      </w:r>
      <w:r w:rsidR="008B38AD">
        <w:rPr>
          <w:rFonts w:ascii="Times New Roman" w:hAnsi="Times New Roman" w:cs="Times New Roman"/>
          <w:sz w:val="24"/>
        </w:rPr>
        <w:t xml:space="preserve"> that Gehrke mentions in his article, and uses this to support his arguments. Like the two previous articles, Burckhardt argues that the hoplites were made up of those </w:t>
      </w:r>
      <w:r w:rsidR="00207F82">
        <w:rPr>
          <w:rFonts w:ascii="Times New Roman" w:hAnsi="Times New Roman" w:cs="Times New Roman"/>
          <w:sz w:val="24"/>
        </w:rPr>
        <w:t>who “could afford to equip themselves</w:t>
      </w:r>
      <w:r w:rsidR="00726B11">
        <w:rPr>
          <w:rStyle w:val="FootnoteReference"/>
          <w:rFonts w:ascii="Times New Roman" w:hAnsi="Times New Roman" w:cs="Times New Roman"/>
          <w:sz w:val="24"/>
        </w:rPr>
        <w:footnoteReference w:id="18"/>
      </w:r>
      <w:r w:rsidR="00726B11">
        <w:rPr>
          <w:rFonts w:ascii="Times New Roman" w:hAnsi="Times New Roman" w:cs="Times New Roman"/>
          <w:sz w:val="24"/>
        </w:rPr>
        <w:t>” but also points out that the soldiers had to “uniformly equipped and centrally led</w:t>
      </w:r>
      <w:r w:rsidR="00726B11">
        <w:rPr>
          <w:rStyle w:val="FootnoteReference"/>
          <w:rFonts w:ascii="Times New Roman" w:hAnsi="Times New Roman" w:cs="Times New Roman"/>
          <w:sz w:val="24"/>
        </w:rPr>
        <w:footnoteReference w:id="19"/>
      </w:r>
      <w:r w:rsidR="00726B11">
        <w:rPr>
          <w:rFonts w:ascii="Times New Roman" w:hAnsi="Times New Roman" w:cs="Times New Roman"/>
          <w:sz w:val="24"/>
        </w:rPr>
        <w:t>” implying that while hoplites had to supply their own equipment, diversity of arms was not particularly appreciated.</w:t>
      </w:r>
      <w:r w:rsidR="00AD5C59">
        <w:rPr>
          <w:rFonts w:ascii="Times New Roman" w:hAnsi="Times New Roman" w:cs="Times New Roman"/>
          <w:sz w:val="24"/>
        </w:rPr>
        <w:t xml:space="preserve"> </w:t>
      </w:r>
      <w:r w:rsidR="00726B11">
        <w:rPr>
          <w:rFonts w:ascii="Times New Roman" w:hAnsi="Times New Roman" w:cs="Times New Roman"/>
          <w:sz w:val="24"/>
        </w:rPr>
        <w:t xml:space="preserve"> </w:t>
      </w:r>
      <w:r w:rsidR="006B767F">
        <w:rPr>
          <w:rFonts w:ascii="Times New Roman" w:hAnsi="Times New Roman" w:cs="Times New Roman"/>
          <w:sz w:val="24"/>
        </w:rPr>
        <w:t xml:space="preserve">Burckhardt goes on to describe how the phalanx numbered eight ranks and was tightly formed to provide protection to the other soldiers in the formation. From this it is possible to </w:t>
      </w:r>
      <w:r w:rsidR="00037BED">
        <w:rPr>
          <w:rFonts w:ascii="Times New Roman" w:hAnsi="Times New Roman" w:cs="Times New Roman"/>
          <w:sz w:val="24"/>
        </w:rPr>
        <w:t>infer</w:t>
      </w:r>
      <w:r w:rsidR="00534761">
        <w:rPr>
          <w:rFonts w:ascii="Times New Roman" w:hAnsi="Times New Roman" w:cs="Times New Roman"/>
          <w:sz w:val="24"/>
        </w:rPr>
        <w:t xml:space="preserve"> that </w:t>
      </w:r>
      <w:r w:rsidR="000D4355">
        <w:rPr>
          <w:rFonts w:ascii="Times New Roman" w:hAnsi="Times New Roman" w:cs="Times New Roman"/>
          <w:sz w:val="24"/>
        </w:rPr>
        <w:t>a certain degree of training was required to master this formation and the hoplites were not simply hastily formed units. Moreover, the use of “Today it is recognised…</w:t>
      </w:r>
      <w:r w:rsidR="000D4355">
        <w:rPr>
          <w:rStyle w:val="FootnoteReference"/>
          <w:rFonts w:ascii="Times New Roman" w:hAnsi="Times New Roman" w:cs="Times New Roman"/>
          <w:sz w:val="24"/>
        </w:rPr>
        <w:footnoteReference w:id="20"/>
      </w:r>
      <w:r w:rsidR="000D4355">
        <w:rPr>
          <w:rFonts w:ascii="Times New Roman" w:hAnsi="Times New Roman" w:cs="Times New Roman"/>
          <w:sz w:val="24"/>
        </w:rPr>
        <w:t xml:space="preserve">” by Burckhardt to open the paragraph gives an insight to the state of the scholarship around the time of 2006. </w:t>
      </w:r>
      <w:r w:rsidR="005D6B4C">
        <w:rPr>
          <w:rFonts w:ascii="Times New Roman" w:hAnsi="Times New Roman" w:cs="Times New Roman"/>
          <w:sz w:val="24"/>
        </w:rPr>
        <w:t>The language suggests that it was common belief among scholars of the ancient world that the phalanx was the primary battle formation</w:t>
      </w:r>
      <w:r w:rsidR="00EC7F63">
        <w:rPr>
          <w:rFonts w:ascii="Times New Roman" w:hAnsi="Times New Roman" w:cs="Times New Roman"/>
          <w:sz w:val="24"/>
        </w:rPr>
        <w:t xml:space="preserve"> and that at least by 2006, this particular argument had been settled by scholars. In comparison, this article matches the claims made by previous articles that the phalanx, and by extension the hoplite, remained the most important aspect of Greek warfare till the fourth century.</w:t>
      </w:r>
      <w:r w:rsidR="008A5433">
        <w:rPr>
          <w:rFonts w:ascii="Times New Roman" w:hAnsi="Times New Roman" w:cs="Times New Roman"/>
          <w:sz w:val="24"/>
        </w:rPr>
        <w:t xml:space="preserve"> In fact, Burckhardt goes onto describe the developments made by the Macedonians from the fourth century onwards.  </w:t>
      </w:r>
      <w:r w:rsidR="00851ED4">
        <w:rPr>
          <w:rFonts w:ascii="Times New Roman" w:hAnsi="Times New Roman" w:cs="Times New Roman"/>
          <w:sz w:val="24"/>
        </w:rPr>
        <w:t xml:space="preserve">Overall, the piece is again a useful article of scholarship due its dealings with the battlefield element of the Hoplites, but lacks the detail of the other articles in regards to the social or non-military aspects of the Hoplites. </w:t>
      </w:r>
    </w:p>
    <w:p w14:paraId="71424683" w14:textId="5CE256BA" w:rsidR="00851ED4" w:rsidRDefault="009669BB" w:rsidP="00E86742">
      <w:pPr>
        <w:rPr>
          <w:rFonts w:ascii="Times New Roman" w:hAnsi="Times New Roman" w:cs="Times New Roman"/>
          <w:sz w:val="24"/>
        </w:rPr>
      </w:pPr>
      <w:r>
        <w:rPr>
          <w:rFonts w:ascii="Times New Roman" w:hAnsi="Times New Roman" w:cs="Times New Roman"/>
          <w:sz w:val="24"/>
        </w:rPr>
        <w:t xml:space="preserve">An additional article that provides useful scholarship </w:t>
      </w:r>
      <w:r w:rsidR="00BC40AE">
        <w:rPr>
          <w:rFonts w:ascii="Times New Roman" w:hAnsi="Times New Roman" w:cs="Times New Roman"/>
          <w:sz w:val="24"/>
        </w:rPr>
        <w:t>in relation</w:t>
      </w:r>
      <w:r>
        <w:rPr>
          <w:rFonts w:ascii="Times New Roman" w:hAnsi="Times New Roman" w:cs="Times New Roman"/>
          <w:sz w:val="24"/>
        </w:rPr>
        <w:t xml:space="preserve"> to the hoplites is the article ‘Levy’</w:t>
      </w:r>
      <w:r w:rsidR="00DE0298">
        <w:rPr>
          <w:rFonts w:ascii="Times New Roman" w:hAnsi="Times New Roman" w:cs="Times New Roman"/>
          <w:sz w:val="24"/>
        </w:rPr>
        <w:t xml:space="preserve"> by </w:t>
      </w:r>
      <w:r w:rsidR="006B07A0">
        <w:rPr>
          <w:rFonts w:ascii="Times New Roman" w:hAnsi="Times New Roman" w:cs="Times New Roman"/>
          <w:sz w:val="24"/>
        </w:rPr>
        <w:t xml:space="preserve">the author of the previous article Leonhard Burckhardt </w:t>
      </w:r>
      <w:r w:rsidR="00DE0298">
        <w:rPr>
          <w:rFonts w:ascii="Times New Roman" w:hAnsi="Times New Roman" w:cs="Times New Roman"/>
          <w:sz w:val="24"/>
        </w:rPr>
        <w:t xml:space="preserve">published in 2006 in </w:t>
      </w:r>
      <w:r w:rsidR="006B07A0">
        <w:rPr>
          <w:rFonts w:ascii="Times New Roman" w:hAnsi="Times New Roman" w:cs="Times New Roman"/>
          <w:sz w:val="24"/>
        </w:rPr>
        <w:t>the same journal. This particular article deals again with the social standing of the hoplites, but focuses more specifically on the ability of the various powers during the classical period to raise troops. To begin, it asserted that it wasn’t until the seventh century BC that the more affluent farmers were taken on as hoplites</w:t>
      </w:r>
      <w:r w:rsidR="006B07A0">
        <w:rPr>
          <w:rStyle w:val="FootnoteReference"/>
          <w:rFonts w:ascii="Times New Roman" w:hAnsi="Times New Roman" w:cs="Times New Roman"/>
          <w:sz w:val="24"/>
        </w:rPr>
        <w:footnoteReference w:id="21"/>
      </w:r>
      <w:r w:rsidR="006B07A0">
        <w:rPr>
          <w:rFonts w:ascii="Times New Roman" w:hAnsi="Times New Roman" w:cs="Times New Roman"/>
          <w:sz w:val="24"/>
        </w:rPr>
        <w:t xml:space="preserve">, contrasting with the previously examined scholarship that placed no date on when more wealthy farmers were taken on as hoplites. </w:t>
      </w:r>
      <w:r w:rsidR="003F1405">
        <w:rPr>
          <w:rFonts w:ascii="Times New Roman" w:hAnsi="Times New Roman" w:cs="Times New Roman"/>
          <w:sz w:val="24"/>
        </w:rPr>
        <w:t xml:space="preserve">Moreover, it is argued that conscription </w:t>
      </w:r>
      <w:r w:rsidR="004B357D">
        <w:rPr>
          <w:rFonts w:ascii="Times New Roman" w:hAnsi="Times New Roman" w:cs="Times New Roman"/>
          <w:sz w:val="24"/>
        </w:rPr>
        <w:t xml:space="preserve">was a key part of recruitment for major powers, especially Athens who </w:t>
      </w:r>
      <w:r w:rsidR="006957A7">
        <w:rPr>
          <w:rFonts w:ascii="Times New Roman" w:hAnsi="Times New Roman" w:cs="Times New Roman"/>
          <w:sz w:val="24"/>
        </w:rPr>
        <w:t>levelled</w:t>
      </w:r>
      <w:r w:rsidR="004B357D">
        <w:rPr>
          <w:rFonts w:ascii="Times New Roman" w:hAnsi="Times New Roman" w:cs="Times New Roman"/>
          <w:sz w:val="24"/>
        </w:rPr>
        <w:t xml:space="preserve"> a law stating that all citizens were “liable for military service between their 18</w:t>
      </w:r>
      <w:r w:rsidR="004B357D" w:rsidRPr="004B357D">
        <w:rPr>
          <w:rFonts w:ascii="Times New Roman" w:hAnsi="Times New Roman" w:cs="Times New Roman"/>
          <w:sz w:val="24"/>
          <w:vertAlign w:val="superscript"/>
        </w:rPr>
        <w:t>th</w:t>
      </w:r>
      <w:r w:rsidR="004B357D">
        <w:rPr>
          <w:rFonts w:ascii="Times New Roman" w:hAnsi="Times New Roman" w:cs="Times New Roman"/>
          <w:sz w:val="24"/>
        </w:rPr>
        <w:t xml:space="preserve"> and 59</w:t>
      </w:r>
      <w:r w:rsidR="004B357D" w:rsidRPr="004B357D">
        <w:rPr>
          <w:rFonts w:ascii="Times New Roman" w:hAnsi="Times New Roman" w:cs="Times New Roman"/>
          <w:sz w:val="24"/>
          <w:vertAlign w:val="superscript"/>
        </w:rPr>
        <w:t>th</w:t>
      </w:r>
      <w:r w:rsidR="004B357D">
        <w:rPr>
          <w:rFonts w:ascii="Times New Roman" w:hAnsi="Times New Roman" w:cs="Times New Roman"/>
          <w:sz w:val="24"/>
        </w:rPr>
        <w:t xml:space="preserve"> year</w:t>
      </w:r>
      <w:r w:rsidR="004B357D">
        <w:rPr>
          <w:rStyle w:val="FootnoteReference"/>
          <w:rFonts w:ascii="Times New Roman" w:hAnsi="Times New Roman" w:cs="Times New Roman"/>
          <w:sz w:val="24"/>
        </w:rPr>
        <w:footnoteReference w:id="22"/>
      </w:r>
      <w:r w:rsidR="004B357D">
        <w:rPr>
          <w:rFonts w:ascii="Times New Roman" w:hAnsi="Times New Roman" w:cs="Times New Roman"/>
          <w:sz w:val="24"/>
        </w:rPr>
        <w:t>”</w:t>
      </w:r>
      <w:r w:rsidR="006957A7">
        <w:rPr>
          <w:rFonts w:ascii="Times New Roman" w:hAnsi="Times New Roman" w:cs="Times New Roman"/>
          <w:sz w:val="24"/>
        </w:rPr>
        <w:t xml:space="preserve">. Again, there is no mention of this in the other pieces of scholarship that have been covered in this review, potentially due to it either not being relevant or any just emerging as a scholarly position at this time. To continue, Burckhardt goes on to put figures to potential number of hoplites </w:t>
      </w:r>
      <w:r w:rsidR="00BC40AE">
        <w:rPr>
          <w:rFonts w:ascii="Times New Roman" w:hAnsi="Times New Roman" w:cs="Times New Roman"/>
          <w:sz w:val="24"/>
        </w:rPr>
        <w:t>levied</w:t>
      </w:r>
      <w:r w:rsidR="006957A7">
        <w:rPr>
          <w:rFonts w:ascii="Times New Roman" w:hAnsi="Times New Roman" w:cs="Times New Roman"/>
          <w:sz w:val="24"/>
        </w:rPr>
        <w:t xml:space="preserve"> by the various powers in the period. For example, he proposes that Athens </w:t>
      </w:r>
      <w:r w:rsidR="00535087">
        <w:rPr>
          <w:rFonts w:ascii="Times New Roman" w:hAnsi="Times New Roman" w:cs="Times New Roman"/>
          <w:sz w:val="24"/>
        </w:rPr>
        <w:t>had a “potential of 10,000 hoplites</w:t>
      </w:r>
      <w:r w:rsidR="00535087">
        <w:rPr>
          <w:rStyle w:val="FootnoteReference"/>
          <w:rFonts w:ascii="Times New Roman" w:hAnsi="Times New Roman" w:cs="Times New Roman"/>
          <w:sz w:val="24"/>
        </w:rPr>
        <w:footnoteReference w:id="23"/>
      </w:r>
      <w:r w:rsidR="00535087">
        <w:rPr>
          <w:rFonts w:ascii="Times New Roman" w:hAnsi="Times New Roman" w:cs="Times New Roman"/>
          <w:sz w:val="24"/>
        </w:rPr>
        <w:t>” with that number rising to 13,000 in 431 BC</w:t>
      </w:r>
      <w:r w:rsidR="00535087">
        <w:rPr>
          <w:rStyle w:val="FootnoteReference"/>
          <w:rFonts w:ascii="Times New Roman" w:hAnsi="Times New Roman" w:cs="Times New Roman"/>
          <w:sz w:val="24"/>
        </w:rPr>
        <w:footnoteReference w:id="24"/>
      </w:r>
      <w:r w:rsidR="00535087">
        <w:rPr>
          <w:rFonts w:ascii="Times New Roman" w:hAnsi="Times New Roman" w:cs="Times New Roman"/>
          <w:sz w:val="24"/>
        </w:rPr>
        <w:t xml:space="preserve">. These numbers of taken from works written by Thucydides, making them trustworthy estimates. However, it is worth noting here that a discrepancy in scholarship occurs, with Burckhardt </w:t>
      </w:r>
      <w:r w:rsidR="00A166E9">
        <w:rPr>
          <w:rFonts w:ascii="Times New Roman" w:hAnsi="Times New Roman" w:cs="Times New Roman"/>
          <w:sz w:val="24"/>
        </w:rPr>
        <w:t>not mentioning the fact that the hoplites also served in the navies, stating that it was allies or the lowers classes that served in the fleets</w:t>
      </w:r>
      <w:r w:rsidR="00A166E9">
        <w:rPr>
          <w:rStyle w:val="FootnoteReference"/>
          <w:rFonts w:ascii="Times New Roman" w:hAnsi="Times New Roman" w:cs="Times New Roman"/>
          <w:sz w:val="24"/>
        </w:rPr>
        <w:footnoteReference w:id="25"/>
      </w:r>
      <w:r w:rsidR="00A166E9">
        <w:rPr>
          <w:rFonts w:ascii="Times New Roman" w:hAnsi="Times New Roman" w:cs="Times New Roman"/>
          <w:sz w:val="24"/>
        </w:rPr>
        <w:t>. This shows that in 2006, the scholarship on Athenian marines was developing still and that the consensus till at least 2017 was that different units were employed on ships, a point rendered mute by the scholarship of Tristan</w:t>
      </w:r>
      <w:r w:rsidR="00A166E9">
        <w:rPr>
          <w:rStyle w:val="FootnoteReference"/>
          <w:rFonts w:ascii="Times New Roman" w:hAnsi="Times New Roman" w:cs="Times New Roman"/>
          <w:sz w:val="24"/>
        </w:rPr>
        <w:footnoteReference w:id="26"/>
      </w:r>
      <w:r w:rsidR="00A166E9">
        <w:rPr>
          <w:rFonts w:ascii="Times New Roman" w:hAnsi="Times New Roman" w:cs="Times New Roman"/>
          <w:sz w:val="24"/>
        </w:rPr>
        <w:t xml:space="preserve">. While this </w:t>
      </w:r>
      <w:r w:rsidR="00037BED">
        <w:rPr>
          <w:rFonts w:ascii="Times New Roman" w:hAnsi="Times New Roman" w:cs="Times New Roman"/>
          <w:sz w:val="24"/>
        </w:rPr>
        <w:t>discrepancy</w:t>
      </w:r>
      <w:r w:rsidR="00A166E9">
        <w:rPr>
          <w:rFonts w:ascii="Times New Roman" w:hAnsi="Times New Roman" w:cs="Times New Roman"/>
          <w:sz w:val="24"/>
        </w:rPr>
        <w:t xml:space="preserve"> exits, it does not detract much from the usefulness and insight of the article overall. Burckhardt goes on to discuss the numbers that could be raised by Sparta, Boeotia and the Macedonians, citing key battles and the estimated numbers involved by these sides. Also, there is discussion of the role that mercenaries played from the 5</w:t>
      </w:r>
      <w:r w:rsidR="00A166E9" w:rsidRPr="00A166E9">
        <w:rPr>
          <w:rFonts w:ascii="Times New Roman" w:hAnsi="Times New Roman" w:cs="Times New Roman"/>
          <w:sz w:val="24"/>
          <w:vertAlign w:val="superscript"/>
        </w:rPr>
        <w:t>th</w:t>
      </w:r>
      <w:r w:rsidR="00A166E9">
        <w:rPr>
          <w:rFonts w:ascii="Times New Roman" w:hAnsi="Times New Roman" w:cs="Times New Roman"/>
          <w:sz w:val="24"/>
        </w:rPr>
        <w:t xml:space="preserve"> century onwards and how they impacted </w:t>
      </w:r>
      <w:r w:rsidR="00BC40AE">
        <w:rPr>
          <w:rFonts w:ascii="Times New Roman" w:hAnsi="Times New Roman" w:cs="Times New Roman"/>
          <w:sz w:val="24"/>
        </w:rPr>
        <w:t xml:space="preserve">recruitment. So overall, the article, while containing scholarship that was later disproven, it is still a useful source for understanding the scale of hoplite recruitment and warfare. </w:t>
      </w:r>
    </w:p>
    <w:p w14:paraId="7EE6C91D" w14:textId="4A339BDB" w:rsidR="00BC40AE" w:rsidRDefault="00BC40AE" w:rsidP="00E86742">
      <w:pPr>
        <w:rPr>
          <w:rFonts w:ascii="Times New Roman" w:hAnsi="Times New Roman" w:cs="Times New Roman"/>
          <w:sz w:val="24"/>
        </w:rPr>
      </w:pPr>
      <w:r>
        <w:rPr>
          <w:rFonts w:ascii="Times New Roman" w:hAnsi="Times New Roman" w:cs="Times New Roman"/>
          <w:sz w:val="24"/>
        </w:rPr>
        <w:t xml:space="preserve">In conclusion, each of the articles discussed in this review contain valuable elements of scholarship that help aid in understanding of the role of the hoplite in ancient warfare. Burckhardt’s discussion of the tactics of the hoplites helps picture battles more clearly, while his work on the levy’s city-states could produce helps set a scale for the size of warfare in the classical period. </w:t>
      </w:r>
      <w:r w:rsidR="00037BED">
        <w:rPr>
          <w:rFonts w:ascii="Times New Roman" w:hAnsi="Times New Roman" w:cs="Times New Roman"/>
          <w:sz w:val="24"/>
        </w:rPr>
        <w:t xml:space="preserve">Moreover, Gehrke’s scholarship on the equipment and general standing of the hoplite, gives us an understanding of what elements of society actually went to war, as well as the reasoning as to why such men would join up to begin with. Finally, Tristan’s work on the naval hoplites helps fill out the multifaceted role that Hoplites played in the ancient world, detailing how these units were the same as those who would fight on land. Therefore, it is possible to conclude that the scholarship in regards to the hoplites was agreed by the latest 2006, with certain discrepancies being fixed by 2017. </w:t>
      </w:r>
    </w:p>
    <w:p w14:paraId="114C748E" w14:textId="77777777" w:rsidR="002D055B" w:rsidRDefault="002D055B" w:rsidP="00E86742">
      <w:pPr>
        <w:rPr>
          <w:rFonts w:ascii="Times New Roman" w:hAnsi="Times New Roman" w:cs="Times New Roman"/>
          <w:sz w:val="24"/>
        </w:rPr>
      </w:pPr>
    </w:p>
    <w:p w14:paraId="6CD38F57" w14:textId="2B348253" w:rsidR="00854D36" w:rsidRPr="00F013DA" w:rsidRDefault="00854D36" w:rsidP="00E86742">
      <w:pPr>
        <w:rPr>
          <w:rFonts w:ascii="Times New Roman" w:hAnsi="Times New Roman" w:cs="Times New Roman"/>
          <w:b/>
          <w:sz w:val="28"/>
          <w:u w:val="single"/>
        </w:rPr>
      </w:pPr>
      <w:r w:rsidRPr="00F013DA">
        <w:rPr>
          <w:rFonts w:ascii="Times New Roman" w:hAnsi="Times New Roman" w:cs="Times New Roman"/>
          <w:b/>
          <w:sz w:val="28"/>
          <w:u w:val="single"/>
        </w:rPr>
        <w:t>Bibliography</w:t>
      </w:r>
    </w:p>
    <w:p w14:paraId="048B37B5" w14:textId="72A0488E" w:rsidR="008B38AD" w:rsidRDefault="008B38AD" w:rsidP="008B38AD">
      <w:pPr>
        <w:rPr>
          <w:rFonts w:ascii="Times New Roman" w:hAnsi="Times New Roman" w:cs="Times New Roman"/>
          <w:sz w:val="24"/>
        </w:rPr>
      </w:pPr>
      <w:r w:rsidRPr="008B38AD">
        <w:rPr>
          <w:rFonts w:ascii="Times New Roman" w:hAnsi="Times New Roman" w:cs="Times New Roman"/>
          <w:sz w:val="24"/>
        </w:rPr>
        <w:t xml:space="preserve">Burckhardt, Leonhard (Basle), “Phalanx”, in: Brill’s New Pauly, Antiquity volumes edited by: Hubert Cancik </w:t>
      </w:r>
      <w:r w:rsidR="00037BED" w:rsidRPr="008B38AD">
        <w:rPr>
          <w:rFonts w:ascii="Times New Roman" w:hAnsi="Times New Roman" w:cs="Times New Roman"/>
          <w:sz w:val="24"/>
        </w:rPr>
        <w:t>and,</w:t>
      </w:r>
      <w:r w:rsidRPr="008B38AD">
        <w:rPr>
          <w:rFonts w:ascii="Times New Roman" w:hAnsi="Times New Roman" w:cs="Times New Roman"/>
          <w:sz w:val="24"/>
        </w:rPr>
        <w:t xml:space="preserve"> Helmuth Schneider, English Edition by: Christine F. Salazar, Classical Tradition volumes edited by: Manfred Landfester, English Edition by: Francis G. Gentry. Consulted online on 07 December 2018 </w:t>
      </w:r>
      <w:hyperlink r:id="rId8" w:history="1">
        <w:r w:rsidRPr="0012140F">
          <w:rPr>
            <w:rStyle w:val="Hyperlink"/>
            <w:rFonts w:ascii="Times New Roman" w:hAnsi="Times New Roman" w:cs="Times New Roman"/>
            <w:sz w:val="24"/>
          </w:rPr>
          <w:t>http://dx.doi.org.ezproxy.uwtsd.ac.uk/10.1163/1574-9347_bnp_e917830</w:t>
        </w:r>
      </w:hyperlink>
    </w:p>
    <w:p w14:paraId="050EA1B4" w14:textId="06A715ED" w:rsidR="00851ED4" w:rsidRDefault="00851ED4" w:rsidP="00851ED4">
      <w:pPr>
        <w:rPr>
          <w:rFonts w:ascii="Times New Roman" w:hAnsi="Times New Roman" w:cs="Times New Roman"/>
          <w:sz w:val="24"/>
        </w:rPr>
      </w:pPr>
      <w:r w:rsidRPr="00851ED4">
        <w:rPr>
          <w:rFonts w:ascii="Times New Roman" w:hAnsi="Times New Roman" w:cs="Times New Roman"/>
          <w:sz w:val="24"/>
        </w:rPr>
        <w:t xml:space="preserve">Burckhardt, Leonhard (Basle) and Campbell, J. Brian (Belfast), “Levy”, in: Brill’s New Pauly, Antiquity volumes edited by: Hubert Cancik </w:t>
      </w:r>
      <w:r w:rsidR="00037BED" w:rsidRPr="00851ED4">
        <w:rPr>
          <w:rFonts w:ascii="Times New Roman" w:hAnsi="Times New Roman" w:cs="Times New Roman"/>
          <w:sz w:val="24"/>
        </w:rPr>
        <w:t>and,</w:t>
      </w:r>
      <w:r w:rsidRPr="00851ED4">
        <w:rPr>
          <w:rFonts w:ascii="Times New Roman" w:hAnsi="Times New Roman" w:cs="Times New Roman"/>
          <w:sz w:val="24"/>
        </w:rPr>
        <w:t xml:space="preserve"> Helmuth Schneider, English Edition by: Christine F. Salazar, Classical Tradition volumes edited by: Manfred Landfester, English Edition by: Francis G. Gentry. Consulted online on 07 December 2018 </w:t>
      </w:r>
      <w:hyperlink r:id="rId9" w:history="1">
        <w:r w:rsidRPr="0012140F">
          <w:rPr>
            <w:rStyle w:val="Hyperlink"/>
            <w:rFonts w:ascii="Times New Roman" w:hAnsi="Times New Roman" w:cs="Times New Roman"/>
            <w:sz w:val="24"/>
          </w:rPr>
          <w:t>http://dx.doi.org.ezproxy.uwtsd.ac.uk/10.1163/1574-9347_bnp_e1221790</w:t>
        </w:r>
      </w:hyperlink>
    </w:p>
    <w:p w14:paraId="5300DFEA" w14:textId="4D04A894" w:rsidR="00F500A7" w:rsidRDefault="00F500A7" w:rsidP="00851ED4">
      <w:pPr>
        <w:rPr>
          <w:rFonts w:ascii="Times New Roman" w:hAnsi="Times New Roman" w:cs="Times New Roman"/>
          <w:sz w:val="24"/>
        </w:rPr>
      </w:pPr>
      <w:r w:rsidRPr="00362E21">
        <w:rPr>
          <w:rFonts w:ascii="Times New Roman" w:hAnsi="Times New Roman" w:cs="Times New Roman"/>
          <w:sz w:val="24"/>
        </w:rPr>
        <w:t xml:space="preserve">Gehrke, Hans-Joachim (Freiburg), “Hoplitai”, in: Brill’s New Pauly, Antiquity volumes edited by: Hubert Cancik and, Helmuth Schneider, English Edition by: Christine F. Salazar, Classical Tradition volumes edited by: Manfred Landfester, English Edition by: Francis G. Gentry. Consulted online on 07 December 2018 </w:t>
      </w:r>
      <w:hyperlink r:id="rId10" w:history="1">
        <w:r w:rsidRPr="0012140F">
          <w:rPr>
            <w:rStyle w:val="Hyperlink"/>
            <w:rFonts w:ascii="Times New Roman" w:hAnsi="Times New Roman" w:cs="Times New Roman"/>
            <w:sz w:val="24"/>
          </w:rPr>
          <w:t>http://dx.doi.org.ezproxy.uwtsd.ac.uk/10.1163/1574-9347_bnp_e517190</w:t>
        </w:r>
      </w:hyperlink>
    </w:p>
    <w:p w14:paraId="12797E73" w14:textId="0717E7CD" w:rsidR="00F500A7" w:rsidRDefault="00F500A7" w:rsidP="00F500A7">
      <w:pPr>
        <w:rPr>
          <w:rFonts w:ascii="Times New Roman" w:hAnsi="Times New Roman" w:cs="Times New Roman"/>
          <w:sz w:val="24"/>
        </w:rPr>
      </w:pPr>
      <w:r>
        <w:rPr>
          <w:rFonts w:ascii="Times New Roman" w:hAnsi="Times New Roman" w:cs="Times New Roman"/>
          <w:sz w:val="24"/>
        </w:rPr>
        <w:t>H., Sidebottom, Ancient Warfare: A Very Short Introduction. Oxford: Oxford University Press, 2004</w:t>
      </w:r>
    </w:p>
    <w:p w14:paraId="3B244D22" w14:textId="00607EF7" w:rsidR="00F500A7" w:rsidRDefault="00F500A7" w:rsidP="00F500A7">
      <w:pPr>
        <w:rPr>
          <w:rFonts w:ascii="Times New Roman" w:hAnsi="Times New Roman" w:cs="Times New Roman"/>
          <w:sz w:val="24"/>
        </w:rPr>
      </w:pPr>
      <w:r w:rsidRPr="00F500A7">
        <w:rPr>
          <w:rFonts w:ascii="Times New Roman" w:hAnsi="Times New Roman" w:cs="Times New Roman"/>
          <w:sz w:val="24"/>
        </w:rPr>
        <w:t xml:space="preserve">Herzogenrath-Amelung, Tristan. "Naval Hoplites: Social Status and Combat Reality of Classical Greek Epibatai." </w:t>
      </w:r>
      <w:r w:rsidR="004039AE" w:rsidRPr="00F500A7">
        <w:rPr>
          <w:rFonts w:ascii="Times New Roman" w:hAnsi="Times New Roman" w:cs="Times New Roman"/>
          <w:sz w:val="24"/>
        </w:rPr>
        <w:t>Historia:</w:t>
      </w:r>
      <w:r w:rsidRPr="00F500A7">
        <w:rPr>
          <w:rFonts w:ascii="Times New Roman" w:hAnsi="Times New Roman" w:cs="Times New Roman"/>
          <w:sz w:val="24"/>
        </w:rPr>
        <w:t xml:space="preserve"> Zeitschrift Für Alte Geschichte 66, no. 1 (2017): 45-64.</w:t>
      </w:r>
    </w:p>
    <w:p w14:paraId="59F4CCA1" w14:textId="77777777" w:rsidR="00F500A7" w:rsidRDefault="00F500A7" w:rsidP="00F500A7">
      <w:pPr>
        <w:rPr>
          <w:rFonts w:ascii="Times New Roman" w:hAnsi="Times New Roman" w:cs="Times New Roman"/>
          <w:sz w:val="24"/>
        </w:rPr>
      </w:pPr>
      <w:r>
        <w:rPr>
          <w:rFonts w:ascii="Times New Roman" w:hAnsi="Times New Roman" w:cs="Times New Roman"/>
          <w:sz w:val="24"/>
        </w:rPr>
        <w:t xml:space="preserve">H. V. Wees, Greek Warfare: Myths and Realities. London: Bristol Classical Press, 2004. </w:t>
      </w:r>
    </w:p>
    <w:p w14:paraId="1D3078DD" w14:textId="77777777" w:rsidR="00851ED4" w:rsidRDefault="00851ED4" w:rsidP="00851ED4">
      <w:pPr>
        <w:rPr>
          <w:rFonts w:ascii="Times New Roman" w:hAnsi="Times New Roman" w:cs="Times New Roman"/>
          <w:sz w:val="24"/>
        </w:rPr>
      </w:pPr>
    </w:p>
    <w:p w14:paraId="281871A3" w14:textId="77777777" w:rsidR="00851ED4" w:rsidRPr="00851ED4" w:rsidRDefault="00851ED4" w:rsidP="00851ED4">
      <w:pPr>
        <w:rPr>
          <w:rFonts w:ascii="Times New Roman" w:hAnsi="Times New Roman" w:cs="Times New Roman"/>
          <w:sz w:val="24"/>
        </w:rPr>
      </w:pPr>
    </w:p>
    <w:p w14:paraId="7AAFEAE3" w14:textId="77777777" w:rsidR="00F500A7" w:rsidRPr="00E86742" w:rsidRDefault="00F500A7">
      <w:pPr>
        <w:rPr>
          <w:rFonts w:ascii="Times New Roman" w:hAnsi="Times New Roman" w:cs="Times New Roman"/>
          <w:sz w:val="24"/>
        </w:rPr>
      </w:pPr>
    </w:p>
    <w:sectPr w:rsidR="00F500A7" w:rsidRPr="00E867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865818" w14:textId="77777777" w:rsidR="005312E2" w:rsidRDefault="005312E2" w:rsidP="005312E2">
      <w:pPr>
        <w:spacing w:after="0" w:line="240" w:lineRule="auto"/>
      </w:pPr>
      <w:r>
        <w:separator/>
      </w:r>
    </w:p>
  </w:endnote>
  <w:endnote w:type="continuationSeparator" w:id="0">
    <w:p w14:paraId="5308AFCB" w14:textId="77777777" w:rsidR="005312E2" w:rsidRDefault="005312E2" w:rsidP="00531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B9221" w14:textId="77777777" w:rsidR="005312E2" w:rsidRDefault="005312E2" w:rsidP="005312E2">
      <w:pPr>
        <w:spacing w:after="0" w:line="240" w:lineRule="auto"/>
      </w:pPr>
      <w:r>
        <w:separator/>
      </w:r>
    </w:p>
  </w:footnote>
  <w:footnote w:type="continuationSeparator" w:id="0">
    <w:p w14:paraId="135CD0C3" w14:textId="77777777" w:rsidR="005312E2" w:rsidRDefault="005312E2" w:rsidP="005312E2">
      <w:pPr>
        <w:spacing w:after="0" w:line="240" w:lineRule="auto"/>
      </w:pPr>
      <w:r>
        <w:continuationSeparator/>
      </w:r>
    </w:p>
  </w:footnote>
  <w:footnote w:id="1">
    <w:p w14:paraId="2664B108" w14:textId="72AAEAC1" w:rsidR="005312E2" w:rsidRDefault="005312E2">
      <w:pPr>
        <w:pStyle w:val="FootnoteText"/>
      </w:pPr>
      <w:r>
        <w:rPr>
          <w:rStyle w:val="FootnoteReference"/>
        </w:rPr>
        <w:footnoteRef/>
      </w:r>
      <w:r>
        <w:t xml:space="preserve"> </w:t>
      </w:r>
      <w:r w:rsidR="00A20A72" w:rsidRPr="00A20A72">
        <w:t xml:space="preserve">Herzogenrath-Amelung, Tristan. "Naval Hoplites: Social Status and Combat Reality of Classical Greek Epibatai *." </w:t>
      </w:r>
      <w:r w:rsidR="004039AE" w:rsidRPr="00A20A72">
        <w:t>Historia:</w:t>
      </w:r>
      <w:r w:rsidR="00A20A72" w:rsidRPr="00A20A72">
        <w:t xml:space="preserve"> Zeitschrift Für Alte Geschichte 66, no. 1 (2017): </w:t>
      </w:r>
      <w:r w:rsidR="00564349">
        <w:t>45</w:t>
      </w:r>
    </w:p>
  </w:footnote>
  <w:footnote w:id="2">
    <w:p w14:paraId="01C11022" w14:textId="14AF8EF2" w:rsidR="005312E2" w:rsidRDefault="005312E2">
      <w:pPr>
        <w:pStyle w:val="FootnoteText"/>
      </w:pPr>
      <w:r>
        <w:rPr>
          <w:rStyle w:val="FootnoteReference"/>
        </w:rPr>
        <w:footnoteRef/>
      </w:r>
      <w:r>
        <w:t xml:space="preserve"> </w:t>
      </w:r>
      <w:r w:rsidR="00A20A72">
        <w:t xml:space="preserve">Ibid. </w:t>
      </w:r>
      <w:r w:rsidR="00564349">
        <w:t>4</w:t>
      </w:r>
      <w:r w:rsidR="00A20A72">
        <w:t>5</w:t>
      </w:r>
    </w:p>
  </w:footnote>
  <w:footnote w:id="3">
    <w:p w14:paraId="62E79991" w14:textId="5E1E32A1" w:rsidR="00840445" w:rsidRDefault="00840445">
      <w:pPr>
        <w:pStyle w:val="FootnoteText"/>
      </w:pPr>
      <w:r>
        <w:rPr>
          <w:rStyle w:val="FootnoteReference"/>
        </w:rPr>
        <w:footnoteRef/>
      </w:r>
      <w:r>
        <w:t xml:space="preserve"> </w:t>
      </w:r>
      <w:r w:rsidR="00A20A72">
        <w:t xml:space="preserve">Ibid. </w:t>
      </w:r>
      <w:r w:rsidR="00564349">
        <w:t>47</w:t>
      </w:r>
    </w:p>
  </w:footnote>
  <w:footnote w:id="4">
    <w:p w14:paraId="485CA1EC" w14:textId="3D2E29EA" w:rsidR="008A660E" w:rsidRDefault="008A660E">
      <w:pPr>
        <w:pStyle w:val="FootnoteText"/>
      </w:pPr>
      <w:r>
        <w:rPr>
          <w:rStyle w:val="FootnoteReference"/>
        </w:rPr>
        <w:footnoteRef/>
      </w:r>
      <w:r>
        <w:t xml:space="preserve"> </w:t>
      </w:r>
      <w:r w:rsidR="00A20A72">
        <w:t xml:space="preserve">Ibid. </w:t>
      </w:r>
      <w:r w:rsidR="00564349">
        <w:t>48</w:t>
      </w:r>
    </w:p>
  </w:footnote>
  <w:footnote w:id="5">
    <w:p w14:paraId="262F85E3" w14:textId="3B6BA255" w:rsidR="0001601E" w:rsidRDefault="0001601E">
      <w:pPr>
        <w:pStyle w:val="FootnoteText"/>
      </w:pPr>
      <w:r>
        <w:rPr>
          <w:rStyle w:val="FootnoteReference"/>
        </w:rPr>
        <w:footnoteRef/>
      </w:r>
      <w:r>
        <w:t xml:space="preserve"> </w:t>
      </w:r>
      <w:r w:rsidR="00A20A72">
        <w:t xml:space="preserve">Ibid. </w:t>
      </w:r>
      <w:r>
        <w:t>49</w:t>
      </w:r>
    </w:p>
  </w:footnote>
  <w:footnote w:id="6">
    <w:p w14:paraId="49774797" w14:textId="00DE9798" w:rsidR="0000196E" w:rsidRDefault="0000196E">
      <w:pPr>
        <w:pStyle w:val="FootnoteText"/>
      </w:pPr>
      <w:r>
        <w:rPr>
          <w:rStyle w:val="FootnoteReference"/>
        </w:rPr>
        <w:footnoteRef/>
      </w:r>
      <w:r>
        <w:t xml:space="preserve"> </w:t>
      </w:r>
      <w:r w:rsidR="00A20A72">
        <w:t xml:space="preserve">Ibid. </w:t>
      </w:r>
      <w:r>
        <w:t>50</w:t>
      </w:r>
    </w:p>
  </w:footnote>
  <w:footnote w:id="7">
    <w:p w14:paraId="797BFCB1" w14:textId="6DB7D3EC" w:rsidR="00C06866" w:rsidRDefault="00C06866">
      <w:pPr>
        <w:pStyle w:val="FootnoteText"/>
      </w:pPr>
      <w:r>
        <w:rPr>
          <w:rStyle w:val="FootnoteReference"/>
        </w:rPr>
        <w:footnoteRef/>
      </w:r>
      <w:r>
        <w:t xml:space="preserve"> </w:t>
      </w:r>
      <w:r w:rsidR="00A20A72">
        <w:t xml:space="preserve">Ibid. </w:t>
      </w:r>
      <w:r>
        <w:t>53</w:t>
      </w:r>
    </w:p>
  </w:footnote>
  <w:footnote w:id="8">
    <w:p w14:paraId="69D3EE6E" w14:textId="0AADFAFA" w:rsidR="00FF5FEC" w:rsidRDefault="00FF5FEC">
      <w:pPr>
        <w:pStyle w:val="FootnoteText"/>
      </w:pPr>
      <w:r>
        <w:rPr>
          <w:rStyle w:val="FootnoteReference"/>
        </w:rPr>
        <w:footnoteRef/>
      </w:r>
      <w:r w:rsidR="00A20A72">
        <w:t xml:space="preserve"> Ibid. </w:t>
      </w:r>
      <w:r>
        <w:t xml:space="preserve"> 47</w:t>
      </w:r>
    </w:p>
  </w:footnote>
  <w:footnote w:id="9">
    <w:p w14:paraId="4BD7D554" w14:textId="420BF81B" w:rsidR="00667919" w:rsidRDefault="00667919">
      <w:pPr>
        <w:pStyle w:val="FootnoteText"/>
      </w:pPr>
      <w:r>
        <w:rPr>
          <w:rStyle w:val="FootnoteReference"/>
        </w:rPr>
        <w:footnoteRef/>
      </w:r>
      <w:r>
        <w:t xml:space="preserve"> </w:t>
      </w:r>
      <w:r w:rsidRPr="00667919">
        <w:t xml:space="preserve">Gehrke, Hans-Joachim (Freiburg), “Hoplitai”, in: Brill’s New Pauly, Antiquity volumes edited by: Hubert Cancik </w:t>
      </w:r>
      <w:r w:rsidR="00037BED" w:rsidRPr="00667919">
        <w:t>and,</w:t>
      </w:r>
      <w:r w:rsidRPr="00667919">
        <w:t xml:space="preserve"> Helmuth Schneider, English Edition by: Christine F. Salazar, Classical Tradition volumes edited by: Manfred Landfester, English Edition by: Francis G. Gentry. Consulted online on 07 December 2018 &lt;http://dx.doi.org.ezproxy.uwtsd.ac.uk/10.1163/1574-9347_bnp_e517190&gt;</w:t>
      </w:r>
    </w:p>
  </w:footnote>
  <w:footnote w:id="10">
    <w:p w14:paraId="2144D14B" w14:textId="236587C7" w:rsidR="00F43EA8" w:rsidRDefault="00F43EA8">
      <w:pPr>
        <w:pStyle w:val="FootnoteText"/>
      </w:pPr>
      <w:r>
        <w:rPr>
          <w:rStyle w:val="FootnoteReference"/>
        </w:rPr>
        <w:footnoteRef/>
      </w:r>
      <w:r>
        <w:t xml:space="preserve"> Ibid</w:t>
      </w:r>
    </w:p>
  </w:footnote>
  <w:footnote w:id="11">
    <w:p w14:paraId="6F3DD4FC" w14:textId="251A4611" w:rsidR="00F43EA8" w:rsidRDefault="00F43EA8">
      <w:pPr>
        <w:pStyle w:val="FootnoteText"/>
      </w:pPr>
      <w:r>
        <w:rPr>
          <w:rStyle w:val="FootnoteReference"/>
        </w:rPr>
        <w:footnoteRef/>
      </w:r>
      <w:r>
        <w:t xml:space="preserve"> Ibid</w:t>
      </w:r>
    </w:p>
  </w:footnote>
  <w:footnote w:id="12">
    <w:p w14:paraId="6E384D2D" w14:textId="358D9EA5" w:rsidR="00AE2E38" w:rsidRDefault="00AE2E38">
      <w:pPr>
        <w:pStyle w:val="FootnoteText"/>
      </w:pPr>
      <w:r>
        <w:rPr>
          <w:rStyle w:val="FootnoteReference"/>
        </w:rPr>
        <w:footnoteRef/>
      </w:r>
      <w:r>
        <w:t xml:space="preserve"> Ibid </w:t>
      </w:r>
    </w:p>
  </w:footnote>
  <w:footnote w:id="13">
    <w:p w14:paraId="7AD571D5" w14:textId="40898BB8" w:rsidR="003A2EFB" w:rsidRDefault="003A2EFB">
      <w:pPr>
        <w:pStyle w:val="FootnoteText"/>
      </w:pPr>
      <w:r>
        <w:rPr>
          <w:rStyle w:val="FootnoteReference"/>
        </w:rPr>
        <w:footnoteRef/>
      </w:r>
      <w:r>
        <w:t xml:space="preserve"> Ibid</w:t>
      </w:r>
    </w:p>
  </w:footnote>
  <w:footnote w:id="14">
    <w:p w14:paraId="54AA22D7" w14:textId="5B6E0E63" w:rsidR="00EB2DAF" w:rsidRDefault="00EB2DAF">
      <w:pPr>
        <w:pStyle w:val="FootnoteText"/>
      </w:pPr>
      <w:r>
        <w:rPr>
          <w:rStyle w:val="FootnoteReference"/>
        </w:rPr>
        <w:footnoteRef/>
      </w:r>
      <w:r>
        <w:t xml:space="preserve"> </w:t>
      </w:r>
      <w:r w:rsidR="0077006C">
        <w:t>Ibid</w:t>
      </w:r>
    </w:p>
  </w:footnote>
  <w:footnote w:id="15">
    <w:p w14:paraId="67DE0A91" w14:textId="2C848FE8" w:rsidR="00855616" w:rsidRDefault="00855616">
      <w:pPr>
        <w:pStyle w:val="FootnoteText"/>
      </w:pPr>
      <w:r>
        <w:rPr>
          <w:rStyle w:val="FootnoteReference"/>
        </w:rPr>
        <w:footnoteRef/>
      </w:r>
      <w:r>
        <w:t xml:space="preserve"> </w:t>
      </w:r>
      <w:r w:rsidR="0077006C">
        <w:t>Ibid</w:t>
      </w:r>
    </w:p>
  </w:footnote>
  <w:footnote w:id="16">
    <w:p w14:paraId="3C00773E" w14:textId="78EB5C83" w:rsidR="0077006C" w:rsidRDefault="008B38AD">
      <w:pPr>
        <w:pStyle w:val="FootnoteText"/>
      </w:pPr>
      <w:r>
        <w:rPr>
          <w:rStyle w:val="FootnoteReference"/>
        </w:rPr>
        <w:footnoteRef/>
      </w:r>
      <w:r>
        <w:t xml:space="preserve"> </w:t>
      </w:r>
      <w:r w:rsidR="0077006C" w:rsidRPr="0077006C">
        <w:t xml:space="preserve">Burckhardt, Leonhard (Basle), “Phalanx”, in: Brill’s New Pauly, Antiquity volumes edited by: Hubert Cancik and, Helmuth Schneider, English Edition by: Christine F. Salazar, Classical Tradition volumes edited by: Manfred Landfester, English Edition by: Francis G. Gentry. Consulted online on 07 December 2018 </w:t>
      </w:r>
      <w:hyperlink r:id="rId1" w:history="1">
        <w:r w:rsidR="0077006C" w:rsidRPr="0012140F">
          <w:rPr>
            <w:rStyle w:val="Hyperlink"/>
          </w:rPr>
          <w:t>http://dx.doi.org.ezproxy.uwtsd.ac.uk/10.1163/1574-9347_bnp_e917830</w:t>
        </w:r>
      </w:hyperlink>
    </w:p>
  </w:footnote>
  <w:footnote w:id="17">
    <w:p w14:paraId="581245EA" w14:textId="621E7C78" w:rsidR="00AD5C59" w:rsidRDefault="00AD5C59">
      <w:pPr>
        <w:pStyle w:val="FootnoteText"/>
      </w:pPr>
      <w:r>
        <w:rPr>
          <w:rStyle w:val="FootnoteReference"/>
        </w:rPr>
        <w:footnoteRef/>
      </w:r>
      <w:r>
        <w:t xml:space="preserve"> </w:t>
      </w:r>
      <w:r w:rsidR="0077006C">
        <w:t>Ibid</w:t>
      </w:r>
    </w:p>
  </w:footnote>
  <w:footnote w:id="18">
    <w:p w14:paraId="04BED47B" w14:textId="27795C81" w:rsidR="00726B11" w:rsidRDefault="00726B11">
      <w:pPr>
        <w:pStyle w:val="FootnoteText"/>
      </w:pPr>
      <w:r>
        <w:rPr>
          <w:rStyle w:val="FootnoteReference"/>
        </w:rPr>
        <w:footnoteRef/>
      </w:r>
      <w:r>
        <w:t xml:space="preserve"> </w:t>
      </w:r>
      <w:r w:rsidR="0077006C">
        <w:t>Ibid</w:t>
      </w:r>
    </w:p>
  </w:footnote>
  <w:footnote w:id="19">
    <w:p w14:paraId="72202A51" w14:textId="73248185" w:rsidR="00726B11" w:rsidRDefault="00726B11">
      <w:pPr>
        <w:pStyle w:val="FootnoteText"/>
      </w:pPr>
      <w:r>
        <w:rPr>
          <w:rStyle w:val="FootnoteReference"/>
        </w:rPr>
        <w:footnoteRef/>
      </w:r>
      <w:r>
        <w:t xml:space="preserve"> </w:t>
      </w:r>
      <w:r w:rsidR="0077006C">
        <w:t>Ibid</w:t>
      </w:r>
    </w:p>
  </w:footnote>
  <w:footnote w:id="20">
    <w:p w14:paraId="22196239" w14:textId="36E3FB9E" w:rsidR="000D4355" w:rsidRDefault="000D4355">
      <w:pPr>
        <w:pStyle w:val="FootnoteText"/>
      </w:pPr>
      <w:r>
        <w:rPr>
          <w:rStyle w:val="FootnoteReference"/>
        </w:rPr>
        <w:footnoteRef/>
      </w:r>
      <w:r>
        <w:t xml:space="preserve"> </w:t>
      </w:r>
      <w:r w:rsidR="0077006C">
        <w:t>Ibid</w:t>
      </w:r>
    </w:p>
  </w:footnote>
  <w:footnote w:id="21">
    <w:p w14:paraId="57E0EDE9" w14:textId="2E4E3DC0" w:rsidR="006B07A0" w:rsidRDefault="006B07A0" w:rsidP="006B07A0">
      <w:pPr>
        <w:pStyle w:val="FootnoteText"/>
      </w:pPr>
      <w:r>
        <w:rPr>
          <w:rStyle w:val="FootnoteReference"/>
        </w:rPr>
        <w:footnoteRef/>
      </w:r>
      <w:r>
        <w:t xml:space="preserve"> </w:t>
      </w:r>
      <w:r>
        <w:t xml:space="preserve">Burckhardt, Leonhard (Basle) and Campbell, J. Brian (Belfast), “Levy”, in: Brill’s New Pauly, Antiquity volumes edited by: Hubert Cancik </w:t>
      </w:r>
      <w:r w:rsidR="00037BED">
        <w:t>and,</w:t>
      </w:r>
      <w:r>
        <w:t xml:space="preserve"> Helmuth Schneider, English Edition by: Christine F. Salazar, Classical Tradition volumes edited by: Manfred Landfester, English Edition by: Francis G. Gentry. Consulted online on 07 December 2018 </w:t>
      </w:r>
      <w:hyperlink r:id="rId2" w:history="1">
        <w:r w:rsidRPr="0012140F">
          <w:rPr>
            <w:rStyle w:val="Hyperlink"/>
          </w:rPr>
          <w:t>http://dx.doi.org.ezproxy.uwtsd.ac.uk/10.1163/1574-9347_bnp_e1221790</w:t>
        </w:r>
      </w:hyperlink>
    </w:p>
  </w:footnote>
  <w:footnote w:id="22">
    <w:p w14:paraId="2BF76218" w14:textId="56132F52" w:rsidR="004B357D" w:rsidRDefault="004B357D">
      <w:pPr>
        <w:pStyle w:val="FootnoteText"/>
      </w:pPr>
      <w:r>
        <w:rPr>
          <w:rStyle w:val="FootnoteReference"/>
        </w:rPr>
        <w:footnoteRef/>
      </w:r>
      <w:r>
        <w:t xml:space="preserve"> </w:t>
      </w:r>
      <w:r w:rsidR="00535087">
        <w:t>Ibid. I</w:t>
      </w:r>
    </w:p>
  </w:footnote>
  <w:footnote w:id="23">
    <w:p w14:paraId="65EDEC41" w14:textId="346D5613" w:rsidR="00535087" w:rsidRDefault="00535087">
      <w:pPr>
        <w:pStyle w:val="FootnoteText"/>
      </w:pPr>
      <w:r>
        <w:rPr>
          <w:rStyle w:val="FootnoteReference"/>
        </w:rPr>
        <w:footnoteRef/>
      </w:r>
      <w:r>
        <w:t xml:space="preserve"> Ibid. I</w:t>
      </w:r>
    </w:p>
  </w:footnote>
  <w:footnote w:id="24">
    <w:p w14:paraId="19FB35E7" w14:textId="65D4AEBC" w:rsidR="00535087" w:rsidRDefault="00535087">
      <w:pPr>
        <w:pStyle w:val="FootnoteText"/>
      </w:pPr>
      <w:r>
        <w:rPr>
          <w:rStyle w:val="FootnoteReference"/>
        </w:rPr>
        <w:footnoteRef/>
      </w:r>
      <w:r>
        <w:t xml:space="preserve"> Ibid. I </w:t>
      </w:r>
    </w:p>
  </w:footnote>
  <w:footnote w:id="25">
    <w:p w14:paraId="17E7DE2A" w14:textId="285C4FDA" w:rsidR="00A166E9" w:rsidRDefault="00A166E9">
      <w:pPr>
        <w:pStyle w:val="FootnoteText"/>
      </w:pPr>
      <w:r>
        <w:rPr>
          <w:rStyle w:val="FootnoteReference"/>
        </w:rPr>
        <w:footnoteRef/>
      </w:r>
      <w:r>
        <w:t xml:space="preserve"> </w:t>
      </w:r>
      <w:r w:rsidR="00A20A72">
        <w:t>Ibid. I</w:t>
      </w:r>
    </w:p>
  </w:footnote>
  <w:footnote w:id="26">
    <w:p w14:paraId="19C5730D" w14:textId="480ADD49" w:rsidR="00A166E9" w:rsidRDefault="00A166E9">
      <w:pPr>
        <w:pStyle w:val="FootnoteText"/>
      </w:pPr>
      <w:r>
        <w:rPr>
          <w:rStyle w:val="FootnoteReference"/>
        </w:rPr>
        <w:footnoteRef/>
      </w:r>
      <w:r>
        <w:t xml:space="preserve"> </w:t>
      </w:r>
      <w:r w:rsidR="00812471" w:rsidRPr="00812471">
        <w:t xml:space="preserve">Herzogenrath-Amelung, Tristan. "Naval Hoplites: Social Status and Combat Reality of Classical Greek Epibatai." </w:t>
      </w:r>
      <w:r w:rsidR="004039AE" w:rsidRPr="00812471">
        <w:t>Historia:</w:t>
      </w:r>
      <w:r w:rsidR="00812471" w:rsidRPr="00812471">
        <w:t xml:space="preserve"> Zeitschrift Für Alte Geschichte 66, no. 1 (2017): 45-64.</w:t>
      </w:r>
      <w:bookmarkStart w:id="0" w:name="_GoBack"/>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E05E0C"/>
    <w:multiLevelType w:val="hybridMultilevel"/>
    <w:tmpl w:val="5F06E9A6"/>
    <w:lvl w:ilvl="0" w:tplc="3E64DB16">
      <w:start w:val="8"/>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CE4"/>
    <w:rsid w:val="0000196E"/>
    <w:rsid w:val="0001601E"/>
    <w:rsid w:val="00037BED"/>
    <w:rsid w:val="000A18BB"/>
    <w:rsid w:val="000D4355"/>
    <w:rsid w:val="001E1248"/>
    <w:rsid w:val="00207F82"/>
    <w:rsid w:val="00231DA9"/>
    <w:rsid w:val="0026382F"/>
    <w:rsid w:val="002705FD"/>
    <w:rsid w:val="00286C85"/>
    <w:rsid w:val="002A43DE"/>
    <w:rsid w:val="002A782D"/>
    <w:rsid w:val="002C39DF"/>
    <w:rsid w:val="002D055B"/>
    <w:rsid w:val="00350AE8"/>
    <w:rsid w:val="00362E21"/>
    <w:rsid w:val="003A2EFB"/>
    <w:rsid w:val="003C55BA"/>
    <w:rsid w:val="003D4538"/>
    <w:rsid w:val="003F1405"/>
    <w:rsid w:val="003F3D2F"/>
    <w:rsid w:val="004039AE"/>
    <w:rsid w:val="00411A22"/>
    <w:rsid w:val="0048050B"/>
    <w:rsid w:val="004B357D"/>
    <w:rsid w:val="004B456C"/>
    <w:rsid w:val="004D2ADA"/>
    <w:rsid w:val="005312E2"/>
    <w:rsid w:val="00534761"/>
    <w:rsid w:val="00535087"/>
    <w:rsid w:val="00564349"/>
    <w:rsid w:val="005D6B4C"/>
    <w:rsid w:val="00611C48"/>
    <w:rsid w:val="00667919"/>
    <w:rsid w:val="00672242"/>
    <w:rsid w:val="00677EED"/>
    <w:rsid w:val="006957A7"/>
    <w:rsid w:val="00697C12"/>
    <w:rsid w:val="00697D59"/>
    <w:rsid w:val="006B07A0"/>
    <w:rsid w:val="006B767F"/>
    <w:rsid w:val="00726B11"/>
    <w:rsid w:val="00751972"/>
    <w:rsid w:val="0077006C"/>
    <w:rsid w:val="007D439F"/>
    <w:rsid w:val="00812471"/>
    <w:rsid w:val="00840445"/>
    <w:rsid w:val="00851ED4"/>
    <w:rsid w:val="00854D36"/>
    <w:rsid w:val="00855616"/>
    <w:rsid w:val="00870CEB"/>
    <w:rsid w:val="008A5433"/>
    <w:rsid w:val="008A660E"/>
    <w:rsid w:val="008B38AD"/>
    <w:rsid w:val="008C1AE7"/>
    <w:rsid w:val="008D04D9"/>
    <w:rsid w:val="0091687E"/>
    <w:rsid w:val="00932A66"/>
    <w:rsid w:val="0094620D"/>
    <w:rsid w:val="00950DD3"/>
    <w:rsid w:val="009669BB"/>
    <w:rsid w:val="009C7CE4"/>
    <w:rsid w:val="00A166E9"/>
    <w:rsid w:val="00A20A72"/>
    <w:rsid w:val="00A33EA2"/>
    <w:rsid w:val="00AD2573"/>
    <w:rsid w:val="00AD5C59"/>
    <w:rsid w:val="00AE2E38"/>
    <w:rsid w:val="00AF0C56"/>
    <w:rsid w:val="00B5012B"/>
    <w:rsid w:val="00B744F3"/>
    <w:rsid w:val="00B8166A"/>
    <w:rsid w:val="00BC101D"/>
    <w:rsid w:val="00BC40AE"/>
    <w:rsid w:val="00C06866"/>
    <w:rsid w:val="00C2023B"/>
    <w:rsid w:val="00C63FC5"/>
    <w:rsid w:val="00D24E55"/>
    <w:rsid w:val="00D62DA0"/>
    <w:rsid w:val="00D75151"/>
    <w:rsid w:val="00DC3466"/>
    <w:rsid w:val="00DC6D7B"/>
    <w:rsid w:val="00DE0298"/>
    <w:rsid w:val="00E10850"/>
    <w:rsid w:val="00E15451"/>
    <w:rsid w:val="00E23F25"/>
    <w:rsid w:val="00E350DA"/>
    <w:rsid w:val="00E4391F"/>
    <w:rsid w:val="00E634A0"/>
    <w:rsid w:val="00E86742"/>
    <w:rsid w:val="00E90F1F"/>
    <w:rsid w:val="00EB2DAF"/>
    <w:rsid w:val="00EC7F63"/>
    <w:rsid w:val="00F013DA"/>
    <w:rsid w:val="00F15CC1"/>
    <w:rsid w:val="00F43EA8"/>
    <w:rsid w:val="00F500A7"/>
    <w:rsid w:val="00F540CE"/>
    <w:rsid w:val="00F823C4"/>
    <w:rsid w:val="00FB65AF"/>
    <w:rsid w:val="00FC6C41"/>
    <w:rsid w:val="00FF5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71077"/>
  <w15:chartTrackingRefBased/>
  <w15:docId w15:val="{ABB52E77-ED35-4E96-8FDD-45786ED52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7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74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D2573"/>
    <w:rPr>
      <w:color w:val="0563C1" w:themeColor="hyperlink"/>
      <w:u w:val="single"/>
    </w:rPr>
  </w:style>
  <w:style w:type="character" w:styleId="UnresolvedMention">
    <w:name w:val="Unresolved Mention"/>
    <w:basedOn w:val="DefaultParagraphFont"/>
    <w:uiPriority w:val="99"/>
    <w:semiHidden/>
    <w:unhideWhenUsed/>
    <w:rsid w:val="00AD2573"/>
    <w:rPr>
      <w:color w:val="605E5C"/>
      <w:shd w:val="clear" w:color="auto" w:fill="E1DFDD"/>
    </w:rPr>
  </w:style>
  <w:style w:type="paragraph" w:styleId="FootnoteText">
    <w:name w:val="footnote text"/>
    <w:basedOn w:val="Normal"/>
    <w:link w:val="FootnoteTextChar"/>
    <w:uiPriority w:val="99"/>
    <w:semiHidden/>
    <w:unhideWhenUsed/>
    <w:rsid w:val="005312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12E2"/>
    <w:rPr>
      <w:sz w:val="20"/>
      <w:szCs w:val="20"/>
    </w:rPr>
  </w:style>
  <w:style w:type="character" w:styleId="FootnoteReference">
    <w:name w:val="footnote reference"/>
    <w:basedOn w:val="DefaultParagraphFont"/>
    <w:uiPriority w:val="99"/>
    <w:semiHidden/>
    <w:unhideWhenUsed/>
    <w:rsid w:val="005312E2"/>
    <w:rPr>
      <w:vertAlign w:val="superscript"/>
    </w:rPr>
  </w:style>
  <w:style w:type="paragraph" w:styleId="ListParagraph">
    <w:name w:val="List Paragraph"/>
    <w:basedOn w:val="Normal"/>
    <w:uiPriority w:val="34"/>
    <w:qFormat/>
    <w:rsid w:val="00932A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34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ezproxy.uwtsd.ac.uk/10.1163/1574-9347_bnp_e91783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dx.doi.org.ezproxy.uwtsd.ac.uk/10.1163/1574-9347_bnp_e517190" TargetMode="External"/><Relationship Id="rId4" Type="http://schemas.openxmlformats.org/officeDocument/2006/relationships/settings" Target="settings.xml"/><Relationship Id="rId9" Type="http://schemas.openxmlformats.org/officeDocument/2006/relationships/hyperlink" Target="http://dx.doi.org.ezproxy.uwtsd.ac.uk/10.1163/1574-9347_bnp_e1221790"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dx.doi.org.ezproxy.uwtsd.ac.uk/10.1163/1574-9347_bnp_e1221790" TargetMode="External"/><Relationship Id="rId1" Type="http://schemas.openxmlformats.org/officeDocument/2006/relationships/hyperlink" Target="http://dx.doi.org.ezproxy.uwtsd.ac.uk/10.1163/1574-9347_bnp_e9178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14CA7-4C85-48C2-8E47-976DB137A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2074</TotalTime>
  <Pages>5</Pages>
  <Words>2015</Words>
  <Characters>11489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Smith</dc:creator>
  <cp:keywords/>
  <dc:description/>
  <cp:lastModifiedBy>Thomas Smith</cp:lastModifiedBy>
  <cp:revision>62</cp:revision>
  <dcterms:created xsi:type="dcterms:W3CDTF">2018-12-05T23:16:00Z</dcterms:created>
  <dcterms:modified xsi:type="dcterms:W3CDTF">2018-12-07T23:58:00Z</dcterms:modified>
</cp:coreProperties>
</file>