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1CA22769"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There are diverse opinions as regards the principle of judicial precedent in the United Kingdom legal system. Many are of the opinion that the principle is no longer needed and as such be declared otiose. This work will</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explore the hierarchy and contours of the UK justice system, the functions and significance of adhering to precedent. The advantages and disadvantages of Judicial precedent will be examined. The question as to whether precedent is relevant</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or not in the UK legal system will be succinctly accessed.</w:t>
      </w:r>
    </w:p>
    <w:p w14:paraId="03EBA160" w14:textId="77777777" w:rsidR="002E1D25" w:rsidRPr="002E1D25" w:rsidRDefault="002E1D25" w:rsidP="002E1D25">
      <w:pPr>
        <w:jc w:val="both"/>
        <w:rPr>
          <w:rFonts w:ascii="Times New Roman" w:hAnsi="Times New Roman" w:cs="Times New Roman"/>
          <w:sz w:val="24"/>
          <w:szCs w:val="24"/>
        </w:rPr>
      </w:pPr>
    </w:p>
    <w:p w14:paraId="00000002" w14:textId="2295B521"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As earlier </w:t>
      </w:r>
      <w:r w:rsidR="002E1D25" w:rsidRPr="002E1D25">
        <w:rPr>
          <w:rFonts w:ascii="Times New Roman" w:hAnsi="Times New Roman" w:cs="Times New Roman"/>
          <w:sz w:val="24"/>
          <w:szCs w:val="24"/>
        </w:rPr>
        <w:t>stated,</w:t>
      </w:r>
      <w:r w:rsidRPr="002E1D25">
        <w:rPr>
          <w:rFonts w:ascii="Times New Roman" w:hAnsi="Times New Roman" w:cs="Times New Roman"/>
          <w:sz w:val="24"/>
          <w:szCs w:val="24"/>
        </w:rPr>
        <w:t xml:space="preserve"> the UK court system operates in a hierarchical structure, with the Supreme Court at its apex, having replaced the House of Lords as the highest court in 2009. Below this sits the Court of Appeal, divided into Criminal and Civil Divisions, which handles appeals from the High Court and Crown Court. The High Court of Justice handles major civil cases and is divided into three divisions: Queen's Bench, Chancery, and Family Divisions. The Crown Court deals with serious criminal matters, while Magistrates' Courts handle minor criminal cases and some civil matters. In Scotland, the Court of Session is the supreme civil court, and the High Court of Justiciary serves as the supreme criminal court</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(Judiciary UK)</w:t>
      </w:r>
      <w:r w:rsidR="002E1D25">
        <w:rPr>
          <w:rFonts w:ascii="Times New Roman" w:hAnsi="Times New Roman" w:cs="Times New Roman"/>
          <w:sz w:val="24"/>
          <w:szCs w:val="24"/>
        </w:rPr>
        <w:t>.</w:t>
      </w:r>
    </w:p>
    <w:p w14:paraId="64528748" w14:textId="77777777" w:rsidR="002E1D25" w:rsidRPr="002E1D25" w:rsidRDefault="002E1D25" w:rsidP="002E1D25">
      <w:pPr>
        <w:jc w:val="both"/>
        <w:rPr>
          <w:rFonts w:ascii="Times New Roman" w:hAnsi="Times New Roman" w:cs="Times New Roman"/>
          <w:sz w:val="24"/>
          <w:szCs w:val="24"/>
        </w:rPr>
      </w:pPr>
    </w:p>
    <w:p w14:paraId="00000003" w14:textId="7BBCAE31"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The County Courts operate at the local level for civil cases, while specialized tribunals deal with specific areas of law such as employment or immigration. The system also includes coroners' courts for investigating deaths and administrative courts for reviewing government decisions. Each level serves distinct functions while maintaining the principle of precedent, where lower courts are bound by decisions of higher courts within their jurisdiction</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(Slapper and Jelly,</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2021)</w:t>
      </w:r>
      <w:r w:rsidR="002E1D25">
        <w:rPr>
          <w:rFonts w:ascii="Times New Roman" w:hAnsi="Times New Roman" w:cs="Times New Roman"/>
          <w:sz w:val="24"/>
          <w:szCs w:val="24"/>
        </w:rPr>
        <w:t>.</w:t>
      </w:r>
    </w:p>
    <w:p w14:paraId="10737D86" w14:textId="77777777" w:rsidR="002E1D25" w:rsidRPr="002E1D25" w:rsidRDefault="002E1D25" w:rsidP="002E1D25">
      <w:pPr>
        <w:jc w:val="both"/>
        <w:rPr>
          <w:rFonts w:ascii="Times New Roman" w:hAnsi="Times New Roman" w:cs="Times New Roman"/>
          <w:sz w:val="24"/>
          <w:szCs w:val="24"/>
        </w:rPr>
      </w:pPr>
    </w:p>
    <w:p w14:paraId="00000004" w14:textId="40E5BF39"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According to Barnett (2021), this hierarchical structure allows for thorough review of Judicial decisions which in turn consolidates the development of legal principles through case laws.</w:t>
      </w:r>
      <w:r w:rsidR="002E1D25">
        <w:rPr>
          <w:rFonts w:ascii="Times New Roman" w:hAnsi="Times New Roman" w:cs="Times New Roman"/>
          <w:sz w:val="24"/>
          <w:szCs w:val="24"/>
        </w:rPr>
        <w:t xml:space="preserve"> It ensures that decisions are consistently tested by the various </w:t>
      </w:r>
      <w:proofErr w:type="spellStart"/>
      <w:r w:rsidR="002E1D25">
        <w:rPr>
          <w:rFonts w:ascii="Times New Roman" w:hAnsi="Times New Roman" w:cs="Times New Roman"/>
          <w:sz w:val="24"/>
          <w:szCs w:val="24"/>
        </w:rPr>
        <w:t>stratas</w:t>
      </w:r>
      <w:proofErr w:type="spellEnd"/>
      <w:r w:rsidR="002E1D25">
        <w:rPr>
          <w:rFonts w:ascii="Times New Roman" w:hAnsi="Times New Roman" w:cs="Times New Roman"/>
          <w:sz w:val="24"/>
          <w:szCs w:val="24"/>
        </w:rPr>
        <w:t xml:space="preserve"> of the judiciary to ensure that there is clear conformity with laws and pronouncement of the courts.</w:t>
      </w:r>
    </w:p>
    <w:p w14:paraId="48E5BB1C" w14:textId="77777777" w:rsidR="002E1D25" w:rsidRPr="002E1D25" w:rsidRDefault="002E1D25" w:rsidP="002E1D25">
      <w:pPr>
        <w:jc w:val="both"/>
        <w:rPr>
          <w:rFonts w:ascii="Times New Roman" w:hAnsi="Times New Roman" w:cs="Times New Roman"/>
          <w:sz w:val="24"/>
          <w:szCs w:val="24"/>
        </w:rPr>
      </w:pPr>
    </w:p>
    <w:p w14:paraId="00000005" w14:textId="646CBDF9" w:rsidR="00A019E8" w:rsidRDefault="00A65CBD" w:rsidP="002E1D25">
      <w:pPr>
        <w:jc w:val="both"/>
        <w:rPr>
          <w:rFonts w:ascii="Times New Roman" w:hAnsi="Times New Roman" w:cs="Times New Roman"/>
          <w:sz w:val="24"/>
          <w:szCs w:val="24"/>
        </w:rPr>
      </w:pPr>
      <w:proofErr w:type="spellStart"/>
      <w:r w:rsidRPr="002E1D25">
        <w:rPr>
          <w:rFonts w:ascii="Times New Roman" w:hAnsi="Times New Roman" w:cs="Times New Roman"/>
          <w:sz w:val="24"/>
          <w:szCs w:val="24"/>
        </w:rPr>
        <w:t>Andril</w:t>
      </w:r>
      <w:proofErr w:type="spellEnd"/>
      <w:r w:rsidRPr="002E1D25">
        <w:rPr>
          <w:rFonts w:ascii="Times New Roman" w:hAnsi="Times New Roman" w:cs="Times New Roman"/>
          <w:sz w:val="24"/>
          <w:szCs w:val="24"/>
        </w:rPr>
        <w:t xml:space="preserve"> </w:t>
      </w:r>
      <w:proofErr w:type="spellStart"/>
      <w:r w:rsidRPr="002E1D25">
        <w:rPr>
          <w:rFonts w:ascii="Times New Roman" w:hAnsi="Times New Roman" w:cs="Times New Roman"/>
          <w:sz w:val="24"/>
          <w:szCs w:val="24"/>
        </w:rPr>
        <w:t>Varetskyi</w:t>
      </w:r>
      <w:proofErr w:type="spellEnd"/>
      <w:r w:rsidRPr="002E1D25">
        <w:rPr>
          <w:rFonts w:ascii="Times New Roman" w:hAnsi="Times New Roman" w:cs="Times New Roman"/>
          <w:sz w:val="24"/>
          <w:szCs w:val="24"/>
        </w:rPr>
        <w:t xml:space="preserve"> (2021) defined Judicial precedent as a Court's Judgment or decision that act as a guide for achieving the same result in subsequent cases. The term was derived from the Latin phrase, “Stare decisis et non </w:t>
      </w:r>
      <w:proofErr w:type="spellStart"/>
      <w:r w:rsidRPr="002E1D25">
        <w:rPr>
          <w:rFonts w:ascii="Times New Roman" w:hAnsi="Times New Roman" w:cs="Times New Roman"/>
          <w:sz w:val="24"/>
          <w:szCs w:val="24"/>
        </w:rPr>
        <w:t>quieta</w:t>
      </w:r>
      <w:proofErr w:type="spellEnd"/>
      <w:r w:rsidRPr="002E1D25">
        <w:rPr>
          <w:rFonts w:ascii="Times New Roman" w:hAnsi="Times New Roman" w:cs="Times New Roman"/>
          <w:sz w:val="24"/>
          <w:szCs w:val="24"/>
        </w:rPr>
        <w:t xml:space="preserve"> </w:t>
      </w:r>
      <w:proofErr w:type="spellStart"/>
      <w:r w:rsidRPr="002E1D25">
        <w:rPr>
          <w:rFonts w:ascii="Times New Roman" w:hAnsi="Times New Roman" w:cs="Times New Roman"/>
          <w:sz w:val="24"/>
          <w:szCs w:val="24"/>
        </w:rPr>
        <w:t>Movare</w:t>
      </w:r>
      <w:proofErr w:type="spellEnd"/>
      <w:r w:rsidRPr="002E1D25">
        <w:rPr>
          <w:rFonts w:ascii="Times New Roman" w:hAnsi="Times New Roman" w:cs="Times New Roman"/>
          <w:sz w:val="24"/>
          <w:szCs w:val="24"/>
        </w:rPr>
        <w:t xml:space="preserve">” which translates as sticking to a decision and avoiding disrupting what has been established. This common law principle precludes lower courts judges from reversing the decision of the Higher courts. They are enjoined to abide by the principle of stare decisis. It </w:t>
      </w:r>
      <w:proofErr w:type="gramStart"/>
      <w:r w:rsidRPr="002E1D25">
        <w:rPr>
          <w:rFonts w:ascii="Times New Roman" w:hAnsi="Times New Roman" w:cs="Times New Roman"/>
          <w:sz w:val="24"/>
          <w:szCs w:val="24"/>
        </w:rPr>
        <w:t>is considered to be</w:t>
      </w:r>
      <w:proofErr w:type="gramEnd"/>
      <w:r w:rsidRPr="002E1D25">
        <w:rPr>
          <w:rFonts w:ascii="Times New Roman" w:hAnsi="Times New Roman" w:cs="Times New Roman"/>
          <w:sz w:val="24"/>
          <w:szCs w:val="24"/>
        </w:rPr>
        <w:t xml:space="preserve"> a cornerstone of the common law system as it ensures consistency, stability and predictability by requiring lower courts to follow the decisions of higher courts.</w:t>
      </w:r>
    </w:p>
    <w:p w14:paraId="525BEBF2" w14:textId="77777777" w:rsidR="002E1D25" w:rsidRPr="002E1D25" w:rsidRDefault="002E1D25" w:rsidP="002E1D25">
      <w:pPr>
        <w:jc w:val="both"/>
        <w:rPr>
          <w:rFonts w:ascii="Times New Roman" w:hAnsi="Times New Roman" w:cs="Times New Roman"/>
          <w:sz w:val="24"/>
          <w:szCs w:val="24"/>
        </w:rPr>
      </w:pPr>
    </w:p>
    <w:p w14:paraId="00000006" w14:textId="51848E98"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Landmark decisions and cases underpin the idea and indispensability of precedent in the UK's legal system. For example, in the case of Donoghue v Stevenson </w:t>
      </w:r>
      <w:r w:rsidR="002E1D25">
        <w:rPr>
          <w:rFonts w:ascii="Times New Roman" w:hAnsi="Times New Roman" w:cs="Times New Roman"/>
          <w:sz w:val="24"/>
          <w:szCs w:val="24"/>
        </w:rPr>
        <w:t>[</w:t>
      </w:r>
      <w:r w:rsidRPr="002E1D25">
        <w:rPr>
          <w:rFonts w:ascii="Times New Roman" w:hAnsi="Times New Roman" w:cs="Times New Roman"/>
          <w:sz w:val="24"/>
          <w:szCs w:val="24"/>
        </w:rPr>
        <w:t>1932</w:t>
      </w:r>
      <w:r w:rsidR="002E1D25">
        <w:rPr>
          <w:rFonts w:ascii="Times New Roman" w:hAnsi="Times New Roman" w:cs="Times New Roman"/>
          <w:sz w:val="24"/>
          <w:szCs w:val="24"/>
        </w:rPr>
        <w:t>]</w:t>
      </w:r>
      <w:r w:rsidRPr="002E1D25">
        <w:rPr>
          <w:rFonts w:ascii="Times New Roman" w:hAnsi="Times New Roman" w:cs="Times New Roman"/>
          <w:sz w:val="24"/>
          <w:szCs w:val="24"/>
        </w:rPr>
        <w:t xml:space="preserve">, the concept of negligence was established thus setting the pace for a plethora of cases which bore the same similarity. Again, the case of R v R </w:t>
      </w:r>
      <w:r w:rsidR="002E1D25">
        <w:rPr>
          <w:rFonts w:ascii="Times New Roman" w:hAnsi="Times New Roman" w:cs="Times New Roman"/>
          <w:sz w:val="24"/>
          <w:szCs w:val="24"/>
        </w:rPr>
        <w:t>[</w:t>
      </w:r>
      <w:r w:rsidRPr="002E1D25">
        <w:rPr>
          <w:rFonts w:ascii="Times New Roman" w:hAnsi="Times New Roman" w:cs="Times New Roman"/>
          <w:sz w:val="24"/>
          <w:szCs w:val="24"/>
        </w:rPr>
        <w:t>1991</w:t>
      </w:r>
      <w:r w:rsidR="002E1D25">
        <w:rPr>
          <w:rFonts w:ascii="Times New Roman" w:hAnsi="Times New Roman" w:cs="Times New Roman"/>
          <w:sz w:val="24"/>
          <w:szCs w:val="24"/>
        </w:rPr>
        <w:t>]</w:t>
      </w:r>
      <w:r w:rsidRPr="002E1D25">
        <w:rPr>
          <w:rFonts w:ascii="Times New Roman" w:hAnsi="Times New Roman" w:cs="Times New Roman"/>
          <w:sz w:val="24"/>
          <w:szCs w:val="24"/>
        </w:rPr>
        <w:t xml:space="preserve"> laid down a precedent for </w:t>
      </w:r>
      <w:proofErr w:type="spellStart"/>
      <w:r w:rsidRPr="002E1D25">
        <w:rPr>
          <w:rFonts w:ascii="Times New Roman" w:hAnsi="Times New Roman" w:cs="Times New Roman"/>
          <w:sz w:val="24"/>
          <w:szCs w:val="24"/>
        </w:rPr>
        <w:t>recognising</w:t>
      </w:r>
      <w:proofErr w:type="spellEnd"/>
      <w:r w:rsidRPr="002E1D25">
        <w:rPr>
          <w:rFonts w:ascii="Times New Roman" w:hAnsi="Times New Roman" w:cs="Times New Roman"/>
          <w:sz w:val="24"/>
          <w:szCs w:val="24"/>
        </w:rPr>
        <w:t xml:space="preserve"> marital rape as a crime which </w:t>
      </w:r>
      <w:proofErr w:type="spellStart"/>
      <w:r w:rsidRPr="002E1D25">
        <w:rPr>
          <w:rFonts w:ascii="Times New Roman" w:hAnsi="Times New Roman" w:cs="Times New Roman"/>
          <w:sz w:val="24"/>
          <w:szCs w:val="24"/>
        </w:rPr>
        <w:lastRenderedPageBreak/>
        <w:t>resharpen</w:t>
      </w:r>
      <w:proofErr w:type="spellEnd"/>
      <w:r w:rsidRPr="002E1D25">
        <w:rPr>
          <w:rFonts w:ascii="Times New Roman" w:hAnsi="Times New Roman" w:cs="Times New Roman"/>
          <w:sz w:val="24"/>
          <w:szCs w:val="24"/>
        </w:rPr>
        <w:t xml:space="preserve"> the perception of obtaining consent within marriage. The House of Lords ruled that a husband may be found guilty of raping his wife (</w:t>
      </w:r>
      <w:proofErr w:type="spellStart"/>
      <w:r w:rsidRPr="002E1D25">
        <w:rPr>
          <w:rFonts w:ascii="Times New Roman" w:hAnsi="Times New Roman" w:cs="Times New Roman"/>
          <w:sz w:val="24"/>
          <w:szCs w:val="24"/>
        </w:rPr>
        <w:t>Bogdanor</w:t>
      </w:r>
      <w:proofErr w:type="spellEnd"/>
      <w:r w:rsidRPr="002E1D25">
        <w:rPr>
          <w:rFonts w:ascii="Times New Roman" w:hAnsi="Times New Roman" w:cs="Times New Roman"/>
          <w:sz w:val="24"/>
          <w:szCs w:val="24"/>
        </w:rPr>
        <w:t xml:space="preserve">, 2021) similarly, the case of </w:t>
      </w:r>
      <w:proofErr w:type="spellStart"/>
      <w:r w:rsidRPr="002E1D25">
        <w:rPr>
          <w:rFonts w:ascii="Times New Roman" w:hAnsi="Times New Roman" w:cs="Times New Roman"/>
          <w:sz w:val="24"/>
          <w:szCs w:val="24"/>
        </w:rPr>
        <w:t>Carlil</w:t>
      </w:r>
      <w:proofErr w:type="spellEnd"/>
      <w:r w:rsidRPr="002E1D25">
        <w:rPr>
          <w:rFonts w:ascii="Times New Roman" w:hAnsi="Times New Roman" w:cs="Times New Roman"/>
          <w:sz w:val="24"/>
          <w:szCs w:val="24"/>
        </w:rPr>
        <w:t xml:space="preserve"> v </w:t>
      </w:r>
      <w:r w:rsidR="002E1D25" w:rsidRPr="002E1D25">
        <w:rPr>
          <w:rFonts w:ascii="Times New Roman" w:hAnsi="Times New Roman" w:cs="Times New Roman"/>
          <w:sz w:val="24"/>
          <w:szCs w:val="24"/>
        </w:rPr>
        <w:t xml:space="preserve">Carbolic Smoke </w:t>
      </w:r>
      <w:r w:rsidRPr="002E1D25">
        <w:rPr>
          <w:rFonts w:ascii="Times New Roman" w:hAnsi="Times New Roman" w:cs="Times New Roman"/>
          <w:sz w:val="24"/>
          <w:szCs w:val="24"/>
        </w:rPr>
        <w:t xml:space="preserve">Ball </w:t>
      </w:r>
      <w:r w:rsidR="002E1D25" w:rsidRPr="002E1D25">
        <w:rPr>
          <w:rFonts w:ascii="Times New Roman" w:hAnsi="Times New Roman" w:cs="Times New Roman"/>
          <w:sz w:val="24"/>
          <w:szCs w:val="24"/>
        </w:rPr>
        <w:t>Co</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1883</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played a profound role in law of contract. The court of appeal laid foundational principles for modern contract law; particularly as it relates to advertising and unilateral offers. Entick v Carrington</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w:t>
      </w:r>
      <w:proofErr w:type="spellStart"/>
      <w:r w:rsidRPr="002E1D25">
        <w:rPr>
          <w:rFonts w:ascii="Times New Roman" w:hAnsi="Times New Roman" w:cs="Times New Roman"/>
          <w:sz w:val="24"/>
          <w:szCs w:val="24"/>
        </w:rPr>
        <w:t>Burset</w:t>
      </w:r>
      <w:proofErr w:type="spellEnd"/>
      <w:r w:rsidRPr="002E1D25">
        <w:rPr>
          <w:rFonts w:ascii="Times New Roman" w:hAnsi="Times New Roman" w:cs="Times New Roman"/>
          <w:sz w:val="24"/>
          <w:szCs w:val="24"/>
        </w:rPr>
        <w:t xml:space="preserve"> and Arvind) is another case that shaped judicial precedent in the UK. This case established the principle that individuals do have the right to privacy against the government Intrusion. The ruling court affirmed the right of citizens to privacy, expunged draconian government decisions, limiting the government power to conduct search without following laid down legal stipulations. There</w:t>
      </w:r>
      <w:r w:rsidR="002E1D25">
        <w:rPr>
          <w:rFonts w:ascii="Times New Roman" w:hAnsi="Times New Roman" w:cs="Times New Roman"/>
          <w:sz w:val="24"/>
          <w:szCs w:val="24"/>
        </w:rPr>
        <w:t xml:space="preserve"> are even more cases</w:t>
      </w:r>
      <w:r w:rsidRPr="002E1D25">
        <w:rPr>
          <w:rFonts w:ascii="Times New Roman" w:hAnsi="Times New Roman" w:cs="Times New Roman"/>
          <w:sz w:val="24"/>
          <w:szCs w:val="24"/>
        </w:rPr>
        <w:t xml:space="preserve"> that have molded Judicial precedent in the UK</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(Kumar)</w:t>
      </w:r>
      <w:r w:rsidR="002E1D25">
        <w:rPr>
          <w:rFonts w:ascii="Times New Roman" w:hAnsi="Times New Roman" w:cs="Times New Roman"/>
          <w:sz w:val="24"/>
          <w:szCs w:val="24"/>
        </w:rPr>
        <w:t>.</w:t>
      </w:r>
    </w:p>
    <w:p w14:paraId="655F37A8" w14:textId="77777777" w:rsidR="002E1D25" w:rsidRPr="002E1D25" w:rsidRDefault="002E1D25" w:rsidP="002E1D25">
      <w:pPr>
        <w:jc w:val="both"/>
        <w:rPr>
          <w:rFonts w:ascii="Times New Roman" w:hAnsi="Times New Roman" w:cs="Times New Roman"/>
          <w:sz w:val="24"/>
          <w:szCs w:val="24"/>
        </w:rPr>
      </w:pPr>
    </w:p>
    <w:p w14:paraId="00000007" w14:textId="10E70B17"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Judicial precedent has numerous benefits. First, Precedent fosters and protects expectations and provides stability in a legal system. According to Lewis</w:t>
      </w:r>
      <w:r w:rsidR="002E1D25">
        <w:rPr>
          <w:rFonts w:ascii="Times New Roman" w:hAnsi="Times New Roman" w:cs="Times New Roman"/>
          <w:sz w:val="24"/>
          <w:szCs w:val="24"/>
        </w:rPr>
        <w:t xml:space="preserve"> </w:t>
      </w:r>
      <w:r w:rsidRPr="002E1D25">
        <w:rPr>
          <w:rFonts w:ascii="Times New Roman" w:hAnsi="Times New Roman" w:cs="Times New Roman"/>
          <w:sz w:val="24"/>
          <w:szCs w:val="24"/>
        </w:rPr>
        <w:t xml:space="preserve">(2021) prior decisions map out the foundations and help guide actors in the legal system. This type of consistency promotes economic, </w:t>
      </w:r>
      <w:r w:rsidR="002E1D25" w:rsidRPr="002E1D25">
        <w:rPr>
          <w:rFonts w:ascii="Times New Roman" w:hAnsi="Times New Roman" w:cs="Times New Roman"/>
          <w:sz w:val="24"/>
          <w:szCs w:val="24"/>
        </w:rPr>
        <w:t>Political,</w:t>
      </w:r>
      <w:r w:rsidRPr="002E1D25">
        <w:rPr>
          <w:rFonts w:ascii="Times New Roman" w:hAnsi="Times New Roman" w:cs="Times New Roman"/>
          <w:sz w:val="24"/>
          <w:szCs w:val="24"/>
        </w:rPr>
        <w:t xml:space="preserve"> and social stability.</w:t>
      </w:r>
    </w:p>
    <w:p w14:paraId="0AA129C8" w14:textId="77777777" w:rsidR="002E1D25" w:rsidRPr="002E1D25" w:rsidRDefault="002E1D25" w:rsidP="002E1D25">
      <w:pPr>
        <w:jc w:val="both"/>
        <w:rPr>
          <w:rFonts w:ascii="Times New Roman" w:hAnsi="Times New Roman" w:cs="Times New Roman"/>
          <w:sz w:val="24"/>
          <w:szCs w:val="24"/>
        </w:rPr>
      </w:pPr>
    </w:p>
    <w:p w14:paraId="00000008" w14:textId="319C3AB2" w:rsidR="00A019E8" w:rsidRPr="002E1D25"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Second, Precedent promotes efficiency because judges rely on previous cases to reach a decision rather than develop new rules and principles altogether. Another advantage associated with judicial precedent is that it furthers the basic rules and values such as fairness, </w:t>
      </w:r>
      <w:proofErr w:type="gramStart"/>
      <w:r w:rsidRPr="002E1D25">
        <w:rPr>
          <w:rFonts w:ascii="Times New Roman" w:hAnsi="Times New Roman" w:cs="Times New Roman"/>
          <w:sz w:val="24"/>
          <w:szCs w:val="24"/>
        </w:rPr>
        <w:t>impartiality</w:t>
      </w:r>
      <w:proofErr w:type="gramEnd"/>
      <w:r w:rsidRPr="002E1D25">
        <w:rPr>
          <w:rFonts w:ascii="Times New Roman" w:hAnsi="Times New Roman" w:cs="Times New Roman"/>
          <w:sz w:val="24"/>
          <w:szCs w:val="24"/>
        </w:rPr>
        <w:t xml:space="preserve"> and equality. It serves as a guide, ensuring judges decide cases based on general norms and principles rather than personal inclinations and intuition. (Gee et al. 2020)</w:t>
      </w:r>
    </w:p>
    <w:p w14:paraId="40C4AF0D" w14:textId="77777777" w:rsidR="00B84A87"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Lastly, precedent reduces errors and limits judicial flaws. There is little or no room for errors as judges are exposed to </w:t>
      </w:r>
      <w:r w:rsidR="002E1D25">
        <w:rPr>
          <w:rFonts w:ascii="Times New Roman" w:hAnsi="Times New Roman" w:cs="Times New Roman"/>
          <w:sz w:val="24"/>
          <w:szCs w:val="24"/>
        </w:rPr>
        <w:t xml:space="preserve">both the advantages and disadvantages </w:t>
      </w:r>
      <w:r w:rsidRPr="002E1D25">
        <w:rPr>
          <w:rFonts w:ascii="Times New Roman" w:hAnsi="Times New Roman" w:cs="Times New Roman"/>
          <w:sz w:val="24"/>
          <w:szCs w:val="24"/>
        </w:rPr>
        <w:t>of previous decisions.</w:t>
      </w:r>
      <w:r w:rsidR="002E1D25">
        <w:rPr>
          <w:rFonts w:ascii="Times New Roman" w:hAnsi="Times New Roman" w:cs="Times New Roman"/>
          <w:sz w:val="24"/>
          <w:szCs w:val="24"/>
        </w:rPr>
        <w:t xml:space="preserve"> Furthermore, with precedent the judiciary can also filter the mood and direction of the society regarding various issues and readily bring their decisions in line with the progress of society.</w:t>
      </w:r>
    </w:p>
    <w:p w14:paraId="00000009" w14:textId="55CD51B7" w:rsidR="00A019E8" w:rsidRPr="002E1D25" w:rsidRDefault="002E1D25" w:rsidP="002E1D25">
      <w:pPr>
        <w:jc w:val="both"/>
        <w:rPr>
          <w:rFonts w:ascii="Times New Roman" w:hAnsi="Times New Roman" w:cs="Times New Roman"/>
          <w:sz w:val="24"/>
          <w:szCs w:val="24"/>
        </w:rPr>
      </w:pPr>
      <w:r>
        <w:rPr>
          <w:rFonts w:ascii="Times New Roman" w:hAnsi="Times New Roman" w:cs="Times New Roman"/>
          <w:sz w:val="24"/>
          <w:szCs w:val="24"/>
        </w:rPr>
        <w:t xml:space="preserve"> </w:t>
      </w:r>
    </w:p>
    <w:p w14:paraId="0000000A" w14:textId="46FD64E2"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Despite the advantages identified, </w:t>
      </w:r>
      <w:r w:rsidR="002E1D25">
        <w:rPr>
          <w:rFonts w:ascii="Times New Roman" w:hAnsi="Times New Roman" w:cs="Times New Roman"/>
          <w:sz w:val="24"/>
          <w:szCs w:val="24"/>
        </w:rPr>
        <w:t>p</w:t>
      </w:r>
      <w:r w:rsidRPr="002E1D25">
        <w:rPr>
          <w:rFonts w:ascii="Times New Roman" w:hAnsi="Times New Roman" w:cs="Times New Roman"/>
          <w:sz w:val="24"/>
          <w:szCs w:val="24"/>
        </w:rPr>
        <w:t xml:space="preserve">recedent is not without some pitfalls and disadvantages. One of the major </w:t>
      </w:r>
      <w:r w:rsidR="002E1D25" w:rsidRPr="002E1D25">
        <w:rPr>
          <w:rFonts w:ascii="Times New Roman" w:hAnsi="Times New Roman" w:cs="Times New Roman"/>
          <w:sz w:val="24"/>
          <w:szCs w:val="24"/>
        </w:rPr>
        <w:t>drawbacks</w:t>
      </w:r>
      <w:r w:rsidRPr="002E1D25">
        <w:rPr>
          <w:rFonts w:ascii="Times New Roman" w:hAnsi="Times New Roman" w:cs="Times New Roman"/>
          <w:sz w:val="24"/>
          <w:szCs w:val="24"/>
        </w:rPr>
        <w:t xml:space="preserve"> associated with judicial precedent is </w:t>
      </w:r>
      <w:r w:rsidR="002E1D25">
        <w:rPr>
          <w:rFonts w:ascii="Times New Roman" w:hAnsi="Times New Roman" w:cs="Times New Roman"/>
          <w:sz w:val="24"/>
          <w:szCs w:val="24"/>
        </w:rPr>
        <w:t xml:space="preserve">its </w:t>
      </w:r>
      <w:r w:rsidRPr="002E1D25">
        <w:rPr>
          <w:rFonts w:ascii="Times New Roman" w:hAnsi="Times New Roman" w:cs="Times New Roman"/>
          <w:sz w:val="24"/>
          <w:szCs w:val="24"/>
        </w:rPr>
        <w:t xml:space="preserve">rigidity. The slavish and strict adherence to precedent </w:t>
      </w:r>
      <w:r w:rsidR="002E1D25">
        <w:rPr>
          <w:rFonts w:ascii="Times New Roman" w:hAnsi="Times New Roman" w:cs="Times New Roman"/>
          <w:sz w:val="24"/>
          <w:szCs w:val="24"/>
        </w:rPr>
        <w:t>often</w:t>
      </w:r>
      <w:r w:rsidRPr="002E1D25">
        <w:rPr>
          <w:rFonts w:ascii="Times New Roman" w:hAnsi="Times New Roman" w:cs="Times New Roman"/>
          <w:sz w:val="24"/>
          <w:szCs w:val="24"/>
        </w:rPr>
        <w:t xml:space="preserve"> </w:t>
      </w:r>
      <w:r w:rsidR="002E1D25" w:rsidRPr="002E1D25">
        <w:rPr>
          <w:rFonts w:ascii="Times New Roman" w:hAnsi="Times New Roman" w:cs="Times New Roman"/>
          <w:sz w:val="24"/>
          <w:szCs w:val="24"/>
        </w:rPr>
        <w:t>leads</w:t>
      </w:r>
      <w:r w:rsidRPr="002E1D25">
        <w:rPr>
          <w:rFonts w:ascii="Times New Roman" w:hAnsi="Times New Roman" w:cs="Times New Roman"/>
          <w:sz w:val="24"/>
          <w:szCs w:val="24"/>
        </w:rPr>
        <w:t xml:space="preserve"> to rigid</w:t>
      </w:r>
      <w:r w:rsidR="002E1D25">
        <w:rPr>
          <w:rFonts w:ascii="Times New Roman" w:hAnsi="Times New Roman" w:cs="Times New Roman"/>
          <w:sz w:val="24"/>
          <w:szCs w:val="24"/>
        </w:rPr>
        <w:t xml:space="preserve"> application of decisions </w:t>
      </w:r>
      <w:proofErr w:type="spellStart"/>
      <w:r w:rsidR="002E1D25">
        <w:rPr>
          <w:rFonts w:ascii="Times New Roman" w:hAnsi="Times New Roman" w:cs="Times New Roman"/>
          <w:sz w:val="24"/>
          <w:szCs w:val="24"/>
        </w:rPr>
        <w:t>expecially</w:t>
      </w:r>
      <w:proofErr w:type="spellEnd"/>
      <w:r w:rsidR="002E1D25">
        <w:rPr>
          <w:rFonts w:ascii="Times New Roman" w:hAnsi="Times New Roman" w:cs="Times New Roman"/>
          <w:sz w:val="24"/>
          <w:szCs w:val="24"/>
        </w:rPr>
        <w:t xml:space="preserve"> by lower courts who are always inclined to follow the precedence of superior courts</w:t>
      </w:r>
      <w:r w:rsidR="00B84A87">
        <w:rPr>
          <w:rFonts w:ascii="Times New Roman" w:hAnsi="Times New Roman" w:cs="Times New Roman"/>
          <w:sz w:val="24"/>
          <w:szCs w:val="24"/>
        </w:rPr>
        <w:t xml:space="preserve">, </w:t>
      </w:r>
      <w:r w:rsidRPr="002E1D25">
        <w:rPr>
          <w:rFonts w:ascii="Times New Roman" w:hAnsi="Times New Roman" w:cs="Times New Roman"/>
          <w:sz w:val="24"/>
          <w:szCs w:val="24"/>
        </w:rPr>
        <w:t xml:space="preserve">hereby making it difficult to adapt to new changes.  Over reliance on previous decisions will stifle innovation. Adherence to obsolete </w:t>
      </w:r>
      <w:r w:rsidR="00B84A87">
        <w:rPr>
          <w:rFonts w:ascii="Times New Roman" w:hAnsi="Times New Roman" w:cs="Times New Roman"/>
          <w:sz w:val="24"/>
          <w:szCs w:val="24"/>
        </w:rPr>
        <w:t>p</w:t>
      </w:r>
      <w:r w:rsidRPr="002E1D25">
        <w:rPr>
          <w:rFonts w:ascii="Times New Roman" w:hAnsi="Times New Roman" w:cs="Times New Roman"/>
          <w:sz w:val="24"/>
          <w:szCs w:val="24"/>
        </w:rPr>
        <w:t xml:space="preserve">recedent is counterproductive when placed side by side with modern realities. Additionally, strict adherence to stare decisis reduces judicial activism and creativity in Judges. Most judges are mechanical in their reasoning due to following precedent </w:t>
      </w:r>
      <w:proofErr w:type="spellStart"/>
      <w:r w:rsidRPr="002E1D25">
        <w:rPr>
          <w:rFonts w:ascii="Times New Roman" w:hAnsi="Times New Roman" w:cs="Times New Roman"/>
          <w:sz w:val="24"/>
          <w:szCs w:val="24"/>
        </w:rPr>
        <w:t>stricto</w:t>
      </w:r>
      <w:proofErr w:type="spellEnd"/>
      <w:r w:rsidRPr="002E1D25">
        <w:rPr>
          <w:rFonts w:ascii="Times New Roman" w:hAnsi="Times New Roman" w:cs="Times New Roman"/>
          <w:sz w:val="24"/>
          <w:szCs w:val="24"/>
        </w:rPr>
        <w:t xml:space="preserve"> </w:t>
      </w:r>
      <w:proofErr w:type="spellStart"/>
      <w:r w:rsidRPr="002E1D25">
        <w:rPr>
          <w:rFonts w:ascii="Times New Roman" w:hAnsi="Times New Roman" w:cs="Times New Roman"/>
          <w:sz w:val="24"/>
          <w:szCs w:val="24"/>
        </w:rPr>
        <w:t>sensu</w:t>
      </w:r>
      <w:proofErr w:type="spellEnd"/>
      <w:r w:rsidRPr="002E1D25">
        <w:rPr>
          <w:rFonts w:ascii="Times New Roman" w:hAnsi="Times New Roman" w:cs="Times New Roman"/>
          <w:sz w:val="24"/>
          <w:szCs w:val="24"/>
        </w:rPr>
        <w:t>. This will discourage any form of progressive strides especially in Judicial activism</w:t>
      </w:r>
      <w:r w:rsidR="00B84A87">
        <w:rPr>
          <w:rFonts w:ascii="Times New Roman" w:hAnsi="Times New Roman" w:cs="Times New Roman"/>
          <w:sz w:val="24"/>
          <w:szCs w:val="24"/>
        </w:rPr>
        <w:t xml:space="preserve"> </w:t>
      </w:r>
      <w:r w:rsidRPr="002E1D25">
        <w:rPr>
          <w:rFonts w:ascii="Times New Roman" w:hAnsi="Times New Roman" w:cs="Times New Roman"/>
          <w:sz w:val="24"/>
          <w:szCs w:val="24"/>
        </w:rPr>
        <w:t>(Le Sueur, 2021)</w:t>
      </w:r>
      <w:r w:rsidR="00B84A87">
        <w:rPr>
          <w:rFonts w:ascii="Times New Roman" w:hAnsi="Times New Roman" w:cs="Times New Roman"/>
          <w:sz w:val="24"/>
          <w:szCs w:val="24"/>
        </w:rPr>
        <w:t>.</w:t>
      </w:r>
    </w:p>
    <w:p w14:paraId="021409EC" w14:textId="77777777" w:rsidR="00B84A87" w:rsidRPr="002E1D25" w:rsidRDefault="00B84A87" w:rsidP="002E1D25">
      <w:pPr>
        <w:jc w:val="both"/>
        <w:rPr>
          <w:rFonts w:ascii="Times New Roman" w:hAnsi="Times New Roman" w:cs="Times New Roman"/>
          <w:sz w:val="24"/>
          <w:szCs w:val="24"/>
        </w:rPr>
      </w:pPr>
    </w:p>
    <w:p w14:paraId="0000000B" w14:textId="00F8401E"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Flowing from the above, some are of the opinion that the role of precedent in the UK legal system should be reconsidered. One key reform suggested, is the adoption of a flexible and laissez-faire approach, to precedent doing away with the recondite adherence to previous decisions when they </w:t>
      </w:r>
      <w:r w:rsidRPr="002E1D25">
        <w:rPr>
          <w:rFonts w:ascii="Times New Roman" w:hAnsi="Times New Roman" w:cs="Times New Roman"/>
          <w:sz w:val="24"/>
          <w:szCs w:val="24"/>
        </w:rPr>
        <w:lastRenderedPageBreak/>
        <w:t>are no longer relevant or unable to meet up with expected demands. Lawyers and Judges should be equipped to understand and apply precedent effectively</w:t>
      </w:r>
      <w:r w:rsidR="00B84A87">
        <w:rPr>
          <w:rFonts w:ascii="Times New Roman" w:hAnsi="Times New Roman" w:cs="Times New Roman"/>
          <w:sz w:val="24"/>
          <w:szCs w:val="24"/>
        </w:rPr>
        <w:t xml:space="preserve"> (</w:t>
      </w:r>
      <w:r w:rsidRPr="002E1D25">
        <w:rPr>
          <w:rFonts w:ascii="Times New Roman" w:hAnsi="Times New Roman" w:cs="Times New Roman"/>
          <w:sz w:val="24"/>
          <w:szCs w:val="24"/>
        </w:rPr>
        <w:t>Robertson, 2023)</w:t>
      </w:r>
      <w:r w:rsidR="00B84A87">
        <w:rPr>
          <w:rFonts w:ascii="Times New Roman" w:hAnsi="Times New Roman" w:cs="Times New Roman"/>
          <w:sz w:val="24"/>
          <w:szCs w:val="24"/>
        </w:rPr>
        <w:t>.</w:t>
      </w:r>
    </w:p>
    <w:p w14:paraId="4EC07811" w14:textId="77777777" w:rsidR="00B84A87" w:rsidRPr="002E1D25" w:rsidRDefault="00B84A87" w:rsidP="002E1D25">
      <w:pPr>
        <w:jc w:val="both"/>
        <w:rPr>
          <w:rFonts w:ascii="Times New Roman" w:hAnsi="Times New Roman" w:cs="Times New Roman"/>
          <w:sz w:val="24"/>
          <w:szCs w:val="24"/>
        </w:rPr>
      </w:pPr>
    </w:p>
    <w:p w14:paraId="0000000C" w14:textId="0C6D0B74" w:rsidR="00A019E8"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Evidently, there has been a gradual shift towards a more liberal and pragmatic approach in handling judicial precedent. There is a departure from the strict application of Judicial precedent. Notably, this was the case in R v </w:t>
      </w:r>
      <w:proofErr w:type="spellStart"/>
      <w:r w:rsidRPr="002E1D25">
        <w:rPr>
          <w:rFonts w:ascii="Times New Roman" w:hAnsi="Times New Roman" w:cs="Times New Roman"/>
          <w:sz w:val="24"/>
          <w:szCs w:val="24"/>
        </w:rPr>
        <w:t>Jogee</w:t>
      </w:r>
      <w:proofErr w:type="spellEnd"/>
      <w:r w:rsidRPr="002E1D25">
        <w:rPr>
          <w:rFonts w:ascii="Times New Roman" w:hAnsi="Times New Roman" w:cs="Times New Roman"/>
          <w:sz w:val="24"/>
          <w:szCs w:val="24"/>
        </w:rPr>
        <w:t xml:space="preserve"> (2016) which redefined the law on Joint criminal enterprise. In this case, the supreme court made clarification in establishing liability. The court ruled inter alia that an accessory must intend to encourage or assist the principal action. This underscores the notion that the legal system must be </w:t>
      </w:r>
      <w:r w:rsidR="00BC63BC">
        <w:rPr>
          <w:rFonts w:ascii="Times New Roman" w:hAnsi="Times New Roman" w:cs="Times New Roman"/>
          <w:sz w:val="24"/>
          <w:szCs w:val="24"/>
        </w:rPr>
        <w:t>am</w:t>
      </w:r>
      <w:r w:rsidR="00BC63BC" w:rsidRPr="002E1D25">
        <w:rPr>
          <w:rFonts w:ascii="Times New Roman" w:hAnsi="Times New Roman" w:cs="Times New Roman"/>
          <w:sz w:val="24"/>
          <w:szCs w:val="24"/>
        </w:rPr>
        <w:t>enable</w:t>
      </w:r>
      <w:r w:rsidRPr="002E1D25">
        <w:rPr>
          <w:rFonts w:ascii="Times New Roman" w:hAnsi="Times New Roman" w:cs="Times New Roman"/>
          <w:sz w:val="24"/>
          <w:szCs w:val="24"/>
        </w:rPr>
        <w:t xml:space="preserve"> and responsive to contemporary Challenges</w:t>
      </w:r>
      <w:r w:rsidR="00B84A87">
        <w:rPr>
          <w:rFonts w:ascii="Times New Roman" w:hAnsi="Times New Roman" w:cs="Times New Roman"/>
          <w:sz w:val="24"/>
          <w:szCs w:val="24"/>
        </w:rPr>
        <w:t xml:space="preserve"> </w:t>
      </w:r>
      <w:r w:rsidRPr="002E1D25">
        <w:rPr>
          <w:rFonts w:ascii="Times New Roman" w:hAnsi="Times New Roman" w:cs="Times New Roman"/>
          <w:sz w:val="24"/>
          <w:szCs w:val="24"/>
        </w:rPr>
        <w:t>(Thomas, 2021)</w:t>
      </w:r>
      <w:r w:rsidR="00B84A87">
        <w:rPr>
          <w:rFonts w:ascii="Times New Roman" w:hAnsi="Times New Roman" w:cs="Times New Roman"/>
          <w:sz w:val="24"/>
          <w:szCs w:val="24"/>
        </w:rPr>
        <w:t>.</w:t>
      </w:r>
    </w:p>
    <w:p w14:paraId="25B5F6D1" w14:textId="77777777" w:rsidR="00B84A87" w:rsidRPr="002E1D25" w:rsidRDefault="00B84A87" w:rsidP="002E1D25">
      <w:pPr>
        <w:jc w:val="both"/>
        <w:rPr>
          <w:rFonts w:ascii="Times New Roman" w:hAnsi="Times New Roman" w:cs="Times New Roman"/>
          <w:sz w:val="24"/>
          <w:szCs w:val="24"/>
        </w:rPr>
      </w:pPr>
    </w:p>
    <w:p w14:paraId="0000000E" w14:textId="7BD8505C" w:rsidR="00A019E8" w:rsidRDefault="00A65CBD" w:rsidP="002E1D25">
      <w:pPr>
        <w:jc w:val="both"/>
        <w:rPr>
          <w:rFonts w:ascii="Times New Roman" w:hAnsi="Times New Roman" w:cs="Times New Roman"/>
          <w:sz w:val="24"/>
          <w:szCs w:val="24"/>
        </w:rPr>
      </w:pPr>
      <w:proofErr w:type="spellStart"/>
      <w:r w:rsidRPr="002E1D25">
        <w:rPr>
          <w:rFonts w:ascii="Times New Roman" w:hAnsi="Times New Roman" w:cs="Times New Roman"/>
          <w:sz w:val="24"/>
          <w:szCs w:val="24"/>
        </w:rPr>
        <w:t>Malleson</w:t>
      </w:r>
      <w:proofErr w:type="spellEnd"/>
      <w:r w:rsidRPr="002E1D25">
        <w:rPr>
          <w:rFonts w:ascii="Times New Roman" w:hAnsi="Times New Roman" w:cs="Times New Roman"/>
          <w:sz w:val="24"/>
          <w:szCs w:val="24"/>
        </w:rPr>
        <w:t xml:space="preserve"> (2020), opined that </w:t>
      </w:r>
      <w:proofErr w:type="gramStart"/>
      <w:r w:rsidRPr="002E1D25">
        <w:rPr>
          <w:rFonts w:ascii="Times New Roman" w:hAnsi="Times New Roman" w:cs="Times New Roman"/>
          <w:sz w:val="24"/>
          <w:szCs w:val="24"/>
        </w:rPr>
        <w:t>despite the fact that</w:t>
      </w:r>
      <w:proofErr w:type="gramEnd"/>
      <w:r w:rsidRPr="002E1D25">
        <w:rPr>
          <w:rFonts w:ascii="Times New Roman" w:hAnsi="Times New Roman" w:cs="Times New Roman"/>
          <w:sz w:val="24"/>
          <w:szCs w:val="24"/>
        </w:rPr>
        <w:t xml:space="preserve"> precedent remains a veritable tool for legal stability and consistency, it should not be a doctrine cast in some thus yielding to change. A new approach </w:t>
      </w:r>
      <w:r w:rsidR="00B84A87">
        <w:rPr>
          <w:rFonts w:ascii="Times New Roman" w:hAnsi="Times New Roman" w:cs="Times New Roman"/>
          <w:sz w:val="24"/>
          <w:szCs w:val="24"/>
        </w:rPr>
        <w:t>w</w:t>
      </w:r>
      <w:r w:rsidRPr="002E1D25">
        <w:rPr>
          <w:rFonts w:ascii="Times New Roman" w:hAnsi="Times New Roman" w:cs="Times New Roman"/>
          <w:sz w:val="24"/>
          <w:szCs w:val="24"/>
        </w:rPr>
        <w:t xml:space="preserve">hich embodies receptiveness and willingness to adapt </w:t>
      </w:r>
      <w:r w:rsidR="00B84A87">
        <w:rPr>
          <w:rFonts w:ascii="Times New Roman" w:hAnsi="Times New Roman" w:cs="Times New Roman"/>
          <w:sz w:val="24"/>
          <w:szCs w:val="24"/>
        </w:rPr>
        <w:t>ought to be adopted</w:t>
      </w:r>
      <w:r w:rsidRPr="002E1D25">
        <w:rPr>
          <w:rFonts w:ascii="Times New Roman" w:hAnsi="Times New Roman" w:cs="Times New Roman"/>
          <w:sz w:val="24"/>
          <w:szCs w:val="24"/>
        </w:rPr>
        <w:t xml:space="preserve">. This approach will </w:t>
      </w:r>
      <w:proofErr w:type="spellStart"/>
      <w:r w:rsidRPr="002E1D25">
        <w:rPr>
          <w:rFonts w:ascii="Times New Roman" w:hAnsi="Times New Roman" w:cs="Times New Roman"/>
          <w:sz w:val="24"/>
          <w:szCs w:val="24"/>
        </w:rPr>
        <w:t>recognise</w:t>
      </w:r>
      <w:proofErr w:type="spellEnd"/>
      <w:r w:rsidRPr="002E1D25">
        <w:rPr>
          <w:rFonts w:ascii="Times New Roman" w:hAnsi="Times New Roman" w:cs="Times New Roman"/>
          <w:sz w:val="24"/>
          <w:szCs w:val="24"/>
        </w:rPr>
        <w:t xml:space="preserve"> the importance of judicial precedent and case law while acknowledging the idea of embracing the dynamic nature of law.</w:t>
      </w:r>
    </w:p>
    <w:p w14:paraId="348FC47F" w14:textId="77777777" w:rsidR="00B84A87" w:rsidRPr="002E1D25" w:rsidRDefault="00B84A87" w:rsidP="002E1D25">
      <w:pPr>
        <w:jc w:val="both"/>
        <w:rPr>
          <w:rFonts w:ascii="Times New Roman" w:hAnsi="Times New Roman" w:cs="Times New Roman"/>
          <w:sz w:val="24"/>
          <w:szCs w:val="24"/>
        </w:rPr>
      </w:pPr>
    </w:p>
    <w:p w14:paraId="0000000F" w14:textId="77777777" w:rsidR="00A019E8" w:rsidRPr="002E1D25" w:rsidRDefault="00A65CBD" w:rsidP="002E1D25">
      <w:pPr>
        <w:jc w:val="both"/>
        <w:rPr>
          <w:rFonts w:ascii="Times New Roman" w:hAnsi="Times New Roman" w:cs="Times New Roman"/>
          <w:sz w:val="24"/>
          <w:szCs w:val="24"/>
        </w:rPr>
      </w:pPr>
      <w:r w:rsidRPr="002E1D25">
        <w:rPr>
          <w:rFonts w:ascii="Times New Roman" w:hAnsi="Times New Roman" w:cs="Times New Roman"/>
          <w:sz w:val="24"/>
          <w:szCs w:val="24"/>
        </w:rPr>
        <w:t xml:space="preserve">In conclusion, precedent remains a pivotal feature of the UK legal system. It promotes certainty, consistency, </w:t>
      </w:r>
      <w:proofErr w:type="gramStart"/>
      <w:r w:rsidRPr="002E1D25">
        <w:rPr>
          <w:rFonts w:ascii="Times New Roman" w:hAnsi="Times New Roman" w:cs="Times New Roman"/>
          <w:sz w:val="24"/>
          <w:szCs w:val="24"/>
        </w:rPr>
        <w:t>fairness</w:t>
      </w:r>
      <w:proofErr w:type="gramEnd"/>
      <w:r w:rsidRPr="002E1D25">
        <w:rPr>
          <w:rFonts w:ascii="Times New Roman" w:hAnsi="Times New Roman" w:cs="Times New Roman"/>
          <w:sz w:val="24"/>
          <w:szCs w:val="24"/>
        </w:rPr>
        <w:t xml:space="preserve"> and uniformity in a legal system. Its importance cannot be overemphasized. The system must be susceptible to change and adapt </w:t>
      </w:r>
      <w:proofErr w:type="gramStart"/>
      <w:r w:rsidRPr="002E1D25">
        <w:rPr>
          <w:rFonts w:ascii="Times New Roman" w:hAnsi="Times New Roman" w:cs="Times New Roman"/>
          <w:sz w:val="24"/>
          <w:szCs w:val="24"/>
        </w:rPr>
        <w:t>in order to</w:t>
      </w:r>
      <w:proofErr w:type="gramEnd"/>
      <w:r w:rsidRPr="002E1D25">
        <w:rPr>
          <w:rFonts w:ascii="Times New Roman" w:hAnsi="Times New Roman" w:cs="Times New Roman"/>
          <w:sz w:val="24"/>
          <w:szCs w:val="24"/>
        </w:rPr>
        <w:t xml:space="preserve"> address intractable challenges and ultimately, ensure Justice is achieved in line with contemporary values. Adopting a pragmatic approach to precedent will afford the UK Legal system the opportunity to maintain the benefits while being open mindedness to necessary reforms. This will in turn promote the practicality and effectiveness of the doctrine of Judicial precedent.</w:t>
      </w:r>
    </w:p>
    <w:p w14:paraId="00000010" w14:textId="77777777" w:rsidR="00A019E8" w:rsidRPr="002E1D25" w:rsidRDefault="00A019E8" w:rsidP="002E1D25">
      <w:pPr>
        <w:jc w:val="both"/>
        <w:rPr>
          <w:rFonts w:ascii="Times New Roman" w:hAnsi="Times New Roman" w:cs="Times New Roman"/>
          <w:sz w:val="24"/>
          <w:szCs w:val="24"/>
        </w:rPr>
      </w:pPr>
    </w:p>
    <w:p w14:paraId="00000011" w14:textId="77777777" w:rsidR="00A019E8" w:rsidRPr="00876387" w:rsidRDefault="00A65CBD" w:rsidP="002E1D25">
      <w:pPr>
        <w:jc w:val="both"/>
        <w:rPr>
          <w:rFonts w:ascii="Times New Roman" w:hAnsi="Times New Roman" w:cs="Times New Roman"/>
          <w:sz w:val="24"/>
          <w:szCs w:val="24"/>
          <w:u w:val="single"/>
        </w:rPr>
      </w:pPr>
      <w:r w:rsidRPr="00876387">
        <w:rPr>
          <w:rFonts w:ascii="Times New Roman" w:hAnsi="Times New Roman" w:cs="Times New Roman"/>
          <w:sz w:val="24"/>
          <w:szCs w:val="24"/>
          <w:u w:val="single"/>
        </w:rPr>
        <w:t>REFERENCES</w:t>
      </w:r>
    </w:p>
    <w:p w14:paraId="71C89818" w14:textId="77777777" w:rsidR="00B84A87" w:rsidRDefault="00A65CBD" w:rsidP="002E1D25">
      <w:pPr>
        <w:pStyle w:val="ListParagraph"/>
        <w:numPr>
          <w:ilvl w:val="0"/>
          <w:numId w:val="1"/>
        </w:numPr>
        <w:jc w:val="both"/>
        <w:rPr>
          <w:rFonts w:ascii="Times New Roman" w:hAnsi="Times New Roman" w:cs="Times New Roman"/>
          <w:sz w:val="24"/>
          <w:szCs w:val="24"/>
        </w:rPr>
      </w:pPr>
      <w:r w:rsidRPr="002E1D25">
        <w:rPr>
          <w:rFonts w:ascii="Times New Roman" w:hAnsi="Times New Roman" w:cs="Times New Roman"/>
          <w:sz w:val="24"/>
          <w:szCs w:val="24"/>
        </w:rPr>
        <w:t xml:space="preserve">Barnett, H. (2021) </w:t>
      </w:r>
      <w:r w:rsidRPr="00BC63BC">
        <w:rPr>
          <w:rFonts w:ascii="Times New Roman" w:hAnsi="Times New Roman" w:cs="Times New Roman"/>
          <w:i/>
          <w:iCs/>
          <w:sz w:val="24"/>
          <w:szCs w:val="24"/>
        </w:rPr>
        <w:t>Constitutional and Administrative Law</w:t>
      </w:r>
      <w:r w:rsidRPr="002E1D25">
        <w:rPr>
          <w:rFonts w:ascii="Times New Roman" w:hAnsi="Times New Roman" w:cs="Times New Roman"/>
          <w:sz w:val="24"/>
          <w:szCs w:val="24"/>
        </w:rPr>
        <w:t xml:space="preserve">. Routledge </w:t>
      </w:r>
    </w:p>
    <w:p w14:paraId="544EA9C9" w14:textId="1B96E83A" w:rsidR="00B84A87" w:rsidRDefault="00A65CBD" w:rsidP="002E1D25">
      <w:pPr>
        <w:pStyle w:val="ListParagraph"/>
        <w:numPr>
          <w:ilvl w:val="0"/>
          <w:numId w:val="1"/>
        </w:numPr>
        <w:jc w:val="both"/>
        <w:rPr>
          <w:rFonts w:ascii="Times New Roman" w:hAnsi="Times New Roman" w:cs="Times New Roman"/>
          <w:sz w:val="24"/>
          <w:szCs w:val="24"/>
        </w:rPr>
      </w:pPr>
      <w:proofErr w:type="spellStart"/>
      <w:r w:rsidRPr="00B84A87">
        <w:rPr>
          <w:rFonts w:ascii="Times New Roman" w:hAnsi="Times New Roman" w:cs="Times New Roman"/>
          <w:sz w:val="24"/>
          <w:szCs w:val="24"/>
        </w:rPr>
        <w:t>Bogdanor</w:t>
      </w:r>
      <w:proofErr w:type="spellEnd"/>
      <w:r w:rsidRPr="00B84A87">
        <w:rPr>
          <w:rFonts w:ascii="Times New Roman" w:hAnsi="Times New Roman" w:cs="Times New Roman"/>
          <w:sz w:val="24"/>
          <w:szCs w:val="24"/>
        </w:rPr>
        <w:t>,</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 xml:space="preserve">V. (2021) </w:t>
      </w:r>
      <w:r w:rsidRPr="00BC63BC">
        <w:rPr>
          <w:rFonts w:ascii="Times New Roman" w:hAnsi="Times New Roman" w:cs="Times New Roman"/>
          <w:i/>
          <w:iCs/>
          <w:sz w:val="24"/>
          <w:szCs w:val="24"/>
        </w:rPr>
        <w:t>The New British Constitution</w:t>
      </w:r>
      <w:r w:rsidRPr="00B84A87">
        <w:rPr>
          <w:rFonts w:ascii="Times New Roman" w:hAnsi="Times New Roman" w:cs="Times New Roman"/>
          <w:sz w:val="24"/>
          <w:szCs w:val="24"/>
        </w:rPr>
        <w:t xml:space="preserve">. Hart publishing. </w:t>
      </w:r>
    </w:p>
    <w:p w14:paraId="2DCF077B" w14:textId="4E84D32F" w:rsidR="00B84A87" w:rsidRDefault="00B84A87" w:rsidP="002E1D25">
      <w:pPr>
        <w:pStyle w:val="ListParagraph"/>
        <w:numPr>
          <w:ilvl w:val="0"/>
          <w:numId w:val="1"/>
        </w:numPr>
        <w:jc w:val="both"/>
        <w:rPr>
          <w:rFonts w:ascii="Times New Roman" w:hAnsi="Times New Roman" w:cs="Times New Roman"/>
          <w:sz w:val="24"/>
          <w:szCs w:val="24"/>
        </w:rPr>
      </w:pPr>
      <w:r w:rsidRPr="002E1D25">
        <w:rPr>
          <w:rFonts w:ascii="Times New Roman" w:hAnsi="Times New Roman" w:cs="Times New Roman"/>
          <w:sz w:val="24"/>
          <w:szCs w:val="24"/>
        </w:rPr>
        <w:t>Carlill v Carbolic Smoke Ball Co. (1893) 1 QB Available at:</w:t>
      </w:r>
      <w:hyperlink r:id="rId5">
        <w:r w:rsidRPr="002E1D25">
          <w:rPr>
            <w:rFonts w:ascii="Times New Roman" w:hAnsi="Times New Roman" w:cs="Times New Roman"/>
            <w:color w:val="1155CC"/>
            <w:sz w:val="24"/>
            <w:szCs w:val="24"/>
            <w:u w:val="single"/>
          </w:rPr>
          <w:t>https://law.justia.com/cases/foreign/united-kingdom/1-q-b-256-1893.html</w:t>
        </w:r>
      </w:hyperlink>
      <w:r w:rsidRPr="002E1D25">
        <w:rPr>
          <w:rFonts w:ascii="Times New Roman" w:hAnsi="Times New Roman" w:cs="Times New Roman"/>
          <w:sz w:val="24"/>
          <w:szCs w:val="24"/>
        </w:rPr>
        <w:t>( Accessed 13 November, 2024)</w:t>
      </w:r>
      <w:r>
        <w:rPr>
          <w:rFonts w:ascii="Times New Roman" w:hAnsi="Times New Roman" w:cs="Times New Roman"/>
          <w:sz w:val="24"/>
          <w:szCs w:val="24"/>
        </w:rPr>
        <w:t>.</w:t>
      </w:r>
    </w:p>
    <w:p w14:paraId="58A69461" w14:textId="3B587D1A" w:rsidR="00B84A87" w:rsidRDefault="00B84A87"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 xml:space="preserve">Christian </w:t>
      </w:r>
      <w:proofErr w:type="spellStart"/>
      <w:r w:rsidRPr="00B84A87">
        <w:rPr>
          <w:rFonts w:ascii="Times New Roman" w:hAnsi="Times New Roman" w:cs="Times New Roman"/>
          <w:sz w:val="24"/>
          <w:szCs w:val="24"/>
        </w:rPr>
        <w:t>Burset</w:t>
      </w:r>
      <w:proofErr w:type="spellEnd"/>
      <w:r w:rsidRPr="00B84A87">
        <w:rPr>
          <w:rFonts w:ascii="Times New Roman" w:hAnsi="Times New Roman" w:cs="Times New Roman"/>
          <w:sz w:val="24"/>
          <w:szCs w:val="24"/>
        </w:rPr>
        <w:t xml:space="preserve"> &amp; T. T. Arvind </w:t>
      </w:r>
      <w:r w:rsidRPr="007826B9">
        <w:rPr>
          <w:rFonts w:ascii="Times New Roman" w:hAnsi="Times New Roman" w:cs="Times New Roman"/>
          <w:i/>
          <w:iCs/>
          <w:sz w:val="24"/>
          <w:szCs w:val="24"/>
        </w:rPr>
        <w:t>A New Report of Entick v. Carrington (1765), 110 Ky. L.J. 265 (2022)</w:t>
      </w:r>
      <w:r w:rsidRPr="00B84A87">
        <w:rPr>
          <w:rFonts w:ascii="Times New Roman" w:hAnsi="Times New Roman" w:cs="Times New Roman"/>
          <w:sz w:val="24"/>
          <w:szCs w:val="24"/>
        </w:rPr>
        <w:t xml:space="preserve">. Available at: </w:t>
      </w:r>
      <w:hyperlink r:id="rId6">
        <w:r w:rsidRPr="00B84A87">
          <w:rPr>
            <w:rFonts w:ascii="Times New Roman" w:hAnsi="Times New Roman" w:cs="Times New Roman"/>
            <w:color w:val="1155CC"/>
            <w:sz w:val="24"/>
            <w:szCs w:val="24"/>
            <w:u w:val="single"/>
          </w:rPr>
          <w:t>https://scholarship.law.nd.edu/law_faculty_scholarship</w:t>
        </w:r>
      </w:hyperlink>
      <w:r w:rsidRPr="00B84A87">
        <w:rPr>
          <w:rFonts w:ascii="Times New Roman" w:hAnsi="Times New Roman" w:cs="Times New Roman"/>
          <w:sz w:val="24"/>
          <w:szCs w:val="24"/>
        </w:rPr>
        <w:t>( Accessed 13 November, 2024)</w:t>
      </w:r>
      <w:r>
        <w:rPr>
          <w:rFonts w:ascii="Times New Roman" w:hAnsi="Times New Roman" w:cs="Times New Roman"/>
          <w:sz w:val="24"/>
          <w:szCs w:val="24"/>
        </w:rPr>
        <w:t>.</w:t>
      </w:r>
    </w:p>
    <w:p w14:paraId="239D4A1C" w14:textId="21506E41" w:rsidR="00B84A87" w:rsidRPr="00B84A87" w:rsidRDefault="00B84A87"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 xml:space="preserve">Donoghue v Stevenson (1932) AC 562 Available at: </w:t>
      </w:r>
      <w:hyperlink r:id="rId7">
        <w:r w:rsidRPr="00B84A87">
          <w:rPr>
            <w:rFonts w:ascii="Times New Roman" w:hAnsi="Times New Roman" w:cs="Times New Roman"/>
            <w:color w:val="1155CC"/>
            <w:sz w:val="24"/>
            <w:szCs w:val="24"/>
            <w:u w:val="single"/>
          </w:rPr>
          <w:t>https://professionalnegligenceclaimsolicitors.co.uk/duty-of-care-key-tort-law-judgment-donoghue/</w:t>
        </w:r>
      </w:hyperlink>
      <w:r w:rsidRPr="00B84A87">
        <w:rPr>
          <w:rFonts w:ascii="Times New Roman" w:hAnsi="Times New Roman" w:cs="Times New Roman"/>
          <w:sz w:val="24"/>
          <w:szCs w:val="24"/>
        </w:rPr>
        <w:t xml:space="preserve"> ( Accessed 12 November, 2024)</w:t>
      </w:r>
      <w:r>
        <w:rPr>
          <w:rFonts w:ascii="Times New Roman" w:hAnsi="Times New Roman" w:cs="Times New Roman"/>
          <w:sz w:val="24"/>
          <w:szCs w:val="24"/>
        </w:rPr>
        <w:t>.</w:t>
      </w:r>
    </w:p>
    <w:p w14:paraId="58FD132A" w14:textId="1DA33AAD" w:rsidR="00B84A87" w:rsidRDefault="00A65CBD" w:rsidP="002E1D25">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 xml:space="preserve">Gee, G, Hazell, R. </w:t>
      </w:r>
      <w:proofErr w:type="spellStart"/>
      <w:r w:rsidRPr="00B84A87">
        <w:rPr>
          <w:rFonts w:ascii="Times New Roman" w:hAnsi="Times New Roman" w:cs="Times New Roman"/>
          <w:sz w:val="24"/>
          <w:szCs w:val="24"/>
        </w:rPr>
        <w:t>Malleson</w:t>
      </w:r>
      <w:proofErr w:type="spellEnd"/>
      <w:r w:rsidRPr="00B84A87">
        <w:rPr>
          <w:rFonts w:ascii="Times New Roman" w:hAnsi="Times New Roman" w:cs="Times New Roman"/>
          <w:sz w:val="24"/>
          <w:szCs w:val="24"/>
        </w:rPr>
        <w:t xml:space="preserve">, K. and O'Brien, P. </w:t>
      </w:r>
      <w:r w:rsidRPr="007826B9">
        <w:rPr>
          <w:rFonts w:ascii="Times New Roman" w:hAnsi="Times New Roman" w:cs="Times New Roman"/>
          <w:i/>
          <w:iCs/>
          <w:sz w:val="24"/>
          <w:szCs w:val="24"/>
        </w:rPr>
        <w:t>The Politics of Judicial Independence in the UK's changing constitution</w:t>
      </w:r>
      <w:r w:rsidRPr="00B84A87">
        <w:rPr>
          <w:rFonts w:ascii="Times New Roman" w:hAnsi="Times New Roman" w:cs="Times New Roman"/>
          <w:sz w:val="24"/>
          <w:szCs w:val="24"/>
        </w:rPr>
        <w:t xml:space="preserve">. Cambridge </w:t>
      </w:r>
      <w:r w:rsidR="007826B9" w:rsidRPr="00B84A87">
        <w:rPr>
          <w:rFonts w:ascii="Times New Roman" w:hAnsi="Times New Roman" w:cs="Times New Roman"/>
          <w:sz w:val="24"/>
          <w:szCs w:val="24"/>
        </w:rPr>
        <w:t>University Press</w:t>
      </w:r>
      <w:r w:rsidRPr="00B84A87">
        <w:rPr>
          <w:rFonts w:ascii="Times New Roman" w:hAnsi="Times New Roman" w:cs="Times New Roman"/>
          <w:sz w:val="24"/>
          <w:szCs w:val="24"/>
        </w:rPr>
        <w:t>.</w:t>
      </w:r>
    </w:p>
    <w:p w14:paraId="77CE6FF5" w14:textId="6056CFDF" w:rsidR="00B84A87" w:rsidRPr="00B84A87" w:rsidRDefault="00B84A87"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lastRenderedPageBreak/>
        <w:t xml:space="preserve">Kumar, S. (2024) </w:t>
      </w:r>
      <w:r w:rsidRPr="007826B9">
        <w:rPr>
          <w:rFonts w:ascii="Times New Roman" w:hAnsi="Times New Roman" w:cs="Times New Roman"/>
          <w:i/>
          <w:iCs/>
          <w:sz w:val="24"/>
          <w:szCs w:val="24"/>
        </w:rPr>
        <w:t xml:space="preserve">Landmark Legal Battles: Cases that </w:t>
      </w:r>
      <w:r w:rsidR="00BC63BC" w:rsidRPr="007826B9">
        <w:rPr>
          <w:rFonts w:ascii="Times New Roman" w:hAnsi="Times New Roman" w:cs="Times New Roman"/>
          <w:i/>
          <w:iCs/>
          <w:sz w:val="24"/>
          <w:szCs w:val="24"/>
        </w:rPr>
        <w:t xml:space="preserve">Shaped </w:t>
      </w:r>
      <w:r w:rsidRPr="007826B9">
        <w:rPr>
          <w:rFonts w:ascii="Times New Roman" w:hAnsi="Times New Roman" w:cs="Times New Roman"/>
          <w:i/>
          <w:iCs/>
          <w:sz w:val="24"/>
          <w:szCs w:val="24"/>
        </w:rPr>
        <w:t xml:space="preserve">the UK </w:t>
      </w:r>
      <w:r w:rsidR="00BC63BC" w:rsidRPr="007826B9">
        <w:rPr>
          <w:rFonts w:ascii="Times New Roman" w:hAnsi="Times New Roman" w:cs="Times New Roman"/>
          <w:i/>
          <w:iCs/>
          <w:sz w:val="24"/>
          <w:szCs w:val="24"/>
        </w:rPr>
        <w:t>we Know Today</w:t>
      </w:r>
      <w:r w:rsidR="00876387">
        <w:rPr>
          <w:rFonts w:ascii="Times New Roman" w:hAnsi="Times New Roman" w:cs="Times New Roman"/>
          <w:sz w:val="24"/>
          <w:szCs w:val="24"/>
        </w:rPr>
        <w:t xml:space="preserve">. </w:t>
      </w:r>
      <w:r w:rsidRPr="00B84A87">
        <w:rPr>
          <w:rFonts w:ascii="Times New Roman" w:hAnsi="Times New Roman" w:cs="Times New Roman"/>
          <w:sz w:val="24"/>
          <w:szCs w:val="24"/>
        </w:rPr>
        <w:t xml:space="preserve">Available at: </w:t>
      </w:r>
      <w:hyperlink r:id="rId8">
        <w:r w:rsidRPr="00B84A87">
          <w:rPr>
            <w:rFonts w:ascii="Times New Roman" w:hAnsi="Times New Roman" w:cs="Times New Roman"/>
            <w:color w:val="1155CC"/>
            <w:sz w:val="24"/>
            <w:szCs w:val="24"/>
            <w:u w:val="single"/>
          </w:rPr>
          <w:t>https://lawtimesjournal.com/landmark-legal-battles-cases-that-shaped-the-uk-we-know-today/</w:t>
        </w:r>
      </w:hyperlink>
      <w:r w:rsidR="00BC63BC" w:rsidRPr="00BC63BC">
        <w:rPr>
          <w:rFonts w:ascii="Times New Roman" w:hAnsi="Times New Roman" w:cs="Times New Roman"/>
          <w:color w:val="1155CC"/>
          <w:sz w:val="24"/>
          <w:szCs w:val="24"/>
        </w:rPr>
        <w:t xml:space="preserve"> </w:t>
      </w:r>
      <w:r w:rsidRPr="00B84A87">
        <w:rPr>
          <w:rFonts w:ascii="Times New Roman" w:hAnsi="Times New Roman" w:cs="Times New Roman"/>
          <w:sz w:val="24"/>
          <w:szCs w:val="24"/>
        </w:rPr>
        <w:t>( Accessed 12 November, 2024)</w:t>
      </w:r>
      <w:r>
        <w:rPr>
          <w:rFonts w:ascii="Times New Roman" w:hAnsi="Times New Roman" w:cs="Times New Roman"/>
          <w:sz w:val="24"/>
          <w:szCs w:val="24"/>
        </w:rPr>
        <w:t>.</w:t>
      </w:r>
    </w:p>
    <w:p w14:paraId="3A738CBB" w14:textId="75C15191" w:rsidR="00B84A87" w:rsidRDefault="00A65CBD"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Le Sueur, A.</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 xml:space="preserve">(2021) </w:t>
      </w:r>
      <w:r w:rsidRPr="00BC63BC">
        <w:rPr>
          <w:rFonts w:ascii="Times New Roman" w:hAnsi="Times New Roman" w:cs="Times New Roman"/>
          <w:i/>
          <w:iCs/>
          <w:sz w:val="24"/>
          <w:szCs w:val="24"/>
        </w:rPr>
        <w:t xml:space="preserve">Public Law: Texts, </w:t>
      </w:r>
      <w:proofErr w:type="gramStart"/>
      <w:r w:rsidRPr="00BC63BC">
        <w:rPr>
          <w:rFonts w:ascii="Times New Roman" w:hAnsi="Times New Roman" w:cs="Times New Roman"/>
          <w:i/>
          <w:iCs/>
          <w:sz w:val="24"/>
          <w:szCs w:val="24"/>
        </w:rPr>
        <w:t>cases</w:t>
      </w:r>
      <w:proofErr w:type="gramEnd"/>
      <w:r w:rsidRPr="00BC63BC">
        <w:rPr>
          <w:rFonts w:ascii="Times New Roman" w:hAnsi="Times New Roman" w:cs="Times New Roman"/>
          <w:i/>
          <w:iCs/>
          <w:sz w:val="24"/>
          <w:szCs w:val="24"/>
        </w:rPr>
        <w:t xml:space="preserve"> and Materials</w:t>
      </w:r>
      <w:r w:rsidR="00BC63BC">
        <w:rPr>
          <w:rFonts w:ascii="Times New Roman" w:hAnsi="Times New Roman" w:cs="Times New Roman"/>
          <w:sz w:val="24"/>
          <w:szCs w:val="24"/>
        </w:rPr>
        <w:t>.</w:t>
      </w:r>
      <w:r w:rsidRPr="00B84A87">
        <w:rPr>
          <w:rFonts w:ascii="Times New Roman" w:hAnsi="Times New Roman" w:cs="Times New Roman"/>
          <w:sz w:val="24"/>
          <w:szCs w:val="24"/>
        </w:rPr>
        <w:t xml:space="preserve"> Oxford university press. </w:t>
      </w:r>
    </w:p>
    <w:p w14:paraId="13985E36" w14:textId="3ACB6DF8" w:rsidR="00B84A87" w:rsidRPr="00B84A87" w:rsidRDefault="00B84A87"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Lewis,</w:t>
      </w:r>
      <w:r>
        <w:rPr>
          <w:rFonts w:ascii="Times New Roman" w:hAnsi="Times New Roman" w:cs="Times New Roman"/>
          <w:sz w:val="24"/>
          <w:szCs w:val="24"/>
        </w:rPr>
        <w:t xml:space="preserve"> </w:t>
      </w:r>
      <w:r w:rsidRPr="00B84A87">
        <w:rPr>
          <w:rFonts w:ascii="Times New Roman" w:hAnsi="Times New Roman" w:cs="Times New Roman"/>
          <w:sz w:val="24"/>
          <w:szCs w:val="24"/>
        </w:rPr>
        <w:t>S. (2021)</w:t>
      </w:r>
      <w:r w:rsidR="007826B9">
        <w:rPr>
          <w:rFonts w:ascii="Times New Roman" w:hAnsi="Times New Roman" w:cs="Times New Roman"/>
          <w:sz w:val="24"/>
          <w:szCs w:val="24"/>
        </w:rPr>
        <w:t xml:space="preserve"> ‘</w:t>
      </w:r>
      <w:r w:rsidRPr="00B84A87">
        <w:rPr>
          <w:rFonts w:ascii="Times New Roman" w:hAnsi="Times New Roman" w:cs="Times New Roman"/>
          <w:sz w:val="24"/>
          <w:szCs w:val="24"/>
        </w:rPr>
        <w:t>Precedent and the Rule of Law</w:t>
      </w:r>
      <w:r w:rsidR="007826B9">
        <w:rPr>
          <w:rFonts w:ascii="Times New Roman" w:hAnsi="Times New Roman" w:cs="Times New Roman"/>
          <w:sz w:val="24"/>
          <w:szCs w:val="24"/>
        </w:rPr>
        <w:t>’,</w:t>
      </w:r>
      <w:r>
        <w:rPr>
          <w:rFonts w:ascii="Times New Roman" w:hAnsi="Times New Roman" w:cs="Times New Roman"/>
          <w:sz w:val="24"/>
          <w:szCs w:val="24"/>
        </w:rPr>
        <w:t xml:space="preserve"> </w:t>
      </w:r>
      <w:r w:rsidRPr="007826B9">
        <w:rPr>
          <w:rFonts w:ascii="Times New Roman" w:hAnsi="Times New Roman" w:cs="Times New Roman"/>
          <w:i/>
          <w:iCs/>
          <w:sz w:val="24"/>
          <w:szCs w:val="24"/>
        </w:rPr>
        <w:t>Oxford Journal of Legal Studies</w:t>
      </w:r>
      <w:r>
        <w:rPr>
          <w:rFonts w:ascii="Times New Roman" w:hAnsi="Times New Roman" w:cs="Times New Roman"/>
          <w:sz w:val="24"/>
          <w:szCs w:val="24"/>
        </w:rPr>
        <w:t xml:space="preserve">. </w:t>
      </w:r>
      <w:r w:rsidRPr="00B84A87">
        <w:rPr>
          <w:rFonts w:ascii="Times New Roman" w:hAnsi="Times New Roman" w:cs="Times New Roman"/>
          <w:sz w:val="24"/>
          <w:szCs w:val="24"/>
        </w:rPr>
        <w:t>41(1)</w:t>
      </w:r>
      <w:r>
        <w:rPr>
          <w:rFonts w:ascii="Times New Roman" w:hAnsi="Times New Roman" w:cs="Times New Roman"/>
          <w:sz w:val="24"/>
          <w:szCs w:val="24"/>
        </w:rPr>
        <w:t xml:space="preserve">. </w:t>
      </w:r>
      <w:r w:rsidRPr="00B84A87">
        <w:rPr>
          <w:rFonts w:ascii="Times New Roman" w:hAnsi="Times New Roman" w:cs="Times New Roman"/>
          <w:sz w:val="24"/>
          <w:szCs w:val="24"/>
        </w:rPr>
        <w:t xml:space="preserve">873 -898. Available at: </w:t>
      </w:r>
      <w:hyperlink r:id="rId9">
        <w:r w:rsidRPr="00B84A87">
          <w:rPr>
            <w:rFonts w:ascii="Times New Roman" w:hAnsi="Times New Roman" w:cs="Times New Roman"/>
            <w:color w:val="1155CC"/>
            <w:sz w:val="24"/>
            <w:szCs w:val="24"/>
            <w:u w:val="single"/>
          </w:rPr>
          <w:t>https://doi.org/10.1093/ojls/gqab007</w:t>
        </w:r>
      </w:hyperlink>
      <w:r w:rsidRPr="00B84A87">
        <w:rPr>
          <w:rFonts w:ascii="Times New Roman" w:hAnsi="Times New Roman" w:cs="Times New Roman"/>
          <w:sz w:val="24"/>
          <w:szCs w:val="24"/>
        </w:rPr>
        <w:t xml:space="preserve">( Accessed 13 November, 2024) </w:t>
      </w:r>
    </w:p>
    <w:p w14:paraId="6B74A09B" w14:textId="49A38857" w:rsidR="00B84A87" w:rsidRPr="00B84A87" w:rsidRDefault="00B84A87" w:rsidP="00B84A87">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 xml:space="preserve">Judiciary. </w:t>
      </w:r>
      <w:r w:rsidRPr="007826B9">
        <w:rPr>
          <w:rFonts w:ascii="Times New Roman" w:hAnsi="Times New Roman" w:cs="Times New Roman"/>
          <w:i/>
          <w:iCs/>
          <w:sz w:val="24"/>
          <w:szCs w:val="24"/>
        </w:rPr>
        <w:t>Structure of Court and Judicial System</w:t>
      </w:r>
      <w:r>
        <w:rPr>
          <w:rFonts w:ascii="Times New Roman" w:hAnsi="Times New Roman" w:cs="Times New Roman"/>
          <w:sz w:val="24"/>
          <w:szCs w:val="24"/>
        </w:rPr>
        <w:t>.</w:t>
      </w:r>
      <w:r w:rsidRPr="00B84A87">
        <w:rPr>
          <w:rFonts w:ascii="Times New Roman" w:hAnsi="Times New Roman" w:cs="Times New Roman"/>
          <w:sz w:val="24"/>
          <w:szCs w:val="24"/>
        </w:rPr>
        <w:t xml:space="preserve"> Available at: </w:t>
      </w:r>
      <w:hyperlink r:id="rId10">
        <w:r w:rsidRPr="00B84A87">
          <w:rPr>
            <w:rFonts w:ascii="Times New Roman" w:hAnsi="Times New Roman" w:cs="Times New Roman"/>
            <w:color w:val="1155CC"/>
            <w:sz w:val="24"/>
            <w:szCs w:val="24"/>
            <w:u w:val="single"/>
          </w:rPr>
          <w:t>https://www.judiciary.uk/structure-of-courts-and-tribunals-system/</w:t>
        </w:r>
      </w:hyperlink>
      <w:r w:rsidR="00BC63BC" w:rsidRPr="00BC63BC">
        <w:rPr>
          <w:rFonts w:ascii="Times New Roman" w:hAnsi="Times New Roman" w:cs="Times New Roman"/>
          <w:color w:val="1155CC"/>
          <w:sz w:val="24"/>
          <w:szCs w:val="24"/>
        </w:rPr>
        <w:t xml:space="preserve"> </w:t>
      </w:r>
      <w:r w:rsidRPr="00B84A87">
        <w:rPr>
          <w:rFonts w:ascii="Times New Roman" w:hAnsi="Times New Roman" w:cs="Times New Roman"/>
          <w:sz w:val="24"/>
          <w:szCs w:val="24"/>
        </w:rPr>
        <w:t>(Accessed</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12 November 2024)</w:t>
      </w:r>
      <w:r>
        <w:rPr>
          <w:rFonts w:ascii="Times New Roman" w:hAnsi="Times New Roman" w:cs="Times New Roman"/>
          <w:sz w:val="24"/>
          <w:szCs w:val="24"/>
        </w:rPr>
        <w:t>.</w:t>
      </w:r>
    </w:p>
    <w:p w14:paraId="4AEAE7F9" w14:textId="4E7B57CE" w:rsidR="00B84A87" w:rsidRDefault="00A65CBD" w:rsidP="002E1D25">
      <w:pPr>
        <w:pStyle w:val="ListParagraph"/>
        <w:numPr>
          <w:ilvl w:val="0"/>
          <w:numId w:val="1"/>
        </w:numPr>
        <w:jc w:val="both"/>
        <w:rPr>
          <w:rFonts w:ascii="Times New Roman" w:hAnsi="Times New Roman" w:cs="Times New Roman"/>
          <w:sz w:val="24"/>
          <w:szCs w:val="24"/>
        </w:rPr>
      </w:pPr>
      <w:proofErr w:type="spellStart"/>
      <w:r w:rsidRPr="00B84A87">
        <w:rPr>
          <w:rFonts w:ascii="Times New Roman" w:hAnsi="Times New Roman" w:cs="Times New Roman"/>
          <w:sz w:val="24"/>
          <w:szCs w:val="24"/>
        </w:rPr>
        <w:t>Malleson</w:t>
      </w:r>
      <w:proofErr w:type="spellEnd"/>
      <w:r w:rsidRPr="00B84A87">
        <w:rPr>
          <w:rFonts w:ascii="Times New Roman" w:hAnsi="Times New Roman" w:cs="Times New Roman"/>
          <w:sz w:val="24"/>
          <w:szCs w:val="24"/>
        </w:rPr>
        <w:t>,</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K.</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 xml:space="preserve">(2020). </w:t>
      </w:r>
      <w:r w:rsidRPr="00BC63BC">
        <w:rPr>
          <w:rFonts w:ascii="Times New Roman" w:hAnsi="Times New Roman" w:cs="Times New Roman"/>
          <w:i/>
          <w:iCs/>
          <w:sz w:val="24"/>
          <w:szCs w:val="24"/>
        </w:rPr>
        <w:t>The New Judiciary: The effect of Expansion and Activism</w:t>
      </w:r>
      <w:r w:rsidRPr="00B84A87">
        <w:rPr>
          <w:rFonts w:ascii="Times New Roman" w:hAnsi="Times New Roman" w:cs="Times New Roman"/>
          <w:sz w:val="24"/>
          <w:szCs w:val="24"/>
        </w:rPr>
        <w:t>. Ashgate Publishing</w:t>
      </w:r>
      <w:r w:rsidR="00B84A87">
        <w:rPr>
          <w:rFonts w:ascii="Times New Roman" w:hAnsi="Times New Roman" w:cs="Times New Roman"/>
          <w:sz w:val="24"/>
          <w:szCs w:val="24"/>
        </w:rPr>
        <w:t>.</w:t>
      </w:r>
    </w:p>
    <w:p w14:paraId="241B15F4" w14:textId="5E103E10" w:rsidR="00876387" w:rsidRPr="00876387" w:rsidRDefault="00876387" w:rsidP="00876387">
      <w:pPr>
        <w:pStyle w:val="ListParagraph"/>
        <w:numPr>
          <w:ilvl w:val="0"/>
          <w:numId w:val="1"/>
        </w:numPr>
        <w:jc w:val="both"/>
        <w:rPr>
          <w:rFonts w:ascii="Times New Roman" w:hAnsi="Times New Roman" w:cs="Times New Roman"/>
          <w:sz w:val="24"/>
          <w:szCs w:val="24"/>
        </w:rPr>
      </w:pPr>
      <w:r w:rsidRPr="00876387">
        <w:rPr>
          <w:rFonts w:ascii="Times New Roman" w:hAnsi="Times New Roman" w:cs="Times New Roman"/>
          <w:sz w:val="24"/>
          <w:szCs w:val="24"/>
        </w:rPr>
        <w:t xml:space="preserve">R v R (1991) 4 All ER 481 Available at: </w:t>
      </w:r>
      <w:hyperlink r:id="rId11">
        <w:r w:rsidRPr="00876387">
          <w:rPr>
            <w:rFonts w:ascii="Times New Roman" w:hAnsi="Times New Roman" w:cs="Times New Roman"/>
            <w:color w:val="1155CC"/>
            <w:sz w:val="24"/>
            <w:szCs w:val="24"/>
            <w:u w:val="single"/>
          </w:rPr>
          <w:t>https://www.lawteacher.net/order/?product=1&amp;ver=201024</w:t>
        </w:r>
      </w:hyperlink>
      <w:r w:rsidRPr="00876387">
        <w:rPr>
          <w:rFonts w:ascii="Times New Roman" w:hAnsi="Times New Roman" w:cs="Times New Roman"/>
          <w:sz w:val="24"/>
          <w:szCs w:val="24"/>
        </w:rPr>
        <w:t>( Accessed 12 November 2024)</w:t>
      </w:r>
      <w:r>
        <w:rPr>
          <w:rFonts w:ascii="Times New Roman" w:hAnsi="Times New Roman" w:cs="Times New Roman"/>
          <w:sz w:val="24"/>
          <w:szCs w:val="24"/>
        </w:rPr>
        <w:t>.</w:t>
      </w:r>
    </w:p>
    <w:p w14:paraId="412F68E4" w14:textId="4D321E1D" w:rsidR="00B84A87" w:rsidRDefault="00A65CBD" w:rsidP="002E1D25">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Robert, D.</w:t>
      </w:r>
      <w:r w:rsidR="00BC63BC">
        <w:rPr>
          <w:rFonts w:ascii="Times New Roman" w:hAnsi="Times New Roman" w:cs="Times New Roman"/>
          <w:sz w:val="24"/>
          <w:szCs w:val="24"/>
        </w:rPr>
        <w:t xml:space="preserve"> </w:t>
      </w:r>
      <w:r w:rsidRPr="00B84A87">
        <w:rPr>
          <w:rFonts w:ascii="Times New Roman" w:hAnsi="Times New Roman" w:cs="Times New Roman"/>
          <w:sz w:val="24"/>
          <w:szCs w:val="24"/>
        </w:rPr>
        <w:t xml:space="preserve">(2023) </w:t>
      </w:r>
      <w:r w:rsidRPr="00BC63BC">
        <w:rPr>
          <w:rFonts w:ascii="Times New Roman" w:hAnsi="Times New Roman" w:cs="Times New Roman"/>
          <w:i/>
          <w:iCs/>
          <w:sz w:val="24"/>
          <w:szCs w:val="24"/>
        </w:rPr>
        <w:t>Judicial Independence and the Rule of Law in the UK's Constitutional framework</w:t>
      </w:r>
      <w:r w:rsidRPr="00B84A87">
        <w:rPr>
          <w:rFonts w:ascii="Times New Roman" w:hAnsi="Times New Roman" w:cs="Times New Roman"/>
          <w:sz w:val="24"/>
          <w:szCs w:val="24"/>
        </w:rPr>
        <w:t>. Oxford university press.</w:t>
      </w:r>
    </w:p>
    <w:p w14:paraId="51BDB93B" w14:textId="0CB8D90D" w:rsidR="00876387" w:rsidRPr="00876387" w:rsidRDefault="00876387" w:rsidP="00876387">
      <w:pPr>
        <w:pStyle w:val="ListParagraph"/>
        <w:numPr>
          <w:ilvl w:val="0"/>
          <w:numId w:val="1"/>
        </w:numPr>
        <w:jc w:val="both"/>
        <w:rPr>
          <w:rFonts w:ascii="Times New Roman" w:hAnsi="Times New Roman" w:cs="Times New Roman"/>
          <w:sz w:val="24"/>
          <w:szCs w:val="24"/>
        </w:rPr>
      </w:pPr>
      <w:r w:rsidRPr="00876387">
        <w:rPr>
          <w:rFonts w:ascii="Times New Roman" w:hAnsi="Times New Roman" w:cs="Times New Roman"/>
          <w:sz w:val="24"/>
          <w:szCs w:val="24"/>
        </w:rPr>
        <w:t xml:space="preserve">R v </w:t>
      </w:r>
      <w:proofErr w:type="spellStart"/>
      <w:r w:rsidRPr="00876387">
        <w:rPr>
          <w:rFonts w:ascii="Times New Roman" w:hAnsi="Times New Roman" w:cs="Times New Roman"/>
          <w:sz w:val="24"/>
          <w:szCs w:val="24"/>
        </w:rPr>
        <w:t>Jogee</w:t>
      </w:r>
      <w:proofErr w:type="spellEnd"/>
      <w:r w:rsidRPr="00876387">
        <w:rPr>
          <w:rFonts w:ascii="Times New Roman" w:hAnsi="Times New Roman" w:cs="Times New Roman"/>
          <w:sz w:val="24"/>
          <w:szCs w:val="24"/>
        </w:rPr>
        <w:t xml:space="preserve"> (2016) UKSC 8 Available at </w:t>
      </w:r>
      <w:hyperlink r:id="rId12">
        <w:r w:rsidRPr="00876387">
          <w:rPr>
            <w:rFonts w:ascii="Times New Roman" w:hAnsi="Times New Roman" w:cs="Times New Roman"/>
            <w:color w:val="1155CC"/>
            <w:sz w:val="24"/>
            <w:szCs w:val="24"/>
            <w:u w:val="single"/>
          </w:rPr>
          <w:t>https://www.supremecourt.uk/cases/uksc-2015-0015.html</w:t>
        </w:r>
      </w:hyperlink>
      <w:r w:rsidRPr="00876387">
        <w:rPr>
          <w:rFonts w:ascii="Times New Roman" w:hAnsi="Times New Roman" w:cs="Times New Roman"/>
          <w:sz w:val="24"/>
          <w:szCs w:val="24"/>
        </w:rPr>
        <w:t xml:space="preserve"> (Accessed 13 November 2024)</w:t>
      </w:r>
      <w:r>
        <w:rPr>
          <w:rFonts w:ascii="Times New Roman" w:hAnsi="Times New Roman" w:cs="Times New Roman"/>
          <w:sz w:val="24"/>
          <w:szCs w:val="24"/>
        </w:rPr>
        <w:t>.</w:t>
      </w:r>
    </w:p>
    <w:p w14:paraId="48D58AAF" w14:textId="0EC01961" w:rsidR="00B84A87" w:rsidRDefault="00A65CBD" w:rsidP="002E1D25">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Slapper, G. and Kelly, D. ‘The English Legal System</w:t>
      </w:r>
      <w:r w:rsidR="007826B9">
        <w:rPr>
          <w:rFonts w:ascii="Times New Roman" w:hAnsi="Times New Roman" w:cs="Times New Roman"/>
          <w:sz w:val="24"/>
          <w:szCs w:val="24"/>
        </w:rPr>
        <w:t>’</w:t>
      </w:r>
      <w:r w:rsidRPr="00B84A87">
        <w:rPr>
          <w:rFonts w:ascii="Times New Roman" w:hAnsi="Times New Roman" w:cs="Times New Roman"/>
          <w:sz w:val="24"/>
          <w:szCs w:val="24"/>
        </w:rPr>
        <w:t>, 19</w:t>
      </w:r>
      <w:r w:rsidR="007826B9" w:rsidRPr="007826B9">
        <w:rPr>
          <w:rFonts w:ascii="Times New Roman" w:hAnsi="Times New Roman" w:cs="Times New Roman"/>
          <w:sz w:val="24"/>
          <w:szCs w:val="24"/>
          <w:vertAlign w:val="superscript"/>
        </w:rPr>
        <w:t>th</w:t>
      </w:r>
      <w:r w:rsidRPr="00B84A87">
        <w:rPr>
          <w:rFonts w:ascii="Times New Roman" w:hAnsi="Times New Roman" w:cs="Times New Roman"/>
          <w:sz w:val="24"/>
          <w:szCs w:val="24"/>
        </w:rPr>
        <w:t xml:space="preserve"> </w:t>
      </w:r>
      <w:proofErr w:type="spellStart"/>
      <w:r w:rsidRPr="00B84A87">
        <w:rPr>
          <w:rFonts w:ascii="Times New Roman" w:hAnsi="Times New Roman" w:cs="Times New Roman"/>
          <w:sz w:val="24"/>
          <w:szCs w:val="24"/>
        </w:rPr>
        <w:t>edn</w:t>
      </w:r>
      <w:proofErr w:type="spellEnd"/>
      <w:r w:rsidRPr="00B84A87">
        <w:rPr>
          <w:rFonts w:ascii="Times New Roman" w:hAnsi="Times New Roman" w:cs="Times New Roman"/>
          <w:sz w:val="24"/>
          <w:szCs w:val="24"/>
        </w:rPr>
        <w:t xml:space="preserve">, Routledge </w:t>
      </w:r>
    </w:p>
    <w:p w14:paraId="0000001B" w14:textId="15599B0C" w:rsidR="00A019E8" w:rsidRDefault="00A65CBD" w:rsidP="002E1D25">
      <w:pPr>
        <w:pStyle w:val="ListParagraph"/>
        <w:numPr>
          <w:ilvl w:val="0"/>
          <w:numId w:val="1"/>
        </w:numPr>
        <w:jc w:val="both"/>
        <w:rPr>
          <w:rFonts w:ascii="Times New Roman" w:hAnsi="Times New Roman" w:cs="Times New Roman"/>
          <w:sz w:val="24"/>
          <w:szCs w:val="24"/>
        </w:rPr>
      </w:pPr>
      <w:r w:rsidRPr="00B84A87">
        <w:rPr>
          <w:rFonts w:ascii="Times New Roman" w:hAnsi="Times New Roman" w:cs="Times New Roman"/>
          <w:sz w:val="24"/>
          <w:szCs w:val="24"/>
        </w:rPr>
        <w:t xml:space="preserve">Thomas, C. (2021). </w:t>
      </w:r>
      <w:r w:rsidRPr="00BC63BC">
        <w:rPr>
          <w:rFonts w:ascii="Times New Roman" w:hAnsi="Times New Roman" w:cs="Times New Roman"/>
          <w:i/>
          <w:iCs/>
          <w:sz w:val="24"/>
          <w:szCs w:val="24"/>
        </w:rPr>
        <w:t>Judicial Diversity in the United Kingdom and Beyond</w:t>
      </w:r>
      <w:r w:rsidRPr="00B84A87">
        <w:rPr>
          <w:rFonts w:ascii="Times New Roman" w:hAnsi="Times New Roman" w:cs="Times New Roman"/>
          <w:sz w:val="24"/>
          <w:szCs w:val="24"/>
        </w:rPr>
        <w:t xml:space="preserve">. Oxford </w:t>
      </w:r>
      <w:r w:rsidR="007826B9" w:rsidRPr="00B84A87">
        <w:rPr>
          <w:rFonts w:ascii="Times New Roman" w:hAnsi="Times New Roman" w:cs="Times New Roman"/>
          <w:sz w:val="24"/>
          <w:szCs w:val="24"/>
        </w:rPr>
        <w:t>University Press.</w:t>
      </w:r>
    </w:p>
    <w:p w14:paraId="3AAF6BAE" w14:textId="2DBA4B9F" w:rsidR="00876387" w:rsidRPr="00876387" w:rsidRDefault="00876387" w:rsidP="00876387">
      <w:pPr>
        <w:pStyle w:val="ListParagraph"/>
        <w:numPr>
          <w:ilvl w:val="0"/>
          <w:numId w:val="1"/>
        </w:numPr>
        <w:jc w:val="both"/>
        <w:rPr>
          <w:rFonts w:ascii="Times New Roman" w:hAnsi="Times New Roman" w:cs="Times New Roman"/>
          <w:sz w:val="24"/>
          <w:szCs w:val="24"/>
        </w:rPr>
      </w:pPr>
      <w:proofErr w:type="spellStart"/>
      <w:r w:rsidRPr="00876387">
        <w:rPr>
          <w:rFonts w:ascii="Times New Roman" w:hAnsi="Times New Roman" w:cs="Times New Roman"/>
          <w:sz w:val="24"/>
          <w:szCs w:val="24"/>
        </w:rPr>
        <w:t>Varetskyi</w:t>
      </w:r>
      <w:proofErr w:type="spellEnd"/>
      <w:r w:rsidRPr="00876387">
        <w:rPr>
          <w:rFonts w:ascii="Times New Roman" w:hAnsi="Times New Roman" w:cs="Times New Roman"/>
          <w:sz w:val="24"/>
          <w:szCs w:val="24"/>
        </w:rPr>
        <w:t>,</w:t>
      </w:r>
      <w:r w:rsidR="007826B9">
        <w:rPr>
          <w:rFonts w:ascii="Times New Roman" w:hAnsi="Times New Roman" w:cs="Times New Roman"/>
          <w:sz w:val="24"/>
          <w:szCs w:val="24"/>
        </w:rPr>
        <w:t xml:space="preserve"> </w:t>
      </w:r>
      <w:r w:rsidRPr="00876387">
        <w:rPr>
          <w:rFonts w:ascii="Times New Roman" w:hAnsi="Times New Roman" w:cs="Times New Roman"/>
          <w:sz w:val="24"/>
          <w:szCs w:val="24"/>
        </w:rPr>
        <w:t>A.</w:t>
      </w:r>
      <w:r w:rsidR="00BC63BC">
        <w:rPr>
          <w:rFonts w:ascii="Times New Roman" w:hAnsi="Times New Roman" w:cs="Times New Roman"/>
          <w:sz w:val="24"/>
          <w:szCs w:val="24"/>
        </w:rPr>
        <w:t xml:space="preserve"> </w:t>
      </w:r>
      <w:r w:rsidRPr="00876387">
        <w:rPr>
          <w:rFonts w:ascii="Times New Roman" w:hAnsi="Times New Roman" w:cs="Times New Roman"/>
          <w:sz w:val="24"/>
          <w:szCs w:val="24"/>
        </w:rPr>
        <w:t>(2021)</w:t>
      </w:r>
      <w:r w:rsidR="007826B9">
        <w:rPr>
          <w:rFonts w:ascii="Times New Roman" w:hAnsi="Times New Roman" w:cs="Times New Roman"/>
          <w:sz w:val="24"/>
          <w:szCs w:val="24"/>
        </w:rPr>
        <w:t xml:space="preserve"> </w:t>
      </w:r>
      <w:r w:rsidRPr="007826B9">
        <w:rPr>
          <w:rFonts w:ascii="Times New Roman" w:hAnsi="Times New Roman" w:cs="Times New Roman"/>
          <w:i/>
          <w:iCs/>
          <w:sz w:val="24"/>
          <w:szCs w:val="24"/>
        </w:rPr>
        <w:t>The Role of precedent in the system</w:t>
      </w:r>
      <w:r>
        <w:rPr>
          <w:rFonts w:ascii="Times New Roman" w:hAnsi="Times New Roman" w:cs="Times New Roman"/>
          <w:sz w:val="24"/>
          <w:szCs w:val="24"/>
        </w:rPr>
        <w:t xml:space="preserve">. </w:t>
      </w:r>
      <w:r w:rsidRPr="00876387">
        <w:rPr>
          <w:rFonts w:ascii="Times New Roman" w:hAnsi="Times New Roman" w:cs="Times New Roman"/>
          <w:sz w:val="24"/>
          <w:szCs w:val="24"/>
        </w:rPr>
        <w:t xml:space="preserve">Available at: </w:t>
      </w:r>
      <w:hyperlink r:id="rId13">
        <w:r w:rsidRPr="00876387">
          <w:rPr>
            <w:rFonts w:ascii="Times New Roman" w:hAnsi="Times New Roman" w:cs="Times New Roman"/>
            <w:color w:val="1155CC"/>
            <w:sz w:val="24"/>
            <w:szCs w:val="24"/>
            <w:u w:val="single"/>
          </w:rPr>
          <w:t>https://veritasiuris.lazarski.pl/fileadmin/user_upload/user_upload/07VeritasIuris_1-21_art3_Varetskyi.pdf</w:t>
        </w:r>
      </w:hyperlink>
      <w:r w:rsidRPr="00876387">
        <w:rPr>
          <w:rFonts w:ascii="Times New Roman" w:hAnsi="Times New Roman" w:cs="Times New Roman"/>
          <w:sz w:val="24"/>
          <w:szCs w:val="24"/>
        </w:rPr>
        <w:t xml:space="preserve"> (Accessed 11 November, 2024)</w:t>
      </w:r>
      <w:r>
        <w:rPr>
          <w:rFonts w:ascii="Times New Roman" w:hAnsi="Times New Roman" w:cs="Times New Roman"/>
          <w:sz w:val="24"/>
          <w:szCs w:val="24"/>
        </w:rPr>
        <w:t>.</w:t>
      </w:r>
    </w:p>
    <w:p w14:paraId="0000002B" w14:textId="77777777" w:rsidR="00A019E8" w:rsidRPr="002E1D25" w:rsidRDefault="00A019E8" w:rsidP="002E1D25">
      <w:pPr>
        <w:jc w:val="both"/>
        <w:rPr>
          <w:rFonts w:ascii="Times New Roman" w:hAnsi="Times New Roman" w:cs="Times New Roman"/>
          <w:sz w:val="24"/>
          <w:szCs w:val="24"/>
        </w:rPr>
      </w:pPr>
    </w:p>
    <w:sectPr w:rsidR="00A019E8" w:rsidRPr="002E1D2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2B38ED"/>
    <w:multiLevelType w:val="hybridMultilevel"/>
    <w:tmpl w:val="55B8F5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9E8"/>
    <w:rsid w:val="002E1D25"/>
    <w:rsid w:val="007826B9"/>
    <w:rsid w:val="00876387"/>
    <w:rsid w:val="00A019E8"/>
    <w:rsid w:val="00A65CBD"/>
    <w:rsid w:val="00B84A87"/>
    <w:rsid w:val="00BC63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ABB94"/>
  <w15:docId w15:val="{267881AA-51BA-40C8-ACD5-9A91A8560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2E1D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lawtimesjournal.com/landmark-legal-battles-cases-that-shaped-the-uk-we-know-today/" TargetMode="External"/><Relationship Id="rId13" Type="http://schemas.openxmlformats.org/officeDocument/2006/relationships/hyperlink" Target="https://veritasiuris.lazarski.pl/fileadmin/user_upload/user_upload/07VeritasIuris_1-21_art3_Varetskyi.pdf" TargetMode="External"/><Relationship Id="rId3" Type="http://schemas.openxmlformats.org/officeDocument/2006/relationships/settings" Target="settings.xml"/><Relationship Id="rId7" Type="http://schemas.openxmlformats.org/officeDocument/2006/relationships/hyperlink" Target="https://professionalnegligenceclaimsolicitors.co.uk/duty-of-care-key-tort-law-judgment-donoghue/" TargetMode="External"/><Relationship Id="rId12" Type="http://schemas.openxmlformats.org/officeDocument/2006/relationships/hyperlink" Target="https://www.supremecourt.uk/cases/uksc-2015-001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ship.law.nd.edu/law_faculty_scholarship" TargetMode="External"/><Relationship Id="rId11" Type="http://schemas.openxmlformats.org/officeDocument/2006/relationships/hyperlink" Target="https://www.lawteacher.net/order/?product=1&amp;ver=201024" TargetMode="External"/><Relationship Id="rId5" Type="http://schemas.openxmlformats.org/officeDocument/2006/relationships/hyperlink" Target="https://law.justia.com/cases/foreign/united-kingdom/1-q-b-256-1893.html" TargetMode="External"/><Relationship Id="rId15" Type="http://schemas.openxmlformats.org/officeDocument/2006/relationships/theme" Target="theme/theme1.xml"/><Relationship Id="rId10" Type="http://schemas.openxmlformats.org/officeDocument/2006/relationships/hyperlink" Target="https://www.judiciary.uk/structure-of-courts-and-tribunals-system/" TargetMode="External"/><Relationship Id="rId4" Type="http://schemas.openxmlformats.org/officeDocument/2006/relationships/webSettings" Target="webSettings.xml"/><Relationship Id="rId9" Type="http://schemas.openxmlformats.org/officeDocument/2006/relationships/hyperlink" Target="https://doi.org/10.1093/ojls/gqab0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4</Pages>
  <Words>1692</Words>
  <Characters>9647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PRIME LAW 4</cp:lastModifiedBy>
  <cp:revision>7</cp:revision>
  <dcterms:created xsi:type="dcterms:W3CDTF">2024-11-13T00:54:00Z</dcterms:created>
  <dcterms:modified xsi:type="dcterms:W3CDTF">2024-11-13T01:50:00Z</dcterms:modified>
</cp:coreProperties>
</file>