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59233" w14:textId="1B58E261" w:rsidR="00CA63EB" w:rsidRDefault="00CA63EB" w:rsidP="00CA63EB">
      <w:pPr>
        <w:rPr>
          <w:b/>
          <w:bCs/>
          <w:sz w:val="32"/>
          <w:szCs w:val="32"/>
          <w:u w:val="single"/>
        </w:rPr>
      </w:pPr>
      <w:r w:rsidRPr="00B352C4">
        <w:rPr>
          <w:b/>
          <w:bCs/>
          <w:sz w:val="32"/>
          <w:szCs w:val="32"/>
          <w:u w:val="single"/>
        </w:rPr>
        <w:t>Nuclear Power for Sustainable Energy Production</w:t>
      </w:r>
      <w:r>
        <w:rPr>
          <w:b/>
          <w:bCs/>
          <w:sz w:val="32"/>
          <w:szCs w:val="32"/>
          <w:u w:val="single"/>
        </w:rPr>
        <w:t>, is it a good long-term investment for the United Kingdom?</w:t>
      </w:r>
    </w:p>
    <w:sdt>
      <w:sdtPr>
        <w:rPr>
          <w:rFonts w:asciiTheme="minorHAnsi" w:eastAsiaTheme="minorEastAsia" w:hAnsiTheme="minorHAnsi" w:cstheme="minorBidi"/>
          <w:color w:val="auto"/>
          <w:kern w:val="2"/>
          <w:sz w:val="24"/>
          <w:szCs w:val="24"/>
          <w:lang w:eastAsia="zh-CN"/>
          <w14:ligatures w14:val="standardContextual"/>
        </w:rPr>
        <w:id w:val="1803261468"/>
        <w:docPartObj>
          <w:docPartGallery w:val="Table of Contents"/>
          <w:docPartUnique/>
        </w:docPartObj>
      </w:sdtPr>
      <w:sdtEndPr>
        <w:rPr>
          <w:b/>
          <w:bCs/>
        </w:rPr>
      </w:sdtEndPr>
      <w:sdtContent>
        <w:p w14:paraId="638B6445" w14:textId="1B38ABA4" w:rsidR="00750A24" w:rsidRDefault="00750A24">
          <w:pPr>
            <w:pStyle w:val="TOCHeading"/>
          </w:pPr>
          <w:r>
            <w:t>Contents</w:t>
          </w:r>
        </w:p>
        <w:p w14:paraId="04C1621F" w14:textId="055E854D" w:rsidR="006C326F" w:rsidRDefault="00750A24">
          <w:pPr>
            <w:pStyle w:val="TOC2"/>
            <w:tabs>
              <w:tab w:val="right" w:leader="dot" w:pos="9016"/>
            </w:tabs>
            <w:rPr>
              <w:noProof/>
              <w:lang w:eastAsia="en-GB"/>
            </w:rPr>
          </w:pPr>
          <w:r>
            <w:fldChar w:fldCharType="begin"/>
          </w:r>
          <w:r>
            <w:instrText xml:space="preserve"> TOC \o "1-3" \h \z \u </w:instrText>
          </w:r>
          <w:r>
            <w:fldChar w:fldCharType="separate"/>
          </w:r>
          <w:hyperlink w:anchor="_Toc227607605" w:history="1">
            <w:r w:rsidR="006C326F" w:rsidRPr="00397E9A">
              <w:rPr>
                <w:rStyle w:val="Hyperlink"/>
                <w:noProof/>
              </w:rPr>
              <w:t>Project Summary</w:t>
            </w:r>
            <w:r w:rsidR="006C326F">
              <w:rPr>
                <w:noProof/>
                <w:webHidden/>
              </w:rPr>
              <w:tab/>
            </w:r>
            <w:r w:rsidR="006C326F">
              <w:rPr>
                <w:noProof/>
                <w:webHidden/>
              </w:rPr>
              <w:fldChar w:fldCharType="begin"/>
            </w:r>
            <w:r w:rsidR="006C326F">
              <w:rPr>
                <w:noProof/>
                <w:webHidden/>
              </w:rPr>
              <w:instrText xml:space="preserve"> PAGEREF _Toc227607605 \h </w:instrText>
            </w:r>
            <w:r w:rsidR="006C326F">
              <w:rPr>
                <w:noProof/>
                <w:webHidden/>
              </w:rPr>
            </w:r>
            <w:r w:rsidR="006C326F">
              <w:rPr>
                <w:noProof/>
                <w:webHidden/>
              </w:rPr>
              <w:fldChar w:fldCharType="separate"/>
            </w:r>
            <w:r w:rsidR="006C326F">
              <w:rPr>
                <w:noProof/>
                <w:webHidden/>
              </w:rPr>
              <w:t>1</w:t>
            </w:r>
            <w:r w:rsidR="006C326F">
              <w:rPr>
                <w:noProof/>
                <w:webHidden/>
              </w:rPr>
              <w:fldChar w:fldCharType="end"/>
            </w:r>
          </w:hyperlink>
        </w:p>
        <w:p w14:paraId="09DDE328" w14:textId="45CC2A2D" w:rsidR="006C326F" w:rsidRDefault="006C326F">
          <w:pPr>
            <w:pStyle w:val="TOC2"/>
            <w:tabs>
              <w:tab w:val="right" w:leader="dot" w:pos="9016"/>
            </w:tabs>
            <w:rPr>
              <w:noProof/>
              <w:lang w:eastAsia="en-GB"/>
            </w:rPr>
          </w:pPr>
          <w:hyperlink w:anchor="_Toc227607606" w:history="1">
            <w:r w:rsidRPr="00397E9A">
              <w:rPr>
                <w:rStyle w:val="Hyperlink"/>
                <w:noProof/>
              </w:rPr>
              <w:t>Background and Rationale</w:t>
            </w:r>
            <w:r>
              <w:rPr>
                <w:noProof/>
                <w:webHidden/>
              </w:rPr>
              <w:tab/>
            </w:r>
            <w:r>
              <w:rPr>
                <w:noProof/>
                <w:webHidden/>
              </w:rPr>
              <w:fldChar w:fldCharType="begin"/>
            </w:r>
            <w:r>
              <w:rPr>
                <w:noProof/>
                <w:webHidden/>
              </w:rPr>
              <w:instrText xml:space="preserve"> PAGEREF _Toc227607606 \h </w:instrText>
            </w:r>
            <w:r>
              <w:rPr>
                <w:noProof/>
                <w:webHidden/>
              </w:rPr>
            </w:r>
            <w:r>
              <w:rPr>
                <w:noProof/>
                <w:webHidden/>
              </w:rPr>
              <w:fldChar w:fldCharType="separate"/>
            </w:r>
            <w:r>
              <w:rPr>
                <w:noProof/>
                <w:webHidden/>
              </w:rPr>
              <w:t>1</w:t>
            </w:r>
            <w:r>
              <w:rPr>
                <w:noProof/>
                <w:webHidden/>
              </w:rPr>
              <w:fldChar w:fldCharType="end"/>
            </w:r>
          </w:hyperlink>
        </w:p>
        <w:p w14:paraId="2060293C" w14:textId="359E914E" w:rsidR="006C326F" w:rsidRDefault="006C326F">
          <w:pPr>
            <w:pStyle w:val="TOC2"/>
            <w:tabs>
              <w:tab w:val="right" w:leader="dot" w:pos="9016"/>
            </w:tabs>
            <w:rPr>
              <w:noProof/>
              <w:lang w:eastAsia="en-GB"/>
            </w:rPr>
          </w:pPr>
          <w:hyperlink w:anchor="_Toc227607607" w:history="1">
            <w:r w:rsidRPr="00397E9A">
              <w:rPr>
                <w:rStyle w:val="Hyperlink"/>
                <w:noProof/>
                <w:kern w:val="0"/>
                <w:lang w:eastAsia="en-GB"/>
                <w14:ligatures w14:val="none"/>
              </w:rPr>
              <w:t>Research Questions and Objectives</w:t>
            </w:r>
            <w:r>
              <w:rPr>
                <w:noProof/>
                <w:webHidden/>
              </w:rPr>
              <w:tab/>
            </w:r>
            <w:r>
              <w:rPr>
                <w:noProof/>
                <w:webHidden/>
              </w:rPr>
              <w:fldChar w:fldCharType="begin"/>
            </w:r>
            <w:r>
              <w:rPr>
                <w:noProof/>
                <w:webHidden/>
              </w:rPr>
              <w:instrText xml:space="preserve"> PAGEREF _Toc227607607 \h </w:instrText>
            </w:r>
            <w:r>
              <w:rPr>
                <w:noProof/>
                <w:webHidden/>
              </w:rPr>
            </w:r>
            <w:r>
              <w:rPr>
                <w:noProof/>
                <w:webHidden/>
              </w:rPr>
              <w:fldChar w:fldCharType="separate"/>
            </w:r>
            <w:r>
              <w:rPr>
                <w:noProof/>
                <w:webHidden/>
              </w:rPr>
              <w:t>1</w:t>
            </w:r>
            <w:r>
              <w:rPr>
                <w:noProof/>
                <w:webHidden/>
              </w:rPr>
              <w:fldChar w:fldCharType="end"/>
            </w:r>
          </w:hyperlink>
        </w:p>
        <w:p w14:paraId="241AA303" w14:textId="6D9CB255" w:rsidR="006C326F" w:rsidRDefault="006C326F">
          <w:pPr>
            <w:pStyle w:val="TOC2"/>
            <w:tabs>
              <w:tab w:val="right" w:leader="dot" w:pos="9016"/>
            </w:tabs>
            <w:rPr>
              <w:noProof/>
              <w:lang w:eastAsia="en-GB"/>
            </w:rPr>
          </w:pPr>
          <w:hyperlink w:anchor="_Toc227607608" w:history="1">
            <w:r w:rsidRPr="00397E9A">
              <w:rPr>
                <w:rStyle w:val="Hyperlink"/>
                <w:noProof/>
              </w:rPr>
              <w:t>Hypotheses</w:t>
            </w:r>
            <w:r>
              <w:rPr>
                <w:noProof/>
                <w:webHidden/>
              </w:rPr>
              <w:tab/>
            </w:r>
            <w:r>
              <w:rPr>
                <w:noProof/>
                <w:webHidden/>
              </w:rPr>
              <w:fldChar w:fldCharType="begin"/>
            </w:r>
            <w:r>
              <w:rPr>
                <w:noProof/>
                <w:webHidden/>
              </w:rPr>
              <w:instrText xml:space="preserve"> PAGEREF _Toc227607608 \h </w:instrText>
            </w:r>
            <w:r>
              <w:rPr>
                <w:noProof/>
                <w:webHidden/>
              </w:rPr>
            </w:r>
            <w:r>
              <w:rPr>
                <w:noProof/>
                <w:webHidden/>
              </w:rPr>
              <w:fldChar w:fldCharType="separate"/>
            </w:r>
            <w:r>
              <w:rPr>
                <w:noProof/>
                <w:webHidden/>
              </w:rPr>
              <w:t>2</w:t>
            </w:r>
            <w:r>
              <w:rPr>
                <w:noProof/>
                <w:webHidden/>
              </w:rPr>
              <w:fldChar w:fldCharType="end"/>
            </w:r>
          </w:hyperlink>
        </w:p>
        <w:p w14:paraId="2CEC771E" w14:textId="50DE39EA" w:rsidR="006C326F" w:rsidRDefault="006C326F">
          <w:pPr>
            <w:pStyle w:val="TOC2"/>
            <w:tabs>
              <w:tab w:val="right" w:leader="dot" w:pos="9016"/>
            </w:tabs>
            <w:rPr>
              <w:noProof/>
              <w:lang w:eastAsia="en-GB"/>
            </w:rPr>
          </w:pPr>
          <w:hyperlink w:anchor="_Toc227607609" w:history="1">
            <w:r w:rsidRPr="00397E9A">
              <w:rPr>
                <w:rStyle w:val="Hyperlink"/>
                <w:noProof/>
              </w:rPr>
              <w:t>Systems Integration and Flexibility Analysis</w:t>
            </w:r>
            <w:r>
              <w:rPr>
                <w:noProof/>
                <w:webHidden/>
              </w:rPr>
              <w:tab/>
            </w:r>
            <w:r>
              <w:rPr>
                <w:noProof/>
                <w:webHidden/>
              </w:rPr>
              <w:fldChar w:fldCharType="begin"/>
            </w:r>
            <w:r>
              <w:rPr>
                <w:noProof/>
                <w:webHidden/>
              </w:rPr>
              <w:instrText xml:space="preserve"> PAGEREF _Toc227607609 \h </w:instrText>
            </w:r>
            <w:r>
              <w:rPr>
                <w:noProof/>
                <w:webHidden/>
              </w:rPr>
            </w:r>
            <w:r>
              <w:rPr>
                <w:noProof/>
                <w:webHidden/>
              </w:rPr>
              <w:fldChar w:fldCharType="separate"/>
            </w:r>
            <w:r>
              <w:rPr>
                <w:noProof/>
                <w:webHidden/>
              </w:rPr>
              <w:t>2</w:t>
            </w:r>
            <w:r>
              <w:rPr>
                <w:noProof/>
                <w:webHidden/>
              </w:rPr>
              <w:fldChar w:fldCharType="end"/>
            </w:r>
          </w:hyperlink>
        </w:p>
        <w:p w14:paraId="06A28940" w14:textId="2C460C00" w:rsidR="006C326F" w:rsidRDefault="006C326F">
          <w:pPr>
            <w:pStyle w:val="TOC2"/>
            <w:tabs>
              <w:tab w:val="right" w:leader="dot" w:pos="9016"/>
            </w:tabs>
            <w:rPr>
              <w:noProof/>
              <w:lang w:eastAsia="en-GB"/>
            </w:rPr>
          </w:pPr>
          <w:hyperlink w:anchor="_Toc227607610" w:history="1">
            <w:r w:rsidRPr="00397E9A">
              <w:rPr>
                <w:rStyle w:val="Hyperlink"/>
                <w:noProof/>
                <w:kern w:val="0"/>
                <w:lang w:eastAsia="en-GB"/>
                <w14:ligatures w14:val="none"/>
              </w:rPr>
              <w:t>Stakeholder and Political Feasibility</w:t>
            </w:r>
            <w:r>
              <w:rPr>
                <w:noProof/>
                <w:webHidden/>
              </w:rPr>
              <w:tab/>
            </w:r>
            <w:r>
              <w:rPr>
                <w:noProof/>
                <w:webHidden/>
              </w:rPr>
              <w:fldChar w:fldCharType="begin"/>
            </w:r>
            <w:r>
              <w:rPr>
                <w:noProof/>
                <w:webHidden/>
              </w:rPr>
              <w:instrText xml:space="preserve"> PAGEREF _Toc227607610 \h </w:instrText>
            </w:r>
            <w:r>
              <w:rPr>
                <w:noProof/>
                <w:webHidden/>
              </w:rPr>
            </w:r>
            <w:r>
              <w:rPr>
                <w:noProof/>
                <w:webHidden/>
              </w:rPr>
              <w:fldChar w:fldCharType="separate"/>
            </w:r>
            <w:r>
              <w:rPr>
                <w:noProof/>
                <w:webHidden/>
              </w:rPr>
              <w:t>3</w:t>
            </w:r>
            <w:r>
              <w:rPr>
                <w:noProof/>
                <w:webHidden/>
              </w:rPr>
              <w:fldChar w:fldCharType="end"/>
            </w:r>
          </w:hyperlink>
        </w:p>
        <w:p w14:paraId="24781D71" w14:textId="412EF5B7" w:rsidR="006C326F" w:rsidRDefault="006C326F">
          <w:pPr>
            <w:pStyle w:val="TOC2"/>
            <w:tabs>
              <w:tab w:val="right" w:leader="dot" w:pos="9016"/>
            </w:tabs>
            <w:rPr>
              <w:noProof/>
              <w:lang w:eastAsia="en-GB"/>
            </w:rPr>
          </w:pPr>
          <w:hyperlink w:anchor="_Toc227607611" w:history="1">
            <w:r w:rsidRPr="00397E9A">
              <w:rPr>
                <w:rStyle w:val="Hyperlink"/>
                <w:noProof/>
                <w:kern w:val="0"/>
                <w:lang w:eastAsia="en-GB"/>
                <w14:ligatures w14:val="none"/>
              </w:rPr>
              <w:t>Risks and Mitigations</w:t>
            </w:r>
            <w:r>
              <w:rPr>
                <w:noProof/>
                <w:webHidden/>
              </w:rPr>
              <w:tab/>
            </w:r>
            <w:r>
              <w:rPr>
                <w:noProof/>
                <w:webHidden/>
              </w:rPr>
              <w:fldChar w:fldCharType="begin"/>
            </w:r>
            <w:r>
              <w:rPr>
                <w:noProof/>
                <w:webHidden/>
              </w:rPr>
              <w:instrText xml:space="preserve"> PAGEREF _Toc227607611 \h </w:instrText>
            </w:r>
            <w:r>
              <w:rPr>
                <w:noProof/>
                <w:webHidden/>
              </w:rPr>
            </w:r>
            <w:r>
              <w:rPr>
                <w:noProof/>
                <w:webHidden/>
              </w:rPr>
              <w:fldChar w:fldCharType="separate"/>
            </w:r>
            <w:r>
              <w:rPr>
                <w:noProof/>
                <w:webHidden/>
              </w:rPr>
              <w:t>4</w:t>
            </w:r>
            <w:r>
              <w:rPr>
                <w:noProof/>
                <w:webHidden/>
              </w:rPr>
              <w:fldChar w:fldCharType="end"/>
            </w:r>
          </w:hyperlink>
        </w:p>
        <w:p w14:paraId="2F0E2C94" w14:textId="14DE3D7C" w:rsidR="006C326F" w:rsidRDefault="006C326F">
          <w:pPr>
            <w:pStyle w:val="TOC2"/>
            <w:tabs>
              <w:tab w:val="right" w:leader="dot" w:pos="9016"/>
            </w:tabs>
            <w:rPr>
              <w:noProof/>
              <w:lang w:eastAsia="en-GB"/>
            </w:rPr>
          </w:pPr>
          <w:hyperlink w:anchor="_Toc227607612" w:history="1">
            <w:r w:rsidRPr="00397E9A">
              <w:rPr>
                <w:rStyle w:val="Hyperlink"/>
                <w:noProof/>
                <w:kern w:val="0"/>
                <w:lang w:eastAsia="en-GB"/>
                <w14:ligatures w14:val="none"/>
              </w:rPr>
              <w:t>Team, Timeline and Resources</w:t>
            </w:r>
            <w:r>
              <w:rPr>
                <w:noProof/>
                <w:webHidden/>
              </w:rPr>
              <w:tab/>
            </w:r>
            <w:r>
              <w:rPr>
                <w:noProof/>
                <w:webHidden/>
              </w:rPr>
              <w:fldChar w:fldCharType="begin"/>
            </w:r>
            <w:r>
              <w:rPr>
                <w:noProof/>
                <w:webHidden/>
              </w:rPr>
              <w:instrText xml:space="preserve"> PAGEREF _Toc227607612 \h </w:instrText>
            </w:r>
            <w:r>
              <w:rPr>
                <w:noProof/>
                <w:webHidden/>
              </w:rPr>
            </w:r>
            <w:r>
              <w:rPr>
                <w:noProof/>
                <w:webHidden/>
              </w:rPr>
              <w:fldChar w:fldCharType="separate"/>
            </w:r>
            <w:r>
              <w:rPr>
                <w:noProof/>
                <w:webHidden/>
              </w:rPr>
              <w:t>5</w:t>
            </w:r>
            <w:r>
              <w:rPr>
                <w:noProof/>
                <w:webHidden/>
              </w:rPr>
              <w:fldChar w:fldCharType="end"/>
            </w:r>
          </w:hyperlink>
        </w:p>
        <w:p w14:paraId="4DD0E9E7" w14:textId="1355EC1D" w:rsidR="006C326F" w:rsidRDefault="006C326F">
          <w:pPr>
            <w:pStyle w:val="TOC2"/>
            <w:tabs>
              <w:tab w:val="right" w:leader="dot" w:pos="9016"/>
            </w:tabs>
            <w:rPr>
              <w:noProof/>
              <w:lang w:eastAsia="en-GB"/>
            </w:rPr>
          </w:pPr>
          <w:hyperlink w:anchor="_Toc227607613" w:history="1">
            <w:r w:rsidRPr="00397E9A">
              <w:rPr>
                <w:rStyle w:val="Hyperlink"/>
                <w:noProof/>
              </w:rPr>
              <w:t>Technical Annex: Modelling inputs, Parameters and Assumptions</w:t>
            </w:r>
            <w:r>
              <w:rPr>
                <w:noProof/>
                <w:webHidden/>
              </w:rPr>
              <w:tab/>
            </w:r>
            <w:r>
              <w:rPr>
                <w:noProof/>
                <w:webHidden/>
              </w:rPr>
              <w:fldChar w:fldCharType="begin"/>
            </w:r>
            <w:r>
              <w:rPr>
                <w:noProof/>
                <w:webHidden/>
              </w:rPr>
              <w:instrText xml:space="preserve"> PAGEREF _Toc227607613 \h </w:instrText>
            </w:r>
            <w:r>
              <w:rPr>
                <w:noProof/>
                <w:webHidden/>
              </w:rPr>
            </w:r>
            <w:r>
              <w:rPr>
                <w:noProof/>
                <w:webHidden/>
              </w:rPr>
              <w:fldChar w:fldCharType="separate"/>
            </w:r>
            <w:r>
              <w:rPr>
                <w:noProof/>
                <w:webHidden/>
              </w:rPr>
              <w:t>5</w:t>
            </w:r>
            <w:r>
              <w:rPr>
                <w:noProof/>
                <w:webHidden/>
              </w:rPr>
              <w:fldChar w:fldCharType="end"/>
            </w:r>
          </w:hyperlink>
        </w:p>
        <w:p w14:paraId="62AA2F56" w14:textId="2990AE93" w:rsidR="006C326F" w:rsidRDefault="006C326F">
          <w:pPr>
            <w:pStyle w:val="TOC2"/>
            <w:tabs>
              <w:tab w:val="right" w:leader="dot" w:pos="9016"/>
            </w:tabs>
            <w:rPr>
              <w:noProof/>
              <w:lang w:eastAsia="en-GB"/>
            </w:rPr>
          </w:pPr>
          <w:hyperlink w:anchor="_Toc227607614" w:history="1">
            <w:r w:rsidRPr="00397E9A">
              <w:rPr>
                <w:rStyle w:val="Hyperlink"/>
                <w:noProof/>
              </w:rPr>
              <w:t>Nuclear Energy, is it worth it?</w:t>
            </w:r>
            <w:r>
              <w:rPr>
                <w:noProof/>
                <w:webHidden/>
              </w:rPr>
              <w:tab/>
            </w:r>
            <w:r>
              <w:rPr>
                <w:noProof/>
                <w:webHidden/>
              </w:rPr>
              <w:fldChar w:fldCharType="begin"/>
            </w:r>
            <w:r>
              <w:rPr>
                <w:noProof/>
                <w:webHidden/>
              </w:rPr>
              <w:instrText xml:space="preserve"> PAGEREF _Toc227607614 \h </w:instrText>
            </w:r>
            <w:r>
              <w:rPr>
                <w:noProof/>
                <w:webHidden/>
              </w:rPr>
            </w:r>
            <w:r>
              <w:rPr>
                <w:noProof/>
                <w:webHidden/>
              </w:rPr>
              <w:fldChar w:fldCharType="separate"/>
            </w:r>
            <w:r>
              <w:rPr>
                <w:noProof/>
                <w:webHidden/>
              </w:rPr>
              <w:t>9</w:t>
            </w:r>
            <w:r>
              <w:rPr>
                <w:noProof/>
                <w:webHidden/>
              </w:rPr>
              <w:fldChar w:fldCharType="end"/>
            </w:r>
          </w:hyperlink>
        </w:p>
        <w:p w14:paraId="35E6F014" w14:textId="664B18D1" w:rsidR="006C326F" w:rsidRDefault="006C326F">
          <w:pPr>
            <w:pStyle w:val="TOC2"/>
            <w:tabs>
              <w:tab w:val="right" w:leader="dot" w:pos="9016"/>
            </w:tabs>
            <w:rPr>
              <w:noProof/>
              <w:lang w:eastAsia="en-GB"/>
            </w:rPr>
          </w:pPr>
          <w:hyperlink w:anchor="_Toc227607615" w:history="1">
            <w:r w:rsidRPr="00397E9A">
              <w:rPr>
                <w:rStyle w:val="Hyperlink"/>
                <w:noProof/>
              </w:rPr>
              <w:t>References</w:t>
            </w:r>
            <w:r>
              <w:rPr>
                <w:noProof/>
                <w:webHidden/>
              </w:rPr>
              <w:tab/>
            </w:r>
            <w:r>
              <w:rPr>
                <w:noProof/>
                <w:webHidden/>
              </w:rPr>
              <w:fldChar w:fldCharType="begin"/>
            </w:r>
            <w:r>
              <w:rPr>
                <w:noProof/>
                <w:webHidden/>
              </w:rPr>
              <w:instrText xml:space="preserve"> PAGEREF _Toc227607615 \h </w:instrText>
            </w:r>
            <w:r>
              <w:rPr>
                <w:noProof/>
                <w:webHidden/>
              </w:rPr>
            </w:r>
            <w:r>
              <w:rPr>
                <w:noProof/>
                <w:webHidden/>
              </w:rPr>
              <w:fldChar w:fldCharType="separate"/>
            </w:r>
            <w:r>
              <w:rPr>
                <w:noProof/>
                <w:webHidden/>
              </w:rPr>
              <w:t>12</w:t>
            </w:r>
            <w:r>
              <w:rPr>
                <w:noProof/>
                <w:webHidden/>
              </w:rPr>
              <w:fldChar w:fldCharType="end"/>
            </w:r>
          </w:hyperlink>
        </w:p>
        <w:p w14:paraId="2608C34D" w14:textId="7794F013" w:rsidR="00750A24" w:rsidRPr="00325601" w:rsidRDefault="00750A24" w:rsidP="00325601">
          <w:r>
            <w:rPr>
              <w:b/>
              <w:bCs/>
            </w:rPr>
            <w:fldChar w:fldCharType="end"/>
          </w:r>
        </w:p>
      </w:sdtContent>
    </w:sdt>
    <w:p w14:paraId="49EBD772" w14:textId="492CF9DA" w:rsidR="00750A24" w:rsidRDefault="00266A7F" w:rsidP="00750A24">
      <w:pPr>
        <w:pStyle w:val="Heading2"/>
      </w:pPr>
      <w:bookmarkStart w:id="0" w:name="_Toc227607605"/>
      <w:r w:rsidRPr="00266A7F">
        <w:t xml:space="preserve">Project </w:t>
      </w:r>
      <w:r w:rsidR="00750A24">
        <w:t>S</w:t>
      </w:r>
      <w:r w:rsidRPr="00266A7F">
        <w:t>ummary</w:t>
      </w:r>
      <w:bookmarkEnd w:id="0"/>
      <w:r w:rsidRPr="00266A7F">
        <w:t xml:space="preserve"> </w:t>
      </w:r>
    </w:p>
    <w:p w14:paraId="74CD91B0" w14:textId="0519CD76"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This proposal assesses and designs an actionable pathway for accelerating UK nuclear generation and associated systems to displace fossil</w:t>
      </w:r>
      <w:r w:rsidRPr="00266A7F">
        <w:rPr>
          <w:rFonts w:asciiTheme="minorHAnsi" w:hAnsiTheme="minorHAnsi" w:cs="Calibri"/>
          <w:color w:val="000000"/>
          <w:sz w:val="20"/>
          <w:szCs w:val="20"/>
        </w:rPr>
        <w:noBreakHyphen/>
        <w:t>fuel electricity and selected industrial heat uses by the end of 2026 while managing cost, security, grid stability and environmental risk. It synthesises multi</w:t>
      </w:r>
      <w:r w:rsidRPr="00266A7F">
        <w:rPr>
          <w:rFonts w:asciiTheme="minorHAnsi" w:hAnsiTheme="minorHAnsi" w:cs="Calibri"/>
          <w:color w:val="000000"/>
          <w:sz w:val="20"/>
          <w:szCs w:val="20"/>
        </w:rPr>
        <w:noBreakHyphen/>
        <w:t>country empirical evidence that nuclear deployment reduces CO2, combines that evidence with UK</w:t>
      </w:r>
      <w:r w:rsidRPr="00266A7F">
        <w:rPr>
          <w:rFonts w:asciiTheme="minorHAnsi" w:hAnsiTheme="minorHAnsi" w:cs="Calibri"/>
          <w:color w:val="000000"/>
          <w:sz w:val="20"/>
          <w:szCs w:val="20"/>
        </w:rPr>
        <w:noBreakHyphen/>
        <w:t>specific power</w:t>
      </w:r>
      <w:r w:rsidRPr="00266A7F">
        <w:rPr>
          <w:rFonts w:asciiTheme="minorHAnsi" w:hAnsiTheme="minorHAnsi" w:cs="Calibri"/>
          <w:color w:val="000000"/>
          <w:sz w:val="20"/>
          <w:szCs w:val="20"/>
        </w:rPr>
        <w:noBreakHyphen/>
        <w:t>system data, and models realistic deployment options (plant life</w:t>
      </w:r>
      <w:r w:rsidRPr="00266A7F">
        <w:rPr>
          <w:rFonts w:asciiTheme="minorHAnsi" w:hAnsiTheme="minorHAnsi" w:cs="Calibri"/>
          <w:color w:val="000000"/>
          <w:sz w:val="20"/>
          <w:szCs w:val="20"/>
        </w:rPr>
        <w:noBreakHyphen/>
        <w:t>extensions, small modular reactors (SMRs), and limited large plant acceleration) alongside grid flexibility measures, financing instruments and regulatory streamlining to deliver a prioritized implementation roadmap for immediate ministerial action.</w:t>
      </w:r>
    </w:p>
    <w:p w14:paraId="2475620A" w14:textId="72E2163F" w:rsidR="00750A24" w:rsidRDefault="00266A7F" w:rsidP="00750A24">
      <w:pPr>
        <w:pStyle w:val="Heading2"/>
      </w:pPr>
      <w:bookmarkStart w:id="1" w:name="_Toc227607606"/>
      <w:r w:rsidRPr="00266A7F">
        <w:t xml:space="preserve">Background and </w:t>
      </w:r>
      <w:r w:rsidR="00750A24">
        <w:t>R</w:t>
      </w:r>
      <w:r w:rsidRPr="00266A7F">
        <w:t>ationale</w:t>
      </w:r>
      <w:bookmarkEnd w:id="1"/>
    </w:p>
    <w:p w14:paraId="0D5AF41E" w14:textId="22C61737"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Empirical panel and country studies find that nuclear energy often reduces CO2 emissions and can support economic activity, while the CO2 impact of renewables depends strongly on penetration, integration and local conditions (e.g., studies of G7 and high</w:t>
      </w:r>
      <w:r w:rsidRPr="00266A7F">
        <w:rPr>
          <w:rFonts w:asciiTheme="minorHAnsi" w:hAnsiTheme="minorHAnsi" w:cs="Calibri"/>
          <w:color w:val="000000"/>
          <w:sz w:val="20"/>
          <w:szCs w:val="20"/>
        </w:rPr>
        <w:noBreakHyphen/>
        <w:t>emitter country panels and UK</w:t>
      </w:r>
      <w:r w:rsidRPr="00266A7F">
        <w:rPr>
          <w:rFonts w:asciiTheme="minorHAnsi" w:hAnsiTheme="minorHAnsi" w:cs="Calibri"/>
          <w:color w:val="000000"/>
          <w:sz w:val="20"/>
          <w:szCs w:val="20"/>
        </w:rPr>
        <w:noBreakHyphen/>
        <w:t xml:space="preserve">relevant analyses) </w:t>
      </w:r>
    </w:p>
    <w:p w14:paraId="22E8D468" w14:textId="1B8634D7" w:rsidR="00750A24" w:rsidRDefault="00266A7F" w:rsidP="00266A7F">
      <w:pPr>
        <w:pStyle w:val="NormalWeb"/>
        <w:spacing w:line="360" w:lineRule="atLeast"/>
        <w:rPr>
          <w:rFonts w:asciiTheme="minorHAnsi" w:hAnsiTheme="minorHAnsi" w:cs="Calibri"/>
          <w:color w:val="000000"/>
          <w:sz w:val="20"/>
          <w:szCs w:val="20"/>
        </w:rPr>
      </w:pPr>
      <w:bookmarkStart w:id="2" w:name="_Toc227607607"/>
      <w:r w:rsidRPr="00266A7F">
        <w:rPr>
          <w:rStyle w:val="Heading2Char"/>
        </w:rPr>
        <w:t xml:space="preserve">Research </w:t>
      </w:r>
      <w:r w:rsidR="00750A24">
        <w:rPr>
          <w:rStyle w:val="Heading2Char"/>
        </w:rPr>
        <w:t>Q</w:t>
      </w:r>
      <w:r w:rsidRPr="00266A7F">
        <w:rPr>
          <w:rStyle w:val="Heading2Char"/>
        </w:rPr>
        <w:t xml:space="preserve">uestions and </w:t>
      </w:r>
      <w:r w:rsidR="00750A24">
        <w:rPr>
          <w:rStyle w:val="Heading2Char"/>
        </w:rPr>
        <w:t>O</w:t>
      </w:r>
      <w:r w:rsidRPr="00266A7F">
        <w:rPr>
          <w:rStyle w:val="Heading2Char"/>
        </w:rPr>
        <w:t>bjectives</w:t>
      </w:r>
      <w:bookmarkEnd w:id="2"/>
    </w:p>
    <w:p w14:paraId="7553DB04" w14:textId="07A6BE8D"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lastRenderedPageBreak/>
        <w:t>The primary research question is: how can the UK materially replace fossil fuel energy for electricity and key industrial heat uses by end</w:t>
      </w:r>
      <w:r w:rsidRPr="00266A7F">
        <w:rPr>
          <w:rFonts w:asciiTheme="minorHAnsi" w:hAnsiTheme="minorHAnsi" w:cs="Calibri"/>
          <w:color w:val="000000"/>
          <w:sz w:val="20"/>
          <w:szCs w:val="20"/>
        </w:rPr>
        <w:noBreakHyphen/>
        <w:t>2026 through accelerated nuclear deployment within realistic technical, economic and policy constraints? Specific objectives are to quantify the nuclear capacity additions and life</w:t>
      </w:r>
      <w:r w:rsidRPr="00266A7F">
        <w:rPr>
          <w:rFonts w:asciiTheme="minorHAnsi" w:hAnsiTheme="minorHAnsi" w:cs="Calibri"/>
          <w:color w:val="000000"/>
          <w:sz w:val="20"/>
          <w:szCs w:val="20"/>
        </w:rPr>
        <w:noBreakHyphen/>
        <w:t>extensions required to displace a target share of fossil generation; determine grid integration and flexibility needs (storage, demand response, interconnectors, flexible low</w:t>
      </w:r>
      <w:r w:rsidRPr="00266A7F">
        <w:rPr>
          <w:rFonts w:asciiTheme="minorHAnsi" w:hAnsiTheme="minorHAnsi" w:cs="Calibri"/>
          <w:color w:val="000000"/>
          <w:sz w:val="20"/>
          <w:szCs w:val="20"/>
        </w:rPr>
        <w:noBreakHyphen/>
        <w:t xml:space="preserve">carbon firming); develop finance, procurement and regulatory pathways to accelerate deployment; assess environmental, safety and waste management implications and mitigations; and produce a prioritized actionable roadmap for government and industry covering 2023–2026 actions </w:t>
      </w:r>
    </w:p>
    <w:p w14:paraId="2671D464" w14:textId="77D23814" w:rsidR="00750A24" w:rsidRDefault="00266A7F" w:rsidP="00750A24">
      <w:pPr>
        <w:pStyle w:val="Heading2"/>
      </w:pPr>
      <w:bookmarkStart w:id="3" w:name="_Toc227607608"/>
      <w:r w:rsidRPr="00266A7F">
        <w:t>Hypotheses</w:t>
      </w:r>
      <w:bookmarkEnd w:id="3"/>
    </w:p>
    <w:p w14:paraId="793D3A55" w14:textId="77777777" w:rsidR="00750A24"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Four working hypotheses guide the analysis</w:t>
      </w:r>
      <w:r w:rsidR="00750A24">
        <w:rPr>
          <w:rFonts w:asciiTheme="minorHAnsi" w:hAnsiTheme="minorHAnsi" w:cs="Calibri"/>
          <w:color w:val="000000"/>
          <w:sz w:val="20"/>
          <w:szCs w:val="20"/>
        </w:rPr>
        <w:t>:</w:t>
      </w:r>
      <w:r w:rsidRPr="00266A7F">
        <w:rPr>
          <w:rFonts w:asciiTheme="minorHAnsi" w:hAnsiTheme="minorHAnsi" w:cs="Calibri"/>
          <w:color w:val="000000"/>
          <w:sz w:val="20"/>
          <w:szCs w:val="20"/>
        </w:rPr>
        <w:t xml:space="preserve"> </w:t>
      </w:r>
    </w:p>
    <w:p w14:paraId="21948270" w14:textId="77777777" w:rsidR="00750A24" w:rsidRDefault="00266A7F" w:rsidP="00750A24">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H1: a combination of safe life</w:t>
      </w:r>
      <w:r w:rsidRPr="00266A7F">
        <w:rPr>
          <w:rFonts w:asciiTheme="minorHAnsi" w:hAnsiTheme="minorHAnsi" w:cs="Calibri"/>
          <w:color w:val="000000"/>
          <w:sz w:val="20"/>
          <w:szCs w:val="20"/>
        </w:rPr>
        <w:noBreakHyphen/>
        <w:t>extensions of existing nuclear units, factory</w:t>
      </w:r>
      <w:r w:rsidRPr="00266A7F">
        <w:rPr>
          <w:rFonts w:asciiTheme="minorHAnsi" w:hAnsiTheme="minorHAnsi" w:cs="Calibri"/>
          <w:color w:val="000000"/>
          <w:sz w:val="20"/>
          <w:szCs w:val="20"/>
        </w:rPr>
        <w:noBreakHyphen/>
        <w:t>built SMRs, and optimized dispatch can reduce UK fossil</w:t>
      </w:r>
      <w:r w:rsidRPr="00266A7F">
        <w:rPr>
          <w:rFonts w:asciiTheme="minorHAnsi" w:hAnsiTheme="minorHAnsi" w:cs="Calibri"/>
          <w:color w:val="000000"/>
          <w:sz w:val="20"/>
          <w:szCs w:val="20"/>
        </w:rPr>
        <w:noBreakHyphen/>
        <w:t>fired electricity generation by a material share (target benchmark: ~25–40% of recent fossil generation) by end</w:t>
      </w:r>
      <w:r w:rsidRPr="00266A7F">
        <w:rPr>
          <w:rFonts w:asciiTheme="minorHAnsi" w:hAnsiTheme="minorHAnsi" w:cs="Calibri"/>
          <w:color w:val="000000"/>
          <w:sz w:val="20"/>
          <w:szCs w:val="20"/>
        </w:rPr>
        <w:noBreakHyphen/>
        <w:t xml:space="preserve">2026. </w:t>
      </w:r>
    </w:p>
    <w:p w14:paraId="57F59633" w14:textId="77777777" w:rsidR="00750A24" w:rsidRDefault="00266A7F" w:rsidP="00750A24">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H2: rapid nuclear scale</w:t>
      </w:r>
      <w:r w:rsidRPr="00266A7F">
        <w:rPr>
          <w:rFonts w:asciiTheme="minorHAnsi" w:hAnsiTheme="minorHAnsi" w:cs="Calibri"/>
          <w:color w:val="000000"/>
          <w:sz w:val="20"/>
          <w:szCs w:val="20"/>
        </w:rPr>
        <w:noBreakHyphen/>
        <w:t>up combined with renewables, storage, demand</w:t>
      </w:r>
      <w:r w:rsidRPr="00266A7F">
        <w:rPr>
          <w:rFonts w:asciiTheme="minorHAnsi" w:hAnsiTheme="minorHAnsi" w:cs="Calibri"/>
          <w:color w:val="000000"/>
          <w:sz w:val="20"/>
          <w:szCs w:val="20"/>
        </w:rPr>
        <w:noBreakHyphen/>
        <w:t xml:space="preserve">side measures and interconnectors can maintain system reliability without excessive curtailment or unacceptable surpluses. </w:t>
      </w:r>
    </w:p>
    <w:p w14:paraId="48949402" w14:textId="77777777" w:rsidR="00750A24" w:rsidRDefault="00266A7F" w:rsidP="00750A24">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H3: tailored public financing mechanisms (RAB variants, loan guarantees, </w:t>
      </w:r>
      <w:proofErr w:type="spellStart"/>
      <w:r w:rsidRPr="00266A7F">
        <w:rPr>
          <w:rFonts w:asciiTheme="minorHAnsi" w:hAnsiTheme="minorHAnsi" w:cs="Calibri"/>
          <w:color w:val="000000"/>
          <w:sz w:val="20"/>
          <w:szCs w:val="20"/>
        </w:rPr>
        <w:t>CfD</w:t>
      </w:r>
      <w:proofErr w:type="spellEnd"/>
      <w:r w:rsidRPr="00266A7F">
        <w:rPr>
          <w:rFonts w:asciiTheme="minorHAnsi" w:hAnsiTheme="minorHAnsi" w:cs="Calibri"/>
          <w:color w:val="000000"/>
          <w:sz w:val="20"/>
          <w:szCs w:val="20"/>
        </w:rPr>
        <w:t xml:space="preserve"> adjustments) plus streamlined procurement can materially shorten effective deployment timelines for SMRs and life</w:t>
      </w:r>
      <w:r w:rsidRPr="00266A7F">
        <w:rPr>
          <w:rFonts w:asciiTheme="minorHAnsi" w:hAnsiTheme="minorHAnsi" w:cs="Calibri"/>
          <w:color w:val="000000"/>
          <w:sz w:val="20"/>
          <w:szCs w:val="20"/>
        </w:rPr>
        <w:noBreakHyphen/>
        <w:t xml:space="preserve">extension works. </w:t>
      </w:r>
    </w:p>
    <w:p w14:paraId="2D062A88" w14:textId="267AD0D3" w:rsidR="00266A7F" w:rsidRPr="00266A7F" w:rsidRDefault="00266A7F" w:rsidP="00750A24">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H4: environmental, safety and waste risks associated with an accelerated programme can be managed to acceptable public</w:t>
      </w:r>
      <w:r w:rsidRPr="00266A7F">
        <w:rPr>
          <w:rFonts w:asciiTheme="minorHAnsi" w:hAnsiTheme="minorHAnsi" w:cs="Calibri"/>
          <w:color w:val="000000"/>
          <w:sz w:val="20"/>
          <w:szCs w:val="20"/>
        </w:rPr>
        <w:noBreakHyphen/>
        <w:t>policy standards through modern reactor choices, stricter siting, enhanced regulatory resourcing and accelerated waste</w:t>
      </w:r>
      <w:r w:rsidRPr="00266A7F">
        <w:rPr>
          <w:rFonts w:asciiTheme="minorHAnsi" w:hAnsiTheme="minorHAnsi" w:cs="Calibri"/>
          <w:color w:val="000000"/>
          <w:sz w:val="20"/>
          <w:szCs w:val="20"/>
        </w:rPr>
        <w:noBreakHyphen/>
        <w:t xml:space="preserve">management </w:t>
      </w:r>
      <w:r w:rsidR="0024747D" w:rsidRPr="00266A7F">
        <w:rPr>
          <w:rFonts w:asciiTheme="minorHAnsi" w:hAnsiTheme="minorHAnsi" w:cs="Calibri"/>
          <w:color w:val="000000"/>
          <w:sz w:val="20"/>
          <w:szCs w:val="20"/>
        </w:rPr>
        <w:t>planning.</w:t>
      </w:r>
      <w:r w:rsidRPr="00266A7F">
        <w:rPr>
          <w:rFonts w:asciiTheme="minorHAnsi" w:hAnsiTheme="minorHAnsi" w:cs="Calibri"/>
          <w:color w:val="000000"/>
          <w:sz w:val="20"/>
          <w:szCs w:val="20"/>
        </w:rPr>
        <w:t xml:space="preserve"> </w:t>
      </w:r>
    </w:p>
    <w:p w14:paraId="609A6378" w14:textId="77777777"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Methods and analytical plan: The study combines empirical synthesis with detailed UK system modelling and multi</w:t>
      </w:r>
      <w:r w:rsidRPr="00266A7F">
        <w:rPr>
          <w:rFonts w:asciiTheme="minorHAnsi" w:hAnsiTheme="minorHAnsi" w:cs="Calibri"/>
          <w:color w:val="000000"/>
          <w:sz w:val="20"/>
          <w:szCs w:val="20"/>
        </w:rPr>
        <w:noBreakHyphen/>
        <w:t>disciplinary assessments. Data inputs include UK hourly demand and generation traces, thermal plant availability, plant technical and cost characteristics, SMR vendor specifications, storage cost curves, interconnector schedules, hydrogen and industrial heat demand profiles, regulatory timelines, and supply</w:t>
      </w:r>
      <w:r w:rsidRPr="00266A7F">
        <w:rPr>
          <w:rFonts w:asciiTheme="minorHAnsi" w:hAnsiTheme="minorHAnsi" w:cs="Calibri"/>
          <w:color w:val="000000"/>
          <w:sz w:val="20"/>
          <w:szCs w:val="20"/>
        </w:rPr>
        <w:noBreakHyphen/>
        <w:t xml:space="preserve">chain capacity metrics (sourced from BEIS, National Grid ESO, BP, and international studies) </w:t>
      </w:r>
    </w:p>
    <w:p w14:paraId="4C2BC959" w14:textId="77777777" w:rsidR="00761B4E" w:rsidRDefault="00266A7F" w:rsidP="00761B4E">
      <w:pPr>
        <w:pStyle w:val="Heading2"/>
      </w:pPr>
      <w:bookmarkStart w:id="4" w:name="_Toc227607609"/>
      <w:r w:rsidRPr="00266A7F">
        <w:t xml:space="preserve">Systems </w:t>
      </w:r>
      <w:r w:rsidR="00761B4E">
        <w:t>I</w:t>
      </w:r>
      <w:r w:rsidRPr="00266A7F">
        <w:t xml:space="preserve">ntegration and </w:t>
      </w:r>
      <w:r w:rsidR="00761B4E">
        <w:t>F</w:t>
      </w:r>
      <w:r w:rsidRPr="00266A7F">
        <w:t xml:space="preserve">lexibility </w:t>
      </w:r>
      <w:r w:rsidR="00761B4E">
        <w:t>A</w:t>
      </w:r>
      <w:r w:rsidRPr="00266A7F">
        <w:t>nalysis</w:t>
      </w:r>
      <w:bookmarkEnd w:id="4"/>
      <w:r w:rsidR="00761B4E">
        <w:t xml:space="preserve"> </w:t>
      </w:r>
    </w:p>
    <w:p w14:paraId="3BFB1BF3" w14:textId="5C674BCC"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modelling will explicitly quantify storage (MW and MWh) and demand</w:t>
      </w:r>
      <w:r w:rsidRPr="00266A7F">
        <w:rPr>
          <w:rFonts w:asciiTheme="minorHAnsi" w:hAnsiTheme="minorHAnsi" w:cs="Calibri"/>
          <w:color w:val="000000"/>
          <w:sz w:val="20"/>
          <w:szCs w:val="20"/>
        </w:rPr>
        <w:noBreakHyphen/>
        <w:t>response volumes required to integrate increased baseload nuclear with variable renewables, assess interconnector flows under stress (cold/windless) conditions, and analyse hydrogen coupling opportunities (electrolysis powered by excess nuclear at low</w:t>
      </w:r>
      <w:r w:rsidRPr="00266A7F">
        <w:rPr>
          <w:rFonts w:asciiTheme="minorHAnsi" w:hAnsiTheme="minorHAnsi" w:cs="Calibri"/>
          <w:color w:val="000000"/>
          <w:sz w:val="20"/>
          <w:szCs w:val="20"/>
        </w:rPr>
        <w:noBreakHyphen/>
        <w:t>cost hours or dedicated process heat from high</w:t>
      </w:r>
      <w:r w:rsidRPr="00266A7F">
        <w:rPr>
          <w:rFonts w:asciiTheme="minorHAnsi" w:hAnsiTheme="minorHAnsi" w:cs="Calibri"/>
          <w:color w:val="000000"/>
          <w:sz w:val="20"/>
          <w:szCs w:val="20"/>
        </w:rPr>
        <w:noBreakHyphen/>
        <w:t xml:space="preserve">temperature reactors) for </w:t>
      </w:r>
      <w:r w:rsidRPr="00266A7F">
        <w:rPr>
          <w:rFonts w:asciiTheme="minorHAnsi" w:hAnsiTheme="minorHAnsi" w:cs="Calibri"/>
          <w:color w:val="000000"/>
          <w:sz w:val="20"/>
          <w:szCs w:val="20"/>
        </w:rPr>
        <w:lastRenderedPageBreak/>
        <w:t>industrial decarbonisation. Sensitivity tests will include outage clusters and extreme demand events to ensure LOLE targets are met under credible contingencies</w:t>
      </w:r>
      <w:r w:rsidR="005F58F4">
        <w:rPr>
          <w:rFonts w:asciiTheme="minorHAnsi" w:hAnsiTheme="minorHAnsi" w:cs="Calibri"/>
          <w:color w:val="000000"/>
          <w:sz w:val="20"/>
          <w:szCs w:val="20"/>
        </w:rPr>
        <w:t xml:space="preserve">. </w:t>
      </w:r>
      <w:r w:rsidRPr="00266A7F">
        <w:rPr>
          <w:rFonts w:asciiTheme="minorHAnsi" w:hAnsiTheme="minorHAnsi" w:cs="Calibri"/>
          <w:color w:val="000000"/>
          <w:sz w:val="20"/>
          <w:szCs w:val="20"/>
        </w:rPr>
        <w:t>We will estimate capital needs and cash</w:t>
      </w:r>
      <w:r w:rsidRPr="00266A7F">
        <w:rPr>
          <w:rFonts w:asciiTheme="minorHAnsi" w:hAnsiTheme="minorHAnsi" w:cs="Calibri"/>
          <w:color w:val="000000"/>
          <w:sz w:val="20"/>
          <w:szCs w:val="20"/>
        </w:rPr>
        <w:noBreakHyphen/>
        <w:t>flow profiles for the accelerated programme, compute project</w:t>
      </w:r>
      <w:r w:rsidRPr="00266A7F">
        <w:rPr>
          <w:rFonts w:asciiTheme="minorHAnsi" w:hAnsiTheme="minorHAnsi" w:cs="Calibri"/>
          <w:color w:val="000000"/>
          <w:sz w:val="20"/>
          <w:szCs w:val="20"/>
        </w:rPr>
        <w:noBreakHyphen/>
        <w:t>level and system</w:t>
      </w:r>
      <w:r w:rsidRPr="00266A7F">
        <w:rPr>
          <w:rFonts w:asciiTheme="minorHAnsi" w:hAnsiTheme="minorHAnsi" w:cs="Calibri"/>
          <w:color w:val="000000"/>
          <w:sz w:val="20"/>
          <w:szCs w:val="20"/>
        </w:rPr>
        <w:noBreakHyphen/>
        <w:t>level LCOE ranges for life</w:t>
      </w:r>
      <w:r w:rsidRPr="00266A7F">
        <w:rPr>
          <w:rFonts w:asciiTheme="minorHAnsi" w:hAnsiTheme="minorHAnsi" w:cs="Calibri"/>
          <w:color w:val="000000"/>
          <w:sz w:val="20"/>
          <w:szCs w:val="20"/>
        </w:rPr>
        <w:noBreakHyphen/>
        <w:t>extensions, SMRs and large PWRs under realistic UK cost assumptions, and design financing packages (blended public</w:t>
      </w:r>
      <w:r w:rsidRPr="00266A7F">
        <w:rPr>
          <w:rFonts w:asciiTheme="minorHAnsi" w:hAnsiTheme="minorHAnsi" w:cs="Calibri"/>
          <w:color w:val="000000"/>
          <w:sz w:val="20"/>
          <w:szCs w:val="20"/>
        </w:rPr>
        <w:noBreakHyphen/>
        <w:t>private finance, RAB/</w:t>
      </w:r>
      <w:proofErr w:type="spellStart"/>
      <w:r w:rsidRPr="00266A7F">
        <w:rPr>
          <w:rFonts w:asciiTheme="minorHAnsi" w:hAnsiTheme="minorHAnsi" w:cs="Calibri"/>
          <w:color w:val="000000"/>
          <w:sz w:val="20"/>
          <w:szCs w:val="20"/>
        </w:rPr>
        <w:t>CfD</w:t>
      </w:r>
      <w:proofErr w:type="spellEnd"/>
      <w:r w:rsidRPr="00266A7F">
        <w:rPr>
          <w:rFonts w:asciiTheme="minorHAnsi" w:hAnsiTheme="minorHAnsi" w:cs="Calibri"/>
          <w:color w:val="000000"/>
          <w:sz w:val="20"/>
          <w:szCs w:val="20"/>
        </w:rPr>
        <w:t xml:space="preserve"> hybrids, government equity for first</w:t>
      </w:r>
      <w:r w:rsidRPr="00266A7F">
        <w:rPr>
          <w:rFonts w:asciiTheme="minorHAnsi" w:hAnsiTheme="minorHAnsi" w:cs="Calibri"/>
          <w:color w:val="000000"/>
          <w:sz w:val="20"/>
          <w:szCs w:val="20"/>
        </w:rPr>
        <w:noBreakHyphen/>
        <w:t>of</w:t>
      </w:r>
      <w:r w:rsidRPr="00266A7F">
        <w:rPr>
          <w:rFonts w:asciiTheme="minorHAnsi" w:hAnsiTheme="minorHAnsi" w:cs="Calibri"/>
          <w:color w:val="000000"/>
          <w:sz w:val="20"/>
          <w:szCs w:val="20"/>
        </w:rPr>
        <w:noBreakHyphen/>
        <w:t>a</w:t>
      </w:r>
      <w:r w:rsidRPr="00266A7F">
        <w:rPr>
          <w:rFonts w:asciiTheme="minorHAnsi" w:hAnsiTheme="minorHAnsi" w:cs="Calibri"/>
          <w:color w:val="000000"/>
          <w:sz w:val="20"/>
          <w:szCs w:val="20"/>
        </w:rPr>
        <w:noBreakHyphen/>
        <w:t>kind SMR factories, green bonds and low</w:t>
      </w:r>
      <w:r w:rsidRPr="00266A7F">
        <w:rPr>
          <w:rFonts w:asciiTheme="minorHAnsi" w:hAnsiTheme="minorHAnsi" w:cs="Calibri"/>
          <w:color w:val="000000"/>
          <w:sz w:val="20"/>
          <w:szCs w:val="20"/>
        </w:rPr>
        <w:noBreakHyphen/>
        <w:t xml:space="preserve">interest public loans). Fiscal impacts, contingent liabilities and distributional effects will be modelled across alternative public support envelopes to identify the minimum necessary interventions to achieve 2026 outcomes while preserving investor </w:t>
      </w:r>
      <w:r w:rsidR="0024747D" w:rsidRPr="00266A7F">
        <w:rPr>
          <w:rFonts w:asciiTheme="minorHAnsi" w:hAnsiTheme="minorHAnsi" w:cs="Calibri"/>
          <w:color w:val="000000"/>
          <w:sz w:val="20"/>
          <w:szCs w:val="20"/>
        </w:rPr>
        <w:t>confidence.</w:t>
      </w:r>
      <w:r w:rsidRPr="00266A7F">
        <w:rPr>
          <w:rFonts w:asciiTheme="minorHAnsi" w:hAnsiTheme="minorHAnsi" w:cs="Calibri"/>
          <w:color w:val="000000"/>
          <w:sz w:val="20"/>
          <w:szCs w:val="20"/>
        </w:rPr>
        <w:t xml:space="preserve"> </w:t>
      </w:r>
    </w:p>
    <w:p w14:paraId="2B6C2015" w14:textId="6FD84AF7"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study maps the required regulatory milestones (ONR licensing, nuclear site licensing, environmental impact assessments, planning consents) and seeks to identify bottlenecks that would prevent accelerated delivery. Workforce needs and training scaling will be quantified, and supply</w:t>
      </w:r>
      <w:r w:rsidRPr="00266A7F">
        <w:rPr>
          <w:rFonts w:asciiTheme="minorHAnsi" w:hAnsiTheme="minorHAnsi" w:cs="Calibri"/>
          <w:color w:val="000000"/>
          <w:sz w:val="20"/>
          <w:szCs w:val="20"/>
        </w:rPr>
        <w:noBreakHyphen/>
        <w:t xml:space="preserve">chain constraints assessed (UK factory capacity, critical imports, </w:t>
      </w:r>
      <w:r w:rsidR="0024747D" w:rsidRPr="00266A7F">
        <w:rPr>
          <w:rFonts w:asciiTheme="minorHAnsi" w:hAnsiTheme="minorHAnsi" w:cs="Calibri"/>
          <w:color w:val="000000"/>
          <w:sz w:val="20"/>
          <w:szCs w:val="20"/>
        </w:rPr>
        <w:t>organization</w:t>
      </w:r>
      <w:r w:rsidRPr="00266A7F">
        <w:rPr>
          <w:rFonts w:asciiTheme="minorHAnsi" w:hAnsiTheme="minorHAnsi" w:cs="Calibri"/>
          <w:color w:val="000000"/>
          <w:sz w:val="20"/>
          <w:szCs w:val="20"/>
        </w:rPr>
        <w:t>). Where domestic manufacturing is insufficient for 2026 targets, the plan will consider safeguarded import strategies and parallel capacity investment to underpin medium</w:t>
      </w:r>
      <w:r w:rsidRPr="00266A7F">
        <w:rPr>
          <w:rFonts w:asciiTheme="minorHAnsi" w:hAnsiTheme="minorHAnsi" w:cs="Calibri"/>
          <w:color w:val="000000"/>
          <w:sz w:val="20"/>
          <w:szCs w:val="20"/>
        </w:rPr>
        <w:noBreakHyphen/>
        <w:t xml:space="preserve">term UK industrial </w:t>
      </w:r>
      <w:r w:rsidR="0024747D" w:rsidRPr="00266A7F">
        <w:rPr>
          <w:rFonts w:asciiTheme="minorHAnsi" w:hAnsiTheme="minorHAnsi" w:cs="Calibri"/>
          <w:color w:val="000000"/>
          <w:sz w:val="20"/>
          <w:szCs w:val="20"/>
        </w:rPr>
        <w:t>capability.</w:t>
      </w:r>
      <w:r w:rsidRPr="00266A7F">
        <w:rPr>
          <w:rFonts w:asciiTheme="minorHAnsi" w:hAnsiTheme="minorHAnsi" w:cs="Calibri"/>
          <w:color w:val="000000"/>
          <w:sz w:val="20"/>
          <w:szCs w:val="20"/>
        </w:rPr>
        <w:t xml:space="preserve"> </w:t>
      </w:r>
    </w:p>
    <w:p w14:paraId="6E178132" w14:textId="6876365D"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We will assess incremental environmental footprints and radiological risk profiles under accelerated deployment, quantify incremental waste volumes, and evaluate repository and interim storage timelines. Risk mitigation measures will include best practice siting, adoption of reactor designs with enhanced passive safety, strengthened emergency planning zones where needed, and acceleration of long</w:t>
      </w:r>
      <w:r w:rsidRPr="00266A7F">
        <w:rPr>
          <w:rFonts w:asciiTheme="minorHAnsi" w:hAnsiTheme="minorHAnsi" w:cs="Calibri"/>
          <w:color w:val="000000"/>
          <w:sz w:val="20"/>
          <w:szCs w:val="20"/>
        </w:rPr>
        <w:noBreakHyphen/>
        <w:t>term waste disposal programmes consistent with UK legal and regulatory frameworks</w:t>
      </w:r>
      <w:r w:rsidR="00EC396B">
        <w:rPr>
          <w:rFonts w:asciiTheme="minorHAnsi" w:hAnsiTheme="minorHAnsi" w:cs="Calibri"/>
          <w:color w:val="000000"/>
          <w:sz w:val="20"/>
          <w:szCs w:val="20"/>
        </w:rPr>
        <w:t>.</w:t>
      </w:r>
    </w:p>
    <w:p w14:paraId="5DDEA435" w14:textId="0558E68D" w:rsidR="002F47B4" w:rsidRDefault="00266A7F" w:rsidP="00266A7F">
      <w:pPr>
        <w:pStyle w:val="NormalWeb"/>
        <w:spacing w:line="360" w:lineRule="atLeast"/>
        <w:rPr>
          <w:rFonts w:asciiTheme="minorHAnsi" w:hAnsiTheme="minorHAnsi" w:cs="Calibri"/>
          <w:color w:val="000000"/>
          <w:sz w:val="20"/>
          <w:szCs w:val="20"/>
        </w:rPr>
      </w:pPr>
      <w:bookmarkStart w:id="5" w:name="_Toc227607610"/>
      <w:r w:rsidRPr="00266A7F">
        <w:rPr>
          <w:rStyle w:val="Heading2Char"/>
        </w:rPr>
        <w:t xml:space="preserve">Stakeholder and </w:t>
      </w:r>
      <w:r w:rsidR="00EC396B">
        <w:rPr>
          <w:rStyle w:val="Heading2Char"/>
        </w:rPr>
        <w:t>P</w:t>
      </w:r>
      <w:r w:rsidRPr="00266A7F">
        <w:rPr>
          <w:rStyle w:val="Heading2Char"/>
        </w:rPr>
        <w:t xml:space="preserve">olitical </w:t>
      </w:r>
      <w:r w:rsidR="00EC396B">
        <w:rPr>
          <w:rStyle w:val="Heading2Char"/>
        </w:rPr>
        <w:t>F</w:t>
      </w:r>
      <w:r w:rsidRPr="00266A7F">
        <w:rPr>
          <w:rStyle w:val="Heading2Char"/>
        </w:rPr>
        <w:t>easibility</w:t>
      </w:r>
      <w:bookmarkEnd w:id="5"/>
    </w:p>
    <w:p w14:paraId="02853E6B" w14:textId="1A42819D"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project contains a structured stakeholder engagement component to canvass views from BEIS, National Grid ESO, ONR, local authorities, developers, unions and NGO representatives. This will identify political, social and local constraints to rapid deployment and help craft a communications and benefits package (local jobs, community funds, transparent safety evidence) to increase acceptability</w:t>
      </w:r>
      <w:r w:rsidR="002F47B4">
        <w:rPr>
          <w:rFonts w:asciiTheme="minorHAnsi" w:hAnsiTheme="minorHAnsi" w:cs="Calibri"/>
          <w:color w:val="000000"/>
          <w:sz w:val="20"/>
          <w:szCs w:val="20"/>
        </w:rPr>
        <w:t xml:space="preserve">. </w:t>
      </w:r>
      <w:r w:rsidRPr="00266A7F">
        <w:rPr>
          <w:rFonts w:asciiTheme="minorHAnsi" w:hAnsiTheme="minorHAnsi" w:cs="Calibri"/>
          <w:color w:val="000000"/>
          <w:sz w:val="20"/>
          <w:szCs w:val="20"/>
        </w:rPr>
        <w:t>The principal deliverable is a prioritized, time</w:t>
      </w:r>
      <w:r w:rsidRPr="00266A7F">
        <w:rPr>
          <w:rFonts w:asciiTheme="minorHAnsi" w:hAnsiTheme="minorHAnsi" w:cs="Calibri"/>
          <w:color w:val="000000"/>
          <w:sz w:val="20"/>
          <w:szCs w:val="20"/>
        </w:rPr>
        <w:noBreakHyphen/>
        <w:t>bound 2023–2026 roadmap that identifies immediate “no</w:t>
      </w:r>
      <w:r w:rsidRPr="00266A7F">
        <w:rPr>
          <w:rFonts w:asciiTheme="minorHAnsi" w:hAnsiTheme="minorHAnsi" w:cs="Calibri"/>
          <w:color w:val="000000"/>
          <w:sz w:val="20"/>
          <w:szCs w:val="20"/>
        </w:rPr>
        <w:noBreakHyphen/>
        <w:t>regrets” actions (e.g., fast</w:t>
      </w:r>
      <w:r w:rsidRPr="00266A7F">
        <w:rPr>
          <w:rFonts w:asciiTheme="minorHAnsi" w:hAnsiTheme="minorHAnsi" w:cs="Calibri"/>
          <w:color w:val="000000"/>
          <w:sz w:val="20"/>
          <w:szCs w:val="20"/>
        </w:rPr>
        <w:noBreakHyphen/>
        <w:t>tracking safe life</w:t>
      </w:r>
      <w:r w:rsidRPr="00266A7F">
        <w:rPr>
          <w:rFonts w:asciiTheme="minorHAnsi" w:hAnsiTheme="minorHAnsi" w:cs="Calibri"/>
          <w:color w:val="000000"/>
          <w:sz w:val="20"/>
          <w:szCs w:val="20"/>
        </w:rPr>
        <w:noBreakHyphen/>
        <w:t>extension approvals, placing conditional factory orders for SMR modules, adopting RAB/</w:t>
      </w:r>
      <w:proofErr w:type="spellStart"/>
      <w:r w:rsidRPr="00266A7F">
        <w:rPr>
          <w:rFonts w:asciiTheme="minorHAnsi" w:hAnsiTheme="minorHAnsi" w:cs="Calibri"/>
          <w:color w:val="000000"/>
          <w:sz w:val="20"/>
          <w:szCs w:val="20"/>
        </w:rPr>
        <w:t>CfD</w:t>
      </w:r>
      <w:proofErr w:type="spellEnd"/>
      <w:r w:rsidRPr="00266A7F">
        <w:rPr>
          <w:rFonts w:asciiTheme="minorHAnsi" w:hAnsiTheme="minorHAnsi" w:cs="Calibri"/>
          <w:color w:val="000000"/>
          <w:sz w:val="20"/>
          <w:szCs w:val="20"/>
        </w:rPr>
        <w:t xml:space="preserve"> hybrids, launching nuclear</w:t>
      </w:r>
      <w:r w:rsidRPr="00266A7F">
        <w:rPr>
          <w:rFonts w:asciiTheme="minorHAnsi" w:hAnsiTheme="minorHAnsi" w:cs="Calibri"/>
          <w:color w:val="000000"/>
          <w:sz w:val="20"/>
          <w:szCs w:val="20"/>
        </w:rPr>
        <w:noBreakHyphen/>
        <w:t>to</w:t>
      </w:r>
      <w:r w:rsidRPr="00266A7F">
        <w:rPr>
          <w:rFonts w:asciiTheme="minorHAnsi" w:hAnsiTheme="minorHAnsi" w:cs="Calibri"/>
          <w:color w:val="000000"/>
          <w:sz w:val="20"/>
          <w:szCs w:val="20"/>
        </w:rPr>
        <w:noBreakHyphen/>
        <w:t>hydrogen pilot offtake contracts, expanding ESO investment in storage and demand response), intermediate steps (accelerating workforce training and supply</w:t>
      </w:r>
      <w:r w:rsidRPr="00266A7F">
        <w:rPr>
          <w:rFonts w:asciiTheme="minorHAnsi" w:hAnsiTheme="minorHAnsi" w:cs="Calibri"/>
          <w:color w:val="000000"/>
          <w:sz w:val="20"/>
          <w:szCs w:val="20"/>
        </w:rPr>
        <w:noBreakHyphen/>
        <w:t>chain build), and contingency measures (if SMR delivery slips, scale up storage/demand reduction and temporary gas</w:t>
      </w:r>
      <w:r w:rsidRPr="00266A7F">
        <w:rPr>
          <w:rFonts w:asciiTheme="minorHAnsi" w:hAnsiTheme="minorHAnsi" w:cs="Calibri"/>
          <w:color w:val="000000"/>
          <w:sz w:val="20"/>
          <w:szCs w:val="20"/>
        </w:rPr>
        <w:noBreakHyphen/>
        <w:t>with</w:t>
      </w:r>
      <w:r w:rsidRPr="00266A7F">
        <w:rPr>
          <w:rFonts w:asciiTheme="minorHAnsi" w:hAnsiTheme="minorHAnsi" w:cs="Calibri"/>
          <w:color w:val="000000"/>
          <w:sz w:val="20"/>
          <w:szCs w:val="20"/>
        </w:rPr>
        <w:noBreakHyphen/>
        <w:t xml:space="preserve">CCS). Complementary outputs include hourly dispatch scenario results, CO2 abatement and cost estimates, a regulatory acceleration plan with recommended statutory </w:t>
      </w:r>
      <w:r w:rsidR="0024747D" w:rsidRPr="00266A7F">
        <w:rPr>
          <w:rFonts w:asciiTheme="minorHAnsi" w:hAnsiTheme="minorHAnsi" w:cs="Calibri"/>
          <w:color w:val="000000"/>
          <w:sz w:val="20"/>
          <w:szCs w:val="20"/>
        </w:rPr>
        <w:t>periods</w:t>
      </w:r>
      <w:r w:rsidRPr="00266A7F">
        <w:rPr>
          <w:rFonts w:asciiTheme="minorHAnsi" w:hAnsiTheme="minorHAnsi" w:cs="Calibri"/>
          <w:color w:val="000000"/>
          <w:sz w:val="20"/>
          <w:szCs w:val="20"/>
        </w:rPr>
        <w:t xml:space="preserve"> and resource needs, a finance package blueprint and a risk register with mitigation plans</w:t>
      </w:r>
      <w:r w:rsidR="00EC396B">
        <w:rPr>
          <w:rFonts w:asciiTheme="minorHAnsi" w:hAnsiTheme="minorHAnsi" w:cs="Calibri"/>
          <w:color w:val="000000"/>
          <w:sz w:val="20"/>
          <w:szCs w:val="20"/>
        </w:rPr>
        <w:t>.</w:t>
      </w:r>
      <w:r w:rsidRPr="00266A7F">
        <w:rPr>
          <w:rFonts w:asciiTheme="minorHAnsi" w:hAnsiTheme="minorHAnsi" w:cs="Calibri"/>
          <w:color w:val="000000"/>
          <w:sz w:val="20"/>
          <w:szCs w:val="20"/>
        </w:rPr>
        <w:t xml:space="preserve"> </w:t>
      </w:r>
    </w:p>
    <w:p w14:paraId="4CB846C4" w14:textId="65F0820D"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lastRenderedPageBreak/>
        <w:t>Key performance indicators will include the MWh of fossil generation displaced and MtCO2 avoided by end</w:t>
      </w:r>
      <w:r w:rsidRPr="00266A7F">
        <w:rPr>
          <w:rFonts w:asciiTheme="minorHAnsi" w:hAnsiTheme="minorHAnsi" w:cs="Calibri"/>
          <w:color w:val="000000"/>
          <w:sz w:val="20"/>
          <w:szCs w:val="20"/>
        </w:rPr>
        <w:noBreakHyphen/>
        <w:t>2026, additional nuclear capacity commissioned (MW) with breakdown by life</w:t>
      </w:r>
      <w:r w:rsidRPr="00266A7F">
        <w:rPr>
          <w:rFonts w:asciiTheme="minorHAnsi" w:hAnsiTheme="minorHAnsi" w:cs="Calibri"/>
          <w:color w:val="000000"/>
          <w:sz w:val="20"/>
          <w:szCs w:val="20"/>
        </w:rPr>
        <w:noBreakHyphen/>
        <w:t xml:space="preserve">extension, SMR and new build, maintenance of system reliability (LOLE within approved thresholds), capital mobilized and projects permitted. The modelling will identify achievable fossil displacement targets under constrained and optimistic assumptions and show marginal abatement costs for policy comparison with alternative decarbonisation </w:t>
      </w:r>
      <w:r w:rsidR="0024747D" w:rsidRPr="00266A7F">
        <w:rPr>
          <w:rFonts w:asciiTheme="minorHAnsi" w:hAnsiTheme="minorHAnsi" w:cs="Calibri"/>
          <w:color w:val="000000"/>
          <w:sz w:val="20"/>
          <w:szCs w:val="20"/>
        </w:rPr>
        <w:t>levers.</w:t>
      </w:r>
      <w:r w:rsidRPr="00266A7F">
        <w:rPr>
          <w:rFonts w:asciiTheme="minorHAnsi" w:hAnsiTheme="minorHAnsi" w:cs="Calibri"/>
          <w:color w:val="000000"/>
          <w:sz w:val="20"/>
          <w:szCs w:val="20"/>
        </w:rPr>
        <w:t xml:space="preserve"> </w:t>
      </w:r>
    </w:p>
    <w:p w14:paraId="7F97CA22" w14:textId="1623F96F" w:rsidR="00EC396B" w:rsidRDefault="00266A7F" w:rsidP="00266A7F">
      <w:pPr>
        <w:pStyle w:val="NormalWeb"/>
        <w:spacing w:line="360" w:lineRule="atLeast"/>
        <w:rPr>
          <w:rFonts w:asciiTheme="minorHAnsi" w:hAnsiTheme="minorHAnsi" w:cs="Calibri"/>
          <w:color w:val="000000"/>
          <w:sz w:val="20"/>
          <w:szCs w:val="20"/>
        </w:rPr>
      </w:pPr>
      <w:bookmarkStart w:id="6" w:name="_Toc227607611"/>
      <w:r w:rsidRPr="00266A7F">
        <w:rPr>
          <w:rStyle w:val="Heading2Char"/>
        </w:rPr>
        <w:t xml:space="preserve">Risks and </w:t>
      </w:r>
      <w:r w:rsidR="00EC396B">
        <w:rPr>
          <w:rStyle w:val="Heading2Char"/>
        </w:rPr>
        <w:t>M</w:t>
      </w:r>
      <w:r w:rsidRPr="00266A7F">
        <w:rPr>
          <w:rStyle w:val="Heading2Char"/>
        </w:rPr>
        <w:t>itigations</w:t>
      </w:r>
      <w:bookmarkEnd w:id="6"/>
    </w:p>
    <w:p w14:paraId="547FBA60" w14:textId="28E96B6F"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principal technical/timing risk is that large PWRs cannot be completed in the 2023–2026 window; mitigation emphasises life</w:t>
      </w:r>
      <w:r w:rsidRPr="00266A7F">
        <w:rPr>
          <w:rFonts w:asciiTheme="minorHAnsi" w:hAnsiTheme="minorHAnsi" w:cs="Calibri"/>
          <w:color w:val="000000"/>
          <w:sz w:val="20"/>
          <w:szCs w:val="20"/>
        </w:rPr>
        <w:noBreakHyphen/>
        <w:t>extensions and SMRs with the shortest realistic delivery schedules. Regulatory resourcing constraints risk permitting delays; mitigation is a government</w:t>
      </w:r>
      <w:r w:rsidRPr="00266A7F">
        <w:rPr>
          <w:rFonts w:asciiTheme="minorHAnsi" w:hAnsiTheme="minorHAnsi" w:cs="Calibri"/>
          <w:color w:val="000000"/>
          <w:sz w:val="20"/>
          <w:szCs w:val="20"/>
        </w:rPr>
        <w:noBreakHyphen/>
        <w:t>backed regulatory fast</w:t>
      </w:r>
      <w:r w:rsidRPr="00266A7F">
        <w:rPr>
          <w:rFonts w:asciiTheme="minorHAnsi" w:hAnsiTheme="minorHAnsi" w:cs="Calibri"/>
          <w:color w:val="000000"/>
          <w:sz w:val="20"/>
          <w:szCs w:val="20"/>
        </w:rPr>
        <w:noBreakHyphen/>
        <w:t>track with clear statutory time windows and conditional approvals. Supply</w:t>
      </w:r>
      <w:r w:rsidRPr="00266A7F">
        <w:rPr>
          <w:rFonts w:asciiTheme="minorHAnsi" w:hAnsiTheme="minorHAnsi" w:cs="Calibri"/>
          <w:color w:val="000000"/>
          <w:sz w:val="20"/>
          <w:szCs w:val="20"/>
        </w:rPr>
        <w:noBreakHyphen/>
        <w:t>chain and labour shortages will be mitigated through targeted import strategies, accelerated training, and short</w:t>
      </w:r>
      <w:r w:rsidRPr="00266A7F">
        <w:rPr>
          <w:rFonts w:asciiTheme="minorHAnsi" w:hAnsiTheme="minorHAnsi" w:cs="Calibri"/>
          <w:color w:val="000000"/>
          <w:sz w:val="20"/>
          <w:szCs w:val="20"/>
        </w:rPr>
        <w:noBreakHyphen/>
        <w:t xml:space="preserve">term international contractor mobilisation. Public acceptance and legal risk are mitigated via early and transparent community engagement, regional benefit packages and strengthened environmental </w:t>
      </w:r>
      <w:r w:rsidR="0024747D" w:rsidRPr="00266A7F">
        <w:rPr>
          <w:rFonts w:asciiTheme="minorHAnsi" w:hAnsiTheme="minorHAnsi" w:cs="Calibri"/>
          <w:color w:val="000000"/>
          <w:sz w:val="20"/>
          <w:szCs w:val="20"/>
        </w:rPr>
        <w:t>safeguards.</w:t>
      </w:r>
      <w:r w:rsidRPr="00266A7F">
        <w:rPr>
          <w:rFonts w:asciiTheme="minorHAnsi" w:hAnsiTheme="minorHAnsi" w:cs="Calibri"/>
          <w:color w:val="000000"/>
          <w:sz w:val="20"/>
          <w:szCs w:val="20"/>
        </w:rPr>
        <w:t xml:space="preserve"> </w:t>
      </w:r>
    </w:p>
    <w:p w14:paraId="49F42E73" w14:textId="418325D8" w:rsidR="000855BC"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Policy recommendations for immediate action:</w:t>
      </w:r>
    </w:p>
    <w:p w14:paraId="5C85F3BA" w14:textId="1A225236" w:rsidR="000855BC" w:rsidRDefault="000855BC" w:rsidP="000855BC">
      <w:pPr>
        <w:pStyle w:val="NormalWeb"/>
        <w:numPr>
          <w:ilvl w:val="0"/>
          <w:numId w:val="14"/>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A</w:t>
      </w:r>
      <w:r w:rsidR="00266A7F" w:rsidRPr="00266A7F">
        <w:rPr>
          <w:rFonts w:asciiTheme="minorHAnsi" w:hAnsiTheme="minorHAnsi" w:cs="Calibri"/>
          <w:color w:val="000000"/>
          <w:sz w:val="20"/>
          <w:szCs w:val="20"/>
        </w:rPr>
        <w:t>pprove and resource a time</w:t>
      </w:r>
      <w:r w:rsidR="00266A7F" w:rsidRPr="00266A7F">
        <w:rPr>
          <w:rFonts w:asciiTheme="minorHAnsi" w:hAnsiTheme="minorHAnsi" w:cs="Calibri"/>
          <w:color w:val="000000"/>
          <w:sz w:val="20"/>
          <w:szCs w:val="20"/>
        </w:rPr>
        <w:noBreakHyphen/>
        <w:t>limited regulatory fast</w:t>
      </w:r>
      <w:r w:rsidR="00266A7F" w:rsidRPr="00266A7F">
        <w:rPr>
          <w:rFonts w:asciiTheme="minorHAnsi" w:hAnsiTheme="minorHAnsi" w:cs="Calibri"/>
          <w:color w:val="000000"/>
          <w:sz w:val="20"/>
          <w:szCs w:val="20"/>
        </w:rPr>
        <w:noBreakHyphen/>
        <w:t>track to process ONR safety cases for life</w:t>
      </w:r>
      <w:r w:rsidR="00266A7F" w:rsidRPr="00266A7F">
        <w:rPr>
          <w:rFonts w:asciiTheme="minorHAnsi" w:hAnsiTheme="minorHAnsi" w:cs="Calibri"/>
          <w:color w:val="000000"/>
          <w:sz w:val="20"/>
          <w:szCs w:val="20"/>
        </w:rPr>
        <w:noBreakHyphen/>
        <w:t xml:space="preserve">extension and licensed SMR </w:t>
      </w:r>
      <w:r w:rsidR="0024747D" w:rsidRPr="00266A7F">
        <w:rPr>
          <w:rFonts w:asciiTheme="minorHAnsi" w:hAnsiTheme="minorHAnsi" w:cs="Calibri"/>
          <w:color w:val="000000"/>
          <w:sz w:val="20"/>
          <w:szCs w:val="20"/>
        </w:rPr>
        <w:t>designs.</w:t>
      </w:r>
      <w:r>
        <w:rPr>
          <w:rFonts w:asciiTheme="minorHAnsi" w:hAnsiTheme="minorHAnsi" w:cs="Calibri"/>
          <w:color w:val="000000"/>
          <w:sz w:val="20"/>
          <w:szCs w:val="20"/>
        </w:rPr>
        <w:t xml:space="preserve"> </w:t>
      </w:r>
    </w:p>
    <w:p w14:paraId="0A024351" w14:textId="054E9CC5" w:rsidR="000855BC" w:rsidRDefault="000855BC" w:rsidP="000855BC">
      <w:pPr>
        <w:pStyle w:val="NormalWeb"/>
        <w:numPr>
          <w:ilvl w:val="0"/>
          <w:numId w:val="14"/>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C</w:t>
      </w:r>
      <w:r w:rsidR="00266A7F" w:rsidRPr="00266A7F">
        <w:rPr>
          <w:rFonts w:asciiTheme="minorHAnsi" w:hAnsiTheme="minorHAnsi" w:cs="Calibri"/>
          <w:color w:val="000000"/>
          <w:sz w:val="20"/>
          <w:szCs w:val="20"/>
        </w:rPr>
        <w:t>ommit to conditional public financial support (RAB/</w:t>
      </w:r>
      <w:proofErr w:type="spellStart"/>
      <w:r w:rsidR="00266A7F" w:rsidRPr="00266A7F">
        <w:rPr>
          <w:rFonts w:asciiTheme="minorHAnsi" w:hAnsiTheme="minorHAnsi" w:cs="Calibri"/>
          <w:color w:val="000000"/>
          <w:sz w:val="20"/>
          <w:szCs w:val="20"/>
        </w:rPr>
        <w:t>CfD</w:t>
      </w:r>
      <w:proofErr w:type="spellEnd"/>
      <w:r w:rsidR="00266A7F" w:rsidRPr="00266A7F">
        <w:rPr>
          <w:rFonts w:asciiTheme="minorHAnsi" w:hAnsiTheme="minorHAnsi" w:cs="Calibri"/>
          <w:color w:val="000000"/>
          <w:sz w:val="20"/>
          <w:szCs w:val="20"/>
        </w:rPr>
        <w:t xml:space="preserve"> hybrids, loan guarantees) for first</w:t>
      </w:r>
      <w:r w:rsidR="00266A7F" w:rsidRPr="00266A7F">
        <w:rPr>
          <w:rFonts w:asciiTheme="minorHAnsi" w:hAnsiTheme="minorHAnsi" w:cs="Calibri"/>
          <w:color w:val="000000"/>
          <w:sz w:val="20"/>
          <w:szCs w:val="20"/>
        </w:rPr>
        <w:noBreakHyphen/>
        <w:t>of</w:t>
      </w:r>
      <w:r w:rsidR="00266A7F" w:rsidRPr="00266A7F">
        <w:rPr>
          <w:rFonts w:asciiTheme="minorHAnsi" w:hAnsiTheme="minorHAnsi" w:cs="Calibri"/>
          <w:color w:val="000000"/>
          <w:sz w:val="20"/>
          <w:szCs w:val="20"/>
        </w:rPr>
        <w:noBreakHyphen/>
        <w:t>a</w:t>
      </w:r>
      <w:r w:rsidR="00266A7F" w:rsidRPr="00266A7F">
        <w:rPr>
          <w:rFonts w:asciiTheme="minorHAnsi" w:hAnsiTheme="minorHAnsi" w:cs="Calibri"/>
          <w:color w:val="000000"/>
          <w:sz w:val="20"/>
          <w:szCs w:val="20"/>
        </w:rPr>
        <w:noBreakHyphen/>
        <w:t xml:space="preserve">kind SMR units and domestic SMR factory build to reduce lead times; (3) </w:t>
      </w:r>
      <w:r w:rsidR="0024747D" w:rsidRPr="00266A7F">
        <w:rPr>
          <w:rFonts w:asciiTheme="minorHAnsi" w:hAnsiTheme="minorHAnsi" w:cs="Calibri"/>
          <w:color w:val="000000"/>
          <w:sz w:val="20"/>
          <w:szCs w:val="20"/>
        </w:rPr>
        <w:t>s.</w:t>
      </w:r>
    </w:p>
    <w:p w14:paraId="3CBD4A7F" w14:textId="5394E1A1" w:rsidR="000855BC" w:rsidRDefault="000855BC" w:rsidP="000855BC">
      <w:pPr>
        <w:pStyle w:val="NormalWeb"/>
        <w:numPr>
          <w:ilvl w:val="0"/>
          <w:numId w:val="14"/>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S</w:t>
      </w:r>
      <w:r w:rsidR="00266A7F" w:rsidRPr="00266A7F">
        <w:rPr>
          <w:rFonts w:asciiTheme="minorHAnsi" w:hAnsiTheme="minorHAnsi" w:cs="Calibri"/>
          <w:color w:val="000000"/>
          <w:sz w:val="20"/>
          <w:szCs w:val="20"/>
        </w:rPr>
        <w:t>anction pilot nuclear</w:t>
      </w:r>
      <w:r w:rsidR="00266A7F" w:rsidRPr="00266A7F">
        <w:rPr>
          <w:rFonts w:asciiTheme="minorHAnsi" w:hAnsiTheme="minorHAnsi" w:cs="Calibri"/>
          <w:color w:val="000000"/>
          <w:sz w:val="20"/>
          <w:szCs w:val="20"/>
        </w:rPr>
        <w:noBreakHyphen/>
        <w:t>to</w:t>
      </w:r>
      <w:r w:rsidR="00266A7F" w:rsidRPr="00266A7F">
        <w:rPr>
          <w:rFonts w:asciiTheme="minorHAnsi" w:hAnsiTheme="minorHAnsi" w:cs="Calibri"/>
          <w:color w:val="000000"/>
          <w:sz w:val="20"/>
          <w:szCs w:val="20"/>
        </w:rPr>
        <w:noBreakHyphen/>
        <w:t>hydrogen and industrial heat conversion contracts in energy</w:t>
      </w:r>
      <w:r w:rsidR="00266A7F" w:rsidRPr="00266A7F">
        <w:rPr>
          <w:rFonts w:asciiTheme="minorHAnsi" w:hAnsiTheme="minorHAnsi" w:cs="Calibri"/>
          <w:color w:val="000000"/>
          <w:sz w:val="20"/>
          <w:szCs w:val="20"/>
        </w:rPr>
        <w:noBreakHyphen/>
        <w:t xml:space="preserve">intensive clusters (e.g., Teesside/Humber) to create anchor </w:t>
      </w:r>
      <w:r w:rsidR="0024747D" w:rsidRPr="00266A7F">
        <w:rPr>
          <w:rFonts w:asciiTheme="minorHAnsi" w:hAnsiTheme="minorHAnsi" w:cs="Calibri"/>
          <w:color w:val="000000"/>
          <w:sz w:val="20"/>
          <w:szCs w:val="20"/>
        </w:rPr>
        <w:t>demand.</w:t>
      </w:r>
      <w:r w:rsidR="00266A7F" w:rsidRPr="00266A7F">
        <w:rPr>
          <w:rFonts w:asciiTheme="minorHAnsi" w:hAnsiTheme="minorHAnsi" w:cs="Calibri"/>
          <w:color w:val="000000"/>
          <w:sz w:val="20"/>
          <w:szCs w:val="20"/>
        </w:rPr>
        <w:t xml:space="preserve"> </w:t>
      </w:r>
    </w:p>
    <w:p w14:paraId="619B37B6" w14:textId="5C0AD5AE" w:rsidR="00A935AD" w:rsidRDefault="000855BC" w:rsidP="000855BC">
      <w:pPr>
        <w:pStyle w:val="NormalWeb"/>
        <w:numPr>
          <w:ilvl w:val="0"/>
          <w:numId w:val="14"/>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E</w:t>
      </w:r>
      <w:r w:rsidR="00266A7F" w:rsidRPr="00266A7F">
        <w:rPr>
          <w:rFonts w:asciiTheme="minorHAnsi" w:hAnsiTheme="minorHAnsi" w:cs="Calibri"/>
          <w:color w:val="000000"/>
          <w:sz w:val="20"/>
          <w:szCs w:val="20"/>
        </w:rPr>
        <w:t xml:space="preserve">xpand National Grid ESO funding to accelerate storage, demand response programmes and targeted grid </w:t>
      </w:r>
      <w:r w:rsidR="0024747D" w:rsidRPr="00266A7F">
        <w:rPr>
          <w:rFonts w:asciiTheme="minorHAnsi" w:hAnsiTheme="minorHAnsi" w:cs="Calibri"/>
          <w:color w:val="000000"/>
          <w:sz w:val="20"/>
          <w:szCs w:val="20"/>
        </w:rPr>
        <w:t>reinforcement.</w:t>
      </w:r>
      <w:r w:rsidR="00266A7F" w:rsidRPr="00266A7F">
        <w:rPr>
          <w:rFonts w:asciiTheme="minorHAnsi" w:hAnsiTheme="minorHAnsi" w:cs="Calibri"/>
          <w:color w:val="000000"/>
          <w:sz w:val="20"/>
          <w:szCs w:val="20"/>
        </w:rPr>
        <w:t xml:space="preserve"> </w:t>
      </w:r>
    </w:p>
    <w:p w14:paraId="431DD84E" w14:textId="6EF47882" w:rsidR="00266A7F" w:rsidRPr="00266A7F" w:rsidRDefault="00A935AD" w:rsidP="000855BC">
      <w:pPr>
        <w:pStyle w:val="NormalWeb"/>
        <w:numPr>
          <w:ilvl w:val="0"/>
          <w:numId w:val="14"/>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I</w:t>
      </w:r>
      <w:r w:rsidR="00266A7F" w:rsidRPr="00266A7F">
        <w:rPr>
          <w:rFonts w:asciiTheme="minorHAnsi" w:hAnsiTheme="minorHAnsi" w:cs="Calibri"/>
          <w:color w:val="000000"/>
          <w:sz w:val="20"/>
          <w:szCs w:val="20"/>
        </w:rPr>
        <w:t>nitiate an accelerated waste</w:t>
      </w:r>
      <w:r w:rsidR="00266A7F" w:rsidRPr="00266A7F">
        <w:rPr>
          <w:rFonts w:asciiTheme="minorHAnsi" w:hAnsiTheme="minorHAnsi" w:cs="Calibri"/>
          <w:color w:val="000000"/>
          <w:sz w:val="20"/>
          <w:szCs w:val="20"/>
        </w:rPr>
        <w:noBreakHyphen/>
        <w:t xml:space="preserve">management timetable (interim storage resourcing and repository planning) and a national workforce mobilisation </w:t>
      </w:r>
      <w:r w:rsidR="0024747D" w:rsidRPr="00266A7F">
        <w:rPr>
          <w:rFonts w:asciiTheme="minorHAnsi" w:hAnsiTheme="minorHAnsi" w:cs="Calibri"/>
          <w:color w:val="000000"/>
          <w:sz w:val="20"/>
          <w:szCs w:val="20"/>
        </w:rPr>
        <w:t>plan.</w:t>
      </w:r>
      <w:r w:rsidR="00266A7F" w:rsidRPr="00266A7F">
        <w:rPr>
          <w:rFonts w:asciiTheme="minorHAnsi" w:hAnsiTheme="minorHAnsi" w:cs="Calibri"/>
          <w:color w:val="000000"/>
          <w:sz w:val="20"/>
          <w:szCs w:val="20"/>
        </w:rPr>
        <w:t xml:space="preserve"> </w:t>
      </w:r>
    </w:p>
    <w:p w14:paraId="6B000399" w14:textId="328E12C8"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plan operationalizes empirical findings that nuclear deployment can reduce CO2 in developed</w:t>
      </w:r>
      <w:r w:rsidRPr="00266A7F">
        <w:rPr>
          <w:rFonts w:asciiTheme="minorHAnsi" w:hAnsiTheme="minorHAnsi" w:cs="Calibri"/>
          <w:color w:val="000000"/>
          <w:sz w:val="20"/>
          <w:szCs w:val="20"/>
        </w:rPr>
        <w:noBreakHyphen/>
        <w:t>country contexts (including G7/UK evidence) by translating those results into a UK</w:t>
      </w:r>
      <w:r w:rsidRPr="00266A7F">
        <w:rPr>
          <w:rFonts w:asciiTheme="minorHAnsi" w:hAnsiTheme="minorHAnsi" w:cs="Calibri"/>
          <w:color w:val="000000"/>
          <w:sz w:val="20"/>
          <w:szCs w:val="20"/>
        </w:rPr>
        <w:noBreakHyphen/>
        <w:t>specific, short</w:t>
      </w:r>
      <w:r w:rsidRPr="00266A7F">
        <w:rPr>
          <w:rFonts w:asciiTheme="minorHAnsi" w:hAnsiTheme="minorHAnsi" w:cs="Calibri"/>
          <w:color w:val="000000"/>
          <w:sz w:val="20"/>
          <w:szCs w:val="20"/>
        </w:rPr>
        <w:noBreakHyphen/>
        <w:t>horizon implementation pathway focused on SMR factory modularity, life</w:t>
      </w:r>
      <w:r w:rsidRPr="00266A7F">
        <w:rPr>
          <w:rFonts w:asciiTheme="minorHAnsi" w:hAnsiTheme="minorHAnsi" w:cs="Calibri"/>
          <w:color w:val="000000"/>
          <w:sz w:val="20"/>
          <w:szCs w:val="20"/>
        </w:rPr>
        <w:noBreakHyphen/>
        <w:t>extension feasibility, system integration and policy levers — an approach addressing the observed heterogeneity in renewable impacts and the literature gap on short</w:t>
      </w:r>
      <w:r w:rsidRPr="00266A7F">
        <w:rPr>
          <w:rFonts w:asciiTheme="minorHAnsi" w:hAnsiTheme="minorHAnsi" w:cs="Calibri"/>
          <w:color w:val="000000"/>
          <w:sz w:val="20"/>
          <w:szCs w:val="20"/>
        </w:rPr>
        <w:noBreakHyphen/>
        <w:t>term, country</w:t>
      </w:r>
      <w:r w:rsidRPr="00266A7F">
        <w:rPr>
          <w:rFonts w:asciiTheme="minorHAnsi" w:hAnsiTheme="minorHAnsi" w:cs="Calibri"/>
          <w:color w:val="000000"/>
          <w:sz w:val="20"/>
          <w:szCs w:val="20"/>
        </w:rPr>
        <w:noBreakHyphen/>
        <w:t xml:space="preserve">level nuclear deployment feasibility </w:t>
      </w:r>
    </w:p>
    <w:p w14:paraId="52ECD727" w14:textId="77777777" w:rsidR="00325601" w:rsidRDefault="00325601" w:rsidP="00266A7F">
      <w:pPr>
        <w:pStyle w:val="NormalWeb"/>
        <w:spacing w:line="360" w:lineRule="atLeast"/>
        <w:rPr>
          <w:rStyle w:val="Heading2Char"/>
        </w:rPr>
      </w:pPr>
    </w:p>
    <w:p w14:paraId="16723D39" w14:textId="77777777" w:rsidR="00325601" w:rsidRDefault="00325601" w:rsidP="00266A7F">
      <w:pPr>
        <w:pStyle w:val="NormalWeb"/>
        <w:spacing w:line="360" w:lineRule="atLeast"/>
        <w:rPr>
          <w:rStyle w:val="Heading2Char"/>
        </w:rPr>
      </w:pPr>
    </w:p>
    <w:p w14:paraId="68DE80F5" w14:textId="6306C9A2" w:rsidR="0002407E" w:rsidRDefault="00266A7F" w:rsidP="00266A7F">
      <w:pPr>
        <w:pStyle w:val="NormalWeb"/>
        <w:spacing w:line="360" w:lineRule="atLeast"/>
        <w:rPr>
          <w:rStyle w:val="Heading2Char"/>
        </w:rPr>
      </w:pPr>
      <w:bookmarkStart w:id="7" w:name="_Toc227607612"/>
      <w:r w:rsidRPr="00266A7F">
        <w:rPr>
          <w:rStyle w:val="Heading2Char"/>
        </w:rPr>
        <w:lastRenderedPageBreak/>
        <w:t xml:space="preserve">Team, </w:t>
      </w:r>
      <w:r w:rsidR="009C5593">
        <w:rPr>
          <w:rStyle w:val="Heading2Char"/>
        </w:rPr>
        <w:t>T</w:t>
      </w:r>
      <w:r w:rsidRPr="00266A7F">
        <w:rPr>
          <w:rStyle w:val="Heading2Char"/>
        </w:rPr>
        <w:t xml:space="preserve">imeline and </w:t>
      </w:r>
      <w:r w:rsidR="009C5593">
        <w:rPr>
          <w:rStyle w:val="Heading2Char"/>
        </w:rPr>
        <w:t>R</w:t>
      </w:r>
      <w:r w:rsidRPr="00266A7F">
        <w:rPr>
          <w:rStyle w:val="Heading2Char"/>
        </w:rPr>
        <w:t>esources</w:t>
      </w:r>
      <w:bookmarkEnd w:id="7"/>
    </w:p>
    <w:p w14:paraId="7A96E78F" w14:textId="4592D0E9"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A multidisciplinary team (power systems modellers, nuclear engineers, economists, regulatory/legal experts, environmental scientists and stakeholder specialists) will complete the work over an intensive 6–</w:t>
      </w:r>
      <w:r w:rsidR="0024747D" w:rsidRPr="00266A7F">
        <w:rPr>
          <w:rFonts w:asciiTheme="minorHAnsi" w:hAnsiTheme="minorHAnsi" w:cs="Calibri"/>
          <w:color w:val="000000"/>
          <w:sz w:val="20"/>
          <w:szCs w:val="20"/>
        </w:rPr>
        <w:t>9-month</w:t>
      </w:r>
      <w:r w:rsidRPr="00266A7F">
        <w:rPr>
          <w:rFonts w:asciiTheme="minorHAnsi" w:hAnsiTheme="minorHAnsi" w:cs="Calibri"/>
          <w:color w:val="000000"/>
          <w:sz w:val="20"/>
          <w:szCs w:val="20"/>
        </w:rPr>
        <w:t xml:space="preserve"> programme. Key milestones are data acquisition and baseline modelling (month 0–1), scenario development and dispatch modelling (months 1–3), economic and regulatory assessments plus stakeholder workshops (months 3–6), and final roadmap, technical annexes and policy briefings (months 6–9). Budgetary needs are estimated in the mid six</w:t>
      </w:r>
      <w:r w:rsidRPr="00266A7F">
        <w:rPr>
          <w:rFonts w:asciiTheme="minorHAnsi" w:hAnsiTheme="minorHAnsi" w:cs="Calibri"/>
          <w:color w:val="000000"/>
          <w:sz w:val="20"/>
          <w:szCs w:val="20"/>
        </w:rPr>
        <w:noBreakHyphen/>
        <w:t>figure to low seven</w:t>
      </w:r>
      <w:r w:rsidRPr="00266A7F">
        <w:rPr>
          <w:rFonts w:asciiTheme="minorHAnsi" w:hAnsiTheme="minorHAnsi" w:cs="Calibri"/>
          <w:color w:val="000000"/>
          <w:sz w:val="20"/>
          <w:szCs w:val="20"/>
        </w:rPr>
        <w:noBreakHyphen/>
        <w:t xml:space="preserve">figure GBP range depending on the depth of modelling and </w:t>
      </w:r>
      <w:r w:rsidR="0024747D" w:rsidRPr="00266A7F">
        <w:rPr>
          <w:rFonts w:asciiTheme="minorHAnsi" w:hAnsiTheme="minorHAnsi" w:cs="Calibri"/>
          <w:color w:val="000000"/>
          <w:sz w:val="20"/>
          <w:szCs w:val="20"/>
        </w:rPr>
        <w:t>consultation.</w:t>
      </w:r>
      <w:r w:rsidRPr="00266A7F">
        <w:rPr>
          <w:rFonts w:asciiTheme="minorHAnsi" w:hAnsiTheme="minorHAnsi" w:cs="Calibri"/>
          <w:color w:val="000000"/>
          <w:sz w:val="20"/>
          <w:szCs w:val="20"/>
        </w:rPr>
        <w:t xml:space="preserve"> </w:t>
      </w:r>
    </w:p>
    <w:p w14:paraId="0A3E5735" w14:textId="50B852F9" w:rsidR="00266A7F" w:rsidRDefault="00325601" w:rsidP="00266A7F">
      <w:pPr>
        <w:pStyle w:val="NormalWeb"/>
        <w:spacing w:line="360" w:lineRule="atLeast"/>
        <w:rPr>
          <w:rFonts w:asciiTheme="minorHAnsi" w:hAnsiTheme="minorHAnsi" w:cs="Calibri"/>
          <w:color w:val="000000"/>
          <w:sz w:val="20"/>
          <w:szCs w:val="20"/>
        </w:rPr>
      </w:pPr>
      <w:r>
        <w:rPr>
          <w:rFonts w:asciiTheme="minorHAnsi" w:hAnsiTheme="minorHAnsi" w:cs="Calibri"/>
          <w:color w:val="000000"/>
          <w:sz w:val="20"/>
          <w:szCs w:val="20"/>
        </w:rPr>
        <w:t>To conclude, r</w:t>
      </w:r>
      <w:r w:rsidR="00266A7F" w:rsidRPr="00266A7F">
        <w:rPr>
          <w:rFonts w:asciiTheme="minorHAnsi" w:hAnsiTheme="minorHAnsi" w:cs="Calibri"/>
          <w:color w:val="000000"/>
          <w:sz w:val="20"/>
          <w:szCs w:val="20"/>
        </w:rPr>
        <w:t>eplacing a material share of UK fossil</w:t>
      </w:r>
      <w:r w:rsidR="00266A7F" w:rsidRPr="00266A7F">
        <w:rPr>
          <w:rFonts w:asciiTheme="minorHAnsi" w:hAnsiTheme="minorHAnsi" w:cs="Calibri"/>
          <w:color w:val="000000"/>
          <w:sz w:val="20"/>
          <w:szCs w:val="20"/>
        </w:rPr>
        <w:noBreakHyphen/>
        <w:t>fuel electricity and selected industrial heat by end</w:t>
      </w:r>
      <w:r w:rsidR="00266A7F" w:rsidRPr="00266A7F">
        <w:rPr>
          <w:rFonts w:asciiTheme="minorHAnsi" w:hAnsiTheme="minorHAnsi" w:cs="Calibri"/>
          <w:color w:val="000000"/>
          <w:sz w:val="20"/>
          <w:szCs w:val="20"/>
        </w:rPr>
        <w:noBreakHyphen/>
        <w:t>2026 is ambitious but partially feasible through a pragmatic mix of safe nuclear life</w:t>
      </w:r>
      <w:r w:rsidR="00266A7F" w:rsidRPr="00266A7F">
        <w:rPr>
          <w:rFonts w:asciiTheme="minorHAnsi" w:hAnsiTheme="minorHAnsi" w:cs="Calibri"/>
          <w:color w:val="000000"/>
          <w:sz w:val="20"/>
          <w:szCs w:val="20"/>
        </w:rPr>
        <w:noBreakHyphen/>
        <w:t xml:space="preserve">extensions, accelerated SMR deployment, supportive grid flexibility investments and targeted finance and regulatory reforms. This proposal maps the integrated technical, economic and policy pathway needed, quantifies the </w:t>
      </w:r>
      <w:r w:rsidR="0024747D" w:rsidRPr="00266A7F">
        <w:rPr>
          <w:rFonts w:asciiTheme="minorHAnsi" w:hAnsiTheme="minorHAnsi" w:cs="Calibri"/>
          <w:color w:val="000000"/>
          <w:sz w:val="20"/>
          <w:szCs w:val="20"/>
        </w:rPr>
        <w:t>CO2</w:t>
      </w:r>
      <w:r w:rsidR="00266A7F" w:rsidRPr="00266A7F">
        <w:rPr>
          <w:rFonts w:asciiTheme="minorHAnsi" w:hAnsiTheme="minorHAnsi" w:cs="Calibri"/>
          <w:color w:val="000000"/>
          <w:sz w:val="20"/>
          <w:szCs w:val="20"/>
        </w:rPr>
        <w:t xml:space="preserve"> benefits and costs, and yields an actionable near</w:t>
      </w:r>
      <w:r w:rsidR="00266A7F" w:rsidRPr="00266A7F">
        <w:rPr>
          <w:rFonts w:asciiTheme="minorHAnsi" w:hAnsiTheme="minorHAnsi" w:cs="Calibri"/>
          <w:color w:val="000000"/>
          <w:sz w:val="20"/>
          <w:szCs w:val="20"/>
        </w:rPr>
        <w:noBreakHyphen/>
        <w:t>term roadmap for ministers and industry to implement immediate measures while building medium</w:t>
      </w:r>
      <w:r w:rsidR="00266A7F" w:rsidRPr="00266A7F">
        <w:rPr>
          <w:rFonts w:asciiTheme="minorHAnsi" w:hAnsiTheme="minorHAnsi" w:cs="Calibri"/>
          <w:color w:val="000000"/>
          <w:sz w:val="20"/>
          <w:szCs w:val="20"/>
        </w:rPr>
        <w:noBreakHyphen/>
        <w:t>term capacity for a full clean energy transition.</w:t>
      </w:r>
    </w:p>
    <w:p w14:paraId="4998AACF" w14:textId="1181DD72" w:rsidR="00266A7F" w:rsidRPr="00266A7F" w:rsidRDefault="00266A7F" w:rsidP="00DF33FA">
      <w:pPr>
        <w:pStyle w:val="Heading2"/>
      </w:pPr>
      <w:bookmarkStart w:id="8" w:name="_Toc227607613"/>
      <w:r w:rsidRPr="00266A7F">
        <w:t xml:space="preserve">Technical </w:t>
      </w:r>
      <w:r w:rsidR="00DF33FA">
        <w:t>A</w:t>
      </w:r>
      <w:r w:rsidRPr="00266A7F">
        <w:t>nnex</w:t>
      </w:r>
      <w:r w:rsidR="00DF33FA">
        <w:t>: M</w:t>
      </w:r>
      <w:r w:rsidRPr="00266A7F">
        <w:t xml:space="preserve">odelling inputs, </w:t>
      </w:r>
      <w:r w:rsidR="00DF33FA">
        <w:t>P</w:t>
      </w:r>
      <w:r w:rsidRPr="00266A7F">
        <w:t>arameter</w:t>
      </w:r>
      <w:r w:rsidR="00DF33FA">
        <w:t>s and</w:t>
      </w:r>
      <w:r w:rsidRPr="00266A7F">
        <w:t xml:space="preserve"> </w:t>
      </w:r>
      <w:r w:rsidR="00DF33FA">
        <w:t>A</w:t>
      </w:r>
      <w:r w:rsidRPr="00266A7F">
        <w:t>ssumptions</w:t>
      </w:r>
      <w:bookmarkEnd w:id="8"/>
    </w:p>
    <w:p w14:paraId="00DDA9A9" w14:textId="13AA23F2"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This annex defines the quantitative inputs, parameter ranges and modelling assumptions to run the scenario and sensitivity analyses described in the main proposal. All input values are presented as central estimates with low/high bounds for sensitivity testing; where </w:t>
      </w:r>
      <w:r w:rsidR="0024747D" w:rsidRPr="00266A7F">
        <w:rPr>
          <w:rFonts w:asciiTheme="minorHAnsi" w:hAnsiTheme="minorHAnsi" w:cs="Calibri"/>
          <w:color w:val="000000"/>
          <w:sz w:val="20"/>
          <w:szCs w:val="20"/>
        </w:rPr>
        <w:t>ranges</w:t>
      </w:r>
      <w:r w:rsidRPr="00266A7F">
        <w:rPr>
          <w:rFonts w:asciiTheme="minorHAnsi" w:hAnsiTheme="minorHAnsi" w:cs="Calibri"/>
          <w:color w:val="000000"/>
          <w:sz w:val="20"/>
          <w:szCs w:val="20"/>
        </w:rPr>
        <w:t xml:space="preserve"> reflect observed UK and international experience for nuclear, gas, storage and system operation (see cited literature). The modelling approach uses hourly unit</w:t>
      </w:r>
      <w:r w:rsidRPr="00266A7F">
        <w:rPr>
          <w:rFonts w:asciiTheme="minorHAnsi" w:hAnsiTheme="minorHAnsi" w:cs="Calibri"/>
          <w:color w:val="000000"/>
          <w:sz w:val="20"/>
          <w:szCs w:val="20"/>
        </w:rPr>
        <w:noBreakHyphen/>
        <w:t>commitment and dispatch at 1</w:t>
      </w:r>
      <w:r w:rsidRPr="00266A7F">
        <w:rPr>
          <w:rFonts w:asciiTheme="minorHAnsi" w:hAnsiTheme="minorHAnsi" w:cs="Calibri"/>
          <w:color w:val="000000"/>
          <w:sz w:val="20"/>
          <w:szCs w:val="20"/>
        </w:rPr>
        <w:noBreakHyphen/>
        <w:t>hour resolution for 2023–2026 and reports generation stacks, curtailment, system reliability (LOLE/EUE), cost metrics (system cost, LCOE, marginal abatement cost) and emissions outcomes.</w:t>
      </w:r>
    </w:p>
    <w:p w14:paraId="52C25F6E" w14:textId="761A293C"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baseline hourly demand dataset should be the National Grid ESO historical half</w:t>
      </w:r>
      <w:r w:rsidRPr="00266A7F">
        <w:rPr>
          <w:rFonts w:asciiTheme="minorHAnsi" w:hAnsiTheme="minorHAnsi" w:cs="Calibri"/>
          <w:color w:val="000000"/>
          <w:sz w:val="20"/>
          <w:szCs w:val="20"/>
        </w:rPr>
        <w:noBreakHyphen/>
        <w:t xml:space="preserve">hourly demand and generation traces (convert to hourly by averaging pairs) for the most recent representative year (National Grid ESO datasets; use 2019–2022 series where available) and then scale for 2023–2026 scenarios. Demand scenarios must include an electrification uplift to capture EV and heat uptake. Three demand trajectories are recommended: low (+0.5%/yr), medium (+1.5%/yr) and high (+3.0%/yr) annual growth relative to the baseline to reflect a range of electrification speeds and efficiency gains. Industrial heat and hydrogen pilot demand at regional clusters (e.g., Teesside/Humber) are modelled as additional seasonal/hourly load blocks (pilot volumes 0.1–0.5 TWh/yr by site, scalable) to </w:t>
      </w:r>
      <w:r w:rsidR="0024747D" w:rsidRPr="00266A7F">
        <w:rPr>
          <w:rFonts w:asciiTheme="minorHAnsi" w:hAnsiTheme="minorHAnsi" w:cs="Calibri"/>
          <w:color w:val="000000"/>
          <w:sz w:val="20"/>
          <w:szCs w:val="20"/>
        </w:rPr>
        <w:t>evaluate</w:t>
      </w:r>
      <w:r w:rsidRPr="00266A7F">
        <w:rPr>
          <w:rFonts w:asciiTheme="minorHAnsi" w:hAnsiTheme="minorHAnsi" w:cs="Calibri"/>
          <w:color w:val="000000"/>
          <w:sz w:val="20"/>
          <w:szCs w:val="20"/>
        </w:rPr>
        <w:t xml:space="preserve"> nuclear coupling to industrial decarbonisation (Azam et al., 2021; Murshed et al., 2022).</w:t>
      </w:r>
    </w:p>
    <w:p w14:paraId="05D3F128" w14:textId="0FDCF6ED" w:rsidR="00266A7F" w:rsidRPr="00266A7F" w:rsidRDefault="00565774" w:rsidP="00266A7F">
      <w:pPr>
        <w:pStyle w:val="NormalWeb"/>
        <w:spacing w:line="360" w:lineRule="atLeast"/>
        <w:rPr>
          <w:rFonts w:asciiTheme="minorHAnsi" w:hAnsiTheme="minorHAnsi" w:cs="Calibri"/>
          <w:color w:val="000000"/>
          <w:sz w:val="20"/>
          <w:szCs w:val="20"/>
        </w:rPr>
      </w:pPr>
      <w:r>
        <w:rPr>
          <w:rFonts w:asciiTheme="minorHAnsi" w:hAnsiTheme="minorHAnsi" w:cs="Calibri"/>
          <w:color w:val="000000"/>
          <w:sz w:val="20"/>
          <w:szCs w:val="20"/>
        </w:rPr>
        <w:t>A</w:t>
      </w:r>
      <w:r w:rsidR="00266A7F" w:rsidRPr="00266A7F">
        <w:rPr>
          <w:rFonts w:asciiTheme="minorHAnsi" w:hAnsiTheme="minorHAnsi" w:cs="Calibri"/>
          <w:color w:val="000000"/>
          <w:sz w:val="20"/>
          <w:szCs w:val="20"/>
        </w:rPr>
        <w:t xml:space="preserve">ggregated blocks with technical parameters (nameplate MW, minimum stable output fraction, ramp rates, start costs, forced outage rates). Coal is assumed removed from the system baseline (consistent </w:t>
      </w:r>
      <w:r w:rsidR="00266A7F" w:rsidRPr="00266A7F">
        <w:rPr>
          <w:rFonts w:asciiTheme="minorHAnsi" w:hAnsiTheme="minorHAnsi" w:cs="Calibri"/>
          <w:color w:val="000000"/>
          <w:sz w:val="20"/>
          <w:szCs w:val="20"/>
        </w:rPr>
        <w:lastRenderedPageBreak/>
        <w:t>with UK policy) or set to zero availability by 2024. CCGT capacity should reflect current fleet totals (order</w:t>
      </w:r>
      <w:r w:rsidR="00266A7F" w:rsidRPr="00266A7F">
        <w:rPr>
          <w:rFonts w:asciiTheme="minorHAnsi" w:hAnsiTheme="minorHAnsi" w:cs="Calibri"/>
          <w:color w:val="000000"/>
          <w:sz w:val="20"/>
          <w:szCs w:val="20"/>
        </w:rPr>
        <w:noBreakHyphen/>
        <w:t>of</w:t>
      </w:r>
      <w:r w:rsidR="00266A7F" w:rsidRPr="00266A7F">
        <w:rPr>
          <w:rFonts w:asciiTheme="minorHAnsi" w:hAnsiTheme="minorHAnsi" w:cs="Calibri"/>
          <w:color w:val="000000"/>
          <w:sz w:val="20"/>
          <w:szCs w:val="20"/>
        </w:rPr>
        <w:noBreakHyphen/>
        <w:t xml:space="preserve">magnitude 25–35 GW in recent years) with minimum stable outputs 30–50% and ramp rates 5–20%/min. OCGTs </w:t>
      </w:r>
      <w:r w:rsidR="0024747D" w:rsidRPr="00266A7F">
        <w:rPr>
          <w:rFonts w:asciiTheme="minorHAnsi" w:hAnsiTheme="minorHAnsi" w:cs="Calibri"/>
          <w:color w:val="000000"/>
          <w:sz w:val="20"/>
          <w:szCs w:val="20"/>
        </w:rPr>
        <w:t>function as</w:t>
      </w:r>
      <w:r w:rsidR="00266A7F" w:rsidRPr="00266A7F">
        <w:rPr>
          <w:rFonts w:asciiTheme="minorHAnsi" w:hAnsiTheme="minorHAnsi" w:cs="Calibri"/>
          <w:color w:val="000000"/>
          <w:sz w:val="20"/>
          <w:szCs w:val="20"/>
        </w:rPr>
        <w:t xml:space="preserve"> peakers with high variable cost and fast start characteristics. Renewables (onshore/offshore wind and solar PV) require hourly generation profiles derived from historical generation or meteorological reanalysis; allow curtailment. Battery storage and pumped hydro are modelled as dispatchable units with power (MW), energy (MWh) and efficiency constraints (Zhan et al., 2021; Azam et al., 2021).</w:t>
      </w:r>
    </w:p>
    <w:p w14:paraId="2ED74394" w14:textId="4A31ADE8"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The modelling differentiates three nuclear levers: safe life</w:t>
      </w:r>
      <w:r w:rsidRPr="00266A7F">
        <w:rPr>
          <w:rFonts w:asciiTheme="minorHAnsi" w:hAnsiTheme="minorHAnsi" w:cs="Calibri"/>
          <w:color w:val="000000"/>
          <w:sz w:val="20"/>
          <w:szCs w:val="20"/>
        </w:rPr>
        <w:noBreakHyphen/>
        <w:t>extension/uprates of existing reactors (primarily AGR), factory</w:t>
      </w:r>
      <w:r w:rsidRPr="00266A7F">
        <w:rPr>
          <w:rFonts w:asciiTheme="minorHAnsi" w:hAnsiTheme="minorHAnsi" w:cs="Calibri"/>
          <w:color w:val="000000"/>
          <w:sz w:val="20"/>
          <w:szCs w:val="20"/>
        </w:rPr>
        <w:noBreakHyphen/>
        <w:t>built SMRs, and limited contribution from large PWR projects already under construction. Life</w:t>
      </w:r>
      <w:r w:rsidRPr="00266A7F">
        <w:rPr>
          <w:rFonts w:asciiTheme="minorHAnsi" w:hAnsiTheme="minorHAnsi" w:cs="Calibri"/>
          <w:color w:val="000000"/>
          <w:sz w:val="20"/>
          <w:szCs w:val="20"/>
        </w:rPr>
        <w:noBreakHyphen/>
        <w:t>extension assumptions per unit include modest uprates (1–5% output), capital cost for extension works (£150–£600/kW), and regulatory lead times of 12–30 months (central 18 months) subject to ONR approval (Kartal, 2022; Murshed et al., 2022). SMRs are modelled as modular units with representative size options (50 MW, 125 MW baseline, 300 MW variants). Central SMR technical parameters: capacity factor 85–95% (baseline 90%), overnight capital cost first</w:t>
      </w:r>
      <w:r w:rsidRPr="00266A7F">
        <w:rPr>
          <w:rFonts w:asciiTheme="minorHAnsi" w:hAnsiTheme="minorHAnsi" w:cs="Calibri"/>
          <w:color w:val="000000"/>
          <w:sz w:val="20"/>
          <w:szCs w:val="20"/>
        </w:rPr>
        <w:noBreakHyphen/>
        <w:t>of</w:t>
      </w:r>
      <w:r w:rsidRPr="00266A7F">
        <w:rPr>
          <w:rFonts w:asciiTheme="minorHAnsi" w:hAnsiTheme="minorHAnsi" w:cs="Calibri"/>
          <w:color w:val="000000"/>
          <w:sz w:val="20"/>
          <w:szCs w:val="20"/>
        </w:rPr>
        <w:noBreakHyphen/>
        <w:t>a</w:t>
      </w:r>
      <w:r w:rsidRPr="00266A7F">
        <w:rPr>
          <w:rFonts w:asciiTheme="minorHAnsi" w:hAnsiTheme="minorHAnsi" w:cs="Calibri"/>
          <w:color w:val="000000"/>
          <w:sz w:val="20"/>
          <w:szCs w:val="20"/>
        </w:rPr>
        <w:noBreakHyphen/>
        <w:t>kind £3,500–£6,500/kW with mature factory cost £2,500–£4,000/kW, fixed O&amp;M £80–£140/kW</w:t>
      </w:r>
      <w:r w:rsidRPr="00266A7F">
        <w:rPr>
          <w:rFonts w:asciiTheme="minorHAnsi" w:hAnsiTheme="minorHAnsi" w:cs="Calibri"/>
          <w:color w:val="000000"/>
          <w:sz w:val="20"/>
          <w:szCs w:val="20"/>
        </w:rPr>
        <w:noBreakHyphen/>
        <w:t>yr, variable marginal cost £3–£8/MWh, and first</w:t>
      </w:r>
      <w:r w:rsidRPr="00266A7F">
        <w:rPr>
          <w:rFonts w:asciiTheme="minorHAnsi" w:hAnsiTheme="minorHAnsi" w:cs="Calibri"/>
          <w:color w:val="000000"/>
          <w:sz w:val="20"/>
          <w:szCs w:val="20"/>
        </w:rPr>
        <w:noBreakHyphen/>
        <w:t>unit lead times 24–48 months (optimistic 18–30 with pre</w:t>
      </w:r>
      <w:r w:rsidRPr="00266A7F">
        <w:rPr>
          <w:rFonts w:asciiTheme="minorHAnsi" w:hAnsiTheme="minorHAnsi" w:cs="Calibri"/>
          <w:color w:val="000000"/>
          <w:sz w:val="20"/>
          <w:szCs w:val="20"/>
        </w:rPr>
        <w:noBreakHyphen/>
        <w:t>ordered modules and vendor commitments). Large PWRs (1,300–1,600 MW) are included only where scheduled completion by 2026 is explicit; their construction lead times (8–12 years) mean minimal impact on 2023–2026 outcomes (Azam et al., 2021; Murshed et al., 2022).</w:t>
      </w:r>
    </w:p>
    <w:p w14:paraId="48E6652B" w14:textId="77777777" w:rsidR="00BA0F4F" w:rsidRDefault="00BA0F4F" w:rsidP="00266A7F">
      <w:pPr>
        <w:pStyle w:val="NormalWeb"/>
        <w:spacing w:line="360" w:lineRule="atLeast"/>
        <w:rPr>
          <w:rFonts w:asciiTheme="minorHAnsi" w:hAnsiTheme="minorHAnsi" w:cs="Calibri"/>
          <w:color w:val="000000"/>
          <w:sz w:val="20"/>
          <w:szCs w:val="20"/>
        </w:rPr>
      </w:pPr>
      <w:r w:rsidRPr="00BA0F4F">
        <w:rPr>
          <w:rFonts w:asciiTheme="minorHAnsi" w:hAnsiTheme="minorHAnsi" w:cs="Calibri"/>
          <w:color w:val="000000"/>
          <w:sz w:val="20"/>
          <w:szCs w:val="20"/>
        </w:rPr>
        <w:drawing>
          <wp:inline distT="0" distB="0" distL="0" distR="0" wp14:anchorId="57238333" wp14:editId="22AAD709">
            <wp:extent cx="5334000" cy="3303463"/>
            <wp:effectExtent l="0" t="0" r="0" b="0"/>
            <wp:docPr id="485259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59735" name=""/>
                    <pic:cNvPicPr/>
                  </pic:nvPicPr>
                  <pic:blipFill>
                    <a:blip r:embed="rId6"/>
                    <a:stretch>
                      <a:fillRect/>
                    </a:stretch>
                  </pic:blipFill>
                  <pic:spPr>
                    <a:xfrm>
                      <a:off x="0" y="0"/>
                      <a:ext cx="5339356" cy="3306780"/>
                    </a:xfrm>
                    <a:prstGeom prst="rect">
                      <a:avLst/>
                    </a:prstGeom>
                  </pic:spPr>
                </pic:pic>
              </a:graphicData>
            </a:graphic>
          </wp:inline>
        </w:drawing>
      </w:r>
    </w:p>
    <w:p w14:paraId="7E93AE37" w14:textId="69AD3818" w:rsidR="00BA0F4F" w:rsidRPr="00BA0F4F" w:rsidRDefault="00BA0F4F" w:rsidP="00BA0F4F">
      <w:pPr>
        <w:pStyle w:val="NormalWeb"/>
        <w:spacing w:line="360" w:lineRule="atLeast"/>
        <w:rPr>
          <w:rFonts w:asciiTheme="minorHAnsi" w:hAnsiTheme="minorHAnsi" w:cs="Calibri"/>
          <w:i/>
          <w:iCs/>
          <w:color w:val="000000"/>
          <w:sz w:val="20"/>
          <w:szCs w:val="20"/>
        </w:rPr>
      </w:pPr>
      <w:r w:rsidRPr="00BA0F4F">
        <w:rPr>
          <w:rFonts w:asciiTheme="minorHAnsi" w:hAnsiTheme="minorHAnsi" w:cs="Calibri"/>
          <w:i/>
          <w:iCs/>
          <w:color w:val="000000"/>
          <w:sz w:val="20"/>
          <w:szCs w:val="20"/>
        </w:rPr>
        <w:t>(Analysing</w:t>
      </w:r>
      <w:r w:rsidRPr="00BA0F4F">
        <w:rPr>
          <w:rFonts w:asciiTheme="minorHAnsi" w:hAnsiTheme="minorHAnsi" w:cs="Calibri"/>
          <w:i/>
          <w:iCs/>
          <w:color w:val="000000"/>
          <w:sz w:val="20"/>
          <w:szCs w:val="20"/>
        </w:rPr>
        <w:t xml:space="preserve"> the effect of natural gas, nuclear energy and renewable</w:t>
      </w:r>
      <w:r>
        <w:rPr>
          <w:rFonts w:asciiTheme="minorHAnsi" w:hAnsiTheme="minorHAnsi" w:cs="Calibri"/>
          <w:i/>
          <w:iCs/>
          <w:color w:val="000000"/>
          <w:sz w:val="20"/>
          <w:szCs w:val="20"/>
        </w:rPr>
        <w:t xml:space="preserve"> </w:t>
      </w:r>
      <w:r w:rsidRPr="00BA0F4F">
        <w:rPr>
          <w:rFonts w:asciiTheme="minorHAnsi" w:hAnsiTheme="minorHAnsi" w:cs="Calibri"/>
          <w:i/>
          <w:iCs/>
          <w:color w:val="000000"/>
          <w:sz w:val="20"/>
          <w:szCs w:val="20"/>
        </w:rPr>
        <w:t>energy on GDP and carbon emissions: A multi-variate panel data</w:t>
      </w:r>
      <w:r>
        <w:rPr>
          <w:rFonts w:asciiTheme="minorHAnsi" w:hAnsiTheme="minorHAnsi" w:cs="Calibri"/>
          <w:i/>
          <w:iCs/>
          <w:color w:val="000000"/>
          <w:sz w:val="20"/>
          <w:szCs w:val="20"/>
        </w:rPr>
        <w:t xml:space="preserve"> </w:t>
      </w:r>
      <w:r w:rsidRPr="00BA0F4F">
        <w:rPr>
          <w:rFonts w:asciiTheme="minorHAnsi" w:hAnsiTheme="minorHAnsi" w:cs="Calibri"/>
          <w:i/>
          <w:iCs/>
          <w:color w:val="000000"/>
          <w:sz w:val="20"/>
          <w:szCs w:val="20"/>
        </w:rPr>
        <w:t>analysis</w:t>
      </w:r>
      <w:r w:rsidR="00BC5F59">
        <w:rPr>
          <w:rFonts w:asciiTheme="minorHAnsi" w:hAnsiTheme="minorHAnsi" w:cs="Calibri"/>
          <w:i/>
          <w:iCs/>
          <w:color w:val="000000"/>
          <w:sz w:val="20"/>
          <w:szCs w:val="20"/>
        </w:rPr>
        <w:t xml:space="preserve">, </w:t>
      </w:r>
      <w:r>
        <w:rPr>
          <w:rFonts w:asciiTheme="minorHAnsi" w:hAnsiTheme="minorHAnsi" w:cs="Calibri"/>
          <w:i/>
          <w:iCs/>
          <w:color w:val="000000"/>
          <w:sz w:val="20"/>
          <w:szCs w:val="20"/>
        </w:rPr>
        <w:t>page 8</w:t>
      </w:r>
      <w:r w:rsidRPr="00BA0F4F">
        <w:rPr>
          <w:rFonts w:asciiTheme="minorHAnsi" w:hAnsiTheme="minorHAnsi" w:cs="Calibri"/>
          <w:i/>
          <w:iCs/>
          <w:color w:val="000000"/>
          <w:sz w:val="20"/>
          <w:szCs w:val="20"/>
        </w:rPr>
        <w:t>)</w:t>
      </w:r>
    </w:p>
    <w:p w14:paraId="599EBAC6" w14:textId="248D04F9"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lastRenderedPageBreak/>
        <w:t>Battery storage units are modelled with typical 2</w:t>
      </w:r>
      <w:r w:rsidRPr="00266A7F">
        <w:rPr>
          <w:rFonts w:asciiTheme="minorHAnsi" w:hAnsiTheme="minorHAnsi" w:cs="Calibri"/>
          <w:color w:val="000000"/>
          <w:sz w:val="20"/>
          <w:szCs w:val="20"/>
        </w:rPr>
        <w:noBreakHyphen/>
        <w:t>hour configurations (e.g., 100 MW / 200 MWh block) with roundtrip efficiency 85–92% (baseline 90%), capital cost £300–£700/kW (2</w:t>
      </w:r>
      <w:r w:rsidRPr="00266A7F">
        <w:rPr>
          <w:rFonts w:asciiTheme="minorHAnsi" w:hAnsiTheme="minorHAnsi" w:cs="Calibri"/>
          <w:color w:val="000000"/>
          <w:sz w:val="20"/>
          <w:szCs w:val="20"/>
        </w:rPr>
        <w:noBreakHyphen/>
        <w:t>hr), lifespan 3,000–6,000 cycles and O&amp;M £5–£15/kW</w:t>
      </w:r>
      <w:r w:rsidRPr="00266A7F">
        <w:rPr>
          <w:rFonts w:asciiTheme="minorHAnsi" w:hAnsiTheme="minorHAnsi" w:cs="Calibri"/>
          <w:color w:val="000000"/>
          <w:sz w:val="20"/>
          <w:szCs w:val="20"/>
        </w:rPr>
        <w:noBreakHyphen/>
        <w:t>yr. Pumped hydro is modelled as existing capacity constrained by seasonal availability. Demand</w:t>
      </w:r>
      <w:r w:rsidRPr="00266A7F">
        <w:rPr>
          <w:rFonts w:asciiTheme="minorHAnsi" w:hAnsiTheme="minorHAnsi" w:cs="Calibri"/>
          <w:color w:val="000000"/>
          <w:sz w:val="20"/>
          <w:szCs w:val="20"/>
        </w:rPr>
        <w:noBreakHyphen/>
        <w:t>side response (DSR) is represented as dispatchable negative load with available windows and activation costs (£20–£200/MWh depending on event). Interconnector capacity and historical flows should be included with loss factors and price spread assumptions to model import/export balancing (Murshed et al., 2022).</w:t>
      </w:r>
    </w:p>
    <w:p w14:paraId="39702302" w14:textId="2169FF05"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Reliability and reserves </w:t>
      </w:r>
      <w:r w:rsidR="00980180">
        <w:rPr>
          <w:rFonts w:asciiTheme="minorHAnsi" w:hAnsiTheme="minorHAnsi" w:cs="Calibri"/>
          <w:color w:val="000000"/>
          <w:sz w:val="20"/>
          <w:szCs w:val="20"/>
        </w:rPr>
        <w:t>s</w:t>
      </w:r>
      <w:r w:rsidRPr="00266A7F">
        <w:rPr>
          <w:rFonts w:asciiTheme="minorHAnsi" w:hAnsiTheme="minorHAnsi" w:cs="Calibri"/>
          <w:color w:val="000000"/>
          <w:sz w:val="20"/>
          <w:szCs w:val="20"/>
        </w:rPr>
        <w:t>et LOLE reliability target consistent with National Grid expectations (e.g., LOLE ≤ 3 hours/year) and model required operating reserves (spinning and contingency) as percentages of demand (typical range 5–10%). Ancillary services capacity (fast frequency response) must be sized explicitly; battery and thermal units provide FFR. Include plant forced outage rates: nuclear FOR 2–6% range, gas fleet FOR ~5–10% (model stochastic outages and correlated outage clusters in stress scenarios) (Kartal, 2022).</w:t>
      </w:r>
    </w:p>
    <w:p w14:paraId="1DFBDED7" w14:textId="77777777"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Regulatory, permitting and deployment timing Model regulatory durations and potential accelerated pathways. Baseline durations: ONR life</w:t>
      </w:r>
      <w:r w:rsidRPr="00266A7F">
        <w:rPr>
          <w:rFonts w:asciiTheme="minorHAnsi" w:hAnsiTheme="minorHAnsi" w:cs="Calibri"/>
          <w:color w:val="000000"/>
          <w:sz w:val="20"/>
          <w:szCs w:val="20"/>
        </w:rPr>
        <w:noBreakHyphen/>
        <w:t>extension safety case review 12–24 months (central 12), SMR Generic Design Assessment (GDA) 24–36 months (accelerated 12–18 months in fast</w:t>
      </w:r>
      <w:r w:rsidRPr="00266A7F">
        <w:rPr>
          <w:rFonts w:asciiTheme="minorHAnsi" w:hAnsiTheme="minorHAnsi" w:cs="Calibri"/>
          <w:color w:val="000000"/>
          <w:sz w:val="20"/>
          <w:szCs w:val="20"/>
        </w:rPr>
        <w:noBreakHyphen/>
        <w:t>track), site licensing and planning consents 12–24 months (fast</w:t>
      </w:r>
      <w:r w:rsidRPr="00266A7F">
        <w:rPr>
          <w:rFonts w:asciiTheme="minorHAnsi" w:hAnsiTheme="minorHAnsi" w:cs="Calibri"/>
          <w:color w:val="000000"/>
          <w:sz w:val="20"/>
          <w:szCs w:val="20"/>
        </w:rPr>
        <w:noBreakHyphen/>
        <w:t>track 6–12 months if conditional approvals used), grid reinforcement 12–36 months. Procurement timelines: SMR factory order to first module delivery 24–48 months baseline; with pre</w:t>
      </w:r>
      <w:r w:rsidRPr="00266A7F">
        <w:rPr>
          <w:rFonts w:asciiTheme="minorHAnsi" w:hAnsiTheme="minorHAnsi" w:cs="Calibri"/>
          <w:color w:val="000000"/>
          <w:sz w:val="20"/>
          <w:szCs w:val="20"/>
        </w:rPr>
        <w:noBreakHyphen/>
        <w:t>orders and international vendor capacity optimistic 18–36 months. These timing assumptions drive which nuclear capacities can realistically be online by end</w:t>
      </w:r>
      <w:r w:rsidRPr="00266A7F">
        <w:rPr>
          <w:rFonts w:asciiTheme="minorHAnsi" w:hAnsiTheme="minorHAnsi" w:cs="Calibri"/>
          <w:color w:val="000000"/>
          <w:sz w:val="20"/>
          <w:szCs w:val="20"/>
        </w:rPr>
        <w:noBreakHyphen/>
        <w:t>2026 (Saidi &amp; Mbarek, 2016; Azam et al., 2021).</w:t>
      </w:r>
    </w:p>
    <w:p w14:paraId="7BBA01A1" w14:textId="77777777" w:rsidR="0041062C" w:rsidRDefault="0041062C" w:rsidP="00266A7F">
      <w:pPr>
        <w:pStyle w:val="NormalWeb"/>
        <w:spacing w:line="360" w:lineRule="atLeast"/>
        <w:rPr>
          <w:rFonts w:asciiTheme="minorHAnsi" w:hAnsiTheme="minorHAnsi" w:cs="Calibri"/>
          <w:color w:val="000000"/>
          <w:sz w:val="20"/>
          <w:szCs w:val="20"/>
        </w:rPr>
      </w:pPr>
      <w:r w:rsidRPr="0041062C">
        <w:rPr>
          <w:rFonts w:asciiTheme="minorHAnsi" w:hAnsiTheme="minorHAnsi" w:cs="Calibri"/>
          <w:color w:val="000000"/>
          <w:sz w:val="20"/>
          <w:szCs w:val="20"/>
        </w:rPr>
        <w:drawing>
          <wp:inline distT="0" distB="0" distL="0" distR="0" wp14:anchorId="11A472BF" wp14:editId="6CD2BC09">
            <wp:extent cx="5731510" cy="3111500"/>
            <wp:effectExtent l="0" t="0" r="2540" b="0"/>
            <wp:docPr id="95839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92756" name=""/>
                    <pic:cNvPicPr/>
                  </pic:nvPicPr>
                  <pic:blipFill>
                    <a:blip r:embed="rId7"/>
                    <a:stretch>
                      <a:fillRect/>
                    </a:stretch>
                  </pic:blipFill>
                  <pic:spPr>
                    <a:xfrm>
                      <a:off x="0" y="0"/>
                      <a:ext cx="5731510" cy="3111500"/>
                    </a:xfrm>
                    <a:prstGeom prst="rect">
                      <a:avLst/>
                    </a:prstGeom>
                  </pic:spPr>
                </pic:pic>
              </a:graphicData>
            </a:graphic>
          </wp:inline>
        </w:drawing>
      </w:r>
      <w:r w:rsidRPr="0041062C">
        <w:rPr>
          <w:rFonts w:asciiTheme="minorHAnsi" w:hAnsiTheme="minorHAnsi" w:cs="Calibri"/>
          <w:color w:val="000000"/>
          <w:sz w:val="20"/>
          <w:szCs w:val="20"/>
        </w:rPr>
        <w:t xml:space="preserve"> </w:t>
      </w:r>
    </w:p>
    <w:p w14:paraId="2F8AF3E0" w14:textId="3FF5B8AF" w:rsidR="0041062C" w:rsidRPr="001F0091" w:rsidRDefault="0041062C" w:rsidP="0041062C">
      <w:pPr>
        <w:pStyle w:val="NormalWeb"/>
        <w:spacing w:line="360" w:lineRule="atLeast"/>
        <w:rPr>
          <w:rFonts w:asciiTheme="minorHAnsi" w:hAnsiTheme="minorHAnsi" w:cs="Calibri"/>
          <w:i/>
          <w:iCs/>
          <w:color w:val="000000"/>
          <w:sz w:val="20"/>
          <w:szCs w:val="20"/>
        </w:rPr>
      </w:pPr>
      <w:r w:rsidRPr="001F0091">
        <w:rPr>
          <w:rFonts w:asciiTheme="minorHAnsi" w:hAnsiTheme="minorHAnsi" w:cs="Calibri"/>
          <w:i/>
          <w:iCs/>
          <w:color w:val="000000"/>
          <w:sz w:val="20"/>
          <w:szCs w:val="20"/>
        </w:rPr>
        <w:lastRenderedPageBreak/>
        <w:t>(</w:t>
      </w:r>
      <w:r w:rsidRPr="001F0091">
        <w:rPr>
          <w:rFonts w:asciiTheme="minorHAnsi" w:hAnsiTheme="minorHAnsi" w:cs="Calibri"/>
          <w:i/>
          <w:iCs/>
          <w:color w:val="000000"/>
          <w:sz w:val="20"/>
          <w:szCs w:val="20"/>
        </w:rPr>
        <w:t>Exploring the nexuses between nuclear energy, renewable energy, and</w:t>
      </w:r>
      <w:r w:rsidRPr="001F0091">
        <w:rPr>
          <w:rFonts w:asciiTheme="minorHAnsi" w:hAnsiTheme="minorHAnsi" w:cs="Calibri"/>
          <w:i/>
          <w:iCs/>
          <w:color w:val="000000"/>
          <w:sz w:val="20"/>
          <w:szCs w:val="20"/>
        </w:rPr>
        <w:t xml:space="preserve"> </w:t>
      </w:r>
      <w:r w:rsidRPr="001F0091">
        <w:rPr>
          <w:rFonts w:asciiTheme="minorHAnsi" w:hAnsiTheme="minorHAnsi" w:cs="Calibri"/>
          <w:i/>
          <w:iCs/>
          <w:color w:val="000000"/>
          <w:sz w:val="20"/>
          <w:szCs w:val="20"/>
        </w:rPr>
        <w:t>carbon dioxide emissions: The role of economic complexity in the G7</w:t>
      </w:r>
      <w:r w:rsidRPr="001F0091">
        <w:rPr>
          <w:rFonts w:asciiTheme="minorHAnsi" w:hAnsiTheme="minorHAnsi" w:cs="Calibri"/>
          <w:i/>
          <w:iCs/>
          <w:color w:val="000000"/>
          <w:sz w:val="20"/>
          <w:szCs w:val="20"/>
        </w:rPr>
        <w:t xml:space="preserve"> </w:t>
      </w:r>
      <w:r w:rsidRPr="001F0091">
        <w:rPr>
          <w:rFonts w:asciiTheme="minorHAnsi" w:hAnsiTheme="minorHAnsi" w:cs="Calibri"/>
          <w:i/>
          <w:iCs/>
          <w:color w:val="000000"/>
          <w:sz w:val="20"/>
          <w:szCs w:val="20"/>
        </w:rPr>
        <w:t>countries</w:t>
      </w:r>
      <w:r w:rsidRPr="001F0091">
        <w:rPr>
          <w:rFonts w:asciiTheme="minorHAnsi" w:hAnsiTheme="minorHAnsi" w:cs="Calibri"/>
          <w:i/>
          <w:iCs/>
          <w:color w:val="000000"/>
          <w:sz w:val="20"/>
          <w:szCs w:val="20"/>
        </w:rPr>
        <w:t>, page 667)</w:t>
      </w:r>
    </w:p>
    <w:p w14:paraId="4A0598DD" w14:textId="6698C317"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Compute avoided emissions as the difference between baseline fossil generation emissions and scenario fossil generation emissions after nuclear additions. Report annual and cumulative avoided </w:t>
      </w:r>
      <w:r w:rsidR="0024747D" w:rsidRPr="00266A7F">
        <w:rPr>
          <w:rFonts w:asciiTheme="minorHAnsi" w:hAnsiTheme="minorHAnsi" w:cs="Calibri"/>
          <w:color w:val="000000"/>
          <w:sz w:val="20"/>
          <w:szCs w:val="20"/>
        </w:rPr>
        <w:t>MtCO2 and</w:t>
      </w:r>
      <w:r w:rsidRPr="00266A7F">
        <w:rPr>
          <w:rFonts w:asciiTheme="minorHAnsi" w:hAnsiTheme="minorHAnsi" w:cs="Calibri"/>
          <w:color w:val="000000"/>
          <w:sz w:val="20"/>
          <w:szCs w:val="20"/>
        </w:rPr>
        <w:t xml:space="preserve"> derive marginal abatement cost (£/tCO2) as the difference in system cost divided by avoided emissions. For hydrogen or industrial heat coupling, include lifecycle emissions for hydrogen production routes (electrolysis with grid intensity, or reforming with CCS) consistent with standard conversion factors (Azam et al., 2021).</w:t>
      </w:r>
    </w:p>
    <w:p w14:paraId="53C62AE1" w14:textId="7AC159A3" w:rsidR="00266A7F" w:rsidRPr="00266A7F"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Run core sensitivities across gas price, carbon price, SMR cost &amp; lead time, regulatory durations (fast</w:t>
      </w:r>
      <w:r w:rsidRPr="00266A7F">
        <w:rPr>
          <w:rFonts w:asciiTheme="minorHAnsi" w:hAnsiTheme="minorHAnsi" w:cs="Calibri"/>
          <w:color w:val="000000"/>
          <w:sz w:val="20"/>
          <w:szCs w:val="20"/>
        </w:rPr>
        <w:noBreakHyphen/>
        <w:t>track vs baseline vs delayed), and demand growth. Include stress cases such as cold snap (peak demand +10–15% with low wind), correlated outages (multiple nuclear or wind outages), and supply</w:t>
      </w:r>
      <w:r w:rsidRPr="00266A7F">
        <w:rPr>
          <w:rFonts w:asciiTheme="minorHAnsi" w:hAnsiTheme="minorHAnsi" w:cs="Calibri"/>
          <w:color w:val="000000"/>
          <w:sz w:val="20"/>
          <w:szCs w:val="20"/>
        </w:rPr>
        <w:noBreakHyphen/>
        <w:t>chain delays (SMR module delivery delayed 6–12 months). These stress tests evaluate system robustness, LOLE outcomes and the necessity of contingency measures (additional storage, DSR, or temporary OCGT with low</w:t>
      </w:r>
      <w:r w:rsidRPr="00266A7F">
        <w:rPr>
          <w:rFonts w:asciiTheme="minorHAnsi" w:hAnsiTheme="minorHAnsi" w:cs="Calibri"/>
          <w:color w:val="000000"/>
          <w:sz w:val="20"/>
          <w:szCs w:val="20"/>
        </w:rPr>
        <w:noBreakHyphen/>
        <w:t>carbon offsets).</w:t>
      </w:r>
    </w:p>
    <w:p w14:paraId="0EEC7185" w14:textId="77777777" w:rsidR="00606993"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Use the following central illustrative inputs as starting points (replace with the most recent verified UK data before final runs): </w:t>
      </w:r>
    </w:p>
    <w:p w14:paraId="6F43D366" w14:textId="77777777" w:rsidR="008C2352" w:rsidRDefault="00266A7F" w:rsidP="00606993">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 xml:space="preserve">UK annual demand </w:t>
      </w:r>
      <w:r w:rsidR="00606993">
        <w:rPr>
          <w:rFonts w:asciiTheme="minorHAnsi" w:hAnsiTheme="minorHAnsi" w:cs="Calibri"/>
          <w:color w:val="000000"/>
          <w:sz w:val="20"/>
          <w:szCs w:val="20"/>
        </w:rPr>
        <w:t xml:space="preserve">- </w:t>
      </w:r>
      <w:r w:rsidRPr="00266A7F">
        <w:rPr>
          <w:rFonts w:asciiTheme="minorHAnsi" w:hAnsiTheme="minorHAnsi" w:cs="Calibri"/>
          <w:color w:val="000000"/>
          <w:sz w:val="20"/>
          <w:szCs w:val="20"/>
        </w:rPr>
        <w:t xml:space="preserve">320 TWh baseline; </w:t>
      </w:r>
    </w:p>
    <w:p w14:paraId="58B00245" w14:textId="07CCBFE2" w:rsidR="008C2352" w:rsidRDefault="00606993" w:rsidP="00606993">
      <w:pPr>
        <w:pStyle w:val="NormalWeb"/>
        <w:numPr>
          <w:ilvl w:val="0"/>
          <w:numId w:val="9"/>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I</w:t>
      </w:r>
      <w:r w:rsidR="00266A7F" w:rsidRPr="00266A7F">
        <w:rPr>
          <w:rFonts w:asciiTheme="minorHAnsi" w:hAnsiTheme="minorHAnsi" w:cs="Calibri"/>
          <w:color w:val="000000"/>
          <w:sz w:val="20"/>
          <w:szCs w:val="20"/>
        </w:rPr>
        <w:t>ncremental nuclear target by end</w:t>
      </w:r>
      <w:r w:rsidR="00266A7F" w:rsidRPr="00266A7F">
        <w:rPr>
          <w:rFonts w:asciiTheme="minorHAnsi" w:hAnsiTheme="minorHAnsi" w:cs="Calibri"/>
          <w:color w:val="000000"/>
          <w:sz w:val="20"/>
          <w:szCs w:val="20"/>
        </w:rPr>
        <w:noBreakHyphen/>
        <w:t>2026 central example = 1,000 MW SMR online + life</w:t>
      </w:r>
      <w:r w:rsidR="00266A7F" w:rsidRPr="00266A7F">
        <w:rPr>
          <w:rFonts w:asciiTheme="minorHAnsi" w:hAnsiTheme="minorHAnsi" w:cs="Calibri"/>
          <w:color w:val="000000"/>
          <w:sz w:val="20"/>
          <w:szCs w:val="20"/>
        </w:rPr>
        <w:noBreakHyphen/>
        <w:t xml:space="preserve">extension equivalent 1,200 MW incremental output (aggregate incremental nuclear generation </w:t>
      </w:r>
      <w:r w:rsidR="008C2352">
        <w:rPr>
          <w:rFonts w:asciiTheme="minorHAnsi" w:hAnsiTheme="minorHAnsi" w:cs="Calibri"/>
          <w:color w:val="000000"/>
          <w:sz w:val="20"/>
          <w:szCs w:val="20"/>
        </w:rPr>
        <w:t xml:space="preserve">- </w:t>
      </w:r>
      <w:r w:rsidR="00266A7F" w:rsidRPr="00266A7F">
        <w:rPr>
          <w:rFonts w:asciiTheme="minorHAnsi" w:hAnsiTheme="minorHAnsi" w:cs="Calibri"/>
          <w:color w:val="000000"/>
          <w:sz w:val="20"/>
          <w:szCs w:val="20"/>
        </w:rPr>
        <w:t>16–20</w:t>
      </w:r>
      <w:r w:rsidR="00E50719">
        <w:rPr>
          <w:rFonts w:asciiTheme="minorHAnsi" w:hAnsiTheme="minorHAnsi" w:cs="Calibri"/>
          <w:color w:val="000000"/>
          <w:sz w:val="20"/>
          <w:szCs w:val="20"/>
        </w:rPr>
        <w:t xml:space="preserve"> </w:t>
      </w:r>
      <w:r w:rsidR="00266A7F" w:rsidRPr="00266A7F">
        <w:rPr>
          <w:rFonts w:asciiTheme="minorHAnsi" w:hAnsiTheme="minorHAnsi" w:cs="Calibri"/>
          <w:color w:val="000000"/>
          <w:sz w:val="20"/>
          <w:szCs w:val="20"/>
        </w:rPr>
        <w:t>TWh/yr at 90% CF)</w:t>
      </w:r>
    </w:p>
    <w:p w14:paraId="76A109F3" w14:textId="77777777" w:rsidR="00433825" w:rsidRDefault="00266A7F" w:rsidP="00606993">
      <w:pPr>
        <w:pStyle w:val="NormalWeb"/>
        <w:numPr>
          <w:ilvl w:val="0"/>
          <w:numId w:val="9"/>
        </w:numPr>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SMR central overnight cost £4,000/kW; life</w:t>
      </w:r>
      <w:r w:rsidRPr="00266A7F">
        <w:rPr>
          <w:rFonts w:asciiTheme="minorHAnsi" w:hAnsiTheme="minorHAnsi" w:cs="Calibri"/>
          <w:color w:val="000000"/>
          <w:sz w:val="20"/>
          <w:szCs w:val="20"/>
        </w:rPr>
        <w:noBreakHyphen/>
        <w:t>extension central cost £300/kW</w:t>
      </w:r>
      <w:r w:rsidR="00433825">
        <w:rPr>
          <w:rFonts w:asciiTheme="minorHAnsi" w:hAnsiTheme="minorHAnsi" w:cs="Calibri"/>
          <w:color w:val="000000"/>
          <w:sz w:val="20"/>
          <w:szCs w:val="20"/>
        </w:rPr>
        <w:t xml:space="preserve"> </w:t>
      </w:r>
    </w:p>
    <w:p w14:paraId="3526DDE7" w14:textId="77777777" w:rsidR="00433825" w:rsidRDefault="00433825" w:rsidP="00606993">
      <w:pPr>
        <w:pStyle w:val="NormalWeb"/>
        <w:numPr>
          <w:ilvl w:val="0"/>
          <w:numId w:val="9"/>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B</w:t>
      </w:r>
      <w:r w:rsidR="00266A7F" w:rsidRPr="00266A7F">
        <w:rPr>
          <w:rFonts w:asciiTheme="minorHAnsi" w:hAnsiTheme="minorHAnsi" w:cs="Calibri"/>
          <w:color w:val="000000"/>
          <w:sz w:val="20"/>
          <w:szCs w:val="20"/>
        </w:rPr>
        <w:t>attery additions by 2026 central 2–4 GW / 4–8 GWh (2</w:t>
      </w:r>
      <w:r w:rsidR="00266A7F" w:rsidRPr="00266A7F">
        <w:rPr>
          <w:rFonts w:asciiTheme="minorHAnsi" w:hAnsiTheme="minorHAnsi" w:cs="Calibri"/>
          <w:color w:val="000000"/>
          <w:sz w:val="20"/>
          <w:szCs w:val="20"/>
        </w:rPr>
        <w:noBreakHyphen/>
        <w:t>hr systems)</w:t>
      </w:r>
      <w:r>
        <w:rPr>
          <w:rFonts w:asciiTheme="minorHAnsi" w:hAnsiTheme="minorHAnsi" w:cs="Calibri"/>
          <w:color w:val="000000"/>
          <w:sz w:val="20"/>
          <w:szCs w:val="20"/>
        </w:rPr>
        <w:t xml:space="preserve"> </w:t>
      </w:r>
    </w:p>
    <w:p w14:paraId="79418B97" w14:textId="25CFEF95" w:rsidR="008C2352" w:rsidRDefault="00433825" w:rsidP="00606993">
      <w:pPr>
        <w:pStyle w:val="NormalWeb"/>
        <w:numPr>
          <w:ilvl w:val="0"/>
          <w:numId w:val="9"/>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C</w:t>
      </w:r>
      <w:r w:rsidR="00266A7F" w:rsidRPr="00266A7F">
        <w:rPr>
          <w:rFonts w:asciiTheme="minorHAnsi" w:hAnsiTheme="minorHAnsi" w:cs="Calibri"/>
          <w:color w:val="000000"/>
          <w:sz w:val="20"/>
          <w:szCs w:val="20"/>
        </w:rPr>
        <w:t xml:space="preserve">arbon price £60/tCO2; gas price central £40/MWh </w:t>
      </w:r>
    </w:p>
    <w:p w14:paraId="7467D659" w14:textId="7354049A" w:rsidR="00266A7F" w:rsidRPr="008C2352" w:rsidRDefault="00266A7F" w:rsidP="008C2352">
      <w:pPr>
        <w:pStyle w:val="NormalWeb"/>
        <w:spacing w:line="360" w:lineRule="atLeast"/>
        <w:ind w:left="360"/>
        <w:rPr>
          <w:rFonts w:asciiTheme="minorHAnsi" w:hAnsiTheme="minorHAnsi" w:cs="Calibri"/>
          <w:i/>
          <w:iCs/>
          <w:color w:val="000000"/>
          <w:sz w:val="20"/>
          <w:szCs w:val="20"/>
        </w:rPr>
      </w:pPr>
      <w:r w:rsidRPr="008C2352">
        <w:rPr>
          <w:rFonts w:asciiTheme="minorHAnsi" w:hAnsiTheme="minorHAnsi" w:cs="Calibri"/>
          <w:i/>
          <w:iCs/>
          <w:color w:val="000000"/>
          <w:sz w:val="20"/>
          <w:szCs w:val="20"/>
        </w:rPr>
        <w:t>(Azam et al., 2021; Kartal, 2022).</w:t>
      </w:r>
    </w:p>
    <w:p w14:paraId="705E8502" w14:textId="375C4227" w:rsidR="009C5593" w:rsidRDefault="00266A7F" w:rsidP="00266A7F">
      <w:pPr>
        <w:pStyle w:val="NormalWeb"/>
        <w:spacing w:line="360" w:lineRule="atLeast"/>
        <w:rPr>
          <w:rFonts w:asciiTheme="minorHAnsi" w:hAnsiTheme="minorHAnsi" w:cs="Calibri"/>
          <w:color w:val="000000"/>
          <w:sz w:val="20"/>
          <w:szCs w:val="20"/>
        </w:rPr>
      </w:pPr>
      <w:r w:rsidRPr="00266A7F">
        <w:rPr>
          <w:rFonts w:asciiTheme="minorHAnsi" w:hAnsiTheme="minorHAnsi" w:cs="Calibri"/>
          <w:color w:val="000000"/>
          <w:sz w:val="20"/>
          <w:szCs w:val="20"/>
        </w:rPr>
        <w:t>Calibrate forced outage rates, availabilities and renewable profiles to recent UK performance reports (National Grid ESO, BEIS). Update fuel and carbon price forecasts to market data at time of runs. SMR cost and delivery assumptions retain high uncertainty</w:t>
      </w:r>
      <w:r w:rsidR="006C14C6">
        <w:rPr>
          <w:rFonts w:asciiTheme="minorHAnsi" w:hAnsiTheme="minorHAnsi" w:cs="Calibri"/>
          <w:color w:val="000000"/>
          <w:sz w:val="20"/>
          <w:szCs w:val="20"/>
        </w:rPr>
        <w:t xml:space="preserve">; </w:t>
      </w:r>
      <w:r w:rsidRPr="00266A7F">
        <w:rPr>
          <w:rFonts w:asciiTheme="minorHAnsi" w:hAnsiTheme="minorHAnsi" w:cs="Calibri"/>
          <w:color w:val="000000"/>
          <w:sz w:val="20"/>
          <w:szCs w:val="20"/>
        </w:rPr>
        <w:t>treat central SMR values as FOF (first</w:t>
      </w:r>
      <w:r w:rsidRPr="00266A7F">
        <w:rPr>
          <w:rFonts w:asciiTheme="minorHAnsi" w:hAnsiTheme="minorHAnsi" w:cs="Calibri"/>
          <w:color w:val="000000"/>
          <w:sz w:val="20"/>
          <w:szCs w:val="20"/>
        </w:rPr>
        <w:noBreakHyphen/>
        <w:t>of</w:t>
      </w:r>
      <w:r w:rsidRPr="00266A7F">
        <w:rPr>
          <w:rFonts w:asciiTheme="minorHAnsi" w:hAnsiTheme="minorHAnsi" w:cs="Calibri"/>
          <w:color w:val="000000"/>
          <w:sz w:val="20"/>
          <w:szCs w:val="20"/>
        </w:rPr>
        <w:noBreakHyphen/>
        <w:t>a</w:t>
      </w:r>
      <w:r w:rsidRPr="00266A7F">
        <w:rPr>
          <w:rFonts w:asciiTheme="minorHAnsi" w:hAnsiTheme="minorHAnsi" w:cs="Calibri"/>
          <w:color w:val="000000"/>
          <w:sz w:val="20"/>
          <w:szCs w:val="20"/>
        </w:rPr>
        <w:noBreakHyphen/>
        <w:t>kind) with sensitivity to mature factory costs. Document all assumptions and provide parameter files for reproducibility. Where vendor</w:t>
      </w:r>
      <w:r w:rsidRPr="00266A7F">
        <w:rPr>
          <w:rFonts w:asciiTheme="minorHAnsi" w:hAnsiTheme="minorHAnsi" w:cs="Calibri"/>
          <w:color w:val="000000"/>
          <w:sz w:val="20"/>
          <w:szCs w:val="20"/>
        </w:rPr>
        <w:noBreakHyphen/>
        <w:t>specific data exist (firm SMR orders or GDA progress), replace generic parameters with actual schedules and costs to refine timelines and feasibility.</w:t>
      </w:r>
    </w:p>
    <w:p w14:paraId="0E6018E4" w14:textId="37084343" w:rsidR="00945DE7" w:rsidRPr="00457894" w:rsidRDefault="00945DE7" w:rsidP="00945DE7">
      <w:pPr>
        <w:pStyle w:val="Heading2"/>
        <w:rPr>
          <w:rFonts w:eastAsia="Times New Roman"/>
          <w:kern w:val="0"/>
          <w:lang w:eastAsia="en-GB"/>
          <w14:ligatures w14:val="none"/>
        </w:rPr>
      </w:pPr>
      <w:bookmarkStart w:id="9" w:name="_Toc227607614"/>
      <w:r>
        <w:lastRenderedPageBreak/>
        <w:t>Nuclear Energy, is it worth it?</w:t>
      </w:r>
      <w:bookmarkEnd w:id="9"/>
    </w:p>
    <w:p w14:paraId="4AD302C1" w14:textId="77777777" w:rsidR="004266C9" w:rsidRDefault="00D260CD" w:rsidP="00457894">
      <w:pPr>
        <w:pStyle w:val="NormalWeb"/>
        <w:spacing w:line="360" w:lineRule="atLeast"/>
        <w:rPr>
          <w:rFonts w:asciiTheme="minorHAnsi" w:hAnsiTheme="minorHAnsi" w:cs="Calibri"/>
          <w:color w:val="000000"/>
          <w:sz w:val="20"/>
          <w:szCs w:val="20"/>
        </w:rPr>
      </w:pPr>
      <w:r>
        <w:rPr>
          <w:rFonts w:asciiTheme="minorHAnsi" w:hAnsiTheme="minorHAnsi" w:cs="Calibri"/>
          <w:color w:val="000000"/>
          <w:sz w:val="20"/>
          <w:szCs w:val="20"/>
        </w:rPr>
        <w:t>I</w:t>
      </w:r>
      <w:r w:rsidR="00457894" w:rsidRPr="00457894">
        <w:rPr>
          <w:rFonts w:asciiTheme="minorHAnsi" w:hAnsiTheme="minorHAnsi" w:cs="Calibri"/>
          <w:color w:val="000000"/>
          <w:sz w:val="20"/>
          <w:szCs w:val="20"/>
        </w:rPr>
        <w:t xml:space="preserve">n the context </w:t>
      </w:r>
      <w:r w:rsidR="007C6F89">
        <w:rPr>
          <w:rFonts w:asciiTheme="minorHAnsi" w:hAnsiTheme="minorHAnsi" w:cs="Calibri"/>
          <w:color w:val="000000"/>
          <w:sz w:val="20"/>
          <w:szCs w:val="20"/>
        </w:rPr>
        <w:t>of the UK in 2026</w:t>
      </w:r>
      <w:r w:rsidR="00457894" w:rsidRPr="00457894">
        <w:rPr>
          <w:rFonts w:asciiTheme="minorHAnsi" w:hAnsiTheme="minorHAnsi" w:cs="Calibri"/>
          <w:color w:val="000000"/>
          <w:sz w:val="20"/>
          <w:szCs w:val="20"/>
        </w:rPr>
        <w:t xml:space="preserve">, how would a strategic expansion of nuclear capacity (large reactors, small modular reactors and hybrid nuclear–renewable configurations) perform environmentally and economically versus alternative decarbonisation pathways focused on high renewables plus storage or on fossil fuels with CCS? </w:t>
      </w:r>
    </w:p>
    <w:p w14:paraId="27473070" w14:textId="77777777" w:rsidR="004266C9"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The programme’s specific objectives are to</w:t>
      </w:r>
      <w:r w:rsidR="004266C9">
        <w:rPr>
          <w:rFonts w:asciiTheme="minorHAnsi" w:hAnsiTheme="minorHAnsi" w:cs="Calibri"/>
          <w:color w:val="000000"/>
          <w:sz w:val="20"/>
          <w:szCs w:val="20"/>
        </w:rPr>
        <w:t>:</w:t>
      </w:r>
    </w:p>
    <w:p w14:paraId="505AC4F8" w14:textId="3531302B" w:rsidR="004266C9" w:rsidRDefault="004266C9"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Q</w:t>
      </w:r>
      <w:r w:rsidR="00457894" w:rsidRPr="00457894">
        <w:rPr>
          <w:rFonts w:asciiTheme="minorHAnsi" w:hAnsiTheme="minorHAnsi" w:cs="Calibri"/>
          <w:color w:val="000000"/>
          <w:sz w:val="20"/>
          <w:szCs w:val="20"/>
        </w:rPr>
        <w:t>uantify lifecycle greenhouse</w:t>
      </w:r>
      <w:r w:rsidR="00457894" w:rsidRPr="00457894">
        <w:rPr>
          <w:rFonts w:asciiTheme="minorHAnsi" w:hAnsiTheme="minorHAnsi" w:cs="Calibri"/>
          <w:color w:val="000000"/>
          <w:sz w:val="20"/>
          <w:szCs w:val="20"/>
        </w:rPr>
        <w:noBreakHyphen/>
        <w:t>gas (GHG) emissions, land and material footprints, air</w:t>
      </w:r>
      <w:r w:rsidR="00457894" w:rsidRPr="00457894">
        <w:rPr>
          <w:rFonts w:asciiTheme="minorHAnsi" w:hAnsiTheme="minorHAnsi" w:cs="Calibri"/>
          <w:color w:val="000000"/>
          <w:sz w:val="20"/>
          <w:szCs w:val="20"/>
        </w:rPr>
        <w:noBreakHyphen/>
        <w:t>pollutant impacts and biodiversity effects for candidate nuclear and renewables portfolios using UK</w:t>
      </w:r>
      <w:r w:rsidR="00457894" w:rsidRPr="00457894">
        <w:rPr>
          <w:rFonts w:asciiTheme="minorHAnsi" w:hAnsiTheme="minorHAnsi" w:cs="Calibri"/>
          <w:color w:val="000000"/>
          <w:sz w:val="20"/>
          <w:szCs w:val="20"/>
        </w:rPr>
        <w:noBreakHyphen/>
        <w:t xml:space="preserve">specific supply chains and deployment </w:t>
      </w:r>
      <w:r w:rsidR="0024747D" w:rsidRPr="00457894">
        <w:rPr>
          <w:rFonts w:asciiTheme="minorHAnsi" w:hAnsiTheme="minorHAnsi" w:cs="Calibri"/>
          <w:color w:val="000000"/>
          <w:sz w:val="20"/>
          <w:szCs w:val="20"/>
        </w:rPr>
        <w:t>schedules.</w:t>
      </w:r>
    </w:p>
    <w:p w14:paraId="15AB63DE" w14:textId="44041832" w:rsidR="007D4D4B" w:rsidRDefault="004266C9"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E</w:t>
      </w:r>
      <w:r w:rsidR="00457894" w:rsidRPr="00457894">
        <w:rPr>
          <w:rFonts w:asciiTheme="minorHAnsi" w:hAnsiTheme="minorHAnsi" w:cs="Calibri"/>
          <w:color w:val="000000"/>
          <w:sz w:val="20"/>
          <w:szCs w:val="20"/>
        </w:rPr>
        <w:t>stimate system</w:t>
      </w:r>
      <w:r w:rsidR="00457894" w:rsidRPr="00457894">
        <w:rPr>
          <w:rFonts w:asciiTheme="minorHAnsi" w:hAnsiTheme="minorHAnsi" w:cs="Calibri"/>
          <w:color w:val="000000"/>
          <w:sz w:val="20"/>
          <w:szCs w:val="20"/>
        </w:rPr>
        <w:noBreakHyphen/>
        <w:t>level costs (</w:t>
      </w:r>
      <w:proofErr w:type="spellStart"/>
      <w:r w:rsidR="00457894" w:rsidRPr="00457894">
        <w:rPr>
          <w:rFonts w:asciiTheme="minorHAnsi" w:hAnsiTheme="minorHAnsi" w:cs="Calibri"/>
          <w:color w:val="000000"/>
          <w:sz w:val="20"/>
          <w:szCs w:val="20"/>
        </w:rPr>
        <w:t>levelised</w:t>
      </w:r>
      <w:proofErr w:type="spellEnd"/>
      <w:r w:rsidR="00457894" w:rsidRPr="00457894">
        <w:rPr>
          <w:rFonts w:asciiTheme="minorHAnsi" w:hAnsiTheme="minorHAnsi" w:cs="Calibri"/>
          <w:color w:val="000000"/>
          <w:sz w:val="20"/>
          <w:szCs w:val="20"/>
        </w:rPr>
        <w:t xml:space="preserve"> cost of electricity, system integration cost, firm capacity value and grid upgrade/balancing costs) and macroeconomic impacts (jobs, investment, fiscal flows) for each portfolio out to 2050 under defined </w:t>
      </w:r>
      <w:r w:rsidR="0024747D" w:rsidRPr="00457894">
        <w:rPr>
          <w:rFonts w:asciiTheme="minorHAnsi" w:hAnsiTheme="minorHAnsi" w:cs="Calibri"/>
          <w:color w:val="000000"/>
          <w:sz w:val="20"/>
          <w:szCs w:val="20"/>
        </w:rPr>
        <w:t>milestones.</w:t>
      </w:r>
    </w:p>
    <w:p w14:paraId="23BF4F70" w14:textId="4BD7F21E" w:rsidR="0039787D" w:rsidRDefault="007D4D4B"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M</w:t>
      </w:r>
      <w:r w:rsidR="00457894" w:rsidRPr="00457894">
        <w:rPr>
          <w:rFonts w:asciiTheme="minorHAnsi" w:hAnsiTheme="minorHAnsi" w:cs="Calibri"/>
          <w:color w:val="000000"/>
          <w:sz w:val="20"/>
          <w:szCs w:val="20"/>
        </w:rPr>
        <w:t>odel electricity system dynamics and security</w:t>
      </w:r>
      <w:r w:rsidR="00457894" w:rsidRPr="00457894">
        <w:rPr>
          <w:rFonts w:asciiTheme="minorHAnsi" w:hAnsiTheme="minorHAnsi" w:cs="Calibri"/>
          <w:color w:val="000000"/>
          <w:sz w:val="20"/>
          <w:szCs w:val="20"/>
        </w:rPr>
        <w:noBreakHyphen/>
        <w:t>of</w:t>
      </w:r>
      <w:r w:rsidR="00457894" w:rsidRPr="00457894">
        <w:rPr>
          <w:rFonts w:asciiTheme="minorHAnsi" w:hAnsiTheme="minorHAnsi" w:cs="Calibri"/>
          <w:color w:val="000000"/>
          <w:sz w:val="20"/>
          <w:szCs w:val="20"/>
        </w:rPr>
        <w:noBreakHyphen/>
        <w:t xml:space="preserve">supply outcomes with high temporal resolution and stochastic variability for weather and </w:t>
      </w:r>
      <w:r w:rsidR="0024747D" w:rsidRPr="00457894">
        <w:rPr>
          <w:rFonts w:asciiTheme="minorHAnsi" w:hAnsiTheme="minorHAnsi" w:cs="Calibri"/>
          <w:color w:val="000000"/>
          <w:sz w:val="20"/>
          <w:szCs w:val="20"/>
        </w:rPr>
        <w:t>demand.</w:t>
      </w:r>
    </w:p>
    <w:p w14:paraId="3F183B15" w14:textId="50128B6F" w:rsidR="00DD75BC" w:rsidRDefault="0039787D"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A</w:t>
      </w:r>
      <w:r w:rsidR="00457894" w:rsidRPr="00457894">
        <w:rPr>
          <w:rFonts w:asciiTheme="minorHAnsi" w:hAnsiTheme="minorHAnsi" w:cs="Calibri"/>
          <w:color w:val="000000"/>
          <w:sz w:val="20"/>
          <w:szCs w:val="20"/>
        </w:rPr>
        <w:t>ssess hybrid nuclear–renewable designs (thermal coupling, nuclear</w:t>
      </w:r>
      <w:r w:rsidR="00457894" w:rsidRPr="00457894">
        <w:rPr>
          <w:rFonts w:asciiTheme="minorHAnsi" w:hAnsiTheme="minorHAnsi" w:cs="Calibri"/>
          <w:color w:val="000000"/>
          <w:sz w:val="20"/>
          <w:szCs w:val="20"/>
        </w:rPr>
        <w:noBreakHyphen/>
        <w:t>driven electrolysis, SMR co</w:t>
      </w:r>
      <w:r w:rsidR="00457894" w:rsidRPr="00457894">
        <w:rPr>
          <w:rFonts w:asciiTheme="minorHAnsi" w:hAnsiTheme="minorHAnsi" w:cs="Calibri"/>
          <w:color w:val="000000"/>
          <w:sz w:val="20"/>
          <w:szCs w:val="20"/>
        </w:rPr>
        <w:noBreakHyphen/>
        <w:t xml:space="preserve">located with renewables, shared thermal storage) for emissions reduction, value stacking (heat, hydrogen, process steam) and project </w:t>
      </w:r>
      <w:r w:rsidR="0024747D" w:rsidRPr="00457894">
        <w:rPr>
          <w:rFonts w:asciiTheme="minorHAnsi" w:hAnsiTheme="minorHAnsi" w:cs="Calibri"/>
          <w:color w:val="000000"/>
          <w:sz w:val="20"/>
          <w:szCs w:val="20"/>
        </w:rPr>
        <w:t>economics.</w:t>
      </w:r>
    </w:p>
    <w:p w14:paraId="4E7A62B6" w14:textId="270B81D1" w:rsidR="00A06546" w:rsidRDefault="00DD75BC"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I</w:t>
      </w:r>
      <w:r w:rsidR="00457894" w:rsidRPr="00457894">
        <w:rPr>
          <w:rFonts w:asciiTheme="minorHAnsi" w:hAnsiTheme="minorHAnsi" w:cs="Calibri"/>
          <w:color w:val="000000"/>
          <w:sz w:val="20"/>
          <w:szCs w:val="20"/>
        </w:rPr>
        <w:t>dentify regulatory, supply</w:t>
      </w:r>
      <w:r w:rsidR="00457894" w:rsidRPr="00457894">
        <w:rPr>
          <w:rFonts w:asciiTheme="minorHAnsi" w:hAnsiTheme="minorHAnsi" w:cs="Calibri"/>
          <w:color w:val="000000"/>
          <w:sz w:val="20"/>
          <w:szCs w:val="20"/>
        </w:rPr>
        <w:noBreakHyphen/>
        <w:t xml:space="preserve">chain, financing and social acceptance barriers and formulate policy and procurement pathways that deliver net environmental and economic </w:t>
      </w:r>
      <w:r w:rsidR="0024747D" w:rsidRPr="00457894">
        <w:rPr>
          <w:rFonts w:asciiTheme="minorHAnsi" w:hAnsiTheme="minorHAnsi" w:cs="Calibri"/>
          <w:color w:val="000000"/>
          <w:sz w:val="20"/>
          <w:szCs w:val="20"/>
        </w:rPr>
        <w:t>benefit.</w:t>
      </w:r>
    </w:p>
    <w:p w14:paraId="46FA17A2" w14:textId="4829D0F6" w:rsidR="00457894" w:rsidRPr="00457894" w:rsidRDefault="00A06546" w:rsidP="004266C9">
      <w:pPr>
        <w:pStyle w:val="NormalWeb"/>
        <w:numPr>
          <w:ilvl w:val="0"/>
          <w:numId w:val="16"/>
        </w:numPr>
        <w:spacing w:line="360" w:lineRule="atLeast"/>
        <w:rPr>
          <w:rFonts w:asciiTheme="minorHAnsi" w:hAnsiTheme="minorHAnsi" w:cs="Calibri"/>
          <w:color w:val="000000"/>
          <w:sz w:val="20"/>
          <w:szCs w:val="20"/>
        </w:rPr>
      </w:pPr>
      <w:r>
        <w:rPr>
          <w:rFonts w:asciiTheme="minorHAnsi" w:hAnsiTheme="minorHAnsi" w:cs="Calibri"/>
          <w:color w:val="000000"/>
          <w:sz w:val="20"/>
          <w:szCs w:val="20"/>
        </w:rPr>
        <w:t>P</w:t>
      </w:r>
      <w:r w:rsidR="00457894" w:rsidRPr="00457894">
        <w:rPr>
          <w:rFonts w:asciiTheme="minorHAnsi" w:hAnsiTheme="minorHAnsi" w:cs="Calibri"/>
          <w:color w:val="000000"/>
          <w:sz w:val="20"/>
          <w:szCs w:val="20"/>
        </w:rPr>
        <w:t>roduce peer</w:t>
      </w:r>
      <w:r w:rsidR="00457894" w:rsidRPr="00457894">
        <w:rPr>
          <w:rFonts w:asciiTheme="minorHAnsi" w:hAnsiTheme="minorHAnsi" w:cs="Calibri"/>
          <w:color w:val="000000"/>
          <w:sz w:val="20"/>
          <w:szCs w:val="20"/>
        </w:rPr>
        <w:noBreakHyphen/>
        <w:t>reviewed lifecycle inventories, open model code and targeted policy briefs for UK decision makers.</w:t>
      </w:r>
    </w:p>
    <w:p w14:paraId="03698E94" w14:textId="39885542" w:rsidR="0045789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 xml:space="preserve">Fossil fuel electricity production (especially coal and oil) is empirically linked to </w:t>
      </w:r>
      <w:r w:rsidR="0024747D" w:rsidRPr="00457894">
        <w:rPr>
          <w:rFonts w:asciiTheme="minorHAnsi" w:hAnsiTheme="minorHAnsi" w:cs="Calibri"/>
          <w:color w:val="000000"/>
          <w:sz w:val="20"/>
          <w:szCs w:val="20"/>
        </w:rPr>
        <w:t>worse</w:t>
      </w:r>
      <w:r w:rsidRPr="00457894">
        <w:rPr>
          <w:rFonts w:asciiTheme="minorHAnsi" w:hAnsiTheme="minorHAnsi" w:cs="Calibri"/>
          <w:color w:val="000000"/>
          <w:sz w:val="20"/>
          <w:szCs w:val="20"/>
        </w:rPr>
        <w:t xml:space="preserve"> environmental performance, while institutional quality and forest cover improve outcomes, highlighting the need for low</w:t>
      </w:r>
      <w:r w:rsidRPr="00457894">
        <w:rPr>
          <w:rFonts w:asciiTheme="minorHAnsi" w:hAnsiTheme="minorHAnsi" w:cs="Calibri"/>
          <w:color w:val="000000"/>
          <w:sz w:val="20"/>
          <w:szCs w:val="20"/>
        </w:rPr>
        <w:noBreakHyphen/>
        <w:t>carbon firm supply in countries transitioning to net zero (Gani, 2021). Panel studies further suggest nuclear energy can reduce CO2 emissions in multi</w:t>
      </w:r>
      <w:r w:rsidRPr="00457894">
        <w:rPr>
          <w:rFonts w:asciiTheme="minorHAnsi" w:hAnsiTheme="minorHAnsi" w:cs="Calibri"/>
          <w:color w:val="000000"/>
          <w:sz w:val="20"/>
          <w:szCs w:val="20"/>
        </w:rPr>
        <w:noBreakHyphen/>
        <w:t>country samples (Hassan et al., 2020), although effect sizes and country</w:t>
      </w:r>
      <w:r w:rsidRPr="00457894">
        <w:rPr>
          <w:rFonts w:asciiTheme="minorHAnsi" w:hAnsiTheme="minorHAnsi" w:cs="Calibri"/>
          <w:color w:val="000000"/>
          <w:sz w:val="20"/>
          <w:szCs w:val="20"/>
        </w:rPr>
        <w:noBreakHyphen/>
        <w:t xml:space="preserve">specific results vary. </w:t>
      </w:r>
      <w:r w:rsidR="00DE3640">
        <w:rPr>
          <w:rFonts w:asciiTheme="minorHAnsi" w:hAnsiTheme="minorHAnsi" w:cs="Calibri"/>
          <w:color w:val="000000"/>
          <w:sz w:val="20"/>
          <w:szCs w:val="20"/>
        </w:rPr>
        <w:t>For the UK,</w:t>
      </w:r>
      <w:r w:rsidRPr="00457894">
        <w:rPr>
          <w:rFonts w:asciiTheme="minorHAnsi" w:hAnsiTheme="minorHAnsi" w:cs="Calibri"/>
          <w:color w:val="000000"/>
          <w:sz w:val="20"/>
          <w:szCs w:val="20"/>
        </w:rPr>
        <w:t xml:space="preserve"> where decisions about new nuclear procurement, hydrogen strategy and grid planning are active</w:t>
      </w:r>
      <w:r w:rsidR="00DE3640">
        <w:rPr>
          <w:rFonts w:asciiTheme="minorHAnsi" w:hAnsiTheme="minorHAnsi" w:cs="Calibri"/>
          <w:color w:val="000000"/>
          <w:sz w:val="20"/>
          <w:szCs w:val="20"/>
        </w:rPr>
        <w:t xml:space="preserve">; </w:t>
      </w:r>
      <w:r w:rsidRPr="00457894">
        <w:rPr>
          <w:rFonts w:asciiTheme="minorHAnsi" w:hAnsiTheme="minorHAnsi" w:cs="Calibri"/>
          <w:color w:val="000000"/>
          <w:sz w:val="20"/>
          <w:szCs w:val="20"/>
        </w:rPr>
        <w:t>a UK</w:t>
      </w:r>
      <w:r w:rsidRPr="00457894">
        <w:rPr>
          <w:rFonts w:asciiTheme="minorHAnsi" w:hAnsiTheme="minorHAnsi" w:cs="Calibri"/>
          <w:color w:val="000000"/>
          <w:sz w:val="20"/>
          <w:szCs w:val="20"/>
        </w:rPr>
        <w:noBreakHyphen/>
        <w:t>tailored, up</w:t>
      </w:r>
      <w:r w:rsidRPr="00457894">
        <w:rPr>
          <w:rFonts w:asciiTheme="minorHAnsi" w:hAnsiTheme="minorHAnsi" w:cs="Calibri"/>
          <w:color w:val="000000"/>
          <w:sz w:val="20"/>
          <w:szCs w:val="20"/>
        </w:rPr>
        <w:noBreakHyphen/>
        <w:t>to</w:t>
      </w:r>
      <w:r w:rsidRPr="00457894">
        <w:rPr>
          <w:rFonts w:asciiTheme="minorHAnsi" w:hAnsiTheme="minorHAnsi" w:cs="Calibri"/>
          <w:color w:val="000000"/>
          <w:sz w:val="20"/>
          <w:szCs w:val="20"/>
        </w:rPr>
        <w:noBreakHyphen/>
        <w:t>date analysis that combines lifecycle assessment, high</w:t>
      </w:r>
      <w:r w:rsidRPr="00457894">
        <w:rPr>
          <w:rFonts w:asciiTheme="minorHAnsi" w:hAnsiTheme="minorHAnsi" w:cs="Calibri"/>
          <w:color w:val="000000"/>
          <w:sz w:val="20"/>
          <w:szCs w:val="20"/>
        </w:rPr>
        <w:noBreakHyphen/>
        <w:t>resolution system modelling and socio</w:t>
      </w:r>
      <w:r w:rsidRPr="00457894">
        <w:rPr>
          <w:rFonts w:asciiTheme="minorHAnsi" w:hAnsiTheme="minorHAnsi" w:cs="Calibri"/>
          <w:color w:val="000000"/>
          <w:sz w:val="20"/>
          <w:szCs w:val="20"/>
        </w:rPr>
        <w:noBreakHyphen/>
        <w:t>economic appraisal will supply evidence directly relevant to policy and investment choices.</w:t>
      </w:r>
    </w:p>
    <w:p w14:paraId="411E159C" w14:textId="4F7554F8" w:rsidR="00E70C28" w:rsidRDefault="00E70C28" w:rsidP="00457894">
      <w:pPr>
        <w:pStyle w:val="NormalWeb"/>
        <w:spacing w:line="360" w:lineRule="atLeast"/>
        <w:rPr>
          <w:rFonts w:asciiTheme="minorHAnsi" w:hAnsiTheme="minorHAnsi" w:cs="Calibri"/>
          <w:color w:val="000000"/>
          <w:sz w:val="20"/>
          <w:szCs w:val="20"/>
        </w:rPr>
      </w:pPr>
      <w:r w:rsidRPr="00E70C28">
        <w:rPr>
          <w:rFonts w:asciiTheme="minorHAnsi" w:hAnsiTheme="minorHAnsi" w:cs="Calibri"/>
          <w:color w:val="000000"/>
          <w:sz w:val="20"/>
          <w:szCs w:val="20"/>
        </w:rPr>
        <w:lastRenderedPageBreak/>
        <w:drawing>
          <wp:inline distT="0" distB="0" distL="0" distR="0" wp14:anchorId="6349865C" wp14:editId="6B50D43B">
            <wp:extent cx="5731510" cy="3100705"/>
            <wp:effectExtent l="0" t="0" r="2540" b="4445"/>
            <wp:docPr id="130782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2596" name=""/>
                    <pic:cNvPicPr/>
                  </pic:nvPicPr>
                  <pic:blipFill>
                    <a:blip r:embed="rId8"/>
                    <a:stretch>
                      <a:fillRect/>
                    </a:stretch>
                  </pic:blipFill>
                  <pic:spPr>
                    <a:xfrm>
                      <a:off x="0" y="0"/>
                      <a:ext cx="5731510" cy="3100705"/>
                    </a:xfrm>
                    <a:prstGeom prst="rect">
                      <a:avLst/>
                    </a:prstGeom>
                  </pic:spPr>
                </pic:pic>
              </a:graphicData>
            </a:graphic>
          </wp:inline>
        </w:drawing>
      </w:r>
    </w:p>
    <w:p w14:paraId="0353F32D" w14:textId="0B1BDE06" w:rsidR="00E70C28" w:rsidRDefault="00E70C28" w:rsidP="00E70C28">
      <w:pPr>
        <w:pStyle w:val="NormalWeb"/>
        <w:spacing w:line="360" w:lineRule="atLeast"/>
        <w:rPr>
          <w:rFonts w:asciiTheme="minorHAnsi" w:hAnsiTheme="minorHAnsi" w:cs="Calibri"/>
          <w:i/>
          <w:iCs/>
          <w:color w:val="000000"/>
          <w:sz w:val="20"/>
          <w:szCs w:val="20"/>
        </w:rPr>
      </w:pPr>
      <w:r>
        <w:rPr>
          <w:rFonts w:asciiTheme="minorHAnsi" w:hAnsiTheme="minorHAnsi" w:cs="Calibri"/>
          <w:i/>
          <w:iCs/>
          <w:color w:val="000000"/>
          <w:sz w:val="20"/>
          <w:szCs w:val="20"/>
        </w:rPr>
        <w:t>(</w:t>
      </w:r>
      <w:r w:rsidRPr="00E70C28">
        <w:rPr>
          <w:rFonts w:asciiTheme="minorHAnsi" w:hAnsiTheme="minorHAnsi" w:cs="Calibri"/>
          <w:i/>
          <w:iCs/>
          <w:color w:val="000000"/>
          <w:sz w:val="20"/>
          <w:szCs w:val="20"/>
        </w:rPr>
        <w:t>Exploring the nexuses between nuclear energy, renewable energy, and</w:t>
      </w:r>
      <w:r>
        <w:rPr>
          <w:rFonts w:asciiTheme="minorHAnsi" w:hAnsiTheme="minorHAnsi" w:cs="Calibri"/>
          <w:i/>
          <w:iCs/>
          <w:color w:val="000000"/>
          <w:sz w:val="20"/>
          <w:szCs w:val="20"/>
        </w:rPr>
        <w:t xml:space="preserve"> </w:t>
      </w:r>
      <w:r w:rsidRPr="00E70C28">
        <w:rPr>
          <w:rFonts w:asciiTheme="minorHAnsi" w:hAnsiTheme="minorHAnsi" w:cs="Calibri"/>
          <w:i/>
          <w:iCs/>
          <w:color w:val="000000"/>
          <w:sz w:val="20"/>
          <w:szCs w:val="20"/>
        </w:rPr>
        <w:t>carbon dioxide emissions: The role of economic complexity in the G7</w:t>
      </w:r>
      <w:r>
        <w:rPr>
          <w:rFonts w:asciiTheme="minorHAnsi" w:hAnsiTheme="minorHAnsi" w:cs="Calibri"/>
          <w:i/>
          <w:iCs/>
          <w:color w:val="000000"/>
          <w:sz w:val="20"/>
          <w:szCs w:val="20"/>
        </w:rPr>
        <w:t xml:space="preserve"> </w:t>
      </w:r>
      <w:r w:rsidRPr="00E70C28">
        <w:rPr>
          <w:rFonts w:asciiTheme="minorHAnsi" w:hAnsiTheme="minorHAnsi" w:cs="Calibri"/>
          <w:i/>
          <w:iCs/>
          <w:color w:val="000000"/>
          <w:sz w:val="20"/>
          <w:szCs w:val="20"/>
        </w:rPr>
        <w:t>countries</w:t>
      </w:r>
      <w:r>
        <w:rPr>
          <w:rFonts w:asciiTheme="minorHAnsi" w:hAnsiTheme="minorHAnsi" w:cs="Calibri"/>
          <w:i/>
          <w:iCs/>
          <w:color w:val="000000"/>
          <w:sz w:val="20"/>
          <w:szCs w:val="20"/>
        </w:rPr>
        <w:t>, p</w:t>
      </w:r>
      <w:r w:rsidR="00AB4560">
        <w:rPr>
          <w:rFonts w:asciiTheme="minorHAnsi" w:hAnsiTheme="minorHAnsi" w:cs="Calibri"/>
          <w:i/>
          <w:iCs/>
          <w:color w:val="000000"/>
          <w:sz w:val="20"/>
          <w:szCs w:val="20"/>
        </w:rPr>
        <w:t>a</w:t>
      </w:r>
      <w:r>
        <w:rPr>
          <w:rFonts w:asciiTheme="minorHAnsi" w:hAnsiTheme="minorHAnsi" w:cs="Calibri"/>
          <w:i/>
          <w:iCs/>
          <w:color w:val="000000"/>
          <w:sz w:val="20"/>
          <w:szCs w:val="20"/>
        </w:rPr>
        <w:t>g</w:t>
      </w:r>
      <w:r w:rsidR="00AB4560">
        <w:rPr>
          <w:rFonts w:asciiTheme="minorHAnsi" w:hAnsiTheme="minorHAnsi" w:cs="Calibri"/>
          <w:i/>
          <w:iCs/>
          <w:color w:val="000000"/>
          <w:sz w:val="20"/>
          <w:szCs w:val="20"/>
        </w:rPr>
        <w:t>e</w:t>
      </w:r>
      <w:r>
        <w:rPr>
          <w:rFonts w:asciiTheme="minorHAnsi" w:hAnsiTheme="minorHAnsi" w:cs="Calibri"/>
          <w:i/>
          <w:iCs/>
          <w:color w:val="000000"/>
          <w:sz w:val="20"/>
          <w:szCs w:val="20"/>
        </w:rPr>
        <w:t xml:space="preserve"> 665.)</w:t>
      </w:r>
    </w:p>
    <w:p w14:paraId="038F6663" w14:textId="7F6FE93E" w:rsidR="00457894" w:rsidRPr="00457894" w:rsidRDefault="00457894" w:rsidP="00E70C28">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The programme builds on three strands of literature. Supply</w:t>
      </w:r>
      <w:r w:rsidRPr="00457894">
        <w:rPr>
          <w:rFonts w:asciiTheme="minorHAnsi" w:hAnsiTheme="minorHAnsi" w:cs="Calibri"/>
          <w:color w:val="000000"/>
          <w:sz w:val="20"/>
          <w:szCs w:val="20"/>
        </w:rPr>
        <w:noBreakHyphen/>
        <w:t>side analyses using extended STIRPAT frameworks document that coal and oil electricity production significantly degrade environmental performance, and they identify institutional and natural</w:t>
      </w:r>
      <w:r w:rsidRPr="00457894">
        <w:rPr>
          <w:rFonts w:asciiTheme="minorHAnsi" w:hAnsiTheme="minorHAnsi" w:cs="Calibri"/>
          <w:color w:val="000000"/>
          <w:sz w:val="20"/>
          <w:szCs w:val="20"/>
        </w:rPr>
        <w:noBreakHyphen/>
        <w:t>capital levers for improvement (Gani, 2021). Reviews of hybrid nuclear–renewable systems synthesise technical coupling approaches (thermal, electrical and chemical interconnections), potential benefits (higher capacity factor, hydrogen/heat production) and barriers (regulation, finance, integration) (Suman, 2018). Empirical panel econometric work finds nuclear energy associated with lower CO2 emissions in BRICS and other country groups using robust cointegration estimators, though renewables sometimes show stronger short</w:t>
      </w:r>
      <w:r w:rsidRPr="00457894">
        <w:rPr>
          <w:rFonts w:asciiTheme="minorHAnsi" w:hAnsiTheme="minorHAnsi" w:cs="Calibri"/>
          <w:color w:val="000000"/>
          <w:sz w:val="20"/>
          <w:szCs w:val="20"/>
        </w:rPr>
        <w:noBreakHyphen/>
        <w:t>run effects (Hassan et al., 2020). Collectively these works support nuclear as a low</w:t>
      </w:r>
      <w:r w:rsidRPr="00457894">
        <w:rPr>
          <w:rFonts w:asciiTheme="minorHAnsi" w:hAnsiTheme="minorHAnsi" w:cs="Calibri"/>
          <w:color w:val="000000"/>
          <w:sz w:val="20"/>
          <w:szCs w:val="20"/>
        </w:rPr>
        <w:noBreakHyphen/>
        <w:t>carbon firm option and highlight the integration benefits and implementation challenges the UK must address.</w:t>
      </w:r>
    </w:p>
    <w:p w14:paraId="3EA3272C" w14:textId="77777777" w:rsidR="00D8215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The research design is organised into seven interlinked workstreams. WSP1 (Data &amp; LCA, months 1–12) will produce UK</w:t>
      </w:r>
      <w:r w:rsidRPr="00457894">
        <w:rPr>
          <w:rFonts w:asciiTheme="minorHAnsi" w:hAnsiTheme="minorHAnsi" w:cs="Calibri"/>
          <w:color w:val="000000"/>
          <w:sz w:val="20"/>
          <w:szCs w:val="20"/>
        </w:rPr>
        <w:noBreakHyphen/>
        <w:t>specific lifecycle inventories for candidate nuclear technologies (new large PWRs, modern PWR variants, SMRs and selected advanced concepts) and for renewables (onshore/offshore wind, PV, storage, electrolysis pathways). ISO</w:t>
      </w:r>
      <w:r w:rsidRPr="00457894">
        <w:rPr>
          <w:rFonts w:asciiTheme="minorHAnsi" w:hAnsiTheme="minorHAnsi" w:cs="Calibri"/>
          <w:color w:val="000000"/>
          <w:sz w:val="20"/>
          <w:szCs w:val="20"/>
        </w:rPr>
        <w:noBreakHyphen/>
        <w:t xml:space="preserve">compliant LCA methods, </w:t>
      </w:r>
      <w:proofErr w:type="spellStart"/>
      <w:r w:rsidRPr="00457894">
        <w:rPr>
          <w:rFonts w:asciiTheme="minorHAnsi" w:hAnsiTheme="minorHAnsi" w:cs="Calibri"/>
          <w:color w:val="000000"/>
          <w:sz w:val="20"/>
          <w:szCs w:val="20"/>
        </w:rPr>
        <w:t>Ecoinvent</w:t>
      </w:r>
      <w:proofErr w:type="spellEnd"/>
      <w:r w:rsidRPr="00457894">
        <w:rPr>
          <w:rFonts w:asciiTheme="minorHAnsi" w:hAnsiTheme="minorHAnsi" w:cs="Calibri"/>
          <w:color w:val="000000"/>
          <w:sz w:val="20"/>
          <w:szCs w:val="20"/>
        </w:rPr>
        <w:t xml:space="preserve"> and peer</w:t>
      </w:r>
      <w:r w:rsidRPr="00457894">
        <w:rPr>
          <w:rFonts w:asciiTheme="minorHAnsi" w:hAnsiTheme="minorHAnsi" w:cs="Calibri"/>
          <w:color w:val="000000"/>
          <w:sz w:val="20"/>
          <w:szCs w:val="20"/>
        </w:rPr>
        <w:noBreakHyphen/>
        <w:t>reviewed reactor LCIs will be used with UK supply</w:t>
      </w:r>
      <w:r w:rsidRPr="00457894">
        <w:rPr>
          <w:rFonts w:asciiTheme="minorHAnsi" w:hAnsiTheme="minorHAnsi" w:cs="Calibri"/>
          <w:color w:val="000000"/>
          <w:sz w:val="20"/>
          <w:szCs w:val="20"/>
        </w:rPr>
        <w:noBreakHyphen/>
        <w:t>chain data where available; Monte</w:t>
      </w:r>
      <w:r w:rsidRPr="00457894">
        <w:rPr>
          <w:rFonts w:asciiTheme="minorHAnsi" w:hAnsiTheme="minorHAnsi" w:cs="Calibri"/>
          <w:color w:val="000000"/>
          <w:sz w:val="20"/>
          <w:szCs w:val="20"/>
        </w:rPr>
        <w:noBreakHyphen/>
        <w:t>Carlo uncertainty and scenario variants (uranium source/enrichment, decommissioning, waste</w:t>
      </w:r>
      <w:r w:rsidRPr="00457894">
        <w:rPr>
          <w:rFonts w:asciiTheme="minorHAnsi" w:hAnsiTheme="minorHAnsi" w:cs="Calibri"/>
          <w:color w:val="000000"/>
          <w:sz w:val="20"/>
          <w:szCs w:val="20"/>
        </w:rPr>
        <w:noBreakHyphen/>
        <w:t>management pathways) will be reported. WSP2 (Electricity system modelling, months 6–30) will implement a high</w:t>
      </w:r>
      <w:r w:rsidRPr="00457894">
        <w:rPr>
          <w:rFonts w:asciiTheme="minorHAnsi" w:hAnsiTheme="minorHAnsi" w:cs="Calibri"/>
          <w:color w:val="000000"/>
          <w:sz w:val="20"/>
          <w:szCs w:val="20"/>
        </w:rPr>
        <w:noBreakHyphen/>
        <w:t>resolution unit</w:t>
      </w:r>
      <w:r w:rsidRPr="00457894">
        <w:rPr>
          <w:rFonts w:asciiTheme="minorHAnsi" w:hAnsiTheme="minorHAnsi" w:cs="Calibri"/>
          <w:color w:val="000000"/>
          <w:sz w:val="20"/>
          <w:szCs w:val="20"/>
        </w:rPr>
        <w:noBreakHyphen/>
        <w:t>commitment and capacity</w:t>
      </w:r>
      <w:r w:rsidRPr="00457894">
        <w:rPr>
          <w:rFonts w:asciiTheme="minorHAnsi" w:hAnsiTheme="minorHAnsi" w:cs="Calibri"/>
          <w:color w:val="000000"/>
          <w:sz w:val="20"/>
          <w:szCs w:val="20"/>
        </w:rPr>
        <w:noBreakHyphen/>
        <w:t xml:space="preserve">expansion framework (e.g. PLEXOS, </w:t>
      </w:r>
      <w:proofErr w:type="spellStart"/>
      <w:r w:rsidRPr="00457894">
        <w:rPr>
          <w:rFonts w:asciiTheme="minorHAnsi" w:hAnsiTheme="minorHAnsi" w:cs="Calibri"/>
          <w:color w:val="000000"/>
          <w:sz w:val="20"/>
          <w:szCs w:val="20"/>
        </w:rPr>
        <w:t>pyPSA</w:t>
      </w:r>
      <w:proofErr w:type="spellEnd"/>
      <w:r w:rsidRPr="00457894">
        <w:rPr>
          <w:rFonts w:asciiTheme="minorHAnsi" w:hAnsiTheme="minorHAnsi" w:cs="Calibri"/>
          <w:color w:val="000000"/>
          <w:sz w:val="20"/>
          <w:szCs w:val="20"/>
        </w:rPr>
        <w:t xml:space="preserve"> or Calliope) with hourly dispatch, stochastic renewables and explicit representation of flexible demand, interconnectors and storage. Scenarios will include: a renewables</w:t>
      </w:r>
      <w:r w:rsidRPr="00457894">
        <w:rPr>
          <w:rFonts w:asciiTheme="minorHAnsi" w:hAnsiTheme="minorHAnsi" w:cs="Calibri"/>
          <w:color w:val="000000"/>
          <w:sz w:val="20"/>
          <w:szCs w:val="20"/>
        </w:rPr>
        <w:noBreakHyphen/>
        <w:t>dominant pathway, a nuclear</w:t>
      </w:r>
      <w:r w:rsidRPr="00457894">
        <w:rPr>
          <w:rFonts w:asciiTheme="minorHAnsi" w:hAnsiTheme="minorHAnsi" w:cs="Calibri"/>
          <w:color w:val="000000"/>
          <w:sz w:val="20"/>
          <w:szCs w:val="20"/>
        </w:rPr>
        <w:noBreakHyphen/>
        <w:t xml:space="preserve">expansion pathway (mix of </w:t>
      </w:r>
      <w:r w:rsidRPr="00457894">
        <w:rPr>
          <w:rFonts w:asciiTheme="minorHAnsi" w:hAnsiTheme="minorHAnsi" w:cs="Calibri"/>
          <w:color w:val="000000"/>
          <w:sz w:val="20"/>
          <w:szCs w:val="20"/>
        </w:rPr>
        <w:lastRenderedPageBreak/>
        <w:t>large + SMRs), hybrid nuclear–renewable clusters and a fossil + CCS baseline; outputs will include system cost, LOLE, curtailment and marginal emissions. WSP3 (Hybrid design &amp; techno</w:t>
      </w:r>
      <w:r w:rsidRPr="00457894">
        <w:rPr>
          <w:rFonts w:asciiTheme="minorHAnsi" w:hAnsiTheme="minorHAnsi" w:cs="Calibri"/>
          <w:color w:val="000000"/>
          <w:sz w:val="20"/>
          <w:szCs w:val="20"/>
        </w:rPr>
        <w:noBreakHyphen/>
        <w:t>economics, months 9–30) will develop thermodynamic and process models for hybrid concepts (nuclear + thermal storage for district heat, SMR + electrolyser hydrogen hubs, nuclear</w:t>
      </w:r>
      <w:r w:rsidRPr="00457894">
        <w:rPr>
          <w:rFonts w:asciiTheme="minorHAnsi" w:hAnsiTheme="minorHAnsi" w:cs="Calibri"/>
          <w:color w:val="000000"/>
          <w:sz w:val="20"/>
          <w:szCs w:val="20"/>
        </w:rPr>
        <w:noBreakHyphen/>
        <w:t>solar superheat concepts), computing LCOE/LCOH and value stacking across electricity, heat and hydrogen. WSP4 (Macroeconomic &amp; regional analysis, months 12–36) will use input–output and CGE tools to estimate jobs, GDP, regional distribution of benefits and supply</w:t>
      </w:r>
      <w:r w:rsidRPr="00457894">
        <w:rPr>
          <w:rFonts w:asciiTheme="minorHAnsi" w:hAnsiTheme="minorHAnsi" w:cs="Calibri"/>
          <w:color w:val="000000"/>
          <w:sz w:val="20"/>
          <w:szCs w:val="20"/>
        </w:rPr>
        <w:noBreakHyphen/>
        <w:t xml:space="preserve">chain readiness, producing a UK regional industrial roadmap for reactor and component manufacturing. </w:t>
      </w:r>
    </w:p>
    <w:p w14:paraId="2F57944C" w14:textId="26AC64C8" w:rsidR="00457894" w:rsidRPr="0045789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WSP5 (Environmental externalities &amp; social acceptance, months 6–36) will assess non</w:t>
      </w:r>
      <w:r w:rsidRPr="00457894">
        <w:rPr>
          <w:rFonts w:asciiTheme="minorHAnsi" w:hAnsiTheme="minorHAnsi" w:cs="Calibri"/>
          <w:color w:val="000000"/>
          <w:sz w:val="20"/>
          <w:szCs w:val="20"/>
        </w:rPr>
        <w:noBreakHyphen/>
        <w:t xml:space="preserve">GHG externalities (radiological risk, mining impacts, water use, land/marine impacts) and run structured stakeholder interviews, focus groups and deliberative workshops to evaluate public acceptability of hybrid solutions and siting options. WSP6 (Policy, regulatory &amp; financing pathways, months 18–48) will map regulatory interfaces (ONR, EA, Ofgem), propose licensing adaptations for hybrid thermal coupling and develop procurement and financing options (RAB, </w:t>
      </w:r>
      <w:proofErr w:type="spellStart"/>
      <w:r w:rsidRPr="00457894">
        <w:rPr>
          <w:rFonts w:asciiTheme="minorHAnsi" w:hAnsiTheme="minorHAnsi" w:cs="Calibri"/>
          <w:color w:val="000000"/>
          <w:sz w:val="20"/>
          <w:szCs w:val="20"/>
        </w:rPr>
        <w:t>CfD</w:t>
      </w:r>
      <w:proofErr w:type="spellEnd"/>
      <w:r w:rsidRPr="00457894">
        <w:rPr>
          <w:rFonts w:asciiTheme="minorHAnsi" w:hAnsiTheme="minorHAnsi" w:cs="Calibri"/>
          <w:color w:val="000000"/>
          <w:sz w:val="20"/>
          <w:szCs w:val="20"/>
        </w:rPr>
        <w:t xml:space="preserve"> variants, green bonds, public equity) that minimise consumer cost while delivering deployment speed. WSP7 (Pilot demonstration plan, months 30–60) will identify one or two candidate pilots (e.g. SMR + electrolyser hydrogen hub; SMR + district heat), produce pre</w:t>
      </w:r>
      <w:r w:rsidRPr="00457894">
        <w:rPr>
          <w:rFonts w:asciiTheme="minorHAnsi" w:hAnsiTheme="minorHAnsi" w:cs="Calibri"/>
          <w:color w:val="000000"/>
          <w:sz w:val="20"/>
          <w:szCs w:val="20"/>
        </w:rPr>
        <w:noBreakHyphen/>
        <w:t>FEED level investment cases, permitting roadmaps and monitoring frameworks.</w:t>
      </w:r>
    </w:p>
    <w:p w14:paraId="472A8230" w14:textId="2A114F03" w:rsidR="00457894" w:rsidRPr="0045789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Scenario framing will include a Net</w:t>
      </w:r>
      <w:r w:rsidRPr="00457894">
        <w:rPr>
          <w:rFonts w:asciiTheme="minorHAnsi" w:hAnsiTheme="minorHAnsi" w:cs="Calibri"/>
          <w:color w:val="000000"/>
          <w:sz w:val="20"/>
          <w:szCs w:val="20"/>
        </w:rPr>
        <w:noBreakHyphen/>
        <w:t>Zero Accelerated pathway with substantial nuclear deployment, a Renewables</w:t>
      </w:r>
      <w:r w:rsidRPr="00457894">
        <w:rPr>
          <w:rFonts w:asciiTheme="minorHAnsi" w:hAnsiTheme="minorHAnsi" w:cs="Calibri"/>
          <w:color w:val="000000"/>
          <w:sz w:val="20"/>
          <w:szCs w:val="20"/>
        </w:rPr>
        <w:noBreakHyphen/>
        <w:t>Max pathway relying on wind/solar + storage + interconnectors, a Balanced Hybrid pathway combining nuclear firm capacity with large renewables and hydrogen hubs, and a Fossil + CCS baseline. Key performance metrics are lifecycle GHG intensity (gCO2e/kWh) and cumulative emissions to 2050; total system cost (CAPEX</w:t>
      </w:r>
      <w:r w:rsidR="007A3EF1">
        <w:rPr>
          <w:rFonts w:asciiTheme="minorHAnsi" w:hAnsiTheme="minorHAnsi" w:cs="Calibri"/>
          <w:color w:val="000000"/>
          <w:sz w:val="20"/>
          <w:szCs w:val="20"/>
        </w:rPr>
        <w:t xml:space="preserve"> </w:t>
      </w:r>
      <w:r w:rsidRPr="00457894">
        <w:rPr>
          <w:rFonts w:asciiTheme="minorHAnsi" w:hAnsiTheme="minorHAnsi" w:cs="Calibri"/>
          <w:color w:val="000000"/>
          <w:sz w:val="20"/>
          <w:szCs w:val="20"/>
        </w:rPr>
        <w:t>+</w:t>
      </w:r>
      <w:r w:rsidR="007A3EF1">
        <w:rPr>
          <w:rFonts w:asciiTheme="minorHAnsi" w:hAnsiTheme="minorHAnsi" w:cs="Calibri"/>
          <w:color w:val="000000"/>
          <w:sz w:val="20"/>
          <w:szCs w:val="20"/>
        </w:rPr>
        <w:t xml:space="preserve"> </w:t>
      </w:r>
      <w:r w:rsidRPr="00457894">
        <w:rPr>
          <w:rFonts w:asciiTheme="minorHAnsi" w:hAnsiTheme="minorHAnsi" w:cs="Calibri"/>
          <w:color w:val="000000"/>
          <w:sz w:val="20"/>
          <w:szCs w:val="20"/>
        </w:rPr>
        <w:t>OPEX</w:t>
      </w:r>
      <w:r w:rsidR="007A3EF1">
        <w:rPr>
          <w:rFonts w:asciiTheme="minorHAnsi" w:hAnsiTheme="minorHAnsi" w:cs="Calibri"/>
          <w:color w:val="000000"/>
          <w:sz w:val="20"/>
          <w:szCs w:val="20"/>
        </w:rPr>
        <w:t xml:space="preserve"> </w:t>
      </w:r>
      <w:r w:rsidRPr="00457894">
        <w:rPr>
          <w:rFonts w:asciiTheme="minorHAnsi" w:hAnsiTheme="minorHAnsi" w:cs="Calibri"/>
          <w:color w:val="000000"/>
          <w:sz w:val="20"/>
          <w:szCs w:val="20"/>
        </w:rPr>
        <w:t>+</w:t>
      </w:r>
      <w:r w:rsidR="007A3EF1">
        <w:rPr>
          <w:rFonts w:asciiTheme="minorHAnsi" w:hAnsiTheme="minorHAnsi" w:cs="Calibri"/>
          <w:color w:val="000000"/>
          <w:sz w:val="20"/>
          <w:szCs w:val="20"/>
        </w:rPr>
        <w:t xml:space="preserve"> </w:t>
      </w:r>
      <w:r w:rsidRPr="00457894">
        <w:rPr>
          <w:rFonts w:asciiTheme="minorHAnsi" w:hAnsiTheme="minorHAnsi" w:cs="Calibri"/>
          <w:color w:val="000000"/>
          <w:sz w:val="20"/>
          <w:szCs w:val="20"/>
        </w:rPr>
        <w:t>integration); reliability metrics (LOLE, expected unserved energy); fuel import exposure and price</w:t>
      </w:r>
      <w:r w:rsidRPr="00457894">
        <w:rPr>
          <w:rFonts w:asciiTheme="minorHAnsi" w:hAnsiTheme="minorHAnsi" w:cs="Calibri"/>
          <w:color w:val="000000"/>
          <w:sz w:val="20"/>
          <w:szCs w:val="20"/>
        </w:rPr>
        <w:noBreakHyphen/>
        <w:t>volatility sensitivity; land and material footprints (km2 per TWh, tonnes of critical minerals); macroeconomic metrics (FTE jobs, regional GDP, public/private investment flows); and environmental externalities (NOx/PM, water thermal load, waste volumes). Social acceptance will be captured through indices derived from stakeholder surveys and deliberative processes.</w:t>
      </w:r>
    </w:p>
    <w:p w14:paraId="2D021375" w14:textId="77777777" w:rsidR="00457894" w:rsidRPr="0045789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Key risks are technology cost uncertainty (particularly SMRs and advanced reactors), data gaps in lifecycle inputs for newer reactor types, social acceptance and shifting politics, and regulatory complexity for hybrid thermal coupling. Each risk will be mitigated by extensive scenario and sensitivity analysis, expert elicitation to bound LCA parameters, early and continuous stakeholder engagement, and early regulator involvement to co</w:t>
      </w:r>
      <w:r w:rsidRPr="00457894">
        <w:rPr>
          <w:rFonts w:asciiTheme="minorHAnsi" w:hAnsiTheme="minorHAnsi" w:cs="Calibri"/>
          <w:color w:val="000000"/>
          <w:sz w:val="20"/>
          <w:szCs w:val="20"/>
        </w:rPr>
        <w:noBreakHyphen/>
        <w:t>design compliance pathways.</w:t>
      </w:r>
    </w:p>
    <w:p w14:paraId="7EBA1BCA" w14:textId="6D2DC0C3" w:rsidR="00457894" w:rsidRPr="00457894" w:rsidRDefault="00457894" w:rsidP="00457894">
      <w:pPr>
        <w:pStyle w:val="NormalWeb"/>
        <w:spacing w:line="360" w:lineRule="atLeast"/>
        <w:rPr>
          <w:rFonts w:asciiTheme="minorHAnsi" w:hAnsiTheme="minorHAnsi" w:cs="Calibri"/>
          <w:color w:val="000000"/>
          <w:sz w:val="20"/>
          <w:szCs w:val="20"/>
        </w:rPr>
      </w:pPr>
      <w:r w:rsidRPr="00457894">
        <w:rPr>
          <w:rFonts w:asciiTheme="minorHAnsi" w:hAnsiTheme="minorHAnsi" w:cs="Calibri"/>
          <w:color w:val="000000"/>
          <w:sz w:val="20"/>
          <w:szCs w:val="20"/>
        </w:rPr>
        <w:t>High</w:t>
      </w:r>
      <w:r w:rsidRPr="00457894">
        <w:rPr>
          <w:rFonts w:asciiTheme="minorHAnsi" w:hAnsiTheme="minorHAnsi" w:cs="Calibri"/>
          <w:color w:val="000000"/>
          <w:sz w:val="20"/>
          <w:szCs w:val="20"/>
        </w:rPr>
        <w:noBreakHyphen/>
        <w:t>level budget expectations for the full scope (research, modelling, stakeholder work and pilot pre</w:t>
      </w:r>
      <w:r w:rsidRPr="00457894">
        <w:rPr>
          <w:rFonts w:asciiTheme="minorHAnsi" w:hAnsiTheme="minorHAnsi" w:cs="Calibri"/>
          <w:color w:val="000000"/>
          <w:sz w:val="20"/>
          <w:szCs w:val="20"/>
        </w:rPr>
        <w:noBreakHyphen/>
        <w:t>FEED studies) suggest a multi</w:t>
      </w:r>
      <w:r w:rsidRPr="00457894">
        <w:rPr>
          <w:rFonts w:asciiTheme="minorHAnsi" w:hAnsiTheme="minorHAnsi" w:cs="Calibri"/>
          <w:color w:val="000000"/>
          <w:sz w:val="20"/>
          <w:szCs w:val="20"/>
        </w:rPr>
        <w:noBreakHyphen/>
        <w:t>million pound programme; an illustrative funding envelope of GBP 3–5 million over five years would enable model development, LCA data acquisition, several staff (postdocs and research fellows), stakeholder engagement and pre</w:t>
      </w:r>
      <w:r w:rsidRPr="00457894">
        <w:rPr>
          <w:rFonts w:asciiTheme="minorHAnsi" w:hAnsiTheme="minorHAnsi" w:cs="Calibri"/>
          <w:color w:val="000000"/>
          <w:sz w:val="20"/>
          <w:szCs w:val="20"/>
        </w:rPr>
        <w:noBreakHyphen/>
        <w:t xml:space="preserve">FEED demonstration planning. Deliverables and </w:t>
      </w:r>
      <w:r w:rsidRPr="00457894">
        <w:rPr>
          <w:rFonts w:asciiTheme="minorHAnsi" w:hAnsiTheme="minorHAnsi" w:cs="Calibri"/>
          <w:color w:val="000000"/>
          <w:sz w:val="20"/>
          <w:szCs w:val="20"/>
        </w:rPr>
        <w:lastRenderedPageBreak/>
        <w:t>a milestone schedule include: LCA inventories and preliminary system scenarios by month 12; hybrid techno</w:t>
      </w:r>
      <w:r w:rsidRPr="00457894">
        <w:rPr>
          <w:rFonts w:asciiTheme="minorHAnsi" w:hAnsiTheme="minorHAnsi" w:cs="Calibri"/>
          <w:color w:val="000000"/>
          <w:sz w:val="20"/>
          <w:szCs w:val="20"/>
        </w:rPr>
        <w:noBreakHyphen/>
        <w:t>economic ranking and regional impact reports by month 24; policy briefs and procurement/finance recommendations by month 36; pilot demonstration selection and pre</w:t>
      </w:r>
      <w:r w:rsidRPr="00457894">
        <w:rPr>
          <w:rFonts w:asciiTheme="minorHAnsi" w:hAnsiTheme="minorHAnsi" w:cs="Calibri"/>
          <w:color w:val="000000"/>
          <w:sz w:val="20"/>
          <w:szCs w:val="20"/>
        </w:rPr>
        <w:noBreakHyphen/>
        <w:t>FEED packages by months 36–48; and final integrated reports, open data release and academic articles by month 60. Success criteria are at least three high</w:t>
      </w:r>
      <w:r w:rsidRPr="00457894">
        <w:rPr>
          <w:rFonts w:asciiTheme="minorHAnsi" w:hAnsiTheme="minorHAnsi" w:cs="Calibri"/>
          <w:color w:val="000000"/>
          <w:sz w:val="20"/>
          <w:szCs w:val="20"/>
        </w:rPr>
        <w:noBreakHyphen/>
        <w:t>impact peer</w:t>
      </w:r>
      <w:r w:rsidRPr="00457894">
        <w:rPr>
          <w:rFonts w:asciiTheme="minorHAnsi" w:hAnsiTheme="minorHAnsi" w:cs="Calibri"/>
          <w:color w:val="000000"/>
          <w:sz w:val="20"/>
          <w:szCs w:val="20"/>
        </w:rPr>
        <w:noBreakHyphen/>
        <w:t xml:space="preserve">reviewed publications, </w:t>
      </w:r>
      <w:r w:rsidR="0024747D" w:rsidRPr="00457894">
        <w:rPr>
          <w:rFonts w:asciiTheme="minorHAnsi" w:hAnsiTheme="minorHAnsi" w:cs="Calibri"/>
          <w:color w:val="000000"/>
          <w:sz w:val="20"/>
          <w:szCs w:val="20"/>
        </w:rPr>
        <w:t>open-source</w:t>
      </w:r>
      <w:r w:rsidRPr="00457894">
        <w:rPr>
          <w:rFonts w:asciiTheme="minorHAnsi" w:hAnsiTheme="minorHAnsi" w:cs="Calibri"/>
          <w:color w:val="000000"/>
          <w:sz w:val="20"/>
          <w:szCs w:val="20"/>
        </w:rPr>
        <w:t xml:space="preserve"> datasets and models, demonstrable engagement with BEIS/ESO (policy briefs or briefing meetings), and the selection of at least one pilot with a credible commercial sponsor or matched funding commitment.</w:t>
      </w:r>
    </w:p>
    <w:p w14:paraId="6F3E2111" w14:textId="47520CC9" w:rsidR="00266A7F" w:rsidRPr="00266A7F" w:rsidRDefault="00266A7F" w:rsidP="00230645">
      <w:pPr>
        <w:pStyle w:val="Heading2"/>
      </w:pPr>
      <w:bookmarkStart w:id="10" w:name="_Toc227607615"/>
      <w:r w:rsidRPr="00266A7F">
        <w:t>References</w:t>
      </w:r>
      <w:bookmarkEnd w:id="10"/>
      <w:r w:rsidRPr="00266A7F">
        <w:t xml:space="preserve"> </w:t>
      </w:r>
    </w:p>
    <w:p w14:paraId="2033BC8D" w14:textId="0191543B" w:rsidR="003C0884" w:rsidRPr="003C0884" w:rsidRDefault="003C0884" w:rsidP="003C0884">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3C0884">
        <w:rPr>
          <w:rFonts w:asciiTheme="minorHAnsi" w:hAnsiTheme="minorHAnsi" w:cs="Calibri"/>
          <w:color w:val="000000"/>
          <w:sz w:val="20"/>
          <w:szCs w:val="20"/>
        </w:rPr>
        <w:t xml:space="preserve">Azam, A., Rafiq, M., Shafique, M., Zhang, H. and Yuan, J. (2021). </w:t>
      </w:r>
      <w:proofErr w:type="spellStart"/>
      <w:r w:rsidRPr="003C0884">
        <w:rPr>
          <w:rFonts w:asciiTheme="minorHAnsi" w:hAnsiTheme="minorHAnsi" w:cs="Calibri"/>
          <w:color w:val="000000"/>
          <w:sz w:val="20"/>
          <w:szCs w:val="20"/>
        </w:rPr>
        <w:t>Analyzing</w:t>
      </w:r>
      <w:proofErr w:type="spellEnd"/>
      <w:r w:rsidRPr="003C0884">
        <w:rPr>
          <w:rFonts w:asciiTheme="minorHAnsi" w:hAnsiTheme="minorHAnsi" w:cs="Calibri"/>
          <w:color w:val="000000"/>
          <w:sz w:val="20"/>
          <w:szCs w:val="20"/>
        </w:rPr>
        <w:t xml:space="preserve"> the effect of natural gas, nuclear energy and renewable energy on GDP and carbon emissions: A multi-variate panel data analysis. </w:t>
      </w:r>
      <w:r w:rsidRPr="003C0884">
        <w:rPr>
          <w:rFonts w:asciiTheme="minorHAnsi" w:hAnsiTheme="minorHAnsi" w:cs="Calibri"/>
          <w:i/>
          <w:iCs/>
          <w:color w:val="000000"/>
          <w:sz w:val="20"/>
          <w:szCs w:val="20"/>
        </w:rPr>
        <w:t>Energy</w:t>
      </w:r>
      <w:r w:rsidRPr="003C0884">
        <w:rPr>
          <w:rFonts w:asciiTheme="minorHAnsi" w:hAnsiTheme="minorHAnsi" w:cs="Calibri"/>
          <w:color w:val="000000"/>
          <w:sz w:val="20"/>
          <w:szCs w:val="20"/>
        </w:rPr>
        <w:t xml:space="preserve">, [online] 219, p.119592. </w:t>
      </w:r>
      <w:proofErr w:type="spellStart"/>
      <w:r w:rsidRPr="003C0884">
        <w:rPr>
          <w:rFonts w:asciiTheme="minorHAnsi" w:hAnsiTheme="minorHAnsi" w:cs="Calibri"/>
          <w:color w:val="000000"/>
          <w:sz w:val="20"/>
          <w:szCs w:val="20"/>
        </w:rPr>
        <w:t>doi</w:t>
      </w:r>
      <w:proofErr w:type="spellEnd"/>
      <w:r w:rsidRPr="003C0884">
        <w:rPr>
          <w:rFonts w:asciiTheme="minorHAnsi" w:hAnsiTheme="minorHAnsi" w:cs="Calibri"/>
          <w:color w:val="000000"/>
          <w:sz w:val="20"/>
          <w:szCs w:val="20"/>
        </w:rPr>
        <w:t>:</w:t>
      </w:r>
      <w:r w:rsidRPr="003C0884">
        <w:rPr>
          <w:rFonts w:asciiTheme="minorHAnsi" w:hAnsiTheme="minorHAnsi" w:cs="Calibri"/>
          <w:color w:val="000000"/>
          <w:sz w:val="20"/>
          <w:szCs w:val="20"/>
        </w:rPr>
        <w:t xml:space="preserve"> </w:t>
      </w:r>
      <w:hyperlink r:id="rId9" w:history="1">
        <w:r w:rsidRPr="003C0884">
          <w:rPr>
            <w:rStyle w:val="Hyperlink"/>
            <w:rFonts w:asciiTheme="minorHAnsi" w:hAnsiTheme="minorHAnsi" w:cs="Calibri"/>
            <w:sz w:val="20"/>
            <w:szCs w:val="20"/>
          </w:rPr>
          <w:t>https://doi.org/10.1016/j.energ</w:t>
        </w:r>
        <w:r w:rsidRPr="003C0884">
          <w:rPr>
            <w:rStyle w:val="Hyperlink"/>
            <w:rFonts w:asciiTheme="minorHAnsi" w:hAnsiTheme="minorHAnsi" w:cs="Calibri"/>
            <w:sz w:val="20"/>
            <w:szCs w:val="20"/>
          </w:rPr>
          <w:t>y</w:t>
        </w:r>
        <w:r w:rsidRPr="003C0884">
          <w:rPr>
            <w:rStyle w:val="Hyperlink"/>
            <w:rFonts w:asciiTheme="minorHAnsi" w:hAnsiTheme="minorHAnsi" w:cs="Calibri"/>
            <w:sz w:val="20"/>
            <w:szCs w:val="20"/>
          </w:rPr>
          <w:t>.2020.119592</w:t>
        </w:r>
      </w:hyperlink>
      <w:r w:rsidRPr="003C0884">
        <w:rPr>
          <w:rFonts w:asciiTheme="minorHAnsi" w:hAnsiTheme="minorHAnsi" w:cs="Calibri"/>
          <w:color w:val="000000"/>
          <w:sz w:val="20"/>
          <w:szCs w:val="20"/>
        </w:rPr>
        <w:t xml:space="preserve"> </w:t>
      </w:r>
    </w:p>
    <w:p w14:paraId="30E45CD1" w14:textId="5604173C" w:rsidR="00692CC0" w:rsidRPr="00692CC0" w:rsidRDefault="00692CC0" w:rsidP="00692CC0">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692CC0">
        <w:rPr>
          <w:rFonts w:asciiTheme="minorHAnsi" w:hAnsiTheme="minorHAnsi" w:cs="Calibri"/>
          <w:color w:val="000000"/>
          <w:sz w:val="20"/>
          <w:szCs w:val="20"/>
        </w:rPr>
        <w:t>Tevfik Kartal, M. (2021). The role of consumption of energy, fossil sources, nuclear energy, and renewable energy on environmental degradation in top-five carbon producing countries. </w:t>
      </w:r>
      <w:r w:rsidRPr="00692CC0">
        <w:rPr>
          <w:rFonts w:asciiTheme="minorHAnsi" w:hAnsiTheme="minorHAnsi" w:cs="Calibri"/>
          <w:i/>
          <w:iCs/>
          <w:color w:val="000000"/>
          <w:sz w:val="20"/>
          <w:szCs w:val="20"/>
        </w:rPr>
        <w:t>Renewable Energy</w:t>
      </w:r>
      <w:r w:rsidRPr="00692CC0">
        <w:rPr>
          <w:rFonts w:asciiTheme="minorHAnsi" w:hAnsiTheme="minorHAnsi" w:cs="Calibri"/>
          <w:color w:val="000000"/>
          <w:sz w:val="20"/>
          <w:szCs w:val="20"/>
        </w:rPr>
        <w:t xml:space="preserve">, 184. </w:t>
      </w:r>
      <w:proofErr w:type="spellStart"/>
      <w:r w:rsidRPr="00692CC0">
        <w:rPr>
          <w:rFonts w:asciiTheme="minorHAnsi" w:hAnsiTheme="minorHAnsi" w:cs="Calibri"/>
          <w:color w:val="000000"/>
          <w:sz w:val="20"/>
          <w:szCs w:val="20"/>
        </w:rPr>
        <w:t>doi</w:t>
      </w:r>
      <w:proofErr w:type="spellEnd"/>
      <w:r w:rsidRPr="00692CC0">
        <w:rPr>
          <w:rFonts w:asciiTheme="minorHAnsi" w:hAnsiTheme="minorHAnsi" w:cs="Calibri"/>
          <w:color w:val="000000"/>
          <w:sz w:val="20"/>
          <w:szCs w:val="20"/>
        </w:rPr>
        <w:t>:</w:t>
      </w:r>
      <w:r w:rsidRPr="00692CC0">
        <w:rPr>
          <w:rFonts w:asciiTheme="minorHAnsi" w:hAnsiTheme="minorHAnsi" w:cs="Calibri"/>
          <w:color w:val="000000"/>
          <w:sz w:val="20"/>
          <w:szCs w:val="20"/>
        </w:rPr>
        <w:t xml:space="preserve"> </w:t>
      </w:r>
      <w:hyperlink r:id="rId10" w:history="1">
        <w:r w:rsidRPr="00565B16">
          <w:rPr>
            <w:rStyle w:val="Hyperlink"/>
            <w:rFonts w:asciiTheme="minorHAnsi" w:hAnsiTheme="minorHAnsi" w:cs="Calibri"/>
            <w:sz w:val="20"/>
            <w:szCs w:val="20"/>
          </w:rPr>
          <w:t>https://doi.org/10.1016/j.renene.2021.12.022</w:t>
        </w:r>
      </w:hyperlink>
      <w:r>
        <w:rPr>
          <w:rFonts w:asciiTheme="minorHAnsi" w:hAnsiTheme="minorHAnsi" w:cs="Calibri"/>
          <w:color w:val="000000"/>
          <w:sz w:val="20"/>
          <w:szCs w:val="20"/>
        </w:rPr>
        <w:t xml:space="preserve"> </w:t>
      </w:r>
    </w:p>
    <w:p w14:paraId="03DA8C3F" w14:textId="7CB31385" w:rsidR="00AD039E" w:rsidRPr="00AD039E" w:rsidRDefault="00AD039E" w:rsidP="00AD039E">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AD039E">
        <w:rPr>
          <w:rFonts w:asciiTheme="minorHAnsi" w:hAnsiTheme="minorHAnsi" w:cs="Calibri"/>
          <w:color w:val="000000"/>
          <w:sz w:val="20"/>
          <w:szCs w:val="20"/>
        </w:rPr>
        <w:t xml:space="preserve">Murshed, M., </w:t>
      </w:r>
      <w:proofErr w:type="spellStart"/>
      <w:r w:rsidRPr="00AD039E">
        <w:rPr>
          <w:rFonts w:asciiTheme="minorHAnsi" w:hAnsiTheme="minorHAnsi" w:cs="Calibri"/>
          <w:color w:val="000000"/>
          <w:sz w:val="20"/>
          <w:szCs w:val="20"/>
        </w:rPr>
        <w:t>Saboori</w:t>
      </w:r>
      <w:proofErr w:type="spellEnd"/>
      <w:r w:rsidRPr="00AD039E">
        <w:rPr>
          <w:rFonts w:asciiTheme="minorHAnsi" w:hAnsiTheme="minorHAnsi" w:cs="Calibri"/>
          <w:color w:val="000000"/>
          <w:sz w:val="20"/>
          <w:szCs w:val="20"/>
        </w:rPr>
        <w:t>, B., Madaleno, M., Wang, H. and Doğan, B. (2022). Exploring the nexuses between nuclear energy, renewable energy, and carbon dioxide emissions: The role of economic complexity in the G7 countries. </w:t>
      </w:r>
      <w:r w:rsidRPr="00AD039E">
        <w:rPr>
          <w:rFonts w:asciiTheme="minorHAnsi" w:hAnsiTheme="minorHAnsi" w:cs="Calibri"/>
          <w:i/>
          <w:iCs/>
          <w:color w:val="000000"/>
          <w:sz w:val="20"/>
          <w:szCs w:val="20"/>
        </w:rPr>
        <w:t>Renewable Energy</w:t>
      </w:r>
      <w:r w:rsidRPr="00AD039E">
        <w:rPr>
          <w:rFonts w:asciiTheme="minorHAnsi" w:hAnsiTheme="minorHAnsi" w:cs="Calibri"/>
          <w:color w:val="000000"/>
          <w:sz w:val="20"/>
          <w:szCs w:val="20"/>
        </w:rPr>
        <w:t xml:space="preserve">, 190. </w:t>
      </w:r>
      <w:proofErr w:type="spellStart"/>
      <w:r w:rsidRPr="00AD039E">
        <w:rPr>
          <w:rFonts w:asciiTheme="minorHAnsi" w:hAnsiTheme="minorHAnsi" w:cs="Calibri"/>
          <w:color w:val="000000"/>
          <w:sz w:val="20"/>
          <w:szCs w:val="20"/>
        </w:rPr>
        <w:t>doi</w:t>
      </w:r>
      <w:proofErr w:type="spellEnd"/>
      <w:r w:rsidRPr="00AD039E">
        <w:rPr>
          <w:rFonts w:asciiTheme="minorHAnsi" w:hAnsiTheme="minorHAnsi" w:cs="Calibri"/>
          <w:color w:val="000000"/>
          <w:sz w:val="20"/>
          <w:szCs w:val="20"/>
        </w:rPr>
        <w:t>:</w:t>
      </w:r>
      <w:r>
        <w:rPr>
          <w:rFonts w:asciiTheme="minorHAnsi" w:hAnsiTheme="minorHAnsi" w:cs="Calibri"/>
          <w:color w:val="000000"/>
          <w:sz w:val="20"/>
          <w:szCs w:val="20"/>
        </w:rPr>
        <w:t xml:space="preserve"> </w:t>
      </w:r>
      <w:hyperlink r:id="rId11" w:history="1">
        <w:r w:rsidRPr="00565B16">
          <w:rPr>
            <w:rStyle w:val="Hyperlink"/>
            <w:rFonts w:asciiTheme="minorHAnsi" w:hAnsiTheme="minorHAnsi" w:cs="Calibri"/>
            <w:sz w:val="20"/>
            <w:szCs w:val="20"/>
          </w:rPr>
          <w:t>https://doi.org/10.1016/j.renene.2022.03.121</w:t>
        </w:r>
      </w:hyperlink>
      <w:r>
        <w:rPr>
          <w:rFonts w:asciiTheme="minorHAnsi" w:hAnsiTheme="minorHAnsi" w:cs="Calibri"/>
          <w:color w:val="000000"/>
          <w:sz w:val="20"/>
          <w:szCs w:val="20"/>
        </w:rPr>
        <w:t xml:space="preserve"> </w:t>
      </w:r>
    </w:p>
    <w:p w14:paraId="5F840C59" w14:textId="292CBC4B" w:rsidR="00AD039E" w:rsidRPr="00AD039E" w:rsidRDefault="00AD039E" w:rsidP="00AD039E">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AD039E">
        <w:rPr>
          <w:rFonts w:asciiTheme="minorHAnsi" w:hAnsiTheme="minorHAnsi" w:cs="Calibri"/>
          <w:color w:val="000000"/>
          <w:sz w:val="20"/>
          <w:szCs w:val="20"/>
        </w:rPr>
        <w:t>Saidi, K. and Ben Mbarek, M. (2016). Nuclear energy, renewable energy, CO 2 emissions, and economic growth for nine developed countries: Evidence from panel Granger causality tests. </w:t>
      </w:r>
      <w:r w:rsidRPr="00AD039E">
        <w:rPr>
          <w:rFonts w:asciiTheme="minorHAnsi" w:hAnsiTheme="minorHAnsi" w:cs="Calibri"/>
          <w:i/>
          <w:iCs/>
          <w:color w:val="000000"/>
          <w:sz w:val="20"/>
          <w:szCs w:val="20"/>
        </w:rPr>
        <w:t>Progress in Nuclear Energy</w:t>
      </w:r>
      <w:r w:rsidRPr="00AD039E">
        <w:rPr>
          <w:rFonts w:asciiTheme="minorHAnsi" w:hAnsiTheme="minorHAnsi" w:cs="Calibri"/>
          <w:color w:val="000000"/>
          <w:sz w:val="20"/>
          <w:szCs w:val="20"/>
        </w:rPr>
        <w:t xml:space="preserve">, 88, pp.364–374. </w:t>
      </w:r>
      <w:proofErr w:type="spellStart"/>
      <w:r w:rsidRPr="00AD039E">
        <w:rPr>
          <w:rFonts w:asciiTheme="minorHAnsi" w:hAnsiTheme="minorHAnsi" w:cs="Calibri"/>
          <w:color w:val="000000"/>
          <w:sz w:val="20"/>
          <w:szCs w:val="20"/>
        </w:rPr>
        <w:t>doi</w:t>
      </w:r>
      <w:proofErr w:type="spellEnd"/>
      <w:r w:rsidRPr="00AD039E">
        <w:rPr>
          <w:rFonts w:asciiTheme="minorHAnsi" w:hAnsiTheme="minorHAnsi" w:cs="Calibri"/>
          <w:color w:val="000000"/>
          <w:sz w:val="20"/>
          <w:szCs w:val="20"/>
        </w:rPr>
        <w:t>:</w:t>
      </w:r>
      <w:r>
        <w:rPr>
          <w:rFonts w:asciiTheme="minorHAnsi" w:hAnsiTheme="minorHAnsi" w:cs="Calibri"/>
          <w:color w:val="000000"/>
          <w:sz w:val="20"/>
          <w:szCs w:val="20"/>
        </w:rPr>
        <w:t xml:space="preserve"> </w:t>
      </w:r>
      <w:hyperlink r:id="rId12" w:history="1">
        <w:r w:rsidRPr="00565B16">
          <w:rPr>
            <w:rStyle w:val="Hyperlink"/>
            <w:rFonts w:asciiTheme="minorHAnsi" w:hAnsiTheme="minorHAnsi" w:cs="Calibri"/>
            <w:sz w:val="20"/>
            <w:szCs w:val="20"/>
          </w:rPr>
          <w:t>https://doi.org/10.1016/j.pnucene.2016.01.018</w:t>
        </w:r>
      </w:hyperlink>
      <w:r w:rsidRPr="00AD039E">
        <w:rPr>
          <w:rFonts w:asciiTheme="minorHAnsi" w:hAnsiTheme="minorHAnsi" w:cs="Calibri"/>
          <w:color w:val="000000"/>
          <w:sz w:val="20"/>
          <w:szCs w:val="20"/>
        </w:rPr>
        <w:t xml:space="preserve"> </w:t>
      </w:r>
    </w:p>
    <w:p w14:paraId="2FD6C20F" w14:textId="128EDF52" w:rsidR="00DD058E" w:rsidRPr="00DD058E" w:rsidRDefault="00DD058E" w:rsidP="00DD058E">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DD058E">
        <w:rPr>
          <w:rFonts w:asciiTheme="minorHAnsi" w:hAnsiTheme="minorHAnsi" w:cs="Calibri"/>
          <w:color w:val="000000"/>
          <w:sz w:val="20"/>
          <w:szCs w:val="20"/>
        </w:rPr>
        <w:t>Gani, A. (2021). Fossil fuel energy and environmental performance in an extended STIRPAT model. </w:t>
      </w:r>
      <w:r w:rsidRPr="00DD058E">
        <w:rPr>
          <w:rFonts w:asciiTheme="minorHAnsi" w:hAnsiTheme="minorHAnsi" w:cs="Calibri"/>
          <w:i/>
          <w:iCs/>
          <w:color w:val="000000"/>
          <w:sz w:val="20"/>
          <w:szCs w:val="20"/>
        </w:rPr>
        <w:t>Journal of Cleaner Production</w:t>
      </w:r>
      <w:r w:rsidRPr="00DD058E">
        <w:rPr>
          <w:rFonts w:asciiTheme="minorHAnsi" w:hAnsiTheme="minorHAnsi" w:cs="Calibri"/>
          <w:color w:val="000000"/>
          <w:sz w:val="20"/>
          <w:szCs w:val="20"/>
        </w:rPr>
        <w:t>, 297, p.126526.</w:t>
      </w:r>
      <w:r>
        <w:rPr>
          <w:rFonts w:asciiTheme="minorHAnsi" w:hAnsiTheme="minorHAnsi" w:cs="Calibri"/>
          <w:color w:val="000000"/>
          <w:sz w:val="20"/>
          <w:szCs w:val="20"/>
        </w:rPr>
        <w:t xml:space="preserve"> </w:t>
      </w:r>
      <w:proofErr w:type="spellStart"/>
      <w:r w:rsidRPr="00DD058E">
        <w:rPr>
          <w:rFonts w:asciiTheme="minorHAnsi" w:hAnsiTheme="minorHAnsi" w:cs="Calibri"/>
          <w:color w:val="000000"/>
          <w:sz w:val="20"/>
          <w:szCs w:val="20"/>
        </w:rPr>
        <w:t>doi</w:t>
      </w:r>
      <w:proofErr w:type="spellEnd"/>
      <w:r w:rsidRPr="00DD058E">
        <w:rPr>
          <w:rFonts w:asciiTheme="minorHAnsi" w:hAnsiTheme="minorHAnsi" w:cs="Calibri"/>
          <w:color w:val="000000"/>
          <w:sz w:val="20"/>
          <w:szCs w:val="20"/>
        </w:rPr>
        <w:t>:</w:t>
      </w:r>
      <w:r w:rsidR="003C0884">
        <w:rPr>
          <w:rFonts w:asciiTheme="minorHAnsi" w:hAnsiTheme="minorHAnsi" w:cs="Calibri"/>
          <w:color w:val="000000"/>
          <w:sz w:val="20"/>
          <w:szCs w:val="20"/>
        </w:rPr>
        <w:t xml:space="preserve"> </w:t>
      </w:r>
      <w:hyperlink r:id="rId13" w:history="1">
        <w:r w:rsidR="00D82154" w:rsidRPr="00565B16">
          <w:rPr>
            <w:rStyle w:val="Hyperlink"/>
            <w:rFonts w:asciiTheme="minorHAnsi" w:hAnsiTheme="minorHAnsi" w:cs="Calibri"/>
            <w:sz w:val="20"/>
            <w:szCs w:val="20"/>
          </w:rPr>
          <w:t>https://doi.org/10.1016/j.jclepro.2021.126526</w:t>
        </w:r>
      </w:hyperlink>
      <w:r>
        <w:rPr>
          <w:rFonts w:asciiTheme="minorHAnsi" w:hAnsiTheme="minorHAnsi" w:cs="Calibri"/>
          <w:color w:val="000000"/>
          <w:sz w:val="20"/>
          <w:szCs w:val="20"/>
        </w:rPr>
        <w:t xml:space="preserve"> </w:t>
      </w:r>
    </w:p>
    <w:p w14:paraId="55C00B44" w14:textId="36B8B761" w:rsidR="00534591" w:rsidRPr="00534591" w:rsidRDefault="00534591" w:rsidP="00534591">
      <w:pPr>
        <w:pStyle w:val="NormalWeb"/>
        <w:numPr>
          <w:ilvl w:val="0"/>
          <w:numId w:val="12"/>
        </w:numPr>
        <w:spacing w:before="0" w:beforeAutospacing="0" w:after="0" w:afterAutospacing="0" w:line="360" w:lineRule="atLeast"/>
        <w:rPr>
          <w:rFonts w:asciiTheme="minorHAnsi" w:hAnsiTheme="minorHAnsi" w:cs="Calibri"/>
          <w:color w:val="000000"/>
          <w:sz w:val="20"/>
          <w:szCs w:val="20"/>
        </w:rPr>
      </w:pPr>
      <w:r w:rsidRPr="00534591">
        <w:rPr>
          <w:rFonts w:asciiTheme="minorHAnsi" w:hAnsiTheme="minorHAnsi" w:cs="Calibri"/>
          <w:color w:val="000000"/>
          <w:sz w:val="20"/>
          <w:szCs w:val="20"/>
        </w:rPr>
        <w:t>Suman, S. (2018). Hybrid nuclear-renewable energy systems: A review. </w:t>
      </w:r>
      <w:r w:rsidRPr="00534591">
        <w:rPr>
          <w:rFonts w:asciiTheme="minorHAnsi" w:hAnsiTheme="minorHAnsi" w:cs="Calibri"/>
          <w:i/>
          <w:iCs/>
          <w:color w:val="000000"/>
          <w:sz w:val="20"/>
          <w:szCs w:val="20"/>
        </w:rPr>
        <w:t>Journal of Cleaner Production</w:t>
      </w:r>
      <w:r w:rsidRPr="00534591">
        <w:rPr>
          <w:rFonts w:asciiTheme="minorHAnsi" w:hAnsiTheme="minorHAnsi" w:cs="Calibri"/>
          <w:color w:val="000000"/>
          <w:sz w:val="20"/>
          <w:szCs w:val="20"/>
        </w:rPr>
        <w:t xml:space="preserve">, 181, pp.166–177. </w:t>
      </w:r>
      <w:proofErr w:type="spellStart"/>
      <w:r w:rsidRPr="00534591">
        <w:rPr>
          <w:rFonts w:asciiTheme="minorHAnsi" w:hAnsiTheme="minorHAnsi" w:cs="Calibri"/>
          <w:color w:val="000000"/>
          <w:sz w:val="20"/>
          <w:szCs w:val="20"/>
        </w:rPr>
        <w:t>doi</w:t>
      </w:r>
      <w:proofErr w:type="spellEnd"/>
      <w:r w:rsidRPr="00534591">
        <w:rPr>
          <w:rFonts w:asciiTheme="minorHAnsi" w:hAnsiTheme="minorHAnsi" w:cs="Calibri"/>
          <w:color w:val="000000"/>
          <w:sz w:val="20"/>
          <w:szCs w:val="20"/>
        </w:rPr>
        <w:t>:</w:t>
      </w:r>
      <w:r w:rsidR="00DD058E">
        <w:rPr>
          <w:rFonts w:asciiTheme="minorHAnsi" w:hAnsiTheme="minorHAnsi" w:cs="Calibri"/>
          <w:color w:val="000000"/>
          <w:sz w:val="20"/>
          <w:szCs w:val="20"/>
        </w:rPr>
        <w:t xml:space="preserve"> </w:t>
      </w:r>
      <w:hyperlink r:id="rId14" w:history="1">
        <w:r w:rsidR="00DD058E" w:rsidRPr="00565B16">
          <w:rPr>
            <w:rStyle w:val="Hyperlink"/>
            <w:rFonts w:asciiTheme="minorHAnsi" w:hAnsiTheme="minorHAnsi" w:cs="Calibri"/>
            <w:sz w:val="20"/>
            <w:szCs w:val="20"/>
          </w:rPr>
          <w:t>https://doi.org/10.1016/j.jclepro.2018.01.262</w:t>
        </w:r>
      </w:hyperlink>
    </w:p>
    <w:p w14:paraId="49B02A08" w14:textId="46BDAC42" w:rsidR="004A6E03" w:rsidRPr="004A6E03" w:rsidRDefault="004A6E03" w:rsidP="004A6E03">
      <w:pPr>
        <w:pStyle w:val="NormalWeb"/>
        <w:numPr>
          <w:ilvl w:val="0"/>
          <w:numId w:val="12"/>
        </w:numPr>
        <w:spacing w:before="0" w:beforeAutospacing="0" w:after="0" w:afterAutospacing="0" w:line="360" w:lineRule="atLeast"/>
        <w:rPr>
          <w:rFonts w:ascii="Calibri" w:hAnsi="Calibri" w:cs="Calibri"/>
          <w:color w:val="000000"/>
          <w:sz w:val="27"/>
          <w:szCs w:val="27"/>
        </w:rPr>
      </w:pPr>
      <w:r w:rsidRPr="004A6E03">
        <w:rPr>
          <w:rFonts w:asciiTheme="minorHAnsi" w:hAnsiTheme="minorHAnsi" w:cs="Calibri"/>
          <w:color w:val="000000"/>
          <w:sz w:val="20"/>
          <w:szCs w:val="20"/>
        </w:rPr>
        <w:t>Hassan, S.T., Danish, Salah-Ud-Din khan, Awais Baloch, M. and Tarar, Z.H. (2020). Is nuclear energy a better alternative for mitigating CO2 emissions in BRICS countries? An empirical analysis. </w:t>
      </w:r>
      <w:r w:rsidRPr="004A6E03">
        <w:rPr>
          <w:rFonts w:asciiTheme="minorHAnsi" w:hAnsiTheme="minorHAnsi" w:cs="Calibri"/>
          <w:i/>
          <w:iCs/>
          <w:color w:val="000000"/>
          <w:sz w:val="20"/>
          <w:szCs w:val="20"/>
        </w:rPr>
        <w:t>Nuclear Engineering and Technology</w:t>
      </w:r>
      <w:r w:rsidRPr="004A6E03">
        <w:rPr>
          <w:rFonts w:asciiTheme="minorHAnsi" w:hAnsiTheme="minorHAnsi" w:cs="Calibri"/>
          <w:color w:val="000000"/>
          <w:sz w:val="20"/>
          <w:szCs w:val="20"/>
        </w:rPr>
        <w:t xml:space="preserve">, 52(12), pp.2969–2974. </w:t>
      </w:r>
      <w:proofErr w:type="spellStart"/>
      <w:r w:rsidRPr="004A6E03">
        <w:rPr>
          <w:rFonts w:asciiTheme="minorHAnsi" w:hAnsiTheme="minorHAnsi" w:cs="Calibri"/>
          <w:color w:val="000000"/>
          <w:sz w:val="20"/>
          <w:szCs w:val="20"/>
        </w:rPr>
        <w:t>doi</w:t>
      </w:r>
      <w:proofErr w:type="spellEnd"/>
      <w:r w:rsidRPr="004A6E03">
        <w:rPr>
          <w:rFonts w:asciiTheme="minorHAnsi" w:hAnsiTheme="minorHAnsi" w:cs="Calibri"/>
          <w:color w:val="000000"/>
          <w:sz w:val="20"/>
          <w:szCs w:val="20"/>
        </w:rPr>
        <w:t>:</w:t>
      </w:r>
      <w:r w:rsidR="00DD058E">
        <w:rPr>
          <w:rFonts w:asciiTheme="minorHAnsi" w:hAnsiTheme="minorHAnsi" w:cs="Calibri"/>
          <w:color w:val="000000"/>
          <w:sz w:val="20"/>
          <w:szCs w:val="20"/>
        </w:rPr>
        <w:t xml:space="preserve"> </w:t>
      </w:r>
      <w:hyperlink r:id="rId15" w:history="1">
        <w:r w:rsidR="00DD058E" w:rsidRPr="00565B16">
          <w:rPr>
            <w:rStyle w:val="Hyperlink"/>
            <w:rFonts w:asciiTheme="minorHAnsi" w:hAnsiTheme="minorHAnsi" w:cs="Calibri"/>
            <w:sz w:val="20"/>
            <w:szCs w:val="20"/>
          </w:rPr>
          <w:t>https://doi.org/10.1016/j.net.2020.05.016</w:t>
        </w:r>
      </w:hyperlink>
    </w:p>
    <w:p w14:paraId="2286E65B" w14:textId="77777777" w:rsidR="004A6E03" w:rsidRPr="004A6E03" w:rsidRDefault="004A6E03" w:rsidP="004A6E03">
      <w:pPr>
        <w:pStyle w:val="NormalWeb"/>
        <w:spacing w:line="360" w:lineRule="atLeast"/>
        <w:rPr>
          <w:rFonts w:asciiTheme="minorHAnsi" w:hAnsiTheme="minorHAnsi" w:cs="Calibri"/>
          <w:color w:val="000000"/>
          <w:sz w:val="20"/>
          <w:szCs w:val="20"/>
        </w:rPr>
      </w:pPr>
    </w:p>
    <w:p w14:paraId="4FEAE4D9" w14:textId="77777777" w:rsidR="00457894" w:rsidRPr="00266A7F" w:rsidRDefault="00457894" w:rsidP="009B076E">
      <w:pPr>
        <w:pStyle w:val="NormalWeb"/>
        <w:spacing w:line="360" w:lineRule="atLeast"/>
        <w:rPr>
          <w:rFonts w:asciiTheme="minorHAnsi" w:hAnsiTheme="minorHAnsi" w:cs="Calibri"/>
          <w:color w:val="000000"/>
          <w:sz w:val="20"/>
          <w:szCs w:val="20"/>
        </w:rPr>
      </w:pPr>
    </w:p>
    <w:p w14:paraId="08AAF06B" w14:textId="77777777" w:rsidR="00266A7F" w:rsidRPr="00266A7F" w:rsidRDefault="00266A7F" w:rsidP="00266A7F">
      <w:pPr>
        <w:pStyle w:val="NormalWeb"/>
        <w:spacing w:line="360" w:lineRule="atLeast"/>
        <w:rPr>
          <w:rFonts w:asciiTheme="minorHAnsi" w:hAnsiTheme="minorHAnsi" w:cs="Calibri"/>
          <w:color w:val="000000"/>
          <w:sz w:val="20"/>
          <w:szCs w:val="20"/>
        </w:rPr>
      </w:pPr>
    </w:p>
    <w:p w14:paraId="3146A71C" w14:textId="77777777" w:rsidR="00266A7F" w:rsidRPr="005F535C" w:rsidRDefault="00266A7F" w:rsidP="00BC2E19">
      <w:pPr>
        <w:pStyle w:val="NormalWeb"/>
        <w:spacing w:before="0" w:beforeAutospacing="0" w:after="0" w:afterAutospacing="0" w:line="360" w:lineRule="atLeast"/>
        <w:rPr>
          <w:rFonts w:asciiTheme="minorHAnsi" w:hAnsiTheme="minorHAnsi" w:cs="Calibri"/>
          <w:color w:val="000000"/>
          <w:sz w:val="20"/>
          <w:szCs w:val="20"/>
        </w:rPr>
      </w:pPr>
    </w:p>
    <w:sectPr w:rsidR="00266A7F" w:rsidRPr="005F535C" w:rsidSect="00CA6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C563E"/>
    <w:multiLevelType w:val="hybridMultilevel"/>
    <w:tmpl w:val="8DF8F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DB00F3"/>
    <w:multiLevelType w:val="hybridMultilevel"/>
    <w:tmpl w:val="04B61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BC1BB0"/>
    <w:multiLevelType w:val="hybridMultilevel"/>
    <w:tmpl w:val="C546B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AD47FE"/>
    <w:multiLevelType w:val="multilevel"/>
    <w:tmpl w:val="3F76E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B27CE3"/>
    <w:multiLevelType w:val="hybridMultilevel"/>
    <w:tmpl w:val="EB1C2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E14130"/>
    <w:multiLevelType w:val="multilevel"/>
    <w:tmpl w:val="020E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EA5B99"/>
    <w:multiLevelType w:val="hybridMultilevel"/>
    <w:tmpl w:val="97284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6A7718"/>
    <w:multiLevelType w:val="hybridMultilevel"/>
    <w:tmpl w:val="ACC218A6"/>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F8822C0"/>
    <w:multiLevelType w:val="hybridMultilevel"/>
    <w:tmpl w:val="7812AEF4"/>
    <w:lvl w:ilvl="0" w:tplc="D6CE3BC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FB7771"/>
    <w:multiLevelType w:val="hybridMultilevel"/>
    <w:tmpl w:val="60E24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266301"/>
    <w:multiLevelType w:val="hybridMultilevel"/>
    <w:tmpl w:val="BEAA1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3458609">
    <w:abstractNumId w:val="5"/>
  </w:num>
  <w:num w:numId="2" w16cid:durableId="267812148">
    <w:abstractNumId w:val="7"/>
  </w:num>
  <w:num w:numId="3" w16cid:durableId="180360768">
    <w:abstractNumId w:val="9"/>
  </w:num>
  <w:num w:numId="4" w16cid:durableId="815100522">
    <w:abstractNumId w:val="14"/>
  </w:num>
  <w:num w:numId="5" w16cid:durableId="1052928483">
    <w:abstractNumId w:val="0"/>
  </w:num>
  <w:num w:numId="6" w16cid:durableId="1904826044">
    <w:abstractNumId w:val="4"/>
  </w:num>
  <w:num w:numId="7" w16cid:durableId="509876732">
    <w:abstractNumId w:val="2"/>
  </w:num>
  <w:num w:numId="8" w16cid:durableId="1392073056">
    <w:abstractNumId w:val="13"/>
  </w:num>
  <w:num w:numId="9" w16cid:durableId="956763075">
    <w:abstractNumId w:val="11"/>
  </w:num>
  <w:num w:numId="10" w16cid:durableId="224995974">
    <w:abstractNumId w:val="3"/>
  </w:num>
  <w:num w:numId="11" w16cid:durableId="681972051">
    <w:abstractNumId w:val="10"/>
  </w:num>
  <w:num w:numId="12" w16cid:durableId="1379208424">
    <w:abstractNumId w:val="8"/>
  </w:num>
  <w:num w:numId="13" w16cid:durableId="2135099053">
    <w:abstractNumId w:val="6"/>
  </w:num>
  <w:num w:numId="14" w16cid:durableId="207765833">
    <w:abstractNumId w:val="15"/>
  </w:num>
  <w:num w:numId="15" w16cid:durableId="125510659">
    <w:abstractNumId w:val="1"/>
  </w:num>
  <w:num w:numId="16" w16cid:durableId="13230469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0C4"/>
    <w:rsid w:val="0002407E"/>
    <w:rsid w:val="00053009"/>
    <w:rsid w:val="000855BC"/>
    <w:rsid w:val="000B50FB"/>
    <w:rsid w:val="000E2F95"/>
    <w:rsid w:val="001534B7"/>
    <w:rsid w:val="001C5E9B"/>
    <w:rsid w:val="001D19D2"/>
    <w:rsid w:val="001F0091"/>
    <w:rsid w:val="0022639C"/>
    <w:rsid w:val="00230645"/>
    <w:rsid w:val="0024747D"/>
    <w:rsid w:val="00266A7F"/>
    <w:rsid w:val="00270855"/>
    <w:rsid w:val="00292650"/>
    <w:rsid w:val="002F47B4"/>
    <w:rsid w:val="00325601"/>
    <w:rsid w:val="00346DE0"/>
    <w:rsid w:val="003538EC"/>
    <w:rsid w:val="00395667"/>
    <w:rsid w:val="0039787D"/>
    <w:rsid w:val="003C0884"/>
    <w:rsid w:val="0040491B"/>
    <w:rsid w:val="0041062C"/>
    <w:rsid w:val="004266C9"/>
    <w:rsid w:val="00433825"/>
    <w:rsid w:val="00457894"/>
    <w:rsid w:val="004A0100"/>
    <w:rsid w:val="004A6E03"/>
    <w:rsid w:val="005046CD"/>
    <w:rsid w:val="0050474D"/>
    <w:rsid w:val="00515A6C"/>
    <w:rsid w:val="00534591"/>
    <w:rsid w:val="00565774"/>
    <w:rsid w:val="00584DD3"/>
    <w:rsid w:val="00595435"/>
    <w:rsid w:val="005E22B6"/>
    <w:rsid w:val="005F535C"/>
    <w:rsid w:val="005F58F4"/>
    <w:rsid w:val="00606993"/>
    <w:rsid w:val="006678D5"/>
    <w:rsid w:val="00692CC0"/>
    <w:rsid w:val="006C14C6"/>
    <w:rsid w:val="006C326F"/>
    <w:rsid w:val="006F058E"/>
    <w:rsid w:val="00722457"/>
    <w:rsid w:val="00740883"/>
    <w:rsid w:val="00750A24"/>
    <w:rsid w:val="00761B4E"/>
    <w:rsid w:val="007A3EF1"/>
    <w:rsid w:val="007C6F89"/>
    <w:rsid w:val="007D3C28"/>
    <w:rsid w:val="007D4D4B"/>
    <w:rsid w:val="00804C8C"/>
    <w:rsid w:val="00820C38"/>
    <w:rsid w:val="008A6D98"/>
    <w:rsid w:val="008C2352"/>
    <w:rsid w:val="008E5893"/>
    <w:rsid w:val="008F21DE"/>
    <w:rsid w:val="009029EC"/>
    <w:rsid w:val="00945DE7"/>
    <w:rsid w:val="00980180"/>
    <w:rsid w:val="009B076E"/>
    <w:rsid w:val="009C5593"/>
    <w:rsid w:val="00A06546"/>
    <w:rsid w:val="00A42D78"/>
    <w:rsid w:val="00A935AD"/>
    <w:rsid w:val="00A94802"/>
    <w:rsid w:val="00AB2466"/>
    <w:rsid w:val="00AB4560"/>
    <w:rsid w:val="00AC032B"/>
    <w:rsid w:val="00AD039E"/>
    <w:rsid w:val="00B136FC"/>
    <w:rsid w:val="00B94197"/>
    <w:rsid w:val="00BA0F4F"/>
    <w:rsid w:val="00BC2E19"/>
    <w:rsid w:val="00BC5F59"/>
    <w:rsid w:val="00C21A25"/>
    <w:rsid w:val="00C404ED"/>
    <w:rsid w:val="00C4456B"/>
    <w:rsid w:val="00C510C4"/>
    <w:rsid w:val="00C6130A"/>
    <w:rsid w:val="00CA63EB"/>
    <w:rsid w:val="00CD3296"/>
    <w:rsid w:val="00D2512A"/>
    <w:rsid w:val="00D260CD"/>
    <w:rsid w:val="00D82154"/>
    <w:rsid w:val="00DA4C40"/>
    <w:rsid w:val="00DD058E"/>
    <w:rsid w:val="00DD75BC"/>
    <w:rsid w:val="00DE3640"/>
    <w:rsid w:val="00DF33FA"/>
    <w:rsid w:val="00E02539"/>
    <w:rsid w:val="00E241C2"/>
    <w:rsid w:val="00E3375A"/>
    <w:rsid w:val="00E50719"/>
    <w:rsid w:val="00E70C28"/>
    <w:rsid w:val="00E90365"/>
    <w:rsid w:val="00EA31E1"/>
    <w:rsid w:val="00EB02FD"/>
    <w:rsid w:val="00EC396B"/>
    <w:rsid w:val="00EE2082"/>
    <w:rsid w:val="00F22D72"/>
    <w:rsid w:val="00F875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941DD"/>
  <w15:chartTrackingRefBased/>
  <w15:docId w15:val="{C5E81779-DC63-4F92-8B47-A1889ED82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1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0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0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0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1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0C4"/>
    <w:rPr>
      <w:rFonts w:eastAsiaTheme="majorEastAsia" w:cstheme="majorBidi"/>
      <w:color w:val="272727" w:themeColor="text1" w:themeTint="D8"/>
    </w:rPr>
  </w:style>
  <w:style w:type="paragraph" w:styleId="Title">
    <w:name w:val="Title"/>
    <w:basedOn w:val="Normal"/>
    <w:next w:val="Normal"/>
    <w:link w:val="TitleChar"/>
    <w:uiPriority w:val="10"/>
    <w:qFormat/>
    <w:rsid w:val="00C51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0C4"/>
    <w:pPr>
      <w:spacing w:before="160"/>
      <w:jc w:val="center"/>
    </w:pPr>
    <w:rPr>
      <w:i/>
      <w:iCs/>
      <w:color w:val="404040" w:themeColor="text1" w:themeTint="BF"/>
    </w:rPr>
  </w:style>
  <w:style w:type="character" w:customStyle="1" w:styleId="QuoteChar">
    <w:name w:val="Quote Char"/>
    <w:basedOn w:val="DefaultParagraphFont"/>
    <w:link w:val="Quote"/>
    <w:uiPriority w:val="29"/>
    <w:rsid w:val="00C510C4"/>
    <w:rPr>
      <w:i/>
      <w:iCs/>
      <w:color w:val="404040" w:themeColor="text1" w:themeTint="BF"/>
    </w:rPr>
  </w:style>
  <w:style w:type="paragraph" w:styleId="ListParagraph">
    <w:name w:val="List Paragraph"/>
    <w:basedOn w:val="Normal"/>
    <w:qFormat/>
    <w:rsid w:val="00C510C4"/>
    <w:pPr>
      <w:ind w:left="720"/>
      <w:contextualSpacing/>
    </w:pPr>
  </w:style>
  <w:style w:type="character" w:styleId="IntenseEmphasis">
    <w:name w:val="Intense Emphasis"/>
    <w:basedOn w:val="DefaultParagraphFont"/>
    <w:uiPriority w:val="21"/>
    <w:qFormat/>
    <w:rsid w:val="00C510C4"/>
    <w:rPr>
      <w:i/>
      <w:iCs/>
      <w:color w:val="0F4761" w:themeColor="accent1" w:themeShade="BF"/>
    </w:rPr>
  </w:style>
  <w:style w:type="paragraph" w:styleId="IntenseQuote">
    <w:name w:val="Intense Quote"/>
    <w:basedOn w:val="Normal"/>
    <w:next w:val="Normal"/>
    <w:link w:val="IntenseQuoteChar"/>
    <w:uiPriority w:val="30"/>
    <w:qFormat/>
    <w:rsid w:val="00C51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0C4"/>
    <w:rPr>
      <w:i/>
      <w:iCs/>
      <w:color w:val="0F4761" w:themeColor="accent1" w:themeShade="BF"/>
    </w:rPr>
  </w:style>
  <w:style w:type="character" w:styleId="IntenseReference">
    <w:name w:val="Intense Reference"/>
    <w:basedOn w:val="DefaultParagraphFont"/>
    <w:uiPriority w:val="32"/>
    <w:qFormat/>
    <w:rsid w:val="00C510C4"/>
    <w:rPr>
      <w:b/>
      <w:bCs/>
      <w:smallCaps/>
      <w:color w:val="0F4761" w:themeColor="accent1" w:themeShade="BF"/>
      <w:spacing w:val="5"/>
    </w:rPr>
  </w:style>
  <w:style w:type="paragraph" w:customStyle="1" w:styleId="Default">
    <w:name w:val="Default"/>
    <w:rsid w:val="00CA63EB"/>
    <w:pPr>
      <w:autoSpaceDE w:val="0"/>
      <w:autoSpaceDN w:val="0"/>
      <w:adjustRightInd w:val="0"/>
      <w:spacing w:after="0" w:line="240" w:lineRule="auto"/>
    </w:pPr>
    <w:rPr>
      <w:rFonts w:ascii="Arial" w:eastAsia="Times New Roman" w:hAnsi="Arial" w:cs="Arial"/>
      <w:color w:val="000000"/>
      <w:kern w:val="0"/>
      <w:lang w:eastAsia="en-US"/>
      <w14:ligatures w14:val="none"/>
    </w:rPr>
  </w:style>
  <w:style w:type="paragraph" w:styleId="NormalWeb">
    <w:name w:val="Normal (Web)"/>
    <w:basedOn w:val="Normal"/>
    <w:uiPriority w:val="99"/>
    <w:unhideWhenUsed/>
    <w:rsid w:val="00CA63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A63EB"/>
    <w:rPr>
      <w:color w:val="467886" w:themeColor="hyperlink"/>
      <w:u w:val="single"/>
    </w:rPr>
  </w:style>
  <w:style w:type="character" w:styleId="UnresolvedMention">
    <w:name w:val="Unresolved Mention"/>
    <w:basedOn w:val="DefaultParagraphFont"/>
    <w:uiPriority w:val="99"/>
    <w:semiHidden/>
    <w:unhideWhenUsed/>
    <w:rsid w:val="00CA63EB"/>
    <w:rPr>
      <w:color w:val="605E5C"/>
      <w:shd w:val="clear" w:color="auto" w:fill="E1DFDD"/>
    </w:rPr>
  </w:style>
  <w:style w:type="paragraph" w:customStyle="1" w:styleId="msonormal0">
    <w:name w:val="msonormal"/>
    <w:basedOn w:val="Normal"/>
    <w:rsid w:val="00266A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y-1">
    <w:name w:val="py-1"/>
    <w:basedOn w:val="Normal"/>
    <w:rsid w:val="00266A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50A2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029EC"/>
    <w:pPr>
      <w:spacing w:after="100"/>
      <w:ind w:left="240"/>
    </w:pPr>
  </w:style>
  <w:style w:type="character" w:styleId="FollowedHyperlink">
    <w:name w:val="FollowedHyperlink"/>
    <w:basedOn w:val="DefaultParagraphFont"/>
    <w:uiPriority w:val="99"/>
    <w:semiHidden/>
    <w:unhideWhenUsed/>
    <w:rsid w:val="003C088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16/j.jclepro.2021.12652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16/j.pnucene.2016.01.01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renene.2022.03.121" TargetMode="External"/><Relationship Id="rId5" Type="http://schemas.openxmlformats.org/officeDocument/2006/relationships/webSettings" Target="webSettings.xml"/><Relationship Id="rId15" Type="http://schemas.openxmlformats.org/officeDocument/2006/relationships/hyperlink" Target="https://doi.org/10.1016/j.net.2020.05.016" TargetMode="External"/><Relationship Id="rId10" Type="http://schemas.openxmlformats.org/officeDocument/2006/relationships/hyperlink" Target="https://doi.org/10.1016/j.renene.2021.12.022" TargetMode="External"/><Relationship Id="rId4" Type="http://schemas.openxmlformats.org/officeDocument/2006/relationships/settings" Target="settings.xml"/><Relationship Id="rId9" Type="http://schemas.openxmlformats.org/officeDocument/2006/relationships/hyperlink" Target="https://doi.org/10.1016/j.energy.2020.119592" TargetMode="External"/><Relationship Id="rId14" Type="http://schemas.openxmlformats.org/officeDocument/2006/relationships/hyperlink" Target="https://doi.org/10.1016/j.jclepro.2018.01.2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05DAA-A8CC-4209-B1CE-24C91276B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4564</Words>
  <Characters>26020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Thomas (2405168)</dc:creator>
  <cp:keywords/>
  <dc:description/>
  <cp:lastModifiedBy>Oliver Thomas</cp:lastModifiedBy>
  <cp:revision>136</cp:revision>
  <dcterms:created xsi:type="dcterms:W3CDTF">2026-03-16T16:06:00Z</dcterms:created>
  <dcterms:modified xsi:type="dcterms:W3CDTF">2026-04-20T19:02:00Z</dcterms:modified>
</cp:coreProperties>
</file>