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7563A" w14:textId="243D6DF8" w:rsidR="00DC5FA3" w:rsidRDefault="00DC5FA3" w:rsidP="00DC5FA3">
      <w:pPr>
        <w:spacing w:before="200"/>
        <w:jc w:val="center"/>
        <w:rPr>
          <w:rFonts w:cs="Arial"/>
          <w:b/>
        </w:rPr>
      </w:pPr>
      <w:r>
        <w:rPr>
          <w:b/>
          <w:noProof/>
          <w:sz w:val="56"/>
        </w:rPr>
        <w:drawing>
          <wp:inline distT="0" distB="0" distL="0" distR="0" wp14:anchorId="0D15445C" wp14:editId="113DF921">
            <wp:extent cx="3524324" cy="1404938"/>
            <wp:effectExtent l="0" t="0" r="0" b="5080"/>
            <wp:docPr id="726759203" name="Picture 726759203"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759203" name="Picture 726759203"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5E43BBDF" w14:textId="77777777" w:rsidR="00DC5FA3" w:rsidRDefault="00DC5FA3" w:rsidP="00DC5FA3">
      <w:pPr>
        <w:spacing w:before="200"/>
        <w:ind w:firstLine="720"/>
        <w:jc w:val="center"/>
        <w:rPr>
          <w:rFonts w:cs="Arial"/>
          <w:b/>
        </w:rPr>
      </w:pPr>
    </w:p>
    <w:p w14:paraId="678B3AD1" w14:textId="69FB80E1" w:rsidR="00DC5FA3" w:rsidRDefault="00DC5FA3" w:rsidP="00DC5FA3">
      <w:pPr>
        <w:tabs>
          <w:tab w:val="left" w:pos="7056"/>
        </w:tabs>
        <w:spacing w:before="212"/>
        <w:rPr>
          <w:b/>
          <w:sz w:val="48"/>
          <w:szCs w:val="48"/>
        </w:rPr>
      </w:pPr>
      <w:r w:rsidRPr="00DD5969">
        <w:rPr>
          <w:b/>
          <w:sz w:val="48"/>
          <w:szCs w:val="48"/>
        </w:rPr>
        <w:t xml:space="preserve">MODULE </w:t>
      </w:r>
      <w:proofErr w:type="gramStart"/>
      <w:r w:rsidRPr="00DD5969">
        <w:rPr>
          <w:b/>
          <w:sz w:val="48"/>
          <w:szCs w:val="48"/>
        </w:rPr>
        <w:t>CODE:</w:t>
      </w:r>
      <w:r>
        <w:rPr>
          <w:b/>
          <w:sz w:val="48"/>
          <w:szCs w:val="48"/>
        </w:rPr>
        <w:t>ECDE</w:t>
      </w:r>
      <w:proofErr w:type="gramEnd"/>
      <w:r>
        <w:rPr>
          <w:b/>
          <w:sz w:val="48"/>
          <w:szCs w:val="48"/>
        </w:rPr>
        <w:t>7017</w:t>
      </w:r>
      <w:r>
        <w:rPr>
          <w:b/>
          <w:sz w:val="48"/>
          <w:szCs w:val="48"/>
        </w:rPr>
        <w:tab/>
      </w:r>
    </w:p>
    <w:p w14:paraId="635C57D7" w14:textId="77777777" w:rsidR="00DC5FA3" w:rsidRDefault="00DC5FA3" w:rsidP="00DC5FA3">
      <w:pPr>
        <w:spacing w:before="212"/>
        <w:rPr>
          <w:b/>
          <w:sz w:val="48"/>
          <w:szCs w:val="48"/>
        </w:rPr>
      </w:pPr>
    </w:p>
    <w:p w14:paraId="43CEB1B7" w14:textId="1D60452F" w:rsidR="00DC5FA3" w:rsidRDefault="00DC5FA3" w:rsidP="00DC5FA3">
      <w:pPr>
        <w:spacing w:before="212"/>
        <w:rPr>
          <w:b/>
          <w:sz w:val="44"/>
        </w:rPr>
      </w:pPr>
      <w:r>
        <w:rPr>
          <w:b/>
          <w:sz w:val="48"/>
          <w:szCs w:val="48"/>
        </w:rPr>
        <w:t>ASSESSMENT COMPONENT: POLICY REPORT</w:t>
      </w:r>
    </w:p>
    <w:p w14:paraId="6B8496FD" w14:textId="792C0FA7" w:rsidR="00DC5FA3" w:rsidRPr="00DD5969" w:rsidRDefault="00DC5FA3" w:rsidP="00DC5FA3">
      <w:pPr>
        <w:spacing w:before="3"/>
        <w:rPr>
          <w:b/>
          <w:sz w:val="48"/>
          <w:szCs w:val="48"/>
        </w:rPr>
      </w:pPr>
      <w:r w:rsidRPr="00DD5969">
        <w:rPr>
          <w:b/>
          <w:sz w:val="48"/>
          <w:szCs w:val="48"/>
        </w:rPr>
        <w:t>STUDENT NAME:</w:t>
      </w:r>
      <w:r w:rsidR="00BA3C89">
        <w:rPr>
          <w:b/>
          <w:sz w:val="48"/>
          <w:szCs w:val="48"/>
        </w:rPr>
        <w:t xml:space="preserve"> </w:t>
      </w:r>
      <w:r>
        <w:rPr>
          <w:b/>
          <w:sz w:val="48"/>
          <w:szCs w:val="48"/>
        </w:rPr>
        <w:t>Inam Alsalim</w:t>
      </w:r>
    </w:p>
    <w:p w14:paraId="58A15C1F" w14:textId="77777777" w:rsidR="00DC5FA3" w:rsidRPr="00DD5969" w:rsidRDefault="00DC5FA3" w:rsidP="00DC5FA3">
      <w:pPr>
        <w:spacing w:before="3"/>
        <w:rPr>
          <w:b/>
          <w:sz w:val="48"/>
          <w:szCs w:val="48"/>
        </w:rPr>
      </w:pPr>
    </w:p>
    <w:p w14:paraId="415806F9" w14:textId="77777777" w:rsidR="00DC5FA3" w:rsidRPr="00DD5969" w:rsidRDefault="00DC5FA3" w:rsidP="00DC5FA3">
      <w:pPr>
        <w:spacing w:before="3"/>
        <w:rPr>
          <w:b/>
          <w:sz w:val="48"/>
          <w:szCs w:val="48"/>
        </w:rPr>
      </w:pPr>
      <w:r w:rsidRPr="00DD5969">
        <w:rPr>
          <w:b/>
          <w:sz w:val="48"/>
          <w:szCs w:val="48"/>
        </w:rPr>
        <w:t xml:space="preserve">STUDENT </w:t>
      </w:r>
      <w:r>
        <w:rPr>
          <w:b/>
          <w:sz w:val="48"/>
          <w:szCs w:val="48"/>
        </w:rPr>
        <w:t>NUMBER</w:t>
      </w:r>
      <w:r w:rsidRPr="00DD5969">
        <w:rPr>
          <w:b/>
          <w:sz w:val="48"/>
          <w:szCs w:val="48"/>
        </w:rPr>
        <w:t>:</w:t>
      </w:r>
      <w:r>
        <w:rPr>
          <w:b/>
          <w:sz w:val="48"/>
          <w:szCs w:val="48"/>
        </w:rPr>
        <w:t>2502495</w:t>
      </w:r>
    </w:p>
    <w:p w14:paraId="69106601" w14:textId="77777777" w:rsidR="00DC5FA3" w:rsidRPr="00E243A8" w:rsidRDefault="00DC5FA3" w:rsidP="00DC5FA3">
      <w:pPr>
        <w:rPr>
          <w:b/>
          <w:bCs/>
          <w:sz w:val="32"/>
          <w:szCs w:val="32"/>
          <w:u w:val="single"/>
        </w:rPr>
      </w:pPr>
      <w:r w:rsidRPr="00E243A8">
        <w:rPr>
          <w:b/>
          <w:bCs/>
          <w:sz w:val="32"/>
          <w:szCs w:val="32"/>
          <w:u w:val="single"/>
        </w:rPr>
        <w:t>AI Acknowledgement</w:t>
      </w:r>
    </w:p>
    <w:p w14:paraId="3526359E" w14:textId="77777777" w:rsidR="00DC5FA3" w:rsidRDefault="00DC5FA3" w:rsidP="00DC5FA3"/>
    <w:p w14:paraId="15E3AE8A" w14:textId="77777777" w:rsidR="00DC5FA3" w:rsidRDefault="00DC5FA3" w:rsidP="00DC5FA3">
      <w:r w:rsidRPr="00E243A8">
        <w:t xml:space="preserve">I confirm that I have not used any AI tools in the research and creation of this assignment. </w:t>
      </w:r>
    </w:p>
    <w:p w14:paraId="5AABAA31" w14:textId="77777777" w:rsidR="00DC5FA3" w:rsidRDefault="00DC5FA3" w:rsidP="00DC5FA3">
      <w:r w:rsidRPr="00E243A8">
        <w:t xml:space="preserve">I confirm that I have not presented any AI generated materials as my own work. </w:t>
      </w:r>
    </w:p>
    <w:p w14:paraId="06ACED46" w14:textId="77777777" w:rsidR="00DC5FA3" w:rsidRPr="00E243A8" w:rsidRDefault="00DC5FA3" w:rsidP="00DC5FA3">
      <w:r w:rsidRPr="00E243A8">
        <w:t xml:space="preserve">I confirm </w:t>
      </w:r>
      <w:r>
        <w:t xml:space="preserve">that </w:t>
      </w:r>
      <w:r w:rsidRPr="00E243A8">
        <w:t>I have copies of my drafts, notes, and other resources I used, which I may be asked to provide in evidence.</w:t>
      </w:r>
    </w:p>
    <w:p w14:paraId="3317573E" w14:textId="77777777" w:rsidR="00DC5FA3" w:rsidRPr="00C2550A" w:rsidRDefault="00DC5FA3" w:rsidP="00DC5FA3">
      <w:pPr>
        <w:rPr>
          <w:b/>
          <w:bCs/>
        </w:rPr>
      </w:pPr>
      <w:r w:rsidRPr="00C2550A">
        <w:rPr>
          <w:b/>
          <w:bCs/>
        </w:rPr>
        <w:t>OR:</w:t>
      </w:r>
    </w:p>
    <w:p w14:paraId="217AC3EF" w14:textId="77777777" w:rsidR="00DC5FA3" w:rsidRDefault="00DC5FA3" w:rsidP="00DC5FA3"/>
    <w:p w14:paraId="7DBB7C91" w14:textId="77777777" w:rsidR="00DC5FA3" w:rsidRPr="00DD5969" w:rsidRDefault="00DC5FA3" w:rsidP="00DC5FA3">
      <w:r w:rsidRPr="00DD5969">
        <w:t xml:space="preserve">I acknowledge the use of [AI Tool] [(AI Tool </w:t>
      </w:r>
      <w:proofErr w:type="spellStart"/>
      <w:r w:rsidRPr="00DD5969">
        <w:t>url</w:t>
      </w:r>
      <w:proofErr w:type="spellEnd"/>
      <w:r w:rsidRPr="00DD5969">
        <w:t xml:space="preserve">)] on [Date] to [Purpose my work]. I used the prompt(s): </w:t>
      </w:r>
    </w:p>
    <w:p w14:paraId="1CA6B13A" w14:textId="3D0D6BB1" w:rsidR="00DC5FA3" w:rsidRPr="00DD5969" w:rsidRDefault="00DC5FA3" w:rsidP="00DC5FA3">
      <w:r w:rsidRPr="00DD5969">
        <w:t>1. [</w:t>
      </w:r>
      <w:r>
        <w:t>Grammarly for proof reading and punctuation</w:t>
      </w:r>
      <w:r w:rsidRPr="00DD5969">
        <w:t xml:space="preserve">] </w:t>
      </w:r>
      <w:r>
        <w:t>24/</w:t>
      </w:r>
      <w:r w:rsidR="007D0193">
        <w:t>4/</w:t>
      </w:r>
      <w:r>
        <w:t>202</w:t>
      </w:r>
      <w:r w:rsidR="007D0193">
        <w:t>6</w:t>
      </w:r>
    </w:p>
    <w:p w14:paraId="078E11C1" w14:textId="0B3282A4" w:rsidR="00DC5FA3" w:rsidRDefault="00DC5FA3" w:rsidP="00DC5FA3">
      <w:r w:rsidRPr="00DD5969">
        <w:t>2. [</w:t>
      </w:r>
      <w:proofErr w:type="spellStart"/>
      <w:r>
        <w:t>quillbot</w:t>
      </w:r>
      <w:proofErr w:type="spellEnd"/>
      <w:r>
        <w:t xml:space="preserve"> to search for resources</w:t>
      </w:r>
      <w:r w:rsidRPr="00DD5969">
        <w:t xml:space="preserve">] </w:t>
      </w:r>
      <w:r>
        <w:t>24</w:t>
      </w:r>
      <w:r w:rsidR="007D0193">
        <w:t>/4</w:t>
      </w:r>
      <w:r>
        <w:t>/202</w:t>
      </w:r>
      <w:r w:rsidR="007D0193">
        <w:t>6</w:t>
      </w:r>
      <w:r w:rsidRPr="00DD5969">
        <w:t>. [</w:t>
      </w:r>
      <w:r>
        <w:t>CHAT GPT summarise some articles]</w:t>
      </w:r>
      <w:r w:rsidRPr="00DD5969">
        <w:t xml:space="preserve"> </w:t>
      </w:r>
      <w:r>
        <w:t>24/</w:t>
      </w:r>
      <w:r w:rsidR="007D0193">
        <w:t>4</w:t>
      </w:r>
      <w:r>
        <w:t>/202</w:t>
      </w:r>
      <w:r w:rsidR="007D0193">
        <w:t>6 I</w:t>
      </w:r>
      <w:r w:rsidRPr="00DD5969">
        <w:t xml:space="preserve"> confirm that I have not presented any AI generated text as my own work. I confirm </w:t>
      </w:r>
      <w:r>
        <w:t xml:space="preserve">that </w:t>
      </w:r>
      <w:r w:rsidRPr="00DD5969">
        <w:t xml:space="preserve">I have copies of my drafts, notes, and other resources I used before and after the use of AI tools which I may be asked to provide in evidence. </w:t>
      </w:r>
    </w:p>
    <w:p w14:paraId="704BC757" w14:textId="77777777" w:rsidR="00DC5FA3" w:rsidRDefault="00DC5FA3" w:rsidP="00DC5FA3"/>
    <w:p w14:paraId="262B5795" w14:textId="77777777" w:rsidR="00DC5FA3" w:rsidRDefault="00DC5FA3" w:rsidP="00DC5FA3"/>
    <w:p w14:paraId="33BD164D" w14:textId="67CBB615" w:rsidR="00DC5FA3" w:rsidRPr="002C0AE3" w:rsidRDefault="00DC5FA3">
      <w:pPr>
        <w:rPr>
          <w:rFonts w:ascii="Times New Roman" w:hAnsi="Times New Roman" w:cs="Times New Roman"/>
          <w:b/>
          <w:sz w:val="48"/>
          <w:szCs w:val="48"/>
        </w:rPr>
      </w:pPr>
    </w:p>
    <w:p w14:paraId="1F0BF7E6" w14:textId="77B7BE1B" w:rsidR="00597B0A" w:rsidRPr="002C0AE3" w:rsidRDefault="002C0AE3" w:rsidP="002C0AE3">
      <w:pPr>
        <w:spacing w:before="100" w:beforeAutospacing="1" w:after="100" w:afterAutospacing="1" w:line="240" w:lineRule="auto"/>
        <w:jc w:val="center"/>
        <w:outlineLvl w:val="2"/>
        <w:rPr>
          <w:rFonts w:ascii="Times New Roman" w:eastAsia="Times New Roman" w:hAnsi="Times New Roman" w:cs="Times New Roman"/>
          <w:b/>
          <w:bCs/>
          <w:color w:val="000000"/>
          <w:sz w:val="48"/>
          <w:szCs w:val="48"/>
          <w:lang w:eastAsia="en-GB"/>
        </w:rPr>
      </w:pPr>
      <w:r w:rsidRPr="002C0AE3">
        <w:rPr>
          <w:rFonts w:ascii="-webkit-standard" w:hAnsi="-webkit-standard"/>
          <w:color w:val="000000"/>
          <w:sz w:val="48"/>
          <w:szCs w:val="48"/>
        </w:rPr>
        <w:t>Additional Learning Needs (ALN) Policy in Wales: A Critical Analysis of Policy Reform and Implementation</w:t>
      </w:r>
    </w:p>
    <w:p w14:paraId="4BD5768B" w14:textId="77777777" w:rsidR="002C0AE3" w:rsidRDefault="002C0AE3" w:rsidP="0038321D">
      <w:pPr>
        <w:spacing w:before="100" w:beforeAutospacing="1" w:after="100" w:afterAutospacing="1" w:line="240" w:lineRule="auto"/>
        <w:outlineLvl w:val="2"/>
        <w:rPr>
          <w:rFonts w:ascii="Times New Roman" w:eastAsia="Times New Roman" w:hAnsi="Times New Roman" w:cs="Times New Roman"/>
          <w:b/>
          <w:bCs/>
          <w:color w:val="000000"/>
          <w:sz w:val="36"/>
          <w:szCs w:val="36"/>
          <w:lang w:eastAsia="en-GB"/>
        </w:rPr>
      </w:pPr>
    </w:p>
    <w:p w14:paraId="14E796ED" w14:textId="4F6AB603" w:rsidR="0038321D" w:rsidRPr="0038321D" w:rsidRDefault="0038321D" w:rsidP="0038321D">
      <w:pPr>
        <w:spacing w:before="100" w:beforeAutospacing="1" w:after="100" w:afterAutospacing="1" w:line="240" w:lineRule="auto"/>
        <w:outlineLvl w:val="2"/>
        <w:rPr>
          <w:rFonts w:ascii="Times New Roman" w:eastAsia="Times New Roman" w:hAnsi="Times New Roman" w:cs="Times New Roman"/>
          <w:b/>
          <w:bCs/>
          <w:color w:val="000000"/>
          <w:sz w:val="36"/>
          <w:szCs w:val="36"/>
          <w:lang w:eastAsia="en-GB"/>
        </w:rPr>
      </w:pPr>
      <w:r w:rsidRPr="0038321D">
        <w:rPr>
          <w:rFonts w:ascii="Times New Roman" w:eastAsia="Times New Roman" w:hAnsi="Times New Roman" w:cs="Times New Roman"/>
          <w:b/>
          <w:bCs/>
          <w:color w:val="000000"/>
          <w:sz w:val="36"/>
          <w:szCs w:val="36"/>
          <w:lang w:eastAsia="en-GB"/>
        </w:rPr>
        <w:t xml:space="preserve">Introduction </w:t>
      </w:r>
    </w:p>
    <w:p w14:paraId="632A2BA0" w14:textId="77777777" w:rsidR="0038321D" w:rsidRDefault="0038321D" w:rsidP="0038321D">
      <w:pPr>
        <w:pStyle w:val="NormalWeb"/>
        <w:rPr>
          <w:color w:val="000000"/>
        </w:rPr>
      </w:pPr>
      <w:r>
        <w:rPr>
          <w:color w:val="000000"/>
        </w:rPr>
        <w:t>Additional Learning Needs (ALN) reform represents one of the most significant recent developments in Welsh education policy. The introduction of the</w:t>
      </w:r>
      <w:r>
        <w:rPr>
          <w:rStyle w:val="apple-converted-space"/>
          <w:color w:val="000000"/>
        </w:rPr>
        <w:t> </w:t>
      </w:r>
      <w:r w:rsidRPr="0038321D">
        <w:rPr>
          <w:rStyle w:val="Strong"/>
          <w:b w:val="0"/>
          <w:bCs w:val="0"/>
          <w:color w:val="000000"/>
        </w:rPr>
        <w:t>Additional Learning Needs and Education Tribunal (Wales) Act 2018</w:t>
      </w:r>
      <w:r>
        <w:rPr>
          <w:rStyle w:val="apple-converted-space"/>
          <w:color w:val="000000"/>
        </w:rPr>
        <w:t> </w:t>
      </w:r>
      <w:r>
        <w:rPr>
          <w:color w:val="000000"/>
        </w:rPr>
        <w:t xml:space="preserve">replaced the former Special Educational Needs (SEN) framework with a new statutory system intended to provide more equitable, learner-centred support for children and young people aged 0–25 (Welsh Government, 2018). The reform seeks to simplify previous arrangements, strengthen legal rights, improve multi-agency collaboration and ensure that learners receive provision appropriate to their identified needs </w:t>
      </w:r>
      <w:proofErr w:type="gramStart"/>
      <w:r>
        <w:rPr>
          <w:color w:val="000000"/>
        </w:rPr>
        <w:t>through the use of</w:t>
      </w:r>
      <w:proofErr w:type="gramEnd"/>
      <w:r>
        <w:rPr>
          <w:color w:val="000000"/>
        </w:rPr>
        <w:t xml:space="preserve"> Individual Development Plans (IDPs) (Welsh Government, 2021a).</w:t>
      </w:r>
    </w:p>
    <w:p w14:paraId="63D88D90" w14:textId="77777777" w:rsidR="0038321D" w:rsidRDefault="0038321D" w:rsidP="0038321D">
      <w:pPr>
        <w:pStyle w:val="NormalWeb"/>
        <w:rPr>
          <w:color w:val="000000"/>
        </w:rPr>
      </w:pPr>
      <w:r>
        <w:rPr>
          <w:color w:val="000000"/>
        </w:rPr>
        <w:t>The policy is important because it sits within wider debates concerning inclusion, educational equity and children’s rights. Wales has positioned itself as a nation committed to inclusive practice and social justice, particularly through broader reforms such as the Curriculum for Wales and rights-based approaches to public policy (Welsh Government, 2020). However, as with many ambitious reforms, the existence of legislation does not in itself guarantee successful implementation. Questions remain regarding workforce capacity, funding pressures, local authority variation, access to specialist services and the extent to which learner voice is genuinely embedded in practice (Estyn, 2023).</w:t>
      </w:r>
    </w:p>
    <w:p w14:paraId="05BBB17F" w14:textId="77777777" w:rsidR="0038321D" w:rsidRDefault="0038321D" w:rsidP="0038321D">
      <w:pPr>
        <w:pStyle w:val="NormalWeb"/>
        <w:rPr>
          <w:color w:val="000000"/>
        </w:rPr>
      </w:pPr>
      <w:r>
        <w:rPr>
          <w:color w:val="000000"/>
        </w:rPr>
        <w:t>This report critically evaluates ALN reform in Wales as a contemporary educational issue. It first examines the historical and policy background that led to the replacement of the SEN system. It then analyses the key principles underpinning the reforms, including inclusion, participation and consistency of provision. The report critically considers implementation challenges faced by schools, local authorities and partner agencies, before reviewing available evidence regarding impact and emerging outcomes. Finally, recommendations are offered to strengthen delivery and improve the likelihood that the policy achieves its intended aims.</w:t>
      </w:r>
    </w:p>
    <w:p w14:paraId="0C9502FF" w14:textId="77777777" w:rsidR="0038321D" w:rsidRDefault="0038321D" w:rsidP="0038321D">
      <w:pPr>
        <w:pStyle w:val="NormalWeb"/>
        <w:rPr>
          <w:color w:val="000000"/>
        </w:rPr>
      </w:pPr>
      <w:r>
        <w:rPr>
          <w:color w:val="000000"/>
        </w:rPr>
        <w:t>The report argues that ALN reform provides a progressive and potentially transformative framework for learner support in Wales. Nevertheless, its long-term success depends less on legislative ambition alone and more on sustained investment, professional learning, effective inter-agency coordination and rigorous accountability mechanisms.</w:t>
      </w:r>
    </w:p>
    <w:p w14:paraId="5F580511" w14:textId="77777777" w:rsidR="0038321D" w:rsidRDefault="0038321D" w:rsidP="0038321D">
      <w:pPr>
        <w:pStyle w:val="Heading2"/>
        <w:rPr>
          <w:rFonts w:asciiTheme="majorBidi" w:hAnsiTheme="majorBidi"/>
          <w:color w:val="000000"/>
          <w:sz w:val="36"/>
          <w:szCs w:val="36"/>
        </w:rPr>
      </w:pPr>
    </w:p>
    <w:p w14:paraId="4C1CCE02" w14:textId="6FA9C784" w:rsidR="0038321D" w:rsidRPr="0038321D" w:rsidRDefault="0038321D" w:rsidP="0038321D">
      <w:pPr>
        <w:pStyle w:val="Heading2"/>
        <w:rPr>
          <w:rFonts w:asciiTheme="majorBidi" w:hAnsiTheme="majorBidi"/>
          <w:color w:val="000000"/>
          <w:sz w:val="36"/>
          <w:szCs w:val="36"/>
        </w:rPr>
      </w:pPr>
      <w:r w:rsidRPr="0038321D">
        <w:rPr>
          <w:rFonts w:asciiTheme="majorBidi" w:hAnsiTheme="majorBidi"/>
          <w:color w:val="000000"/>
          <w:sz w:val="36"/>
          <w:szCs w:val="36"/>
        </w:rPr>
        <w:t xml:space="preserve">2. Policy Background and Context </w:t>
      </w:r>
    </w:p>
    <w:p w14:paraId="03514952" w14:textId="77777777" w:rsidR="0038321D" w:rsidRDefault="0038321D" w:rsidP="0038321D">
      <w:pPr>
        <w:pStyle w:val="NormalWeb"/>
        <w:rPr>
          <w:color w:val="000000"/>
        </w:rPr>
      </w:pPr>
      <w:r>
        <w:rPr>
          <w:color w:val="000000"/>
        </w:rPr>
        <w:t>The ALN reforms in Wales emerged from substantial dissatisfaction with the previous Special Educational Needs system. Under earlier arrangements, support for learners was shaped by the Education Act 1996 and the SEN Code of Practice, which relied on a graduated model of School Action, School Action Plus and formal statements of special educational needs (Department for Education and Skills, 2001). Although designed to match support to need, the system became widely criticised for inconsistency, complexity and delays in securing provision. Families often experienced the statementing process as adversarial, while thresholds for support varied significantly between local authorities (Welsh Government, 2017).</w:t>
      </w:r>
    </w:p>
    <w:p w14:paraId="60768C74" w14:textId="77777777" w:rsidR="0038321D" w:rsidRDefault="0038321D" w:rsidP="0038321D">
      <w:pPr>
        <w:pStyle w:val="NormalWeb"/>
        <w:rPr>
          <w:color w:val="000000"/>
        </w:rPr>
      </w:pPr>
      <w:r>
        <w:rPr>
          <w:color w:val="000000"/>
        </w:rPr>
        <w:t>A further criticism concerned fragmentation. Different forms of planning documentation existed for different learners, creating uncertainty for practitioners and parents. Support was often dependent upon diagnosis or access to formal assessment processes, rather than early intervention and flexible provision. This reflected broader concerns across the UK that SEN systems had become overly bureaucratic and insufficiently responsive to inclusive principles (Norwich, 2014).</w:t>
      </w:r>
    </w:p>
    <w:p w14:paraId="3EF72ACA" w14:textId="77777777" w:rsidR="0038321D" w:rsidRDefault="0038321D" w:rsidP="0038321D">
      <w:pPr>
        <w:pStyle w:val="NormalWeb"/>
        <w:rPr>
          <w:color w:val="000000"/>
        </w:rPr>
      </w:pPr>
      <w:r>
        <w:rPr>
          <w:color w:val="000000"/>
        </w:rPr>
        <w:t>In response, the Welsh Government introduced the</w:t>
      </w:r>
      <w:r>
        <w:rPr>
          <w:rStyle w:val="apple-converted-space"/>
          <w:color w:val="000000"/>
        </w:rPr>
        <w:t> </w:t>
      </w:r>
      <w:r w:rsidRPr="0038321D">
        <w:rPr>
          <w:rStyle w:val="Strong"/>
          <w:b w:val="0"/>
          <w:bCs w:val="0"/>
          <w:color w:val="000000"/>
        </w:rPr>
        <w:t>Additional Learning Needs and Education Tribunal (Wales) Act 2018</w:t>
      </w:r>
      <w:r>
        <w:rPr>
          <w:color w:val="000000"/>
        </w:rPr>
        <w:t>, which received Royal Assent in January 2018 (Welsh Government, 2018). The legislation replaced the term Special Educational Needs with Additional Learning Needs, signalling an attempt to move beyond narrow categorical labels toward a broader understanding of barriers to learning. Under the Act, a child or young person is considered to have ALN if they have a learning difficulty or disability that calls for additional learning provision beyond that normally available in mainstream education (Welsh Government, 2018).</w:t>
      </w:r>
    </w:p>
    <w:p w14:paraId="2B316066" w14:textId="77777777" w:rsidR="0038321D" w:rsidRDefault="0038321D" w:rsidP="0038321D">
      <w:pPr>
        <w:pStyle w:val="NormalWeb"/>
        <w:rPr>
          <w:color w:val="000000"/>
        </w:rPr>
      </w:pPr>
      <w:r>
        <w:rPr>
          <w:color w:val="000000"/>
        </w:rPr>
        <w:t>A central innovation of the reforms was the introduction of</w:t>
      </w:r>
      <w:r>
        <w:rPr>
          <w:rStyle w:val="apple-converted-space"/>
          <w:color w:val="000000"/>
        </w:rPr>
        <w:t> </w:t>
      </w:r>
      <w:r w:rsidRPr="0038321D">
        <w:rPr>
          <w:rStyle w:val="Strong"/>
          <w:b w:val="0"/>
          <w:bCs w:val="0"/>
          <w:color w:val="000000"/>
        </w:rPr>
        <w:t>Individual Development Plans (IDPs)</w:t>
      </w:r>
      <w:r w:rsidRPr="0038321D">
        <w:rPr>
          <w:b/>
          <w:bCs/>
          <w:color w:val="000000"/>
        </w:rPr>
        <w:t>.</w:t>
      </w:r>
      <w:r>
        <w:rPr>
          <w:color w:val="000000"/>
        </w:rPr>
        <w:t xml:space="preserve"> These statutory plans replaced statements and other non-statutory school-based plans with a single, unified document for all eligible learners. IDPs were intended to increase consistency, reduce duplication and ensure clearer accountability regarding support arrangements (Welsh Government, 2021a). They also aimed to embed person-centred planning by involving learners and families more directly in decisions about outcomes and provision.</w:t>
      </w:r>
    </w:p>
    <w:p w14:paraId="204BFACE" w14:textId="77777777" w:rsidR="0038321D" w:rsidRDefault="0038321D" w:rsidP="0038321D">
      <w:pPr>
        <w:pStyle w:val="NormalWeb"/>
        <w:rPr>
          <w:color w:val="000000"/>
        </w:rPr>
      </w:pPr>
      <w:r>
        <w:rPr>
          <w:color w:val="000000"/>
        </w:rPr>
        <w:t>The reforms also extended entitlement to learners aged</w:t>
      </w:r>
      <w:r>
        <w:rPr>
          <w:rStyle w:val="apple-converted-space"/>
          <w:color w:val="000000"/>
        </w:rPr>
        <w:t> </w:t>
      </w:r>
      <w:r>
        <w:rPr>
          <w:rStyle w:val="Strong"/>
          <w:color w:val="000000"/>
        </w:rPr>
        <w:t>0–25</w:t>
      </w:r>
      <w:r>
        <w:rPr>
          <w:color w:val="000000"/>
        </w:rPr>
        <w:t>, reflecting recognition that additional learning needs frequently continue beyond compulsory schooling. This was particularly significant for post-16 learners entering further education or training, where support had historically been less coherent (Estyn, 2025). By extending statutory duties beyond school age, the policy sought to improve transitions into adulthood, employment and lifelong learning.</w:t>
      </w:r>
    </w:p>
    <w:p w14:paraId="1DE16AD5" w14:textId="77777777" w:rsidR="0038321D" w:rsidRDefault="0038321D" w:rsidP="0038321D">
      <w:pPr>
        <w:pStyle w:val="NormalWeb"/>
        <w:rPr>
          <w:color w:val="000000"/>
        </w:rPr>
      </w:pPr>
      <w:r>
        <w:rPr>
          <w:color w:val="000000"/>
        </w:rPr>
        <w:t>Implementation guidance was formalised through the</w:t>
      </w:r>
      <w:r>
        <w:rPr>
          <w:rStyle w:val="apple-converted-space"/>
          <w:color w:val="000000"/>
        </w:rPr>
        <w:t> </w:t>
      </w:r>
      <w:r w:rsidRPr="0038321D">
        <w:rPr>
          <w:rStyle w:val="Strong"/>
          <w:b w:val="0"/>
          <w:bCs w:val="0"/>
          <w:color w:val="000000"/>
        </w:rPr>
        <w:t>Additional Learning Needs Code for Wales (2021)</w:t>
      </w:r>
      <w:r w:rsidRPr="0038321D">
        <w:rPr>
          <w:b/>
          <w:bCs/>
          <w:color w:val="000000"/>
        </w:rPr>
        <w:t>.</w:t>
      </w:r>
      <w:r>
        <w:rPr>
          <w:color w:val="000000"/>
        </w:rPr>
        <w:t xml:space="preserve"> The Code outlines responsibilities for schools, local authorities, health boards and further education institutions in areas such as early identification, dispute resolution, review processes and collaborative working (Welsh Government, 2021a). The Code also </w:t>
      </w:r>
      <w:r>
        <w:rPr>
          <w:color w:val="000000"/>
        </w:rPr>
        <w:lastRenderedPageBreak/>
        <w:t xml:space="preserve">reflects </w:t>
      </w:r>
      <w:proofErr w:type="spellStart"/>
      <w:r>
        <w:rPr>
          <w:color w:val="000000"/>
        </w:rPr>
        <w:t>Wales’</w:t>
      </w:r>
      <w:proofErr w:type="spellEnd"/>
      <w:r>
        <w:rPr>
          <w:color w:val="000000"/>
        </w:rPr>
        <w:t xml:space="preserve"> commitment to participation rights by emphasising learner voice and parental involvement.</w:t>
      </w:r>
    </w:p>
    <w:p w14:paraId="6BCC377B" w14:textId="77777777" w:rsidR="0038321D" w:rsidRDefault="0038321D" w:rsidP="0038321D">
      <w:pPr>
        <w:pStyle w:val="NormalWeb"/>
        <w:rPr>
          <w:color w:val="000000"/>
        </w:rPr>
      </w:pPr>
      <w:r>
        <w:rPr>
          <w:color w:val="000000"/>
        </w:rPr>
        <w:t>However, the reforms were introduced during a period of broader system pressure. Schools were simultaneously adapting to the Curriculum for Wales, responding to post-pandemic recovery needs and operating under significant financial constraints. Estyn (2023) notes that while many providers support the principles of ALN reform, implementation capacity remains uneven across Wales. Consequently, ALN policy should be understood not simply as a legislative change, but as a complex system reform whose success depends on resources, workforce readiness and effective leadership.</w:t>
      </w:r>
    </w:p>
    <w:p w14:paraId="4EB26543" w14:textId="77777777" w:rsidR="0038321D" w:rsidRDefault="0038321D" w:rsidP="0038321D">
      <w:pPr>
        <w:pStyle w:val="NormalWeb"/>
        <w:rPr>
          <w:color w:val="000000"/>
        </w:rPr>
      </w:pPr>
    </w:p>
    <w:p w14:paraId="1FCDF363" w14:textId="0B039A3E" w:rsidR="0038321D" w:rsidRPr="0038321D" w:rsidRDefault="0038321D" w:rsidP="0038321D">
      <w:pPr>
        <w:pStyle w:val="Heading2"/>
        <w:rPr>
          <w:rFonts w:asciiTheme="majorBidi" w:hAnsiTheme="majorBidi"/>
          <w:color w:val="000000"/>
          <w:sz w:val="36"/>
          <w:szCs w:val="36"/>
        </w:rPr>
      </w:pPr>
      <w:r w:rsidRPr="0038321D">
        <w:rPr>
          <w:rFonts w:asciiTheme="majorBidi" w:hAnsiTheme="majorBidi"/>
          <w:color w:val="000000"/>
          <w:sz w:val="36"/>
          <w:szCs w:val="36"/>
        </w:rPr>
        <w:t xml:space="preserve">3. Critical Policy Analysis: Discourse, Representation and Emerging Tensions  </w:t>
      </w:r>
    </w:p>
    <w:p w14:paraId="3AFEDF6D" w14:textId="77777777" w:rsidR="0038321D" w:rsidRDefault="0038321D" w:rsidP="0038321D">
      <w:pPr>
        <w:pStyle w:val="NormalWeb"/>
        <w:rPr>
          <w:color w:val="000000"/>
        </w:rPr>
      </w:pPr>
      <w:r>
        <w:rPr>
          <w:color w:val="000000"/>
        </w:rPr>
        <w:t>The ALN reforms in Wales have been presented by the Welsh Government as a progressive shift toward a more inclusive, rights-based education system. Official discourse consistently emphasises person-centred planning, collaboration between agencies, earlier identification of need and improved consistency of support across Wales (Welsh Government, 2021a). In policy terms, this framing is significant because it positions ALN reform not merely as an administrative adjustment, but as a moral and social commitment to fairness, participation and learner wellbeing. However, critical policy analysis requires consideration of whether these aspirations are fully supported by the design of the policy and the conditions of implementation.</w:t>
      </w:r>
    </w:p>
    <w:p w14:paraId="5ECE36DB" w14:textId="77777777" w:rsidR="0038321D" w:rsidRDefault="0038321D" w:rsidP="0038321D">
      <w:pPr>
        <w:pStyle w:val="Heading3"/>
        <w:rPr>
          <w:color w:val="000000"/>
        </w:rPr>
      </w:pPr>
      <w:r>
        <w:rPr>
          <w:color w:val="000000"/>
        </w:rPr>
        <w:t>3.1 Inclusion and Rights-Based Language</w:t>
      </w:r>
    </w:p>
    <w:p w14:paraId="281B5CBB" w14:textId="77777777" w:rsidR="0038321D" w:rsidRDefault="0038321D" w:rsidP="0038321D">
      <w:pPr>
        <w:pStyle w:val="NormalWeb"/>
        <w:rPr>
          <w:color w:val="000000"/>
        </w:rPr>
      </w:pPr>
      <w:r>
        <w:rPr>
          <w:color w:val="000000"/>
        </w:rPr>
        <w:t>One of the strongest features of ALN policy is its explicit alignment with inclusive education principles. Rather than viewing additional needs solely as deficits located within the child, the reform adopts a broader perspective in which barriers to participation may arise through interactions between learner needs and educational environments (Welsh Government, 2021a). This is consistent with international approaches influenced by the United Nations Convention on the Rights of the Child and the United Nations Convention on the Rights of Persons with Disabilities, both of which stress participation, accessibility and non-discrimination (UNICEF, 1989; United Nations, 2006).</w:t>
      </w:r>
    </w:p>
    <w:p w14:paraId="3CC13E5C" w14:textId="77777777" w:rsidR="0038321D" w:rsidRDefault="0038321D" w:rsidP="0038321D">
      <w:pPr>
        <w:pStyle w:val="NormalWeb"/>
        <w:rPr>
          <w:color w:val="000000"/>
        </w:rPr>
      </w:pPr>
      <w:r>
        <w:rPr>
          <w:color w:val="000000"/>
        </w:rPr>
        <w:t>The emphasis on learner voice within IDPs is particularly important. Under previous SEN systems, decisions were often dominated by professionals and formal assessment processes. The ALN framework seeks to strengthen the role of children, young people and families in identifying outcomes and shaping provision (Welsh Government, 2021a). From a democratic perspective, this can be viewed positively because it recognises learners as active participants rather than passive recipients of support.</w:t>
      </w:r>
    </w:p>
    <w:p w14:paraId="5C8233C0" w14:textId="77777777" w:rsidR="0038321D" w:rsidRDefault="0038321D" w:rsidP="0038321D">
      <w:pPr>
        <w:pStyle w:val="NormalWeb"/>
        <w:rPr>
          <w:color w:val="000000"/>
        </w:rPr>
      </w:pPr>
      <w:r>
        <w:rPr>
          <w:color w:val="000000"/>
        </w:rPr>
        <w:t xml:space="preserve">However, there is a risk that rights-based language becomes symbolic if participation is not meaningfully enacted in practice. Lundy (2007) argues that voice alone is insufficient unless children also have space, audience and influence within decision-making processes. In the ALN context, learners may be invited to meetings or consulted through </w:t>
      </w:r>
      <w:proofErr w:type="gramStart"/>
      <w:r>
        <w:rPr>
          <w:color w:val="000000"/>
        </w:rPr>
        <w:t>documentation, yet</w:t>
      </w:r>
      <w:proofErr w:type="gramEnd"/>
      <w:r>
        <w:rPr>
          <w:color w:val="000000"/>
        </w:rPr>
        <w:t xml:space="preserve"> still have limited power if professional judgements dominate final decisions. Therefore, while </w:t>
      </w:r>
      <w:r>
        <w:rPr>
          <w:color w:val="000000"/>
        </w:rPr>
        <w:lastRenderedPageBreak/>
        <w:t>the policy language is progressive, meaningful participation depends on how schools and authorities operationalise these principles.</w:t>
      </w:r>
    </w:p>
    <w:p w14:paraId="0A082EE9" w14:textId="77777777" w:rsidR="0038321D" w:rsidRDefault="0038321D" w:rsidP="0038321D">
      <w:pPr>
        <w:pStyle w:val="Heading3"/>
        <w:rPr>
          <w:color w:val="000000"/>
        </w:rPr>
      </w:pPr>
      <w:r>
        <w:rPr>
          <w:color w:val="000000"/>
        </w:rPr>
        <w:t>3.2 Consistency Versus Local Variation</w:t>
      </w:r>
    </w:p>
    <w:p w14:paraId="76FC522B" w14:textId="77777777" w:rsidR="0038321D" w:rsidRDefault="0038321D" w:rsidP="0038321D">
      <w:pPr>
        <w:pStyle w:val="NormalWeb"/>
        <w:rPr>
          <w:color w:val="000000"/>
        </w:rPr>
      </w:pPr>
      <w:r>
        <w:rPr>
          <w:color w:val="000000"/>
        </w:rPr>
        <w:t>A key rationale for reform was to reduce inconsistency between local authorities. The former statementing system was frequently criticised as a “postcode lottery,” where access to assessments and specialist provision varied according to geography rather than need (Welsh Government, 2017). The introduction of a national Code and unified IDP process was intended to create greater consistency across Wales (Welsh Government, 2021a).</w:t>
      </w:r>
    </w:p>
    <w:p w14:paraId="48E93E4C" w14:textId="77777777" w:rsidR="0038321D" w:rsidRDefault="0038321D" w:rsidP="0038321D">
      <w:pPr>
        <w:pStyle w:val="NormalWeb"/>
        <w:rPr>
          <w:color w:val="000000"/>
        </w:rPr>
      </w:pPr>
      <w:r>
        <w:rPr>
          <w:color w:val="000000"/>
        </w:rPr>
        <w:t>In theory, this is a major strength. Clear statutory guidance can reduce ambiguity, support accountability and establish common expectations. Yet policy scholars note that implementation is always mediated by local context, professional judgement and resource availability (Ball, Maguire and Braun, 2012). This suggests that formal consistency in legislation does not necessarily produce substantive equality in practice.</w:t>
      </w:r>
    </w:p>
    <w:p w14:paraId="3707BB0F" w14:textId="77777777" w:rsidR="0038321D" w:rsidRDefault="0038321D" w:rsidP="0038321D">
      <w:pPr>
        <w:pStyle w:val="NormalWeb"/>
        <w:rPr>
          <w:color w:val="000000"/>
        </w:rPr>
      </w:pPr>
      <w:r>
        <w:rPr>
          <w:color w:val="000000"/>
        </w:rPr>
        <w:t>Emerging evidence indicates that local variation remains a challenge. Estyn (2023) found that while many schools and local authorities had made positive progress, readiness and capacity were uneven. Some providers had embedded person-centred approaches effectively, while others were still developing systems, staff confidence and inter-agency coordination. Consequently, the ALN framework may have reduced some structural inconsistencies, but it has not eliminated place-based disparities.</w:t>
      </w:r>
    </w:p>
    <w:p w14:paraId="3E9FF2EF" w14:textId="77777777" w:rsidR="0038321D" w:rsidRDefault="0038321D" w:rsidP="0038321D">
      <w:pPr>
        <w:pStyle w:val="Heading3"/>
        <w:rPr>
          <w:color w:val="000000"/>
        </w:rPr>
      </w:pPr>
      <w:r>
        <w:rPr>
          <w:color w:val="000000"/>
        </w:rPr>
        <w:t>3.3 Bureaucracy and Administrative Burden</w:t>
      </w:r>
    </w:p>
    <w:p w14:paraId="1937956A" w14:textId="77777777" w:rsidR="0038321D" w:rsidRDefault="0038321D" w:rsidP="0038321D">
      <w:pPr>
        <w:pStyle w:val="NormalWeb"/>
        <w:rPr>
          <w:color w:val="000000"/>
        </w:rPr>
      </w:pPr>
      <w:r>
        <w:rPr>
          <w:color w:val="000000"/>
        </w:rPr>
        <w:t>Another major policy tension concerns whether the new system reduces bureaucracy or simply replaces one form of administration with another. Officially, IDPs were designed to simplify fragmented planning arrangements and provide a single coherent document (Welsh Government, 2021a). This has potential benefits for transparency and continuity, especially during transitions between schools or phases.</w:t>
      </w:r>
    </w:p>
    <w:p w14:paraId="046BCE24" w14:textId="77777777" w:rsidR="0038321D" w:rsidRDefault="0038321D" w:rsidP="0038321D">
      <w:pPr>
        <w:pStyle w:val="NormalWeb"/>
        <w:rPr>
          <w:color w:val="000000"/>
        </w:rPr>
      </w:pPr>
      <w:r>
        <w:rPr>
          <w:color w:val="000000"/>
        </w:rPr>
        <w:t>However, educational reforms often generate new administrative demands, particularly when accountability mechanisms rely heavily on documentation. Teachers and ALN Coordinators may spend significant time producing, reviewing and updating plans, organising meetings and evidencing compliance. Estyn (2023) notes that workload pressures continue to affect many settings, particularly where staffing capacity is limited.</w:t>
      </w:r>
    </w:p>
    <w:p w14:paraId="36CFEB42" w14:textId="77777777" w:rsidR="0038321D" w:rsidRDefault="0038321D" w:rsidP="0038321D">
      <w:pPr>
        <w:pStyle w:val="NormalWeb"/>
        <w:rPr>
          <w:color w:val="000000"/>
        </w:rPr>
      </w:pPr>
      <w:r>
        <w:rPr>
          <w:color w:val="000000"/>
        </w:rPr>
        <w:t>This creates a policy paradox. A reform designed to improve personalised support may unintentionally reduce practitioner time for direct engagement with learners if administrative expectations become excessive. Similar concerns have been raised in broader SEND literature across the UK, where procedural compliance can sometimes overshadow relational practice (Norwich, 2014). Therefore, the success of IDPs depends on whether they function as meaningful planning tools rather than bureaucratic artefacts.</w:t>
      </w:r>
    </w:p>
    <w:p w14:paraId="618114F2" w14:textId="77777777" w:rsidR="0038321D" w:rsidRDefault="0038321D" w:rsidP="0038321D">
      <w:pPr>
        <w:pStyle w:val="Heading3"/>
        <w:rPr>
          <w:color w:val="000000"/>
        </w:rPr>
      </w:pPr>
      <w:r>
        <w:rPr>
          <w:color w:val="000000"/>
        </w:rPr>
        <w:t>3.4 Multi-Agency Collaboration</w:t>
      </w:r>
    </w:p>
    <w:p w14:paraId="300D7D2E" w14:textId="77777777" w:rsidR="0038321D" w:rsidRDefault="0038321D" w:rsidP="0038321D">
      <w:pPr>
        <w:pStyle w:val="NormalWeb"/>
        <w:rPr>
          <w:color w:val="000000"/>
        </w:rPr>
      </w:pPr>
      <w:r>
        <w:rPr>
          <w:color w:val="000000"/>
        </w:rPr>
        <w:t xml:space="preserve">The ALN reforms place strong emphasis on collaboration between education, health and social care. This reflects recognition that many learners require joined-up support rather than isolated educational interventions (Welsh Government, 2021a). In principle, this is highly </w:t>
      </w:r>
      <w:r>
        <w:rPr>
          <w:color w:val="000000"/>
        </w:rPr>
        <w:lastRenderedPageBreak/>
        <w:t>positive, as fragmented services have historically been a source of delay and frustration for families.</w:t>
      </w:r>
    </w:p>
    <w:p w14:paraId="10880B74" w14:textId="77777777" w:rsidR="0038321D" w:rsidRDefault="0038321D" w:rsidP="0038321D">
      <w:pPr>
        <w:pStyle w:val="NormalWeb"/>
        <w:rPr>
          <w:color w:val="000000"/>
        </w:rPr>
      </w:pPr>
      <w:r>
        <w:rPr>
          <w:color w:val="000000"/>
        </w:rPr>
        <w:t xml:space="preserve">Nevertheless, multi-agency working is difficult to achieve consistently. Different organisations operate under separate budgets, accountability systems and professional cultures. Where relationships are strong, integrated working can improve outcomes. Where coordination is weak, responsibilities may become </w:t>
      </w:r>
      <w:proofErr w:type="gramStart"/>
      <w:r>
        <w:rPr>
          <w:color w:val="000000"/>
        </w:rPr>
        <w:t>unclear</w:t>
      </w:r>
      <w:proofErr w:type="gramEnd"/>
      <w:r>
        <w:rPr>
          <w:color w:val="000000"/>
        </w:rPr>
        <w:t xml:space="preserve"> and families may still experience gaps in provision. Estyn (2025) found that transition arrangements for post-16 learners varied considerably, highlighting continuing challenges in cross-sector collaboration.</w:t>
      </w:r>
    </w:p>
    <w:p w14:paraId="4E2C2E64" w14:textId="77777777" w:rsidR="0038321D" w:rsidRDefault="0038321D" w:rsidP="0038321D">
      <w:pPr>
        <w:pStyle w:val="NormalWeb"/>
        <w:rPr>
          <w:color w:val="000000"/>
        </w:rPr>
      </w:pPr>
      <w:r>
        <w:rPr>
          <w:color w:val="000000"/>
        </w:rPr>
        <w:t>This suggests that policy intention alone is insufficient. Collaboration requires shared systems, joint training, effective leadership and sufficient capacity across all participating services.</w:t>
      </w:r>
    </w:p>
    <w:p w14:paraId="0FFC9696" w14:textId="77777777" w:rsidR="0038321D" w:rsidRDefault="0038321D" w:rsidP="0038321D">
      <w:pPr>
        <w:pStyle w:val="Heading3"/>
        <w:rPr>
          <w:color w:val="000000"/>
        </w:rPr>
      </w:pPr>
      <w:r>
        <w:rPr>
          <w:color w:val="000000"/>
        </w:rPr>
        <w:t>3.5 Overall Critical Judgement</w:t>
      </w:r>
    </w:p>
    <w:p w14:paraId="6829AD51" w14:textId="77777777" w:rsidR="0038321D" w:rsidRDefault="0038321D" w:rsidP="0038321D">
      <w:pPr>
        <w:pStyle w:val="NormalWeb"/>
        <w:rPr>
          <w:color w:val="000000"/>
        </w:rPr>
      </w:pPr>
      <w:r>
        <w:rPr>
          <w:color w:val="000000"/>
        </w:rPr>
        <w:t>Overall, the ALN reforms in Wales represent a progressive policy shift with strong normative foundations. The move toward learner-centred planning, extended age entitlement and inclusive language reflects contemporary understandings of equity and rights. However, critical analysis indicates that tensions remain between aspiration and enactment. Rights-based participation may be limited by professional hierarchies; statutory consistency may be constrained by local resource variation; and personalised planning may generate new bureaucracy.</w:t>
      </w:r>
    </w:p>
    <w:p w14:paraId="21EAD871" w14:textId="77777777" w:rsidR="0038321D" w:rsidRDefault="0038321D" w:rsidP="0038321D">
      <w:pPr>
        <w:pStyle w:val="NormalWeb"/>
        <w:rPr>
          <w:color w:val="000000"/>
        </w:rPr>
      </w:pPr>
      <w:r>
        <w:rPr>
          <w:color w:val="000000"/>
        </w:rPr>
        <w:t>Therefore, the central issue is not whether the ALN policy is well intentioned, but whether Wales can create the institutional conditions necessary for those intentions to be realised in everyday practice.</w:t>
      </w:r>
    </w:p>
    <w:p w14:paraId="6F312960" w14:textId="77777777" w:rsidR="0038321D" w:rsidRDefault="0038321D" w:rsidP="0038321D">
      <w:pPr>
        <w:pStyle w:val="NormalWeb"/>
        <w:rPr>
          <w:color w:val="000000"/>
        </w:rPr>
      </w:pPr>
    </w:p>
    <w:p w14:paraId="7807D7B3" w14:textId="3CAE0328" w:rsidR="0038321D" w:rsidRPr="0038321D" w:rsidRDefault="0038321D" w:rsidP="0038321D">
      <w:pPr>
        <w:pStyle w:val="Heading2"/>
        <w:rPr>
          <w:rFonts w:asciiTheme="majorBidi" w:hAnsiTheme="majorBidi"/>
          <w:color w:val="000000"/>
          <w:sz w:val="36"/>
          <w:szCs w:val="36"/>
        </w:rPr>
      </w:pPr>
      <w:r w:rsidRPr="0038321D">
        <w:rPr>
          <w:rFonts w:asciiTheme="majorBidi" w:hAnsiTheme="majorBidi"/>
          <w:color w:val="000000"/>
          <w:sz w:val="36"/>
          <w:szCs w:val="36"/>
        </w:rPr>
        <w:t xml:space="preserve">4. Implementation Challenges and Policy Delivery in Practice </w:t>
      </w:r>
    </w:p>
    <w:p w14:paraId="5FEAE78F" w14:textId="77777777" w:rsidR="0038321D" w:rsidRDefault="0038321D" w:rsidP="0038321D">
      <w:pPr>
        <w:pStyle w:val="NormalWeb"/>
        <w:rPr>
          <w:color w:val="000000"/>
        </w:rPr>
      </w:pPr>
      <w:r>
        <w:rPr>
          <w:color w:val="000000"/>
        </w:rPr>
        <w:t>The success of the Additional Learning Needs (ALN) reforms in Wales depends not only on the quality of the legislation itself, but on the extent to which schools, local authorities and partner agencies can implement the policy effectively. As policy scholars argue, implementation is the stage at which ambitious policy intentions are frequently reshaped by practical realities such as funding, workforce capacity, competing priorities and institutional culture (Fullan, 2007; Ball, Maguire and Braun, 2012). In the Welsh context, ALN reform has been introduced during a period of significant educational change, creating both opportunities and constraints.</w:t>
      </w:r>
    </w:p>
    <w:p w14:paraId="51C24A9D" w14:textId="77777777" w:rsidR="0038321D" w:rsidRDefault="0038321D" w:rsidP="0038321D">
      <w:pPr>
        <w:pStyle w:val="Heading3"/>
        <w:rPr>
          <w:color w:val="000000"/>
        </w:rPr>
      </w:pPr>
      <w:r>
        <w:rPr>
          <w:color w:val="000000"/>
        </w:rPr>
        <w:t>4.1 Workforce Capacity and Professional Learning</w:t>
      </w:r>
    </w:p>
    <w:p w14:paraId="25B557EE" w14:textId="77777777" w:rsidR="0038321D" w:rsidRDefault="0038321D" w:rsidP="0038321D">
      <w:pPr>
        <w:pStyle w:val="NormalWeb"/>
        <w:rPr>
          <w:color w:val="000000"/>
        </w:rPr>
      </w:pPr>
      <w:r>
        <w:rPr>
          <w:color w:val="000000"/>
        </w:rPr>
        <w:t>One of the most frequently cited challenges in ALN implementation concerns workforce readiness. Successful delivery requires teachers, senior leaders and Additional Learning Needs Coordinators (ALNCos) to understand legal duties, person-centred planning processes and inclusive pedagogical approaches. This represents a substantial professional expectation, particularly for mainstream schools where staff may already be managing high workload pressures.</w:t>
      </w:r>
    </w:p>
    <w:p w14:paraId="4C5B49AD" w14:textId="46C5A7E3" w:rsidR="0038321D" w:rsidRPr="0038321D" w:rsidRDefault="0038321D" w:rsidP="0038321D">
      <w:pPr>
        <w:pStyle w:val="NormalWeb"/>
        <w:rPr>
          <w:rFonts w:asciiTheme="majorBidi" w:hAnsiTheme="majorBidi" w:cstheme="majorBidi"/>
          <w:color w:val="000000"/>
        </w:rPr>
      </w:pPr>
      <w:r w:rsidRPr="0038321D">
        <w:rPr>
          <w:rFonts w:asciiTheme="majorBidi" w:hAnsiTheme="majorBidi" w:cstheme="majorBidi"/>
          <w:color w:val="000000"/>
        </w:rPr>
        <w:lastRenderedPageBreak/>
        <w:t>The Welsh Government recognised this issue and introduced training materials and implementation guidance during the transition period (Welsh Government, 2021a).</w:t>
      </w:r>
      <w:r w:rsidRPr="0038321D">
        <w:rPr>
          <w:rStyle w:val="apple-converted-space"/>
          <w:rFonts w:asciiTheme="majorBidi" w:hAnsiTheme="majorBidi" w:cstheme="majorBidi"/>
          <w:color w:val="000000"/>
        </w:rPr>
        <w:t> </w:t>
      </w:r>
      <w:r w:rsidRPr="0038321D">
        <w:rPr>
          <w:rStyle w:val="Strong"/>
          <w:rFonts w:asciiTheme="majorBidi" w:hAnsiTheme="majorBidi" w:cstheme="majorBidi"/>
          <w:b w:val="0"/>
          <w:bCs w:val="0"/>
          <w:color w:val="000000"/>
        </w:rPr>
        <w:t>Training and transitional guidance were also issued to support schools, local authorities and further education providers during rollout (Welsh Government, 2021b).</w:t>
      </w:r>
      <w:r w:rsidRPr="0038321D">
        <w:rPr>
          <w:rStyle w:val="apple-converted-space"/>
          <w:rFonts w:asciiTheme="majorBidi" w:hAnsiTheme="majorBidi" w:cstheme="majorBidi"/>
          <w:color w:val="000000"/>
        </w:rPr>
        <w:t> </w:t>
      </w:r>
      <w:r w:rsidRPr="0038321D">
        <w:rPr>
          <w:rFonts w:asciiTheme="majorBidi" w:hAnsiTheme="majorBidi" w:cstheme="majorBidi"/>
          <w:color w:val="000000"/>
        </w:rPr>
        <w:t>However, professional learning alone may not be sufficient if staff lack time or organisational support to embed new practices. Estyn (2023) reported that many schools were committed to the reforms but varied considerably in staff confidence and readiness. Schools with strong leadership and dedicated ALN capacity were generally better placed to progress implementation</w:t>
      </w:r>
      <w:r>
        <w:rPr>
          <w:rFonts w:asciiTheme="majorBidi" w:hAnsiTheme="majorBidi" w:cstheme="majorBidi"/>
          <w:color w:val="000000"/>
        </w:rPr>
        <w:t>.</w:t>
      </w:r>
    </w:p>
    <w:p w14:paraId="13EFAA07" w14:textId="724F8FA7" w:rsidR="0038321D" w:rsidRDefault="0038321D" w:rsidP="0038321D">
      <w:pPr>
        <w:pStyle w:val="NormalWeb"/>
        <w:rPr>
          <w:color w:val="000000"/>
        </w:rPr>
      </w:pPr>
      <w:r>
        <w:rPr>
          <w:color w:val="000000"/>
        </w:rPr>
        <w:t>The role of the ALNCo is particularly significant. In many settings, ALNCos are expected to coordinate provision, oversee IDPs, liaise with parents, support teachers and engage external agencies. Where this role lacks sufficient status, time allocation or administrative support, implementation quality may be weakened. This suggests that workforce development must include not only training, but structural investment in leadership roles and protected capacity.</w:t>
      </w:r>
    </w:p>
    <w:p w14:paraId="6C5A92F3" w14:textId="77777777" w:rsidR="0038321D" w:rsidRDefault="0038321D" w:rsidP="0038321D">
      <w:pPr>
        <w:pStyle w:val="Heading3"/>
        <w:rPr>
          <w:color w:val="000000"/>
        </w:rPr>
      </w:pPr>
      <w:r>
        <w:rPr>
          <w:color w:val="000000"/>
        </w:rPr>
        <w:t>4.2 Funding Pressures and Resource Constraints</w:t>
      </w:r>
    </w:p>
    <w:p w14:paraId="69C46E42" w14:textId="77777777" w:rsidR="0038321D" w:rsidRDefault="0038321D" w:rsidP="0038321D">
      <w:pPr>
        <w:pStyle w:val="NormalWeb"/>
        <w:rPr>
          <w:color w:val="000000"/>
        </w:rPr>
      </w:pPr>
      <w:r>
        <w:rPr>
          <w:color w:val="000000"/>
        </w:rPr>
        <w:t>A second major challenge concerns financial sustainability. Inclusive education requires resources such as specialist staffing, assistive technology, targeted interventions and access to external services including educational psychology and speech and language therapy. While the ALN reforms introduced new duties, public services across Wales continue to operate within constrained budgets.</w:t>
      </w:r>
    </w:p>
    <w:p w14:paraId="2FC6CF17" w14:textId="77777777" w:rsidR="0038321D" w:rsidRDefault="0038321D" w:rsidP="0038321D">
      <w:pPr>
        <w:pStyle w:val="NormalWeb"/>
        <w:rPr>
          <w:color w:val="000000"/>
        </w:rPr>
      </w:pPr>
      <w:r>
        <w:rPr>
          <w:color w:val="000000"/>
        </w:rPr>
        <w:t>This creates a classic implementation dilemma: policy expectations rise faster than available resources. Estyn (2023) notes that many providers support the principles of ALN reform but face increasing complexity of learner need alongside staffing and budget pressures. If schools are expected to deliver more personalised provision without corresponding investment, there is a risk that reforms become aspirational rather than fully operational.</w:t>
      </w:r>
    </w:p>
    <w:p w14:paraId="79037B85" w14:textId="77777777" w:rsidR="0038321D" w:rsidRDefault="0038321D" w:rsidP="0038321D">
      <w:pPr>
        <w:pStyle w:val="NormalWeb"/>
        <w:rPr>
          <w:color w:val="000000"/>
        </w:rPr>
      </w:pPr>
      <w:r>
        <w:rPr>
          <w:color w:val="000000"/>
        </w:rPr>
        <w:t>Resource pressures may also exacerbate inequalities between areas. Larger or more affluent authorities may have stronger service infrastructure, while smaller or financially stretched areas may struggle to recruit specialists or sustain early intervention models. Consequently, funding is not simply an operational issue; it is central to the policy’s commitment to equity.</w:t>
      </w:r>
    </w:p>
    <w:p w14:paraId="15A6992D" w14:textId="77777777" w:rsidR="0038321D" w:rsidRDefault="0038321D" w:rsidP="0038321D">
      <w:pPr>
        <w:pStyle w:val="Heading3"/>
        <w:rPr>
          <w:color w:val="000000"/>
        </w:rPr>
      </w:pPr>
      <w:r>
        <w:rPr>
          <w:color w:val="000000"/>
        </w:rPr>
        <w:t>4.3 Local Authority Variation</w:t>
      </w:r>
    </w:p>
    <w:p w14:paraId="334F1091" w14:textId="77777777" w:rsidR="0038321D" w:rsidRDefault="0038321D" w:rsidP="0038321D">
      <w:pPr>
        <w:pStyle w:val="NormalWeb"/>
        <w:rPr>
          <w:color w:val="000000"/>
        </w:rPr>
      </w:pPr>
      <w:r>
        <w:rPr>
          <w:color w:val="000000"/>
        </w:rPr>
        <w:t>Although the ALN framework was designed partly to reduce inconsistency, implementation remains mediated through local authorities, which retain important responsibilities for complex cases, dispute resolution and specialist provision. Local authorities vary in organisational capacity, staffing models and historical approaches to additional needs provision.</w:t>
      </w:r>
    </w:p>
    <w:p w14:paraId="7B3B4D82" w14:textId="77777777" w:rsidR="0038321D" w:rsidRDefault="0038321D" w:rsidP="0038321D">
      <w:pPr>
        <w:pStyle w:val="NormalWeb"/>
        <w:rPr>
          <w:color w:val="000000"/>
        </w:rPr>
      </w:pPr>
      <w:r>
        <w:rPr>
          <w:color w:val="000000"/>
        </w:rPr>
        <w:t>Estyn (2023) found that some authorities had established clear transition plans, strong partnerships and effective communication with schools, whereas others were progressing more slowly. This reflects a broader policy reality: national legislation can set expectations, but local systems determine much of the lived experience for families.</w:t>
      </w:r>
    </w:p>
    <w:p w14:paraId="2D197554" w14:textId="77777777" w:rsidR="0038321D" w:rsidRDefault="0038321D" w:rsidP="0038321D">
      <w:pPr>
        <w:pStyle w:val="NormalWeb"/>
        <w:rPr>
          <w:color w:val="000000"/>
        </w:rPr>
      </w:pPr>
      <w:r>
        <w:rPr>
          <w:color w:val="000000"/>
        </w:rPr>
        <w:t xml:space="preserve">Variation may be particularly visible in access to specialist assessments, waiting times for services or availability of specialist placements. Therefore, despite the introduction of a </w:t>
      </w:r>
      <w:r>
        <w:rPr>
          <w:color w:val="000000"/>
        </w:rPr>
        <w:lastRenderedPageBreak/>
        <w:t>national Code, geographical disparities may persist unless stronger mechanisms for consistency and accountability are developed.</w:t>
      </w:r>
    </w:p>
    <w:p w14:paraId="44B6F028" w14:textId="77777777" w:rsidR="0038321D" w:rsidRDefault="0038321D" w:rsidP="0038321D">
      <w:pPr>
        <w:pStyle w:val="Heading3"/>
        <w:rPr>
          <w:color w:val="000000"/>
        </w:rPr>
      </w:pPr>
      <w:r>
        <w:rPr>
          <w:color w:val="000000"/>
        </w:rPr>
        <w:t>4.4 Multi-Agency Working and External Services</w:t>
      </w:r>
    </w:p>
    <w:p w14:paraId="392803CD" w14:textId="77777777" w:rsidR="0038321D" w:rsidRDefault="0038321D" w:rsidP="0038321D">
      <w:pPr>
        <w:pStyle w:val="NormalWeb"/>
        <w:rPr>
          <w:color w:val="000000"/>
        </w:rPr>
      </w:pPr>
      <w:r>
        <w:rPr>
          <w:color w:val="000000"/>
        </w:rPr>
        <w:t>The ALN reforms place significant duties on health bodies and emphasise collaboration across education, health and social care (Welsh Government, 2021a). This is essential because many learners require integrated support rather than isolated educational responses.</w:t>
      </w:r>
    </w:p>
    <w:p w14:paraId="4F269E12" w14:textId="77777777" w:rsidR="0038321D" w:rsidRDefault="0038321D" w:rsidP="0038321D">
      <w:pPr>
        <w:pStyle w:val="NormalWeb"/>
        <w:rPr>
          <w:color w:val="000000"/>
        </w:rPr>
      </w:pPr>
      <w:r>
        <w:rPr>
          <w:color w:val="000000"/>
        </w:rPr>
        <w:t xml:space="preserve">However, inter-agency collaboration is difficult to secure in practice. Different agencies operate under separate governance structures, funding arrangements and priorities. For example, health services may face long waiting lists, while schools may require timely input to meet statutory planning deadlines. Where systems are poorly aligned, responsibility can become </w:t>
      </w:r>
      <w:proofErr w:type="gramStart"/>
      <w:r>
        <w:rPr>
          <w:color w:val="000000"/>
        </w:rPr>
        <w:t>fragmented</w:t>
      </w:r>
      <w:proofErr w:type="gramEnd"/>
      <w:r>
        <w:rPr>
          <w:color w:val="000000"/>
        </w:rPr>
        <w:t xml:space="preserve"> and families may experience frustration.</w:t>
      </w:r>
    </w:p>
    <w:p w14:paraId="178B0723" w14:textId="77777777" w:rsidR="0038321D" w:rsidRDefault="0038321D" w:rsidP="0038321D">
      <w:pPr>
        <w:pStyle w:val="NormalWeb"/>
        <w:rPr>
          <w:color w:val="000000"/>
        </w:rPr>
      </w:pPr>
      <w:r>
        <w:rPr>
          <w:color w:val="000000"/>
        </w:rPr>
        <w:t>Estyn (2025), reviewing post-16 implementation, highlighted variability in transition arrangements and partnership working across sectors. This indicates that although collaboration is central to policy design, it remains an area of uneven practice. Effective multi-agency delivery requires shared accountability, joint planning structures and timely communication, not simply statements of intent.</w:t>
      </w:r>
    </w:p>
    <w:p w14:paraId="4B9D8116" w14:textId="77777777" w:rsidR="0038321D" w:rsidRDefault="0038321D" w:rsidP="0038321D">
      <w:pPr>
        <w:pStyle w:val="Heading3"/>
        <w:rPr>
          <w:color w:val="000000"/>
        </w:rPr>
      </w:pPr>
      <w:r>
        <w:rPr>
          <w:color w:val="000000"/>
        </w:rPr>
        <w:t>4.5 Competing Reform Agendas</w:t>
      </w:r>
    </w:p>
    <w:p w14:paraId="746E0BBF" w14:textId="77777777" w:rsidR="0038321D" w:rsidRDefault="0038321D" w:rsidP="0038321D">
      <w:pPr>
        <w:pStyle w:val="NormalWeb"/>
        <w:rPr>
          <w:color w:val="000000"/>
        </w:rPr>
      </w:pPr>
      <w:r>
        <w:rPr>
          <w:color w:val="000000"/>
        </w:rPr>
        <w:t>ALN implementation has also occurred alongside other major Welsh education reforms, particularly the rollout of the Curriculum for Wales. Schools have therefore had to manage multiple change processes simultaneously, including curriculum redesign, post-pandemic recovery, wellbeing priorities and accountability shifts.</w:t>
      </w:r>
    </w:p>
    <w:p w14:paraId="3CC587A9" w14:textId="77777777" w:rsidR="0038321D" w:rsidRDefault="0038321D" w:rsidP="0038321D">
      <w:pPr>
        <w:pStyle w:val="NormalWeb"/>
        <w:rPr>
          <w:color w:val="000000"/>
        </w:rPr>
      </w:pPr>
      <w:r>
        <w:rPr>
          <w:color w:val="000000"/>
        </w:rPr>
        <w:t>Change management literature suggests that reform overload can reduce implementation fidelity when staff are required to absorb multiple initiatives at once (Fullan, 2007). In this context, ALN reform may compete for leadership attention and professional time. Schools that integrate ALN principles into wider school improvement strategies are likely to fare better than those treating it as an isolated compliance task.</w:t>
      </w:r>
    </w:p>
    <w:p w14:paraId="00F2402E" w14:textId="77777777" w:rsidR="0038321D" w:rsidRDefault="0038321D" w:rsidP="0038321D">
      <w:pPr>
        <w:pStyle w:val="Heading3"/>
        <w:rPr>
          <w:color w:val="000000"/>
        </w:rPr>
      </w:pPr>
      <w:r>
        <w:rPr>
          <w:color w:val="000000"/>
        </w:rPr>
        <w:t>4.6 Overall Evaluation of Implementation</w:t>
      </w:r>
    </w:p>
    <w:p w14:paraId="6894D9C2" w14:textId="77777777" w:rsidR="0038321D" w:rsidRDefault="0038321D" w:rsidP="0038321D">
      <w:pPr>
        <w:pStyle w:val="NormalWeb"/>
        <w:rPr>
          <w:color w:val="000000"/>
        </w:rPr>
      </w:pPr>
      <w:r>
        <w:rPr>
          <w:color w:val="000000"/>
        </w:rPr>
        <w:t>Overall, implementation evidence suggests that the ALN reforms are conceptually strong but operationally demanding. Where schools and authorities have invested in leadership, training and collaborative culture, progress appears positive. However, workforce shortages, funding constraints, local variation and competing reform agendas continue to limit consistency.</w:t>
      </w:r>
    </w:p>
    <w:p w14:paraId="3172D865" w14:textId="77777777" w:rsidR="0038321D" w:rsidRDefault="0038321D" w:rsidP="0038321D">
      <w:pPr>
        <w:pStyle w:val="NormalWeb"/>
        <w:rPr>
          <w:color w:val="000000"/>
        </w:rPr>
      </w:pPr>
      <w:r>
        <w:rPr>
          <w:color w:val="000000"/>
        </w:rPr>
        <w:t>This reinforces a key policy lesson: legislation can mandate entitlement, but successful implementation depends on capacity. Without sustained investment and robust support systems, the risk remains that the quality of ALN provision will depend more on institutional context than on statutory rights alone.</w:t>
      </w:r>
    </w:p>
    <w:p w14:paraId="33D683F3" w14:textId="77777777" w:rsidR="0038321D" w:rsidRDefault="0038321D" w:rsidP="0038321D">
      <w:pPr>
        <w:pStyle w:val="NormalWeb"/>
        <w:rPr>
          <w:color w:val="000000"/>
        </w:rPr>
      </w:pPr>
    </w:p>
    <w:p w14:paraId="3FBBB39E" w14:textId="3D3E0213" w:rsidR="0038321D" w:rsidRPr="0038321D" w:rsidRDefault="0038321D" w:rsidP="0038321D">
      <w:pPr>
        <w:pStyle w:val="Heading2"/>
        <w:rPr>
          <w:rFonts w:asciiTheme="majorBidi" w:hAnsiTheme="majorBidi"/>
          <w:color w:val="000000"/>
          <w:sz w:val="36"/>
          <w:szCs w:val="36"/>
        </w:rPr>
      </w:pPr>
      <w:r w:rsidRPr="0038321D">
        <w:rPr>
          <w:rFonts w:asciiTheme="majorBidi" w:hAnsiTheme="majorBidi"/>
          <w:color w:val="000000"/>
          <w:sz w:val="36"/>
          <w:szCs w:val="36"/>
        </w:rPr>
        <w:lastRenderedPageBreak/>
        <w:t xml:space="preserve">5. Impact, Outcomes and Evaluation of the ALN Reforms </w:t>
      </w:r>
    </w:p>
    <w:p w14:paraId="1EE68493" w14:textId="77777777" w:rsidR="0038321D" w:rsidRDefault="0038321D" w:rsidP="0038321D">
      <w:pPr>
        <w:pStyle w:val="NormalWeb"/>
        <w:rPr>
          <w:color w:val="000000"/>
        </w:rPr>
      </w:pPr>
      <w:r>
        <w:rPr>
          <w:color w:val="000000"/>
        </w:rPr>
        <w:t>Evaluating the impact of the Additional Learning Needs (ALN) reforms in Wales remains challenging because the policy is still relatively recent and implementation has been phased over several years. Many learners have transitioned gradually from the previous Special Educational Needs (SEN) framework to the new system, meaning long-term outcomes are still emerging. Nevertheless, available evidence from inspection reports, official statistics and early evaluations allows some provisional judgement regarding progress, strengths and continuing limitations.</w:t>
      </w:r>
    </w:p>
    <w:p w14:paraId="0C78BC85" w14:textId="77777777" w:rsidR="0038321D" w:rsidRDefault="0038321D" w:rsidP="0038321D">
      <w:pPr>
        <w:pStyle w:val="Heading3"/>
        <w:rPr>
          <w:color w:val="000000"/>
        </w:rPr>
      </w:pPr>
      <w:r>
        <w:rPr>
          <w:color w:val="000000"/>
        </w:rPr>
        <w:t>5.1 Improved Coherence and Statutory Clarity</w:t>
      </w:r>
    </w:p>
    <w:p w14:paraId="0EE4E7E0" w14:textId="77777777" w:rsidR="0038321D" w:rsidRDefault="0038321D" w:rsidP="0038321D">
      <w:pPr>
        <w:pStyle w:val="NormalWeb"/>
        <w:rPr>
          <w:color w:val="000000"/>
        </w:rPr>
      </w:pPr>
      <w:r>
        <w:rPr>
          <w:color w:val="000000"/>
        </w:rPr>
        <w:t>One of the most significant reported benefits of the reforms is the creation of a clearer and more unified statutory framework. Under the former SEN system, multiple categories and planning documents often created confusion for parents and practitioners. The introduction of a single process based around Individual Development Plans (IDPs) has the potential to improve clarity regarding needs, provision and accountability (Welsh Government, 2021a).</w:t>
      </w:r>
    </w:p>
    <w:p w14:paraId="7EA040A2" w14:textId="77777777" w:rsidR="0038321D" w:rsidRDefault="0038321D" w:rsidP="0038321D">
      <w:pPr>
        <w:pStyle w:val="NormalWeb"/>
        <w:rPr>
          <w:color w:val="000000"/>
        </w:rPr>
      </w:pPr>
      <w:r>
        <w:rPr>
          <w:color w:val="000000"/>
        </w:rPr>
        <w:t>Estyn (2023) found that many schools and local authorities viewed the IDP model positively, particularly where plans were used as live working documents rather than static paperwork. In such contexts, practitioners reported improved continuity of support and clearer communication between settings. This suggests that the reforms may be strengthening organisational coherence, especially during transitions between educational stages.</w:t>
      </w:r>
    </w:p>
    <w:p w14:paraId="64DC72E5" w14:textId="77777777" w:rsidR="0038321D" w:rsidRDefault="0038321D" w:rsidP="0038321D">
      <w:pPr>
        <w:pStyle w:val="Heading3"/>
        <w:rPr>
          <w:color w:val="000000"/>
        </w:rPr>
      </w:pPr>
      <w:r>
        <w:rPr>
          <w:color w:val="000000"/>
        </w:rPr>
        <w:t>5.2 Learner Voice and Family Participation</w:t>
      </w:r>
    </w:p>
    <w:p w14:paraId="7830B88B" w14:textId="77777777" w:rsidR="0038321D" w:rsidRDefault="0038321D" w:rsidP="0038321D">
      <w:pPr>
        <w:pStyle w:val="NormalWeb"/>
        <w:rPr>
          <w:color w:val="000000"/>
        </w:rPr>
      </w:pPr>
      <w:r>
        <w:rPr>
          <w:color w:val="000000"/>
        </w:rPr>
        <w:t>Another intended outcome of the ALN reforms was stronger participation by children, young people and families. The ALN Code places considerable emphasis on person-centred planning and involvement in decision-making (Welsh Government, 2021a). This marks an important shift away from earlier systems where professional authority could dominate planning processes.</w:t>
      </w:r>
    </w:p>
    <w:p w14:paraId="0024A848" w14:textId="77777777" w:rsidR="0038321D" w:rsidRDefault="0038321D" w:rsidP="0038321D">
      <w:pPr>
        <w:pStyle w:val="NormalWeb"/>
        <w:rPr>
          <w:color w:val="000000"/>
        </w:rPr>
      </w:pPr>
      <w:r>
        <w:rPr>
          <w:color w:val="000000"/>
        </w:rPr>
        <w:t>Emerging evidence indicates that some schools have developed more inclusive review meetings and collaborative planning approaches (Estyn, 2023). Where this occurs, learners may gain greater ownership of targets and families may experience more transparent communication. However, participation quality is inconsistent. In some settings, consultation may remain procedural rather than genuinely influential. As Lundy (2007) argues, voice only has meaning when participants are listened to and able to shape outcomes.</w:t>
      </w:r>
    </w:p>
    <w:p w14:paraId="19588855" w14:textId="77777777" w:rsidR="0038321D" w:rsidRDefault="0038321D" w:rsidP="0038321D">
      <w:pPr>
        <w:pStyle w:val="NormalWeb"/>
        <w:rPr>
          <w:color w:val="000000"/>
        </w:rPr>
      </w:pPr>
      <w:r>
        <w:rPr>
          <w:color w:val="000000"/>
        </w:rPr>
        <w:t>Therefore, while the policy has strengthened formal participation rights, the depth of meaningful participation remains variable.</w:t>
      </w:r>
    </w:p>
    <w:p w14:paraId="7472E4DE" w14:textId="77777777" w:rsidR="0038321D" w:rsidRDefault="0038321D" w:rsidP="0038321D">
      <w:pPr>
        <w:pStyle w:val="Heading3"/>
        <w:rPr>
          <w:color w:val="000000"/>
        </w:rPr>
      </w:pPr>
      <w:r>
        <w:rPr>
          <w:color w:val="000000"/>
        </w:rPr>
        <w:t>5.3 Inclusion and Educational Equity</w:t>
      </w:r>
    </w:p>
    <w:p w14:paraId="76C3057F" w14:textId="77777777" w:rsidR="0038321D" w:rsidRDefault="0038321D" w:rsidP="0038321D">
      <w:pPr>
        <w:pStyle w:val="NormalWeb"/>
        <w:rPr>
          <w:color w:val="000000"/>
        </w:rPr>
      </w:pPr>
      <w:r>
        <w:rPr>
          <w:color w:val="000000"/>
        </w:rPr>
        <w:t>The broader ambition of ALN reform is to improve inclusive education by ensuring learners receive timely and appropriate support within mainstream settings wherever possible. This aligns with Welsh Government commitments to equity and social justice (Welsh Government, 2020).</w:t>
      </w:r>
    </w:p>
    <w:p w14:paraId="32B6DE49" w14:textId="77777777" w:rsidR="0038321D" w:rsidRDefault="0038321D" w:rsidP="0038321D">
      <w:pPr>
        <w:pStyle w:val="NormalWeb"/>
        <w:rPr>
          <w:color w:val="000000"/>
        </w:rPr>
      </w:pPr>
      <w:r>
        <w:rPr>
          <w:color w:val="000000"/>
        </w:rPr>
        <w:lastRenderedPageBreak/>
        <w:t>However, measuring inclusion is complex. Inclusion cannot be judged solely by the existence of plans or placement in mainstream schools; it also concerns belonging, participation, attainment and wellbeing. Estyn (2023) notes examples of schools where inclusive cultures are strong and learners with ALN make suitable progress. Yet national consistency remains uneven, and access to specialist support continues to vary across regions.</w:t>
      </w:r>
    </w:p>
    <w:p w14:paraId="2C7A67D1" w14:textId="77777777" w:rsidR="0038321D" w:rsidRDefault="0038321D" w:rsidP="0038321D">
      <w:pPr>
        <w:pStyle w:val="NormalWeb"/>
        <w:rPr>
          <w:color w:val="000000"/>
        </w:rPr>
      </w:pPr>
      <w:r>
        <w:rPr>
          <w:color w:val="000000"/>
        </w:rPr>
        <w:t>This indicates that the reforms may be improving the legal architecture of inclusion, but structural inequalities in service capacity may still limit equitable outcomes. In practice, a learner’s experience may still depend significantly on the school or authority in which they live.</w:t>
      </w:r>
    </w:p>
    <w:p w14:paraId="6EED99D6" w14:textId="77777777" w:rsidR="0038321D" w:rsidRDefault="0038321D" w:rsidP="0038321D">
      <w:pPr>
        <w:pStyle w:val="Heading3"/>
        <w:rPr>
          <w:color w:val="000000"/>
        </w:rPr>
      </w:pPr>
      <w:r>
        <w:rPr>
          <w:color w:val="000000"/>
        </w:rPr>
        <w:t>5.4 Post-16 Transition and Continuity</w:t>
      </w:r>
    </w:p>
    <w:p w14:paraId="2C338993" w14:textId="77777777" w:rsidR="0038321D" w:rsidRDefault="0038321D" w:rsidP="0038321D">
      <w:pPr>
        <w:pStyle w:val="NormalWeb"/>
        <w:rPr>
          <w:color w:val="000000"/>
        </w:rPr>
      </w:pPr>
      <w:r>
        <w:rPr>
          <w:color w:val="000000"/>
        </w:rPr>
        <w:t>A distinctive feature of the Welsh reforms is extension of entitlement up to age 25. This was intended to address historical weaknesses in transition planning between school, college and adulthood. Early evidence suggests that the principle is widely welcomed, particularly for learners with more complex needs (Estyn, 2025).</w:t>
      </w:r>
    </w:p>
    <w:p w14:paraId="5031965B" w14:textId="77777777" w:rsidR="0038321D" w:rsidRDefault="0038321D" w:rsidP="0038321D">
      <w:pPr>
        <w:pStyle w:val="NormalWeb"/>
        <w:rPr>
          <w:color w:val="000000"/>
        </w:rPr>
      </w:pPr>
      <w:r>
        <w:rPr>
          <w:color w:val="000000"/>
        </w:rPr>
        <w:t>However, implementation in further education remains uneven. Colleges vary in resources, specialist expertise and systems for coordinating support. Estyn (2025) identified examples of effective practice, but also inconsistency in planning and information sharing. This suggests that while the 0–25 model is conceptually strong, post-16 delivery requires further development if the promise of continuity is to be fully realised.</w:t>
      </w:r>
    </w:p>
    <w:p w14:paraId="1962059D" w14:textId="77777777" w:rsidR="0038321D" w:rsidRDefault="0038321D" w:rsidP="0038321D">
      <w:pPr>
        <w:pStyle w:val="Heading3"/>
        <w:rPr>
          <w:color w:val="000000"/>
        </w:rPr>
      </w:pPr>
      <w:r>
        <w:rPr>
          <w:color w:val="000000"/>
        </w:rPr>
        <w:t>5.5 Limits of Current Evidence</w:t>
      </w:r>
    </w:p>
    <w:p w14:paraId="607E28BB" w14:textId="77777777" w:rsidR="0038321D" w:rsidRDefault="0038321D" w:rsidP="0038321D">
      <w:pPr>
        <w:pStyle w:val="NormalWeb"/>
        <w:rPr>
          <w:color w:val="000000"/>
        </w:rPr>
      </w:pPr>
      <w:r>
        <w:rPr>
          <w:color w:val="000000"/>
        </w:rPr>
        <w:t>It is important to recognise that current evaluation evidence remains partial. Much available data focuses on process indicators such as numbers of IDPs, implementation readiness or stakeholder perceptions rather than long-term learner outcomes. There is currently less robust evidence regarding impacts on attainment, attendance, wellbeing or progression into employment and further study.</w:t>
      </w:r>
    </w:p>
    <w:p w14:paraId="62ED7FD3" w14:textId="77777777" w:rsidR="0038321D" w:rsidRDefault="0038321D" w:rsidP="0038321D">
      <w:pPr>
        <w:pStyle w:val="NormalWeb"/>
        <w:rPr>
          <w:color w:val="000000"/>
        </w:rPr>
      </w:pPr>
      <w:r>
        <w:rPr>
          <w:color w:val="000000"/>
        </w:rPr>
        <w:t>This matters because policy success should ultimately be measured through improved life chances rather than administrative compliance. Duggan et al. (2023) argue that continued longitudinal evaluation is necessary to understand the full effects of ALN reform across Wales.</w:t>
      </w:r>
    </w:p>
    <w:p w14:paraId="4C4D9F16" w14:textId="77777777" w:rsidR="0038321D" w:rsidRDefault="0038321D" w:rsidP="0038321D">
      <w:pPr>
        <w:pStyle w:val="Heading3"/>
        <w:rPr>
          <w:color w:val="000000"/>
        </w:rPr>
      </w:pPr>
      <w:r>
        <w:rPr>
          <w:color w:val="000000"/>
        </w:rPr>
        <w:t>5.6 Overall Judgement</w:t>
      </w:r>
    </w:p>
    <w:p w14:paraId="58DCFC3D" w14:textId="77777777" w:rsidR="0038321D" w:rsidRDefault="0038321D" w:rsidP="0038321D">
      <w:pPr>
        <w:pStyle w:val="NormalWeb"/>
        <w:rPr>
          <w:color w:val="000000"/>
        </w:rPr>
      </w:pPr>
      <w:r>
        <w:rPr>
          <w:color w:val="000000"/>
        </w:rPr>
        <w:t>Overall, early evidence suggests that the ALN reforms have improved statutory coherence, strengthened participation rights and created a more modern framework for learner support. However, outcomes remain uneven because implementation capacity differs across settings and regions. The policy therefore appears stronger in design than in consistently realised impact. Its long-term success will depend on whether Wales can translate legislative reform into sustained improvements in educational experiences and outcomes for learners with ALN.</w:t>
      </w:r>
    </w:p>
    <w:p w14:paraId="634711EB" w14:textId="77777777" w:rsidR="0038321D" w:rsidRDefault="0038321D" w:rsidP="0038321D">
      <w:pPr>
        <w:pStyle w:val="NormalWeb"/>
        <w:rPr>
          <w:color w:val="000000"/>
        </w:rPr>
      </w:pPr>
    </w:p>
    <w:p w14:paraId="4F2E0748" w14:textId="1720F562" w:rsidR="0038321D" w:rsidRPr="0038321D" w:rsidRDefault="0038321D" w:rsidP="0038321D">
      <w:pPr>
        <w:pStyle w:val="Heading2"/>
        <w:rPr>
          <w:rFonts w:asciiTheme="majorBidi" w:hAnsiTheme="majorBidi"/>
          <w:color w:val="000000"/>
          <w:sz w:val="36"/>
          <w:szCs w:val="36"/>
        </w:rPr>
      </w:pPr>
      <w:r w:rsidRPr="0038321D">
        <w:rPr>
          <w:rFonts w:asciiTheme="majorBidi" w:hAnsiTheme="majorBidi"/>
          <w:color w:val="000000"/>
          <w:sz w:val="36"/>
          <w:szCs w:val="36"/>
        </w:rPr>
        <w:lastRenderedPageBreak/>
        <w:t xml:space="preserve">6. Recommendations for Policy and Practice </w:t>
      </w:r>
    </w:p>
    <w:p w14:paraId="33DA27BA" w14:textId="77777777" w:rsidR="0038321D" w:rsidRDefault="0038321D" w:rsidP="0038321D">
      <w:pPr>
        <w:pStyle w:val="NormalWeb"/>
        <w:rPr>
          <w:color w:val="000000"/>
        </w:rPr>
      </w:pPr>
      <w:r>
        <w:rPr>
          <w:color w:val="000000"/>
        </w:rPr>
        <w:t>The analysis above suggests that the Additional Learning Needs (ALN) reforms in Wales are underpinned by strong inclusive principles, but their long-term success depends on more consistent implementation. The following recommendations are proposed to strengthen policy delivery and improve outcomes for learners.</w:t>
      </w:r>
    </w:p>
    <w:p w14:paraId="5332EADA" w14:textId="77777777" w:rsidR="0038321D" w:rsidRDefault="0038321D" w:rsidP="0038321D">
      <w:pPr>
        <w:pStyle w:val="Heading3"/>
        <w:rPr>
          <w:color w:val="000000"/>
        </w:rPr>
      </w:pPr>
      <w:r>
        <w:rPr>
          <w:color w:val="000000"/>
        </w:rPr>
        <w:t>6.1 Increase Workforce Capacity and Specialist Support</w:t>
      </w:r>
    </w:p>
    <w:p w14:paraId="636896B1" w14:textId="77777777" w:rsidR="0038321D" w:rsidRDefault="0038321D" w:rsidP="0038321D">
      <w:pPr>
        <w:pStyle w:val="NormalWeb"/>
        <w:rPr>
          <w:color w:val="000000"/>
        </w:rPr>
      </w:pPr>
      <w:r>
        <w:rPr>
          <w:color w:val="000000"/>
        </w:rPr>
        <w:t>The Welsh Government should prioritise long-term investment in specialist services, including educational psychology, speech and language therapy, autism support and mental health provision. Current pressures on these services can delay assessment and reduce timely intervention (Estyn, 2023). In addition, schools should receive sufficient funding to ensure that Additional Learning Needs Coordinators (ALNCos) have protected time, administrative support and access to continuing professional development. Without workforce capacity, statutory entitlements risk becoming difficult to realise in practice.</w:t>
      </w:r>
    </w:p>
    <w:p w14:paraId="3E69FAEA" w14:textId="77777777" w:rsidR="0038321D" w:rsidRDefault="0038321D" w:rsidP="0038321D">
      <w:pPr>
        <w:pStyle w:val="Heading3"/>
        <w:rPr>
          <w:color w:val="000000"/>
        </w:rPr>
      </w:pPr>
      <w:r>
        <w:rPr>
          <w:color w:val="000000"/>
        </w:rPr>
        <w:t>6.2 Strengthen National Consistency While Respecting Local Context</w:t>
      </w:r>
    </w:p>
    <w:p w14:paraId="02CBAB18" w14:textId="77777777" w:rsidR="0038321D" w:rsidRDefault="0038321D" w:rsidP="0038321D">
      <w:pPr>
        <w:pStyle w:val="NormalWeb"/>
        <w:rPr>
          <w:color w:val="000000"/>
        </w:rPr>
      </w:pPr>
      <w:r>
        <w:rPr>
          <w:color w:val="000000"/>
        </w:rPr>
        <w:t>Although the ALN Code provides a common framework, implementation quality remains uneven across local authorities (Estyn, 2023). Welsh Government should therefore strengthen national monitoring systems that identify regional disparities in waiting times, access to services and quality of IDPs. Where weaknesses are identified, targeted improvement support should be provided. This would help reduce postcode inequalities while still allowing local flexibility in service delivery.</w:t>
      </w:r>
    </w:p>
    <w:p w14:paraId="5A6F6127" w14:textId="77777777" w:rsidR="0038321D" w:rsidRDefault="0038321D" w:rsidP="0038321D">
      <w:pPr>
        <w:pStyle w:val="Heading3"/>
        <w:rPr>
          <w:color w:val="000000"/>
        </w:rPr>
      </w:pPr>
      <w:r>
        <w:rPr>
          <w:color w:val="000000"/>
        </w:rPr>
        <w:t>6.3 Deepen Meaningful Learner and Family Participation</w:t>
      </w:r>
    </w:p>
    <w:p w14:paraId="7DEF002A" w14:textId="77777777" w:rsidR="0038321D" w:rsidRDefault="0038321D" w:rsidP="0038321D">
      <w:pPr>
        <w:pStyle w:val="NormalWeb"/>
        <w:rPr>
          <w:color w:val="000000"/>
        </w:rPr>
      </w:pPr>
      <w:r>
        <w:rPr>
          <w:color w:val="000000"/>
        </w:rPr>
        <w:t>The reforms rightly emphasise person-centred planning, yet participation can become procedural if meetings are dominated by professionals. Schools and local authorities should adopt participation models that ensure children and young people are genuinely heard and able to influence decisions affecting them (Lundy, 2007). This may include accessible planning materials, advocacy services, communication support and staff training in participatory practice. Strengthening co-production would better align delivery with the rights-based aims of the policy.</w:t>
      </w:r>
    </w:p>
    <w:p w14:paraId="54E64AC9" w14:textId="77777777" w:rsidR="0038321D" w:rsidRDefault="0038321D" w:rsidP="0038321D">
      <w:pPr>
        <w:pStyle w:val="Heading3"/>
        <w:rPr>
          <w:color w:val="000000"/>
        </w:rPr>
      </w:pPr>
      <w:r>
        <w:rPr>
          <w:color w:val="000000"/>
        </w:rPr>
        <w:t>6.4 Improve Post-16 Transition Planning</w:t>
      </w:r>
    </w:p>
    <w:p w14:paraId="21CFE0B5" w14:textId="77777777" w:rsidR="0038321D" w:rsidRDefault="0038321D" w:rsidP="0038321D">
      <w:pPr>
        <w:pStyle w:val="NormalWeb"/>
        <w:rPr>
          <w:color w:val="000000"/>
        </w:rPr>
      </w:pPr>
      <w:r>
        <w:rPr>
          <w:color w:val="000000"/>
        </w:rPr>
        <w:t>The extension of entitlement to age 25 is a major strength of the Welsh model, but post-16 implementation remains variable (Estyn, 2025). Schools, colleges and local authorities should begin transition planning earlier, with clearer information-sharing protocols and named lead professionals for complex cases. This would reduce disruption at key life stages and support progression into further education, training or employment.</w:t>
      </w:r>
    </w:p>
    <w:p w14:paraId="3EEC3182" w14:textId="77777777" w:rsidR="0038321D" w:rsidRDefault="0038321D" w:rsidP="0038321D">
      <w:pPr>
        <w:pStyle w:val="Heading3"/>
        <w:rPr>
          <w:color w:val="000000"/>
        </w:rPr>
      </w:pPr>
      <w:r>
        <w:rPr>
          <w:color w:val="000000"/>
        </w:rPr>
        <w:t>6.5 Commit to Longitudinal Evaluation</w:t>
      </w:r>
    </w:p>
    <w:p w14:paraId="06341315" w14:textId="77777777" w:rsidR="0038321D" w:rsidRDefault="0038321D" w:rsidP="0038321D">
      <w:pPr>
        <w:pStyle w:val="NormalWeb"/>
        <w:rPr>
          <w:color w:val="000000"/>
        </w:rPr>
      </w:pPr>
      <w:r>
        <w:rPr>
          <w:color w:val="000000"/>
        </w:rPr>
        <w:t>Finally, Welsh Government should commission ongoing independent evaluation of ALN reform, focusing not only on implementation processes but on learner outcomes such as attainment, attendance, wellbeing and destination data. Duggan et al. (2023) argue that long-</w:t>
      </w:r>
      <w:r>
        <w:rPr>
          <w:color w:val="000000"/>
        </w:rPr>
        <w:lastRenderedPageBreak/>
        <w:t xml:space="preserve">term evidence is essential if policymakers are to judge whether structural reform is delivering meaningful change. Without rigorous evaluation, policy improvement will remain reactive rather than </w:t>
      </w:r>
      <w:proofErr w:type="gramStart"/>
      <w:r>
        <w:rPr>
          <w:color w:val="000000"/>
        </w:rPr>
        <w:t>evidence-led</w:t>
      </w:r>
      <w:proofErr w:type="gramEnd"/>
      <w:r>
        <w:rPr>
          <w:color w:val="000000"/>
        </w:rPr>
        <w:t>.</w:t>
      </w:r>
    </w:p>
    <w:p w14:paraId="2E67485A" w14:textId="77777777" w:rsidR="007D0193" w:rsidRDefault="007D0193" w:rsidP="0038321D">
      <w:pPr>
        <w:pStyle w:val="Heading2"/>
        <w:rPr>
          <w:rFonts w:asciiTheme="majorBidi" w:hAnsiTheme="majorBidi"/>
          <w:color w:val="000000"/>
          <w:sz w:val="36"/>
          <w:szCs w:val="36"/>
        </w:rPr>
      </w:pPr>
    </w:p>
    <w:p w14:paraId="42479FEE" w14:textId="77777777" w:rsidR="007D0193" w:rsidRDefault="007D0193" w:rsidP="0038321D">
      <w:pPr>
        <w:pStyle w:val="Heading2"/>
        <w:rPr>
          <w:rFonts w:asciiTheme="majorBidi" w:hAnsiTheme="majorBidi"/>
          <w:color w:val="000000"/>
          <w:sz w:val="36"/>
          <w:szCs w:val="36"/>
        </w:rPr>
      </w:pPr>
    </w:p>
    <w:p w14:paraId="0454F2A8" w14:textId="4B4F74FB" w:rsidR="0038321D" w:rsidRPr="0038321D" w:rsidRDefault="0038321D" w:rsidP="0038321D">
      <w:pPr>
        <w:pStyle w:val="Heading2"/>
        <w:rPr>
          <w:rFonts w:asciiTheme="majorBidi" w:hAnsiTheme="majorBidi"/>
          <w:color w:val="000000"/>
          <w:sz w:val="36"/>
          <w:szCs w:val="36"/>
        </w:rPr>
      </w:pPr>
      <w:r w:rsidRPr="0038321D">
        <w:rPr>
          <w:rFonts w:asciiTheme="majorBidi" w:hAnsiTheme="majorBidi"/>
          <w:color w:val="000000"/>
          <w:sz w:val="36"/>
          <w:szCs w:val="36"/>
        </w:rPr>
        <w:t xml:space="preserve">7. Conclusion </w:t>
      </w:r>
    </w:p>
    <w:p w14:paraId="49EDD260" w14:textId="77777777" w:rsidR="0038321D" w:rsidRDefault="0038321D" w:rsidP="0038321D">
      <w:pPr>
        <w:pStyle w:val="NormalWeb"/>
        <w:rPr>
          <w:color w:val="000000"/>
        </w:rPr>
      </w:pPr>
      <w:r>
        <w:rPr>
          <w:color w:val="000000"/>
        </w:rPr>
        <w:t>The Additional Learning Needs (ALN) reforms in Wales represent a substantial and progressive attempt to modernise support for children and young people requiring additional provision. Through the</w:t>
      </w:r>
      <w:r>
        <w:rPr>
          <w:rStyle w:val="apple-converted-space"/>
          <w:color w:val="000000"/>
        </w:rPr>
        <w:t> </w:t>
      </w:r>
      <w:r w:rsidRPr="0038321D">
        <w:rPr>
          <w:rStyle w:val="Strong"/>
          <w:b w:val="0"/>
          <w:bCs w:val="0"/>
          <w:color w:val="000000"/>
        </w:rPr>
        <w:t>Additional Learning Needs and Education Tribunal (Wales) Act 2018</w:t>
      </w:r>
      <w:r w:rsidRPr="0038321D">
        <w:rPr>
          <w:rStyle w:val="apple-converted-space"/>
          <w:b/>
          <w:bCs/>
          <w:color w:val="000000"/>
        </w:rPr>
        <w:t> </w:t>
      </w:r>
      <w:r w:rsidRPr="0038321D">
        <w:rPr>
          <w:color w:val="000000"/>
        </w:rPr>
        <w:t>and the</w:t>
      </w:r>
      <w:r w:rsidRPr="0038321D">
        <w:rPr>
          <w:rStyle w:val="apple-converted-space"/>
          <w:b/>
          <w:bCs/>
          <w:color w:val="000000"/>
        </w:rPr>
        <w:t> </w:t>
      </w:r>
      <w:r w:rsidRPr="0038321D">
        <w:rPr>
          <w:rStyle w:val="Strong"/>
          <w:b w:val="0"/>
          <w:bCs w:val="0"/>
          <w:color w:val="000000"/>
        </w:rPr>
        <w:t>Additional Learning Needs Code for Wales</w:t>
      </w:r>
      <w:r w:rsidRPr="0038321D">
        <w:rPr>
          <w:b/>
          <w:bCs/>
          <w:color w:val="000000"/>
        </w:rPr>
        <w:t>,</w:t>
      </w:r>
      <w:r>
        <w:rPr>
          <w:color w:val="000000"/>
        </w:rPr>
        <w:t xml:space="preserve"> the Welsh Government has sought to replace a fragmented Special Educational Needs system with a more coherent, rights-based framework centred on inclusion, learner voice and consistency of entitlement (Welsh Government, 2018; Welsh Government, 2021a).</w:t>
      </w:r>
    </w:p>
    <w:p w14:paraId="43AC8152" w14:textId="77777777" w:rsidR="0038321D" w:rsidRDefault="0038321D" w:rsidP="0038321D">
      <w:pPr>
        <w:pStyle w:val="NormalWeb"/>
        <w:rPr>
          <w:color w:val="000000"/>
        </w:rPr>
      </w:pPr>
      <w:r>
        <w:rPr>
          <w:color w:val="000000"/>
        </w:rPr>
        <w:t>This report has argued that the reforms are strong in principle. The introduction of Individual Development Plans, the extension of support to age 25 and the emphasis on multi-agency collaboration all reflect contemporary understandings of equity and participation. Early evidence also suggests positive progress in some schools and authorities where leadership, training and collaborative practice are well developed (Estyn, 2023).</w:t>
      </w:r>
    </w:p>
    <w:p w14:paraId="4BE9F577" w14:textId="77777777" w:rsidR="0038321D" w:rsidRDefault="0038321D" w:rsidP="0038321D">
      <w:pPr>
        <w:pStyle w:val="NormalWeb"/>
        <w:rPr>
          <w:color w:val="000000"/>
        </w:rPr>
      </w:pPr>
      <w:r>
        <w:rPr>
          <w:color w:val="000000"/>
        </w:rPr>
        <w:t>However, the report has also identified significant challenges. Workforce shortages, financial pressures, regional variation and uneven partnership working continue to limit consistent implementation. As a result, the benefits of reform are not yet experienced equally across Wales. This highlights an important policy lesson: legislative change alone does not guarantee educational change.</w:t>
      </w:r>
    </w:p>
    <w:p w14:paraId="697AA56D" w14:textId="77777777" w:rsidR="0038321D" w:rsidRDefault="0038321D" w:rsidP="0038321D">
      <w:pPr>
        <w:pStyle w:val="NormalWeb"/>
        <w:rPr>
          <w:color w:val="000000"/>
        </w:rPr>
      </w:pPr>
      <w:r>
        <w:rPr>
          <w:color w:val="000000"/>
        </w:rPr>
        <w:t>Overall, ALN reform offers Wales an important opportunity to build a more inclusive system. Yet its long-term success will depend on sustained investment, rigorous evaluation and the capacity of institutions to translate policy aspirations into everyday practice. Without this, the promise of rights-based reform may remain only partially fulfilled.</w:t>
      </w:r>
    </w:p>
    <w:p w14:paraId="39449116" w14:textId="77777777" w:rsidR="0038321D" w:rsidRDefault="0038321D" w:rsidP="0038321D">
      <w:pPr>
        <w:pStyle w:val="NormalWeb"/>
        <w:rPr>
          <w:color w:val="000000"/>
        </w:rPr>
      </w:pPr>
    </w:p>
    <w:p w14:paraId="1AA48478" w14:textId="77777777" w:rsidR="0038321D" w:rsidRDefault="0038321D" w:rsidP="0038321D">
      <w:pPr>
        <w:pStyle w:val="NormalWeb"/>
        <w:rPr>
          <w:color w:val="000000"/>
        </w:rPr>
      </w:pPr>
    </w:p>
    <w:p w14:paraId="15770F18" w14:textId="77777777" w:rsidR="0038321D" w:rsidRDefault="0038321D" w:rsidP="0038321D">
      <w:pPr>
        <w:pStyle w:val="NormalWeb"/>
        <w:rPr>
          <w:color w:val="000000"/>
          <w:sz w:val="36"/>
          <w:szCs w:val="36"/>
        </w:rPr>
      </w:pPr>
    </w:p>
    <w:p w14:paraId="4FACF21E" w14:textId="77777777" w:rsidR="0038321D" w:rsidRDefault="0038321D" w:rsidP="0038321D">
      <w:pPr>
        <w:pStyle w:val="NormalWeb"/>
        <w:rPr>
          <w:color w:val="000000"/>
          <w:sz w:val="36"/>
          <w:szCs w:val="36"/>
        </w:rPr>
      </w:pPr>
    </w:p>
    <w:p w14:paraId="4DE34AE0" w14:textId="77777777" w:rsidR="0038321D" w:rsidRDefault="0038321D" w:rsidP="0038321D">
      <w:pPr>
        <w:pStyle w:val="NormalWeb"/>
        <w:rPr>
          <w:color w:val="000000"/>
          <w:sz w:val="36"/>
          <w:szCs w:val="36"/>
        </w:rPr>
      </w:pPr>
    </w:p>
    <w:p w14:paraId="0C43CDA0" w14:textId="77777777" w:rsidR="0038321D" w:rsidRDefault="0038321D" w:rsidP="0038321D">
      <w:pPr>
        <w:pStyle w:val="NormalWeb"/>
        <w:rPr>
          <w:color w:val="000000"/>
          <w:sz w:val="36"/>
          <w:szCs w:val="36"/>
        </w:rPr>
      </w:pPr>
    </w:p>
    <w:p w14:paraId="0ED0300E" w14:textId="77777777" w:rsidR="0038321D" w:rsidRDefault="0038321D" w:rsidP="0038321D">
      <w:pPr>
        <w:pStyle w:val="NormalWeb"/>
        <w:rPr>
          <w:color w:val="000000"/>
          <w:sz w:val="36"/>
          <w:szCs w:val="36"/>
        </w:rPr>
      </w:pPr>
    </w:p>
    <w:p w14:paraId="4942745E" w14:textId="77777777" w:rsidR="0038321D" w:rsidRDefault="0038321D" w:rsidP="0038321D">
      <w:pPr>
        <w:pStyle w:val="NormalWeb"/>
        <w:rPr>
          <w:color w:val="000000"/>
          <w:sz w:val="36"/>
          <w:szCs w:val="36"/>
        </w:rPr>
      </w:pPr>
    </w:p>
    <w:p w14:paraId="6A7B5D05" w14:textId="77777777" w:rsidR="00AE6E61" w:rsidRDefault="00AE6E61" w:rsidP="00AE6E61">
      <w:pPr>
        <w:pStyle w:val="NormalWeb"/>
        <w:rPr>
          <w:color w:val="000000"/>
          <w:sz w:val="36"/>
          <w:szCs w:val="36"/>
        </w:rPr>
      </w:pPr>
      <w:r w:rsidRPr="0038321D">
        <w:rPr>
          <w:color w:val="000000"/>
          <w:sz w:val="36"/>
          <w:szCs w:val="36"/>
        </w:rPr>
        <w:t xml:space="preserve">References </w:t>
      </w:r>
    </w:p>
    <w:p w14:paraId="19AC7743" w14:textId="77777777" w:rsidR="00AE6E61" w:rsidRDefault="00AE6E61" w:rsidP="00AE6E61">
      <w:pPr>
        <w:pStyle w:val="NormalWeb"/>
        <w:rPr>
          <w:color w:val="000000"/>
        </w:rPr>
      </w:pPr>
      <w:r>
        <w:rPr>
          <w:color w:val="000000"/>
        </w:rPr>
        <w:t>Ball, S.J., Maguire, M. and Braun, A. (2012)</w:t>
      </w:r>
      <w:r>
        <w:rPr>
          <w:rStyle w:val="apple-converted-space"/>
          <w:color w:val="000000"/>
        </w:rPr>
        <w:t> </w:t>
      </w:r>
      <w:r>
        <w:rPr>
          <w:rStyle w:val="Emphasis"/>
          <w:color w:val="000000"/>
        </w:rPr>
        <w:t>How Schools Do Policy: Policy Enactments in Secondary Schools</w:t>
      </w:r>
      <w:r>
        <w:rPr>
          <w:color w:val="000000"/>
        </w:rPr>
        <w:t>. London: Routledge.</w:t>
      </w:r>
    </w:p>
    <w:p w14:paraId="08681524" w14:textId="77777777" w:rsidR="00AE6E61" w:rsidRDefault="00AE6E61" w:rsidP="00AE6E61">
      <w:pPr>
        <w:pStyle w:val="NormalWeb"/>
        <w:rPr>
          <w:color w:val="000000"/>
        </w:rPr>
      </w:pPr>
      <w:r>
        <w:rPr>
          <w:color w:val="000000"/>
        </w:rPr>
        <w:t>Department for Education and Skills (2001)</w:t>
      </w:r>
      <w:r>
        <w:rPr>
          <w:rStyle w:val="apple-converted-space"/>
          <w:color w:val="000000"/>
        </w:rPr>
        <w:t> </w:t>
      </w:r>
      <w:r>
        <w:rPr>
          <w:rStyle w:val="Emphasis"/>
          <w:color w:val="000000"/>
        </w:rPr>
        <w:t>Special Educational Needs Code of Practice</w:t>
      </w:r>
      <w:r>
        <w:rPr>
          <w:color w:val="000000"/>
        </w:rPr>
        <w:t>. London: DfES.</w:t>
      </w:r>
    </w:p>
    <w:p w14:paraId="1BFFCAB7" w14:textId="77777777" w:rsidR="00AE6E61" w:rsidRDefault="00AE6E61" w:rsidP="00AE6E61">
      <w:pPr>
        <w:pStyle w:val="NormalWeb"/>
        <w:rPr>
          <w:color w:val="000000"/>
        </w:rPr>
      </w:pPr>
      <w:r>
        <w:rPr>
          <w:color w:val="000000"/>
        </w:rPr>
        <w:t>Duggan, D. et al. (2023)</w:t>
      </w:r>
      <w:r>
        <w:rPr>
          <w:rStyle w:val="apple-converted-space"/>
          <w:color w:val="000000"/>
        </w:rPr>
        <w:t> </w:t>
      </w:r>
      <w:r>
        <w:rPr>
          <w:rStyle w:val="Emphasis"/>
          <w:color w:val="000000"/>
        </w:rPr>
        <w:t>Evaluation of the Additional Learning Needs System: Scoping Report</w:t>
      </w:r>
      <w:r>
        <w:rPr>
          <w:color w:val="000000"/>
        </w:rPr>
        <w:t>. Cardiff: Welsh Government.</w:t>
      </w:r>
    </w:p>
    <w:p w14:paraId="3F1090A4" w14:textId="77777777" w:rsidR="00AE6E61" w:rsidRDefault="00AE6E61" w:rsidP="00AE6E61">
      <w:pPr>
        <w:pStyle w:val="NormalWeb"/>
        <w:rPr>
          <w:color w:val="000000"/>
        </w:rPr>
      </w:pPr>
      <w:r>
        <w:rPr>
          <w:color w:val="000000"/>
        </w:rPr>
        <w:t>Estyn (2023)</w:t>
      </w:r>
      <w:r>
        <w:rPr>
          <w:rStyle w:val="apple-converted-space"/>
          <w:color w:val="000000"/>
        </w:rPr>
        <w:t> </w:t>
      </w:r>
      <w:r>
        <w:rPr>
          <w:rStyle w:val="Emphasis"/>
          <w:color w:val="000000"/>
        </w:rPr>
        <w:t>The New Additional Learning Needs System</w:t>
      </w:r>
      <w:r>
        <w:rPr>
          <w:color w:val="000000"/>
        </w:rPr>
        <w:t>. Cardiff: Estyn.</w:t>
      </w:r>
    </w:p>
    <w:p w14:paraId="7989CC53" w14:textId="77777777" w:rsidR="00AE6E61" w:rsidRDefault="00AE6E61" w:rsidP="00AE6E61">
      <w:pPr>
        <w:pStyle w:val="NormalWeb"/>
        <w:rPr>
          <w:color w:val="000000"/>
        </w:rPr>
      </w:pPr>
      <w:r>
        <w:rPr>
          <w:color w:val="000000"/>
        </w:rPr>
        <w:t>Estyn (2025)</w:t>
      </w:r>
      <w:r>
        <w:rPr>
          <w:rStyle w:val="apple-converted-space"/>
          <w:color w:val="000000"/>
        </w:rPr>
        <w:t> </w:t>
      </w:r>
      <w:r>
        <w:rPr>
          <w:rStyle w:val="Emphasis"/>
          <w:color w:val="000000"/>
        </w:rPr>
        <w:t>Implementation of Post-16 Aspects of Additional Learning Needs Reform in Further Education Institutions</w:t>
      </w:r>
      <w:r>
        <w:rPr>
          <w:color w:val="000000"/>
        </w:rPr>
        <w:t>. Cardiff: Estyn.</w:t>
      </w:r>
    </w:p>
    <w:p w14:paraId="367089CF" w14:textId="77777777" w:rsidR="00AE6E61" w:rsidRDefault="00AE6E61" w:rsidP="00AE6E61">
      <w:pPr>
        <w:pStyle w:val="NormalWeb"/>
        <w:rPr>
          <w:color w:val="000000"/>
        </w:rPr>
      </w:pPr>
      <w:r>
        <w:rPr>
          <w:color w:val="000000"/>
        </w:rPr>
        <w:t>Fullan, M. (2007)</w:t>
      </w:r>
      <w:r>
        <w:rPr>
          <w:rStyle w:val="apple-converted-space"/>
          <w:color w:val="000000"/>
        </w:rPr>
        <w:t> </w:t>
      </w:r>
      <w:r>
        <w:rPr>
          <w:rStyle w:val="Emphasis"/>
          <w:color w:val="000000"/>
        </w:rPr>
        <w:t>The New Meaning of Educational Change</w:t>
      </w:r>
      <w:r>
        <w:rPr>
          <w:color w:val="000000"/>
        </w:rPr>
        <w:t xml:space="preserve">. 4th </w:t>
      </w:r>
      <w:proofErr w:type="spellStart"/>
      <w:r>
        <w:rPr>
          <w:color w:val="000000"/>
        </w:rPr>
        <w:t>edn</w:t>
      </w:r>
      <w:proofErr w:type="spellEnd"/>
      <w:r>
        <w:rPr>
          <w:color w:val="000000"/>
        </w:rPr>
        <w:t>. New York: Teachers College Press.</w:t>
      </w:r>
    </w:p>
    <w:p w14:paraId="16639535" w14:textId="77777777" w:rsidR="00AE6E61" w:rsidRDefault="00AE6E61" w:rsidP="00AE6E61">
      <w:pPr>
        <w:pStyle w:val="NormalWeb"/>
        <w:rPr>
          <w:color w:val="000000"/>
        </w:rPr>
      </w:pPr>
      <w:r>
        <w:rPr>
          <w:color w:val="000000"/>
        </w:rPr>
        <w:t>Lundy, L. (2007) ‘Voice is not enough: conceptualising Article 12 of the United Nations Convention on the Rights of the Child’,</w:t>
      </w:r>
      <w:r>
        <w:rPr>
          <w:rStyle w:val="apple-converted-space"/>
          <w:color w:val="000000"/>
        </w:rPr>
        <w:t> </w:t>
      </w:r>
      <w:r>
        <w:rPr>
          <w:rStyle w:val="Emphasis"/>
          <w:color w:val="000000"/>
        </w:rPr>
        <w:t>British Educational Research Journal</w:t>
      </w:r>
      <w:r>
        <w:rPr>
          <w:color w:val="000000"/>
        </w:rPr>
        <w:t>, 33(6), pp. 927–942.</w:t>
      </w:r>
    </w:p>
    <w:p w14:paraId="055FBEEA" w14:textId="77777777" w:rsidR="00AE6E61" w:rsidRDefault="00AE6E61" w:rsidP="00AE6E61">
      <w:pPr>
        <w:pStyle w:val="NormalWeb"/>
        <w:rPr>
          <w:color w:val="000000"/>
        </w:rPr>
      </w:pPr>
      <w:r>
        <w:rPr>
          <w:color w:val="000000"/>
        </w:rPr>
        <w:t>Norwich, B. (2014) ‘Recognising value tensions that underlie problems in inclusive education’,</w:t>
      </w:r>
      <w:r>
        <w:rPr>
          <w:rStyle w:val="apple-converted-space"/>
          <w:color w:val="000000"/>
        </w:rPr>
        <w:t> </w:t>
      </w:r>
      <w:r>
        <w:rPr>
          <w:rStyle w:val="Emphasis"/>
          <w:color w:val="000000"/>
        </w:rPr>
        <w:t>Cambridge Journal of Education</w:t>
      </w:r>
      <w:r>
        <w:rPr>
          <w:color w:val="000000"/>
        </w:rPr>
        <w:t>, 44(4), pp. 495–510.</w:t>
      </w:r>
    </w:p>
    <w:p w14:paraId="452BD460" w14:textId="77777777" w:rsidR="00AE6E61" w:rsidRDefault="00AE6E61" w:rsidP="00AE6E61">
      <w:pPr>
        <w:pStyle w:val="NormalWeb"/>
        <w:rPr>
          <w:color w:val="000000"/>
        </w:rPr>
      </w:pPr>
      <w:r>
        <w:rPr>
          <w:color w:val="000000"/>
        </w:rPr>
        <w:t>UNICEF (1989)</w:t>
      </w:r>
      <w:r>
        <w:rPr>
          <w:rStyle w:val="apple-converted-space"/>
          <w:color w:val="000000"/>
        </w:rPr>
        <w:t> </w:t>
      </w:r>
      <w:r>
        <w:rPr>
          <w:rStyle w:val="Emphasis"/>
          <w:color w:val="000000"/>
        </w:rPr>
        <w:t>United Nations Convention on the Rights of the Child</w:t>
      </w:r>
      <w:r>
        <w:rPr>
          <w:color w:val="000000"/>
        </w:rPr>
        <w:t>. New York: United Nations.</w:t>
      </w:r>
    </w:p>
    <w:p w14:paraId="3D7F37A6" w14:textId="77777777" w:rsidR="00AE6E61" w:rsidRDefault="00AE6E61" w:rsidP="00AE6E61">
      <w:pPr>
        <w:pStyle w:val="NormalWeb"/>
        <w:rPr>
          <w:color w:val="000000"/>
        </w:rPr>
      </w:pPr>
      <w:r>
        <w:rPr>
          <w:color w:val="000000"/>
        </w:rPr>
        <w:t>United Nations (2006)</w:t>
      </w:r>
      <w:r>
        <w:rPr>
          <w:rStyle w:val="apple-converted-space"/>
          <w:color w:val="000000"/>
        </w:rPr>
        <w:t> </w:t>
      </w:r>
      <w:r>
        <w:rPr>
          <w:rStyle w:val="Emphasis"/>
          <w:color w:val="000000"/>
        </w:rPr>
        <w:t>Convention on the Rights of Persons with Disabilities</w:t>
      </w:r>
      <w:r>
        <w:rPr>
          <w:color w:val="000000"/>
        </w:rPr>
        <w:t>. New York: United Nations.</w:t>
      </w:r>
    </w:p>
    <w:p w14:paraId="5486ADCD" w14:textId="77777777" w:rsidR="00AE6E61" w:rsidRDefault="00AE6E61" w:rsidP="00AE6E61">
      <w:pPr>
        <w:pStyle w:val="NormalWeb"/>
        <w:rPr>
          <w:color w:val="000000"/>
        </w:rPr>
      </w:pPr>
      <w:r>
        <w:rPr>
          <w:color w:val="000000"/>
        </w:rPr>
        <w:t>Welsh Government (2017)</w:t>
      </w:r>
      <w:r>
        <w:rPr>
          <w:rStyle w:val="apple-converted-space"/>
          <w:color w:val="000000"/>
        </w:rPr>
        <w:t> </w:t>
      </w:r>
      <w:r>
        <w:rPr>
          <w:rStyle w:val="Emphasis"/>
          <w:color w:val="000000"/>
        </w:rPr>
        <w:t>Draft Additional Learning Needs Code: Consultation Document</w:t>
      </w:r>
      <w:r>
        <w:rPr>
          <w:color w:val="000000"/>
        </w:rPr>
        <w:t>. Cardiff: Welsh Government.</w:t>
      </w:r>
    </w:p>
    <w:p w14:paraId="4DC66AC9" w14:textId="77777777" w:rsidR="00AE6E61" w:rsidRDefault="00AE6E61" w:rsidP="00AE6E61">
      <w:pPr>
        <w:pStyle w:val="NormalWeb"/>
        <w:rPr>
          <w:color w:val="000000"/>
        </w:rPr>
      </w:pPr>
      <w:r>
        <w:rPr>
          <w:color w:val="000000"/>
        </w:rPr>
        <w:t>Welsh Government (2018)</w:t>
      </w:r>
      <w:r>
        <w:rPr>
          <w:rStyle w:val="apple-converted-space"/>
          <w:color w:val="000000"/>
        </w:rPr>
        <w:t> </w:t>
      </w:r>
      <w:r>
        <w:rPr>
          <w:rStyle w:val="Emphasis"/>
          <w:color w:val="000000"/>
        </w:rPr>
        <w:t>Additional Learning Needs and Education Tribunal (Wales) Act 2018</w:t>
      </w:r>
      <w:r>
        <w:rPr>
          <w:color w:val="000000"/>
        </w:rPr>
        <w:t>. Cardiff: Welsh Government.</w:t>
      </w:r>
    </w:p>
    <w:p w14:paraId="4FFB8EA4" w14:textId="77777777" w:rsidR="00AE6E61" w:rsidRDefault="00AE6E61" w:rsidP="00AE6E61">
      <w:pPr>
        <w:pStyle w:val="NormalWeb"/>
        <w:rPr>
          <w:color w:val="000000"/>
        </w:rPr>
      </w:pPr>
      <w:r>
        <w:rPr>
          <w:color w:val="000000"/>
        </w:rPr>
        <w:t>Welsh Government (2020)</w:t>
      </w:r>
      <w:r>
        <w:rPr>
          <w:rStyle w:val="apple-converted-space"/>
          <w:color w:val="000000"/>
        </w:rPr>
        <w:t> </w:t>
      </w:r>
      <w:r>
        <w:rPr>
          <w:rStyle w:val="Emphasis"/>
          <w:color w:val="000000"/>
        </w:rPr>
        <w:t>Curriculum for Wales Guidance</w:t>
      </w:r>
      <w:r>
        <w:rPr>
          <w:color w:val="000000"/>
        </w:rPr>
        <w:t>. Cardiff: Welsh Government.</w:t>
      </w:r>
    </w:p>
    <w:p w14:paraId="009BF975" w14:textId="77777777" w:rsidR="00AE6E61" w:rsidRDefault="00AE6E61" w:rsidP="00AE6E61">
      <w:pPr>
        <w:pStyle w:val="NormalWeb"/>
        <w:rPr>
          <w:color w:val="000000"/>
        </w:rPr>
      </w:pPr>
      <w:r>
        <w:rPr>
          <w:color w:val="000000"/>
        </w:rPr>
        <w:t>Welsh Government (2021a)</w:t>
      </w:r>
      <w:r>
        <w:rPr>
          <w:rStyle w:val="apple-converted-space"/>
          <w:color w:val="000000"/>
        </w:rPr>
        <w:t> </w:t>
      </w:r>
      <w:r>
        <w:rPr>
          <w:rStyle w:val="Emphasis"/>
          <w:color w:val="000000"/>
        </w:rPr>
        <w:t>The Additional Learning Needs Code for Wales</w:t>
      </w:r>
      <w:r>
        <w:rPr>
          <w:color w:val="000000"/>
        </w:rPr>
        <w:t>. Cardiff: Welsh Government.</w:t>
      </w:r>
    </w:p>
    <w:p w14:paraId="7ABDA2BD" w14:textId="77777777" w:rsidR="00AE6E61" w:rsidRDefault="00AE6E61" w:rsidP="00AE6E61">
      <w:pPr>
        <w:pStyle w:val="NormalWeb"/>
        <w:rPr>
          <w:color w:val="000000"/>
        </w:rPr>
      </w:pPr>
      <w:r>
        <w:rPr>
          <w:color w:val="000000"/>
        </w:rPr>
        <w:lastRenderedPageBreak/>
        <w:t>Welsh Government (2021b)</w:t>
      </w:r>
      <w:r>
        <w:rPr>
          <w:rStyle w:val="apple-converted-space"/>
          <w:color w:val="000000"/>
        </w:rPr>
        <w:t> </w:t>
      </w:r>
      <w:r>
        <w:rPr>
          <w:rStyle w:val="Emphasis"/>
          <w:color w:val="000000"/>
        </w:rPr>
        <w:t>Additional Learning Needs Reform: Implementation Guidance</w:t>
      </w:r>
      <w:r>
        <w:rPr>
          <w:color w:val="000000"/>
        </w:rPr>
        <w:t>. Cardiff: Welsh Government.</w:t>
      </w:r>
    </w:p>
    <w:p w14:paraId="14000857" w14:textId="77777777" w:rsidR="0038321D" w:rsidRPr="0038321D" w:rsidRDefault="0038321D" w:rsidP="0038321D">
      <w:pPr>
        <w:pStyle w:val="NormalWeb"/>
        <w:rPr>
          <w:color w:val="000000"/>
          <w:sz w:val="36"/>
          <w:szCs w:val="36"/>
        </w:rPr>
      </w:pPr>
    </w:p>
    <w:p w14:paraId="39C33443" w14:textId="77777777" w:rsidR="0038321D" w:rsidRDefault="0038321D" w:rsidP="0038321D">
      <w:pPr>
        <w:pStyle w:val="NormalWeb"/>
        <w:rPr>
          <w:color w:val="000000"/>
        </w:rPr>
      </w:pPr>
    </w:p>
    <w:p w14:paraId="179B08F5" w14:textId="77777777" w:rsidR="0038321D" w:rsidRDefault="0038321D" w:rsidP="0038321D">
      <w:pPr>
        <w:pStyle w:val="NormalWeb"/>
        <w:rPr>
          <w:color w:val="000000"/>
        </w:rPr>
      </w:pPr>
    </w:p>
    <w:p w14:paraId="32B2EE89" w14:textId="77777777" w:rsidR="0038321D" w:rsidRDefault="0038321D" w:rsidP="0038321D">
      <w:pPr>
        <w:pStyle w:val="NormalWeb"/>
        <w:rPr>
          <w:color w:val="000000"/>
        </w:rPr>
      </w:pPr>
    </w:p>
    <w:p w14:paraId="30356A86" w14:textId="77777777" w:rsidR="0038321D" w:rsidRDefault="0038321D" w:rsidP="0038321D">
      <w:pPr>
        <w:pStyle w:val="NormalWeb"/>
        <w:rPr>
          <w:color w:val="000000"/>
        </w:rPr>
      </w:pPr>
    </w:p>
    <w:p w14:paraId="48C206F3" w14:textId="77777777" w:rsidR="0038321D" w:rsidRPr="0038321D" w:rsidRDefault="0038321D" w:rsidP="0038321D">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40AEB295" w14:textId="77777777" w:rsidR="00862621" w:rsidRDefault="00862621" w:rsidP="00862621">
      <w:pPr>
        <w:spacing w:line="480" w:lineRule="auto"/>
        <w:rPr>
          <w:rFonts w:ascii="Times New Roman" w:hAnsi="Times New Roman" w:cs="Times New Roman"/>
          <w:sz w:val="24"/>
          <w:szCs w:val="24"/>
        </w:rPr>
      </w:pPr>
    </w:p>
    <w:p w14:paraId="3F60A098" w14:textId="77777777" w:rsidR="00862621" w:rsidRDefault="00862621" w:rsidP="00862621">
      <w:pPr>
        <w:spacing w:line="480" w:lineRule="auto"/>
        <w:rPr>
          <w:rFonts w:ascii="Times New Roman" w:hAnsi="Times New Roman" w:cs="Times New Roman"/>
          <w:sz w:val="24"/>
          <w:szCs w:val="24"/>
        </w:rPr>
      </w:pPr>
    </w:p>
    <w:p w14:paraId="3AC46409" w14:textId="77777777" w:rsidR="00862621" w:rsidRDefault="00862621" w:rsidP="00862621">
      <w:pPr>
        <w:spacing w:line="480" w:lineRule="auto"/>
        <w:rPr>
          <w:rFonts w:ascii="Times New Roman" w:hAnsi="Times New Roman" w:cs="Times New Roman"/>
          <w:sz w:val="24"/>
          <w:szCs w:val="24"/>
        </w:rPr>
      </w:pPr>
    </w:p>
    <w:p w14:paraId="2BB1C82F" w14:textId="77777777" w:rsidR="008E4A26" w:rsidRPr="00976425" w:rsidRDefault="008E4A26" w:rsidP="00BC1FB8">
      <w:pPr>
        <w:spacing w:line="480" w:lineRule="auto"/>
        <w:rPr>
          <w:rFonts w:ascii="Times New Roman" w:hAnsi="Times New Roman" w:cs="Times New Roman"/>
          <w:sz w:val="24"/>
          <w:szCs w:val="24"/>
        </w:rPr>
      </w:pPr>
    </w:p>
    <w:p w14:paraId="5E597AB4" w14:textId="77777777" w:rsidR="006B5417" w:rsidRPr="00976425" w:rsidRDefault="006B5417" w:rsidP="006B5417">
      <w:pPr>
        <w:spacing w:line="480" w:lineRule="auto"/>
        <w:rPr>
          <w:rFonts w:ascii="Times New Roman" w:hAnsi="Times New Roman" w:cs="Times New Roman"/>
          <w:b/>
          <w:bCs/>
          <w:sz w:val="24"/>
          <w:szCs w:val="24"/>
        </w:rPr>
      </w:pPr>
    </w:p>
    <w:p w14:paraId="6F19806F" w14:textId="77777777" w:rsidR="006B5417" w:rsidRPr="00976425" w:rsidRDefault="006B5417" w:rsidP="006B5417">
      <w:pPr>
        <w:spacing w:line="480" w:lineRule="auto"/>
        <w:rPr>
          <w:rFonts w:ascii="Times New Roman" w:hAnsi="Times New Roman" w:cs="Times New Roman"/>
          <w:sz w:val="24"/>
          <w:szCs w:val="24"/>
        </w:rPr>
      </w:pPr>
    </w:p>
    <w:sectPr w:rsidR="006B5417" w:rsidRPr="0097642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BA21E" w14:textId="77777777" w:rsidR="00EE7078" w:rsidRDefault="00EE7078" w:rsidP="00A0238F">
      <w:pPr>
        <w:spacing w:after="0" w:line="240" w:lineRule="auto"/>
      </w:pPr>
      <w:r>
        <w:separator/>
      </w:r>
    </w:p>
  </w:endnote>
  <w:endnote w:type="continuationSeparator" w:id="0">
    <w:p w14:paraId="65D776BC" w14:textId="77777777" w:rsidR="00EE7078" w:rsidRDefault="00EE7078" w:rsidP="00A02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0617917"/>
      <w:docPartObj>
        <w:docPartGallery w:val="Page Numbers (Bottom of Page)"/>
        <w:docPartUnique/>
      </w:docPartObj>
    </w:sdtPr>
    <w:sdtEndPr>
      <w:rPr>
        <w:noProof/>
      </w:rPr>
    </w:sdtEndPr>
    <w:sdtContent>
      <w:p w14:paraId="16324A48" w14:textId="77777777" w:rsidR="00A0238F" w:rsidRDefault="00A0238F">
        <w:pPr>
          <w:pStyle w:val="Footer"/>
          <w:jc w:val="right"/>
        </w:pPr>
        <w:r>
          <w:fldChar w:fldCharType="begin"/>
        </w:r>
        <w:r>
          <w:instrText xml:space="preserve"> PAGE   \* MERGEFORMAT </w:instrText>
        </w:r>
        <w:r>
          <w:fldChar w:fldCharType="separate"/>
        </w:r>
        <w:r w:rsidR="00C31741">
          <w:rPr>
            <w:noProof/>
          </w:rPr>
          <w:t>16</w:t>
        </w:r>
        <w:r>
          <w:rPr>
            <w:noProof/>
          </w:rPr>
          <w:fldChar w:fldCharType="end"/>
        </w:r>
      </w:p>
    </w:sdtContent>
  </w:sdt>
  <w:p w14:paraId="22585DC3" w14:textId="77777777" w:rsidR="00A0238F" w:rsidRDefault="00A02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FA893" w14:textId="77777777" w:rsidR="00EE7078" w:rsidRDefault="00EE7078" w:rsidP="00A0238F">
      <w:pPr>
        <w:spacing w:after="0" w:line="240" w:lineRule="auto"/>
      </w:pPr>
      <w:r>
        <w:separator/>
      </w:r>
    </w:p>
  </w:footnote>
  <w:footnote w:type="continuationSeparator" w:id="0">
    <w:p w14:paraId="5D39EDDF" w14:textId="77777777" w:rsidR="00EE7078" w:rsidRDefault="00EE7078" w:rsidP="00A023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417"/>
    <w:rsid w:val="00084957"/>
    <w:rsid w:val="000D68A5"/>
    <w:rsid w:val="00164F92"/>
    <w:rsid w:val="00177D66"/>
    <w:rsid w:val="00186FBD"/>
    <w:rsid w:val="002A1722"/>
    <w:rsid w:val="002C0AE3"/>
    <w:rsid w:val="0038321D"/>
    <w:rsid w:val="003B6BFC"/>
    <w:rsid w:val="00452E4C"/>
    <w:rsid w:val="00471129"/>
    <w:rsid w:val="005328AD"/>
    <w:rsid w:val="00580C99"/>
    <w:rsid w:val="00597B0A"/>
    <w:rsid w:val="005E5952"/>
    <w:rsid w:val="00604C70"/>
    <w:rsid w:val="006B5417"/>
    <w:rsid w:val="006F06F3"/>
    <w:rsid w:val="007D0193"/>
    <w:rsid w:val="008247B4"/>
    <w:rsid w:val="00851F00"/>
    <w:rsid w:val="00862621"/>
    <w:rsid w:val="00884217"/>
    <w:rsid w:val="008E4A26"/>
    <w:rsid w:val="00976425"/>
    <w:rsid w:val="00A0238F"/>
    <w:rsid w:val="00AE6E61"/>
    <w:rsid w:val="00AF5E5D"/>
    <w:rsid w:val="00B123CC"/>
    <w:rsid w:val="00BA3C89"/>
    <w:rsid w:val="00BB7368"/>
    <w:rsid w:val="00BC1FB8"/>
    <w:rsid w:val="00BD79BC"/>
    <w:rsid w:val="00BF79DA"/>
    <w:rsid w:val="00C31741"/>
    <w:rsid w:val="00C63D9B"/>
    <w:rsid w:val="00CB0F7B"/>
    <w:rsid w:val="00CD1809"/>
    <w:rsid w:val="00D16CBA"/>
    <w:rsid w:val="00D67C9B"/>
    <w:rsid w:val="00D931D0"/>
    <w:rsid w:val="00DC01C3"/>
    <w:rsid w:val="00DC2647"/>
    <w:rsid w:val="00DC5FA3"/>
    <w:rsid w:val="00E323BC"/>
    <w:rsid w:val="00E67339"/>
    <w:rsid w:val="00E7526A"/>
    <w:rsid w:val="00E77279"/>
    <w:rsid w:val="00EE7078"/>
    <w:rsid w:val="00F30134"/>
    <w:rsid w:val="00F70E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F87BC"/>
  <w15:chartTrackingRefBased/>
  <w15:docId w15:val="{4917FC26-0F88-421A-BF40-98D928B97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2">
    <w:name w:val="heading 2"/>
    <w:basedOn w:val="Normal"/>
    <w:next w:val="Normal"/>
    <w:link w:val="Heading2Char"/>
    <w:uiPriority w:val="9"/>
    <w:semiHidden/>
    <w:unhideWhenUsed/>
    <w:qFormat/>
    <w:rsid w:val="003832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38321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23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38F"/>
    <w:rPr>
      <w:lang w:val="en-GB"/>
    </w:rPr>
  </w:style>
  <w:style w:type="paragraph" w:styleId="Footer">
    <w:name w:val="footer"/>
    <w:basedOn w:val="Normal"/>
    <w:link w:val="FooterChar"/>
    <w:uiPriority w:val="99"/>
    <w:unhideWhenUsed/>
    <w:rsid w:val="00A023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38F"/>
    <w:rPr>
      <w:lang w:val="en-GB"/>
    </w:rPr>
  </w:style>
  <w:style w:type="character" w:customStyle="1" w:styleId="Heading3Char">
    <w:name w:val="Heading 3 Char"/>
    <w:basedOn w:val="DefaultParagraphFont"/>
    <w:link w:val="Heading3"/>
    <w:uiPriority w:val="9"/>
    <w:rsid w:val="0038321D"/>
    <w:rPr>
      <w:rFonts w:ascii="Times New Roman" w:eastAsia="Times New Roman" w:hAnsi="Times New Roman" w:cs="Times New Roman"/>
      <w:b/>
      <w:bCs/>
      <w:sz w:val="27"/>
      <w:szCs w:val="27"/>
      <w:lang w:val="en-GB" w:eastAsia="en-GB"/>
    </w:rPr>
  </w:style>
  <w:style w:type="paragraph" w:styleId="NormalWeb">
    <w:name w:val="Normal (Web)"/>
    <w:basedOn w:val="Normal"/>
    <w:uiPriority w:val="99"/>
    <w:semiHidden/>
    <w:unhideWhenUsed/>
    <w:rsid w:val="003832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8321D"/>
  </w:style>
  <w:style w:type="character" w:styleId="Strong">
    <w:name w:val="Strong"/>
    <w:basedOn w:val="DefaultParagraphFont"/>
    <w:uiPriority w:val="22"/>
    <w:qFormat/>
    <w:rsid w:val="0038321D"/>
    <w:rPr>
      <w:b/>
      <w:bCs/>
    </w:rPr>
  </w:style>
  <w:style w:type="character" w:customStyle="1" w:styleId="Heading2Char">
    <w:name w:val="Heading 2 Char"/>
    <w:basedOn w:val="DefaultParagraphFont"/>
    <w:link w:val="Heading2"/>
    <w:uiPriority w:val="9"/>
    <w:semiHidden/>
    <w:rsid w:val="0038321D"/>
    <w:rPr>
      <w:rFonts w:asciiTheme="majorHAnsi" w:eastAsiaTheme="majorEastAsia" w:hAnsiTheme="majorHAnsi" w:cstheme="majorBidi"/>
      <w:color w:val="2E74B5" w:themeColor="accent1" w:themeShade="BF"/>
      <w:sz w:val="26"/>
      <w:szCs w:val="26"/>
      <w:lang w:val="en-GB"/>
    </w:rPr>
  </w:style>
  <w:style w:type="character" w:styleId="Emphasis">
    <w:name w:val="Emphasis"/>
    <w:basedOn w:val="DefaultParagraphFont"/>
    <w:uiPriority w:val="20"/>
    <w:qFormat/>
    <w:rsid w:val="003832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51667">
      <w:bodyDiv w:val="1"/>
      <w:marLeft w:val="0"/>
      <w:marRight w:val="0"/>
      <w:marTop w:val="0"/>
      <w:marBottom w:val="0"/>
      <w:divBdr>
        <w:top w:val="none" w:sz="0" w:space="0" w:color="auto"/>
        <w:left w:val="none" w:sz="0" w:space="0" w:color="auto"/>
        <w:bottom w:val="none" w:sz="0" w:space="0" w:color="auto"/>
        <w:right w:val="none" w:sz="0" w:space="0" w:color="auto"/>
      </w:divBdr>
    </w:div>
    <w:div w:id="755133775">
      <w:bodyDiv w:val="1"/>
      <w:marLeft w:val="0"/>
      <w:marRight w:val="0"/>
      <w:marTop w:val="0"/>
      <w:marBottom w:val="0"/>
      <w:divBdr>
        <w:top w:val="none" w:sz="0" w:space="0" w:color="auto"/>
        <w:left w:val="none" w:sz="0" w:space="0" w:color="auto"/>
        <w:bottom w:val="none" w:sz="0" w:space="0" w:color="auto"/>
        <w:right w:val="none" w:sz="0" w:space="0" w:color="auto"/>
      </w:divBdr>
    </w:div>
    <w:div w:id="93267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14</Pages>
  <Words>4616</Words>
  <Characters>29642</Characters>
  <Application>Microsoft Office Word</Application>
  <DocSecurity>0</DocSecurity>
  <Lines>592</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Inam Alsalim (2502495)</cp:lastModifiedBy>
  <cp:revision>14</cp:revision>
  <dcterms:created xsi:type="dcterms:W3CDTF">2025-11-24T10:33:00Z</dcterms:created>
  <dcterms:modified xsi:type="dcterms:W3CDTF">2026-04-28T18:06:00Z</dcterms:modified>
</cp:coreProperties>
</file>