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820761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DD6EBB">
              <w:rPr>
                <w:b/>
                <w:color w:val="auto"/>
                <w:sz w:val="32"/>
              </w:rPr>
              <w:t>: __Charlotte Dolby</w:t>
            </w:r>
            <w:r>
              <w:rPr>
                <w:b/>
                <w:color w:val="auto"/>
                <w:sz w:val="32"/>
              </w:rPr>
              <w:t>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B3E1CC7" w:rsidR="00575A8F" w:rsidRDefault="00575A8F" w:rsidP="00E6298B">
            <w:pPr>
              <w:overflowPunct/>
              <w:autoSpaceDE/>
              <w:autoSpaceDN/>
              <w:adjustRightInd/>
              <w:ind w:right="107"/>
              <w:textAlignment w:val="auto"/>
              <w:rPr>
                <w:b/>
                <w:color w:val="auto"/>
                <w:sz w:val="32"/>
              </w:rPr>
            </w:pPr>
            <w:r>
              <w:rPr>
                <w:b/>
                <w:color w:val="auto"/>
                <w:sz w:val="32"/>
              </w:rPr>
              <w:t>_______________</w:t>
            </w:r>
            <w:r w:rsidR="00DD6EBB">
              <w:rPr>
                <w:b/>
                <w:color w:val="auto"/>
                <w:sz w:val="32"/>
              </w:rPr>
              <w:t>1921009</w:t>
            </w:r>
            <w:r>
              <w:rPr>
                <w:b/>
                <w:color w:val="auto"/>
                <w:sz w:val="32"/>
              </w:rPr>
              <w:t>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453F6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B70792C" w14:textId="77777777" w:rsidR="00355D0A" w:rsidRDefault="00355D0A" w:rsidP="00355D0A">
      <w:pPr>
        <w:spacing w:line="360" w:lineRule="auto"/>
        <w:jc w:val="both"/>
      </w:pPr>
      <w:r>
        <w:t xml:space="preserve">This essay discusses my experience during the initial 6 months of training to become a Police Constable. This essay will establish the coping strategies I implemented during my 6-month training. In order to discuss this I will firstly outline the definition of stress. I aim to acknowledge the different mechanisms of coping with stress using Gibbs Reflective Cycle (1988) as discussed by Maloney, Tai and Molloy (2013, p.619) to answer this question. I will discuss and compare how I used exercise and mindfulness to minimise stress. To conclude I hope to determine the coping mechanism that is best suited to myself to develop resilience and minimise stress was effective.  </w:t>
      </w:r>
    </w:p>
    <w:p w14:paraId="34E57CDA" w14:textId="77777777" w:rsidR="00355D0A" w:rsidRDefault="00355D0A" w:rsidP="00355D0A">
      <w:pPr>
        <w:spacing w:line="360" w:lineRule="auto"/>
        <w:jc w:val="both"/>
      </w:pPr>
      <w:r>
        <w:t xml:space="preserve">Stress is considered a common, everyday occurrence in a person’s life where the focus is mainly psychosocial and physiological (Kogler et al, 2015, p.235). In some circumstances a reaction takes place within the brain during a stressful time and according to Jeanguenat and Dror (2017, p.259) this is where a fight or flight response is established. This event usually takes place when faced with life-threatening situations. McEwen (2007, p. 874) states, “Stress is a word used to describe experiences that are challenging emotionally and physiologically”. Resilience is a way to deal with stress and the surrounding risks we face in everyday life (Bowes and Jaffee, 2013, p.196). The stress that I experienced had an effect on my initial training. </w:t>
      </w:r>
    </w:p>
    <w:p w14:paraId="3D0D9023" w14:textId="77777777" w:rsidR="00355D0A" w:rsidRDefault="00355D0A" w:rsidP="00355D0A">
      <w:pPr>
        <w:spacing w:line="360" w:lineRule="auto"/>
        <w:jc w:val="both"/>
      </w:pPr>
    </w:p>
    <w:p w14:paraId="62F3984D" w14:textId="76BFF456" w:rsidR="00355D0A" w:rsidRDefault="00355D0A" w:rsidP="00355D0A">
      <w:pPr>
        <w:spacing w:line="360" w:lineRule="auto"/>
        <w:jc w:val="both"/>
      </w:pPr>
      <w:r>
        <w:t xml:space="preserve">The reflective approach used in this essay is Gibbs Reflective Cycle (1988) outlined by Maloney, Tai and Molloy (2013, p.619) there are six stages to consider as a reflective framework. Firstly, a description detailing the events that took place. Secondly, thoughts and feelings during the event. Thirdly, conducting an evaluation, acknowledging what was good and bad about the event. Fourth, an analysis to understand what happened. Fifth, conclusion consider if any further work is needed. Finally, create an action plan for future events (Maloney, Tai and Molloy, 2013, p.619). </w:t>
      </w:r>
    </w:p>
    <w:p w14:paraId="3626AB66" w14:textId="77777777" w:rsidR="00355D0A" w:rsidRDefault="00355D0A" w:rsidP="00355D0A">
      <w:pPr>
        <w:spacing w:line="360" w:lineRule="auto"/>
      </w:pPr>
    </w:p>
    <w:p w14:paraId="048A3157" w14:textId="77777777" w:rsidR="00355D0A" w:rsidRDefault="00355D0A" w:rsidP="00355D0A">
      <w:pPr>
        <w:spacing w:line="360" w:lineRule="auto"/>
        <w:jc w:val="both"/>
      </w:pPr>
      <w:r>
        <w:t xml:space="preserve">I am a Police Constable for Gwent Police undertaking my initial 6-month training. Due to the recent outbreak of Coronavirus BBC NEWS 2020a, our training had been altered to work remotely from home because of national lockdown. Not being able to see my colleagues and trainers in person was extremely difficult and this left me feeling isolated and stressed. Communication online was helpful but I prefer having discussions in person.  </w:t>
      </w:r>
      <w:r>
        <w:lastRenderedPageBreak/>
        <w:t xml:space="preserve">Whilst working from home I was unable to meet with family but I could exercise for 1 hour a day outside, either going for a walk or run. I found that this 1 hour a day provided me with resilience to de-stress. </w:t>
      </w:r>
    </w:p>
    <w:p w14:paraId="44937C72" w14:textId="77777777" w:rsidR="00355D0A" w:rsidRDefault="00355D0A" w:rsidP="00355D0A">
      <w:pPr>
        <w:spacing w:line="360" w:lineRule="auto"/>
        <w:jc w:val="both"/>
      </w:pPr>
      <w:r>
        <w:t xml:space="preserve">During this time I would overthink my work becoming lost in my own thoughts and questioning what I was doing (National Health Service, 2018). Not being able to leave the house to interact with my colleagues was causing me to doubt myself and need reassurance from others around me that what I was doing was right. I felt extremely stressed and unable to talk to anyone about how I was feeling. Kabat – Zinn (2015, p.1481) states, “Mindfulness can be thought of as moment – to moment, non- judgmental awareness”. That is when I started to use Mindfulness to channel my thoughts and feelings in a different way and to see if this would minimise my stress levels. </w:t>
      </w:r>
    </w:p>
    <w:p w14:paraId="6919F0D6" w14:textId="77777777" w:rsidR="00355D0A" w:rsidRDefault="00355D0A" w:rsidP="00355D0A">
      <w:pPr>
        <w:spacing w:line="360" w:lineRule="auto"/>
        <w:jc w:val="both"/>
      </w:pPr>
    </w:p>
    <w:p w14:paraId="23393043" w14:textId="77777777" w:rsidR="00355D0A" w:rsidRDefault="00355D0A" w:rsidP="00355D0A">
      <w:pPr>
        <w:spacing w:line="360" w:lineRule="auto"/>
        <w:jc w:val="both"/>
      </w:pPr>
      <w:r>
        <w:t xml:space="preserve">At the time, I felt extremely stressed and miserable because I had to follow the lessons online and unable to leave my home. I felt there was no way out of this situation and after speaking to my colleagues online, we all had the same emotion of being stressed and not being able to cope with being told to stay indoors. However, when allowed to exercise outside for one hour a day, this made me feel positive and provided me with freedom and a sense that I could minimise my stress by being able to exercise. </w:t>
      </w:r>
    </w:p>
    <w:p w14:paraId="65389F32" w14:textId="77777777" w:rsidR="00355D0A" w:rsidRDefault="00355D0A" w:rsidP="00355D0A">
      <w:pPr>
        <w:spacing w:line="360" w:lineRule="auto"/>
        <w:jc w:val="both"/>
      </w:pPr>
    </w:p>
    <w:p w14:paraId="63FD511B" w14:textId="421CC830" w:rsidR="00355D0A" w:rsidRDefault="00355D0A" w:rsidP="00355D0A">
      <w:pPr>
        <w:spacing w:line="360" w:lineRule="auto"/>
        <w:jc w:val="both"/>
      </w:pPr>
      <w:r>
        <w:t xml:space="preserve">Some days I would be overcome with a sense of isolation from everyone, overthinking simple tasks such as how to write an email. This would increase my stress levels, becoming my only thoughts; I felt that I was constantly worrying about simple tasks. Burton et al (2017, p.3) mentioned about focusing on the present moment through Mindfulness. Ultimately, I needed to shift my attention to what was happening around me, concentrating on what I can visually see. I felt that I needed to change how I thought about my initial training, not seeing it as a hurdle to jump but to enjoy my time and embrace all of the information given to me. </w:t>
      </w:r>
    </w:p>
    <w:p w14:paraId="1330412B" w14:textId="77777777" w:rsidR="00355D0A" w:rsidRDefault="00355D0A" w:rsidP="00355D0A">
      <w:pPr>
        <w:spacing w:line="360" w:lineRule="auto"/>
        <w:jc w:val="both"/>
      </w:pPr>
    </w:p>
    <w:p w14:paraId="081D5FB0" w14:textId="6CF87869" w:rsidR="00355D0A" w:rsidRDefault="00355D0A" w:rsidP="00355D0A">
      <w:pPr>
        <w:spacing w:line="360" w:lineRule="auto"/>
        <w:jc w:val="both"/>
      </w:pPr>
      <w:r>
        <w:t xml:space="preserve">The positive aspect of being able to exercise was getting the opportunity to leave my home and remove myself from work for an hour to de-stress and get some fresh air. Some days I did enjoy going outside, however if the weather was bad I would choose to stay in. On the occasions I did this, I would be stressed and fail to give myself a break. I feel healthier for exercising and it has had a positive impact on my mental health in relation to stress. I did experience one negative aspect; this was the gym remaining closed, as I wanted to use the weights to build up my strength. Although being able to exercise outdoors was still beneficial to me. </w:t>
      </w:r>
    </w:p>
    <w:p w14:paraId="2440146B" w14:textId="77777777" w:rsidR="00355D0A" w:rsidRDefault="00355D0A" w:rsidP="00355D0A">
      <w:pPr>
        <w:spacing w:line="360" w:lineRule="auto"/>
        <w:jc w:val="both"/>
      </w:pPr>
    </w:p>
    <w:p w14:paraId="69ECA579" w14:textId="27452F9B" w:rsidR="00355D0A" w:rsidRDefault="00355D0A" w:rsidP="00355D0A">
      <w:pPr>
        <w:spacing w:line="360" w:lineRule="auto"/>
        <w:jc w:val="both"/>
      </w:pPr>
      <w:r>
        <w:t xml:space="preserve">According to the National Health Service website, (2018) Yoga and Meditation can be useful mechanisms for mindfulness as a way to relieve stress and anxiety. However, for me personally I felt this was not positive, as I was unable to concentrate on switching my thoughts off and focusing on the moment. Although I adopted a new strategy, taking a journal and every morning for about 10 minutes write down all of my worries or stresses that I had that morning. For example, practical. I felt confident and positive after every morning writing these thoughts down, if the thoughts were no longer in my mind then I would not stress about them. </w:t>
      </w:r>
    </w:p>
    <w:p w14:paraId="4BAD20ED" w14:textId="77777777" w:rsidR="00355D0A" w:rsidRDefault="00355D0A" w:rsidP="00355D0A">
      <w:pPr>
        <w:spacing w:line="360" w:lineRule="auto"/>
        <w:jc w:val="both"/>
      </w:pPr>
    </w:p>
    <w:p w14:paraId="3694F830" w14:textId="70782194" w:rsidR="00355D0A" w:rsidRDefault="00355D0A" w:rsidP="00355D0A">
      <w:pPr>
        <w:spacing w:line="360" w:lineRule="auto"/>
        <w:jc w:val="both"/>
      </w:pPr>
      <w:r>
        <w:t xml:space="preserve">Overall, using exercise was beneficial to me as it encouraged me to walk away from work when it became too stressful. In order to become resilient with the training and stress levels. According to Garber (2017, p. 4) his study revealed that 75% of their participants used exercise as a coping mechanism, as it revealed results of a </w:t>
      </w:r>
      <w:r>
        <w:lastRenderedPageBreak/>
        <w:t xml:space="preserve">decrease in stress. Some days I was unaware of how stressed I was becoming, Kadhiravan and Kumar (2012, p.50) highlights that situations become volatile when there is an absence of knowledge around stress and how to manage this. This meant that I would often become emotional, as I did not know how to manage the stress appropriately. Exercise has benefited me throughout my 6 month training it has improved my emotional well – being (Warburton, 2006, p.806) which in turn has enabled me to manage any workload. </w:t>
      </w:r>
    </w:p>
    <w:p w14:paraId="44F5EC40" w14:textId="77777777" w:rsidR="00355D0A" w:rsidRDefault="00355D0A" w:rsidP="00355D0A">
      <w:pPr>
        <w:spacing w:line="360" w:lineRule="auto"/>
        <w:jc w:val="both"/>
      </w:pPr>
    </w:p>
    <w:p w14:paraId="0C020C21" w14:textId="783FDC5E" w:rsidR="00355D0A" w:rsidRDefault="00355D0A" w:rsidP="00355D0A">
      <w:pPr>
        <w:spacing w:line="360" w:lineRule="auto"/>
        <w:jc w:val="both"/>
      </w:pPr>
      <w:r>
        <w:t xml:space="preserve">Initially I found that the Mindfulness strategies did not suit me personally. However, my adaptation of Mindfulness in noting down my stresses was useful. As pointed out by De Vibe et al (2018, p. 1) this strategy is about acceptance and being non-judgmental. I accepted in myself that I needed to adapt strategies that would benefit me to reduce stress and build resilience. By not allowing myself to witness old habits around thoughts (Palmer and Rodger, 2009, p.199) this ultimately subjects me to heightened stress and the risk of not being able to form resilience against my own thoughts. Understanding what I personally needed to manage my stress during training was new and I had to establish my needs throughout this process. </w:t>
      </w:r>
    </w:p>
    <w:p w14:paraId="5847C296" w14:textId="77777777" w:rsidR="00355D0A" w:rsidRDefault="00355D0A" w:rsidP="00355D0A">
      <w:pPr>
        <w:spacing w:line="360" w:lineRule="auto"/>
        <w:jc w:val="both"/>
      </w:pPr>
    </w:p>
    <w:p w14:paraId="4597F46D" w14:textId="617172A3" w:rsidR="00355D0A" w:rsidRDefault="00355D0A" w:rsidP="00355D0A">
      <w:pPr>
        <w:spacing w:line="360" w:lineRule="auto"/>
        <w:jc w:val="both"/>
      </w:pPr>
      <w:r>
        <w:t xml:space="preserve">My experience during the last 6 months of training has shown me that unexpected events can drastically alter how work </w:t>
      </w:r>
      <w:proofErr w:type="gramStart"/>
      <w:r>
        <w:t>is conducted</w:t>
      </w:r>
      <w:proofErr w:type="gramEnd"/>
      <w:r>
        <w:t xml:space="preserve">, especially during Coronavirus (BBC NEWS, 2020a). It has also made me realise that stress can be managed and that different coping mechanisms can support this. Stress will never disappear in my life but I am learning how to manage it and build resilience. From this experience, I know how to target my stress whether through exercise or Mindfulness. It has also made me realise that I can talk to colleagues, family or friends about my stress. Minimising my stress does not have to be completed alone. </w:t>
      </w:r>
    </w:p>
    <w:p w14:paraId="2EEEFA05" w14:textId="77777777" w:rsidR="00355D0A" w:rsidRDefault="00355D0A" w:rsidP="00355D0A">
      <w:pPr>
        <w:spacing w:line="360" w:lineRule="auto"/>
        <w:jc w:val="both"/>
      </w:pPr>
    </w:p>
    <w:p w14:paraId="7188DA67" w14:textId="3D45843D" w:rsidR="00355D0A" w:rsidRPr="00DB2EA8" w:rsidRDefault="00355D0A" w:rsidP="00355D0A">
      <w:pPr>
        <w:spacing w:line="360" w:lineRule="auto"/>
        <w:jc w:val="both"/>
      </w:pPr>
      <w:r>
        <w:t xml:space="preserve">With this knowledge of how I can minimise my stress through coping mechanisms I can carry this forward into my role as a Police Constable. I am aware that I will face far greater challenges and demands. However, I feel prepared to work with the public and serve to protect them by also protecting myself during stressful situations. Exercising and Mindfulness can be incorporated in my new job; I have the ability to adapt this to my needs.  Furthermore, I am going to be working with colleagues who will become part of a family. If I have any stresses, which need to be vocalised, I feel that my colleagues would offer that support. </w:t>
      </w:r>
    </w:p>
    <w:p w14:paraId="43C703D1" w14:textId="77777777" w:rsidR="00355D0A" w:rsidRDefault="00355D0A" w:rsidP="00355D0A">
      <w:pPr>
        <w:spacing w:line="360" w:lineRule="auto"/>
        <w:jc w:val="both"/>
      </w:pPr>
    </w:p>
    <w:p w14:paraId="2A2F9555" w14:textId="1E9B382E" w:rsidR="00355D0A" w:rsidRDefault="00355D0A" w:rsidP="00355D0A">
      <w:pPr>
        <w:spacing w:line="360" w:lineRule="auto"/>
        <w:jc w:val="both"/>
      </w:pPr>
      <w:r>
        <w:t xml:space="preserve">To conclude, I feel that I have minimised my stress to the best of my ability during my 6-month training. Exercising and Mindfulness are two coping strategies that I will continue to utilise in my life. Although they offer positive and negative effects, I know how to adapt them to suit me. There is a variety of different coping strategies that I could have discussed, however those discussed have supported me in building resilience to daily stresses. </w:t>
      </w:r>
    </w:p>
    <w:p w14:paraId="0590AAF8" w14:textId="77777777" w:rsidR="00FF7784" w:rsidRPr="00270EEB" w:rsidRDefault="00FF7784" w:rsidP="00E6298B">
      <w:pPr>
        <w:ind w:right="107"/>
        <w:jc w:val="both"/>
        <w:rPr>
          <w:sz w:val="24"/>
          <w:szCs w:val="24"/>
        </w:rPr>
      </w:pPr>
    </w:p>
    <w:p w14:paraId="19FBAC4F" w14:textId="0FA75BCD" w:rsidR="00FF7784" w:rsidRPr="00270EEB" w:rsidRDefault="00AE13C2" w:rsidP="00E6298B">
      <w:pPr>
        <w:ind w:right="107"/>
        <w:jc w:val="both"/>
        <w:rPr>
          <w:sz w:val="24"/>
          <w:szCs w:val="24"/>
        </w:rPr>
      </w:pPr>
      <w:r>
        <w:rPr>
          <w:sz w:val="24"/>
          <w:szCs w:val="24"/>
        </w:rPr>
        <w:t>Word Count: 1551</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3D8B02D" w14:textId="77777777" w:rsidR="005F056F" w:rsidRDefault="005F056F" w:rsidP="005F056F">
      <w:pPr>
        <w:spacing w:line="360" w:lineRule="auto"/>
        <w:jc w:val="both"/>
      </w:pPr>
      <w:r>
        <w:t xml:space="preserve">This essay discusses the use of communication and managing conflict within a specific policing incident. The particular policing incident reflects a domestic situation that involved children. Gibbs Reflective Cycle (1988) outlined by Maloney, Tai and Molloy, 2013, p.619) reflects on the policing incident, outlining the steps that were taken by the police officers at the time. Furthermore, there will be an insight into the legislation that has been utilised in this policing incident as well as discussing the Coronavirus pandemic. The social context suggests the implication of using force on individuals and highlighting the issues faced by different countries for example America, how this alters the perception of the police force in the UK. Establishing whether the use of force was necessary to the situation, and outlining the type of communication skills used during the policing incident. In particular, Betari’s Box, as well as discussing the impact of Berne theory of transactional analysis when engaging in conversation. Moreover, understanding the exchange of non-verbal’s and how this impacts on an offenders behaviour and determining as a police officer the impact factors of the individual and ensuring that the National Decision Model is followed. Outlining the policing principles, in particular the Peelian principles and the Code of Practice adopted by police officers. Furthermore, discussing the Human Rights Act 1998 when working with the public. Lastly, the conclusion will bring together the evidence discovered, reflecting on what worked well during the incident and how it can be improved upon. </w:t>
      </w:r>
    </w:p>
    <w:p w14:paraId="3AEB8E1B" w14:textId="77777777" w:rsidR="005F056F" w:rsidRDefault="005F056F" w:rsidP="005F056F">
      <w:pPr>
        <w:spacing w:line="360" w:lineRule="auto"/>
        <w:jc w:val="both"/>
      </w:pPr>
    </w:p>
    <w:p w14:paraId="79B780E4" w14:textId="77777777" w:rsidR="005F056F" w:rsidRDefault="005F056F" w:rsidP="005F056F">
      <w:pPr>
        <w:spacing w:line="360" w:lineRule="auto"/>
        <w:jc w:val="both"/>
      </w:pPr>
      <w:r>
        <w:t xml:space="preserve">To illustrate the policing incident, the essay uses Gibbs Reflective Cycle (1988) discussed by Maloney, Tai and Molloy (2013, p.619). Police officers responded to a domestic incident, a male was outside the property shouting about wanting to see his children and stating the female in the property had been drinking. The female was upset and shaken. Officers tried to resolve the situation with a grandparent attending to the children. However, the male became un-cooperative and combative, due to the fact he had also been drinking.  As a result, the male was arrested for Breach of the Peace and removed from the property. Welfare of the children considered during this incident.  </w:t>
      </w:r>
    </w:p>
    <w:p w14:paraId="0FD897ED" w14:textId="77777777" w:rsidR="005F056F" w:rsidRDefault="005F056F" w:rsidP="005F056F">
      <w:pPr>
        <w:spacing w:line="360" w:lineRule="auto"/>
        <w:jc w:val="both"/>
      </w:pPr>
      <w:r>
        <w:t xml:space="preserve">At the time, I was thinking that our priority was to ensure that the female and children were safe in the property. Female officers stayed in the property with the female whilst the children were asleep. I felt apprehensive about what the male might do. He had come across as calm when we initially arrived, however once he realised officers would not permit him entry into the house to get his children he became argumentative. My main thought was to prevent the male from entering the property where I would use force if necessary. </w:t>
      </w:r>
    </w:p>
    <w:p w14:paraId="0349248F" w14:textId="77777777" w:rsidR="005F056F" w:rsidRDefault="005F056F" w:rsidP="005F056F">
      <w:pPr>
        <w:spacing w:line="360" w:lineRule="auto"/>
        <w:jc w:val="both"/>
      </w:pPr>
      <w:r>
        <w:t xml:space="preserve">Evaluating this incident, it was a good experience as this was the first encounter of managing conflict as a police officer. It also helped me understand that a situation can change in a matter a seconds and as a police officer, you need to be aware of this. A limitation here is being aware of the impact factors for example, I am 5 foot 2 and the offender was a male of 5 foot 9. Therefore, I need to be aware of the impact factors, my positioning and knowing use of force.  </w:t>
      </w:r>
    </w:p>
    <w:p w14:paraId="280C440A" w14:textId="77777777" w:rsidR="005F056F" w:rsidRDefault="005F056F" w:rsidP="005F056F">
      <w:pPr>
        <w:spacing w:line="360" w:lineRule="auto"/>
        <w:jc w:val="both"/>
      </w:pPr>
      <w:r>
        <w:t xml:space="preserve">It was clear that the male in question was unhappy about leaving the children in the care of the female who had been drinking. Although officers had explained the actions put in place, the male was unwilling to listen to this. As a result, the situation escalated, whereby the male was arrested for Breach of the Peace. If the male had been willing to vacate the area, the officers would not have needed to use force in that incident. </w:t>
      </w:r>
    </w:p>
    <w:p w14:paraId="799AEF0D" w14:textId="77777777" w:rsidR="005F056F" w:rsidRDefault="005F056F" w:rsidP="005F056F">
      <w:pPr>
        <w:spacing w:line="360" w:lineRule="auto"/>
        <w:jc w:val="both"/>
      </w:pPr>
      <w:r>
        <w:t xml:space="preserve">In this policing incident, it was not appropriate to remove the children from the premises as another adult was going to look after them. If the male had listened to what the officers had said, the communication would have been more of an understanding. If the male had not been drinking also then the exchange between officers would have been less confrontational. </w:t>
      </w:r>
    </w:p>
    <w:p w14:paraId="47D1B823" w14:textId="77777777" w:rsidR="005F056F" w:rsidRDefault="005F056F" w:rsidP="005F056F">
      <w:pPr>
        <w:spacing w:line="360" w:lineRule="auto"/>
        <w:jc w:val="both"/>
      </w:pPr>
      <w:r>
        <w:t xml:space="preserve">Due to the nature of the incident and children were involved, completion of a Public Protection Notice (PPN) by officers. Although there was no harm to the female or children, this form highlights the level of risk towards the family and if a similar incident were to occur, this form would go towards evaluating the risk for the family. The male was arrested for Breach of the Peace; however, once removed from the property the male calmed down and taken to another home address. </w:t>
      </w:r>
    </w:p>
    <w:p w14:paraId="5391FEA4" w14:textId="77777777" w:rsidR="005F056F" w:rsidRDefault="005F056F" w:rsidP="005F056F">
      <w:pPr>
        <w:spacing w:line="360" w:lineRule="auto"/>
        <w:jc w:val="both"/>
      </w:pPr>
    </w:p>
    <w:p w14:paraId="22E2B0F2" w14:textId="77777777" w:rsidR="005F056F" w:rsidRDefault="005F056F" w:rsidP="005F056F">
      <w:pPr>
        <w:spacing w:line="360" w:lineRule="auto"/>
        <w:jc w:val="both"/>
      </w:pPr>
      <w:r>
        <w:t xml:space="preserve">Within this policing incident, the male was arrested for a Breach of the Peace. This form of legislation is Common Law and is not a criminal offence. (Police National Legal Database, 2019) Although, there are disputes as to whether certain incidents amount to an individual being arrested for Breach of the Peace. According to case law, involving McConnell v C.C. 1990 a Breach of the Peace is only likely to take place if a domestic incident continues into the street, thereby being witnessed by neighbours (Police National Legal Database, 2019). However as outlined by the definition of Breach of the Peace this can take place inside a person’s home (Police National Legal Database, 2019). There are suggestions over what is reasonable when an officer arrests an individual for Breach of the Peace. Smith (2000, p.425) portrays that an officer’s arrest of an individual for Breach </w:t>
      </w:r>
      <w:r>
        <w:lastRenderedPageBreak/>
        <w:t xml:space="preserve">of the Peace is deemed reasonable if there is substantial evidence suggesting that failure to do so could lead to disruption. In this particular policing incident, it was reasonable for officers to arrest the male as he was refusing to leave the driveway of the property; he was becoming verbally aggressive towards officers as well as causing alarm to the female inside the property who was being consoled by officers. Upon reflection, the male was sincere about their actions, admitting their only concern was that of the welfare of the children. A temporary removal of the male from the situation ensured that officers executed their duty in a necessary and proportionate way. </w:t>
      </w:r>
    </w:p>
    <w:p w14:paraId="6DAB05CF" w14:textId="77777777" w:rsidR="005F056F" w:rsidRDefault="005F056F" w:rsidP="005F056F">
      <w:pPr>
        <w:spacing w:line="360" w:lineRule="auto"/>
        <w:jc w:val="both"/>
      </w:pPr>
      <w:r>
        <w:t xml:space="preserve">The Coronavirus pandemic has encouraged the Government to set out strict rules on the interactions of households and limiting gatherings outdoors (BBC News, 2020a). However, the policing incident was an altogether different situation. Both parents were separated but allowed access to the children. According to the Welsh Government website (2020) the introduction of the extended household entitles those who are parents but living separately to move the children freely between households. In relation to this policing incident, no rules around Coronavirus had been broken, as the parents had continued to share parental responsibility of the children throughout the Welsh lockdown. In relation to this domestic incident the female did not provide consent to complete a Domestic Abuse, Stalking and Harassment (DASH) form. However, from the perspective of Gwent Police, work is diligently carried out by officers to support those victims through Connect Gwent or through a partner agency approach (Gwent Police, 2017, p.26). By determining the level of risk to the female through a PPN referral, it ensures support given to the family and officers become aware of any concerns for the victim. Over the years, statistics have revealed that crimes of a domestic nature are often not recorded or the ones, which are recorded, are considered the worst (Office for National Statistics, 2016). Therefore, officers are often unaware if a domestic incident has taken place if the victim is not willing to come forward. In this instance, support was offered to the family. This policing incident shows how communication is needed. </w:t>
      </w:r>
    </w:p>
    <w:p w14:paraId="550AC47E" w14:textId="77777777" w:rsidR="005F056F" w:rsidRDefault="005F056F" w:rsidP="005F056F">
      <w:pPr>
        <w:spacing w:line="360" w:lineRule="auto"/>
        <w:jc w:val="both"/>
      </w:pPr>
    </w:p>
    <w:p w14:paraId="1920FE00" w14:textId="77777777" w:rsidR="005F056F" w:rsidRDefault="005F056F" w:rsidP="005F056F">
      <w:pPr>
        <w:spacing w:line="360" w:lineRule="auto"/>
        <w:jc w:val="both"/>
      </w:pPr>
      <w:r>
        <w:t xml:space="preserve">The use of force is a controversial topic depending on the country of the police force (Crow and Adrion, 2011, p.366). Particularly in America, it is suggested that African- American individuals face higher levels of harm and interaction with the Criminal Justice System compared to white individuals (Edwards, Esposito and Lee, 2018, p. 1241). For example, the killing of George Floyd in America, the multiple use of force used during this incident was not proportionate (BBC News, 2020b). Whereas in England and Wales, the police service utilise Section 3 of the Criminal Law Act 1967 and Section 117 of the Police and Criminal Evidence Act 1984 (PACE) for use of force measures (College of Policing, 2020a). The action of using handcuffs to arrest an individual should be reasonable for the situation and consider the rights of Article 2 and 5 of the European Convention on Human Rights (1998). (College of Policing, 2020a). In the policing incident discussed, the use of handcuffs were proportionate and necessary. This is due to the male becoming uncooperative with officers and becoming verbally aggressive. Officers utilised the National Decision Model to assess the situation. With the correct use of communication with the male, this hindered the efforts of the officers, as the male was reluctant to listen or remove himself from the property. As the attending officer, arresting the male was the next reasonable and necessary step. This was to ensure safe removal of the male from the area, protecting the victim involved and the other officers in attendance, to manage this conflict. </w:t>
      </w:r>
    </w:p>
    <w:p w14:paraId="21BD12E1" w14:textId="4DE873B3" w:rsidR="005F056F" w:rsidRDefault="005F056F" w:rsidP="005F056F">
      <w:pPr>
        <w:spacing w:line="360" w:lineRule="auto"/>
        <w:jc w:val="both"/>
      </w:pPr>
      <w:r>
        <w:t xml:space="preserve">Communication is an important skill within the police force, being able to engage with an offender to diffuse a situation or communicate sympathetically with victim or witnesses. (Wessels, 2009, p.501). One theory is when </w:t>
      </w:r>
      <w:r>
        <w:lastRenderedPageBreak/>
        <w:t xml:space="preserve">engaging in conversation with an offender is the Berne Transactional Analysis (Kulashekara and Venkatesh, 2014, p.248). The concept of an exchange through a Parent, Adult, and Child state alters how a conversation is enabled between two people (Kulashekara and Venkatesh, 2014, p.248). In the policing incident, the initial interaction was Adult to Adult – having a rational discussion. However, the dynamic of the conversation changed when the male realised he was unable to get what he wanted resulting in a Parent to Child exchange which is detrimental to the conversation. Furthermore, entering into a cycle of behaviour known as Betari’s Box (College of Policing, 2019) is another communication model that is beneficial to an officer. For instance in the policing incident, acknowledging that my attitude influences my behaviour which has an effect on the individual being engaged in conversation (College of Policing, 2019). Ultimately, this can positively or negatively affect the exchange, in this particular instance, rational thinking and being sympathetic about the situation allowed a level of rapport initially. However, due to the agitated state of the male, the level of communication fell, instead introducing non-verbal communication. Non-verbal interactions are linked to one’s emotion, thus the body reveals what the mind is truly thinking (Matsumoto and Hwang, 2018, p.303). The male in the policing incident altered his stance by folding his arms, shifting his weight across his feet. Interestingly there was one female officer and three male officers stood with this male and he directed his </w:t>
      </w:r>
      <w:r>
        <w:t>verbal</w:t>
      </w:r>
      <w:r>
        <w:t xml:space="preserve"> and eye contact to the male officers rather than the female officer. This policing incident shows how communication is valuable when dealing with conflict. </w:t>
      </w:r>
    </w:p>
    <w:p w14:paraId="6D8A0326" w14:textId="77777777" w:rsidR="005F056F" w:rsidRDefault="005F056F" w:rsidP="005F056F">
      <w:pPr>
        <w:spacing w:line="360" w:lineRule="auto"/>
        <w:jc w:val="both"/>
      </w:pPr>
    </w:p>
    <w:p w14:paraId="62A7B899" w14:textId="77777777" w:rsidR="005F056F" w:rsidRDefault="005F056F" w:rsidP="005F056F">
      <w:pPr>
        <w:spacing w:line="360" w:lineRule="auto"/>
        <w:jc w:val="both"/>
      </w:pPr>
      <w:r>
        <w:t xml:space="preserve">There is great emphasis on the police force to be mindful of the rights of Humans and that it is in accordance with the European Convention on Human Rights Act (1998) in particular when using any form of force in a conflicting situation (Bullock and Johnson, 2012, p.630). In this policing incident, officers would need to consider the proportionality and necessity for arresting the male and placing them in handcuffs. Thus ensuring that police officers are accountable to the police force and the Human Rights Act 1998 when dealing with individuals (Mawby and Wright, 2005). Thereby officers must demonstrate the importance of complying with the Human Rights Act 1998 to ensure that all those involved with the police are treated fairly. </w:t>
      </w:r>
    </w:p>
    <w:p w14:paraId="57619FB8" w14:textId="77777777" w:rsidR="005F056F" w:rsidRDefault="005F056F" w:rsidP="005F056F">
      <w:pPr>
        <w:spacing w:line="360" w:lineRule="auto"/>
        <w:jc w:val="both"/>
      </w:pPr>
      <w:r>
        <w:t xml:space="preserve">Although Human Rights are fundamental to the role of a police officer, there is consideration for the Peelian Principles within the police. The Peelian Principles demonstrate how policing is conducted in society (Loader, 2016, p.427). These principles are the pillars for the police forces in the UK, and reveal how useful a tool they are in modern policing (Lentz and Chaires, 2007, p.70). When dealing with a situation that often has conflict involved, it is safe to assume that officers take the initiative to think of the powers available. Ensuring it falls in line with the Human Rights Act 1998, the Peelian Principles and the Code of Ethics. In this policing incident, above all the Human Rights Act 1998 is paramount towards police involvement. </w:t>
      </w:r>
    </w:p>
    <w:p w14:paraId="57394363" w14:textId="77777777" w:rsidR="005F056F" w:rsidRDefault="005F056F" w:rsidP="005F056F">
      <w:pPr>
        <w:spacing w:line="360" w:lineRule="auto"/>
        <w:jc w:val="both"/>
      </w:pPr>
      <w:r>
        <w:t xml:space="preserve">Within the police, there are Code of Ethics that define what you should do as a police officer; this includes the values, beliefs and attitudes of all serving police officers (College of Policing, 2014a, p. </w:t>
      </w:r>
      <w:proofErr w:type="gramStart"/>
      <w:r>
        <w:t>iv</w:t>
      </w:r>
      <w:proofErr w:type="gramEnd"/>
      <w:r>
        <w:t xml:space="preserve">). Furthermore, it has been acknowledged by Wood (2002, p.61) that the incorporation of ethic codes into an organisation is beneficial. As such showing integrity, honesty and accountability to name just a few is vital for a police officer (College of Policing, 2014a, p. 3). Particularly in this policing incident, due to the level of co-operation needed from the male, officers had to be accountable for their decision in arresting the individual. </w:t>
      </w:r>
    </w:p>
    <w:p w14:paraId="4ADB1C3C" w14:textId="77777777" w:rsidR="005F056F" w:rsidRDefault="005F056F" w:rsidP="005F056F">
      <w:pPr>
        <w:spacing w:line="360" w:lineRule="auto"/>
        <w:jc w:val="both"/>
      </w:pPr>
      <w:r>
        <w:t xml:space="preserve">Furthermore, within any police force in the UK, police officers must show authority and respect to the public (College of Policing, 2014a, p.6). In this particular incident, we showed the individual respect when first arriving </w:t>
      </w:r>
      <w:r>
        <w:lastRenderedPageBreak/>
        <w:t xml:space="preserve">on the scene. Using tactical communication with the individual proved unsuccessful. Therefore, it was proportionate for the officers to use force to apprehend the individual, as they were being un-cooperative and verbally aggressive towards officers. As a result, officers used their authority to deal with the situation in the most appropriate way. As outlined in College of Policing (2014a, p.6) officers kept an open perspective of the situation, as further information was obtained from the individual outside and the female inside the property, officers were able to establish the actions that followed. Officers dealt with the incident in question, which involved conflict, appropriately. Keeping in mind the Human Rights Act 1998, the code of ethics and the Peelian principles. </w:t>
      </w:r>
    </w:p>
    <w:p w14:paraId="52D6F985" w14:textId="77777777" w:rsidR="005F056F" w:rsidRDefault="005F056F" w:rsidP="005F056F">
      <w:pPr>
        <w:spacing w:line="360" w:lineRule="auto"/>
        <w:jc w:val="both"/>
      </w:pPr>
    </w:p>
    <w:p w14:paraId="1C2F4759" w14:textId="77777777" w:rsidR="005F056F" w:rsidRDefault="005F056F" w:rsidP="005F056F">
      <w:pPr>
        <w:spacing w:line="360" w:lineRule="auto"/>
        <w:jc w:val="both"/>
      </w:pPr>
      <w:r>
        <w:t xml:space="preserve">In summary, this essay has determined what areas of policing need to be considered when faced with an incident that involves conflict. Managing conflict is not always physical and can include the use of tactical communication. This essay has identified a particular policing incident in the reflective approach of Gibbs Reflective Cycle (1988). Subsequently the essay has revealed the legislation implemented when dealing with a Breach of the Peace, as well as the Coronavirus pandemic. In addition, the essay discusses the approach that Gwent Police take when dealing with incidents that involve children and the support put in place. Furthermore, evidence on the use of force used by America and the difference to the UK, in particular utilising the National Decision Model. The essay has established the use of communication and the benefits of dealing with an incident involving conflict. For example, the use of Betari’s box and non-verbal interactions. Lastly, the essay has discussed the Human Rights Act 1998, the code of ethics and the Peelian Principles within the police force. This policing incident was beneficial as it revealed how managing conflict is different depending on the situation. The limitation of this incident is the number of officers attending the scene could have resulted in the individual becoming uncooperative. This policing incident has acknowledged the steps needed to manage conflict.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390C64A9" w:rsidR="008B28E7" w:rsidRPr="00270EEB" w:rsidRDefault="00AE13C2" w:rsidP="00E6298B">
      <w:pPr>
        <w:ind w:right="107"/>
        <w:jc w:val="both"/>
        <w:rPr>
          <w:sz w:val="24"/>
          <w:szCs w:val="24"/>
        </w:rPr>
      </w:pPr>
      <w:r>
        <w:rPr>
          <w:sz w:val="24"/>
          <w:szCs w:val="24"/>
        </w:rPr>
        <w:t xml:space="preserve">Word Count: </w:t>
      </w:r>
      <w:r w:rsidR="009E0E63">
        <w:rPr>
          <w:sz w:val="24"/>
          <w:szCs w:val="24"/>
        </w:rPr>
        <w:t>2566</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t>
            </w:r>
            <w:proofErr w:type="gramStart"/>
            <w:r>
              <w:rPr>
                <w:sz w:val="24"/>
                <w:szCs w:val="24"/>
              </w:rPr>
              <w:t>were engaged</w:t>
            </w:r>
            <w:proofErr w:type="gramEnd"/>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3F9107E" w14:textId="77777777" w:rsidR="00B96095" w:rsidRDefault="00B96095" w:rsidP="00B96095">
      <w:pPr>
        <w:spacing w:line="360" w:lineRule="auto"/>
        <w:jc w:val="both"/>
      </w:pPr>
      <w:r>
        <w:t xml:space="preserve">This essay aims to answer the question about a policing incident that involved a witness and how they were supported through the Criminal Justice System. It will also take into consideration valuing difference and inclusion of those mentioned in the reflective account. In particular, it will focus on the age of a witness, the effect on the interview process and measures used to protect the witness. The essay reflects upon Borton’s model (1970) as referred to by Magee and Nurse (2014, p.20) to establish the events and outcome. Whilst outlining the events of the incident, focus made to the social and legislative context, highlighting the Coronavirus pandemic. Additionally, addressing responsibilities and procedures adopted during the event. Paying particular attention to the Codes of Practice and the standards of professional behaviour. The support in which victim and witnesses receive during the Criminal Justice System. Highlighting the impact of being a witness if you are under the age of 18. Due to the nature of the event that will explained, there is attention to the National Decision Model and the function it has in the policing incident. Furthermore, policing values will be identified and discussed, as well as sensitive practice in relation to witnesses who are under the age of 18 that may require additional support. Finally, the essay will conclude by summarising the discussion, any benefits to the incidents and any further improvements that can be utilised for future events. </w:t>
      </w:r>
    </w:p>
    <w:p w14:paraId="74FA7E33" w14:textId="77777777" w:rsidR="00B96095" w:rsidRDefault="00B96095" w:rsidP="00B96095">
      <w:pPr>
        <w:spacing w:line="360" w:lineRule="auto"/>
        <w:jc w:val="both"/>
      </w:pPr>
    </w:p>
    <w:p w14:paraId="48C84EDB" w14:textId="77777777" w:rsidR="00B96095" w:rsidRDefault="00B96095" w:rsidP="00B96095">
      <w:pPr>
        <w:spacing w:line="360" w:lineRule="auto"/>
        <w:jc w:val="both"/>
      </w:pPr>
      <w:r>
        <w:t xml:space="preserve">Borton’s Reflective Model (1970) assists by outlining the policing incident. This reflective tool outlines three stages, the What, So What and Now What (Magee and Nurse, 2014, p.20). Each stage systematically outlines the incident and details the steps taken. An incident took place that involved an assault. This assault took place </w:t>
      </w:r>
      <w:r>
        <w:lastRenderedPageBreak/>
        <w:t xml:space="preserve">between young people aged 16-18 years old. Although not attending as first officer on scene, there was assistance during the interaction with the witnesses and the potential interview process. Subsequently this led to the arrest of the subject on suspicion of Common Assault and conveyed to custody. Four witnesses needed to provide a statement. The witness spoken to was a female under 18 years of age. As the witnesses were alone at the station, we were unable to take their statement due to an appropriate adult not being present. The actions implemented included completing a Witness Interview Planning Booklet. This would set out the ground works for an interview but it was the appropriate procedure to implement when interviewing those under the age of 18. The purpose of using this booklet is to outline a brief statement from the witness, special measures that need to be included. It also outlines any learning difficulties the young person may have which could affect the interview. </w:t>
      </w:r>
    </w:p>
    <w:p w14:paraId="478609CA" w14:textId="77777777" w:rsidR="00B96095" w:rsidRDefault="00B96095" w:rsidP="00B96095">
      <w:pPr>
        <w:spacing w:line="360" w:lineRule="auto"/>
        <w:jc w:val="both"/>
      </w:pPr>
      <w:r>
        <w:t xml:space="preserve">The implications faced during this time included a signature required for the booklet by a parent/guardian, acknowledging that the booklet had been completed and consenting for an interview to take place. However, upon arriving at the police station the witness did not have a parent present. Subsequently, we had to wait until a parent could attend in order to discuss the Booklet and provided with a signature. By completing this Booklet, it would ensure an interview with the witness the following day by another officer to establish the full events and create a statement in preparation for the case of the assault. Without having the signature of a parent/guardian, it would affect whether an interview with the witness about the incident that took place. Although the female was just under the age of 18, they were intelligent and understood all questions asked as well as the information discussed whilst completing the booklet. </w:t>
      </w:r>
    </w:p>
    <w:p w14:paraId="7C32693D" w14:textId="77777777" w:rsidR="00B96095" w:rsidRDefault="00B96095" w:rsidP="00B96095">
      <w:pPr>
        <w:spacing w:line="360" w:lineRule="auto"/>
        <w:jc w:val="both"/>
      </w:pPr>
      <w:r>
        <w:t xml:space="preserve">The options to consider at this moment included attaching the booklet to the case to other officers due in the following day. My preferred action would have been to complete an interview with the witness upon returning the female to the family home. However, the consequence of this is the female was returned in the early hours of the morning and it was not appropriate to conduct an interview at that time, particularly due to the age of the witness. Therefore, handing over the interview to officers on the following shift was more suitable in this instance. It is important to note that although an interview was not completed, due to the age of the witness, the appropriate procedures were upheld in order to support a witness through the Criminal Justice System. Following this procedure is paramount to protect witnesses under 18 years of age. </w:t>
      </w:r>
    </w:p>
    <w:p w14:paraId="34FC47B7" w14:textId="77777777" w:rsidR="00B96095" w:rsidRDefault="00B96095" w:rsidP="00B96095">
      <w:pPr>
        <w:spacing w:line="360" w:lineRule="auto"/>
        <w:jc w:val="both"/>
      </w:pPr>
    </w:p>
    <w:p w14:paraId="4D580960" w14:textId="77777777" w:rsidR="00B96095" w:rsidRDefault="00B96095" w:rsidP="00B96095">
      <w:pPr>
        <w:spacing w:line="360" w:lineRule="auto"/>
        <w:jc w:val="both"/>
      </w:pPr>
      <w:r>
        <w:t xml:space="preserve">The policing incident described in this essay involved a Common Assault between a young female and members of a group of young people aged 16 – 18 years. Common Assault falls under Section 39 of the Criminal Justice Act 1988 (Legislation.gov.uk, 2020a). The Act itself focuses on the phrases ‘intentionally or recklessly’. Within this policing incident, the reckless act of violence committed to members of the group, ensured that there was necessity for the young female to be arrested, to protect the individuals involved. The utilisation of the National Decision Model (College of Policing, 2014b) to determine this decision by officers helps to protect the individual and justify the correct procedure used. </w:t>
      </w:r>
    </w:p>
    <w:p w14:paraId="456C962B" w14:textId="77777777" w:rsidR="00B96095" w:rsidRDefault="00B96095" w:rsidP="00B96095">
      <w:pPr>
        <w:spacing w:line="360" w:lineRule="auto"/>
        <w:jc w:val="both"/>
      </w:pPr>
      <w:r>
        <w:t xml:space="preserve">Further to this, Coronavirus has had a great impact on society during this year; the current increase in cases and deaths has led to local, regional and national lockdowns in the UK (BBC News, 2020a). As outlined by the Gov.uk (2020) website, social distancing of two metres is essential to kerb the spread of Coronavirus. The policing incident discussed took place during the county lockdowns issued in Wales. Because of this, a ban placed on social gathering outside of the household (BBC News, 2020c). However, due to the incident involving </w:t>
      </w:r>
      <w:r>
        <w:lastRenderedPageBreak/>
        <w:t xml:space="preserve">a criminal offence, discretion used to explain and educate those involved about the legislation of Coronavirus and that social gathering was not permitted. In relation to this policing incident that involved a criminal offence, it is essential to establish the evidence in order to charge the individual.  </w:t>
      </w:r>
    </w:p>
    <w:p w14:paraId="71C9D7D8" w14:textId="77777777" w:rsidR="00B96095" w:rsidRDefault="00B96095" w:rsidP="00B96095">
      <w:pPr>
        <w:spacing w:line="360" w:lineRule="auto"/>
        <w:jc w:val="both"/>
      </w:pPr>
    </w:p>
    <w:p w14:paraId="676A6CB5" w14:textId="77777777" w:rsidR="00B96095" w:rsidRDefault="00B96095" w:rsidP="00B96095">
      <w:pPr>
        <w:spacing w:line="360" w:lineRule="auto"/>
        <w:jc w:val="both"/>
      </w:pPr>
      <w:r>
        <w:t xml:space="preserve">Our unconscious bias affects us in many ways. As humans, we are unaware that unconscious bias is taking place (Cuellar, 2017, p.333). Identified through the individuals present at the policing incident that the young female arrested on suspicion of common assault had previous involvement with the police. This information alters the perception that officers have of the individual, resulting in unconscious bias alienating our decision-making skills and often our behaviour (Bellack, 2015, p.63). As a result, this reflects negatively on the individual as although they have committed an offence, underlying social factors may suggest they are victim of their own crimes (Deadman and MacDonald, 2004, p.53). Similarly, it suggests that there is a link between offenders and victims. Outlined by Routine Activity Theory (Cohen et al 1981, p.509) sharing a common interest in their lifestyle or social demographic, this can often bring together offenders and victims (Deadman and MacDonald 2004, p.54). The integration of this relationship affects the levels of crime and blurs the line on who commits them. Therefore, the association that the witnesses and victims have with the young female in the policing incident may escalate, resulting in offender traits emerging within these individuals. It is important to highlight that although legislation is paramount when an offence has been committed. However, social context is equally important in establishing the impact it has on the community. This determines the involvement that the offender, victim and witnesses have with the Criminal Justice System in this policing incident. </w:t>
      </w:r>
    </w:p>
    <w:p w14:paraId="78D943AD" w14:textId="77777777" w:rsidR="00B96095" w:rsidRDefault="00B96095" w:rsidP="00B96095">
      <w:pPr>
        <w:spacing w:line="360" w:lineRule="auto"/>
        <w:jc w:val="both"/>
      </w:pPr>
    </w:p>
    <w:p w14:paraId="42064194" w14:textId="77777777" w:rsidR="00B96095" w:rsidRDefault="00B96095" w:rsidP="00B96095">
      <w:pPr>
        <w:spacing w:line="360" w:lineRule="auto"/>
        <w:jc w:val="both"/>
      </w:pPr>
      <w:r>
        <w:t xml:space="preserve">The policing incident discussed involves victims and witnesses, it is important to establish the responsibility and procedures of the police officers. As the responsibility of a police officer, it is within our role to perform to a standard of professional behaviour (College of Policing, 2020b). The most important consideration in interviewing is the Police and Criminal Evidence Act 1984 and the Code of Practice (College of Policing, 2020b). In particular, consideration to the Human Rights Act 1998 and the Equality Act 2010 (College of Policing, 2020b). Therefore, as a police officer acknowledging the importance of an interview is essential as this can determine potential consequences towards the witness.  </w:t>
      </w:r>
    </w:p>
    <w:p w14:paraId="050E9CD1" w14:textId="77777777" w:rsidR="00B96095" w:rsidRDefault="00B96095" w:rsidP="00B96095">
      <w:pPr>
        <w:spacing w:line="360" w:lineRule="auto"/>
        <w:jc w:val="both"/>
      </w:pPr>
      <w:r>
        <w:t xml:space="preserve">When faced with interviewing, the process of obtaining information from victim and witnesses is evident through experienced police officers (Dando, Wilcock and Milne, 2008, p.60). The PEACE model is designed to help officers formulate an interview plan and the most efficient way to conduct an interview (College of Policing, 2020b). There is an idea that a rapport between an interviewer and interviewee is effective and something to be achieved in interviewing (Abbe and Brandon, 2013, p.237). In conjunction with the policing incident due to the age of the witness, it was appropriate at the time to build a rapport. As this would quash their nerves and potentially encourage them to divulge information. The procedure adopted to engage with the witness is Achieving Best Evidence (Ministry of Justice, 2011). Completing the Witness Interview Booklet was the appropriate procedure before an initial interview. </w:t>
      </w:r>
    </w:p>
    <w:p w14:paraId="1CA2AD6F" w14:textId="77777777" w:rsidR="00B96095" w:rsidRDefault="00B96095" w:rsidP="00B96095">
      <w:pPr>
        <w:spacing w:line="360" w:lineRule="auto"/>
        <w:jc w:val="both"/>
      </w:pPr>
      <w:r>
        <w:t xml:space="preserve">Moreover, through completing the booklet the witness was not considered a vulnerable or intimidated witness. According to the Youth Justice and Criminal Evidence Act 1999 (Legislation.gov.uk, 2020b). A vulnerable witness includes individuals under 18 years of age and suffering from a “mental disorder, physical disability or disorder or an impairment of intelligence” (Legislation.gov.uk, 2020b). Whereas the intimidated witness includes </w:t>
      </w:r>
      <w:r>
        <w:lastRenderedPageBreak/>
        <w:t xml:space="preserve">those exposed to “fear or distress” that influences the effectiveness of evidence (Legislation.gov.uk, 2020b). If witnesses are not properly prepared by establishing special measures, it affects the evidence being effective in court (Roberts, Cooper and Judge, 2005, p.270). Special measures available to these witnesses include screens, TV link, evidence obtained in private, the removal of wigs and gowns, video recorded or communication aids (Legislation.gov.uk, 2020b). Identifying the appropriate measures needed for a vulnerable or intimidated witness helps or hinders a court case, ultimately affecting the cooperation from the witness. It is important in this policing incident to acknowledge the witnesses involvement in the Criminal Justice System. </w:t>
      </w:r>
    </w:p>
    <w:p w14:paraId="27E434F2" w14:textId="77777777" w:rsidR="00B96095" w:rsidRDefault="00B96095" w:rsidP="00B96095">
      <w:pPr>
        <w:spacing w:line="360" w:lineRule="auto"/>
        <w:jc w:val="both"/>
      </w:pPr>
      <w:r>
        <w:t xml:space="preserve">It has been noted by Burton, Evans and Sanders (2007, p.6) that failure of the police to ascertain if a witness is vulnerable or intimidated can often go unnoticed by the Crown Prosecution Service (CPS). Therefore, the witness spoken to in this policing incident, it was essential to establish whether they were vulnerable or intimidated to provide the appropriate support. Fortunately, through the witness booklet it was identified that the witness did not require special measures. However, consideration would have to be made to the age of the witness. The responsibilities of a police officer were evident in this policing incident, as they become aware of the impact that interviewing a witness under 18 years would have. </w:t>
      </w:r>
    </w:p>
    <w:p w14:paraId="78CFF589" w14:textId="77777777" w:rsidR="00B96095" w:rsidRDefault="00B96095" w:rsidP="00B96095">
      <w:pPr>
        <w:spacing w:line="360" w:lineRule="auto"/>
        <w:jc w:val="both"/>
      </w:pPr>
      <w:r>
        <w:t xml:space="preserve">Policing values is extremely important to implement during a policing incident. More often decision making is at the forefront of all police officers mind. Police officer decisions are impacted based on the lack of or misleading information from the public (College of Policing, 2014b). To alleviate these issues, the implementation of the National Decision Model encourages police officers to incorporate the Code of Ethics, alongside discretion and balancing any risk (College of Policing, 2014b). The National Decision Model is made up of 6 elements these include “Code of Ethics, Gathering information and intelligence, Assessing threat and risk and develop a working strategy, Consider powers and policy, Identify options and contingencies, Take action and review what happened” (College of Policing, 2020c).  In relation to this incident, integrity was essential when dealing with a witness. Providing the witness with confidence and trust within the police establishes a rapport (College of Policing, 2020d). Encouraging those involved in an incident to allow the police to tackle the incident and provide appropriate support to those affected. Allowing the witness to have their voice heard is essential to build a case and potentially obtain a conviction. According to Jackson and Bradford (2009, p.495), the concept of public confidence within the police is paramount to sustain efficiency in today’s society. In this policing incident, the confidence of the witnesses is beneficial to support them through the Criminal Justice System. </w:t>
      </w:r>
    </w:p>
    <w:p w14:paraId="5D0B8FDD" w14:textId="77777777" w:rsidR="00B96095" w:rsidRDefault="00B96095" w:rsidP="00B96095">
      <w:pPr>
        <w:spacing w:line="360" w:lineRule="auto"/>
        <w:jc w:val="both"/>
      </w:pPr>
      <w:r>
        <w:t xml:space="preserve">Within this incident, impartiality is fundamental in order to provide unbiased views on cases (College of Policing, 2020d). To build evidence within a case, police officers must ascertain information from both sides to give equal representation. In order for the incident to go to court, the views and wishes of the witnesses need to be established to be objective in the case and consider all areas of the investigation. The overall aim of the police is to offer neutrality in their role, avoiding discrimination of characteristics such as age (Tankebe, 2007, p.9). This would affect the role of the Criminal Justice System and ultimately not preserve difference and inclusion. </w:t>
      </w:r>
    </w:p>
    <w:p w14:paraId="1F9AFE4F" w14:textId="77777777" w:rsidR="00B96095" w:rsidRDefault="00B96095" w:rsidP="00B96095">
      <w:pPr>
        <w:spacing w:line="360" w:lineRule="auto"/>
        <w:jc w:val="both"/>
      </w:pPr>
      <w:r>
        <w:t xml:space="preserve">Respecting and showing dedication towards the public is at the heart of policing. Along with improving safety, we encourage them to feel valued and initiate any concerns they have (College of Policing, 2020d). Paterson and Pollock (2011, p.114) demonstrates in his book, a philosophical view on Kanitan ethics and not including a person’s previous behaviour is important when offering respect. For instance, the witness in this incident had previous involvement with the police. This does not negate the evidence they have provided, nor does this impact on how they are treated by police officers. Communication is the basis of the work carried out by police </w:t>
      </w:r>
      <w:r>
        <w:lastRenderedPageBreak/>
        <w:t xml:space="preserve">officers. Interactions between officers and the public should remain honest and open (College of Policing, 2020d). The public offer information to police officers that opens up a channel of communication and builds on public confidence (Morrell, Bradford and Javid, 2019, p.111). Without this form of transparency, police officers may struggle to obtain engagement from the community as they feel under-supported (Bain, Robinson, Conser, 2014, p.268). In relation to the policing incident discussed, policing values ensures that officers are diligent in their role and to consider all those involved especially victim and witnesses. </w:t>
      </w:r>
    </w:p>
    <w:p w14:paraId="181ADB31" w14:textId="77777777" w:rsidR="00B96095" w:rsidRDefault="00B96095" w:rsidP="00B96095">
      <w:pPr>
        <w:spacing w:line="360" w:lineRule="auto"/>
      </w:pPr>
    </w:p>
    <w:p w14:paraId="5957AD02" w14:textId="77777777" w:rsidR="00B96095" w:rsidRDefault="00B96095" w:rsidP="00B96095">
      <w:pPr>
        <w:spacing w:line="360" w:lineRule="auto"/>
        <w:jc w:val="both"/>
      </w:pPr>
      <w:r>
        <w:t xml:space="preserve">To summarise, this essay identified a policing incident using Borton’s Reflective Model (1970) to explain the involvement of victims and witnesses. Furthermore, it outlined the importance of legislation when faced with a criminal offence. The incorporation of social factors on this policing incident, suggests that our environment and culture affect the outcome. It is important to highlight the Coronavirus pandemic, which has altered the way of living for the UK. The responsibilities and procedures implemented by police officers is fundamental when working with the public. Illustrating the integrity and transparency within the role of a police officer and how these values change depending on the policing incident. Upon reflection, this experience has shown that not all policing incidents are the same and you must be respectful and honest. Furthermore, this experience has revealed the vital role a witnesses is to a criminal offence-taking place. Without the support of the police, witnesses would be unwilling to provide evidence. Improvements for the future include identifying if a witness is under the age of 18. Having this information would identify whether the witness is vulnerable or intimidated. It would further encourage police officers to engage with partner agencies to protect and support the witnesses. Thereby revealing to the public that they can put their trust into the police. Policing incidents vary from each shift, understanding the Criminal Justice System and how valuing difference and inclusion determines how the incident is dealt with and the responsibility undertaken by a police officer. </w:t>
      </w:r>
    </w:p>
    <w:p w14:paraId="53D8D511" w14:textId="77777777" w:rsidR="00112751" w:rsidRPr="00270EEB" w:rsidRDefault="00112751" w:rsidP="00E6298B">
      <w:pPr>
        <w:ind w:right="107"/>
        <w:jc w:val="both"/>
        <w:rPr>
          <w:sz w:val="24"/>
          <w:szCs w:val="24"/>
        </w:rPr>
      </w:pPr>
    </w:p>
    <w:p w14:paraId="1967E2A8" w14:textId="7DE41AB0" w:rsidR="00025650" w:rsidRPr="00270EEB" w:rsidRDefault="008042D0" w:rsidP="00E6298B">
      <w:pPr>
        <w:ind w:right="107"/>
        <w:jc w:val="both"/>
        <w:rPr>
          <w:sz w:val="24"/>
          <w:szCs w:val="24"/>
        </w:rPr>
      </w:pPr>
      <w:r>
        <w:rPr>
          <w:sz w:val="24"/>
          <w:szCs w:val="24"/>
        </w:rPr>
        <w:t>Word Count: 2561</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t>
            </w:r>
            <w:proofErr w:type="gramStart"/>
            <w:r w:rsidRPr="28A9B94D">
              <w:rPr>
                <w:sz w:val="24"/>
                <w:szCs w:val="24"/>
              </w:rPr>
              <w:t>with regards to</w:t>
            </w:r>
            <w:proofErr w:type="gramEnd"/>
            <w:r w:rsidRPr="28A9B94D">
              <w:rPr>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t>
            </w:r>
            <w:proofErr w:type="gramStart"/>
            <w:r w:rsidRPr="28A9B94D">
              <w:rPr>
                <w:sz w:val="24"/>
                <w:szCs w:val="24"/>
              </w:rPr>
              <w:t>were engaged</w:t>
            </w:r>
            <w:proofErr w:type="gramEnd"/>
            <w:r w:rsidRPr="28A9B94D">
              <w:rPr>
                <w:sz w:val="24"/>
                <w:szCs w:val="24"/>
              </w:rPr>
              <w:t xml:space="preserve">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73D45C0" w14:textId="77777777" w:rsidR="00C55A72" w:rsidRDefault="00C55A72" w:rsidP="00C55A72">
      <w:pPr>
        <w:spacing w:line="360" w:lineRule="auto"/>
        <w:jc w:val="both"/>
      </w:pPr>
      <w:r>
        <w:t>This essay aims to answer the question on conducting investigations using a policing incident that involved burglary. In order to answer the question I will be using the Bortons Reflective Model (1970) as discussed by Magee and Nurse (2014, p.20). The basis for using this tool is to identify the investigation and the procedure. The essay will further assess social and legislative contexts, firstly by outlining the legislation that would be suitable for a burglary offence and discussion around the impact of Coronavirus. Furthermore, identifying the National Decision Model and the part it plays in a police investigation. As well as discussing discretion by police officers and the impacts, this has. As well as identifying the Golden Hour principle to establish all areas implementing the correct procedures. The essay will also outline the responsibility in accordance with Criminal Procedure and Investigation Act (1996). In particular showing appreciation for the Human Rights Act 1998 and the Police and Criminal Evidence Act (1984). To outline how recording and retaining information in preparation for further enquiries. The essay aims to demonstrate policing values that officers must follow and the incorporation into an investigation. In addition, to determine how decision –making and policing values can create a bias by police officers. Finally, the essay aims to conclude by summarising the actions carried out and reflecting on the benefits and limitations of the investigation carried out.</w:t>
      </w:r>
    </w:p>
    <w:p w14:paraId="34A9CD83" w14:textId="77777777" w:rsidR="00C55A72" w:rsidRPr="000D38A6" w:rsidRDefault="00C55A72" w:rsidP="00C55A72">
      <w:pPr>
        <w:spacing w:line="360" w:lineRule="auto"/>
        <w:jc w:val="both"/>
      </w:pPr>
    </w:p>
    <w:p w14:paraId="713DF09B" w14:textId="7230049E" w:rsidR="00C55A72" w:rsidRDefault="00C55A72" w:rsidP="00C55A72">
      <w:pPr>
        <w:spacing w:line="360" w:lineRule="auto"/>
        <w:jc w:val="both"/>
      </w:pPr>
      <w:r>
        <w:t xml:space="preserve">This policing incident is reflected on using Borton’s Reflective Model (1970) outlined by Magee and Nurse (2014, p.20).  The incident in question relates to a burglary that took place in a quiet residential area. Reports suggested that three bikes were stolen from the garage at the back of the property with damage to the door caused by a </w:t>
      </w:r>
      <w:r>
        <w:lastRenderedPageBreak/>
        <w:t xml:space="preserve">tool. According to the owners of the property stolen, the incident took place around 05:00 that </w:t>
      </w:r>
      <w:r>
        <w:t>morning;</w:t>
      </w:r>
      <w:r>
        <w:t xml:space="preserve"> </w:t>
      </w:r>
      <w:r>
        <w:t>however,</w:t>
      </w:r>
      <w:r>
        <w:t xml:space="preserve"> officers responded several hours later when it was reported. There was no CCTV on the property to determine who had committed the offence. However, neighbours had potential CCTV and a social media post was being sent around the local area, identifying in pictures potential individuals linked to this burglary and potentially several other burglaries in the area with the same Modus Operandi (MO). </w:t>
      </w:r>
    </w:p>
    <w:p w14:paraId="7044583A" w14:textId="77777777" w:rsidR="00C55A72" w:rsidRDefault="00C55A72" w:rsidP="00C55A72">
      <w:pPr>
        <w:spacing w:line="360" w:lineRule="auto"/>
        <w:jc w:val="both"/>
      </w:pPr>
      <w:r>
        <w:t xml:space="preserve">Following the Golden Hour principle, the current actions included obtaining details about the bikes stolen, taking details from the victim/witnesses, identifying the crime scene and taking pictures. Establishing an MO, identifying the CCTV available and conducting house-to-house enquiries. The potential implications of this is identifying the crime scene. Crime Scene Investigation (CSI) had attended but did not find anything substantive. Further implications, conducting the house-to-house, if there are no witnesses to provide information it may hinder the investigation and particularly not obtaining CCTV. </w:t>
      </w:r>
    </w:p>
    <w:p w14:paraId="08F994E5" w14:textId="77777777" w:rsidR="00C55A72" w:rsidRDefault="00C55A72" w:rsidP="00C55A72">
      <w:pPr>
        <w:spacing w:line="360" w:lineRule="auto"/>
        <w:jc w:val="both"/>
      </w:pPr>
      <w:r>
        <w:t xml:space="preserve">By carrying out the house-to-house enquiries, potential information could prove beneficial for the investigation for example CCTV of potential offenders. Furthermore, uncovering a connection between this policing incident and similar offences with the same MO, this justifies further lines of enquiries. There is the potential for future offences taking place and the items stolen never being recovered. In addition, enquiries may reveal multiple offences of the same MO.  </w:t>
      </w:r>
    </w:p>
    <w:p w14:paraId="69D1D75A" w14:textId="77777777" w:rsidR="00C55A72" w:rsidRDefault="00C55A72" w:rsidP="00C55A72">
      <w:pPr>
        <w:spacing w:line="360" w:lineRule="auto"/>
        <w:jc w:val="both"/>
      </w:pPr>
      <w:r>
        <w:t xml:space="preserve">The options to consider in this instance are contacting the Officer in Case of the other burglaries in the area to combine the workload and establish the connections. Identifying CCTV of all the areas to establish the route taken by the offenders. Contacting the police force social media team to advertise the items stolen. Placing an intelligence report about the vehicle and individuals identified on social media. In turn carrying out checks on previous convictions of these individuals. </w:t>
      </w:r>
    </w:p>
    <w:p w14:paraId="323F8072" w14:textId="77777777" w:rsidR="00C55A72" w:rsidRDefault="00C55A72" w:rsidP="00C55A72">
      <w:pPr>
        <w:spacing w:line="360" w:lineRule="auto"/>
        <w:jc w:val="both"/>
      </w:pPr>
      <w:r>
        <w:t xml:space="preserve">The potential consequences could be that there is no evidence or CCTV to reveal any substantial proof from any of the locations how the burglary was carried out and by who. At this time, intelligence reports about the individuals mentioned on social media is the only possible information but it does not connect them to the offence. Due to further lock down restrictions because of Coronavirus, it is highly unlikely that the vehicle or individuals would be in the area.  </w:t>
      </w:r>
    </w:p>
    <w:p w14:paraId="492F6CB5" w14:textId="77777777" w:rsidR="00C55A72" w:rsidRDefault="00C55A72" w:rsidP="00C55A72">
      <w:pPr>
        <w:spacing w:line="360" w:lineRule="auto"/>
      </w:pPr>
      <w:r>
        <w:t xml:space="preserve"> </w:t>
      </w:r>
    </w:p>
    <w:p w14:paraId="3B6A26AF" w14:textId="77777777" w:rsidR="00C55A72" w:rsidRDefault="00C55A72" w:rsidP="00C55A72">
      <w:pPr>
        <w:spacing w:line="360" w:lineRule="auto"/>
        <w:jc w:val="both"/>
      </w:pPr>
      <w:r>
        <w:t xml:space="preserve">In relation to this policing incident, it is important to consider that there was no offender identified and arrested for the burglaries. The little evidence obtained from the scene limits the outcome of finding those responsible. However, legislation to consider in this instance can include, Section 9 (1) (a) and Section 9 (1)(b)  of the Theft Act 1968 Burglary or Section 10 of the Theft Act 1968 Aggravated Burglary and Section 25 of the Theft Act 1968 Going Equipped (Legislation.gov.uk, 2020c). If a string of burglaries took place where items were stolen this would result in utilising one of the above legislation to charge an individual, aiding the investigation. </w:t>
      </w:r>
    </w:p>
    <w:p w14:paraId="725AD3A0" w14:textId="77777777" w:rsidR="00C55A72" w:rsidRPr="009D2B63" w:rsidRDefault="00C55A72" w:rsidP="00C55A72">
      <w:pPr>
        <w:spacing w:line="360" w:lineRule="auto"/>
        <w:jc w:val="both"/>
      </w:pPr>
      <w:r>
        <w:t xml:space="preserve">The Coronavirus pandemic has effected the UK in many ways; in particular, the local lockdowns in Wales has brought about tighter </w:t>
      </w:r>
      <w:r w:rsidRPr="00BF0E78">
        <w:t>restrictions (BBC News, 2020</w:t>
      </w:r>
      <w:r>
        <w:t>c</w:t>
      </w:r>
      <w:r w:rsidRPr="00BF0E78">
        <w:t xml:space="preserve">). </w:t>
      </w:r>
      <w:r>
        <w:t xml:space="preserve">In this policing incident, the offence was committed in a quiet neighbourhood that can often have a dramatic impact. A level of fear is accustomed with crime even more so when it involves a neighbourhood </w:t>
      </w:r>
      <w:r w:rsidRPr="009626DF">
        <w:t>(Brunton-Smith, 2011</w:t>
      </w:r>
      <w:r>
        <w:t>, p.886</w:t>
      </w:r>
      <w:r w:rsidRPr="009626DF">
        <w:t xml:space="preserve">). </w:t>
      </w:r>
      <w:r>
        <w:t xml:space="preserve">The social impact of a predatory crime such as burglary reflects on a neighbourhood, having drastic consequences such as a lack of awareness leading to a reduction in fear </w:t>
      </w:r>
      <w:r w:rsidRPr="009626DF">
        <w:t>(Pearson, Breetzke and Ivory, 2015</w:t>
      </w:r>
      <w:r>
        <w:t>, p.171</w:t>
      </w:r>
      <w:r w:rsidRPr="009626DF">
        <w:t xml:space="preserve">). </w:t>
      </w:r>
      <w:r>
        <w:t xml:space="preserve">Therefore, it is easy to categories burglaries together as it creates a level of fear, which can affect how the investigation is conducted. </w:t>
      </w:r>
    </w:p>
    <w:p w14:paraId="217588FA" w14:textId="77777777" w:rsidR="00C55A72" w:rsidRDefault="00C55A72" w:rsidP="00C55A72">
      <w:pPr>
        <w:spacing w:line="360" w:lineRule="auto"/>
        <w:jc w:val="both"/>
      </w:pPr>
      <w:r>
        <w:lastRenderedPageBreak/>
        <w:t>Initially, when faced with this investigation, the National Decision Model (NDM) supported the process on how to conduct the investigation correctly using appropriate decision-making. (College of Policing, 2014b) The code of ethics allows us as police officers to be consistent in implementing policing behaviours and standards (College of Policing, 2014b). In relation to this incident when dealing with the victims and witnesses, we need to show respect and be accountable. Gathering information and intelligence involved taking details from victims and witnesses. Identifying relevant information found on the NICHE occurrence and the call log. Formulating an assessment based on threat and risk</w:t>
      </w:r>
      <w:proofErr w:type="gramStart"/>
      <w:r>
        <w:t>;</w:t>
      </w:r>
      <w:proofErr w:type="gramEnd"/>
      <w:r>
        <w:t xml:space="preserve"> further items stolen, victims becoming targets again, what action is needed immediately. The powers and policies considered here involved conducting PNC checks on potential individuals as well as open source research. Identifying options in relation to the information that is available, are there limitations, is the incident likely to be resolved. Lastly, taking action and reviewing, ensuring the investigation of the incident is complete. The recording of all evidence is accurate. When reviewing the incident you determine whether additional enquiries would have assessed.  As well as considering the NDM, it is important to conduct the Golden Hour principles in any investigation (College of Policing, 2014b). These are the main objectives when conducting an investigation. </w:t>
      </w:r>
    </w:p>
    <w:p w14:paraId="3514AF5F" w14:textId="77777777" w:rsidR="00C55A72" w:rsidRDefault="00C55A72" w:rsidP="00C55A72">
      <w:pPr>
        <w:spacing w:line="360" w:lineRule="auto"/>
        <w:jc w:val="both"/>
      </w:pPr>
      <w:r>
        <w:t xml:space="preserve">Discretion plays an integral role within the police (Poyser, 2004, p. 5). As identified by Scraton (1985) in Poyser (2004, p.5) the idea behind discretion is flexibility it offers, for instance discretion is used differently between a police officer and the Chief Constable. There is an argument that reasoned judgement is met with the introduction of intuitive decision-making skills (Ellis, 2010, p.200). Thereby suggesting that the decision making process opted by police officers is fundamental to their role. In the past, discretion has negatively affected policing due to the lack of control (Cohen, 1997, p. 111). However, the role of a police officer entitles the use of discretion (Poyser, 2004, p.6). In relation to this policing incident, discretion on the information surrounding the social media posts around suspicious individuals in the area. As the images were not clear, there was no opportunity to identify them. However, the identification of a vehicle, using discretion officers submitted an intelligence report informing officers to be vigilant of any suspicious activity involving the vehicle. This method of conducting investigations helps to build on evidence available. </w:t>
      </w:r>
    </w:p>
    <w:p w14:paraId="75988D1A" w14:textId="77777777" w:rsidR="00C55A72" w:rsidRDefault="00C55A72" w:rsidP="00C55A72">
      <w:pPr>
        <w:spacing w:line="360" w:lineRule="auto"/>
      </w:pPr>
    </w:p>
    <w:p w14:paraId="786A041F" w14:textId="77777777" w:rsidR="00C55A72" w:rsidRDefault="00C55A72" w:rsidP="00C55A72">
      <w:pPr>
        <w:spacing w:line="360" w:lineRule="auto"/>
      </w:pPr>
    </w:p>
    <w:p w14:paraId="162D05D6" w14:textId="77777777" w:rsidR="00C55A72" w:rsidRDefault="00C55A72" w:rsidP="00C55A72">
      <w:pPr>
        <w:spacing w:line="360" w:lineRule="auto"/>
      </w:pPr>
      <w:r>
        <w:t xml:space="preserve">It is acknowledged that the Criminal Procedures and Investigations Act (1996) (CPIA) states </w:t>
      </w:r>
    </w:p>
    <w:p w14:paraId="58459DDC" w14:textId="77777777" w:rsidR="00C55A72" w:rsidRDefault="00C55A72" w:rsidP="00C55A72">
      <w:pPr>
        <w:spacing w:line="360" w:lineRule="auto"/>
        <w:jc w:val="center"/>
      </w:pPr>
      <w:r>
        <w:t>“An investigation conducted by police officers with a view to it being ascertained whether a person should be charged with an offence, or whether a person charged with an offence is guilty of it”. (College of Policing, 2020e).</w:t>
      </w:r>
    </w:p>
    <w:p w14:paraId="01C5E6D4" w14:textId="77777777" w:rsidR="00C55A72" w:rsidRDefault="00C55A72" w:rsidP="00C55A72">
      <w:pPr>
        <w:spacing w:line="360" w:lineRule="auto"/>
        <w:jc w:val="both"/>
      </w:pPr>
      <w:r>
        <w:t xml:space="preserve">The Golden Hour principles and dynamic risk assessments mark the foundation for an investigation. Eck and Rossmo (2019, p.602) highlights that the process of investigations is providing justice for those involved and the reduction of crime. In this particular policing incident, the responsibility of the police officers were to establish the facts about what had happened. Without a definitive period and the change in weather conditions, obtaining substantial evidence for this incident would be limited. However, over recent years, the concept of conducting an investigation has changed, for example, mobile technology (Tong and O’Neill, 2019, p.337). Therefore, the responsibility often falling to one police officer is a large task, where often the time to investigative is not there. In this particular policing incident, there were student officers as well as a tutor officer, thus conducting greater investigations.  The Code of Ethics is at the forefront of every investigation, along with abiding by the Human </w:t>
      </w:r>
      <w:r>
        <w:lastRenderedPageBreak/>
        <w:t xml:space="preserve">Rights Act 1998 and the Equality Act 2010 (College of Policing, 2020e). It is important to note that the Police and Criminal Evidence Act (1984) (PACE) enables the fair and proportionate means of conducting an investigation whilst utilising police powers and policies to carry out searches and conduct interviews (College of Policing (2020e). Any victims or witnesses identified during an investigation, police offer support too. This partnership creates benefits for the community and the police; it undoubtedly shows commitment and support to the community to produce justice (College of Policing, 2020e). Furthermore, it enables police officers to be effective in their investigation and providing fairness to anyone that becomes involved as either an offender, victim or witness. </w:t>
      </w:r>
    </w:p>
    <w:p w14:paraId="203507B1" w14:textId="77777777" w:rsidR="00C55A72" w:rsidRDefault="00C55A72" w:rsidP="00C55A72">
      <w:pPr>
        <w:spacing w:line="360" w:lineRule="auto"/>
        <w:jc w:val="both"/>
      </w:pPr>
      <w:r>
        <w:t>In this policing incident, there were several areas of responsibility for the police officers. Initial, support to the victims of the burglaries who had property stolen. House to house, enquiries led to potential CCTV; however, this did not prove to be useful evidence. Although Crime Scene Investigation had attended the scene, identifying the use of a tool, the victim had already replaced the panel on the door. As a result, no fingerprints found at the scene. From the scene, no identification of an offender however</w:t>
      </w:r>
      <w:proofErr w:type="gramStart"/>
      <w:r>
        <w:t>;</w:t>
      </w:r>
      <w:proofErr w:type="gramEnd"/>
      <w:r>
        <w:t xml:space="preserve"> second hand evidence was obtained via social media posts about potential individuals acting suspiciously in the area. As police officers, there is a responsibility to identify individuals in this case it is difficult. The Modus Operandi suggests that the offenders committed the burglaries in the early hours of the morning, using a tool to gain access into a shed or garage that was at the back of the property, to conceal a vehicle. Therefore, the investigation encouraged further enquiries to take place to determine if there is a connection between the burglaries.</w:t>
      </w:r>
    </w:p>
    <w:p w14:paraId="2D74DF61" w14:textId="77777777" w:rsidR="00C55A72" w:rsidRDefault="00C55A72" w:rsidP="00C55A72">
      <w:pPr>
        <w:spacing w:line="360" w:lineRule="auto"/>
      </w:pPr>
    </w:p>
    <w:p w14:paraId="77AA610E" w14:textId="77777777" w:rsidR="00C55A72" w:rsidRDefault="00C55A72" w:rsidP="00C55A72">
      <w:pPr>
        <w:spacing w:line="360" w:lineRule="auto"/>
        <w:jc w:val="both"/>
      </w:pPr>
      <w:r>
        <w:t xml:space="preserve">The concept of policing values is fundamental to the role of a police officer, especially when conducting investigations. It is important to note however, that bias can affect the decision making of officers, thus affecting the investigation </w:t>
      </w:r>
      <w:r w:rsidRPr="00C811BB">
        <w:t>(Verhulst and Rutkowski, 2018</w:t>
      </w:r>
      <w:r>
        <w:t>, p.828</w:t>
      </w:r>
      <w:r w:rsidRPr="00C811BB">
        <w:t xml:space="preserve">). </w:t>
      </w:r>
      <w:r>
        <w:t xml:space="preserve">The policing incident discussed revealed that images on social media potentially links individuals to the burglaries. However, there was no distinguishing evidence to link these individuals to the burglaries. Investigations are carried out on incidents to determine law and order, through thorough decision-making (Verhulst and Rutkowski, 2018, p.831). The decision making process adopted for this investigation included collecting information and problem solving the CCTV from houses within the area. </w:t>
      </w:r>
    </w:p>
    <w:p w14:paraId="5E5A479A" w14:textId="77777777" w:rsidR="00C55A72" w:rsidRDefault="00C55A72" w:rsidP="00C55A72">
      <w:pPr>
        <w:spacing w:line="360" w:lineRule="auto"/>
        <w:jc w:val="both"/>
      </w:pPr>
      <w:r>
        <w:t xml:space="preserve">Furthermore, when officers carry out decision-making, they use Integrity, Impartiality, Public Service </w:t>
      </w:r>
      <w:r w:rsidRPr="00BF0E78">
        <w:t xml:space="preserve">(College of Policing, 2020c, p.3). </w:t>
      </w:r>
      <w:r>
        <w:t xml:space="preserve">When discussing Integrity the officers involved maintain professionalism as well as confidence in the police. For example, conducting house-to-house enquiries, and outlining to the public to be vigilant of any unusual activity. It has been acknowledged that a greater police presence in local areas is highly valued by the public, acting as a deterrent to criminals </w:t>
      </w:r>
      <w:r w:rsidRPr="00AD684C">
        <w:t xml:space="preserve">(Fitzgerald, Hough, Joseph and Qureshi, 2013, p. xv). </w:t>
      </w:r>
      <w:r>
        <w:t xml:space="preserve">This aids investigations, as there is confidence from the public for the police. </w:t>
      </w:r>
    </w:p>
    <w:p w14:paraId="4879BFFA" w14:textId="77777777" w:rsidR="00C55A72" w:rsidRDefault="00C55A72" w:rsidP="00C55A72">
      <w:pPr>
        <w:spacing w:line="360" w:lineRule="auto"/>
        <w:jc w:val="both"/>
      </w:pPr>
      <w:r>
        <w:t xml:space="preserve">Impartiality illustrates the importance of avoiding bias in an officer’s decision-making, they should ensure to be fair and objective in their approach to any investigation (College of Policing, 2020c, p.5). For example in this policing incident as no individuals could be identified for committing the burglary, as officers the investigations had to be fair by using all of the evidence available to establish the next steps. It has been outlined by </w:t>
      </w:r>
      <w:r w:rsidRPr="00AD684C">
        <w:t xml:space="preserve">Wolfe, Nix, Kaminski and Rojek (2016, p.254) </w:t>
      </w:r>
      <w:r>
        <w:t xml:space="preserve">that police legitimacy is built on fairness. Thus, suggesting that being fair and objective in the decision making process prevents bias in a police officer and aids the investigation. </w:t>
      </w:r>
    </w:p>
    <w:p w14:paraId="01C6BC48" w14:textId="77777777" w:rsidR="00C55A72" w:rsidRDefault="00C55A72" w:rsidP="00C55A72">
      <w:pPr>
        <w:spacing w:line="360" w:lineRule="auto"/>
        <w:jc w:val="both"/>
      </w:pPr>
      <w:r>
        <w:lastRenderedPageBreak/>
        <w:t xml:space="preserve">Public service and the interest of the public is at the heart of all the work accomplished by the police (College of Policing, 2020c, p.6). Listening to the needs of the public and engaging in conversation is important particularly when carrying out investigations. Establishing a rapport with the public in order to follow leads in a case or obtain information that would be useful for an investigation. For example, this policing incident it is vital to ask the public questions about the offence committed, as this could prove useful in new information for the investigation. </w:t>
      </w:r>
    </w:p>
    <w:p w14:paraId="4031BD32" w14:textId="77777777" w:rsidR="00C55A72" w:rsidRDefault="00C55A72" w:rsidP="00C55A72">
      <w:pPr>
        <w:spacing w:line="360" w:lineRule="auto"/>
        <w:jc w:val="both"/>
      </w:pPr>
      <w:r>
        <w:t xml:space="preserve">Transparency within policing ensures that officers are honest with the public and strive to maintain trusting relationships (College of Policing, 2020c, p. 6). All of the values within the police consist of engaging in a positive and trusting manner with the public. The communication between the police force and the public is beneficial to help make decisions, particularly as the public has greater confidence in the police </w:t>
      </w:r>
      <w:r w:rsidRPr="00BF0E78">
        <w:t xml:space="preserve">force (Keane and Bell, 2013, p.239). </w:t>
      </w:r>
      <w:r>
        <w:t xml:space="preserve">The policing incident reveals the decision-making skills adopted by the officers and how being honest with the public helps to prevent any bias in the process. </w:t>
      </w:r>
    </w:p>
    <w:p w14:paraId="4F33F2FE" w14:textId="77777777" w:rsidR="00C55A72" w:rsidRDefault="00C55A72" w:rsidP="00C55A72">
      <w:pPr>
        <w:spacing w:line="360" w:lineRule="auto"/>
        <w:jc w:val="both"/>
      </w:pPr>
    </w:p>
    <w:p w14:paraId="16FDE43A" w14:textId="77777777" w:rsidR="00C55A72" w:rsidRDefault="00C55A72" w:rsidP="00C55A72">
      <w:pPr>
        <w:spacing w:line="360" w:lineRule="auto"/>
        <w:jc w:val="both"/>
      </w:pPr>
      <w:r>
        <w:t xml:space="preserve">In conclusion, this essay aimed to highlight the conducting of an investigation involving a policing incident; in this case, it involved a burglary. This essay has outlined the burglary investigation through Borton’s Reflective Model (1970). The essay demonstrates how the Theft Act 1968 would be the appropriate means to charge the offender. However, as the essay has established, no such offender materialised during the course of the investigation. The essay went on to explain the social context, including the Coronavirus pandemic and how the use of the National Decision Model in the investigation. Discussion in relation to discretion within the police force. The essay went on to discuss the responsibilities adopted during the investigation and following the Criminal Procedures and Investigation Act (1996). As well as outlining how an investigation should ensure that the Human Rights Act (1998) and Police and Criminal Evidence Act (1984) is abided by. Lastly, thoughts were paid to policing values and how these affects the decision making process of the police and whether this creates a bias. The benefit of this policing incident was to understand how to conduct an investigation to the best ability, ensuring the completion of all enquiries. However, upon reflection there were some limitations, specifically the evidence did not reveal an offender. For future investigations, thorough enquiries would need to be carried out so that no information would be missed.  Thus, allowing investigations to be conducted accurately.  </w:t>
      </w:r>
    </w:p>
    <w:p w14:paraId="363979F9" w14:textId="77777777" w:rsidR="006C7CA5" w:rsidRPr="00270EEB" w:rsidRDefault="006C7CA5" w:rsidP="00E6298B">
      <w:pPr>
        <w:ind w:right="107"/>
        <w:jc w:val="both"/>
        <w:rPr>
          <w:sz w:val="24"/>
          <w:szCs w:val="24"/>
        </w:rPr>
      </w:pPr>
    </w:p>
    <w:p w14:paraId="55E8513B" w14:textId="4760F269" w:rsidR="00025650" w:rsidRPr="00270EEB" w:rsidRDefault="00C55A72" w:rsidP="00E6298B">
      <w:pPr>
        <w:ind w:right="107"/>
        <w:jc w:val="both"/>
        <w:rPr>
          <w:sz w:val="24"/>
          <w:szCs w:val="24"/>
        </w:rPr>
      </w:pPr>
      <w:r>
        <w:rPr>
          <w:sz w:val="24"/>
          <w:szCs w:val="24"/>
        </w:rPr>
        <w:t>Word Count: 2546</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A43FC1"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A43FC1" w:rsidRPr="00270EEB" w14:paraId="77448EFF" w14:textId="77777777" w:rsidTr="28A9B94D">
        <w:tc>
          <w:tcPr>
            <w:tcW w:w="2462" w:type="dxa"/>
            <w:shd w:val="clear" w:color="auto" w:fill="auto"/>
          </w:tcPr>
          <w:p w14:paraId="4A28DC7E" w14:textId="1DE6DEC5" w:rsidR="00575A8F" w:rsidRPr="00270EEB" w:rsidRDefault="00F537FC" w:rsidP="00E6298B">
            <w:pPr>
              <w:ind w:right="107"/>
              <w:jc w:val="both"/>
              <w:rPr>
                <w:sz w:val="24"/>
                <w:szCs w:val="24"/>
              </w:rPr>
            </w:pPr>
            <w:r>
              <w:rPr>
                <w:sz w:val="24"/>
                <w:szCs w:val="24"/>
              </w:rPr>
              <w:t xml:space="preserve">Managing Conflict – understanding the impact factors when faced with an offender.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3CEC6D2" w:rsidR="00575A8F" w:rsidRPr="00270EEB" w:rsidRDefault="004C3A92" w:rsidP="004C3A92">
            <w:pPr>
              <w:ind w:right="107"/>
              <w:jc w:val="both"/>
              <w:rPr>
                <w:sz w:val="24"/>
                <w:szCs w:val="24"/>
              </w:rPr>
            </w:pPr>
            <w:r>
              <w:rPr>
                <w:sz w:val="24"/>
                <w:szCs w:val="24"/>
              </w:rPr>
              <w:t>Utilising tactical communication when speaking to an offender.</w:t>
            </w:r>
            <w:r w:rsidR="00A43FC1">
              <w:rPr>
                <w:sz w:val="24"/>
                <w:szCs w:val="24"/>
              </w:rPr>
              <w:t xml:space="preserve"> Using the LEAPS form of communication.</w:t>
            </w:r>
            <w:r>
              <w:rPr>
                <w:sz w:val="24"/>
                <w:szCs w:val="24"/>
              </w:rPr>
              <w:t xml:space="preserve"> Acknowledging my position in relation to the offender to ensure I am not within their fighting arc. </w:t>
            </w:r>
          </w:p>
        </w:tc>
        <w:tc>
          <w:tcPr>
            <w:tcW w:w="2426" w:type="dxa"/>
            <w:shd w:val="clear" w:color="auto" w:fill="auto"/>
          </w:tcPr>
          <w:p w14:paraId="6F2EF39C" w14:textId="536F5692" w:rsidR="00575A8F" w:rsidRPr="00270EEB" w:rsidRDefault="00F537FC" w:rsidP="00A43FC1">
            <w:pPr>
              <w:ind w:right="107"/>
              <w:jc w:val="both"/>
              <w:rPr>
                <w:sz w:val="24"/>
                <w:szCs w:val="24"/>
              </w:rPr>
            </w:pPr>
            <w:proofErr w:type="gramStart"/>
            <w:r>
              <w:rPr>
                <w:sz w:val="24"/>
                <w:szCs w:val="24"/>
              </w:rPr>
              <w:t>Support would be provided by</w:t>
            </w:r>
            <w:r w:rsidR="00A43FC1">
              <w:rPr>
                <w:sz w:val="24"/>
                <w:szCs w:val="24"/>
              </w:rPr>
              <w:t xml:space="preserve"> colleagues and the Sergeant</w:t>
            </w:r>
            <w:proofErr w:type="gramEnd"/>
            <w:r w:rsidR="00A43FC1">
              <w:rPr>
                <w:sz w:val="24"/>
                <w:szCs w:val="24"/>
              </w:rPr>
              <w:t>. Being on independent patrol and likely to be single crewed ensures that I am prepared to deal with any situation.</w:t>
            </w:r>
            <w:r>
              <w:rPr>
                <w:sz w:val="24"/>
                <w:szCs w:val="24"/>
              </w:rPr>
              <w:t xml:space="preserve"> </w:t>
            </w:r>
          </w:p>
        </w:tc>
        <w:tc>
          <w:tcPr>
            <w:tcW w:w="2426" w:type="dxa"/>
            <w:shd w:val="clear" w:color="auto" w:fill="auto"/>
          </w:tcPr>
          <w:p w14:paraId="3851D535" w14:textId="53C5FD8D" w:rsidR="28A9B94D" w:rsidRDefault="00A43FC1" w:rsidP="28A9B94D">
            <w:pPr>
              <w:jc w:val="both"/>
              <w:rPr>
                <w:sz w:val="24"/>
                <w:szCs w:val="24"/>
              </w:rPr>
            </w:pPr>
            <w:proofErr w:type="gramStart"/>
            <w:r>
              <w:rPr>
                <w:sz w:val="24"/>
                <w:szCs w:val="24"/>
              </w:rPr>
              <w:t>This will be an ongoing area of development that I can continue to build on.</w:t>
            </w:r>
            <w:proofErr w:type="gramEnd"/>
            <w:r>
              <w:rPr>
                <w:sz w:val="24"/>
                <w:szCs w:val="24"/>
              </w:rPr>
              <w:t xml:space="preserve"> </w:t>
            </w:r>
          </w:p>
        </w:tc>
      </w:tr>
      <w:tr w:rsidR="00A43FC1" w:rsidRPr="00270EEB" w14:paraId="67CEB11A" w14:textId="77777777" w:rsidTr="28A9B94D">
        <w:tc>
          <w:tcPr>
            <w:tcW w:w="2462" w:type="dxa"/>
            <w:shd w:val="clear" w:color="auto" w:fill="auto"/>
          </w:tcPr>
          <w:p w14:paraId="1C2EB90F" w14:textId="735494FA" w:rsidR="00575A8F" w:rsidRPr="00270EEB" w:rsidRDefault="00287176" w:rsidP="00E6298B">
            <w:pPr>
              <w:ind w:right="107"/>
              <w:jc w:val="both"/>
              <w:rPr>
                <w:sz w:val="24"/>
                <w:szCs w:val="24"/>
              </w:rPr>
            </w:pPr>
            <w:r>
              <w:rPr>
                <w:sz w:val="24"/>
                <w:szCs w:val="24"/>
              </w:rPr>
              <w:t>Building confidence through interactions with the public. Having self – belief in the work I carry out.</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442DFEA" w:rsidR="00575A8F" w:rsidRPr="00270EEB" w:rsidRDefault="00287176" w:rsidP="00E6298B">
            <w:pPr>
              <w:ind w:right="107"/>
              <w:jc w:val="both"/>
              <w:rPr>
                <w:sz w:val="24"/>
                <w:szCs w:val="24"/>
              </w:rPr>
            </w:pPr>
            <w:r>
              <w:rPr>
                <w:sz w:val="24"/>
                <w:szCs w:val="24"/>
              </w:rPr>
              <w:t xml:space="preserve">I am comfortable engaging with the public. </w:t>
            </w:r>
            <w:proofErr w:type="gramStart"/>
            <w:r>
              <w:rPr>
                <w:sz w:val="24"/>
                <w:szCs w:val="24"/>
              </w:rPr>
              <w:t>However</w:t>
            </w:r>
            <w:proofErr w:type="gramEnd"/>
            <w:r>
              <w:rPr>
                <w:sz w:val="24"/>
                <w:szCs w:val="24"/>
              </w:rPr>
              <w:t xml:space="preserve"> I need to build on my confidence to deal with any situation in front of me. Putting myself forward for any job that requires police attendance. </w:t>
            </w:r>
          </w:p>
        </w:tc>
        <w:tc>
          <w:tcPr>
            <w:tcW w:w="2426" w:type="dxa"/>
            <w:shd w:val="clear" w:color="auto" w:fill="auto"/>
          </w:tcPr>
          <w:p w14:paraId="7A4C9A77" w14:textId="0A310FF6" w:rsidR="00575A8F" w:rsidRPr="00270EEB" w:rsidRDefault="00C61D04" w:rsidP="00E6298B">
            <w:pPr>
              <w:ind w:right="107"/>
              <w:jc w:val="both"/>
              <w:rPr>
                <w:sz w:val="24"/>
                <w:szCs w:val="24"/>
              </w:rPr>
            </w:pPr>
            <w:r>
              <w:rPr>
                <w:sz w:val="24"/>
                <w:szCs w:val="24"/>
              </w:rPr>
              <w:t xml:space="preserve">I will support myself with this area of development. </w:t>
            </w:r>
            <w:proofErr w:type="gramStart"/>
            <w:r>
              <w:rPr>
                <w:sz w:val="24"/>
                <w:szCs w:val="24"/>
              </w:rPr>
              <w:t>However</w:t>
            </w:r>
            <w:proofErr w:type="gramEnd"/>
            <w:r>
              <w:rPr>
                <w:sz w:val="24"/>
                <w:szCs w:val="24"/>
              </w:rPr>
              <w:t xml:space="preserve"> I will acknowledge any support from other colleagues and Sergeant to help build my confidence. </w:t>
            </w:r>
          </w:p>
        </w:tc>
        <w:tc>
          <w:tcPr>
            <w:tcW w:w="2426" w:type="dxa"/>
            <w:shd w:val="clear" w:color="auto" w:fill="auto"/>
          </w:tcPr>
          <w:p w14:paraId="003BC03B" w14:textId="47933278" w:rsidR="28A9B94D" w:rsidRDefault="00C61D04" w:rsidP="28A9B94D">
            <w:pPr>
              <w:jc w:val="both"/>
              <w:rPr>
                <w:sz w:val="24"/>
                <w:szCs w:val="24"/>
              </w:rPr>
            </w:pPr>
            <w:r>
              <w:rPr>
                <w:sz w:val="24"/>
                <w:szCs w:val="24"/>
              </w:rPr>
              <w:t xml:space="preserve">This will be an ongoing area of development. </w:t>
            </w:r>
            <w:proofErr w:type="gramStart"/>
            <w:r>
              <w:rPr>
                <w:sz w:val="24"/>
                <w:szCs w:val="24"/>
              </w:rPr>
              <w:t>However</w:t>
            </w:r>
            <w:proofErr w:type="gramEnd"/>
            <w:r>
              <w:rPr>
                <w:sz w:val="24"/>
                <w:szCs w:val="24"/>
              </w:rPr>
              <w:t xml:space="preserve"> I aim to have more self – belief within 6 weeks after leaving the tutor pod. </w:t>
            </w:r>
          </w:p>
        </w:tc>
      </w:tr>
      <w:tr w:rsidR="00A43FC1" w:rsidRPr="00270EEB" w14:paraId="3EE957C7" w14:textId="77777777" w:rsidTr="28A9B94D">
        <w:tc>
          <w:tcPr>
            <w:tcW w:w="2462" w:type="dxa"/>
            <w:shd w:val="clear" w:color="auto" w:fill="auto"/>
          </w:tcPr>
          <w:p w14:paraId="7F6D259B" w14:textId="4CB6FFA0" w:rsidR="00575A8F" w:rsidRPr="00270EEB" w:rsidRDefault="0054184F" w:rsidP="00E6298B">
            <w:pPr>
              <w:ind w:right="107"/>
              <w:jc w:val="both"/>
              <w:rPr>
                <w:sz w:val="24"/>
                <w:szCs w:val="24"/>
              </w:rPr>
            </w:pPr>
            <w:r>
              <w:rPr>
                <w:sz w:val="24"/>
                <w:szCs w:val="24"/>
              </w:rPr>
              <w:t xml:space="preserve">Writing brief circumstances when required to do so. </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2DBC20C" w:rsidR="00575A8F" w:rsidRPr="00270EEB" w:rsidRDefault="00F86203" w:rsidP="00E6298B">
            <w:pPr>
              <w:ind w:right="107"/>
              <w:jc w:val="both"/>
              <w:rPr>
                <w:sz w:val="24"/>
                <w:szCs w:val="24"/>
              </w:rPr>
            </w:pPr>
            <w:r>
              <w:rPr>
                <w:sz w:val="24"/>
                <w:szCs w:val="24"/>
              </w:rPr>
              <w:lastRenderedPageBreak/>
              <w:t xml:space="preserve">This </w:t>
            </w:r>
            <w:proofErr w:type="gramStart"/>
            <w:r>
              <w:rPr>
                <w:sz w:val="24"/>
                <w:szCs w:val="24"/>
              </w:rPr>
              <w:t>will be achieved</w:t>
            </w:r>
            <w:proofErr w:type="gramEnd"/>
            <w:r>
              <w:rPr>
                <w:sz w:val="24"/>
                <w:szCs w:val="24"/>
              </w:rPr>
              <w:t xml:space="preserve"> by getting the facts of an incident and completing the paperwork, ensuring it is brief. </w:t>
            </w:r>
          </w:p>
        </w:tc>
        <w:tc>
          <w:tcPr>
            <w:tcW w:w="2426" w:type="dxa"/>
            <w:shd w:val="clear" w:color="auto" w:fill="auto"/>
          </w:tcPr>
          <w:p w14:paraId="76B2A824" w14:textId="1E05ECF8" w:rsidR="00575A8F" w:rsidRPr="00270EEB" w:rsidRDefault="00F86203" w:rsidP="00E6298B">
            <w:pPr>
              <w:ind w:right="107"/>
              <w:jc w:val="both"/>
              <w:rPr>
                <w:sz w:val="24"/>
                <w:szCs w:val="24"/>
              </w:rPr>
            </w:pPr>
            <w:proofErr w:type="gramStart"/>
            <w:r>
              <w:rPr>
                <w:sz w:val="24"/>
                <w:szCs w:val="24"/>
              </w:rPr>
              <w:t>This will be supported by myself</w:t>
            </w:r>
            <w:proofErr w:type="gramEnd"/>
            <w:r>
              <w:rPr>
                <w:sz w:val="24"/>
                <w:szCs w:val="24"/>
              </w:rPr>
              <w:t>. However, if I have a query I will speak to my colleagues.</w:t>
            </w:r>
          </w:p>
        </w:tc>
        <w:tc>
          <w:tcPr>
            <w:tcW w:w="2426" w:type="dxa"/>
            <w:shd w:val="clear" w:color="auto" w:fill="auto"/>
          </w:tcPr>
          <w:p w14:paraId="185B2EE5" w14:textId="2A28D7B5" w:rsidR="28A9B94D" w:rsidRDefault="00F86203" w:rsidP="28A9B94D">
            <w:pPr>
              <w:jc w:val="both"/>
              <w:rPr>
                <w:sz w:val="24"/>
                <w:szCs w:val="24"/>
              </w:rPr>
            </w:pPr>
            <w:r>
              <w:rPr>
                <w:sz w:val="24"/>
                <w:szCs w:val="24"/>
              </w:rPr>
              <w:t xml:space="preserve">This will be an ongoing process and overtime I hope that this will improve. I have started to see an improvement </w:t>
            </w:r>
            <w:proofErr w:type="gramStart"/>
            <w:r>
              <w:rPr>
                <w:sz w:val="24"/>
                <w:szCs w:val="24"/>
              </w:rPr>
              <w:lastRenderedPageBreak/>
              <w:t>already which shows this</w:t>
            </w:r>
            <w:proofErr w:type="gramEnd"/>
            <w:r>
              <w:rPr>
                <w:sz w:val="24"/>
                <w:szCs w:val="24"/>
              </w:rPr>
              <w:t xml:space="preserve"> is achievable.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EE738CD"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val="en" w:eastAsia="en-US"/>
        </w:rPr>
        <w:t>Abbe, A., Brandon, S.E. (2013) ‘</w:t>
      </w:r>
      <w:proofErr w:type="gramStart"/>
      <w:r w:rsidRPr="008042D0">
        <w:rPr>
          <w:rFonts w:ascii="Calibri" w:eastAsia="Calibri" w:hAnsi="Calibri" w:cs="Times New Roman"/>
          <w:color w:val="auto"/>
          <w:sz w:val="22"/>
          <w:szCs w:val="22"/>
          <w:lang w:val="en" w:eastAsia="en-US"/>
        </w:rPr>
        <w:t>The</w:t>
      </w:r>
      <w:proofErr w:type="gramEnd"/>
      <w:r w:rsidRPr="008042D0">
        <w:rPr>
          <w:rFonts w:ascii="Calibri" w:eastAsia="Calibri" w:hAnsi="Calibri" w:cs="Times New Roman"/>
          <w:color w:val="auto"/>
          <w:sz w:val="22"/>
          <w:szCs w:val="22"/>
          <w:lang w:val="en" w:eastAsia="en-US"/>
        </w:rPr>
        <w:t xml:space="preserve"> role of rapport in investigative interviewing: a review’, </w:t>
      </w:r>
      <w:r w:rsidRPr="008042D0">
        <w:rPr>
          <w:rFonts w:ascii="Calibri" w:eastAsia="Calibri" w:hAnsi="Calibri" w:cs="Times New Roman"/>
          <w:i/>
          <w:color w:val="auto"/>
          <w:sz w:val="22"/>
          <w:szCs w:val="22"/>
          <w:lang w:val="en" w:eastAsia="en-US"/>
        </w:rPr>
        <w:t xml:space="preserve">Journal of Investigative Psychology and Offender Profiling, </w:t>
      </w:r>
      <w:r w:rsidRPr="008042D0">
        <w:rPr>
          <w:rFonts w:ascii="Calibri" w:eastAsia="Calibri" w:hAnsi="Calibri" w:cs="Times New Roman"/>
          <w:color w:val="auto"/>
          <w:sz w:val="22"/>
          <w:szCs w:val="22"/>
          <w:lang w:val="en" w:eastAsia="en-US"/>
        </w:rPr>
        <w:t>10(3), pp. 237-250. Doi: 10.1002/jip.1386</w:t>
      </w:r>
    </w:p>
    <w:p w14:paraId="177AE7B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Bain, A., Robinson, B.K. and Conser, J. (2014) ‘Perceptions of policing: improving communication in local communities’, </w:t>
      </w:r>
      <w:r w:rsidRPr="008042D0">
        <w:rPr>
          <w:rFonts w:ascii="Calibri" w:eastAsia="Calibri" w:hAnsi="Calibri" w:cs="Times New Roman"/>
          <w:i/>
          <w:color w:val="auto"/>
          <w:sz w:val="22"/>
          <w:szCs w:val="22"/>
          <w:lang w:val="en" w:eastAsia="en-US"/>
        </w:rPr>
        <w:t xml:space="preserve">International Journal of Police Science and Management, </w:t>
      </w:r>
      <w:r w:rsidRPr="008042D0">
        <w:rPr>
          <w:rFonts w:ascii="Calibri" w:eastAsia="Calibri" w:hAnsi="Calibri" w:cs="Times New Roman"/>
          <w:color w:val="auto"/>
          <w:sz w:val="22"/>
          <w:szCs w:val="22"/>
          <w:lang w:val="en" w:eastAsia="en-US"/>
        </w:rPr>
        <w:t xml:space="preserve">16(4), pp. 267-276. Doi: </w:t>
      </w:r>
      <w:hyperlink r:id="rId20" w:history="1">
        <w:r w:rsidRPr="008042D0">
          <w:rPr>
            <w:rFonts w:ascii="Calibri" w:eastAsia="Calibri" w:hAnsi="Calibri" w:cs="Times New Roman"/>
            <w:color w:val="0000FF"/>
            <w:sz w:val="22"/>
            <w:szCs w:val="22"/>
            <w:u w:val="single"/>
            <w:lang w:val="en" w:eastAsia="en-US"/>
          </w:rPr>
          <w:t>https://doi-org.ezproxy.uwtsd.ac.uk/10.1350/ijps.2014.16.4.345</w:t>
        </w:r>
      </w:hyperlink>
      <w:r w:rsidRPr="008042D0">
        <w:rPr>
          <w:rFonts w:ascii="Calibri" w:eastAsia="Calibri" w:hAnsi="Calibri" w:cs="Times New Roman"/>
          <w:color w:val="auto"/>
          <w:sz w:val="22"/>
          <w:szCs w:val="22"/>
          <w:lang w:val="en" w:eastAsia="en-US"/>
        </w:rPr>
        <w:t xml:space="preserve"> </w:t>
      </w:r>
    </w:p>
    <w:p w14:paraId="61173542"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BBC News (2020a) </w:t>
      </w:r>
      <w:r w:rsidRPr="008042D0">
        <w:rPr>
          <w:rFonts w:ascii="Calibri" w:eastAsia="Calibri" w:hAnsi="Calibri" w:cs="Times New Roman"/>
          <w:i/>
          <w:color w:val="auto"/>
          <w:sz w:val="22"/>
          <w:szCs w:val="22"/>
          <w:lang w:val="en" w:eastAsia="en-US"/>
        </w:rPr>
        <w:t xml:space="preserve">Covid-19 in the UK: How many coronavirus cases are there in your area? </w:t>
      </w:r>
      <w:r w:rsidRPr="008042D0">
        <w:rPr>
          <w:rFonts w:ascii="Calibri" w:eastAsia="Calibri" w:hAnsi="Calibri" w:cs="Times New Roman"/>
          <w:color w:val="auto"/>
          <w:sz w:val="22"/>
          <w:szCs w:val="22"/>
          <w:lang w:val="en" w:eastAsia="en-US"/>
        </w:rPr>
        <w:t xml:space="preserve">Available at: </w:t>
      </w:r>
      <w:hyperlink r:id="rId21" w:history="1">
        <w:r w:rsidRPr="008042D0">
          <w:rPr>
            <w:rFonts w:ascii="Calibri" w:eastAsia="Calibri" w:hAnsi="Calibri" w:cs="Times New Roman"/>
            <w:color w:val="0000FF"/>
            <w:sz w:val="22"/>
            <w:szCs w:val="22"/>
            <w:u w:val="single"/>
            <w:lang w:val="en" w:eastAsia="en-US"/>
          </w:rPr>
          <w:t>https://www.bbc.co.uk/news/uk-51768274</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4</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November 2020)</w:t>
      </w:r>
    </w:p>
    <w:p w14:paraId="52631B83"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BBC News (2020b) </w:t>
      </w:r>
      <w:r w:rsidRPr="008042D0">
        <w:rPr>
          <w:rFonts w:ascii="Calibri" w:eastAsia="Calibri" w:hAnsi="Calibri" w:cs="Times New Roman"/>
          <w:i/>
          <w:color w:val="auto"/>
          <w:sz w:val="22"/>
          <w:szCs w:val="22"/>
          <w:lang w:eastAsia="en-US"/>
        </w:rPr>
        <w:t xml:space="preserve">George Floyd: What happened in the final moments of his </w:t>
      </w:r>
      <w:proofErr w:type="gramStart"/>
      <w:r w:rsidRPr="008042D0">
        <w:rPr>
          <w:rFonts w:ascii="Calibri" w:eastAsia="Calibri" w:hAnsi="Calibri" w:cs="Times New Roman"/>
          <w:i/>
          <w:color w:val="auto"/>
          <w:sz w:val="22"/>
          <w:szCs w:val="22"/>
          <w:lang w:eastAsia="en-US"/>
        </w:rPr>
        <w:t>life.</w:t>
      </w:r>
      <w:proofErr w:type="gramEnd"/>
      <w:r w:rsidRPr="008042D0">
        <w:rPr>
          <w:rFonts w:ascii="Calibri" w:eastAsia="Calibri" w:hAnsi="Calibri" w:cs="Times New Roman"/>
          <w:i/>
          <w:color w:val="auto"/>
          <w:sz w:val="22"/>
          <w:szCs w:val="22"/>
          <w:lang w:eastAsia="en-US"/>
        </w:rPr>
        <w:t xml:space="preserve"> </w:t>
      </w:r>
      <w:r w:rsidRPr="008042D0">
        <w:rPr>
          <w:rFonts w:ascii="Calibri" w:eastAsia="Calibri" w:hAnsi="Calibri" w:cs="Times New Roman"/>
          <w:color w:val="auto"/>
          <w:sz w:val="22"/>
          <w:szCs w:val="22"/>
          <w:lang w:eastAsia="en-US"/>
        </w:rPr>
        <w:t xml:space="preserve">Available at: </w:t>
      </w:r>
      <w:hyperlink r:id="rId22" w:history="1">
        <w:r w:rsidRPr="008042D0">
          <w:rPr>
            <w:rFonts w:ascii="Calibri" w:eastAsia="Calibri" w:hAnsi="Calibri" w:cs="Times New Roman"/>
            <w:color w:val="0563C1"/>
            <w:sz w:val="22"/>
            <w:szCs w:val="22"/>
            <w:u w:val="single"/>
            <w:lang w:eastAsia="en-US"/>
          </w:rPr>
          <w:t>https://www.bbc.com/news/world-us-canada-52861726</w:t>
        </w:r>
      </w:hyperlink>
      <w:r w:rsidRPr="008042D0">
        <w:rPr>
          <w:rFonts w:ascii="Calibri" w:eastAsia="Calibri" w:hAnsi="Calibri" w:cs="Times New Roman"/>
          <w:color w:val="auto"/>
          <w:sz w:val="22"/>
          <w:szCs w:val="22"/>
          <w:lang w:eastAsia="en-US"/>
        </w:rPr>
        <w:t xml:space="preserve"> (Accessed: 17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 </w:t>
      </w:r>
    </w:p>
    <w:p w14:paraId="3F23581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BBC News (2020c) </w:t>
      </w:r>
      <w:r w:rsidRPr="008042D0">
        <w:rPr>
          <w:rFonts w:ascii="Calibri" w:eastAsia="Calibri" w:hAnsi="Calibri" w:cs="Times New Roman"/>
          <w:i/>
          <w:color w:val="auto"/>
          <w:sz w:val="22"/>
          <w:szCs w:val="22"/>
          <w:lang w:val="en" w:eastAsia="en-US"/>
        </w:rPr>
        <w:t xml:space="preserve">Wales’ local coronavirus lockdowns: What are the rules? </w:t>
      </w:r>
      <w:r w:rsidRPr="008042D0">
        <w:rPr>
          <w:rFonts w:ascii="Calibri" w:eastAsia="Calibri" w:hAnsi="Calibri" w:cs="Times New Roman"/>
          <w:color w:val="auto"/>
          <w:sz w:val="22"/>
          <w:szCs w:val="22"/>
          <w:lang w:val="en" w:eastAsia="en-US"/>
        </w:rPr>
        <w:t xml:space="preserve">Available at: </w:t>
      </w:r>
      <w:hyperlink r:id="rId23" w:history="1">
        <w:r w:rsidRPr="008042D0">
          <w:rPr>
            <w:rFonts w:ascii="Calibri" w:eastAsia="Calibri" w:hAnsi="Calibri" w:cs="Times New Roman"/>
            <w:color w:val="0000FF"/>
            <w:sz w:val="22"/>
            <w:szCs w:val="22"/>
            <w:u w:val="single"/>
            <w:lang w:val="en" w:eastAsia="en-US"/>
          </w:rPr>
          <w:t>https://www.bbc.co.uk/news/uk-wales-54069466</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4</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November 2020) </w:t>
      </w:r>
    </w:p>
    <w:p w14:paraId="49F6581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Bellack, J.P. (2015) ‘Unconscious bias: an obstacle to cultural competence’, </w:t>
      </w:r>
      <w:r w:rsidRPr="008042D0">
        <w:rPr>
          <w:rFonts w:ascii="Calibri" w:eastAsia="Calibri" w:hAnsi="Calibri" w:cs="Times New Roman"/>
          <w:i/>
          <w:color w:val="auto"/>
          <w:sz w:val="22"/>
          <w:szCs w:val="22"/>
          <w:lang w:eastAsia="en-US"/>
        </w:rPr>
        <w:t xml:space="preserve">Journal of Nursing Education, </w:t>
      </w:r>
      <w:r w:rsidRPr="008042D0">
        <w:rPr>
          <w:rFonts w:ascii="Calibri" w:eastAsia="Calibri" w:hAnsi="Calibri" w:cs="Times New Roman"/>
          <w:color w:val="auto"/>
          <w:sz w:val="22"/>
          <w:szCs w:val="22"/>
          <w:lang w:eastAsia="en-US"/>
        </w:rPr>
        <w:t xml:space="preserve">54(9), pp. 63-64. Doi: </w:t>
      </w:r>
      <w:r w:rsidRPr="008042D0">
        <w:rPr>
          <w:rFonts w:ascii="Calibri" w:eastAsia="Calibri" w:hAnsi="Calibri" w:cs="Times New Roman"/>
          <w:color w:val="auto"/>
          <w:sz w:val="22"/>
          <w:szCs w:val="22"/>
          <w:lang w:val="en" w:eastAsia="en-US"/>
        </w:rPr>
        <w:t xml:space="preserve">10.3928/01484834-20150814-12 </w:t>
      </w:r>
    </w:p>
    <w:p w14:paraId="0A9E7B5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Bowes, L. and Jaffee, S.R. (2013) ‘Biology, genes and resilience: toward a multidisciplinary approach’ </w:t>
      </w:r>
      <w:r w:rsidRPr="008042D0">
        <w:rPr>
          <w:rFonts w:ascii="Calibri" w:eastAsia="Calibri" w:hAnsi="Calibri" w:cs="Times New Roman"/>
          <w:i/>
          <w:color w:val="auto"/>
          <w:sz w:val="22"/>
          <w:szCs w:val="22"/>
          <w:lang w:val="en" w:eastAsia="en-US"/>
        </w:rPr>
        <w:t xml:space="preserve">Trauma, Violence and Abuse, </w:t>
      </w:r>
      <w:r w:rsidRPr="008042D0">
        <w:rPr>
          <w:rFonts w:ascii="Calibri" w:eastAsia="Calibri" w:hAnsi="Calibri" w:cs="Times New Roman"/>
          <w:color w:val="auto"/>
          <w:sz w:val="22"/>
          <w:szCs w:val="22"/>
          <w:lang w:val="en" w:eastAsia="en-US"/>
        </w:rPr>
        <w:t xml:space="preserve">14(3), pp. 195-208. Doi: </w:t>
      </w:r>
      <w:hyperlink r:id="rId24" w:history="1">
        <w:r w:rsidRPr="008042D0">
          <w:rPr>
            <w:rFonts w:ascii="Calibri" w:eastAsia="Calibri" w:hAnsi="Calibri" w:cs="Times New Roman"/>
            <w:color w:val="0563C1"/>
            <w:sz w:val="22"/>
            <w:szCs w:val="22"/>
            <w:u w:val="single"/>
            <w:lang w:val="en" w:eastAsia="en-US"/>
          </w:rPr>
          <w:t>https://doi-org.ezproxy.uwtsd.ac.uk/10.1177/1524838013487807</w:t>
        </w:r>
      </w:hyperlink>
      <w:r w:rsidRPr="008042D0">
        <w:rPr>
          <w:rFonts w:ascii="Calibri" w:eastAsia="Calibri" w:hAnsi="Calibri" w:cs="Times New Roman"/>
          <w:color w:val="auto"/>
          <w:sz w:val="22"/>
          <w:szCs w:val="22"/>
          <w:lang w:val="en" w:eastAsia="en-US"/>
        </w:rPr>
        <w:t xml:space="preserve">. </w:t>
      </w:r>
    </w:p>
    <w:p w14:paraId="7CEEA4A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Brunton-Smith, I. (2011) ‘Untangling the relationship between fear of crime and perceptions of disorder: evidence from a longitudinal study of young people in England and Wales’, </w:t>
      </w:r>
      <w:r w:rsidRPr="008042D0">
        <w:rPr>
          <w:rFonts w:ascii="Calibri" w:eastAsia="Calibri" w:hAnsi="Calibri" w:cs="Times New Roman"/>
          <w:i/>
          <w:color w:val="auto"/>
          <w:sz w:val="22"/>
          <w:szCs w:val="22"/>
          <w:lang w:eastAsia="en-US"/>
        </w:rPr>
        <w:t xml:space="preserve">British Journal of Criminology, </w:t>
      </w:r>
      <w:r w:rsidRPr="008042D0">
        <w:rPr>
          <w:rFonts w:ascii="Calibri" w:eastAsia="Calibri" w:hAnsi="Calibri" w:cs="Times New Roman"/>
          <w:color w:val="auto"/>
          <w:sz w:val="22"/>
          <w:szCs w:val="22"/>
          <w:lang w:eastAsia="en-US"/>
        </w:rPr>
        <w:t xml:space="preserve">51(6), pp. 885-899. Doi: </w:t>
      </w:r>
      <w:r w:rsidRPr="008042D0">
        <w:rPr>
          <w:rFonts w:ascii="Calibri" w:eastAsia="Calibri" w:hAnsi="Calibri" w:cs="Times New Roman"/>
          <w:color w:val="auto"/>
          <w:sz w:val="22"/>
          <w:szCs w:val="22"/>
          <w:lang w:val="en" w:eastAsia="en-US"/>
        </w:rPr>
        <w:t xml:space="preserve">10.1093/bjc/azr064 </w:t>
      </w:r>
    </w:p>
    <w:p w14:paraId="6A2F71A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Bullock, K. and Johnson, P. (2012) ‘The impact of the Human Rights Act 1998 on policing in England and Wales’, </w:t>
      </w:r>
      <w:r w:rsidRPr="008042D0">
        <w:rPr>
          <w:rFonts w:ascii="Calibri" w:eastAsia="Calibri" w:hAnsi="Calibri" w:cs="Times New Roman"/>
          <w:i/>
          <w:color w:val="auto"/>
          <w:sz w:val="22"/>
          <w:szCs w:val="22"/>
          <w:lang w:val="en" w:eastAsia="en-US"/>
        </w:rPr>
        <w:t xml:space="preserve">British Journal of Criminology, </w:t>
      </w:r>
      <w:r w:rsidRPr="008042D0">
        <w:rPr>
          <w:rFonts w:ascii="Calibri" w:eastAsia="Calibri" w:hAnsi="Calibri" w:cs="Times New Roman"/>
          <w:color w:val="auto"/>
          <w:sz w:val="22"/>
          <w:szCs w:val="22"/>
          <w:lang w:val="en" w:eastAsia="en-US"/>
        </w:rPr>
        <w:t xml:space="preserve">52(3), pp. 630-650. Doi: 10.1093/bjc/azr088 </w:t>
      </w:r>
    </w:p>
    <w:p w14:paraId="392835E3"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Burton, A., Burgess, C., Dean, S., Koutsopoulou, G., and Hugh – Jones, S. (2017) ‘How effective are mindfulness – based interventions for reducing stress among health care professionals? A systematic review and </w:t>
      </w:r>
      <w:proofErr w:type="gramStart"/>
      <w:r w:rsidRPr="008042D0">
        <w:rPr>
          <w:rFonts w:ascii="Calibri" w:eastAsia="Calibri" w:hAnsi="Calibri" w:cs="Times New Roman"/>
          <w:color w:val="auto"/>
          <w:sz w:val="22"/>
          <w:szCs w:val="22"/>
          <w:lang w:val="en" w:eastAsia="en-US"/>
        </w:rPr>
        <w:t>meta</w:t>
      </w:r>
      <w:proofErr w:type="gramEnd"/>
      <w:r w:rsidRPr="008042D0">
        <w:rPr>
          <w:rFonts w:ascii="Calibri" w:eastAsia="Calibri" w:hAnsi="Calibri" w:cs="Times New Roman"/>
          <w:color w:val="auto"/>
          <w:sz w:val="22"/>
          <w:szCs w:val="22"/>
          <w:lang w:val="en" w:eastAsia="en-US"/>
        </w:rPr>
        <w:t xml:space="preserve"> – analysis’, </w:t>
      </w:r>
      <w:r w:rsidRPr="008042D0">
        <w:rPr>
          <w:rFonts w:ascii="Calibri" w:eastAsia="Calibri" w:hAnsi="Calibri" w:cs="Times New Roman"/>
          <w:i/>
          <w:color w:val="auto"/>
          <w:sz w:val="22"/>
          <w:szCs w:val="22"/>
          <w:lang w:val="en" w:eastAsia="en-US"/>
        </w:rPr>
        <w:t xml:space="preserve">Stress and Health, </w:t>
      </w:r>
      <w:r w:rsidRPr="008042D0">
        <w:rPr>
          <w:rFonts w:ascii="Calibri" w:eastAsia="Calibri" w:hAnsi="Calibri" w:cs="Times New Roman"/>
          <w:color w:val="auto"/>
          <w:sz w:val="22"/>
          <w:szCs w:val="22"/>
          <w:lang w:val="en" w:eastAsia="en-US"/>
        </w:rPr>
        <w:t>33(1), pp. 3-13. DOI: 10.1002/smi.2673</w:t>
      </w:r>
    </w:p>
    <w:p w14:paraId="56A828F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Burton, M., Evans, R. and Sanders, A. (2007) ‘Vulnerable and intimidated witnesses and the adversarial process in England and Wales’, </w:t>
      </w:r>
      <w:r w:rsidRPr="008042D0">
        <w:rPr>
          <w:rFonts w:ascii="Calibri" w:eastAsia="Calibri" w:hAnsi="Calibri" w:cs="Times New Roman"/>
          <w:i/>
          <w:color w:val="auto"/>
          <w:sz w:val="22"/>
          <w:szCs w:val="22"/>
          <w:lang w:val="en" w:eastAsia="en-US"/>
        </w:rPr>
        <w:t xml:space="preserve">The International Journal of Evidence and Proof, </w:t>
      </w:r>
      <w:r w:rsidRPr="008042D0">
        <w:rPr>
          <w:rFonts w:ascii="Calibri" w:eastAsia="Calibri" w:hAnsi="Calibri" w:cs="Times New Roman"/>
          <w:color w:val="auto"/>
          <w:sz w:val="22"/>
          <w:szCs w:val="22"/>
          <w:lang w:val="en" w:eastAsia="en-US"/>
        </w:rPr>
        <w:t>11(1), pp. 1-23. Doi: 10.1350/ijep.2006.11.1.1</w:t>
      </w:r>
    </w:p>
    <w:p w14:paraId="0C389454"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val="en" w:eastAsia="en-US"/>
        </w:rPr>
        <w:t xml:space="preserve">Cohen, L.E., Kluegel, J.R. and Land, K.C. (1981) ‘Social inequality and predatory criminal victimisation: an exposition and test of a formal theory’, </w:t>
      </w:r>
      <w:r w:rsidRPr="008042D0">
        <w:rPr>
          <w:rFonts w:ascii="Calibri" w:eastAsia="Calibri" w:hAnsi="Calibri" w:cs="Times New Roman"/>
          <w:i/>
          <w:color w:val="auto"/>
          <w:sz w:val="22"/>
          <w:szCs w:val="22"/>
          <w:lang w:val="en" w:eastAsia="en-US"/>
        </w:rPr>
        <w:t xml:space="preserve">American Sociological Review, </w:t>
      </w:r>
      <w:r w:rsidRPr="008042D0">
        <w:rPr>
          <w:rFonts w:ascii="Calibri" w:eastAsia="Calibri" w:hAnsi="Calibri" w:cs="Times New Roman"/>
          <w:color w:val="auto"/>
          <w:sz w:val="22"/>
          <w:szCs w:val="22"/>
          <w:lang w:val="en" w:eastAsia="en-US"/>
        </w:rPr>
        <w:t xml:space="preserve">46(5), pp. 505-524. Doi: 10.2307/2094935 </w:t>
      </w:r>
    </w:p>
    <w:p w14:paraId="719F1302"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Cohen, P. (1997) </w:t>
      </w:r>
      <w:r w:rsidRPr="008042D0">
        <w:rPr>
          <w:rFonts w:ascii="Calibri" w:eastAsia="Calibri" w:hAnsi="Calibri" w:cs="Times New Roman"/>
          <w:i/>
          <w:color w:val="auto"/>
          <w:sz w:val="22"/>
          <w:szCs w:val="22"/>
          <w:lang w:val="en" w:eastAsia="en-US"/>
        </w:rPr>
        <w:t xml:space="preserve">Rethinking the youth question. </w:t>
      </w:r>
      <w:r w:rsidRPr="008042D0">
        <w:rPr>
          <w:rFonts w:ascii="Calibri" w:eastAsia="Calibri" w:hAnsi="Calibri" w:cs="Times New Roman"/>
          <w:color w:val="auto"/>
          <w:sz w:val="22"/>
          <w:szCs w:val="22"/>
          <w:lang w:val="en" w:eastAsia="en-US"/>
        </w:rPr>
        <w:t xml:space="preserve">London: Palgrave. </w:t>
      </w:r>
    </w:p>
    <w:p w14:paraId="7EA93247"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College of Policing (2014a) </w:t>
      </w:r>
      <w:r w:rsidRPr="008042D0">
        <w:rPr>
          <w:rFonts w:ascii="Calibri" w:eastAsia="Calibri" w:hAnsi="Calibri" w:cs="Times New Roman"/>
          <w:i/>
          <w:color w:val="auto"/>
          <w:sz w:val="22"/>
          <w:szCs w:val="22"/>
          <w:lang w:val="en" w:eastAsia="en-US"/>
        </w:rPr>
        <w:t xml:space="preserve">Code of Ethics. </w:t>
      </w:r>
      <w:r w:rsidRPr="008042D0">
        <w:rPr>
          <w:rFonts w:ascii="Calibri" w:eastAsia="Calibri" w:hAnsi="Calibri" w:cs="Times New Roman"/>
          <w:color w:val="auto"/>
          <w:sz w:val="22"/>
          <w:szCs w:val="22"/>
          <w:lang w:val="en" w:eastAsia="en-US"/>
        </w:rPr>
        <w:t xml:space="preserve">Available at: </w:t>
      </w:r>
      <w:hyperlink r:id="rId25" w:history="1">
        <w:r w:rsidRPr="008042D0">
          <w:rPr>
            <w:rFonts w:ascii="Calibri" w:eastAsia="Calibri" w:hAnsi="Calibri" w:cs="Times New Roman"/>
            <w:color w:val="0563C1"/>
            <w:sz w:val="22"/>
            <w:szCs w:val="22"/>
            <w:u w:val="single"/>
            <w:lang w:val="en" w:eastAsia="en-US"/>
          </w:rPr>
          <w:t>https://www.college.police.uk/What-we-do/Ethics/Ethics-home/Documents/Code_of_Ethics.pdf</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19</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November 2020)</w:t>
      </w:r>
    </w:p>
    <w:p w14:paraId="3BFAC60E"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College of Policing (2014b) </w:t>
      </w:r>
      <w:r w:rsidRPr="008042D0">
        <w:rPr>
          <w:rFonts w:ascii="Calibri" w:eastAsia="Calibri" w:hAnsi="Calibri" w:cs="Times New Roman"/>
          <w:i/>
          <w:color w:val="auto"/>
          <w:sz w:val="22"/>
          <w:szCs w:val="22"/>
          <w:lang w:val="en" w:eastAsia="en-US"/>
        </w:rPr>
        <w:t xml:space="preserve">National Decision Model. </w:t>
      </w:r>
      <w:r w:rsidRPr="008042D0">
        <w:rPr>
          <w:rFonts w:ascii="Calibri" w:eastAsia="Calibri" w:hAnsi="Calibri" w:cs="Times New Roman"/>
          <w:color w:val="auto"/>
          <w:sz w:val="22"/>
          <w:szCs w:val="22"/>
          <w:lang w:val="en" w:eastAsia="en-US"/>
        </w:rPr>
        <w:t xml:space="preserve">Available at: </w:t>
      </w:r>
      <w:hyperlink r:id="rId26" w:history="1">
        <w:r w:rsidRPr="008042D0">
          <w:rPr>
            <w:rFonts w:ascii="Calibri" w:eastAsia="Calibri" w:hAnsi="Calibri" w:cs="Times New Roman"/>
            <w:color w:val="0000FF"/>
            <w:sz w:val="22"/>
            <w:szCs w:val="22"/>
            <w:u w:val="single"/>
            <w:lang w:val="en" w:eastAsia="en-US"/>
          </w:rPr>
          <w:t>https://www.app.college.police.uk/app-content/national-decision-model/?s</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18</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October 2020) </w:t>
      </w:r>
    </w:p>
    <w:p w14:paraId="1E8CCF1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lastRenderedPageBreak/>
        <w:t>College of Policing (2019</w:t>
      </w:r>
      <w:proofErr w:type="gramStart"/>
      <w:r w:rsidRPr="008042D0">
        <w:rPr>
          <w:rFonts w:ascii="Calibri" w:eastAsia="Calibri" w:hAnsi="Calibri" w:cs="Times New Roman"/>
          <w:color w:val="auto"/>
          <w:sz w:val="22"/>
          <w:szCs w:val="22"/>
          <w:lang w:eastAsia="en-US"/>
        </w:rPr>
        <w:t xml:space="preserve">)  </w:t>
      </w:r>
      <w:r w:rsidRPr="008042D0">
        <w:rPr>
          <w:rFonts w:ascii="Calibri" w:eastAsia="Calibri" w:hAnsi="Calibri" w:cs="Times New Roman"/>
          <w:i/>
          <w:color w:val="auto"/>
          <w:sz w:val="22"/>
          <w:szCs w:val="22"/>
          <w:lang w:eastAsia="en-US"/>
        </w:rPr>
        <w:t>Conflict</w:t>
      </w:r>
      <w:proofErr w:type="gramEnd"/>
      <w:r w:rsidRPr="008042D0">
        <w:rPr>
          <w:rFonts w:ascii="Calibri" w:eastAsia="Calibri" w:hAnsi="Calibri" w:cs="Times New Roman"/>
          <w:i/>
          <w:color w:val="auto"/>
          <w:sz w:val="22"/>
          <w:szCs w:val="22"/>
          <w:lang w:eastAsia="en-US"/>
        </w:rPr>
        <w:t xml:space="preserve"> management using de-escalation, communication and negotiation. </w:t>
      </w:r>
      <w:r w:rsidRPr="008042D0">
        <w:rPr>
          <w:rFonts w:ascii="Calibri" w:eastAsia="Calibri" w:hAnsi="Calibri" w:cs="Times New Roman"/>
          <w:color w:val="auto"/>
          <w:sz w:val="22"/>
          <w:szCs w:val="22"/>
          <w:lang w:eastAsia="en-US"/>
        </w:rPr>
        <w:t xml:space="preserve">Available at: </w:t>
      </w:r>
      <w:hyperlink r:id="rId27" w:history="1">
        <w:r w:rsidRPr="008042D0">
          <w:rPr>
            <w:rFonts w:ascii="Calibri" w:eastAsia="Calibri" w:hAnsi="Calibri" w:cs="Times New Roman"/>
            <w:color w:val="0563C1"/>
            <w:sz w:val="22"/>
            <w:szCs w:val="22"/>
            <w:u w:val="single"/>
            <w:lang w:eastAsia="en-US"/>
          </w:rPr>
          <w:t>https://www.college.police.uk/What-we-do/Standards/Guidelines/Documents/Conflict_management_consultation20219.pdf</w:t>
        </w:r>
      </w:hyperlink>
      <w:r w:rsidRPr="008042D0">
        <w:rPr>
          <w:rFonts w:ascii="Calibri" w:eastAsia="Calibri" w:hAnsi="Calibri" w:cs="Times New Roman"/>
          <w:color w:val="auto"/>
          <w:sz w:val="22"/>
          <w:szCs w:val="22"/>
          <w:lang w:eastAsia="en-US"/>
        </w:rPr>
        <w:t xml:space="preserve"> (Accessed: 18</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w:t>
      </w:r>
    </w:p>
    <w:p w14:paraId="1AF1948D"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College of Policing (2020a) </w:t>
      </w:r>
      <w:r w:rsidRPr="008042D0">
        <w:rPr>
          <w:rFonts w:ascii="Calibri" w:eastAsia="Calibri" w:hAnsi="Calibri" w:cs="Times New Roman"/>
          <w:i/>
          <w:color w:val="auto"/>
          <w:sz w:val="22"/>
          <w:szCs w:val="22"/>
          <w:lang w:eastAsia="en-US"/>
        </w:rPr>
        <w:t xml:space="preserve">Detention and Custody: Control, Restraint and Searches. </w:t>
      </w:r>
      <w:r w:rsidRPr="008042D0">
        <w:rPr>
          <w:rFonts w:ascii="Calibri" w:eastAsia="Calibri" w:hAnsi="Calibri" w:cs="Times New Roman"/>
          <w:color w:val="auto"/>
          <w:sz w:val="22"/>
          <w:szCs w:val="22"/>
          <w:lang w:eastAsia="en-US"/>
        </w:rPr>
        <w:t xml:space="preserve">Available at: </w:t>
      </w:r>
      <w:r w:rsidRPr="008042D0">
        <w:rPr>
          <w:rFonts w:ascii="Calibri" w:eastAsia="Calibri" w:hAnsi="Calibri" w:cs="Times New Roman"/>
          <w:i/>
          <w:color w:val="auto"/>
          <w:sz w:val="22"/>
          <w:szCs w:val="22"/>
          <w:lang w:eastAsia="en-US"/>
        </w:rPr>
        <w:t xml:space="preserve"> </w:t>
      </w:r>
      <w:hyperlink r:id="rId28" w:history="1">
        <w:r w:rsidRPr="008042D0">
          <w:rPr>
            <w:rFonts w:ascii="Calibri" w:eastAsia="Calibri" w:hAnsi="Calibri" w:cs="Times New Roman"/>
            <w:i/>
            <w:color w:val="0563C1"/>
            <w:sz w:val="22"/>
            <w:szCs w:val="22"/>
            <w:u w:val="single"/>
            <w:lang w:eastAsia="en-US"/>
          </w:rPr>
          <w:t>https://www.app.college.police.uk/app-content/detention-and-custody-2/control-restraint-and-searches/</w:t>
        </w:r>
      </w:hyperlink>
      <w:r w:rsidRPr="008042D0">
        <w:rPr>
          <w:rFonts w:ascii="Calibri" w:eastAsia="Calibri" w:hAnsi="Calibri" w:cs="Times New Roman"/>
          <w:i/>
          <w:color w:val="auto"/>
          <w:sz w:val="22"/>
          <w:szCs w:val="22"/>
          <w:lang w:eastAsia="en-US"/>
        </w:rPr>
        <w:t xml:space="preserve"> </w:t>
      </w:r>
      <w:r w:rsidRPr="008042D0">
        <w:rPr>
          <w:rFonts w:ascii="Calibri" w:eastAsia="Calibri" w:hAnsi="Calibri" w:cs="Times New Roman"/>
          <w:color w:val="auto"/>
          <w:sz w:val="22"/>
          <w:szCs w:val="22"/>
          <w:lang w:eastAsia="en-US"/>
        </w:rPr>
        <w:t>(Accessed: 17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 </w:t>
      </w:r>
    </w:p>
    <w:p w14:paraId="40DCADFA"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College of Policing (2020b) </w:t>
      </w:r>
      <w:r w:rsidRPr="008042D0">
        <w:rPr>
          <w:rFonts w:ascii="Calibri" w:eastAsia="Calibri" w:hAnsi="Calibri" w:cs="Times New Roman"/>
          <w:i/>
          <w:color w:val="auto"/>
          <w:sz w:val="22"/>
          <w:szCs w:val="22"/>
          <w:lang w:eastAsia="en-US"/>
        </w:rPr>
        <w:t xml:space="preserve">Investigative Interviewing. </w:t>
      </w:r>
      <w:r w:rsidRPr="008042D0">
        <w:rPr>
          <w:rFonts w:ascii="Calibri" w:eastAsia="Calibri" w:hAnsi="Calibri" w:cs="Times New Roman"/>
          <w:color w:val="auto"/>
          <w:sz w:val="22"/>
          <w:szCs w:val="22"/>
          <w:lang w:eastAsia="en-US"/>
        </w:rPr>
        <w:t xml:space="preserve">Available at: </w:t>
      </w:r>
      <w:hyperlink r:id="rId29" w:history="1">
        <w:r w:rsidRPr="008042D0">
          <w:rPr>
            <w:rFonts w:ascii="Calibri" w:eastAsia="Calibri" w:hAnsi="Calibri" w:cs="Times New Roman"/>
            <w:color w:val="0000FF"/>
            <w:sz w:val="22"/>
            <w:szCs w:val="22"/>
            <w:u w:val="single"/>
            <w:lang w:eastAsia="en-US"/>
          </w:rPr>
          <w:t>https://www.app.college.police.uk/app-content/investigations/investigative-interviewing/</w:t>
        </w:r>
      </w:hyperlink>
      <w:r w:rsidRPr="008042D0">
        <w:rPr>
          <w:rFonts w:ascii="Calibri" w:eastAsia="Calibri" w:hAnsi="Calibri" w:cs="Times New Roman"/>
          <w:color w:val="auto"/>
          <w:sz w:val="22"/>
          <w:szCs w:val="22"/>
          <w:lang w:eastAsia="en-US"/>
        </w:rPr>
        <w:t xml:space="preserve"> (Accessed: 27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October 2020) </w:t>
      </w:r>
    </w:p>
    <w:p w14:paraId="6D0B37F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College of Policing (2020c) </w:t>
      </w:r>
      <w:r w:rsidRPr="008042D0">
        <w:rPr>
          <w:rFonts w:ascii="Calibri" w:eastAsia="Calibri" w:hAnsi="Calibri" w:cs="Times New Roman"/>
          <w:i/>
          <w:color w:val="auto"/>
          <w:sz w:val="22"/>
          <w:szCs w:val="22"/>
          <w:lang w:val="en" w:eastAsia="en-US"/>
        </w:rPr>
        <w:t xml:space="preserve">National Decision Model. </w:t>
      </w:r>
      <w:r w:rsidRPr="008042D0">
        <w:rPr>
          <w:rFonts w:ascii="Calibri" w:eastAsia="Calibri" w:hAnsi="Calibri" w:cs="Times New Roman"/>
          <w:color w:val="auto"/>
          <w:sz w:val="22"/>
          <w:szCs w:val="22"/>
          <w:lang w:val="en" w:eastAsia="en-US"/>
        </w:rPr>
        <w:t xml:space="preserve">Available at: </w:t>
      </w:r>
      <w:hyperlink r:id="rId30" w:anchor="the-model" w:history="1">
        <w:r w:rsidRPr="008042D0">
          <w:rPr>
            <w:rFonts w:ascii="Calibri" w:eastAsia="Calibri" w:hAnsi="Calibri" w:cs="Times New Roman"/>
            <w:color w:val="0000FF"/>
            <w:sz w:val="22"/>
            <w:szCs w:val="22"/>
            <w:u w:val="single"/>
            <w:lang w:val="en" w:eastAsia="en-US"/>
          </w:rPr>
          <w:t>https://www.app.college.police.uk/app-content/national-decision-model/the-national-decision-model/#the-model</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18</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October 2020)</w:t>
      </w:r>
    </w:p>
    <w:p w14:paraId="626F115D"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College of Policing (2020d) </w:t>
      </w:r>
      <w:r w:rsidRPr="008042D0">
        <w:rPr>
          <w:rFonts w:ascii="Calibri" w:eastAsia="Calibri" w:hAnsi="Calibri" w:cs="Times New Roman"/>
          <w:i/>
          <w:color w:val="auto"/>
          <w:sz w:val="22"/>
          <w:szCs w:val="22"/>
          <w:lang w:val="en" w:eastAsia="en-US"/>
        </w:rPr>
        <w:t xml:space="preserve">Introducing a new competency and values framework for policing. </w:t>
      </w:r>
      <w:r w:rsidRPr="008042D0">
        <w:rPr>
          <w:rFonts w:ascii="Calibri" w:eastAsia="Calibri" w:hAnsi="Calibri" w:cs="Times New Roman"/>
          <w:color w:val="auto"/>
          <w:sz w:val="22"/>
          <w:szCs w:val="22"/>
          <w:lang w:val="en" w:eastAsia="en-US"/>
        </w:rPr>
        <w:t xml:space="preserve">Available at: </w:t>
      </w:r>
      <w:hyperlink r:id="rId31" w:history="1">
        <w:r w:rsidRPr="008042D0">
          <w:rPr>
            <w:rFonts w:ascii="Calibri" w:eastAsia="Calibri" w:hAnsi="Calibri" w:cs="Times New Roman"/>
            <w:color w:val="0000FF"/>
            <w:sz w:val="22"/>
            <w:szCs w:val="22"/>
            <w:u w:val="single"/>
            <w:lang w:val="en" w:eastAsia="en-US"/>
          </w:rPr>
          <w:t>https://www.college.police.uk/What-we-do/Development/competency-and-values-framework/Pages/Competency-and-Values-framework.aspx</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18</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October 2020) </w:t>
      </w:r>
    </w:p>
    <w:p w14:paraId="59FA08C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College of Policing (2020e) </w:t>
      </w:r>
      <w:r w:rsidRPr="008042D0">
        <w:rPr>
          <w:rFonts w:ascii="Calibri" w:eastAsia="Calibri" w:hAnsi="Calibri" w:cs="Times New Roman"/>
          <w:i/>
          <w:color w:val="auto"/>
          <w:sz w:val="22"/>
          <w:szCs w:val="22"/>
          <w:lang w:eastAsia="en-US"/>
        </w:rPr>
        <w:t xml:space="preserve">Investigations. </w:t>
      </w:r>
      <w:r w:rsidRPr="008042D0">
        <w:rPr>
          <w:rFonts w:ascii="Calibri" w:eastAsia="Calibri" w:hAnsi="Calibri" w:cs="Times New Roman"/>
          <w:color w:val="auto"/>
          <w:sz w:val="22"/>
          <w:szCs w:val="22"/>
          <w:lang w:eastAsia="en-US"/>
        </w:rPr>
        <w:t xml:space="preserve">Available at: </w:t>
      </w:r>
      <w:hyperlink r:id="rId32" w:history="1">
        <w:r w:rsidRPr="008042D0">
          <w:rPr>
            <w:rFonts w:ascii="Calibri" w:eastAsia="Calibri" w:hAnsi="Calibri" w:cs="Times New Roman"/>
            <w:color w:val="0000FF"/>
            <w:sz w:val="22"/>
            <w:szCs w:val="22"/>
            <w:u w:val="single"/>
            <w:lang w:eastAsia="en-US"/>
          </w:rPr>
          <w:t>https://www.app.college.police.uk/app-content/investigations/?s</w:t>
        </w:r>
      </w:hyperlink>
      <w:r w:rsidRPr="008042D0">
        <w:rPr>
          <w:rFonts w:ascii="Calibri" w:eastAsia="Calibri" w:hAnsi="Calibri" w:cs="Times New Roman"/>
          <w:color w:val="auto"/>
          <w:sz w:val="22"/>
          <w:szCs w:val="22"/>
          <w:lang w:eastAsia="en-US"/>
        </w:rPr>
        <w:t>= (Accessed: 6</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 </w:t>
      </w:r>
    </w:p>
    <w:p w14:paraId="682ECA7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Crow, M.S. and Adrion, B. (2011) ‘Focal concerns and police use of force: examining the factors associated with taser use’, </w:t>
      </w:r>
      <w:r w:rsidRPr="008042D0">
        <w:rPr>
          <w:rFonts w:ascii="Calibri" w:eastAsia="Calibri" w:hAnsi="Calibri" w:cs="Times New Roman"/>
          <w:i/>
          <w:color w:val="auto"/>
          <w:sz w:val="22"/>
          <w:szCs w:val="22"/>
          <w:lang w:eastAsia="en-US"/>
        </w:rPr>
        <w:t xml:space="preserve">Police Quarterly, </w:t>
      </w:r>
      <w:r w:rsidRPr="008042D0">
        <w:rPr>
          <w:rFonts w:ascii="Calibri" w:eastAsia="Calibri" w:hAnsi="Calibri" w:cs="Times New Roman"/>
          <w:color w:val="auto"/>
          <w:sz w:val="22"/>
          <w:szCs w:val="22"/>
          <w:lang w:eastAsia="en-US"/>
        </w:rPr>
        <w:t xml:space="preserve">14(4), pp. 366-387. Doi: </w:t>
      </w:r>
      <w:r w:rsidRPr="008042D0">
        <w:rPr>
          <w:rFonts w:ascii="Calibri" w:eastAsia="Calibri" w:hAnsi="Calibri" w:cs="Times New Roman"/>
          <w:color w:val="auto"/>
          <w:sz w:val="22"/>
          <w:szCs w:val="22"/>
          <w:lang w:val="en" w:eastAsia="en-US"/>
        </w:rPr>
        <w:t xml:space="preserve">10.1177/1098611111423740 </w:t>
      </w:r>
    </w:p>
    <w:p w14:paraId="661B6A0A"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Cuellar, N.G. (2017) ‘Unconscious bias: what is yours?</w:t>
      </w:r>
      <w:proofErr w:type="gramStart"/>
      <w:r w:rsidRPr="008042D0">
        <w:rPr>
          <w:rFonts w:ascii="Calibri" w:eastAsia="Calibri" w:hAnsi="Calibri" w:cs="Times New Roman"/>
          <w:color w:val="auto"/>
          <w:sz w:val="22"/>
          <w:szCs w:val="22"/>
          <w:lang w:val="en" w:eastAsia="en-US"/>
        </w:rPr>
        <w:t>’,</w:t>
      </w:r>
      <w:proofErr w:type="gramEnd"/>
      <w:r w:rsidRPr="008042D0">
        <w:rPr>
          <w:rFonts w:ascii="Calibri" w:eastAsia="Calibri" w:hAnsi="Calibri" w:cs="Times New Roman"/>
          <w:color w:val="auto"/>
          <w:sz w:val="22"/>
          <w:szCs w:val="22"/>
          <w:lang w:val="en" w:eastAsia="en-US"/>
        </w:rPr>
        <w:t xml:space="preserve"> </w:t>
      </w:r>
      <w:r w:rsidRPr="008042D0">
        <w:rPr>
          <w:rFonts w:ascii="Calibri" w:eastAsia="Calibri" w:hAnsi="Calibri" w:cs="Times New Roman"/>
          <w:i/>
          <w:color w:val="auto"/>
          <w:sz w:val="22"/>
          <w:szCs w:val="22"/>
          <w:lang w:val="en" w:eastAsia="en-US"/>
        </w:rPr>
        <w:t xml:space="preserve">Journal of Transcultural Nursing, </w:t>
      </w:r>
      <w:r w:rsidRPr="008042D0">
        <w:rPr>
          <w:rFonts w:ascii="Calibri" w:eastAsia="Calibri" w:hAnsi="Calibri" w:cs="Times New Roman"/>
          <w:color w:val="auto"/>
          <w:sz w:val="22"/>
          <w:szCs w:val="22"/>
          <w:lang w:val="en" w:eastAsia="en-US"/>
        </w:rPr>
        <w:t>28(4), pp. 333-333. Doi: 10.1177/1043659617713566</w:t>
      </w:r>
    </w:p>
    <w:p w14:paraId="44BFDDCB"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Dando, C., Wilcock, R. and Milne, R. (2008) ‘The cognitive interview: Inexperienced police officers’ perceptions of their witness/victim interviewing practices’, </w:t>
      </w:r>
      <w:r w:rsidRPr="008042D0">
        <w:rPr>
          <w:rFonts w:ascii="Calibri" w:eastAsia="Calibri" w:hAnsi="Calibri" w:cs="Times New Roman"/>
          <w:i/>
          <w:color w:val="auto"/>
          <w:sz w:val="22"/>
          <w:szCs w:val="22"/>
          <w:lang w:eastAsia="en-US"/>
        </w:rPr>
        <w:t xml:space="preserve">Legal and Criminological Psychology, </w:t>
      </w:r>
      <w:r w:rsidRPr="008042D0">
        <w:rPr>
          <w:rFonts w:ascii="Calibri" w:eastAsia="Calibri" w:hAnsi="Calibri" w:cs="Times New Roman"/>
          <w:color w:val="auto"/>
          <w:sz w:val="22"/>
          <w:szCs w:val="22"/>
          <w:lang w:eastAsia="en-US"/>
        </w:rPr>
        <w:t xml:space="preserve">13(1), pp. 59-71. Doi: </w:t>
      </w:r>
      <w:r w:rsidRPr="008042D0">
        <w:rPr>
          <w:rFonts w:ascii="Calibri" w:eastAsia="Calibri" w:hAnsi="Calibri" w:cs="Times New Roman"/>
          <w:color w:val="auto"/>
          <w:sz w:val="22"/>
          <w:szCs w:val="22"/>
          <w:lang w:val="en" w:eastAsia="en-US"/>
        </w:rPr>
        <w:t xml:space="preserve">10.1348/135532506X162498 </w:t>
      </w:r>
    </w:p>
    <w:p w14:paraId="0FAC9E9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De Vibe, M., Solhaug, I., Rosenvinge, J.H., Tyssen, R., Hanley, A., and Garland, E. (2018) ‘Six year positive effects of a mindfulness- based intervention on mindfulness, coping and well-being in medical and psychology students; Results from a randomised controlled trial’, </w:t>
      </w:r>
      <w:r w:rsidRPr="008042D0">
        <w:rPr>
          <w:rFonts w:ascii="Calibri" w:eastAsia="Calibri" w:hAnsi="Calibri" w:cs="Times New Roman"/>
          <w:i/>
          <w:color w:val="auto"/>
          <w:sz w:val="22"/>
          <w:szCs w:val="22"/>
          <w:lang w:val="en" w:eastAsia="en-US"/>
        </w:rPr>
        <w:t xml:space="preserve">PLOS One, </w:t>
      </w:r>
      <w:r w:rsidRPr="008042D0">
        <w:rPr>
          <w:rFonts w:ascii="Calibri" w:eastAsia="Calibri" w:hAnsi="Calibri" w:cs="Times New Roman"/>
          <w:color w:val="auto"/>
          <w:sz w:val="22"/>
          <w:szCs w:val="22"/>
          <w:lang w:val="en" w:eastAsia="en-US"/>
        </w:rPr>
        <w:t>13(4), PP. 1-17. DOI: 10.1371/journal.pone.0196053</w:t>
      </w:r>
    </w:p>
    <w:p w14:paraId="6C4E067C"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Deadman, D., and MacDonald, Z. (2004) ‘Offenders as victims of crime</w:t>
      </w:r>
      <w:proofErr w:type="gramStart"/>
      <w:r w:rsidRPr="008042D0">
        <w:rPr>
          <w:rFonts w:ascii="Calibri" w:eastAsia="Calibri" w:hAnsi="Calibri" w:cs="Times New Roman"/>
          <w:color w:val="auto"/>
          <w:sz w:val="22"/>
          <w:szCs w:val="22"/>
          <w:lang w:val="en" w:eastAsia="en-US"/>
        </w:rPr>
        <w:t>?:</w:t>
      </w:r>
      <w:proofErr w:type="gramEnd"/>
      <w:r w:rsidRPr="008042D0">
        <w:rPr>
          <w:rFonts w:ascii="Calibri" w:eastAsia="Calibri" w:hAnsi="Calibri" w:cs="Times New Roman"/>
          <w:color w:val="auto"/>
          <w:sz w:val="22"/>
          <w:szCs w:val="22"/>
          <w:lang w:val="en" w:eastAsia="en-US"/>
        </w:rPr>
        <w:t xml:space="preserve"> an investigation into the relationship between criminal behaviour and victimization’, </w:t>
      </w:r>
      <w:r w:rsidRPr="008042D0">
        <w:rPr>
          <w:rFonts w:ascii="Calibri" w:eastAsia="Calibri" w:hAnsi="Calibri" w:cs="Times New Roman"/>
          <w:i/>
          <w:color w:val="auto"/>
          <w:sz w:val="22"/>
          <w:szCs w:val="22"/>
          <w:lang w:val="en" w:eastAsia="en-US"/>
        </w:rPr>
        <w:t xml:space="preserve">Journal of the Royal Statistical Society, </w:t>
      </w:r>
      <w:r w:rsidRPr="008042D0">
        <w:rPr>
          <w:rFonts w:ascii="Calibri" w:eastAsia="Calibri" w:hAnsi="Calibri" w:cs="Times New Roman"/>
          <w:color w:val="auto"/>
          <w:sz w:val="22"/>
          <w:szCs w:val="22"/>
          <w:lang w:val="en" w:eastAsia="en-US"/>
        </w:rPr>
        <w:t xml:space="preserve">167(1), pp. 53-67. Doi: </w:t>
      </w:r>
      <w:hyperlink r:id="rId33" w:history="1">
        <w:r w:rsidRPr="008042D0">
          <w:rPr>
            <w:rFonts w:ascii="Calibri" w:eastAsia="Calibri" w:hAnsi="Calibri" w:cs="Times New Roman"/>
            <w:color w:val="0000FF"/>
            <w:sz w:val="22"/>
            <w:szCs w:val="22"/>
            <w:u w:val="single"/>
            <w:lang w:val="en" w:eastAsia="en-US"/>
          </w:rPr>
          <w:t>https://doi-org.ezproxy.uwtsd.ac.uk/10.1111/j.1467-985X.2004.00291.x</w:t>
        </w:r>
      </w:hyperlink>
      <w:r w:rsidRPr="008042D0">
        <w:rPr>
          <w:rFonts w:ascii="Calibri" w:eastAsia="Calibri" w:hAnsi="Calibri" w:cs="Times New Roman"/>
          <w:color w:val="auto"/>
          <w:sz w:val="22"/>
          <w:szCs w:val="22"/>
          <w:lang w:val="en" w:eastAsia="en-US"/>
        </w:rPr>
        <w:t xml:space="preserve"> </w:t>
      </w:r>
    </w:p>
    <w:p w14:paraId="085BC34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Eck, J.E. and Rossmo, K.D. (2019) ‘</w:t>
      </w:r>
      <w:proofErr w:type="gramStart"/>
      <w:r w:rsidRPr="008042D0">
        <w:rPr>
          <w:rFonts w:ascii="Calibri" w:eastAsia="Calibri" w:hAnsi="Calibri" w:cs="Times New Roman"/>
          <w:color w:val="auto"/>
          <w:sz w:val="22"/>
          <w:szCs w:val="22"/>
          <w:lang w:eastAsia="en-US"/>
        </w:rPr>
        <w:t>The</w:t>
      </w:r>
      <w:proofErr w:type="gramEnd"/>
      <w:r w:rsidRPr="008042D0">
        <w:rPr>
          <w:rFonts w:ascii="Calibri" w:eastAsia="Calibri" w:hAnsi="Calibri" w:cs="Times New Roman"/>
          <w:color w:val="auto"/>
          <w:sz w:val="22"/>
          <w:szCs w:val="22"/>
          <w:lang w:eastAsia="en-US"/>
        </w:rPr>
        <w:t xml:space="preserve"> new detective: Rethinking criminal investigation’, </w:t>
      </w:r>
      <w:r w:rsidRPr="008042D0">
        <w:rPr>
          <w:rFonts w:ascii="Calibri" w:eastAsia="Calibri" w:hAnsi="Calibri" w:cs="Times New Roman"/>
          <w:i/>
          <w:color w:val="auto"/>
          <w:sz w:val="22"/>
          <w:szCs w:val="22"/>
          <w:lang w:eastAsia="en-US"/>
        </w:rPr>
        <w:t xml:space="preserve">Criminology and Public Policy, </w:t>
      </w:r>
      <w:r w:rsidRPr="008042D0">
        <w:rPr>
          <w:rFonts w:ascii="Calibri" w:eastAsia="Calibri" w:hAnsi="Calibri" w:cs="Times New Roman"/>
          <w:color w:val="auto"/>
          <w:sz w:val="22"/>
          <w:szCs w:val="22"/>
          <w:lang w:eastAsia="en-US"/>
        </w:rPr>
        <w:t xml:space="preserve">18(3), pp. 601-623. Doi: </w:t>
      </w:r>
      <w:r w:rsidRPr="008042D0">
        <w:rPr>
          <w:rFonts w:ascii="Calibri" w:eastAsia="Calibri" w:hAnsi="Calibri" w:cs="Times New Roman"/>
          <w:color w:val="auto"/>
          <w:sz w:val="22"/>
          <w:szCs w:val="22"/>
          <w:lang w:val="en" w:eastAsia="en-US"/>
        </w:rPr>
        <w:t>10.1111/1745-9133.12450</w:t>
      </w:r>
    </w:p>
    <w:p w14:paraId="435E3FF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Edwards, F., Esposito, M. and Lee, H. (2018) ‘Risk of police – involved death by race/ethnicity and place, United States, 2012 -2018’, </w:t>
      </w:r>
      <w:r w:rsidRPr="008042D0">
        <w:rPr>
          <w:rFonts w:ascii="Calibri" w:eastAsia="Calibri" w:hAnsi="Calibri" w:cs="Times New Roman"/>
          <w:i/>
          <w:color w:val="auto"/>
          <w:sz w:val="22"/>
          <w:szCs w:val="22"/>
          <w:lang w:eastAsia="en-US"/>
        </w:rPr>
        <w:t xml:space="preserve">American Journal of Public Health, </w:t>
      </w:r>
      <w:r w:rsidRPr="008042D0">
        <w:rPr>
          <w:rFonts w:ascii="Calibri" w:eastAsia="Calibri" w:hAnsi="Calibri" w:cs="Times New Roman"/>
          <w:color w:val="auto"/>
          <w:sz w:val="22"/>
          <w:szCs w:val="22"/>
          <w:lang w:eastAsia="en-US"/>
        </w:rPr>
        <w:t xml:space="preserve">108(9), pp. 1241-1248. Doi: </w:t>
      </w:r>
      <w:r w:rsidRPr="008042D0">
        <w:rPr>
          <w:rFonts w:ascii="Calibri" w:eastAsia="Calibri" w:hAnsi="Calibri" w:cs="Times New Roman"/>
          <w:color w:val="auto"/>
          <w:sz w:val="22"/>
          <w:szCs w:val="22"/>
          <w:lang w:val="en" w:eastAsia="en-US"/>
        </w:rPr>
        <w:t xml:space="preserve">10.2105/AJPH.2018.304559 </w:t>
      </w:r>
    </w:p>
    <w:p w14:paraId="11C9F9F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Ellis, D. (2010) ‘Stop and search: disproportionality, discretion and generalisations’, </w:t>
      </w:r>
      <w:r w:rsidRPr="008042D0">
        <w:rPr>
          <w:rFonts w:ascii="Calibri" w:eastAsia="Calibri" w:hAnsi="Calibri" w:cs="Times New Roman"/>
          <w:i/>
          <w:color w:val="auto"/>
          <w:sz w:val="22"/>
          <w:szCs w:val="22"/>
          <w:lang w:eastAsia="en-US"/>
        </w:rPr>
        <w:t xml:space="preserve">The Police Journal: Theory, Practice and Principles, </w:t>
      </w:r>
      <w:r w:rsidRPr="008042D0">
        <w:rPr>
          <w:rFonts w:ascii="Calibri" w:eastAsia="Calibri" w:hAnsi="Calibri" w:cs="Times New Roman"/>
          <w:color w:val="auto"/>
          <w:sz w:val="22"/>
          <w:szCs w:val="22"/>
          <w:lang w:eastAsia="en-US"/>
        </w:rPr>
        <w:t xml:space="preserve">83(3), PP. 199-216. Doi: </w:t>
      </w:r>
      <w:r w:rsidRPr="008042D0">
        <w:rPr>
          <w:rFonts w:ascii="Calibri" w:eastAsia="Calibri" w:hAnsi="Calibri" w:cs="Times New Roman"/>
          <w:color w:val="auto"/>
          <w:sz w:val="22"/>
          <w:szCs w:val="22"/>
          <w:lang w:val="en" w:eastAsia="en-US"/>
        </w:rPr>
        <w:t>10.1350/pojo.2010.83.3.476</w:t>
      </w:r>
    </w:p>
    <w:p w14:paraId="0C8875B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Fitzgerald, M., Hough, M., Joseph, I. and Qureshi, T. (2013) </w:t>
      </w:r>
      <w:r w:rsidRPr="008042D0">
        <w:rPr>
          <w:rFonts w:ascii="Calibri" w:eastAsia="Calibri" w:hAnsi="Calibri" w:cs="Times New Roman"/>
          <w:i/>
          <w:color w:val="auto"/>
          <w:sz w:val="22"/>
          <w:szCs w:val="22"/>
          <w:lang w:eastAsia="en-US"/>
        </w:rPr>
        <w:t xml:space="preserve">Policing for London. </w:t>
      </w:r>
      <w:r w:rsidRPr="008042D0">
        <w:rPr>
          <w:rFonts w:ascii="Calibri" w:eastAsia="Calibri" w:hAnsi="Calibri" w:cs="Times New Roman"/>
          <w:color w:val="auto"/>
          <w:sz w:val="22"/>
          <w:szCs w:val="22"/>
          <w:lang w:eastAsia="en-US"/>
        </w:rPr>
        <w:t xml:space="preserve">Cullompton: Willan. </w:t>
      </w:r>
    </w:p>
    <w:p w14:paraId="6A19C62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Garber, M.C. (2017) ‘Exercise as a stress coping mechanism in a pharmacy student population’, </w:t>
      </w:r>
      <w:r w:rsidRPr="008042D0">
        <w:rPr>
          <w:rFonts w:ascii="Calibri" w:eastAsia="Calibri" w:hAnsi="Calibri" w:cs="Times New Roman"/>
          <w:i/>
          <w:color w:val="auto"/>
          <w:sz w:val="22"/>
          <w:szCs w:val="22"/>
          <w:lang w:val="en" w:eastAsia="en-US"/>
        </w:rPr>
        <w:t xml:space="preserve">American Journal of Pharmaceutical Education, </w:t>
      </w:r>
      <w:r w:rsidRPr="008042D0">
        <w:rPr>
          <w:rFonts w:ascii="Calibri" w:eastAsia="Calibri" w:hAnsi="Calibri" w:cs="Times New Roman"/>
          <w:color w:val="auto"/>
          <w:sz w:val="22"/>
          <w:szCs w:val="22"/>
          <w:lang w:val="en" w:eastAsia="en-US"/>
        </w:rPr>
        <w:t>81(3), PP. 1-6. DOI: 10.5688/ajpe81350</w:t>
      </w:r>
    </w:p>
    <w:p w14:paraId="79D38E9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lastRenderedPageBreak/>
        <w:t xml:space="preserve">Gov.uk (2020) </w:t>
      </w:r>
      <w:r w:rsidRPr="008042D0">
        <w:rPr>
          <w:rFonts w:ascii="Calibri" w:eastAsia="Calibri" w:hAnsi="Calibri" w:cs="Times New Roman"/>
          <w:i/>
          <w:color w:val="auto"/>
          <w:sz w:val="22"/>
          <w:szCs w:val="22"/>
          <w:lang w:val="en" w:eastAsia="en-US"/>
        </w:rPr>
        <w:t xml:space="preserve">Coronavirus (COVID-19): Social Distancing. </w:t>
      </w:r>
      <w:r w:rsidRPr="008042D0">
        <w:rPr>
          <w:rFonts w:ascii="Calibri" w:eastAsia="Calibri" w:hAnsi="Calibri" w:cs="Times New Roman"/>
          <w:color w:val="auto"/>
          <w:sz w:val="22"/>
          <w:szCs w:val="22"/>
          <w:lang w:val="en" w:eastAsia="en-US"/>
        </w:rPr>
        <w:t xml:space="preserve">Available at: </w:t>
      </w:r>
      <w:hyperlink r:id="rId34" w:history="1">
        <w:r w:rsidRPr="008042D0">
          <w:rPr>
            <w:rFonts w:ascii="Calibri" w:eastAsia="Calibri" w:hAnsi="Calibri" w:cs="Times New Roman"/>
            <w:color w:val="0000FF"/>
            <w:sz w:val="22"/>
            <w:szCs w:val="22"/>
            <w:u w:val="single"/>
            <w:lang w:val="en" w:eastAsia="en-US"/>
          </w:rPr>
          <w:t>https://www.gov.uk/government/publications/coronavirus-covid-19-meeting-with-others-safely-social-distancing/coronavirus-covid-19-meeting-with-others-safely-social-distancing?priority-taxon=774cee22-d896-44c1-a611-e3109cce8eae</w:t>
        </w:r>
      </w:hyperlink>
      <w:r w:rsidRPr="008042D0">
        <w:rPr>
          <w:rFonts w:ascii="Calibri" w:eastAsia="Calibri" w:hAnsi="Calibri" w:cs="Times New Roman"/>
          <w:color w:val="auto"/>
          <w:sz w:val="22"/>
          <w:szCs w:val="22"/>
          <w:lang w:val="en" w:eastAsia="en-US"/>
        </w:rPr>
        <w:t xml:space="preserve"> (Accessed: 4</w:t>
      </w:r>
      <w:r w:rsidRPr="008042D0">
        <w:rPr>
          <w:rFonts w:ascii="Calibri" w:eastAsia="Calibri" w:hAnsi="Calibri" w:cs="Times New Roman"/>
          <w:color w:val="auto"/>
          <w:sz w:val="22"/>
          <w:szCs w:val="22"/>
          <w:vertAlign w:val="superscript"/>
          <w:lang w:val="en" w:eastAsia="en-US"/>
        </w:rPr>
        <w:t>th</w:t>
      </w:r>
      <w:r w:rsidRPr="008042D0">
        <w:rPr>
          <w:rFonts w:ascii="Calibri" w:eastAsia="Calibri" w:hAnsi="Calibri" w:cs="Times New Roman"/>
          <w:color w:val="auto"/>
          <w:sz w:val="22"/>
          <w:szCs w:val="22"/>
          <w:lang w:val="en" w:eastAsia="en-US"/>
        </w:rPr>
        <w:t xml:space="preserve"> November 2020) </w:t>
      </w:r>
    </w:p>
    <w:p w14:paraId="44135C67"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Gwent Police (2017) </w:t>
      </w:r>
      <w:r w:rsidRPr="008042D0">
        <w:rPr>
          <w:rFonts w:ascii="Calibri" w:eastAsia="Calibri" w:hAnsi="Calibri" w:cs="Times New Roman"/>
          <w:i/>
          <w:color w:val="auto"/>
          <w:sz w:val="22"/>
          <w:szCs w:val="22"/>
          <w:lang w:eastAsia="en-US"/>
        </w:rPr>
        <w:t xml:space="preserve">Gwent Police Operational Delivery Plan 2017-2021. </w:t>
      </w:r>
      <w:r w:rsidRPr="008042D0">
        <w:rPr>
          <w:rFonts w:ascii="Calibri" w:eastAsia="Calibri" w:hAnsi="Calibri" w:cs="Times New Roman"/>
          <w:color w:val="auto"/>
          <w:sz w:val="22"/>
          <w:szCs w:val="22"/>
          <w:lang w:eastAsia="en-US"/>
        </w:rPr>
        <w:t xml:space="preserve">Available at: </w:t>
      </w:r>
      <w:hyperlink r:id="rId35" w:history="1">
        <w:r w:rsidRPr="008042D0">
          <w:rPr>
            <w:rFonts w:ascii="Calibri" w:eastAsia="Calibri" w:hAnsi="Calibri" w:cs="Times New Roman"/>
            <w:color w:val="0563C1"/>
            <w:sz w:val="22"/>
            <w:szCs w:val="22"/>
            <w:u w:val="single"/>
            <w:lang w:eastAsia="en-US"/>
          </w:rPr>
          <w:t>https://www.gwent.police.uk/fileadmin/Documents/About_Us/Your_Right_to_Information/Force_Performance/Force_Delivery_Plan_2017-18.pdf</w:t>
        </w:r>
      </w:hyperlink>
      <w:r w:rsidRPr="008042D0">
        <w:rPr>
          <w:rFonts w:ascii="Calibri" w:eastAsia="Calibri" w:hAnsi="Calibri" w:cs="Times New Roman"/>
          <w:color w:val="auto"/>
          <w:sz w:val="22"/>
          <w:szCs w:val="22"/>
          <w:lang w:eastAsia="en-US"/>
        </w:rPr>
        <w:t xml:space="preserve"> (Accessed: 18</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w:t>
      </w:r>
    </w:p>
    <w:p w14:paraId="35CCB1F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Jackson, J., and Bradford, B. (2009) ‘Crime, policing and social order: on the expressive nature of public confidence in policing’, </w:t>
      </w:r>
      <w:r w:rsidRPr="008042D0">
        <w:rPr>
          <w:rFonts w:ascii="Calibri" w:eastAsia="Calibri" w:hAnsi="Calibri" w:cs="Times New Roman"/>
          <w:i/>
          <w:color w:val="auto"/>
          <w:sz w:val="22"/>
          <w:szCs w:val="22"/>
          <w:lang w:eastAsia="en-US"/>
        </w:rPr>
        <w:t xml:space="preserve">The British Journal of Sociology, </w:t>
      </w:r>
      <w:r w:rsidRPr="008042D0">
        <w:rPr>
          <w:rFonts w:ascii="Calibri" w:eastAsia="Calibri" w:hAnsi="Calibri" w:cs="Times New Roman"/>
          <w:color w:val="auto"/>
          <w:sz w:val="22"/>
          <w:szCs w:val="22"/>
          <w:lang w:eastAsia="en-US"/>
        </w:rPr>
        <w:t xml:space="preserve">60(3), PP. 493-521. Doi: </w:t>
      </w:r>
      <w:r w:rsidRPr="008042D0">
        <w:rPr>
          <w:rFonts w:ascii="Calibri" w:eastAsia="Calibri" w:hAnsi="Calibri" w:cs="Times New Roman"/>
          <w:color w:val="auto"/>
          <w:sz w:val="22"/>
          <w:szCs w:val="22"/>
          <w:lang w:val="en" w:eastAsia="en-US"/>
        </w:rPr>
        <w:t xml:space="preserve">10.1111/j.1468-4446.2009.01253.x </w:t>
      </w:r>
    </w:p>
    <w:p w14:paraId="08D3FC5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Jeanguenat, A.M., and Dror, I.E. (2018) ‘Human factors effecting forensic </w:t>
      </w:r>
      <w:proofErr w:type="gramStart"/>
      <w:r w:rsidRPr="008042D0">
        <w:rPr>
          <w:rFonts w:ascii="Calibri" w:eastAsia="Calibri" w:hAnsi="Calibri" w:cs="Times New Roman"/>
          <w:color w:val="auto"/>
          <w:sz w:val="22"/>
          <w:szCs w:val="22"/>
          <w:lang w:val="en" w:eastAsia="en-US"/>
        </w:rPr>
        <w:t>decision making</w:t>
      </w:r>
      <w:proofErr w:type="gramEnd"/>
      <w:r w:rsidRPr="008042D0">
        <w:rPr>
          <w:rFonts w:ascii="Calibri" w:eastAsia="Calibri" w:hAnsi="Calibri" w:cs="Times New Roman"/>
          <w:color w:val="auto"/>
          <w:sz w:val="22"/>
          <w:szCs w:val="22"/>
          <w:lang w:val="en" w:eastAsia="en-US"/>
        </w:rPr>
        <w:t xml:space="preserve">: workplace stress and well – being’, </w:t>
      </w:r>
      <w:r w:rsidRPr="008042D0">
        <w:rPr>
          <w:rFonts w:ascii="Calibri" w:eastAsia="Calibri" w:hAnsi="Calibri" w:cs="Times New Roman"/>
          <w:i/>
          <w:color w:val="auto"/>
          <w:sz w:val="22"/>
          <w:szCs w:val="22"/>
          <w:lang w:val="en" w:eastAsia="en-US"/>
        </w:rPr>
        <w:t xml:space="preserve">Journal of Forensic Science, </w:t>
      </w:r>
      <w:r w:rsidRPr="008042D0">
        <w:rPr>
          <w:rFonts w:ascii="Calibri" w:eastAsia="Calibri" w:hAnsi="Calibri" w:cs="Times New Roman"/>
          <w:color w:val="auto"/>
          <w:sz w:val="22"/>
          <w:szCs w:val="22"/>
          <w:lang w:val="en" w:eastAsia="en-US"/>
        </w:rPr>
        <w:t xml:space="preserve">63(1), pp. 258 – 261. DOI: 10.1111/1556-4029.13533 </w:t>
      </w:r>
    </w:p>
    <w:p w14:paraId="4784648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Kabat – Zinn, J. (2015) ‘Mindfulness’, </w:t>
      </w:r>
      <w:r w:rsidRPr="008042D0">
        <w:rPr>
          <w:rFonts w:ascii="Calibri" w:eastAsia="Calibri" w:hAnsi="Calibri" w:cs="Times New Roman"/>
          <w:i/>
          <w:color w:val="auto"/>
          <w:sz w:val="22"/>
          <w:szCs w:val="22"/>
          <w:lang w:val="en" w:eastAsia="en-US"/>
        </w:rPr>
        <w:t xml:space="preserve">Orthogonal Rotation in Consciousness, </w:t>
      </w:r>
      <w:r w:rsidRPr="008042D0">
        <w:rPr>
          <w:rFonts w:ascii="Calibri" w:eastAsia="Calibri" w:hAnsi="Calibri" w:cs="Times New Roman"/>
          <w:color w:val="auto"/>
          <w:sz w:val="22"/>
          <w:szCs w:val="22"/>
          <w:lang w:val="en" w:eastAsia="en-US"/>
        </w:rPr>
        <w:t>6(1), pp. 1481 – 1483. DOI: 10.1007/s12671-015-0456-x</w:t>
      </w:r>
    </w:p>
    <w:p w14:paraId="3D108CF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Kadhiravan, S., and Kumar, K. (2012) ‘Enhancing stress coping skills among college students’, </w:t>
      </w:r>
      <w:r w:rsidRPr="008042D0">
        <w:rPr>
          <w:rFonts w:ascii="Calibri" w:eastAsia="Calibri" w:hAnsi="Calibri" w:cs="Times New Roman"/>
          <w:i/>
          <w:color w:val="auto"/>
          <w:sz w:val="22"/>
          <w:szCs w:val="22"/>
          <w:lang w:val="en" w:eastAsia="en-US"/>
        </w:rPr>
        <w:t xml:space="preserve">Researchers World: Malegaon, </w:t>
      </w:r>
      <w:r w:rsidRPr="008042D0">
        <w:rPr>
          <w:rFonts w:ascii="Calibri" w:eastAsia="Calibri" w:hAnsi="Calibri" w:cs="Times New Roman"/>
          <w:color w:val="auto"/>
          <w:sz w:val="22"/>
          <w:szCs w:val="22"/>
          <w:lang w:val="en" w:eastAsia="en-US"/>
        </w:rPr>
        <w:t xml:space="preserve">3(4), pp. 49-55. DOI: </w:t>
      </w:r>
      <w:hyperlink r:id="rId36" w:history="1">
        <w:r w:rsidRPr="008042D0">
          <w:rPr>
            <w:rFonts w:ascii="Calibri" w:eastAsia="Calibri" w:hAnsi="Calibri" w:cs="Times New Roman"/>
            <w:color w:val="0563C1"/>
            <w:sz w:val="22"/>
            <w:szCs w:val="22"/>
            <w:u w:val="single"/>
            <w:lang w:val="en" w:eastAsia="en-US"/>
          </w:rPr>
          <w:t>https://search-proquest-com.ezproxy.uwtsd.ac.uk/docview/1285124811?accountid=130472</w:t>
        </w:r>
      </w:hyperlink>
      <w:r w:rsidRPr="008042D0">
        <w:rPr>
          <w:rFonts w:ascii="Calibri" w:eastAsia="Calibri" w:hAnsi="Calibri" w:cs="Times New Roman"/>
          <w:color w:val="auto"/>
          <w:sz w:val="22"/>
          <w:szCs w:val="22"/>
          <w:lang w:val="en" w:eastAsia="en-US"/>
        </w:rPr>
        <w:t xml:space="preserve"> </w:t>
      </w:r>
    </w:p>
    <w:p w14:paraId="3EFCD35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Keane, J. and Bell, P. (2013) ‘Confidence in the police: balancing public image with community safety- A comparative review of the literature’ </w:t>
      </w:r>
      <w:r w:rsidRPr="008042D0">
        <w:rPr>
          <w:rFonts w:ascii="Calibri" w:eastAsia="Calibri" w:hAnsi="Calibri" w:cs="Times New Roman"/>
          <w:i/>
          <w:color w:val="auto"/>
          <w:sz w:val="22"/>
          <w:szCs w:val="22"/>
          <w:lang w:val="en" w:eastAsia="en-US"/>
        </w:rPr>
        <w:t xml:space="preserve">International Journal of Law, Crime and Justice, </w:t>
      </w:r>
      <w:r w:rsidRPr="008042D0">
        <w:rPr>
          <w:rFonts w:ascii="Calibri" w:eastAsia="Calibri" w:hAnsi="Calibri" w:cs="Times New Roman"/>
          <w:color w:val="auto"/>
          <w:sz w:val="22"/>
          <w:szCs w:val="22"/>
          <w:lang w:val="en" w:eastAsia="en-US"/>
        </w:rPr>
        <w:t xml:space="preserve">41(3), pp. 233-246. Doi: </w:t>
      </w:r>
      <w:hyperlink r:id="rId37" w:tgtFrame="_blank" w:tooltip="Persistent link using digital object identifier" w:history="1">
        <w:r w:rsidRPr="008042D0">
          <w:rPr>
            <w:rFonts w:ascii="Calibri" w:eastAsia="Calibri" w:hAnsi="Calibri" w:cs="Times New Roman"/>
            <w:color w:val="0000FF"/>
            <w:sz w:val="22"/>
            <w:szCs w:val="22"/>
            <w:u w:val="single"/>
            <w:lang w:val="en" w:eastAsia="en-US"/>
          </w:rPr>
          <w:t>https://doi.org/10.1016/j.ijlcj.2013.06.003</w:t>
        </w:r>
      </w:hyperlink>
      <w:r w:rsidRPr="008042D0">
        <w:rPr>
          <w:rFonts w:ascii="Calibri" w:eastAsia="Calibri" w:hAnsi="Calibri" w:cs="Times New Roman"/>
          <w:color w:val="auto"/>
          <w:sz w:val="22"/>
          <w:szCs w:val="22"/>
          <w:lang w:val="en" w:eastAsia="en-US"/>
        </w:rPr>
        <w:t xml:space="preserve"> </w:t>
      </w:r>
    </w:p>
    <w:p w14:paraId="0444BB3A"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Kogler, L., Muller, V.I., Chang, A., Eickhoff, S.B., Fox, P.T., Gur, R.C., and Derntl, B. (2015) ‘Psychosocial versus physiological stress – meta analyses on deactivations and activations of the neural correlates of stress reactions’, </w:t>
      </w:r>
      <w:r w:rsidRPr="008042D0">
        <w:rPr>
          <w:rFonts w:ascii="Calibri" w:eastAsia="Calibri" w:hAnsi="Calibri" w:cs="Times New Roman"/>
          <w:i/>
          <w:color w:val="auto"/>
          <w:sz w:val="22"/>
          <w:szCs w:val="22"/>
          <w:lang w:eastAsia="en-US"/>
        </w:rPr>
        <w:t xml:space="preserve">NeuroImage, </w:t>
      </w:r>
      <w:r w:rsidRPr="008042D0">
        <w:rPr>
          <w:rFonts w:ascii="Calibri" w:eastAsia="Calibri" w:hAnsi="Calibri" w:cs="Times New Roman"/>
          <w:color w:val="auto"/>
          <w:sz w:val="22"/>
          <w:szCs w:val="22"/>
          <w:lang w:eastAsia="en-US"/>
        </w:rPr>
        <w:t xml:space="preserve">119(1), pp. 235 – 251. DOI: </w:t>
      </w:r>
      <w:r w:rsidRPr="008042D0">
        <w:rPr>
          <w:rFonts w:ascii="Calibri" w:eastAsia="Calibri" w:hAnsi="Calibri" w:cs="Times New Roman"/>
          <w:color w:val="auto"/>
          <w:sz w:val="22"/>
          <w:szCs w:val="22"/>
          <w:lang w:val="en" w:eastAsia="en-US"/>
        </w:rPr>
        <w:t xml:space="preserve">10.1016/j.neuroimage.2015.06.059 </w:t>
      </w:r>
    </w:p>
    <w:p w14:paraId="5BCF54E5"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Kulashekara, B. and Kumar, G.V. (2014) ‘Impact of Transactional Analysis on parent-adolescent conflict and depression among adolescent students’, </w:t>
      </w:r>
      <w:r w:rsidRPr="008042D0">
        <w:rPr>
          <w:rFonts w:ascii="Calibri" w:eastAsia="Calibri" w:hAnsi="Calibri" w:cs="Times New Roman"/>
          <w:i/>
          <w:color w:val="auto"/>
          <w:sz w:val="22"/>
          <w:szCs w:val="22"/>
          <w:lang w:eastAsia="en-US"/>
        </w:rPr>
        <w:t xml:space="preserve">Journal of Psychosocial Research, </w:t>
      </w:r>
      <w:r w:rsidRPr="008042D0">
        <w:rPr>
          <w:rFonts w:ascii="Calibri" w:eastAsia="Calibri" w:hAnsi="Calibri" w:cs="Times New Roman"/>
          <w:color w:val="auto"/>
          <w:sz w:val="22"/>
          <w:szCs w:val="22"/>
          <w:lang w:eastAsia="en-US"/>
        </w:rPr>
        <w:t xml:space="preserve">9(2), pp. 247. </w:t>
      </w:r>
    </w:p>
    <w:p w14:paraId="3BF8B134"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Legislation.gov.uk (2020a) </w:t>
      </w:r>
      <w:r w:rsidRPr="008042D0">
        <w:rPr>
          <w:rFonts w:ascii="Calibri" w:eastAsia="Calibri" w:hAnsi="Calibri" w:cs="Times New Roman"/>
          <w:i/>
          <w:color w:val="auto"/>
          <w:sz w:val="22"/>
          <w:szCs w:val="22"/>
          <w:lang w:val="en" w:eastAsia="en-US"/>
        </w:rPr>
        <w:t xml:space="preserve">Criminal Justice Act 1988. </w:t>
      </w:r>
      <w:r w:rsidRPr="008042D0">
        <w:rPr>
          <w:rFonts w:ascii="Calibri" w:eastAsia="Calibri" w:hAnsi="Calibri" w:cs="Times New Roman"/>
          <w:color w:val="auto"/>
          <w:sz w:val="22"/>
          <w:szCs w:val="22"/>
          <w:lang w:val="en" w:eastAsia="en-US"/>
        </w:rPr>
        <w:t xml:space="preserve">Available at: </w:t>
      </w:r>
      <w:hyperlink r:id="rId38" w:history="1">
        <w:r w:rsidRPr="008042D0">
          <w:rPr>
            <w:rFonts w:ascii="Calibri" w:eastAsia="Calibri" w:hAnsi="Calibri" w:cs="Times New Roman"/>
            <w:color w:val="0000FF"/>
            <w:sz w:val="22"/>
            <w:szCs w:val="22"/>
            <w:u w:val="single"/>
            <w:lang w:val="en" w:eastAsia="en-US"/>
          </w:rPr>
          <w:t>https://www.legislation.gov.uk/ukpga/1988/33/section/39</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4</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November 2020) </w:t>
      </w:r>
    </w:p>
    <w:p w14:paraId="4EB2F3D4"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Legislation.gov.uk (2020b) </w:t>
      </w:r>
      <w:r w:rsidRPr="008042D0">
        <w:rPr>
          <w:rFonts w:ascii="Calibri" w:eastAsia="Calibri" w:hAnsi="Calibri" w:cs="Times New Roman"/>
          <w:i/>
          <w:color w:val="auto"/>
          <w:sz w:val="22"/>
          <w:szCs w:val="22"/>
          <w:lang w:eastAsia="en-US"/>
        </w:rPr>
        <w:t xml:space="preserve">Youth Justice and Criminal Evidence Act 1999. </w:t>
      </w:r>
      <w:r w:rsidRPr="008042D0">
        <w:rPr>
          <w:rFonts w:ascii="Calibri" w:eastAsia="Calibri" w:hAnsi="Calibri" w:cs="Times New Roman"/>
          <w:color w:val="auto"/>
          <w:sz w:val="22"/>
          <w:szCs w:val="22"/>
          <w:lang w:eastAsia="en-US"/>
        </w:rPr>
        <w:t xml:space="preserve">Available at: </w:t>
      </w:r>
      <w:hyperlink r:id="rId39" w:history="1">
        <w:r w:rsidRPr="008042D0">
          <w:rPr>
            <w:rFonts w:ascii="Calibri" w:eastAsia="Calibri" w:hAnsi="Calibri" w:cs="Times New Roman"/>
            <w:color w:val="0000FF"/>
            <w:sz w:val="22"/>
            <w:szCs w:val="22"/>
            <w:u w:val="single"/>
            <w:lang w:eastAsia="en-US"/>
          </w:rPr>
          <w:t>https://www.legislation.gov.uk/ukpga/1999/23/contents</w:t>
        </w:r>
      </w:hyperlink>
      <w:r w:rsidRPr="008042D0">
        <w:rPr>
          <w:rFonts w:ascii="Calibri" w:eastAsia="Calibri" w:hAnsi="Calibri" w:cs="Times New Roman"/>
          <w:color w:val="auto"/>
          <w:sz w:val="22"/>
          <w:szCs w:val="22"/>
          <w:lang w:eastAsia="en-US"/>
        </w:rPr>
        <w:t xml:space="preserve"> (Accessed: 4</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 </w:t>
      </w:r>
    </w:p>
    <w:p w14:paraId="4240E0FC"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Legislation.gov.uk (2020c) </w:t>
      </w:r>
      <w:r w:rsidRPr="008042D0">
        <w:rPr>
          <w:rFonts w:ascii="Calibri" w:eastAsia="Calibri" w:hAnsi="Calibri" w:cs="Times New Roman"/>
          <w:i/>
          <w:color w:val="auto"/>
          <w:sz w:val="22"/>
          <w:szCs w:val="22"/>
          <w:lang w:eastAsia="en-US"/>
        </w:rPr>
        <w:t xml:space="preserve">Theft Act 1968. </w:t>
      </w:r>
      <w:r w:rsidRPr="008042D0">
        <w:rPr>
          <w:rFonts w:ascii="Calibri" w:eastAsia="Calibri" w:hAnsi="Calibri" w:cs="Times New Roman"/>
          <w:color w:val="auto"/>
          <w:sz w:val="22"/>
          <w:szCs w:val="22"/>
          <w:lang w:eastAsia="en-US"/>
        </w:rPr>
        <w:t xml:space="preserve">Available at: </w:t>
      </w:r>
      <w:hyperlink r:id="rId40" w:history="1">
        <w:r w:rsidRPr="008042D0">
          <w:rPr>
            <w:rFonts w:ascii="Calibri" w:eastAsia="Calibri" w:hAnsi="Calibri" w:cs="Times New Roman"/>
            <w:color w:val="0000FF"/>
            <w:sz w:val="22"/>
            <w:szCs w:val="22"/>
            <w:u w:val="single"/>
            <w:lang w:eastAsia="en-US"/>
          </w:rPr>
          <w:t>https://www.legislation.gov.uk/ukpga/1968/60/section/9</w:t>
        </w:r>
      </w:hyperlink>
      <w:r w:rsidRPr="008042D0">
        <w:rPr>
          <w:rFonts w:ascii="Calibri" w:eastAsia="Calibri" w:hAnsi="Calibri" w:cs="Times New Roman"/>
          <w:color w:val="auto"/>
          <w:sz w:val="22"/>
          <w:szCs w:val="22"/>
          <w:lang w:eastAsia="en-US"/>
        </w:rPr>
        <w:t xml:space="preserve"> (Accessed: 5</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 </w:t>
      </w:r>
    </w:p>
    <w:p w14:paraId="4E03FCA3"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Lentz, S.A. and Chaires, R.H. (2007) ‘</w:t>
      </w:r>
      <w:proofErr w:type="gramStart"/>
      <w:r w:rsidRPr="008042D0">
        <w:rPr>
          <w:rFonts w:ascii="Calibri" w:eastAsia="Calibri" w:hAnsi="Calibri" w:cs="Times New Roman"/>
          <w:color w:val="auto"/>
          <w:sz w:val="22"/>
          <w:szCs w:val="22"/>
          <w:lang w:val="en" w:eastAsia="en-US"/>
        </w:rPr>
        <w:t>The</w:t>
      </w:r>
      <w:proofErr w:type="gramEnd"/>
      <w:r w:rsidRPr="008042D0">
        <w:rPr>
          <w:rFonts w:ascii="Calibri" w:eastAsia="Calibri" w:hAnsi="Calibri" w:cs="Times New Roman"/>
          <w:color w:val="auto"/>
          <w:sz w:val="22"/>
          <w:szCs w:val="22"/>
          <w:lang w:val="en" w:eastAsia="en-US"/>
        </w:rPr>
        <w:t xml:space="preserve"> invention of Peel’s principles: a study of policing “textbook” history’, </w:t>
      </w:r>
      <w:r w:rsidRPr="008042D0">
        <w:rPr>
          <w:rFonts w:ascii="Calibri" w:eastAsia="Calibri" w:hAnsi="Calibri" w:cs="Times New Roman"/>
          <w:i/>
          <w:color w:val="auto"/>
          <w:sz w:val="22"/>
          <w:szCs w:val="22"/>
          <w:lang w:val="en" w:eastAsia="en-US"/>
        </w:rPr>
        <w:t xml:space="preserve">Journal of Criminal Justice, </w:t>
      </w:r>
      <w:r w:rsidRPr="008042D0">
        <w:rPr>
          <w:rFonts w:ascii="Calibri" w:eastAsia="Calibri" w:hAnsi="Calibri" w:cs="Times New Roman"/>
          <w:color w:val="auto"/>
          <w:sz w:val="22"/>
          <w:szCs w:val="22"/>
          <w:lang w:val="en" w:eastAsia="en-US"/>
        </w:rPr>
        <w:t>35(1), pp.69-79. Doi: 10.1016/j.jcrimjus.2006.11.016</w:t>
      </w:r>
    </w:p>
    <w:p w14:paraId="09FFD1E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Loader, I. (2016) ‘In search of civic policing: recasting the “Peelian” principles’, </w:t>
      </w:r>
      <w:r w:rsidRPr="008042D0">
        <w:rPr>
          <w:rFonts w:ascii="Calibri" w:eastAsia="Calibri" w:hAnsi="Calibri" w:cs="Times New Roman"/>
          <w:i/>
          <w:color w:val="auto"/>
          <w:sz w:val="22"/>
          <w:szCs w:val="22"/>
          <w:lang w:val="en" w:eastAsia="en-US"/>
        </w:rPr>
        <w:t xml:space="preserve">Criminal Law and Philosophy, </w:t>
      </w:r>
      <w:r w:rsidRPr="008042D0">
        <w:rPr>
          <w:rFonts w:ascii="Calibri" w:eastAsia="Calibri" w:hAnsi="Calibri" w:cs="Times New Roman"/>
          <w:color w:val="auto"/>
          <w:sz w:val="22"/>
          <w:szCs w:val="22"/>
          <w:lang w:val="en" w:eastAsia="en-US"/>
        </w:rPr>
        <w:t>10(3), pp. 427-440. Doi: 10.1007/s11572-014-9318-1</w:t>
      </w:r>
    </w:p>
    <w:p w14:paraId="362573B3"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Magee, J. and Nurse, S. (2014) ‘Supporting the bereaved father in the NICU: A reflective case study’, </w:t>
      </w:r>
      <w:r w:rsidRPr="008042D0">
        <w:rPr>
          <w:rFonts w:ascii="Calibri" w:eastAsia="Calibri" w:hAnsi="Calibri" w:cs="Times New Roman"/>
          <w:i/>
          <w:color w:val="auto"/>
          <w:sz w:val="22"/>
          <w:szCs w:val="22"/>
          <w:lang w:eastAsia="en-US"/>
        </w:rPr>
        <w:t xml:space="preserve">Journal of Neonatal Nursing, </w:t>
      </w:r>
      <w:r w:rsidRPr="008042D0">
        <w:rPr>
          <w:rFonts w:ascii="Calibri" w:eastAsia="Calibri" w:hAnsi="Calibri" w:cs="Times New Roman"/>
          <w:color w:val="auto"/>
          <w:sz w:val="22"/>
          <w:szCs w:val="22"/>
          <w:lang w:eastAsia="en-US"/>
        </w:rPr>
        <w:t xml:space="preserve">20(1), pp. 20-23. Doi: </w:t>
      </w:r>
      <w:hyperlink r:id="rId41" w:tgtFrame="_blank" w:tooltip="Persistent link using digital object identifier" w:history="1">
        <w:r w:rsidRPr="008042D0">
          <w:rPr>
            <w:rFonts w:ascii="Calibri" w:eastAsia="Calibri" w:hAnsi="Calibri" w:cs="Times New Roman"/>
            <w:color w:val="0000FF"/>
            <w:sz w:val="22"/>
            <w:szCs w:val="22"/>
            <w:u w:val="single"/>
            <w:lang w:val="en" w:eastAsia="en-US"/>
          </w:rPr>
          <w:t>https://doi.org/10.1016/j.jnn.2013.03.002</w:t>
        </w:r>
      </w:hyperlink>
    </w:p>
    <w:p w14:paraId="55D4648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Maloney, S., Tai, J.H-M., Lo, K., Molloy, E., Ilic, D. (2013) ‘Honesty in critically reflective essays: an analysis of student practice’, </w:t>
      </w:r>
      <w:r w:rsidRPr="008042D0">
        <w:rPr>
          <w:rFonts w:ascii="Calibri" w:eastAsia="Calibri" w:hAnsi="Calibri" w:cs="Times New Roman"/>
          <w:i/>
          <w:color w:val="auto"/>
          <w:sz w:val="22"/>
          <w:szCs w:val="22"/>
          <w:lang w:val="en" w:eastAsia="en-US"/>
        </w:rPr>
        <w:t xml:space="preserve">Advances in Health Science Education, </w:t>
      </w:r>
      <w:r w:rsidRPr="008042D0">
        <w:rPr>
          <w:rFonts w:ascii="Calibri" w:eastAsia="Calibri" w:hAnsi="Calibri" w:cs="Times New Roman"/>
          <w:color w:val="auto"/>
          <w:sz w:val="22"/>
          <w:szCs w:val="22"/>
          <w:lang w:val="en" w:eastAsia="en-US"/>
        </w:rPr>
        <w:t xml:space="preserve">18(4), pp. 617-626. DOI: 10.1007/s10459-012-9399-3 </w:t>
      </w:r>
    </w:p>
    <w:p w14:paraId="502097D5"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lastRenderedPageBreak/>
        <w:t xml:space="preserve">Matsumoto, D. and Hwang, H.C. (2018) ‘Clusters of Nonverbal Behaviors differ according to type of question and veracity in investigative interviews in a mock crime context’, </w:t>
      </w:r>
      <w:r w:rsidRPr="008042D0">
        <w:rPr>
          <w:rFonts w:ascii="Calibri" w:eastAsia="Calibri" w:hAnsi="Calibri" w:cs="Times New Roman"/>
          <w:i/>
          <w:color w:val="auto"/>
          <w:sz w:val="22"/>
          <w:szCs w:val="22"/>
          <w:lang w:eastAsia="en-US"/>
        </w:rPr>
        <w:t xml:space="preserve">Journal of Police and Criminal Psychology, </w:t>
      </w:r>
      <w:r w:rsidRPr="008042D0">
        <w:rPr>
          <w:rFonts w:ascii="Calibri" w:eastAsia="Calibri" w:hAnsi="Calibri" w:cs="Times New Roman"/>
          <w:color w:val="auto"/>
          <w:sz w:val="22"/>
          <w:szCs w:val="22"/>
          <w:lang w:eastAsia="en-US"/>
        </w:rPr>
        <w:t xml:space="preserve">33(4), pp. 302-315. Doi: </w:t>
      </w:r>
      <w:r w:rsidRPr="008042D0">
        <w:rPr>
          <w:rFonts w:ascii="Calibri" w:eastAsia="Calibri" w:hAnsi="Calibri" w:cs="Times New Roman"/>
          <w:color w:val="auto"/>
          <w:sz w:val="22"/>
          <w:szCs w:val="22"/>
          <w:lang w:val="en" w:eastAsia="en-US"/>
        </w:rPr>
        <w:t xml:space="preserve">10.1007/s11896-017-9250-0 </w:t>
      </w:r>
    </w:p>
    <w:p w14:paraId="0D6DA099"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Mawby, R. and Wright, A. (2005) </w:t>
      </w:r>
      <w:r w:rsidRPr="008042D0">
        <w:rPr>
          <w:rFonts w:ascii="Calibri" w:eastAsia="Calibri" w:hAnsi="Calibri" w:cs="Times New Roman"/>
          <w:i/>
          <w:color w:val="auto"/>
          <w:sz w:val="22"/>
          <w:szCs w:val="22"/>
          <w:lang w:val="en" w:eastAsia="en-US"/>
        </w:rPr>
        <w:t xml:space="preserve">Police Accountability in the United Kingdom. </w:t>
      </w:r>
      <w:r w:rsidRPr="008042D0">
        <w:rPr>
          <w:rFonts w:ascii="Calibri" w:eastAsia="Calibri" w:hAnsi="Calibri" w:cs="Times New Roman"/>
          <w:color w:val="auto"/>
          <w:sz w:val="22"/>
          <w:szCs w:val="22"/>
          <w:lang w:val="en" w:eastAsia="en-US"/>
        </w:rPr>
        <w:t xml:space="preserve">Available at: </w:t>
      </w:r>
      <w:hyperlink r:id="rId42" w:history="1">
        <w:r w:rsidRPr="008042D0">
          <w:rPr>
            <w:rFonts w:ascii="Calibri" w:eastAsia="Calibri" w:hAnsi="Calibri" w:cs="Times New Roman"/>
            <w:color w:val="0563C1"/>
            <w:sz w:val="22"/>
            <w:szCs w:val="22"/>
            <w:u w:val="single"/>
            <w:lang w:val="en" w:eastAsia="en-US"/>
          </w:rPr>
          <w:t>www.humanrightsinitiative.org/programs/aj/police/res_mat/police_accountability_in_uk.pdf</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18</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November 2020)</w:t>
      </w:r>
    </w:p>
    <w:p w14:paraId="41B6B55F"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McEwen, B.S. (2007) ‘Physiology and neurobiology of stress and adaptation: central role of the brain’, </w:t>
      </w:r>
      <w:r w:rsidRPr="008042D0">
        <w:rPr>
          <w:rFonts w:ascii="Calibri" w:eastAsia="Calibri" w:hAnsi="Calibri" w:cs="Times New Roman"/>
          <w:i/>
          <w:color w:val="auto"/>
          <w:sz w:val="22"/>
          <w:szCs w:val="22"/>
          <w:lang w:val="en" w:eastAsia="en-US"/>
        </w:rPr>
        <w:t xml:space="preserve">Physiological Reviews, </w:t>
      </w:r>
      <w:r w:rsidRPr="008042D0">
        <w:rPr>
          <w:rFonts w:ascii="Calibri" w:eastAsia="Calibri" w:hAnsi="Calibri" w:cs="Times New Roman"/>
          <w:color w:val="auto"/>
          <w:sz w:val="22"/>
          <w:szCs w:val="22"/>
          <w:lang w:val="en" w:eastAsia="en-US"/>
        </w:rPr>
        <w:t xml:space="preserve">87(3), pp. 873-904. DOI: 10.1152/physrev.00041.2006 </w:t>
      </w:r>
    </w:p>
    <w:p w14:paraId="1958C24C"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Ministry of Justice (2011) </w:t>
      </w:r>
      <w:r w:rsidRPr="008042D0">
        <w:rPr>
          <w:rFonts w:ascii="Calibri" w:eastAsia="Calibri" w:hAnsi="Calibri" w:cs="Times New Roman"/>
          <w:i/>
          <w:color w:val="auto"/>
          <w:sz w:val="22"/>
          <w:szCs w:val="22"/>
          <w:lang w:eastAsia="en-US"/>
        </w:rPr>
        <w:t xml:space="preserve">Achieving Best Evidence in Criminal Proceedings. </w:t>
      </w:r>
      <w:r w:rsidRPr="008042D0">
        <w:rPr>
          <w:rFonts w:ascii="Calibri" w:eastAsia="Calibri" w:hAnsi="Calibri" w:cs="Times New Roman"/>
          <w:color w:val="auto"/>
          <w:sz w:val="22"/>
          <w:szCs w:val="22"/>
          <w:lang w:eastAsia="en-US"/>
        </w:rPr>
        <w:t xml:space="preserve">Available at: </w:t>
      </w:r>
      <w:hyperlink r:id="rId43" w:history="1">
        <w:r w:rsidRPr="008042D0">
          <w:rPr>
            <w:rFonts w:ascii="Calibri" w:eastAsia="Calibri" w:hAnsi="Calibri" w:cs="Times New Roman"/>
            <w:color w:val="0000FF"/>
            <w:sz w:val="22"/>
            <w:szCs w:val="22"/>
            <w:u w:val="single"/>
            <w:lang w:eastAsia="en-US"/>
          </w:rPr>
          <w:t>https://www.cps.gov.uk/sites/default/files/documents/legal_guidance/best_evidence_in_criminal_proceedings.pdf</w:t>
        </w:r>
      </w:hyperlink>
      <w:r w:rsidRPr="008042D0">
        <w:rPr>
          <w:rFonts w:ascii="Calibri" w:eastAsia="Calibri" w:hAnsi="Calibri" w:cs="Times New Roman"/>
          <w:color w:val="auto"/>
          <w:sz w:val="22"/>
          <w:szCs w:val="22"/>
          <w:lang w:eastAsia="en-US"/>
        </w:rPr>
        <w:t xml:space="preserve"> (Accessed: 27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October 2020)</w:t>
      </w:r>
    </w:p>
    <w:p w14:paraId="7D22ADB4"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Morrell, K., Bradford, B. and Javid, B. (2019) ‘What does it mean when we ask the public if they are “confident” in policing? The trust, fairness, presence model of “public confidence”, </w:t>
      </w:r>
      <w:r w:rsidRPr="008042D0">
        <w:rPr>
          <w:rFonts w:ascii="Calibri" w:eastAsia="Calibri" w:hAnsi="Calibri" w:cs="Times New Roman"/>
          <w:i/>
          <w:color w:val="auto"/>
          <w:sz w:val="22"/>
          <w:szCs w:val="22"/>
          <w:lang w:val="en" w:eastAsia="en-US"/>
        </w:rPr>
        <w:t xml:space="preserve">International of Police Science and Management, </w:t>
      </w:r>
      <w:r w:rsidRPr="008042D0">
        <w:rPr>
          <w:rFonts w:ascii="Calibri" w:eastAsia="Calibri" w:hAnsi="Calibri" w:cs="Times New Roman"/>
          <w:color w:val="auto"/>
          <w:sz w:val="22"/>
          <w:szCs w:val="22"/>
          <w:lang w:val="en" w:eastAsia="en-US"/>
        </w:rPr>
        <w:t xml:space="preserve">22(2), pp. 111-123. Doi: </w:t>
      </w:r>
      <w:hyperlink r:id="rId44" w:history="1">
        <w:r w:rsidRPr="008042D0">
          <w:rPr>
            <w:rFonts w:ascii="Calibri" w:eastAsia="Calibri" w:hAnsi="Calibri" w:cs="Times New Roman"/>
            <w:color w:val="0000FF"/>
            <w:sz w:val="22"/>
            <w:szCs w:val="22"/>
            <w:u w:val="single"/>
            <w:lang w:val="en" w:eastAsia="en-US"/>
          </w:rPr>
          <w:t>https://doi-org.ezproxy.uwtsd.ac.uk/10.1177/1461355719891197</w:t>
        </w:r>
      </w:hyperlink>
      <w:r w:rsidRPr="008042D0">
        <w:rPr>
          <w:rFonts w:ascii="Calibri" w:eastAsia="Calibri" w:hAnsi="Calibri" w:cs="Times New Roman"/>
          <w:color w:val="auto"/>
          <w:sz w:val="22"/>
          <w:szCs w:val="22"/>
          <w:lang w:val="en" w:eastAsia="en-US"/>
        </w:rPr>
        <w:t xml:space="preserve"> </w:t>
      </w:r>
    </w:p>
    <w:p w14:paraId="366ED943"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National Health Service (2018) </w:t>
      </w:r>
      <w:r w:rsidRPr="008042D0">
        <w:rPr>
          <w:rFonts w:ascii="Calibri" w:eastAsia="Calibri" w:hAnsi="Calibri" w:cs="Times New Roman"/>
          <w:i/>
          <w:color w:val="auto"/>
          <w:sz w:val="22"/>
          <w:szCs w:val="22"/>
          <w:lang w:val="en" w:eastAsia="en-US"/>
        </w:rPr>
        <w:t xml:space="preserve">Mindfulness. </w:t>
      </w:r>
      <w:r w:rsidRPr="008042D0">
        <w:rPr>
          <w:rFonts w:ascii="Calibri" w:eastAsia="Calibri" w:hAnsi="Calibri" w:cs="Times New Roman"/>
          <w:color w:val="auto"/>
          <w:sz w:val="22"/>
          <w:szCs w:val="22"/>
          <w:lang w:val="en" w:eastAsia="en-US"/>
        </w:rPr>
        <w:t xml:space="preserve">Available at: </w:t>
      </w:r>
      <w:hyperlink r:id="rId45" w:history="1">
        <w:r w:rsidRPr="008042D0">
          <w:rPr>
            <w:rFonts w:ascii="Calibri" w:eastAsia="Calibri" w:hAnsi="Calibri" w:cs="Times New Roman"/>
            <w:color w:val="0563C1"/>
            <w:sz w:val="22"/>
            <w:szCs w:val="22"/>
            <w:u w:val="single"/>
            <w:lang w:val="en" w:eastAsia="en-US"/>
          </w:rPr>
          <w:t>https://www.nhs.uk/conditions/stress-anxiety-depression/mindfulness/</w:t>
        </w:r>
      </w:hyperlink>
      <w:r w:rsidRPr="008042D0">
        <w:rPr>
          <w:rFonts w:ascii="Calibri" w:eastAsia="Calibri" w:hAnsi="Calibri" w:cs="Times New Roman"/>
          <w:color w:val="auto"/>
          <w:sz w:val="22"/>
          <w:szCs w:val="22"/>
          <w:lang w:val="en" w:eastAsia="en-US"/>
        </w:rPr>
        <w:t xml:space="preserve"> (Accessed: </w:t>
      </w:r>
      <w:proofErr w:type="gramStart"/>
      <w:r w:rsidRPr="008042D0">
        <w:rPr>
          <w:rFonts w:ascii="Calibri" w:eastAsia="Calibri" w:hAnsi="Calibri" w:cs="Times New Roman"/>
          <w:color w:val="auto"/>
          <w:sz w:val="22"/>
          <w:szCs w:val="22"/>
          <w:lang w:val="en" w:eastAsia="en-US"/>
        </w:rPr>
        <w:t>19</w:t>
      </w:r>
      <w:r w:rsidRPr="008042D0">
        <w:rPr>
          <w:rFonts w:ascii="Calibri" w:eastAsia="Calibri" w:hAnsi="Calibri" w:cs="Times New Roman"/>
          <w:color w:val="auto"/>
          <w:sz w:val="22"/>
          <w:szCs w:val="22"/>
          <w:vertAlign w:val="superscript"/>
          <w:lang w:val="en" w:eastAsia="en-US"/>
        </w:rPr>
        <w:t>th</w:t>
      </w:r>
      <w:proofErr w:type="gramEnd"/>
      <w:r w:rsidRPr="008042D0">
        <w:rPr>
          <w:rFonts w:ascii="Calibri" w:eastAsia="Calibri" w:hAnsi="Calibri" w:cs="Times New Roman"/>
          <w:color w:val="auto"/>
          <w:sz w:val="22"/>
          <w:szCs w:val="22"/>
          <w:lang w:val="en" w:eastAsia="en-US"/>
        </w:rPr>
        <w:t xml:space="preserve"> September 2020).</w:t>
      </w:r>
    </w:p>
    <w:p w14:paraId="5591B761"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Office for National Statistics (2016) </w:t>
      </w:r>
      <w:r w:rsidRPr="008042D0">
        <w:rPr>
          <w:rFonts w:ascii="Calibri" w:eastAsia="Calibri" w:hAnsi="Calibri" w:cs="Times New Roman"/>
          <w:i/>
          <w:color w:val="auto"/>
          <w:sz w:val="22"/>
          <w:szCs w:val="22"/>
          <w:lang w:eastAsia="en-US"/>
        </w:rPr>
        <w:t xml:space="preserve">Domestic abuse in England and Wales: Year ending March 2016. </w:t>
      </w:r>
      <w:r w:rsidRPr="008042D0">
        <w:rPr>
          <w:rFonts w:ascii="Calibri" w:eastAsia="Calibri" w:hAnsi="Calibri" w:cs="Times New Roman"/>
          <w:color w:val="auto"/>
          <w:sz w:val="22"/>
          <w:szCs w:val="22"/>
          <w:lang w:eastAsia="en-US"/>
        </w:rPr>
        <w:t xml:space="preserve">Available at: </w:t>
      </w:r>
      <w:hyperlink r:id="rId46" w:history="1">
        <w:r w:rsidRPr="008042D0">
          <w:rPr>
            <w:rFonts w:ascii="Calibri" w:eastAsia="Calibri" w:hAnsi="Calibri" w:cs="Times New Roman"/>
            <w:color w:val="0563C1"/>
            <w:sz w:val="22"/>
            <w:szCs w:val="22"/>
            <w:u w:val="single"/>
            <w:lang w:eastAsia="en-US"/>
          </w:rPr>
          <w:t>https://www.ons.gov.uk/peoplepopulationandcommunity/crimeandjustice/bulletins/domesticabuseinenglandandwales/yearendingmarch2016</w:t>
        </w:r>
      </w:hyperlink>
      <w:r w:rsidRPr="008042D0">
        <w:rPr>
          <w:rFonts w:ascii="Calibri" w:eastAsia="Calibri" w:hAnsi="Calibri" w:cs="Times New Roman"/>
          <w:color w:val="auto"/>
          <w:sz w:val="22"/>
          <w:szCs w:val="22"/>
          <w:lang w:eastAsia="en-US"/>
        </w:rPr>
        <w:t xml:space="preserve"> (Accessed: 17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w:t>
      </w:r>
    </w:p>
    <w:p w14:paraId="5234EE7C"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val="en" w:eastAsia="en-US"/>
        </w:rPr>
        <w:t xml:space="preserve">Palmer, A., Rodger, S. (2009) ‘Mindfulness, stress and coping among university students’, </w:t>
      </w:r>
      <w:r w:rsidRPr="008042D0">
        <w:rPr>
          <w:rFonts w:ascii="Calibri" w:eastAsia="Calibri" w:hAnsi="Calibri" w:cs="Times New Roman"/>
          <w:i/>
          <w:color w:val="auto"/>
          <w:sz w:val="22"/>
          <w:szCs w:val="22"/>
          <w:lang w:val="en" w:eastAsia="en-US"/>
        </w:rPr>
        <w:t xml:space="preserve">Canadian Journal of Counselling, </w:t>
      </w:r>
      <w:r w:rsidRPr="008042D0">
        <w:rPr>
          <w:rFonts w:ascii="Calibri" w:eastAsia="Calibri" w:hAnsi="Calibri" w:cs="Times New Roman"/>
          <w:color w:val="auto"/>
          <w:sz w:val="22"/>
          <w:szCs w:val="22"/>
          <w:lang w:val="en" w:eastAsia="en-US"/>
        </w:rPr>
        <w:t xml:space="preserve">43(3), pp. 198-212. DOI: </w:t>
      </w:r>
      <w:hyperlink r:id="rId47" w:history="1">
        <w:r w:rsidRPr="008042D0">
          <w:rPr>
            <w:rFonts w:ascii="Calibri" w:eastAsia="Calibri" w:hAnsi="Calibri" w:cs="Times New Roman"/>
            <w:color w:val="0563C1"/>
            <w:sz w:val="22"/>
            <w:szCs w:val="22"/>
            <w:u w:val="single"/>
            <w:lang w:val="en" w:eastAsia="en-US"/>
          </w:rPr>
          <w:t>https://search-proquest-com.ezproxy.uwtsd.ac.uk/docview/195804643?accountid=130472</w:t>
        </w:r>
      </w:hyperlink>
      <w:r w:rsidRPr="008042D0">
        <w:rPr>
          <w:rFonts w:ascii="Calibri" w:eastAsia="Calibri" w:hAnsi="Calibri" w:cs="Times New Roman"/>
          <w:color w:val="auto"/>
          <w:sz w:val="22"/>
          <w:szCs w:val="22"/>
          <w:lang w:val="en" w:eastAsia="en-US"/>
        </w:rPr>
        <w:t xml:space="preserve"> </w:t>
      </w:r>
    </w:p>
    <w:p w14:paraId="53ADFA9D"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Paterson, C. and Pollock, E. (2011) </w:t>
      </w:r>
      <w:r w:rsidRPr="008042D0">
        <w:rPr>
          <w:rFonts w:ascii="Calibri" w:eastAsia="Calibri" w:hAnsi="Calibri" w:cs="Times New Roman"/>
          <w:i/>
          <w:color w:val="auto"/>
          <w:sz w:val="22"/>
          <w:szCs w:val="22"/>
          <w:lang w:val="en" w:eastAsia="en-US"/>
        </w:rPr>
        <w:t xml:space="preserve">Policing and Criminology. </w:t>
      </w:r>
      <w:r w:rsidRPr="008042D0">
        <w:rPr>
          <w:rFonts w:ascii="Calibri" w:eastAsia="Calibri" w:hAnsi="Calibri" w:cs="Times New Roman"/>
          <w:color w:val="auto"/>
          <w:sz w:val="22"/>
          <w:szCs w:val="22"/>
          <w:lang w:val="en" w:eastAsia="en-US"/>
        </w:rPr>
        <w:t xml:space="preserve">Exeter: Learning Matters Ltd. </w:t>
      </w:r>
    </w:p>
    <w:p w14:paraId="547444A2"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Pearson, A.L., Breetzke, G. and Ivory, V. (2015) ‘</w:t>
      </w:r>
      <w:proofErr w:type="gramStart"/>
      <w:r w:rsidRPr="008042D0">
        <w:rPr>
          <w:rFonts w:ascii="Calibri" w:eastAsia="Calibri" w:hAnsi="Calibri" w:cs="Times New Roman"/>
          <w:color w:val="auto"/>
          <w:sz w:val="22"/>
          <w:szCs w:val="22"/>
          <w:lang w:eastAsia="en-US"/>
        </w:rPr>
        <w:t>The</w:t>
      </w:r>
      <w:proofErr w:type="gramEnd"/>
      <w:r w:rsidRPr="008042D0">
        <w:rPr>
          <w:rFonts w:ascii="Calibri" w:eastAsia="Calibri" w:hAnsi="Calibri" w:cs="Times New Roman"/>
          <w:color w:val="auto"/>
          <w:sz w:val="22"/>
          <w:szCs w:val="22"/>
          <w:lang w:eastAsia="en-US"/>
        </w:rPr>
        <w:t xml:space="preserve"> effect of neighbourhood recorded crime on fear: does neighbourhood social context matter’, </w:t>
      </w:r>
      <w:r w:rsidRPr="008042D0">
        <w:rPr>
          <w:rFonts w:ascii="Calibri" w:eastAsia="Calibri" w:hAnsi="Calibri" w:cs="Times New Roman"/>
          <w:i/>
          <w:color w:val="auto"/>
          <w:sz w:val="22"/>
          <w:szCs w:val="22"/>
          <w:lang w:eastAsia="en-US"/>
        </w:rPr>
        <w:t xml:space="preserve">American Journal of Community Psychology, </w:t>
      </w:r>
      <w:r w:rsidRPr="008042D0">
        <w:rPr>
          <w:rFonts w:ascii="Calibri" w:eastAsia="Calibri" w:hAnsi="Calibri" w:cs="Times New Roman"/>
          <w:color w:val="auto"/>
          <w:sz w:val="22"/>
          <w:szCs w:val="22"/>
          <w:lang w:eastAsia="en-US"/>
        </w:rPr>
        <w:t xml:space="preserve">56(1), pp. 170-179. Doi: </w:t>
      </w:r>
      <w:r w:rsidRPr="008042D0">
        <w:rPr>
          <w:rFonts w:ascii="Calibri" w:eastAsia="Calibri" w:hAnsi="Calibri" w:cs="Times New Roman"/>
          <w:color w:val="auto"/>
          <w:sz w:val="22"/>
          <w:szCs w:val="22"/>
          <w:lang w:val="en" w:eastAsia="en-US"/>
        </w:rPr>
        <w:t xml:space="preserve">10.1007/s10464-015-9741-z </w:t>
      </w:r>
    </w:p>
    <w:p w14:paraId="0B79CE6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Police National Legal Database (2019) </w:t>
      </w:r>
      <w:r w:rsidRPr="008042D0">
        <w:rPr>
          <w:rFonts w:ascii="Calibri" w:eastAsia="Calibri" w:hAnsi="Calibri" w:cs="Times New Roman"/>
          <w:i/>
          <w:color w:val="auto"/>
          <w:sz w:val="22"/>
          <w:szCs w:val="22"/>
          <w:lang w:eastAsia="en-US"/>
        </w:rPr>
        <w:t>Breach of the Peace</w:t>
      </w:r>
      <w:r w:rsidRPr="008042D0">
        <w:rPr>
          <w:rFonts w:ascii="Calibri" w:eastAsia="Calibri" w:hAnsi="Calibri" w:cs="Times New Roman"/>
          <w:color w:val="auto"/>
          <w:sz w:val="22"/>
          <w:szCs w:val="22"/>
          <w:lang w:eastAsia="en-US"/>
        </w:rPr>
        <w:t xml:space="preserve">. Available at: </w:t>
      </w:r>
      <w:hyperlink r:id="rId48" w:history="1">
        <w:r w:rsidRPr="008042D0">
          <w:rPr>
            <w:rFonts w:ascii="Calibri" w:eastAsia="Calibri" w:hAnsi="Calibri" w:cs="Times New Roman"/>
            <w:color w:val="0563C1"/>
            <w:sz w:val="22"/>
            <w:szCs w:val="22"/>
            <w:u w:val="single"/>
            <w:lang w:eastAsia="en-US"/>
          </w:rPr>
          <w:t>https://docmanager.pnld.co.uk/content/D447.htm</w:t>
        </w:r>
      </w:hyperlink>
      <w:r w:rsidRPr="008042D0">
        <w:rPr>
          <w:rFonts w:ascii="Calibri" w:eastAsia="Calibri" w:hAnsi="Calibri" w:cs="Times New Roman"/>
          <w:color w:val="auto"/>
          <w:sz w:val="22"/>
          <w:szCs w:val="22"/>
          <w:lang w:eastAsia="en-US"/>
        </w:rPr>
        <w:t xml:space="preserve"> (Accessed: 17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w:t>
      </w:r>
    </w:p>
    <w:p w14:paraId="5AEFE6D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Poyser, S. (2004) ‘The role of police ‘discretion’ in Britain and an analysis of proposals for reform’, </w:t>
      </w:r>
      <w:r w:rsidRPr="008042D0">
        <w:rPr>
          <w:rFonts w:ascii="Calibri" w:eastAsia="Calibri" w:hAnsi="Calibri" w:cs="Times New Roman"/>
          <w:i/>
          <w:color w:val="auto"/>
          <w:sz w:val="22"/>
          <w:szCs w:val="22"/>
          <w:lang w:eastAsia="en-US"/>
        </w:rPr>
        <w:t xml:space="preserve">The Police Journal: Theory, Practice and Principles, </w:t>
      </w:r>
      <w:r w:rsidRPr="008042D0">
        <w:rPr>
          <w:rFonts w:ascii="Calibri" w:eastAsia="Calibri" w:hAnsi="Calibri" w:cs="Times New Roman"/>
          <w:color w:val="auto"/>
          <w:sz w:val="22"/>
          <w:szCs w:val="22"/>
          <w:lang w:eastAsia="en-US"/>
        </w:rPr>
        <w:t xml:space="preserve">77(1), pp. 5-17. Doi: </w:t>
      </w:r>
      <w:r w:rsidRPr="008042D0">
        <w:rPr>
          <w:rFonts w:ascii="Calibri" w:eastAsia="Calibri" w:hAnsi="Calibri" w:cs="Times New Roman"/>
          <w:color w:val="auto"/>
          <w:sz w:val="22"/>
          <w:szCs w:val="22"/>
          <w:lang w:val="en" w:eastAsia="en-US"/>
        </w:rPr>
        <w:t>10.1350/pojo.77.1.5.31512</w:t>
      </w:r>
    </w:p>
    <w:p w14:paraId="40777A08"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Roberts, P., Cooper, D. and Judge, S. (2005) ‘Monitoring success accounting for failure: the outcome of prosecutors applications for special measures directions under the Youth Justice and Criminal Evidence Act 1999’, </w:t>
      </w:r>
      <w:r w:rsidRPr="008042D0">
        <w:rPr>
          <w:rFonts w:ascii="Calibri" w:eastAsia="Calibri" w:hAnsi="Calibri" w:cs="Times New Roman"/>
          <w:i/>
          <w:color w:val="auto"/>
          <w:sz w:val="22"/>
          <w:szCs w:val="22"/>
          <w:lang w:eastAsia="en-US"/>
        </w:rPr>
        <w:t xml:space="preserve">International Journal of Evidence and Proof, </w:t>
      </w:r>
      <w:r w:rsidRPr="008042D0">
        <w:rPr>
          <w:rFonts w:ascii="Calibri" w:eastAsia="Calibri" w:hAnsi="Calibri" w:cs="Times New Roman"/>
          <w:color w:val="auto"/>
          <w:sz w:val="22"/>
          <w:szCs w:val="22"/>
          <w:lang w:eastAsia="en-US"/>
        </w:rPr>
        <w:t xml:space="preserve">9(4), pp. 269-291. Doi: </w:t>
      </w:r>
      <w:r w:rsidRPr="008042D0">
        <w:rPr>
          <w:rFonts w:ascii="Calibri" w:eastAsia="Calibri" w:hAnsi="Calibri" w:cs="Times New Roman"/>
          <w:color w:val="auto"/>
          <w:sz w:val="22"/>
          <w:szCs w:val="22"/>
          <w:lang w:val="en" w:eastAsia="en-US"/>
        </w:rPr>
        <w:t>10.1350/ijep.2005.9.4.269</w:t>
      </w:r>
    </w:p>
    <w:p w14:paraId="42915A06"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Scraton, P. (1985) </w:t>
      </w:r>
      <w:proofErr w:type="gramStart"/>
      <w:r w:rsidRPr="008042D0">
        <w:rPr>
          <w:rFonts w:ascii="Calibri" w:eastAsia="Calibri" w:hAnsi="Calibri" w:cs="Times New Roman"/>
          <w:i/>
          <w:color w:val="auto"/>
          <w:sz w:val="22"/>
          <w:szCs w:val="22"/>
          <w:lang w:eastAsia="en-US"/>
        </w:rPr>
        <w:t>The</w:t>
      </w:r>
      <w:proofErr w:type="gramEnd"/>
      <w:r w:rsidRPr="008042D0">
        <w:rPr>
          <w:rFonts w:ascii="Calibri" w:eastAsia="Calibri" w:hAnsi="Calibri" w:cs="Times New Roman"/>
          <w:i/>
          <w:color w:val="auto"/>
          <w:sz w:val="22"/>
          <w:szCs w:val="22"/>
          <w:lang w:eastAsia="en-US"/>
        </w:rPr>
        <w:t xml:space="preserve"> state of the police: is law and order out of control? </w:t>
      </w:r>
      <w:r w:rsidRPr="008042D0">
        <w:rPr>
          <w:rFonts w:ascii="Calibri" w:eastAsia="Calibri" w:hAnsi="Calibri" w:cs="Times New Roman"/>
          <w:color w:val="auto"/>
          <w:sz w:val="22"/>
          <w:szCs w:val="22"/>
          <w:lang w:eastAsia="en-US"/>
        </w:rPr>
        <w:t xml:space="preserve">London: Pluto Press Ltd. </w:t>
      </w:r>
    </w:p>
    <w:p w14:paraId="5D377F34"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Smith, A.T.H. (2000) ‘Constraining arrest for Breach of the Peace’, </w:t>
      </w:r>
      <w:r w:rsidRPr="008042D0">
        <w:rPr>
          <w:rFonts w:ascii="Calibri" w:eastAsia="Calibri" w:hAnsi="Calibri" w:cs="Times New Roman"/>
          <w:i/>
          <w:color w:val="auto"/>
          <w:sz w:val="22"/>
          <w:szCs w:val="22"/>
          <w:lang w:eastAsia="en-US"/>
        </w:rPr>
        <w:t xml:space="preserve">The Cambridge Law Journal, </w:t>
      </w:r>
      <w:r w:rsidRPr="008042D0">
        <w:rPr>
          <w:rFonts w:ascii="Calibri" w:eastAsia="Calibri" w:hAnsi="Calibri" w:cs="Times New Roman"/>
          <w:color w:val="auto"/>
          <w:sz w:val="22"/>
          <w:szCs w:val="22"/>
          <w:lang w:eastAsia="en-US"/>
        </w:rPr>
        <w:t xml:space="preserve">59(3), pp. 421- 471. </w:t>
      </w:r>
    </w:p>
    <w:p w14:paraId="3517E4BA"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Tankebe, J. (2007) ‘Policing, procedural fairness and public behaviour: a review and critique’, </w:t>
      </w:r>
      <w:r w:rsidRPr="008042D0">
        <w:rPr>
          <w:rFonts w:ascii="Calibri" w:eastAsia="Calibri" w:hAnsi="Calibri" w:cs="Times New Roman"/>
          <w:i/>
          <w:color w:val="auto"/>
          <w:sz w:val="22"/>
          <w:szCs w:val="22"/>
          <w:lang w:val="en" w:eastAsia="en-US"/>
        </w:rPr>
        <w:t xml:space="preserve">International Journal of Police Science and Management, </w:t>
      </w:r>
      <w:r w:rsidRPr="008042D0">
        <w:rPr>
          <w:rFonts w:ascii="Calibri" w:eastAsia="Calibri" w:hAnsi="Calibri" w:cs="Times New Roman"/>
          <w:color w:val="auto"/>
          <w:sz w:val="22"/>
          <w:szCs w:val="22"/>
          <w:lang w:val="en" w:eastAsia="en-US"/>
        </w:rPr>
        <w:t xml:space="preserve">11(1), pp. 8-19. Doi: 10.1350/ijps.2009.11.1.105 </w:t>
      </w:r>
    </w:p>
    <w:p w14:paraId="70AE908E"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lastRenderedPageBreak/>
        <w:t xml:space="preserve">Tong, S. and O’Neill, M. (2019) ‘Professionalising criminal investigation – an examination of an early attempt to support specialisation in criminal investigation’, </w:t>
      </w:r>
      <w:r w:rsidRPr="008042D0">
        <w:rPr>
          <w:rFonts w:ascii="Calibri" w:eastAsia="Calibri" w:hAnsi="Calibri" w:cs="Times New Roman"/>
          <w:i/>
          <w:color w:val="auto"/>
          <w:sz w:val="22"/>
          <w:szCs w:val="22"/>
          <w:lang w:eastAsia="en-US"/>
        </w:rPr>
        <w:t xml:space="preserve">Policing – A Journal of Policy and Practice, </w:t>
      </w:r>
      <w:r w:rsidRPr="008042D0">
        <w:rPr>
          <w:rFonts w:ascii="Calibri" w:eastAsia="Calibri" w:hAnsi="Calibri" w:cs="Times New Roman"/>
          <w:color w:val="auto"/>
          <w:sz w:val="22"/>
          <w:szCs w:val="22"/>
          <w:lang w:eastAsia="en-US"/>
        </w:rPr>
        <w:t xml:space="preserve">14(2), pp. 337-348. Doi: </w:t>
      </w:r>
      <w:r w:rsidRPr="008042D0">
        <w:rPr>
          <w:rFonts w:ascii="Calibri" w:eastAsia="Calibri" w:hAnsi="Calibri" w:cs="Times New Roman"/>
          <w:color w:val="auto"/>
          <w:sz w:val="22"/>
          <w:szCs w:val="22"/>
          <w:lang w:val="en" w:eastAsia="en-US"/>
        </w:rPr>
        <w:t>10.1093/police/paz010</w:t>
      </w:r>
    </w:p>
    <w:p w14:paraId="73EC8162"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Verhulst, M.J. and Rutkowski, A-F. (2018) ‘Decision-making in the police work force: affordances explained in practice’, </w:t>
      </w:r>
      <w:r w:rsidRPr="008042D0">
        <w:rPr>
          <w:rFonts w:ascii="Calibri" w:eastAsia="Calibri" w:hAnsi="Calibri" w:cs="Times New Roman"/>
          <w:i/>
          <w:color w:val="auto"/>
          <w:sz w:val="22"/>
          <w:szCs w:val="22"/>
          <w:lang w:eastAsia="en-US"/>
        </w:rPr>
        <w:t xml:space="preserve">Group Decision and Negotiation, </w:t>
      </w:r>
      <w:r w:rsidRPr="008042D0">
        <w:rPr>
          <w:rFonts w:ascii="Calibri" w:eastAsia="Calibri" w:hAnsi="Calibri" w:cs="Times New Roman"/>
          <w:color w:val="auto"/>
          <w:sz w:val="22"/>
          <w:szCs w:val="22"/>
          <w:lang w:eastAsia="en-US"/>
        </w:rPr>
        <w:t xml:space="preserve">27(5), pp. 827-853. Doi: </w:t>
      </w:r>
      <w:r w:rsidRPr="008042D0">
        <w:rPr>
          <w:rFonts w:ascii="Calibri" w:eastAsia="Calibri" w:hAnsi="Calibri" w:cs="Times New Roman"/>
          <w:color w:val="auto"/>
          <w:sz w:val="22"/>
          <w:szCs w:val="22"/>
          <w:lang w:val="en" w:eastAsia="en-US"/>
        </w:rPr>
        <w:t>10.1007/s10726-018-9587-5</w:t>
      </w:r>
    </w:p>
    <w:p w14:paraId="532C78B9"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Warburton, D.E.R. (2006) ‘Health benefits of physical activity: the evidence’, </w:t>
      </w:r>
      <w:r w:rsidRPr="008042D0">
        <w:rPr>
          <w:rFonts w:ascii="Calibri" w:eastAsia="Calibri" w:hAnsi="Calibri" w:cs="Times New Roman"/>
          <w:i/>
          <w:color w:val="auto"/>
          <w:sz w:val="22"/>
          <w:szCs w:val="22"/>
          <w:lang w:val="en" w:eastAsia="en-US"/>
        </w:rPr>
        <w:t xml:space="preserve">Canadian Medical Association Journal, </w:t>
      </w:r>
      <w:r w:rsidRPr="008042D0">
        <w:rPr>
          <w:rFonts w:ascii="Calibri" w:eastAsia="Calibri" w:hAnsi="Calibri" w:cs="Times New Roman"/>
          <w:color w:val="auto"/>
          <w:sz w:val="22"/>
          <w:szCs w:val="22"/>
          <w:lang w:val="en" w:eastAsia="en-US"/>
        </w:rPr>
        <w:t xml:space="preserve">174(6), PP. 801- 809. DOI: 10.1503/cmaj.051351 </w:t>
      </w:r>
    </w:p>
    <w:p w14:paraId="6C202F3D"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8042D0">
        <w:rPr>
          <w:rFonts w:ascii="Calibri" w:eastAsia="Calibri" w:hAnsi="Calibri" w:cs="Times New Roman"/>
          <w:color w:val="auto"/>
          <w:sz w:val="22"/>
          <w:szCs w:val="22"/>
          <w:lang w:eastAsia="en-US"/>
        </w:rPr>
        <w:t xml:space="preserve">Welsh Government (2020) </w:t>
      </w:r>
      <w:r w:rsidRPr="008042D0">
        <w:rPr>
          <w:rFonts w:ascii="Calibri" w:eastAsia="Calibri" w:hAnsi="Calibri" w:cs="Times New Roman"/>
          <w:i/>
          <w:color w:val="auto"/>
          <w:sz w:val="22"/>
          <w:szCs w:val="22"/>
          <w:lang w:eastAsia="en-US"/>
        </w:rPr>
        <w:t xml:space="preserve">Coronavirus regulations: frequently asked questions. </w:t>
      </w:r>
      <w:r w:rsidRPr="008042D0">
        <w:rPr>
          <w:rFonts w:ascii="Calibri" w:eastAsia="Calibri" w:hAnsi="Calibri" w:cs="Times New Roman"/>
          <w:color w:val="auto"/>
          <w:sz w:val="22"/>
          <w:szCs w:val="22"/>
          <w:lang w:eastAsia="en-US"/>
        </w:rPr>
        <w:t xml:space="preserve">Available at: </w:t>
      </w:r>
      <w:hyperlink r:id="rId49" w:history="1">
        <w:r w:rsidRPr="008042D0">
          <w:rPr>
            <w:rFonts w:ascii="Calibri" w:eastAsia="Calibri" w:hAnsi="Calibri" w:cs="Times New Roman"/>
            <w:color w:val="0563C1"/>
            <w:sz w:val="22"/>
            <w:szCs w:val="22"/>
            <w:u w:val="single"/>
            <w:lang w:eastAsia="en-US"/>
          </w:rPr>
          <w:t>https://gov.wales/coronavirus-regulations-guidance</w:t>
        </w:r>
      </w:hyperlink>
      <w:r w:rsidRPr="008042D0">
        <w:rPr>
          <w:rFonts w:ascii="Calibri" w:eastAsia="Calibri" w:hAnsi="Calibri" w:cs="Times New Roman"/>
          <w:color w:val="auto"/>
          <w:sz w:val="22"/>
          <w:szCs w:val="22"/>
          <w:lang w:eastAsia="en-US"/>
        </w:rPr>
        <w:t xml:space="preserve"> (Accessed: 17</w:t>
      </w:r>
      <w:r w:rsidRPr="008042D0">
        <w:rPr>
          <w:rFonts w:ascii="Calibri" w:eastAsia="Calibri" w:hAnsi="Calibri" w:cs="Times New Roman"/>
          <w:color w:val="auto"/>
          <w:sz w:val="22"/>
          <w:szCs w:val="22"/>
          <w:vertAlign w:val="superscript"/>
          <w:lang w:eastAsia="en-US"/>
        </w:rPr>
        <w:t>th</w:t>
      </w:r>
      <w:r w:rsidRPr="008042D0">
        <w:rPr>
          <w:rFonts w:ascii="Calibri" w:eastAsia="Calibri" w:hAnsi="Calibri" w:cs="Times New Roman"/>
          <w:color w:val="auto"/>
          <w:sz w:val="22"/>
          <w:szCs w:val="22"/>
          <w:lang w:eastAsia="en-US"/>
        </w:rPr>
        <w:t xml:space="preserve"> November 2020)</w:t>
      </w:r>
    </w:p>
    <w:p w14:paraId="29C135CA"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eastAsia="en-US"/>
        </w:rPr>
        <w:t xml:space="preserve">Wessels, B. (2009) ‘Information and communication technologies and policing: The dynamics of changing police-public communication in the East end of London’, </w:t>
      </w:r>
      <w:r w:rsidRPr="008042D0">
        <w:rPr>
          <w:rFonts w:ascii="Calibri" w:eastAsia="Calibri" w:hAnsi="Calibri" w:cs="Times New Roman"/>
          <w:i/>
          <w:color w:val="auto"/>
          <w:sz w:val="22"/>
          <w:szCs w:val="22"/>
          <w:lang w:eastAsia="en-US"/>
        </w:rPr>
        <w:t xml:space="preserve">The Howard Journal of Criminal Justice, </w:t>
      </w:r>
      <w:r w:rsidRPr="008042D0">
        <w:rPr>
          <w:rFonts w:ascii="Calibri" w:eastAsia="Calibri" w:hAnsi="Calibri" w:cs="Times New Roman"/>
          <w:color w:val="auto"/>
          <w:sz w:val="22"/>
          <w:szCs w:val="22"/>
          <w:lang w:eastAsia="en-US"/>
        </w:rPr>
        <w:t xml:space="preserve">48(5), pp. 501-513. Doi: </w:t>
      </w:r>
      <w:r w:rsidRPr="008042D0">
        <w:rPr>
          <w:rFonts w:ascii="Calibri" w:eastAsia="Calibri" w:hAnsi="Calibri" w:cs="Times New Roman"/>
          <w:color w:val="auto"/>
          <w:sz w:val="22"/>
          <w:szCs w:val="22"/>
          <w:lang w:val="en" w:eastAsia="en-US"/>
        </w:rPr>
        <w:t>10.1111/j.1468-2311.2009.00591.x</w:t>
      </w:r>
    </w:p>
    <w:p w14:paraId="74395F52"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Wolfe, S.E., Nix, J., Kaminski, R. and Rojek, J. (2015) ‘Is the effect of procedural justice on police legitimacy invariant? Testing the generality of procedural justice and competing antecedents of legitimacy’, </w:t>
      </w:r>
      <w:r w:rsidRPr="008042D0">
        <w:rPr>
          <w:rFonts w:ascii="Calibri" w:eastAsia="Calibri" w:hAnsi="Calibri" w:cs="Times New Roman"/>
          <w:i/>
          <w:color w:val="auto"/>
          <w:sz w:val="22"/>
          <w:szCs w:val="22"/>
          <w:lang w:val="en" w:eastAsia="en-US"/>
        </w:rPr>
        <w:t xml:space="preserve">Journal of Quantitative Criminology, </w:t>
      </w:r>
      <w:r w:rsidRPr="008042D0">
        <w:rPr>
          <w:rFonts w:ascii="Calibri" w:eastAsia="Calibri" w:hAnsi="Calibri" w:cs="Times New Roman"/>
          <w:color w:val="auto"/>
          <w:sz w:val="22"/>
          <w:szCs w:val="22"/>
          <w:lang w:val="en" w:eastAsia="en-US"/>
        </w:rPr>
        <w:t>32(2), pp. 253-282. Doi: 10.1007/s10940-015-9263-8</w:t>
      </w:r>
    </w:p>
    <w:p w14:paraId="580ABDEE" w14:textId="77777777" w:rsidR="008042D0" w:rsidRPr="008042D0" w:rsidRDefault="008042D0" w:rsidP="008042D0">
      <w:pPr>
        <w:overflowPunct/>
        <w:autoSpaceDE/>
        <w:autoSpaceDN/>
        <w:adjustRightInd/>
        <w:spacing w:after="160" w:line="259" w:lineRule="auto"/>
        <w:textAlignment w:val="auto"/>
        <w:rPr>
          <w:rFonts w:ascii="Calibri" w:eastAsia="Calibri" w:hAnsi="Calibri" w:cs="Times New Roman"/>
          <w:color w:val="auto"/>
          <w:sz w:val="22"/>
          <w:szCs w:val="22"/>
          <w:lang w:val="en" w:eastAsia="en-US"/>
        </w:rPr>
      </w:pPr>
      <w:r w:rsidRPr="008042D0">
        <w:rPr>
          <w:rFonts w:ascii="Calibri" w:eastAsia="Calibri" w:hAnsi="Calibri" w:cs="Times New Roman"/>
          <w:color w:val="auto"/>
          <w:sz w:val="22"/>
          <w:szCs w:val="22"/>
          <w:lang w:val="en" w:eastAsia="en-US"/>
        </w:rPr>
        <w:t xml:space="preserve">Wood, G. (2002) ‘A partnership model of corporate ethics’, </w:t>
      </w:r>
      <w:r w:rsidRPr="008042D0">
        <w:rPr>
          <w:rFonts w:ascii="Calibri" w:eastAsia="Calibri" w:hAnsi="Calibri" w:cs="Times New Roman"/>
          <w:i/>
          <w:color w:val="auto"/>
          <w:sz w:val="22"/>
          <w:szCs w:val="22"/>
          <w:lang w:val="en" w:eastAsia="en-US"/>
        </w:rPr>
        <w:t xml:space="preserve">Journal of Business Ethics, </w:t>
      </w:r>
      <w:r w:rsidRPr="008042D0">
        <w:rPr>
          <w:rFonts w:ascii="Calibri" w:eastAsia="Calibri" w:hAnsi="Calibri" w:cs="Times New Roman"/>
          <w:color w:val="auto"/>
          <w:sz w:val="22"/>
          <w:szCs w:val="22"/>
          <w:lang w:val="en" w:eastAsia="en-US"/>
        </w:rPr>
        <w:t>40(1), pp. 61-74. Doi: 10.1023/A</w:t>
      </w:r>
      <w:proofErr w:type="gramStart"/>
      <w:r w:rsidRPr="008042D0">
        <w:rPr>
          <w:rFonts w:ascii="Calibri" w:eastAsia="Calibri" w:hAnsi="Calibri" w:cs="Times New Roman"/>
          <w:color w:val="auto"/>
          <w:sz w:val="22"/>
          <w:szCs w:val="22"/>
          <w:lang w:val="en" w:eastAsia="en-US"/>
        </w:rPr>
        <w:t>:1019990724275</w:t>
      </w:r>
      <w:proofErr w:type="gramEnd"/>
    </w:p>
    <w:p w14:paraId="250CF227" w14:textId="77777777" w:rsidR="006D4550" w:rsidRDefault="006D4550" w:rsidP="00E6298B">
      <w:pPr>
        <w:overflowPunct/>
        <w:autoSpaceDE/>
        <w:autoSpaceDN/>
        <w:adjustRightInd/>
        <w:ind w:right="107"/>
        <w:textAlignment w:val="auto"/>
        <w:rPr>
          <w:b/>
          <w:sz w:val="24"/>
          <w:szCs w:val="24"/>
        </w:rPr>
      </w:pPr>
      <w:bookmarkStart w:id="0" w:name="_GoBack"/>
      <w:bookmarkEnd w:id="0"/>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1AB048C" w:rsidR="28A9B94D" w:rsidRDefault="28A9B94D" w:rsidP="28A9B94D">
      <w:pPr>
        <w:jc w:val="both"/>
      </w:pPr>
      <w:r w:rsidRPr="2E5ED9CE">
        <w:rPr>
          <w:rFonts w:eastAsia="Arial"/>
          <w:sz w:val="24"/>
          <w:szCs w:val="24"/>
        </w:rPr>
        <w:t xml:space="preserve">Signed:  _ _ _ _ </w:t>
      </w:r>
      <w:r w:rsidR="00F86203">
        <w:rPr>
          <w:rFonts w:eastAsia="Arial"/>
          <w:sz w:val="24"/>
          <w:szCs w:val="24"/>
        </w:rPr>
        <w:t>Charlotte Dolby</w:t>
      </w:r>
      <w:r w:rsidRPr="2E5ED9CE">
        <w:rPr>
          <w:rFonts w:eastAsia="Arial"/>
          <w:sz w:val="24"/>
          <w:szCs w:val="24"/>
        </w:rPr>
        <w:t>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AC3FA62" w:rsidR="28A9B94D" w:rsidRDefault="28A9B94D" w:rsidP="28A9B94D">
      <w:pPr>
        <w:jc w:val="both"/>
      </w:pPr>
      <w:r w:rsidRPr="28A9B94D">
        <w:rPr>
          <w:rFonts w:eastAsia="Arial"/>
          <w:sz w:val="24"/>
          <w:szCs w:val="24"/>
        </w:rPr>
        <w:t>Date: _ _ _ _ _</w:t>
      </w:r>
      <w:r w:rsidR="00DD6EBB">
        <w:rPr>
          <w:rFonts w:eastAsia="Arial"/>
          <w:sz w:val="24"/>
          <w:szCs w:val="24"/>
        </w:rPr>
        <w:t>29.11.2020</w:t>
      </w:r>
      <w:r w:rsidRPr="28A9B94D">
        <w:rPr>
          <w:rFonts w:eastAsia="Arial"/>
          <w:sz w:val="24"/>
          <w:szCs w:val="24"/>
        </w:rPr>
        <w:t xml:space="preserve">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4CB6C" w14:textId="77777777" w:rsidR="00453F6B" w:rsidRDefault="00453F6B">
      <w:r>
        <w:separator/>
      </w:r>
    </w:p>
  </w:endnote>
  <w:endnote w:type="continuationSeparator" w:id="0">
    <w:p w14:paraId="79A7280A" w14:textId="77777777" w:rsidR="00453F6B" w:rsidRDefault="00453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99F7CBA" w:rsidR="009927A1" w:rsidRDefault="009927A1">
    <w:pPr>
      <w:pStyle w:val="Footer"/>
      <w:jc w:val="right"/>
    </w:pPr>
    <w:r>
      <w:fldChar w:fldCharType="begin"/>
    </w:r>
    <w:r>
      <w:instrText xml:space="preserve"> PAGE   \* MERGEFORMAT </w:instrText>
    </w:r>
    <w:r>
      <w:fldChar w:fldCharType="separate"/>
    </w:r>
    <w:r w:rsidR="008042D0">
      <w:rPr>
        <w:noProof/>
      </w:rPr>
      <w:t>31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307ED" w14:textId="77777777" w:rsidR="00453F6B" w:rsidRDefault="00453F6B">
      <w:r>
        <w:separator/>
      </w:r>
    </w:p>
  </w:footnote>
  <w:footnote w:type="continuationSeparator" w:id="0">
    <w:p w14:paraId="1E578C18" w14:textId="77777777" w:rsidR="00453F6B" w:rsidRDefault="00453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5BA6"/>
    <w:rsid w:val="00106DC7"/>
    <w:rsid w:val="00112391"/>
    <w:rsid w:val="00112751"/>
    <w:rsid w:val="00114F52"/>
    <w:rsid w:val="001347F8"/>
    <w:rsid w:val="00137A3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7176"/>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5D0A"/>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53F6B"/>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C3A92"/>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184F"/>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A612F"/>
    <w:rsid w:val="005C1567"/>
    <w:rsid w:val="005C6CE5"/>
    <w:rsid w:val="005C6E3A"/>
    <w:rsid w:val="005D3F07"/>
    <w:rsid w:val="005D6686"/>
    <w:rsid w:val="005E13EA"/>
    <w:rsid w:val="005F056F"/>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1765B"/>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42D0"/>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0E63"/>
    <w:rsid w:val="009E1982"/>
    <w:rsid w:val="009E4D2C"/>
    <w:rsid w:val="009F0978"/>
    <w:rsid w:val="009F3AEC"/>
    <w:rsid w:val="00A00081"/>
    <w:rsid w:val="00A10D56"/>
    <w:rsid w:val="00A11EB7"/>
    <w:rsid w:val="00A12AAE"/>
    <w:rsid w:val="00A153D3"/>
    <w:rsid w:val="00A15BF1"/>
    <w:rsid w:val="00A16DD1"/>
    <w:rsid w:val="00A22441"/>
    <w:rsid w:val="00A23F3B"/>
    <w:rsid w:val="00A24406"/>
    <w:rsid w:val="00A25F64"/>
    <w:rsid w:val="00A27CC2"/>
    <w:rsid w:val="00A40ED6"/>
    <w:rsid w:val="00A43FC1"/>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13C2"/>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095"/>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A72"/>
    <w:rsid w:val="00C61D04"/>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6EBB"/>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12A21"/>
    <w:rsid w:val="00F22AC5"/>
    <w:rsid w:val="00F254D1"/>
    <w:rsid w:val="00F32B82"/>
    <w:rsid w:val="00F4043E"/>
    <w:rsid w:val="00F41BBC"/>
    <w:rsid w:val="00F43B9D"/>
    <w:rsid w:val="00F444F0"/>
    <w:rsid w:val="00F50847"/>
    <w:rsid w:val="00F537FC"/>
    <w:rsid w:val="00F53F27"/>
    <w:rsid w:val="00F546D1"/>
    <w:rsid w:val="00F66272"/>
    <w:rsid w:val="00F709C0"/>
    <w:rsid w:val="00F86203"/>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s" TargetMode="External"/><Relationship Id="rId39" Type="http://schemas.openxmlformats.org/officeDocument/2006/relationships/hyperlink" Target="https://www.legislation.gov.uk/ukpga/1999/23/contents" TargetMode="External"/><Relationship Id="rId3" Type="http://schemas.openxmlformats.org/officeDocument/2006/relationships/customXml" Target="../customXml/item3.xml"/><Relationship Id="rId21" Type="http://schemas.openxmlformats.org/officeDocument/2006/relationships/hyperlink" Target="https://www.bbc.co.uk/news/uk-51768274" TargetMode="External"/><Relationship Id="rId34" Type="http://schemas.openxmlformats.org/officeDocument/2006/relationships/hyperlink" Target="https://www.gov.uk/government/publications/coronavirus-covid-19-meeting-with-others-safely-social-distancing/coronavirus-covid-19-meeting-with-others-safely-social-distancing?priority-taxon=774cee22-d896-44c1-a611-e3109cce8eae" TargetMode="External"/><Relationship Id="rId42" Type="http://schemas.openxmlformats.org/officeDocument/2006/relationships/hyperlink" Target="http://www.humanrightsinitiative.org/programs/aj/police/res_mat/police_accountability_in_uk.pdf" TargetMode="External"/><Relationship Id="rId47" Type="http://schemas.openxmlformats.org/officeDocument/2006/relationships/hyperlink" Target="https://search-proquest-com.ezproxy.uwtsd.ac.uk/docview/195804643?accountid=130472"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What-we-do/Ethics/Ethics-home/Documents/Code_of_Ethics.pdf" TargetMode="External"/><Relationship Id="rId33" Type="http://schemas.openxmlformats.org/officeDocument/2006/relationships/hyperlink" Target="https://doi-org.ezproxy.uwtsd.ac.uk/10.1111/j.1467-985X.2004.00291.x" TargetMode="External"/><Relationship Id="rId38" Type="http://schemas.openxmlformats.org/officeDocument/2006/relationships/hyperlink" Target="https://www.legislation.gov.uk/ukpga/1988/33/section/39" TargetMode="External"/><Relationship Id="rId46" Type="http://schemas.openxmlformats.org/officeDocument/2006/relationships/hyperlink" Target="https://www.ons.gov.uk/peoplepopulationandcommunity/crimeandjustice/bulletins/domesticabuseinenglandandwales/yearendingmarch201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ezproxy.uwtsd.ac.uk/10.1350%2Fijps.2014.16.4.345" TargetMode="External"/><Relationship Id="rId29" Type="http://schemas.openxmlformats.org/officeDocument/2006/relationships/hyperlink" Target="https://www.app.college.police.uk/app-content/investigations/investigative-interviewing/" TargetMode="External"/><Relationship Id="rId41" Type="http://schemas.openxmlformats.org/officeDocument/2006/relationships/hyperlink" Target="https://doi.org/10.1016/j.jnn.2013.03.0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ezproxy.uwtsd.ac.uk/10.1177/1524838013487807" TargetMode="External"/><Relationship Id="rId32" Type="http://schemas.openxmlformats.org/officeDocument/2006/relationships/hyperlink" Target="https://www.app.college.police.uk/app-content/investigations/?s" TargetMode="External"/><Relationship Id="rId37" Type="http://schemas.openxmlformats.org/officeDocument/2006/relationships/hyperlink" Target="https://doi-org.ezproxy.uwtsd.ac.uk/10.1016/j.ijlcj.2013.06.003" TargetMode="External"/><Relationship Id="rId40" Type="http://schemas.openxmlformats.org/officeDocument/2006/relationships/hyperlink" Target="https://www.legislation.gov.uk/ukpga/1968/60/section/9" TargetMode="External"/><Relationship Id="rId45" Type="http://schemas.openxmlformats.org/officeDocument/2006/relationships/hyperlink" Target="https://www.nhs.uk/conditions/stress-anxiety-depression/mindfuln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news/uk-wales-54069466" TargetMode="External"/><Relationship Id="rId28" Type="http://schemas.openxmlformats.org/officeDocument/2006/relationships/hyperlink" Target="https://www.app.college.police.uk/app-content/detention-and-custody-2/control-restraint-and-searches/" TargetMode="External"/><Relationship Id="rId36" Type="http://schemas.openxmlformats.org/officeDocument/2006/relationships/hyperlink" Target="https://search-proquest-com.ezproxy.uwtsd.ac.uk/docview/1285124811?accountid=130472" TargetMode="External"/><Relationship Id="rId49" Type="http://schemas.openxmlformats.org/officeDocument/2006/relationships/hyperlink" Target="https://gov.wales/coronavirus-regulations-guida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What-we-do/Development/competency-and-values-framework/Pages/Competency-and-Values-framework.aspx" TargetMode="External"/><Relationship Id="rId44" Type="http://schemas.openxmlformats.org/officeDocument/2006/relationships/hyperlink" Target="https://doi-org.ezproxy.uwtsd.ac.uk/10.1177%2F146135571989119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m/news/world-us-canada-52861726" TargetMode="External"/><Relationship Id="rId27" Type="http://schemas.openxmlformats.org/officeDocument/2006/relationships/hyperlink" Target="https://www.college.police.uk/What-we-do/Standards/Guidelines/Documents/Conflict_management_consultation20219.pdf"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www.gwent.police.uk/fileadmin/Documents/About_Us/Your_Right_to_Information/Force_Performance/Force_Delivery_Plan_2017-18.pdf" TargetMode="External"/><Relationship Id="rId43" Type="http://schemas.openxmlformats.org/officeDocument/2006/relationships/hyperlink" Target="https://www.cps.gov.uk/sites/default/files/documents/legal_guidance/best_evidence_in_criminal_proceedings.pdf" TargetMode="External"/><Relationship Id="rId48" Type="http://schemas.openxmlformats.org/officeDocument/2006/relationships/hyperlink" Target="https://docmanager.pnld.co.uk/content/D447.htm"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8FE019-5D08-419B-8C12-9602A5D1C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33</Pages>
  <Words>13250</Words>
  <Characters>75527</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Dolby, Charlotte</cp:lastModifiedBy>
  <cp:revision>9</cp:revision>
  <cp:lastPrinted>2019-08-13T11:47:00Z</cp:lastPrinted>
  <dcterms:created xsi:type="dcterms:W3CDTF">2020-11-29T09:44:00Z</dcterms:created>
  <dcterms:modified xsi:type="dcterms:W3CDTF">2020-11-29T13:53:00Z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