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5E93C" w14:textId="2BB9CDE6" w:rsidR="004D018A" w:rsidRDefault="00000000"/>
    <w:p w14:paraId="121CB737" w14:textId="58788745" w:rsidR="00196810" w:rsidRDefault="00196810"/>
    <w:p w14:paraId="22EA42FD" w14:textId="70F6C68A" w:rsidR="00196810" w:rsidRDefault="00196810">
      <w:pPr>
        <w:rPr>
          <w:b/>
          <w:bCs/>
          <w:sz w:val="32"/>
          <w:szCs w:val="32"/>
        </w:rPr>
      </w:pPr>
      <w:r w:rsidRPr="00196810">
        <w:rPr>
          <w:b/>
          <w:bCs/>
          <w:sz w:val="32"/>
          <w:szCs w:val="32"/>
        </w:rPr>
        <w:t>STUDEN</w:t>
      </w:r>
      <w:r>
        <w:rPr>
          <w:b/>
          <w:bCs/>
          <w:sz w:val="32"/>
          <w:szCs w:val="32"/>
        </w:rPr>
        <w:t>T NAME                   MAGNUS  AMADI</w:t>
      </w:r>
    </w:p>
    <w:p w14:paraId="462B9FB5" w14:textId="77777777" w:rsidR="007A37A5" w:rsidRDefault="007A37A5">
      <w:pPr>
        <w:rPr>
          <w:b/>
          <w:bCs/>
          <w:sz w:val="32"/>
          <w:szCs w:val="32"/>
        </w:rPr>
      </w:pPr>
    </w:p>
    <w:p w14:paraId="02A6145B" w14:textId="77777777" w:rsidR="00EC2852" w:rsidRDefault="00EC2852">
      <w:pPr>
        <w:rPr>
          <w:b/>
          <w:bCs/>
          <w:sz w:val="32"/>
          <w:szCs w:val="32"/>
        </w:rPr>
      </w:pPr>
    </w:p>
    <w:p w14:paraId="0C0AFFAA" w14:textId="32C62395" w:rsidR="00196810" w:rsidRDefault="00196810">
      <w:pPr>
        <w:rPr>
          <w:b/>
          <w:bCs/>
          <w:sz w:val="32"/>
          <w:szCs w:val="32"/>
        </w:rPr>
      </w:pPr>
      <w:r>
        <w:rPr>
          <w:b/>
          <w:bCs/>
          <w:sz w:val="32"/>
          <w:szCs w:val="32"/>
        </w:rPr>
        <w:t>STUDENT NUMBER              1921681</w:t>
      </w:r>
    </w:p>
    <w:p w14:paraId="764FCF76" w14:textId="77777777" w:rsidR="00EC2852" w:rsidRDefault="00EC2852">
      <w:pPr>
        <w:rPr>
          <w:b/>
          <w:bCs/>
          <w:sz w:val="32"/>
          <w:szCs w:val="32"/>
        </w:rPr>
      </w:pPr>
    </w:p>
    <w:p w14:paraId="7786C3A0" w14:textId="77777777" w:rsidR="00EC2852" w:rsidRDefault="00EC2852">
      <w:pPr>
        <w:rPr>
          <w:b/>
          <w:bCs/>
          <w:sz w:val="32"/>
          <w:szCs w:val="32"/>
        </w:rPr>
      </w:pPr>
    </w:p>
    <w:p w14:paraId="1FB23872" w14:textId="129ABB19" w:rsidR="00EC2852" w:rsidRDefault="00196810">
      <w:pPr>
        <w:rPr>
          <w:b/>
          <w:bCs/>
          <w:sz w:val="32"/>
          <w:szCs w:val="32"/>
        </w:rPr>
      </w:pPr>
      <w:r>
        <w:rPr>
          <w:b/>
          <w:bCs/>
          <w:sz w:val="32"/>
          <w:szCs w:val="32"/>
        </w:rPr>
        <w:t xml:space="preserve">MODULE                             LIVING WITH CARE ,THE </w:t>
      </w:r>
      <w:r w:rsidR="00EC2852">
        <w:rPr>
          <w:b/>
          <w:bCs/>
          <w:sz w:val="32"/>
          <w:szCs w:val="32"/>
        </w:rPr>
        <w:t>OLDER PERSON</w:t>
      </w:r>
    </w:p>
    <w:p w14:paraId="5508677A" w14:textId="3E769268" w:rsidR="007A37A5" w:rsidRDefault="007A37A5">
      <w:pPr>
        <w:rPr>
          <w:b/>
          <w:bCs/>
          <w:sz w:val="32"/>
          <w:szCs w:val="32"/>
        </w:rPr>
      </w:pPr>
    </w:p>
    <w:p w14:paraId="65DB6683" w14:textId="2CF89B6A" w:rsidR="007A37A5" w:rsidRDefault="007A37A5">
      <w:pPr>
        <w:rPr>
          <w:b/>
          <w:bCs/>
          <w:sz w:val="32"/>
          <w:szCs w:val="32"/>
        </w:rPr>
      </w:pPr>
    </w:p>
    <w:p w14:paraId="586EF398" w14:textId="3383F000" w:rsidR="007A37A5" w:rsidRDefault="007A37A5">
      <w:pPr>
        <w:rPr>
          <w:b/>
          <w:bCs/>
          <w:sz w:val="32"/>
          <w:szCs w:val="32"/>
        </w:rPr>
      </w:pPr>
    </w:p>
    <w:p w14:paraId="679B0B69" w14:textId="61974B0F" w:rsidR="007A37A5" w:rsidRDefault="007A37A5">
      <w:pPr>
        <w:rPr>
          <w:b/>
          <w:bCs/>
          <w:sz w:val="32"/>
          <w:szCs w:val="32"/>
        </w:rPr>
      </w:pPr>
      <w:r>
        <w:rPr>
          <w:b/>
          <w:bCs/>
          <w:sz w:val="32"/>
          <w:szCs w:val="32"/>
        </w:rPr>
        <w:t>MODULE CODE                 BMHP 6009</w:t>
      </w:r>
    </w:p>
    <w:p w14:paraId="0427719E" w14:textId="783E74D7" w:rsidR="007A37A5" w:rsidRDefault="007A37A5">
      <w:pPr>
        <w:rPr>
          <w:b/>
          <w:bCs/>
          <w:sz w:val="32"/>
          <w:szCs w:val="32"/>
        </w:rPr>
      </w:pPr>
    </w:p>
    <w:p w14:paraId="0F155006" w14:textId="3FABA9A8" w:rsidR="007A37A5" w:rsidRDefault="007A37A5">
      <w:pPr>
        <w:rPr>
          <w:b/>
          <w:bCs/>
          <w:sz w:val="32"/>
          <w:szCs w:val="32"/>
        </w:rPr>
      </w:pPr>
    </w:p>
    <w:p w14:paraId="379863B4" w14:textId="28834678" w:rsidR="007A37A5" w:rsidRDefault="007A37A5">
      <w:pPr>
        <w:rPr>
          <w:b/>
          <w:bCs/>
          <w:sz w:val="32"/>
          <w:szCs w:val="32"/>
        </w:rPr>
      </w:pPr>
      <w:r>
        <w:rPr>
          <w:b/>
          <w:bCs/>
          <w:sz w:val="32"/>
          <w:szCs w:val="32"/>
        </w:rPr>
        <w:t>LECTURER                     DIOLA BIJLHOUT</w:t>
      </w:r>
    </w:p>
    <w:p w14:paraId="4F332383" w14:textId="77E64216" w:rsidR="007A37A5" w:rsidRDefault="007A37A5">
      <w:pPr>
        <w:rPr>
          <w:b/>
          <w:bCs/>
          <w:sz w:val="32"/>
          <w:szCs w:val="32"/>
        </w:rPr>
      </w:pPr>
    </w:p>
    <w:p w14:paraId="57823C9A" w14:textId="3A5BCE77" w:rsidR="007A37A5" w:rsidRDefault="007A37A5">
      <w:pPr>
        <w:rPr>
          <w:b/>
          <w:bCs/>
          <w:sz w:val="32"/>
          <w:szCs w:val="32"/>
        </w:rPr>
      </w:pPr>
    </w:p>
    <w:p w14:paraId="6F0C81FF" w14:textId="384E27CE" w:rsidR="007A37A5" w:rsidRDefault="007A37A5">
      <w:pPr>
        <w:rPr>
          <w:b/>
          <w:bCs/>
          <w:sz w:val="32"/>
          <w:szCs w:val="32"/>
        </w:rPr>
      </w:pPr>
      <w:r>
        <w:rPr>
          <w:b/>
          <w:bCs/>
          <w:sz w:val="32"/>
          <w:szCs w:val="32"/>
        </w:rPr>
        <w:t>ASSIGNMENT  TITLE   ASSESSMENT 2 DEBATE AND SUPPORTING PAPER</w:t>
      </w:r>
    </w:p>
    <w:p w14:paraId="1FD112AC" w14:textId="77777777" w:rsidR="00EC2852" w:rsidRDefault="00EC2852">
      <w:pPr>
        <w:rPr>
          <w:b/>
          <w:bCs/>
          <w:sz w:val="32"/>
          <w:szCs w:val="32"/>
        </w:rPr>
      </w:pPr>
    </w:p>
    <w:p w14:paraId="01412BFB" w14:textId="132C2696" w:rsidR="00EC2852" w:rsidRDefault="00196810">
      <w:pPr>
        <w:rPr>
          <w:b/>
          <w:bCs/>
          <w:sz w:val="32"/>
          <w:szCs w:val="32"/>
        </w:rPr>
      </w:pPr>
      <w:r>
        <w:rPr>
          <w:b/>
          <w:bCs/>
          <w:sz w:val="32"/>
          <w:szCs w:val="32"/>
        </w:rPr>
        <w:t xml:space="preserve">                    </w:t>
      </w:r>
    </w:p>
    <w:p w14:paraId="2BB1E641" w14:textId="77777777" w:rsidR="00EC2852" w:rsidRDefault="00EC2852">
      <w:pPr>
        <w:rPr>
          <w:b/>
          <w:bCs/>
          <w:sz w:val="32"/>
          <w:szCs w:val="32"/>
        </w:rPr>
      </w:pPr>
    </w:p>
    <w:p w14:paraId="22E6502E" w14:textId="77777777" w:rsidR="00EC2852" w:rsidRDefault="00EC2852">
      <w:pPr>
        <w:rPr>
          <w:b/>
          <w:bCs/>
          <w:sz w:val="32"/>
          <w:szCs w:val="32"/>
        </w:rPr>
      </w:pPr>
    </w:p>
    <w:p w14:paraId="0075BF8D" w14:textId="77777777" w:rsidR="00EC2852" w:rsidRDefault="00EC2852">
      <w:pPr>
        <w:rPr>
          <w:b/>
          <w:bCs/>
          <w:sz w:val="32"/>
          <w:szCs w:val="32"/>
        </w:rPr>
      </w:pPr>
    </w:p>
    <w:p w14:paraId="486DD38B" w14:textId="77777777" w:rsidR="00EC2852" w:rsidRDefault="00EC2852">
      <w:pPr>
        <w:rPr>
          <w:b/>
          <w:bCs/>
          <w:sz w:val="32"/>
          <w:szCs w:val="32"/>
        </w:rPr>
      </w:pPr>
    </w:p>
    <w:p w14:paraId="282A85FD" w14:textId="77777777" w:rsidR="00CF2F4C" w:rsidRPr="00D65343" w:rsidRDefault="00CF2F4C" w:rsidP="00CF2F4C">
      <w:pPr>
        <w:spacing w:line="360" w:lineRule="auto"/>
        <w:rPr>
          <w:rFonts w:ascii="Arial" w:hAnsi="Arial" w:cs="Arial"/>
        </w:rPr>
      </w:pPr>
    </w:p>
    <w:p w14:paraId="0262FB6D" w14:textId="77777777" w:rsidR="00CF2F4C" w:rsidRPr="00D65343" w:rsidRDefault="00CF2F4C" w:rsidP="00CF2F4C">
      <w:pPr>
        <w:spacing w:line="360" w:lineRule="auto"/>
        <w:rPr>
          <w:rFonts w:ascii="Arial" w:hAnsi="Arial" w:cs="Arial"/>
          <w:b/>
          <w:bCs/>
        </w:rPr>
      </w:pPr>
      <w:r w:rsidRPr="00D65343">
        <w:rPr>
          <w:rFonts w:ascii="Arial" w:hAnsi="Arial" w:cs="Arial"/>
          <w:b/>
          <w:bCs/>
        </w:rPr>
        <w:t>INTRODUCTION</w:t>
      </w:r>
    </w:p>
    <w:p w14:paraId="2A544723" w14:textId="77777777" w:rsidR="00CF2F4C" w:rsidRPr="00D65343" w:rsidRDefault="00CF2F4C" w:rsidP="00CF2F4C">
      <w:pPr>
        <w:spacing w:line="360" w:lineRule="auto"/>
        <w:rPr>
          <w:rFonts w:ascii="Arial" w:hAnsi="Arial" w:cs="Arial"/>
        </w:rPr>
      </w:pPr>
      <w:r w:rsidRPr="00D65343">
        <w:rPr>
          <w:rFonts w:ascii="Arial" w:hAnsi="Arial" w:cs="Arial"/>
        </w:rPr>
        <w:t>The term older person will be defined in this paper along with the definition of technology, the effects of COVID 19 on the elderly, government services and programmes available to assist the elderly population in the UK, and pertinent data and statistics on the ageing population in the UK. This paper will also look at the debate that took place in class regarding ‘’ is the use of technology necessary for the elderly UK population’’</w:t>
      </w:r>
    </w:p>
    <w:p w14:paraId="7E39C894" w14:textId="77777777" w:rsidR="00CF2F4C" w:rsidRPr="00D65343" w:rsidRDefault="00CF2F4C" w:rsidP="00CF2F4C">
      <w:pPr>
        <w:spacing w:line="360" w:lineRule="auto"/>
        <w:rPr>
          <w:rFonts w:ascii="Arial" w:hAnsi="Arial" w:cs="Arial"/>
          <w:b/>
          <w:bCs/>
        </w:rPr>
      </w:pPr>
      <w:r w:rsidRPr="00D65343">
        <w:rPr>
          <w:rFonts w:ascii="Arial" w:hAnsi="Arial" w:cs="Arial"/>
          <w:b/>
          <w:bCs/>
        </w:rPr>
        <w:t>OLDER PERSON</w:t>
      </w:r>
    </w:p>
    <w:p w14:paraId="09D0D5D2" w14:textId="77777777" w:rsidR="00CF2F4C" w:rsidRPr="00D65343" w:rsidRDefault="00CF2F4C" w:rsidP="00CF2F4C">
      <w:pPr>
        <w:spacing w:line="360" w:lineRule="auto"/>
        <w:rPr>
          <w:rFonts w:ascii="Arial" w:hAnsi="Arial" w:cs="Arial"/>
        </w:rPr>
      </w:pPr>
      <w:r w:rsidRPr="00D65343">
        <w:rPr>
          <w:rFonts w:ascii="Arial" w:hAnsi="Arial" w:cs="Arial"/>
        </w:rPr>
        <w:t>Anyone 65 years of age or over is considered to be an older person or elderly.(Crews and Zavotka, 2006)</w:t>
      </w:r>
    </w:p>
    <w:p w14:paraId="2BA79D1A" w14:textId="77777777" w:rsidR="00CF2F4C" w:rsidRPr="00D65343" w:rsidRDefault="00CF2F4C" w:rsidP="00CF2F4C">
      <w:pPr>
        <w:spacing w:line="360" w:lineRule="auto"/>
        <w:rPr>
          <w:rFonts w:ascii="Arial" w:hAnsi="Arial" w:cs="Arial"/>
          <w:b/>
          <w:bCs/>
        </w:rPr>
      </w:pPr>
      <w:r w:rsidRPr="00D65343">
        <w:rPr>
          <w:rFonts w:ascii="Arial" w:hAnsi="Arial" w:cs="Arial"/>
          <w:b/>
          <w:bCs/>
        </w:rPr>
        <w:t>TECHNOLOGY</w:t>
      </w:r>
    </w:p>
    <w:p w14:paraId="5842B0AE" w14:textId="77777777" w:rsidR="00CF2F4C" w:rsidRPr="00D65343" w:rsidRDefault="00CF2F4C" w:rsidP="00CF2F4C">
      <w:pPr>
        <w:spacing w:line="360" w:lineRule="auto"/>
        <w:rPr>
          <w:rFonts w:ascii="Arial" w:hAnsi="Arial" w:cs="Arial"/>
        </w:rPr>
      </w:pPr>
      <w:r w:rsidRPr="00D65343">
        <w:rPr>
          <w:rFonts w:ascii="Arial" w:hAnsi="Arial" w:cs="Arial"/>
        </w:rPr>
        <w:t>Technology can be defined as a methodical application of all structured learning resources and information sources that support human activities.( Luppicini, 2005)</w:t>
      </w:r>
    </w:p>
    <w:p w14:paraId="1180F2EF" w14:textId="77777777" w:rsidR="00CF2F4C" w:rsidRPr="00D65343" w:rsidRDefault="00CF2F4C" w:rsidP="00CF2F4C">
      <w:pPr>
        <w:spacing w:line="360" w:lineRule="auto"/>
        <w:rPr>
          <w:rFonts w:ascii="Arial" w:hAnsi="Arial" w:cs="Arial"/>
          <w:b/>
          <w:bCs/>
        </w:rPr>
      </w:pPr>
    </w:p>
    <w:p w14:paraId="1AF467A2" w14:textId="77777777" w:rsidR="00CF2F4C" w:rsidRPr="00D65343" w:rsidRDefault="00CF2F4C" w:rsidP="00CF2F4C">
      <w:pPr>
        <w:spacing w:line="360" w:lineRule="auto"/>
        <w:rPr>
          <w:rFonts w:ascii="Arial" w:hAnsi="Arial" w:cs="Arial"/>
          <w:b/>
          <w:bCs/>
        </w:rPr>
      </w:pPr>
      <w:r w:rsidRPr="00D65343">
        <w:rPr>
          <w:rFonts w:ascii="Arial" w:hAnsi="Arial" w:cs="Arial"/>
          <w:b/>
          <w:bCs/>
        </w:rPr>
        <w:t>STANDPOINT</w:t>
      </w:r>
    </w:p>
    <w:p w14:paraId="2D387D28" w14:textId="77777777" w:rsidR="00CF2F4C" w:rsidRPr="00D65343" w:rsidRDefault="00CF2F4C" w:rsidP="00CF2F4C">
      <w:pPr>
        <w:spacing w:line="360" w:lineRule="auto"/>
        <w:rPr>
          <w:rFonts w:ascii="Arial" w:hAnsi="Arial" w:cs="Arial"/>
        </w:rPr>
      </w:pPr>
      <w:r w:rsidRPr="00D65343">
        <w:rPr>
          <w:rFonts w:ascii="Arial" w:hAnsi="Arial" w:cs="Arial"/>
        </w:rPr>
        <w:t>My standpoint is the use of technology is not necessary for the elderly UK population due to the following reasons</w:t>
      </w:r>
    </w:p>
    <w:p w14:paraId="6B26300F" w14:textId="77777777" w:rsidR="00CF2F4C" w:rsidRPr="00D65343" w:rsidRDefault="00CF2F4C" w:rsidP="00CF2F4C">
      <w:pPr>
        <w:spacing w:line="360" w:lineRule="auto"/>
        <w:rPr>
          <w:rFonts w:ascii="Arial" w:hAnsi="Arial" w:cs="Arial"/>
          <w:b/>
          <w:bCs/>
        </w:rPr>
      </w:pPr>
      <w:r w:rsidRPr="00D65343">
        <w:rPr>
          <w:rFonts w:ascii="Arial" w:hAnsi="Arial" w:cs="Arial"/>
          <w:b/>
          <w:bCs/>
        </w:rPr>
        <w:t>PRIVACY</w:t>
      </w:r>
    </w:p>
    <w:p w14:paraId="330EA90F" w14:textId="77777777" w:rsidR="00CF2F4C" w:rsidRPr="00D65343" w:rsidRDefault="00CF2F4C" w:rsidP="00CF2F4C">
      <w:pPr>
        <w:spacing w:line="360" w:lineRule="auto"/>
        <w:rPr>
          <w:rFonts w:ascii="Arial" w:hAnsi="Arial" w:cs="Arial"/>
        </w:rPr>
      </w:pPr>
      <w:r w:rsidRPr="00D65343">
        <w:rPr>
          <w:rFonts w:ascii="Arial" w:hAnsi="Arial" w:cs="Arial"/>
        </w:rPr>
        <w:t xml:space="preserve">The elderly's privacy will be violated, as well as their right to their own space and freedom at home, if 24-hour technological surveillance equipment, such as video equipment and pendant alarms, is used to monitor elderly people for fall prevention and home safety. The elderly may experience a decline in their quality of life as a result of </w:t>
      </w:r>
      <w:r>
        <w:rPr>
          <w:rFonts w:ascii="Arial" w:hAnsi="Arial" w:cs="Arial"/>
        </w:rPr>
        <w:t>continuous monitoring .</w:t>
      </w:r>
      <w:r w:rsidRPr="00D65343">
        <w:rPr>
          <w:rFonts w:ascii="Arial" w:hAnsi="Arial" w:cs="Arial"/>
        </w:rPr>
        <w:t xml:space="preserve"> (</w:t>
      </w:r>
      <w:r w:rsidRPr="00D65343">
        <w:rPr>
          <w:rFonts w:ascii="Arial" w:eastAsia="Times New Roman" w:hAnsi="Arial" w:cs="Arial"/>
          <w:color w:val="000000"/>
          <w:lang w:eastAsia="en-GB"/>
        </w:rPr>
        <w:t>Damant, Knapp, Freddolino and Lombard, 2016 ;</w:t>
      </w:r>
      <w:r w:rsidRPr="00D65343">
        <w:rPr>
          <w:rFonts w:ascii="Arial" w:hAnsi="Arial" w:cs="Arial"/>
        </w:rPr>
        <w:t>Age UK ,2010).</w:t>
      </w:r>
    </w:p>
    <w:p w14:paraId="547876CB" w14:textId="77777777" w:rsidR="00CF2F4C" w:rsidRPr="00D65343" w:rsidRDefault="00CF2F4C" w:rsidP="00CF2F4C">
      <w:pPr>
        <w:spacing w:line="360" w:lineRule="auto"/>
        <w:rPr>
          <w:rFonts w:ascii="Arial" w:hAnsi="Arial" w:cs="Arial"/>
          <w:b/>
          <w:bCs/>
        </w:rPr>
      </w:pPr>
      <w:r w:rsidRPr="00D65343">
        <w:rPr>
          <w:rFonts w:ascii="Arial" w:hAnsi="Arial" w:cs="Arial"/>
          <w:b/>
          <w:bCs/>
        </w:rPr>
        <w:t>STIGMA</w:t>
      </w:r>
    </w:p>
    <w:p w14:paraId="2C723B7D" w14:textId="77777777" w:rsidR="00CF2F4C" w:rsidRPr="00D65343" w:rsidRDefault="00CF2F4C" w:rsidP="00CF2F4C">
      <w:pPr>
        <w:spacing w:line="360" w:lineRule="auto"/>
        <w:rPr>
          <w:rFonts w:ascii="Arial" w:hAnsi="Arial" w:cs="Arial"/>
        </w:rPr>
      </w:pPr>
      <w:r w:rsidRPr="00D65343">
        <w:rPr>
          <w:rFonts w:ascii="Arial" w:hAnsi="Arial" w:cs="Arial"/>
        </w:rPr>
        <w:t xml:space="preserve">The elderly users of monitoring device/technology such as pendent alarm used in detecting fall are given the impression that the elderly users are </w:t>
      </w:r>
      <w:proofErr w:type="spellStart"/>
      <w:r w:rsidRPr="00D65343">
        <w:rPr>
          <w:rFonts w:ascii="Arial" w:hAnsi="Arial" w:cs="Arial"/>
        </w:rPr>
        <w:t>frail,dependent,needs</w:t>
      </w:r>
      <w:proofErr w:type="spellEnd"/>
      <w:r w:rsidRPr="00D65343">
        <w:rPr>
          <w:rFonts w:ascii="Arial" w:hAnsi="Arial" w:cs="Arial"/>
        </w:rPr>
        <w:t xml:space="preserve"> lots of care and assistant, sick ,old and unhealthy. Due to feelings of societal stigmatisation associated to this kind of care , older individuals are hesitant and reluctant to accept this type of care . The feeling of stigmatisation has a psychological effect on the elderly. (</w:t>
      </w:r>
      <w:r w:rsidRPr="00D65343">
        <w:rPr>
          <w:rFonts w:ascii="Arial" w:eastAsia="Times New Roman" w:hAnsi="Arial" w:cs="Arial"/>
          <w:color w:val="000000"/>
          <w:lang w:eastAsia="en-GB"/>
        </w:rPr>
        <w:t xml:space="preserve">Damant, Knapp, Freddolino and Lombard, 2016 </w:t>
      </w:r>
      <w:r w:rsidRPr="00D65343">
        <w:rPr>
          <w:rFonts w:ascii="Arial" w:hAnsi="Arial" w:cs="Arial"/>
        </w:rPr>
        <w:t>)</w:t>
      </w:r>
    </w:p>
    <w:p w14:paraId="3560F9E9" w14:textId="77777777" w:rsidR="00CF2F4C" w:rsidRPr="00D65343" w:rsidRDefault="00CF2F4C" w:rsidP="00CF2F4C">
      <w:pPr>
        <w:spacing w:line="360" w:lineRule="auto"/>
        <w:rPr>
          <w:rFonts w:ascii="Arial" w:hAnsi="Arial" w:cs="Arial"/>
        </w:rPr>
      </w:pPr>
      <w:r w:rsidRPr="00D65343">
        <w:rPr>
          <w:rFonts w:ascii="Arial" w:hAnsi="Arial" w:cs="Arial"/>
        </w:rPr>
        <w:t>.</w:t>
      </w:r>
    </w:p>
    <w:p w14:paraId="64602EC4" w14:textId="77777777" w:rsidR="00CF2F4C" w:rsidRPr="00D65343" w:rsidRDefault="00CF2F4C" w:rsidP="00CF2F4C">
      <w:pPr>
        <w:spacing w:line="360" w:lineRule="auto"/>
        <w:rPr>
          <w:rFonts w:ascii="Arial" w:hAnsi="Arial" w:cs="Arial"/>
        </w:rPr>
      </w:pPr>
      <w:r w:rsidRPr="00D65343">
        <w:rPr>
          <w:rFonts w:ascii="Arial" w:hAnsi="Arial" w:cs="Arial"/>
          <w:b/>
          <w:bCs/>
        </w:rPr>
        <w:t>OTHER VIEWS ON THE DEBATE</w:t>
      </w:r>
    </w:p>
    <w:p w14:paraId="58EF0E36" w14:textId="77777777" w:rsidR="00CF2F4C" w:rsidRPr="00D65343" w:rsidRDefault="00CF2F4C" w:rsidP="00CF2F4C">
      <w:pPr>
        <w:spacing w:line="360" w:lineRule="auto"/>
        <w:rPr>
          <w:rFonts w:ascii="Arial" w:eastAsia="Times New Roman" w:hAnsi="Arial" w:cs="Arial"/>
          <w:color w:val="000000"/>
          <w:lang w:eastAsia="en-GB"/>
        </w:rPr>
      </w:pPr>
      <w:r w:rsidRPr="00D65343">
        <w:rPr>
          <w:rFonts w:ascii="Arial" w:hAnsi="Arial" w:cs="Arial"/>
        </w:rPr>
        <w:t xml:space="preserve">  Technology is useful for the elderly because it can help with mobility, medication administration, fall prevention, safety and security at home, and communication with family members. It can also be used to battle loneliness and to manage chronic illnesses like dementia. These devices can support an independent lifestyle for the elderly. A few examples of technology equipment are telecare and telehealth gadgets, as well as laptops, tablets, phones, alarms, wheelchairs, scooters, sensors, and telescopes. (</w:t>
      </w:r>
      <w:r w:rsidRPr="00D65343">
        <w:rPr>
          <w:rFonts w:ascii="Arial" w:eastAsia="Times New Roman" w:hAnsi="Arial" w:cs="Arial"/>
          <w:color w:val="000000"/>
          <w:lang w:eastAsia="en-GB"/>
        </w:rPr>
        <w:t>(Yusif, Soar and Hafeez-Baig, 2016.)</w:t>
      </w:r>
    </w:p>
    <w:p w14:paraId="660114DE" w14:textId="77777777" w:rsidR="00CF2F4C" w:rsidRPr="00D65343" w:rsidRDefault="00CF2F4C" w:rsidP="00CF2F4C">
      <w:pPr>
        <w:spacing w:line="360" w:lineRule="auto"/>
        <w:rPr>
          <w:rFonts w:ascii="Arial" w:eastAsia="Times New Roman" w:hAnsi="Arial" w:cs="Arial"/>
          <w:color w:val="000000"/>
          <w:lang w:eastAsia="en-GB"/>
        </w:rPr>
      </w:pPr>
    </w:p>
    <w:p w14:paraId="528A6E07" w14:textId="77777777" w:rsidR="00CF2F4C" w:rsidRPr="00D65343" w:rsidRDefault="00CF2F4C" w:rsidP="00CF2F4C">
      <w:pPr>
        <w:spacing w:line="360" w:lineRule="auto"/>
        <w:rPr>
          <w:rFonts w:ascii="Arial" w:eastAsia="Times New Roman" w:hAnsi="Arial" w:cs="Arial"/>
          <w:b/>
          <w:bCs/>
          <w:color w:val="000000"/>
          <w:lang w:eastAsia="en-GB"/>
        </w:rPr>
      </w:pPr>
      <w:r w:rsidRPr="00D65343">
        <w:rPr>
          <w:rFonts w:ascii="Arial" w:eastAsia="Times New Roman" w:hAnsi="Arial" w:cs="Arial"/>
          <w:b/>
          <w:bCs/>
          <w:color w:val="000000"/>
          <w:lang w:eastAsia="en-GB"/>
        </w:rPr>
        <w:t>REFECTION OF MAIN POINTS DURING THE DEBATE</w:t>
      </w:r>
    </w:p>
    <w:p w14:paraId="23ABD32B" w14:textId="77777777" w:rsidR="00CF2F4C" w:rsidRPr="00D65343" w:rsidRDefault="00CF2F4C" w:rsidP="00CF2F4C">
      <w:pPr>
        <w:spacing w:line="360" w:lineRule="auto"/>
        <w:rPr>
          <w:rFonts w:ascii="Arial" w:hAnsi="Arial" w:cs="Arial"/>
        </w:rPr>
      </w:pPr>
      <w:r w:rsidRPr="00D65343">
        <w:rPr>
          <w:rFonts w:ascii="Arial" w:hAnsi="Arial" w:cs="Arial"/>
        </w:rPr>
        <w:t xml:space="preserve">Technology use among the elderly can be advantageous as well as harmful. Devices like smart phones, tablets, and social media apps can help the elderly avoid loneliness. They can also use social media to connect with relatives and establish new friends. However, elderly people who use social media excessively run the risk of becoming obese and being the target of cyberbullying. The elderly might lack the skills and knowledge to operate some of these  technological devices due to health related issues </w:t>
      </w:r>
      <w:r>
        <w:rPr>
          <w:rFonts w:ascii="Arial" w:hAnsi="Arial" w:cs="Arial"/>
        </w:rPr>
        <w:t xml:space="preserve">( </w:t>
      </w:r>
      <w:r w:rsidRPr="00D65343">
        <w:rPr>
          <w:rFonts w:ascii="Arial" w:eastAsia="Times New Roman" w:hAnsi="Arial" w:cs="Arial"/>
          <w:color w:val="000000"/>
          <w:lang w:eastAsia="en-GB"/>
        </w:rPr>
        <w:t xml:space="preserve">Damant, Knapp, Freddolino and Lombard, 2016 </w:t>
      </w:r>
      <w:r w:rsidRPr="00D65343">
        <w:rPr>
          <w:rFonts w:ascii="Arial" w:hAnsi="Arial" w:cs="Arial"/>
        </w:rPr>
        <w:t>)</w:t>
      </w:r>
    </w:p>
    <w:p w14:paraId="11D0DD2F" w14:textId="77777777" w:rsidR="00CF2F4C" w:rsidRPr="00D65343" w:rsidRDefault="00CF2F4C" w:rsidP="00CF2F4C">
      <w:pPr>
        <w:spacing w:line="360" w:lineRule="auto"/>
        <w:rPr>
          <w:rFonts w:ascii="Arial" w:hAnsi="Arial" w:cs="Arial"/>
        </w:rPr>
      </w:pPr>
    </w:p>
    <w:p w14:paraId="14C20F45" w14:textId="77777777" w:rsidR="00CF2F4C" w:rsidRPr="00D65343" w:rsidRDefault="00CF2F4C" w:rsidP="00CF2F4C">
      <w:pPr>
        <w:spacing w:line="360" w:lineRule="auto"/>
        <w:rPr>
          <w:rFonts w:ascii="Arial" w:hAnsi="Arial" w:cs="Arial"/>
          <w:b/>
          <w:bCs/>
        </w:rPr>
      </w:pPr>
    </w:p>
    <w:p w14:paraId="73D09092" w14:textId="77777777" w:rsidR="00CF2F4C" w:rsidRPr="00D65343" w:rsidRDefault="00CF2F4C" w:rsidP="00CF2F4C">
      <w:pPr>
        <w:spacing w:line="360" w:lineRule="auto"/>
        <w:rPr>
          <w:rFonts w:ascii="Arial" w:hAnsi="Arial" w:cs="Arial"/>
          <w:b/>
          <w:bCs/>
        </w:rPr>
      </w:pPr>
      <w:r w:rsidRPr="00D65343">
        <w:rPr>
          <w:rFonts w:ascii="Arial" w:hAnsi="Arial" w:cs="Arial"/>
          <w:b/>
          <w:bCs/>
        </w:rPr>
        <w:t>STATISTICS OF THE UK AGEING POPULATION</w:t>
      </w:r>
    </w:p>
    <w:p w14:paraId="23472E52" w14:textId="77777777" w:rsidR="00CF2F4C" w:rsidRPr="00D65343" w:rsidRDefault="00CF2F4C" w:rsidP="00CF2F4C">
      <w:pPr>
        <w:spacing w:line="360" w:lineRule="auto"/>
        <w:rPr>
          <w:rFonts w:ascii="Arial" w:hAnsi="Arial" w:cs="Arial"/>
        </w:rPr>
      </w:pPr>
      <w:r w:rsidRPr="00D65343">
        <w:rPr>
          <w:rFonts w:ascii="Arial" w:hAnsi="Arial" w:cs="Arial"/>
        </w:rPr>
        <w:t>The number of people aged 65 and above is about 12 million in the United Kingdom .The number of people aged 75 and over is about 5.4 million , and the number of people aged 85 and above is about 1.6 million. The number of people aged 65 and over will further increase to 8.6 million in the next 50 years. Females outlive men by an average of 3.6 years. People within the aged group 65 and above, women outnumber  men .Women aged 65 and above makes up about 55% of the elderly population. Out of every 5 person</w:t>
      </w:r>
      <w:r>
        <w:rPr>
          <w:rFonts w:ascii="Arial" w:hAnsi="Arial" w:cs="Arial"/>
        </w:rPr>
        <w:t>s</w:t>
      </w:r>
      <w:r w:rsidRPr="00D65343">
        <w:rPr>
          <w:rFonts w:ascii="Arial" w:hAnsi="Arial" w:cs="Arial"/>
        </w:rPr>
        <w:t>, 1 person will be aged 65 by 2030 in the United Kingdom.(</w:t>
      </w:r>
      <w:r>
        <w:rPr>
          <w:rFonts w:ascii="Arial" w:hAnsi="Arial" w:cs="Arial"/>
        </w:rPr>
        <w:t>Age UK</w:t>
      </w:r>
      <w:r w:rsidRPr="00D65343">
        <w:rPr>
          <w:rFonts w:ascii="Arial" w:hAnsi="Arial" w:cs="Arial"/>
        </w:rPr>
        <w:t>,</w:t>
      </w:r>
      <w:r>
        <w:rPr>
          <w:rFonts w:ascii="Arial" w:hAnsi="Arial" w:cs="Arial"/>
        </w:rPr>
        <w:t>2019 ;</w:t>
      </w:r>
      <w:r w:rsidRPr="00D65343">
        <w:rPr>
          <w:rFonts w:ascii="Arial" w:hAnsi="Arial" w:cs="Arial"/>
        </w:rPr>
        <w:t>The Kings Fund, 2018)</w:t>
      </w:r>
    </w:p>
    <w:p w14:paraId="7CC8CE3C" w14:textId="77777777" w:rsidR="00CF2F4C" w:rsidRPr="00D65343" w:rsidRDefault="00CF2F4C" w:rsidP="00CF2F4C">
      <w:pPr>
        <w:spacing w:line="360" w:lineRule="auto"/>
        <w:rPr>
          <w:rFonts w:ascii="Arial" w:hAnsi="Arial" w:cs="Arial"/>
        </w:rPr>
      </w:pPr>
    </w:p>
    <w:p w14:paraId="3E9CDAD1" w14:textId="77777777" w:rsidR="00CF2F4C" w:rsidRPr="00D65343" w:rsidRDefault="00CF2F4C" w:rsidP="00CF2F4C">
      <w:pPr>
        <w:spacing w:line="360" w:lineRule="auto"/>
        <w:rPr>
          <w:rFonts w:ascii="Arial" w:hAnsi="Arial" w:cs="Arial"/>
        </w:rPr>
      </w:pPr>
    </w:p>
    <w:p w14:paraId="22836A0E" w14:textId="77777777" w:rsidR="00CF2F4C" w:rsidRPr="00D65343" w:rsidRDefault="00CF2F4C" w:rsidP="00CF2F4C">
      <w:pPr>
        <w:spacing w:line="360" w:lineRule="auto"/>
        <w:rPr>
          <w:rFonts w:ascii="Arial" w:hAnsi="Arial" w:cs="Arial"/>
          <w:b/>
          <w:bCs/>
        </w:rPr>
      </w:pPr>
      <w:r w:rsidRPr="00D65343">
        <w:rPr>
          <w:rFonts w:ascii="Arial" w:hAnsi="Arial" w:cs="Arial"/>
          <w:b/>
          <w:bCs/>
        </w:rPr>
        <w:t>GOVERNMENT SUPPORT FOR THE ELDERLY</w:t>
      </w:r>
    </w:p>
    <w:p w14:paraId="268864AB" w14:textId="77777777" w:rsidR="00CF2F4C" w:rsidRPr="00D65343" w:rsidRDefault="00CF2F4C" w:rsidP="00CF2F4C">
      <w:pPr>
        <w:spacing w:line="360" w:lineRule="auto"/>
        <w:rPr>
          <w:rFonts w:ascii="Arial" w:hAnsi="Arial" w:cs="Arial"/>
          <w:b/>
          <w:bCs/>
        </w:rPr>
      </w:pPr>
      <w:r w:rsidRPr="00D65343">
        <w:rPr>
          <w:rFonts w:ascii="Arial" w:hAnsi="Arial" w:cs="Arial"/>
        </w:rPr>
        <w:t xml:space="preserve"> The elderly should be able to obtain health and social care needs based on clinical requirements; their ages should not be utilised as barriers to care, and they should not experience discrimination due to their ages.(  </w:t>
      </w:r>
      <w:r>
        <w:rPr>
          <w:rFonts w:ascii="Arial" w:hAnsi="Arial" w:cs="Arial"/>
        </w:rPr>
        <w:t>E</w:t>
      </w:r>
      <w:r w:rsidRPr="00D65343">
        <w:rPr>
          <w:rFonts w:ascii="Arial" w:hAnsi="Arial" w:cs="Arial"/>
        </w:rPr>
        <w:t xml:space="preserve">quality </w:t>
      </w:r>
      <w:r>
        <w:rPr>
          <w:rFonts w:ascii="Arial" w:hAnsi="Arial" w:cs="Arial"/>
        </w:rPr>
        <w:t>A</w:t>
      </w:r>
      <w:r w:rsidRPr="00D65343">
        <w:rPr>
          <w:rFonts w:ascii="Arial" w:hAnsi="Arial" w:cs="Arial"/>
        </w:rPr>
        <w:t>ct, 2010).</w:t>
      </w:r>
    </w:p>
    <w:p w14:paraId="598AB5D5" w14:textId="77777777" w:rsidR="00CF2F4C" w:rsidRPr="00D65343" w:rsidRDefault="00CF2F4C" w:rsidP="00CF2F4C">
      <w:pPr>
        <w:spacing w:line="360" w:lineRule="auto"/>
        <w:rPr>
          <w:rFonts w:ascii="Arial" w:hAnsi="Arial" w:cs="Arial"/>
        </w:rPr>
      </w:pPr>
      <w:r w:rsidRPr="00D65343">
        <w:rPr>
          <w:rFonts w:ascii="Arial" w:hAnsi="Arial" w:cs="Arial"/>
        </w:rPr>
        <w:t>In 2021, the UK government released a white paper report outlining its plans and proposals for revamping adult and social care. The essential components noted in the white papers were:</w:t>
      </w:r>
    </w:p>
    <w:p w14:paraId="396E91AF" w14:textId="77777777" w:rsidR="00CF2F4C" w:rsidRPr="00D65343" w:rsidRDefault="00CF2F4C" w:rsidP="00CF2F4C">
      <w:pPr>
        <w:spacing w:line="360" w:lineRule="auto"/>
        <w:rPr>
          <w:rFonts w:ascii="Arial" w:hAnsi="Arial" w:cs="Arial"/>
        </w:rPr>
      </w:pPr>
      <w:r w:rsidRPr="00D65343">
        <w:rPr>
          <w:rFonts w:ascii="Arial" w:hAnsi="Arial" w:cs="Arial"/>
        </w:rPr>
        <w:t>The report gave a lot of preference to person-centred care, which puts patients at the centre of treatment, tailors it to each patient's needs, and encourages independence, autonomy, and choice.</w:t>
      </w:r>
    </w:p>
    <w:p w14:paraId="61D7B03A" w14:textId="77777777" w:rsidR="00CF2F4C" w:rsidRPr="00D65343" w:rsidRDefault="00CF2F4C" w:rsidP="00CF2F4C">
      <w:pPr>
        <w:spacing w:line="360" w:lineRule="auto"/>
        <w:rPr>
          <w:rFonts w:ascii="Arial" w:hAnsi="Arial" w:cs="Arial"/>
        </w:rPr>
      </w:pPr>
      <w:r w:rsidRPr="00D65343">
        <w:rPr>
          <w:rFonts w:ascii="Arial" w:hAnsi="Arial" w:cs="Arial"/>
        </w:rPr>
        <w:t xml:space="preserve"> 300-million-pound fund was made available by the UK government to support housing and accommodation for the elderly. The elderly will be able to choose from a variety of supportive housing options that are available to them.</w:t>
      </w:r>
    </w:p>
    <w:p w14:paraId="2A90901E" w14:textId="77777777" w:rsidR="00CF2F4C" w:rsidRPr="00D65343" w:rsidRDefault="00CF2F4C" w:rsidP="00CF2F4C">
      <w:pPr>
        <w:spacing w:line="360" w:lineRule="auto"/>
        <w:rPr>
          <w:rFonts w:ascii="Arial" w:hAnsi="Arial" w:cs="Arial"/>
        </w:rPr>
      </w:pPr>
      <w:r w:rsidRPr="00D65343">
        <w:rPr>
          <w:rFonts w:ascii="Arial" w:hAnsi="Arial" w:cs="Arial"/>
        </w:rPr>
        <w:t>The government has set aside about 500 million pounds for the training and certification of social care workers. This fund will help them develop the skill sets required by the sector, as well as help them feel valued and appreciated for the assistance they provide to the elderly and other members of the public and improve their overall well-being.</w:t>
      </w:r>
    </w:p>
    <w:p w14:paraId="06F589B9" w14:textId="77777777" w:rsidR="00CF2F4C" w:rsidRPr="00D65343" w:rsidRDefault="00CF2F4C" w:rsidP="00CF2F4C">
      <w:pPr>
        <w:spacing w:line="360" w:lineRule="auto"/>
        <w:rPr>
          <w:rFonts w:ascii="Arial" w:hAnsi="Arial" w:cs="Arial"/>
        </w:rPr>
      </w:pPr>
      <w:r w:rsidRPr="00D65343">
        <w:rPr>
          <w:rFonts w:ascii="Arial" w:hAnsi="Arial" w:cs="Arial"/>
        </w:rPr>
        <w:t>In order to assist the unpaid care that supports the elderly, the sector received 25 million pounds boost from the UK government.(Department of Health and Social care, 2022).</w:t>
      </w:r>
    </w:p>
    <w:p w14:paraId="14B121E0" w14:textId="77777777" w:rsidR="00CF2F4C" w:rsidRPr="00D65343" w:rsidRDefault="00CF2F4C" w:rsidP="00CF2F4C">
      <w:pPr>
        <w:spacing w:line="360" w:lineRule="auto"/>
        <w:rPr>
          <w:rFonts w:ascii="Arial" w:hAnsi="Arial" w:cs="Arial"/>
        </w:rPr>
      </w:pPr>
    </w:p>
    <w:p w14:paraId="6A6D5388" w14:textId="77777777" w:rsidR="00CF2F4C" w:rsidRPr="00D65343" w:rsidRDefault="00CF2F4C" w:rsidP="00CF2F4C">
      <w:pPr>
        <w:spacing w:line="360" w:lineRule="auto"/>
        <w:rPr>
          <w:rFonts w:ascii="Arial" w:hAnsi="Arial" w:cs="Arial"/>
        </w:rPr>
      </w:pPr>
    </w:p>
    <w:p w14:paraId="7F2A7B58" w14:textId="77777777" w:rsidR="00CF2F4C" w:rsidRPr="00D65343" w:rsidRDefault="00CF2F4C" w:rsidP="00CF2F4C">
      <w:pPr>
        <w:spacing w:line="360" w:lineRule="auto"/>
        <w:rPr>
          <w:rFonts w:ascii="Arial" w:hAnsi="Arial" w:cs="Arial"/>
          <w:b/>
          <w:bCs/>
        </w:rPr>
      </w:pPr>
      <w:r w:rsidRPr="00D65343">
        <w:rPr>
          <w:rFonts w:ascii="Arial" w:hAnsi="Arial" w:cs="Arial"/>
          <w:b/>
          <w:bCs/>
        </w:rPr>
        <w:t>THE IMPACT OF COVID 19 ON THE ELDERLY POPULATION</w:t>
      </w:r>
    </w:p>
    <w:p w14:paraId="1BCAD13D" w14:textId="77777777" w:rsidR="00CF2F4C" w:rsidRPr="00D65343" w:rsidRDefault="00CF2F4C" w:rsidP="00CF2F4C">
      <w:pPr>
        <w:spacing w:line="360" w:lineRule="auto"/>
        <w:rPr>
          <w:rFonts w:ascii="Arial" w:hAnsi="Arial" w:cs="Arial"/>
          <w:b/>
          <w:bCs/>
        </w:rPr>
      </w:pPr>
      <w:r w:rsidRPr="00D65343">
        <w:rPr>
          <w:rFonts w:ascii="Arial" w:hAnsi="Arial" w:cs="Arial"/>
          <w:b/>
          <w:bCs/>
        </w:rPr>
        <w:t>ANXIETY</w:t>
      </w:r>
    </w:p>
    <w:p w14:paraId="4EC9C4C9" w14:textId="77777777" w:rsidR="00CF2F4C" w:rsidRPr="00D65343" w:rsidRDefault="00CF2F4C" w:rsidP="00CF2F4C">
      <w:pPr>
        <w:spacing w:line="360" w:lineRule="auto"/>
        <w:jc w:val="both"/>
        <w:rPr>
          <w:rFonts w:ascii="Arial" w:hAnsi="Arial" w:cs="Arial"/>
          <w:color w:val="000000"/>
          <w:shd w:val="clear" w:color="auto" w:fill="FFFFFF"/>
        </w:rPr>
      </w:pPr>
      <w:r w:rsidRPr="00D65343">
        <w:rPr>
          <w:rFonts w:ascii="Arial" w:hAnsi="Arial" w:cs="Arial"/>
          <w:color w:val="1C1D1E"/>
          <w:shd w:val="clear" w:color="auto" w:fill="FFFFFF"/>
        </w:rPr>
        <w:t>Elderly people are more worried that they might contract covid  19. This fear causes older people to experience  increased anxiety, which is a mental health problem, which has a detrimental impact on elderly peoples live. When compared to other age groups, the older population , covid 19 will have more immediate and lasting impact on the elderly population.(</w:t>
      </w:r>
      <w:r>
        <w:rPr>
          <w:rFonts w:ascii="Arial" w:hAnsi="Arial" w:cs="Arial"/>
          <w:color w:val="000000"/>
          <w:shd w:val="clear" w:color="auto" w:fill="FFFFFF"/>
        </w:rPr>
        <w:t>Age UK, 2021)</w:t>
      </w:r>
    </w:p>
    <w:p w14:paraId="2D8F32A1" w14:textId="77777777" w:rsidR="00CF2F4C" w:rsidRPr="00D65343" w:rsidRDefault="00CF2F4C" w:rsidP="00CF2F4C">
      <w:pPr>
        <w:spacing w:line="360" w:lineRule="auto"/>
        <w:jc w:val="both"/>
        <w:rPr>
          <w:rFonts w:ascii="Arial" w:hAnsi="Arial" w:cs="Arial"/>
          <w:color w:val="000000"/>
          <w:shd w:val="clear" w:color="auto" w:fill="FFFFFF"/>
        </w:rPr>
      </w:pPr>
    </w:p>
    <w:p w14:paraId="69961BA2" w14:textId="77777777" w:rsidR="00CF2F4C" w:rsidRPr="00D65343" w:rsidRDefault="00CF2F4C" w:rsidP="00CF2F4C">
      <w:pPr>
        <w:spacing w:line="360" w:lineRule="auto"/>
        <w:jc w:val="both"/>
        <w:rPr>
          <w:rFonts w:ascii="Arial" w:hAnsi="Arial" w:cs="Arial"/>
          <w:b/>
          <w:bCs/>
          <w:color w:val="000000"/>
          <w:shd w:val="clear" w:color="auto" w:fill="FFFFFF"/>
        </w:rPr>
      </w:pPr>
      <w:r w:rsidRPr="00D65343">
        <w:rPr>
          <w:rFonts w:ascii="Arial" w:hAnsi="Arial" w:cs="Arial"/>
          <w:b/>
          <w:bCs/>
          <w:color w:val="000000"/>
          <w:shd w:val="clear" w:color="auto" w:fill="FFFFFF"/>
        </w:rPr>
        <w:t>DEMENTIA AND ALZHEIMER</w:t>
      </w:r>
    </w:p>
    <w:p w14:paraId="3EAF0B31" w14:textId="77777777" w:rsidR="00CF2F4C" w:rsidRPr="00D65343" w:rsidRDefault="00CF2F4C" w:rsidP="00CF2F4C">
      <w:pPr>
        <w:spacing w:line="360" w:lineRule="auto"/>
        <w:jc w:val="both"/>
        <w:rPr>
          <w:rFonts w:ascii="Arial" w:hAnsi="Arial" w:cs="Arial"/>
          <w:color w:val="000000"/>
          <w:shd w:val="clear" w:color="auto" w:fill="FFFFFF"/>
        </w:rPr>
      </w:pPr>
      <w:r w:rsidRPr="00D65343">
        <w:rPr>
          <w:rFonts w:ascii="Arial" w:hAnsi="Arial" w:cs="Arial"/>
          <w:color w:val="000000"/>
          <w:shd w:val="clear" w:color="auto" w:fill="FFFFFF"/>
        </w:rPr>
        <w:t>Alzheimer's disease and dementia affect 45 to 75 percent of the elderly population who reside in nursing homes. Older persons with Alzheimer's and dementia showed a worse  outcome linked to the COVID 19.</w:t>
      </w:r>
    </w:p>
    <w:p w14:paraId="5C4D1B82" w14:textId="77777777" w:rsidR="00CF2F4C" w:rsidRPr="00D65343" w:rsidRDefault="00CF2F4C" w:rsidP="00CF2F4C">
      <w:pPr>
        <w:spacing w:line="360" w:lineRule="auto"/>
        <w:jc w:val="both"/>
        <w:rPr>
          <w:rFonts w:ascii="Arial" w:hAnsi="Arial" w:cs="Arial"/>
          <w:color w:val="000000"/>
          <w:shd w:val="clear" w:color="auto" w:fill="FFFFFF"/>
        </w:rPr>
      </w:pPr>
      <w:r w:rsidRPr="00D65343">
        <w:rPr>
          <w:rFonts w:ascii="Arial" w:hAnsi="Arial" w:cs="Arial"/>
          <w:color w:val="000000"/>
          <w:shd w:val="clear" w:color="auto" w:fill="FFFFFF"/>
        </w:rPr>
        <w:t>When compared to elderly people from wealthy backgrounds, those with poorer economic backgrounds were severely affected by the pandemic on both a mental and physical level. This has highlighted the disparities in health care available to the elderly population.</w:t>
      </w:r>
    </w:p>
    <w:p w14:paraId="152539B9" w14:textId="77777777" w:rsidR="00CF2F4C" w:rsidRPr="00D65343" w:rsidRDefault="00CF2F4C" w:rsidP="00CF2F4C">
      <w:pPr>
        <w:spacing w:line="360" w:lineRule="auto"/>
        <w:jc w:val="both"/>
        <w:rPr>
          <w:rFonts w:ascii="Arial" w:hAnsi="Arial" w:cs="Arial"/>
          <w:color w:val="000000"/>
          <w:shd w:val="clear" w:color="auto" w:fill="FFFFFF"/>
        </w:rPr>
      </w:pPr>
      <w:r w:rsidRPr="00D65343">
        <w:rPr>
          <w:rFonts w:ascii="Arial" w:hAnsi="Arial" w:cs="Arial"/>
          <w:color w:val="000000"/>
          <w:shd w:val="clear" w:color="auto" w:fill="FFFFFF"/>
        </w:rPr>
        <w:t>The pandemic made it difficult for older people to access timely medical care and treatment, perform daily activities, and move around, which resulted in their loss of independence.( Age UK, 2021</w:t>
      </w:r>
      <w:r>
        <w:rPr>
          <w:rFonts w:ascii="Arial" w:hAnsi="Arial" w:cs="Arial"/>
          <w:color w:val="000000"/>
          <w:shd w:val="clear" w:color="auto" w:fill="FFFFFF"/>
        </w:rPr>
        <w:t>;</w:t>
      </w:r>
      <w:r>
        <w:rPr>
          <w:rFonts w:ascii="Open Sans" w:hAnsi="Open Sans" w:cs="Open Sans"/>
          <w:color w:val="000000"/>
          <w:sz w:val="20"/>
          <w:szCs w:val="20"/>
          <w:shd w:val="clear" w:color="auto" w:fill="FFFFFF"/>
        </w:rPr>
        <w:t xml:space="preserve"> Lebrasseur et al., 2021)</w:t>
      </w:r>
    </w:p>
    <w:p w14:paraId="50242C79" w14:textId="77777777" w:rsidR="00CF2F4C" w:rsidRPr="00D65343" w:rsidRDefault="00CF2F4C" w:rsidP="00CF2F4C">
      <w:pPr>
        <w:spacing w:line="360" w:lineRule="auto"/>
        <w:jc w:val="both"/>
        <w:rPr>
          <w:rFonts w:ascii="Arial" w:hAnsi="Arial" w:cs="Arial"/>
          <w:color w:val="000000"/>
          <w:shd w:val="clear" w:color="auto" w:fill="FFFFFF"/>
        </w:rPr>
      </w:pPr>
    </w:p>
    <w:p w14:paraId="16CAF5A0" w14:textId="77777777" w:rsidR="00CF2F4C" w:rsidRPr="00D65343" w:rsidRDefault="00CF2F4C" w:rsidP="00CF2F4C">
      <w:pPr>
        <w:spacing w:line="360" w:lineRule="auto"/>
        <w:jc w:val="both"/>
        <w:rPr>
          <w:rFonts w:ascii="Arial" w:hAnsi="Arial" w:cs="Arial"/>
          <w:b/>
          <w:bCs/>
          <w:color w:val="000000"/>
          <w:shd w:val="clear" w:color="auto" w:fill="FFFFFF"/>
        </w:rPr>
      </w:pPr>
      <w:r w:rsidRPr="00D65343">
        <w:rPr>
          <w:rFonts w:ascii="Arial" w:hAnsi="Arial" w:cs="Arial"/>
          <w:b/>
          <w:bCs/>
          <w:color w:val="000000"/>
          <w:shd w:val="clear" w:color="auto" w:fill="FFFFFF"/>
        </w:rPr>
        <w:t>RECOMMENDATION</w:t>
      </w:r>
    </w:p>
    <w:p w14:paraId="033DC289" w14:textId="77777777" w:rsidR="00CF2F4C" w:rsidRPr="00D65343" w:rsidRDefault="00CF2F4C" w:rsidP="00CF2F4C">
      <w:pPr>
        <w:spacing w:line="360" w:lineRule="auto"/>
        <w:jc w:val="both"/>
        <w:rPr>
          <w:rFonts w:ascii="Arial" w:hAnsi="Arial" w:cs="Arial"/>
          <w:color w:val="000000"/>
          <w:shd w:val="clear" w:color="auto" w:fill="FFFFFF"/>
        </w:rPr>
      </w:pPr>
      <w:r w:rsidRPr="00D65343">
        <w:rPr>
          <w:rFonts w:ascii="Arial" w:hAnsi="Arial" w:cs="Arial"/>
          <w:color w:val="000000"/>
          <w:shd w:val="clear" w:color="auto" w:fill="FFFFFF"/>
        </w:rPr>
        <w:t>The elderly should be able to access health care. Access to Health care should not be based on age rather should be based  on clinical needs of the elderly and they should not be discriminated  due to their age when accessing health care.(Equality Act, 2010; Age UK, 2021)</w:t>
      </w:r>
    </w:p>
    <w:p w14:paraId="735CB937" w14:textId="77777777" w:rsidR="00CF2F4C" w:rsidRPr="00D65343" w:rsidRDefault="00CF2F4C" w:rsidP="00CF2F4C">
      <w:pPr>
        <w:spacing w:line="360" w:lineRule="auto"/>
        <w:jc w:val="both"/>
        <w:rPr>
          <w:rFonts w:ascii="Arial" w:hAnsi="Arial" w:cs="Arial"/>
          <w:color w:val="000000"/>
          <w:shd w:val="clear" w:color="auto" w:fill="FFFFFF"/>
        </w:rPr>
      </w:pPr>
    </w:p>
    <w:p w14:paraId="473A5CB5" w14:textId="77777777" w:rsidR="00CF2F4C" w:rsidRPr="00D65343" w:rsidRDefault="00CF2F4C" w:rsidP="00CF2F4C">
      <w:pPr>
        <w:spacing w:line="360" w:lineRule="auto"/>
        <w:jc w:val="both"/>
        <w:rPr>
          <w:rFonts w:ascii="Arial" w:hAnsi="Arial" w:cs="Arial"/>
          <w:b/>
          <w:bCs/>
          <w:color w:val="000000"/>
          <w:shd w:val="clear" w:color="auto" w:fill="FFFFFF"/>
        </w:rPr>
      </w:pPr>
      <w:r w:rsidRPr="00D65343">
        <w:rPr>
          <w:rFonts w:ascii="Arial" w:hAnsi="Arial" w:cs="Arial"/>
          <w:b/>
          <w:bCs/>
          <w:color w:val="000000"/>
          <w:shd w:val="clear" w:color="auto" w:fill="FFFFFF"/>
        </w:rPr>
        <w:t>CONCLUSION</w:t>
      </w:r>
    </w:p>
    <w:p w14:paraId="2503618C" w14:textId="6B7531F1" w:rsidR="00CF2F4C" w:rsidRDefault="00CF2F4C" w:rsidP="00CF2F4C">
      <w:pPr>
        <w:spacing w:line="360" w:lineRule="auto"/>
        <w:jc w:val="both"/>
        <w:rPr>
          <w:rFonts w:ascii="Arial" w:hAnsi="Arial" w:cs="Arial"/>
          <w:color w:val="000000"/>
          <w:shd w:val="clear" w:color="auto" w:fill="FFFFFF"/>
        </w:rPr>
      </w:pPr>
      <w:r w:rsidRPr="00D65343">
        <w:rPr>
          <w:rFonts w:ascii="Arial" w:hAnsi="Arial" w:cs="Arial"/>
          <w:color w:val="000000"/>
          <w:shd w:val="clear" w:color="auto" w:fill="FFFFFF"/>
        </w:rPr>
        <w:t>The use of technology promotes independence and quality of life of the elderly, however privacy concerns still remain a challenge</w:t>
      </w:r>
      <w:r>
        <w:rPr>
          <w:rFonts w:ascii="Arial" w:hAnsi="Arial" w:cs="Arial"/>
          <w:color w:val="000000"/>
          <w:shd w:val="clear" w:color="auto" w:fill="FFFFFF"/>
        </w:rPr>
        <w:t>.</w:t>
      </w:r>
    </w:p>
    <w:p w14:paraId="0A09CAC3" w14:textId="34B45702" w:rsidR="00270A8D" w:rsidRDefault="00270A8D" w:rsidP="00CF2F4C">
      <w:pPr>
        <w:spacing w:line="360" w:lineRule="auto"/>
        <w:jc w:val="both"/>
        <w:rPr>
          <w:rFonts w:ascii="Arial" w:hAnsi="Arial" w:cs="Arial"/>
          <w:color w:val="000000"/>
          <w:shd w:val="clear" w:color="auto" w:fill="FFFFFF"/>
        </w:rPr>
      </w:pPr>
    </w:p>
    <w:p w14:paraId="057ABC1A" w14:textId="508ED2CA" w:rsidR="00270A8D" w:rsidRDefault="00270A8D" w:rsidP="00CF2F4C">
      <w:pPr>
        <w:spacing w:line="360" w:lineRule="auto"/>
        <w:jc w:val="both"/>
        <w:rPr>
          <w:rFonts w:ascii="Arial" w:hAnsi="Arial" w:cs="Arial"/>
          <w:color w:val="000000"/>
          <w:shd w:val="clear" w:color="auto" w:fill="FFFFFF"/>
        </w:rPr>
      </w:pPr>
    </w:p>
    <w:p w14:paraId="123962B5" w14:textId="3E8C6CA1" w:rsidR="00270A8D" w:rsidRDefault="00270A8D" w:rsidP="00CF2F4C">
      <w:pPr>
        <w:spacing w:line="360" w:lineRule="auto"/>
        <w:jc w:val="both"/>
        <w:rPr>
          <w:rFonts w:ascii="Arial" w:hAnsi="Arial" w:cs="Arial"/>
          <w:color w:val="000000"/>
          <w:shd w:val="clear" w:color="auto" w:fill="FFFFFF"/>
        </w:rPr>
      </w:pPr>
    </w:p>
    <w:p w14:paraId="2C304324" w14:textId="528C9012" w:rsidR="00270A8D" w:rsidRDefault="00270A8D" w:rsidP="00CF2F4C">
      <w:pPr>
        <w:spacing w:line="360" w:lineRule="auto"/>
        <w:jc w:val="both"/>
        <w:rPr>
          <w:rFonts w:ascii="Arial" w:hAnsi="Arial" w:cs="Arial"/>
          <w:color w:val="000000"/>
          <w:shd w:val="clear" w:color="auto" w:fill="FFFFFF"/>
        </w:rPr>
      </w:pPr>
    </w:p>
    <w:p w14:paraId="757FF421" w14:textId="5D3EE016" w:rsidR="00270A8D" w:rsidRDefault="00270A8D" w:rsidP="00270A8D">
      <w:pPr>
        <w:spacing w:line="360" w:lineRule="auto"/>
        <w:jc w:val="center"/>
        <w:rPr>
          <w:rFonts w:ascii="Arial" w:hAnsi="Arial" w:cs="Arial"/>
          <w:b/>
          <w:bCs/>
          <w:color w:val="000000"/>
          <w:sz w:val="28"/>
          <w:szCs w:val="28"/>
          <w:shd w:val="clear" w:color="auto" w:fill="FFFFFF"/>
        </w:rPr>
      </w:pPr>
      <w:r w:rsidRPr="00270A8D">
        <w:rPr>
          <w:rFonts w:ascii="Arial" w:hAnsi="Arial" w:cs="Arial"/>
          <w:b/>
          <w:bCs/>
          <w:color w:val="000000"/>
          <w:sz w:val="28"/>
          <w:szCs w:val="28"/>
          <w:shd w:val="clear" w:color="auto" w:fill="FFFFFF"/>
        </w:rPr>
        <w:t>REFERNCES</w:t>
      </w:r>
    </w:p>
    <w:p w14:paraId="5B49D6E6" w14:textId="77777777" w:rsidR="002C026C" w:rsidRDefault="002C026C" w:rsidP="002C026C"/>
    <w:p w14:paraId="3AC6238D" w14:textId="77777777" w:rsidR="002C026C" w:rsidRDefault="002C026C" w:rsidP="002C026C"/>
    <w:p w14:paraId="5E4EA493" w14:textId="77777777" w:rsidR="002C026C" w:rsidRDefault="002C026C" w:rsidP="002C026C"/>
    <w:p w14:paraId="0A0C78C4" w14:textId="77777777" w:rsidR="002C026C" w:rsidRDefault="002C026C" w:rsidP="002C026C"/>
    <w:p w14:paraId="1B81B71F" w14:textId="77777777" w:rsidR="002C026C" w:rsidRDefault="002C026C" w:rsidP="002C026C">
      <w:pPr>
        <w:rPr>
          <w:rStyle w:val="selectable"/>
          <w:rFonts w:ascii="Open Sans" w:hAnsi="Open Sans" w:cs="Open Sans"/>
          <w:color w:val="000000"/>
          <w:sz w:val="20"/>
          <w:szCs w:val="20"/>
          <w:shd w:val="clear" w:color="auto" w:fill="FFFFFF"/>
        </w:rPr>
      </w:pPr>
      <w:r w:rsidRPr="007704A4">
        <w:rPr>
          <w:rStyle w:val="selectable"/>
          <w:rFonts w:ascii="Arial" w:hAnsi="Arial" w:cs="Arial"/>
          <w:color w:val="000000"/>
          <w:shd w:val="clear" w:color="auto" w:fill="FFFFFF"/>
        </w:rPr>
        <w:t xml:space="preserve">Crews, D. and Zavotka, S. (2006) </w:t>
      </w:r>
      <w:r>
        <w:rPr>
          <w:rStyle w:val="selectable"/>
          <w:rFonts w:ascii="Arial" w:hAnsi="Arial" w:cs="Arial"/>
          <w:color w:val="000000"/>
          <w:shd w:val="clear" w:color="auto" w:fill="FFFFFF"/>
        </w:rPr>
        <w:t xml:space="preserve"> ‘</w:t>
      </w:r>
      <w:r w:rsidRPr="007704A4">
        <w:rPr>
          <w:rStyle w:val="selectable"/>
          <w:rFonts w:ascii="Arial" w:hAnsi="Arial" w:cs="Arial"/>
          <w:color w:val="000000"/>
          <w:shd w:val="clear" w:color="auto" w:fill="FFFFFF"/>
        </w:rPr>
        <w:t>Aging, Disability, and Frailty</w:t>
      </w:r>
      <w:r>
        <w:rPr>
          <w:rStyle w:val="selectable"/>
          <w:rFonts w:ascii="Arial" w:hAnsi="Arial" w:cs="Arial"/>
          <w:color w:val="000000"/>
          <w:shd w:val="clear" w:color="auto" w:fill="FFFFFF"/>
        </w:rPr>
        <w:t xml:space="preserve"> ‘ ,</w:t>
      </w:r>
      <w:r w:rsidRPr="007704A4">
        <w:rPr>
          <w:rStyle w:val="selectable"/>
          <w:rFonts w:ascii="Arial" w:hAnsi="Arial" w:cs="Arial"/>
          <w:color w:val="000000"/>
          <w:shd w:val="clear" w:color="auto" w:fill="FFFFFF"/>
        </w:rPr>
        <w:t>: Implications for Universal Design</w:t>
      </w:r>
      <w:r>
        <w:rPr>
          <w:rStyle w:val="selectable"/>
          <w:rFonts w:ascii="Open Sans" w:hAnsi="Open Sans" w:cs="Open Sans"/>
          <w:color w:val="000000"/>
          <w:sz w:val="20"/>
          <w:szCs w:val="20"/>
          <w:shd w:val="clear" w:color="auto" w:fill="FFFFFF"/>
        </w:rPr>
        <w:t>. </w:t>
      </w:r>
      <w:r>
        <w:rPr>
          <w:rStyle w:val="selectable"/>
          <w:rFonts w:ascii="Open Sans" w:hAnsi="Open Sans" w:cs="Open Sans"/>
          <w:i/>
          <w:iCs/>
          <w:color w:val="000000"/>
          <w:sz w:val="20"/>
          <w:szCs w:val="20"/>
          <w:shd w:val="clear" w:color="auto" w:fill="FFFFFF"/>
        </w:rPr>
        <w:t>Journal of PHYSIOLOGICAL ANTHROPOLOGY</w:t>
      </w:r>
      <w:r>
        <w:rPr>
          <w:rStyle w:val="selectable"/>
          <w:rFonts w:ascii="Open Sans" w:hAnsi="Open Sans" w:cs="Open Sans"/>
          <w:color w:val="000000"/>
          <w:sz w:val="20"/>
          <w:szCs w:val="20"/>
          <w:shd w:val="clear" w:color="auto" w:fill="FFFFFF"/>
        </w:rPr>
        <w:t>, 25(1), pp.113-118</w:t>
      </w:r>
    </w:p>
    <w:p w14:paraId="5A5AD16A" w14:textId="77777777" w:rsidR="002C026C" w:rsidRDefault="002C026C" w:rsidP="002C026C"/>
    <w:p w14:paraId="6920AF57" w14:textId="77777777" w:rsidR="002C026C" w:rsidRDefault="002C026C" w:rsidP="002C026C">
      <w:pPr>
        <w:rPr>
          <w:rFonts w:ascii="Arial" w:hAnsi="Arial" w:cs="Arial"/>
          <w:color w:val="222222"/>
          <w:sz w:val="20"/>
          <w:szCs w:val="20"/>
          <w:shd w:val="clear" w:color="auto" w:fill="FFFFFF"/>
        </w:rPr>
      </w:pPr>
      <w:r w:rsidRPr="0068024B">
        <w:rPr>
          <w:rFonts w:ascii="Arial" w:hAnsi="Arial" w:cs="Arial"/>
          <w:color w:val="222222"/>
          <w:shd w:val="clear" w:color="auto" w:fill="FFFFFF"/>
        </w:rPr>
        <w:t>Tinker, A. and Lansley, P.(2005) ‘ Introducing assistive technology into the existing homes of older people: feasibility</w:t>
      </w:r>
      <w:r>
        <w:rPr>
          <w:rFonts w:ascii="Arial" w:hAnsi="Arial" w:cs="Arial"/>
          <w:color w:val="222222"/>
          <w:shd w:val="clear" w:color="auto" w:fill="FFFFFF"/>
        </w:rPr>
        <w:t xml:space="preserve"> ‘</w:t>
      </w:r>
      <w:r w:rsidRPr="0068024B">
        <w:rPr>
          <w:rFonts w:ascii="Arial" w:hAnsi="Arial" w:cs="Arial"/>
          <w:color w:val="222222"/>
          <w:shd w:val="clear" w:color="auto" w:fill="FFFFFF"/>
        </w:rPr>
        <w:t>, acceptability, costs and outcomes</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Journal of telemedicine and telecare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(1) pp.1-3.</w:t>
      </w:r>
    </w:p>
    <w:p w14:paraId="25F382A9" w14:textId="77777777" w:rsidR="002C026C" w:rsidRDefault="002C026C" w:rsidP="002C026C">
      <w:pPr>
        <w:rPr>
          <w:rFonts w:ascii="Arial" w:hAnsi="Arial" w:cs="Arial"/>
          <w:color w:val="222222"/>
          <w:sz w:val="20"/>
          <w:szCs w:val="20"/>
          <w:shd w:val="clear" w:color="auto" w:fill="FFFFFF"/>
        </w:rPr>
      </w:pPr>
    </w:p>
    <w:p w14:paraId="09E85002" w14:textId="77777777" w:rsidR="002C026C" w:rsidRPr="00D1734F" w:rsidRDefault="002C026C" w:rsidP="002C026C">
      <w:pPr>
        <w:shd w:val="clear" w:color="auto" w:fill="FFFFFF"/>
        <w:spacing w:after="0" w:line="360" w:lineRule="atLeast"/>
        <w:ind w:hanging="120"/>
        <w:rPr>
          <w:rFonts w:ascii="Open Sans" w:eastAsia="Times New Roman" w:hAnsi="Open Sans" w:cs="Open Sans"/>
          <w:color w:val="666666"/>
          <w:sz w:val="20"/>
          <w:szCs w:val="20"/>
          <w:lang w:eastAsia="en-GB"/>
        </w:rPr>
      </w:pPr>
    </w:p>
    <w:p w14:paraId="30522290" w14:textId="77777777" w:rsidR="002C026C" w:rsidRPr="00D1734F" w:rsidRDefault="002C026C" w:rsidP="002C026C">
      <w:pPr>
        <w:shd w:val="clear" w:color="auto" w:fill="FFFFFF"/>
        <w:spacing w:after="0" w:line="360" w:lineRule="atLeast"/>
        <w:ind w:hanging="120"/>
        <w:rPr>
          <w:rFonts w:ascii="Open Sans" w:eastAsia="Times New Roman" w:hAnsi="Open Sans" w:cs="Open Sans"/>
          <w:color w:val="666666"/>
          <w:sz w:val="20"/>
          <w:szCs w:val="20"/>
          <w:lang w:eastAsia="en-GB"/>
        </w:rPr>
      </w:pPr>
      <w:r w:rsidRPr="0048685F">
        <w:rPr>
          <w:rFonts w:ascii="Open Sans" w:eastAsia="Times New Roman" w:hAnsi="Open Sans" w:cs="Open Sans"/>
          <w:b/>
          <w:bCs/>
          <w:color w:val="666666"/>
          <w:lang w:eastAsia="en-GB"/>
        </w:rPr>
        <w:t xml:space="preserve">  </w:t>
      </w:r>
      <w:r w:rsidRPr="0048685F">
        <w:rPr>
          <w:rFonts w:ascii="Open Sans" w:eastAsia="Times New Roman" w:hAnsi="Open Sans" w:cs="Open Sans"/>
          <w:color w:val="000000"/>
          <w:lang w:eastAsia="en-GB"/>
        </w:rPr>
        <w:t>Damant, J., Knapp, M., Freddolino, P. and Lombard, D. (2016 )  ‘Effects of digital engagement on the quality of life of older people</w:t>
      </w:r>
      <w:r>
        <w:rPr>
          <w:rFonts w:ascii="Open Sans" w:eastAsia="Times New Roman" w:hAnsi="Open Sans" w:cs="Open Sans"/>
          <w:color w:val="000000"/>
          <w:sz w:val="20"/>
          <w:szCs w:val="20"/>
          <w:lang w:eastAsia="en-GB"/>
        </w:rPr>
        <w:t xml:space="preserve"> ‘,</w:t>
      </w:r>
      <w:r w:rsidRPr="00D1734F">
        <w:rPr>
          <w:rFonts w:ascii="Open Sans" w:eastAsia="Times New Roman" w:hAnsi="Open Sans" w:cs="Open Sans"/>
          <w:color w:val="000000"/>
          <w:sz w:val="20"/>
          <w:szCs w:val="20"/>
          <w:lang w:eastAsia="en-GB"/>
        </w:rPr>
        <w:t> </w:t>
      </w:r>
      <w:r w:rsidRPr="00D1734F">
        <w:rPr>
          <w:rFonts w:ascii="Open Sans" w:eastAsia="Times New Roman" w:hAnsi="Open Sans" w:cs="Open Sans"/>
          <w:i/>
          <w:iCs/>
          <w:color w:val="000000"/>
          <w:sz w:val="20"/>
          <w:szCs w:val="20"/>
          <w:lang w:eastAsia="en-GB"/>
        </w:rPr>
        <w:t>Health &amp;amp; Social Care in the Community</w:t>
      </w:r>
      <w:r w:rsidRPr="00D1734F">
        <w:rPr>
          <w:rFonts w:ascii="Open Sans" w:eastAsia="Times New Roman" w:hAnsi="Open Sans" w:cs="Open Sans"/>
          <w:color w:val="000000"/>
          <w:sz w:val="20"/>
          <w:szCs w:val="20"/>
          <w:lang w:eastAsia="en-GB"/>
        </w:rPr>
        <w:t>, 25(6), pp.1679-1703</w:t>
      </w:r>
      <w:r>
        <w:rPr>
          <w:rFonts w:ascii="Open Sans" w:eastAsia="Times New Roman" w:hAnsi="Open Sans" w:cs="Open Sans"/>
          <w:color w:val="000000"/>
          <w:sz w:val="20"/>
          <w:szCs w:val="20"/>
          <w:lang w:eastAsia="en-GB"/>
        </w:rPr>
        <w:t>.</w:t>
      </w:r>
    </w:p>
    <w:p w14:paraId="5A04ACE0" w14:textId="77777777" w:rsidR="002C026C" w:rsidRDefault="002C026C" w:rsidP="002C026C">
      <w:pPr>
        <w:shd w:val="clear" w:color="auto" w:fill="FFFFFF"/>
        <w:spacing w:after="0" w:line="360" w:lineRule="atLeast"/>
        <w:ind w:hanging="120"/>
        <w:rPr>
          <w:rFonts w:ascii="Open Sans" w:eastAsia="Times New Roman" w:hAnsi="Open Sans" w:cs="Open Sans"/>
          <w:color w:val="666666"/>
          <w:sz w:val="20"/>
          <w:szCs w:val="20"/>
          <w:lang w:eastAsia="en-GB"/>
        </w:rPr>
      </w:pPr>
    </w:p>
    <w:p w14:paraId="006900EB" w14:textId="77777777" w:rsidR="002C026C" w:rsidRDefault="002C026C" w:rsidP="002C026C">
      <w:pPr>
        <w:rPr>
          <w:rFonts w:ascii="Arial" w:hAnsi="Arial" w:cs="Arial"/>
          <w:color w:val="222222"/>
          <w:sz w:val="20"/>
          <w:szCs w:val="20"/>
          <w:shd w:val="clear" w:color="auto" w:fill="FFFFFF"/>
        </w:rPr>
      </w:pPr>
    </w:p>
    <w:p w14:paraId="5754EE4B" w14:textId="77777777" w:rsidR="002C026C" w:rsidRDefault="002C026C" w:rsidP="002C026C">
      <w:pPr>
        <w:shd w:val="clear" w:color="auto" w:fill="FFFFFF"/>
        <w:spacing w:after="0" w:line="360" w:lineRule="atLeast"/>
        <w:ind w:hanging="120"/>
      </w:pPr>
    </w:p>
    <w:p w14:paraId="7046928E" w14:textId="77777777" w:rsidR="002C026C" w:rsidRDefault="002C026C" w:rsidP="002C026C">
      <w:pPr>
        <w:shd w:val="clear" w:color="auto" w:fill="FFFFFF"/>
        <w:spacing w:after="0" w:line="360" w:lineRule="atLeast"/>
        <w:ind w:hanging="120"/>
        <w:rPr>
          <w:i/>
          <w:iCs/>
        </w:rPr>
      </w:pPr>
      <w:r w:rsidRPr="00E5721B">
        <w:rPr>
          <w:rFonts w:ascii="Arial" w:hAnsi="Arial" w:cs="Arial"/>
        </w:rPr>
        <w:t>Luppicini, R.(2005) ‘ A system Definition of  Education Technology in Society</w:t>
      </w:r>
      <w:r>
        <w:t xml:space="preserve"> ‘ , </w:t>
      </w:r>
      <w:r w:rsidRPr="00A71814">
        <w:rPr>
          <w:i/>
          <w:iCs/>
        </w:rPr>
        <w:t xml:space="preserve">Journal of  </w:t>
      </w:r>
      <w:r>
        <w:rPr>
          <w:i/>
          <w:iCs/>
        </w:rPr>
        <w:t xml:space="preserve"> </w:t>
      </w:r>
      <w:r w:rsidRPr="00A71814">
        <w:rPr>
          <w:i/>
          <w:iCs/>
        </w:rPr>
        <w:t xml:space="preserve">Education Technology and society </w:t>
      </w:r>
      <w:r>
        <w:rPr>
          <w:i/>
          <w:iCs/>
        </w:rPr>
        <w:t>,</w:t>
      </w:r>
      <w:r w:rsidRPr="00A71814">
        <w:rPr>
          <w:i/>
          <w:iCs/>
        </w:rPr>
        <w:t>8(3), pp 103- 109.</w:t>
      </w:r>
    </w:p>
    <w:p w14:paraId="5E713B9C" w14:textId="77777777" w:rsidR="002C026C" w:rsidRPr="00660C1F" w:rsidRDefault="002C026C" w:rsidP="002C026C">
      <w:pPr>
        <w:shd w:val="clear" w:color="auto" w:fill="FFFFFF"/>
        <w:spacing w:after="0" w:line="360" w:lineRule="atLeast"/>
        <w:ind w:hanging="120"/>
        <w:rPr>
          <w:b/>
          <w:bCs/>
          <w:i/>
          <w:iCs/>
        </w:rPr>
      </w:pPr>
    </w:p>
    <w:p w14:paraId="3908AA69" w14:textId="77777777" w:rsidR="002C026C" w:rsidRDefault="002C026C" w:rsidP="002C026C"/>
    <w:p w14:paraId="1C7E56B6" w14:textId="77777777" w:rsidR="002C026C" w:rsidRDefault="002C026C" w:rsidP="002C026C">
      <w:pPr>
        <w:rPr>
          <w:rStyle w:val="selectable"/>
          <w:rFonts w:ascii="Open Sans" w:hAnsi="Open Sans" w:cs="Open Sans"/>
          <w:color w:val="000000"/>
          <w:sz w:val="20"/>
          <w:szCs w:val="20"/>
          <w:shd w:val="clear" w:color="auto" w:fill="FFFFFF"/>
        </w:rPr>
      </w:pPr>
      <w:r w:rsidRPr="00660C1F">
        <w:rPr>
          <w:rStyle w:val="Strong"/>
          <w:rFonts w:ascii="Open Sans" w:hAnsi="Open Sans" w:cs="Open Sans"/>
          <w:color w:val="666666"/>
          <w:shd w:val="clear" w:color="auto" w:fill="FFFFFF"/>
        </w:rPr>
        <w:t> </w:t>
      </w:r>
      <w:r w:rsidRPr="00660C1F">
        <w:rPr>
          <w:rStyle w:val="selectable"/>
          <w:rFonts w:ascii="Arial" w:hAnsi="Arial" w:cs="Arial"/>
          <w:color w:val="000000"/>
          <w:shd w:val="clear" w:color="auto" w:fill="FFFFFF"/>
        </w:rPr>
        <w:t>Yusif, S., Soar, J. and Hafeez-Baig, A.</w:t>
      </w:r>
      <w:r>
        <w:rPr>
          <w:rStyle w:val="selectable"/>
          <w:rFonts w:ascii="Arial" w:hAnsi="Arial" w:cs="Arial"/>
          <w:color w:val="000000"/>
          <w:shd w:val="clear" w:color="auto" w:fill="FFFFFF"/>
        </w:rPr>
        <w:t>(</w:t>
      </w:r>
      <w:r w:rsidRPr="00660C1F">
        <w:rPr>
          <w:rStyle w:val="selectable"/>
          <w:rFonts w:ascii="Arial" w:hAnsi="Arial" w:cs="Arial"/>
          <w:color w:val="000000"/>
          <w:shd w:val="clear" w:color="auto" w:fill="FFFFFF"/>
        </w:rPr>
        <w:t xml:space="preserve"> 201</w:t>
      </w:r>
      <w:r>
        <w:rPr>
          <w:rStyle w:val="selectable"/>
          <w:rFonts w:ascii="Arial" w:hAnsi="Arial" w:cs="Arial"/>
          <w:color w:val="000000"/>
          <w:shd w:val="clear" w:color="auto" w:fill="FFFFFF"/>
        </w:rPr>
        <w:t>6 ) ‘</w:t>
      </w:r>
      <w:r w:rsidRPr="00660C1F">
        <w:rPr>
          <w:rStyle w:val="selectable"/>
          <w:rFonts w:ascii="Arial" w:hAnsi="Arial" w:cs="Arial"/>
          <w:color w:val="000000"/>
          <w:shd w:val="clear" w:color="auto" w:fill="FFFFFF"/>
        </w:rPr>
        <w:t xml:space="preserve"> Older people, assistive technologies, and the barriers to adoption</w:t>
      </w:r>
      <w:r>
        <w:rPr>
          <w:rStyle w:val="selectable"/>
          <w:rFonts w:ascii="Arial" w:hAnsi="Arial" w:cs="Arial"/>
          <w:color w:val="000000"/>
          <w:shd w:val="clear" w:color="auto" w:fill="FFFFFF"/>
        </w:rPr>
        <w:t>’, :</w:t>
      </w:r>
      <w:r w:rsidRPr="00660C1F">
        <w:rPr>
          <w:rStyle w:val="selectable"/>
          <w:rFonts w:ascii="Arial" w:hAnsi="Arial" w:cs="Arial"/>
          <w:color w:val="000000"/>
          <w:shd w:val="clear" w:color="auto" w:fill="FFFFFF"/>
        </w:rPr>
        <w:t xml:space="preserve"> A systematic review</w:t>
      </w:r>
      <w:r>
        <w:rPr>
          <w:rStyle w:val="selectable"/>
          <w:rFonts w:ascii="Open Sans" w:hAnsi="Open Sans" w:cs="Open Sans"/>
          <w:color w:val="000000"/>
          <w:sz w:val="20"/>
          <w:szCs w:val="20"/>
          <w:shd w:val="clear" w:color="auto" w:fill="FFFFFF"/>
        </w:rPr>
        <w:t>. </w:t>
      </w:r>
      <w:r>
        <w:rPr>
          <w:rStyle w:val="selectable"/>
          <w:rFonts w:ascii="Open Sans" w:hAnsi="Open Sans" w:cs="Open Sans"/>
          <w:i/>
          <w:iCs/>
          <w:color w:val="000000"/>
          <w:sz w:val="20"/>
          <w:szCs w:val="20"/>
          <w:shd w:val="clear" w:color="auto" w:fill="FFFFFF"/>
        </w:rPr>
        <w:t>International Journal of Medical Informatics</w:t>
      </w:r>
      <w:r>
        <w:rPr>
          <w:rStyle w:val="selectable"/>
          <w:rFonts w:ascii="Open Sans" w:hAnsi="Open Sans" w:cs="Open Sans"/>
          <w:color w:val="000000"/>
          <w:sz w:val="20"/>
          <w:szCs w:val="20"/>
          <w:shd w:val="clear" w:color="auto" w:fill="FFFFFF"/>
        </w:rPr>
        <w:t>, 94, pp.112-116.</w:t>
      </w:r>
    </w:p>
    <w:p w14:paraId="35D1526B" w14:textId="77777777" w:rsidR="002C026C" w:rsidRDefault="002C026C" w:rsidP="002C026C">
      <w:pPr>
        <w:rPr>
          <w:rStyle w:val="selectable"/>
          <w:rFonts w:ascii="Open Sans" w:hAnsi="Open Sans" w:cs="Open Sans"/>
          <w:color w:val="000000"/>
          <w:sz w:val="20"/>
          <w:szCs w:val="20"/>
          <w:shd w:val="clear" w:color="auto" w:fill="FFFFFF"/>
        </w:rPr>
      </w:pPr>
    </w:p>
    <w:p w14:paraId="3A53A598" w14:textId="77777777" w:rsidR="002C026C" w:rsidRDefault="002C026C" w:rsidP="002C026C">
      <w:pPr>
        <w:rPr>
          <w:rFonts w:ascii="Arial" w:hAnsi="Arial" w:cs="Arial"/>
          <w:color w:val="222222"/>
          <w:sz w:val="20"/>
          <w:szCs w:val="20"/>
          <w:shd w:val="clear" w:color="auto" w:fill="FFFFFF"/>
        </w:rPr>
      </w:pPr>
      <w:r>
        <w:rPr>
          <w:rFonts w:ascii="Arial" w:hAnsi="Arial" w:cs="Arial"/>
          <w:color w:val="222222"/>
          <w:sz w:val="20"/>
          <w:szCs w:val="20"/>
          <w:shd w:val="clear" w:color="auto" w:fill="FFFFFF"/>
        </w:rPr>
        <w:t>Gibson, G., Dickinson, C., Brittain, K. and Robinson, L.( 2015). ‘The everyday use of assistive technology by people with dementia and their family carers ‘,: a qualitative study. </w:t>
      </w:r>
      <w:r>
        <w:rPr>
          <w:rFonts w:ascii="Arial" w:hAnsi="Arial" w:cs="Arial"/>
          <w:i/>
          <w:iCs/>
          <w:color w:val="222222"/>
          <w:sz w:val="20"/>
          <w:szCs w:val="20"/>
          <w:shd w:val="clear" w:color="auto" w:fill="FFFFFF"/>
        </w:rPr>
        <w:t>BMC geriatrics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(1), pp.1-10..</w:t>
      </w:r>
    </w:p>
    <w:p w14:paraId="36048013" w14:textId="77777777" w:rsidR="002C026C" w:rsidRDefault="002C026C" w:rsidP="002C026C">
      <w:pPr>
        <w:rPr>
          <w:rFonts w:ascii="Arial" w:hAnsi="Arial" w:cs="Arial"/>
          <w:color w:val="222222"/>
          <w:sz w:val="20"/>
          <w:szCs w:val="20"/>
          <w:shd w:val="clear" w:color="auto" w:fill="FFFFFF"/>
        </w:rPr>
      </w:pPr>
    </w:p>
    <w:p w14:paraId="65B23A28" w14:textId="77777777" w:rsidR="002C026C" w:rsidRDefault="002C026C" w:rsidP="002C026C">
      <w:r>
        <w:rPr>
          <w:rFonts w:ascii="Arial" w:hAnsi="Arial" w:cs="Arial"/>
          <w:color w:val="222222"/>
          <w:sz w:val="20"/>
          <w:szCs w:val="20"/>
          <w:shd w:val="clear" w:color="auto" w:fill="FFFFFF"/>
        </w:rPr>
        <w:t xml:space="preserve">Age UK (2019) </w:t>
      </w:r>
      <w:r w:rsidRPr="00A2380F">
        <w:rPr>
          <w:rFonts w:ascii="Arial" w:hAnsi="Arial" w:cs="Arial"/>
          <w:i/>
          <w:iCs/>
          <w:color w:val="222222"/>
          <w:sz w:val="20"/>
          <w:szCs w:val="20"/>
          <w:shd w:val="clear" w:color="auto" w:fill="FFFFFF"/>
        </w:rPr>
        <w:t>Later Life in the United Kingdom</w:t>
      </w:r>
      <w:r>
        <w:rPr>
          <w:rFonts w:ascii="Arial" w:hAnsi="Arial" w:cs="Arial"/>
          <w:color w:val="222222"/>
          <w:sz w:val="20"/>
          <w:szCs w:val="20"/>
          <w:shd w:val="clear" w:color="auto" w:fill="FFFFFF"/>
        </w:rPr>
        <w:t>. Available at :http:</w:t>
      </w:r>
      <w:r>
        <w:t>//</w:t>
      </w:r>
      <w:hyperlink r:id="rId4" w:history="1">
        <w:r w:rsidRPr="006D7CFC">
          <w:rPr>
            <w:rStyle w:val="Hyperlink"/>
          </w:rPr>
          <w:t>www.ageuk.org.uk/globalassets/age-uk/documents/reports-and-publications/later_life_uk_factsheet.pd</w:t>
        </w:r>
      </w:hyperlink>
      <w:r>
        <w:t>.( Accessed : 24 July 2022)</w:t>
      </w:r>
    </w:p>
    <w:p w14:paraId="016E07E5" w14:textId="77777777" w:rsidR="002C026C" w:rsidRDefault="002C026C" w:rsidP="002C026C">
      <w:pPr>
        <w:rPr>
          <w:rFonts w:ascii="Arial" w:hAnsi="Arial" w:cs="Arial"/>
        </w:rPr>
      </w:pPr>
    </w:p>
    <w:p w14:paraId="75319D3A" w14:textId="77777777" w:rsidR="002C026C" w:rsidRPr="0078698E" w:rsidRDefault="002C026C" w:rsidP="002C026C">
      <w:pPr>
        <w:rPr>
          <w:rStyle w:val="Hyperlink"/>
          <w:color w:val="000000" w:themeColor="text1"/>
        </w:rPr>
      </w:pPr>
      <w:r>
        <w:t>Department of Health and Social care (2022).</w:t>
      </w:r>
      <w:r w:rsidRPr="000C59F0">
        <w:rPr>
          <w:i/>
          <w:iCs/>
        </w:rPr>
        <w:t>Impact statement : Adult Social Care Reform</w:t>
      </w:r>
      <w:r>
        <w:t xml:space="preserve">. Available at : </w:t>
      </w:r>
      <w:hyperlink r:id="rId5" w:history="1">
        <w:r w:rsidRPr="006D7CFC">
          <w:rPr>
            <w:rStyle w:val="Hyperlink"/>
          </w:rPr>
          <w:t>http://assets.publishing.service.gov.uk/government/uploads/system/uploads/attachment_data/file/1056192/adult_social_care_sysem_reform_impact_statement.pdj</w:t>
        </w:r>
      </w:hyperlink>
      <w:r>
        <w:rPr>
          <w:rStyle w:val="Hyperlink"/>
        </w:rPr>
        <w:t>. (</w:t>
      </w:r>
      <w:r>
        <w:rPr>
          <w:rStyle w:val="Hyperlink"/>
          <w:color w:val="000000" w:themeColor="text1"/>
        </w:rPr>
        <w:t>Accessed  :  25 July 2022)</w:t>
      </w:r>
    </w:p>
    <w:p w14:paraId="0B69AD64" w14:textId="77777777" w:rsidR="002C026C" w:rsidRPr="0078698E" w:rsidRDefault="002C026C" w:rsidP="002C026C">
      <w:pPr>
        <w:rPr>
          <w:color w:val="000000" w:themeColor="text1"/>
        </w:rPr>
      </w:pPr>
      <w:r>
        <w:rPr>
          <w:rStyle w:val="Hyperlink"/>
          <w:color w:val="FFFFFF" w:themeColor="background1"/>
        </w:rPr>
        <w:t>’,</w:t>
      </w:r>
    </w:p>
    <w:p w14:paraId="702D82F5" w14:textId="77777777" w:rsidR="002C026C" w:rsidRDefault="002C026C" w:rsidP="002C026C">
      <w:r>
        <w:t>Age UK (2021)</w:t>
      </w:r>
      <w:r w:rsidRPr="007C129C">
        <w:t xml:space="preserve"> </w:t>
      </w:r>
      <w:r w:rsidRPr="004B4351">
        <w:rPr>
          <w:i/>
          <w:iCs/>
        </w:rPr>
        <w:t>Impact of Covid-19 on older people’s mental and physical health</w:t>
      </w:r>
      <w:r>
        <w:t xml:space="preserve">: </w:t>
      </w:r>
      <w:r w:rsidRPr="00833B53">
        <w:rPr>
          <w:i/>
          <w:iCs/>
        </w:rPr>
        <w:t>one year on</w:t>
      </w:r>
      <w:r>
        <w:t>. Available at : https</w:t>
      </w:r>
      <w:r w:rsidRPr="007C129C">
        <w:t xml:space="preserve"> </w:t>
      </w:r>
      <w:hyperlink r:id="rId6" w:history="1">
        <w:r w:rsidRPr="006D7CFC">
          <w:rPr>
            <w:rStyle w:val="Hyperlink"/>
          </w:rPr>
          <w:t>http://www.ageuk.org.uk/globalassets/age-uk/documents/reports-and-publications/reports-and-briefings/health--wellbeing/coronavirus/id204712-age-uk-coronavirus-impact-report---one-year-on.pdf</w:t>
        </w:r>
      </w:hyperlink>
      <w:r>
        <w:t>.  (Accessed  :22 July 2022)</w:t>
      </w:r>
    </w:p>
    <w:p w14:paraId="1D05E299" w14:textId="77777777" w:rsidR="002C026C" w:rsidRDefault="002C026C" w:rsidP="002C026C"/>
    <w:p w14:paraId="05D2C926" w14:textId="77777777" w:rsidR="002C026C" w:rsidRPr="00787227" w:rsidRDefault="002C026C" w:rsidP="002C026C">
      <w:pPr>
        <w:shd w:val="clear" w:color="auto" w:fill="FFFFFF"/>
        <w:spacing w:after="0" w:line="360" w:lineRule="atLeast"/>
        <w:ind w:hanging="120"/>
        <w:rPr>
          <w:rFonts w:ascii="Open Sans" w:eastAsia="Times New Roman" w:hAnsi="Open Sans" w:cs="Open Sans"/>
          <w:color w:val="666666"/>
          <w:sz w:val="20"/>
          <w:szCs w:val="20"/>
          <w:lang w:eastAsia="en-GB"/>
        </w:rPr>
      </w:pPr>
    </w:p>
    <w:p w14:paraId="027B67D0" w14:textId="77777777" w:rsidR="002C026C" w:rsidRDefault="002C026C" w:rsidP="002C026C">
      <w:pPr>
        <w:rPr>
          <w:rFonts w:ascii="Open Sans" w:hAnsi="Open Sans" w:cs="Open Sans"/>
          <w:color w:val="000000"/>
          <w:sz w:val="20"/>
          <w:szCs w:val="20"/>
          <w:shd w:val="clear" w:color="auto" w:fill="FFFFFF"/>
        </w:rPr>
      </w:pPr>
      <w:r>
        <w:t xml:space="preserve"> </w:t>
      </w:r>
      <w:r>
        <w:rPr>
          <w:rFonts w:ascii="Open Sans" w:hAnsi="Open Sans" w:cs="Open Sans"/>
          <w:color w:val="000000"/>
          <w:sz w:val="20"/>
          <w:szCs w:val="20"/>
          <w:shd w:val="clear" w:color="auto" w:fill="FFFFFF"/>
        </w:rPr>
        <w:t>GOV.UK ( 2015)  </w:t>
      </w:r>
      <w:r w:rsidRPr="00FC0623">
        <w:rPr>
          <w:rFonts w:ascii="Open Sans" w:hAnsi="Open Sans" w:cs="Open Sans"/>
          <w:i/>
          <w:iCs/>
          <w:color w:val="000000"/>
          <w:sz w:val="20"/>
          <w:szCs w:val="20"/>
          <w:shd w:val="clear" w:color="auto" w:fill="FFFFFF"/>
        </w:rPr>
        <w:t>Equality Act 2010: guidance</w:t>
      </w:r>
      <w:r>
        <w:rPr>
          <w:rFonts w:ascii="Open Sans" w:hAnsi="Open Sans" w:cs="Open Sans"/>
          <w:color w:val="000000"/>
          <w:sz w:val="20"/>
          <w:szCs w:val="20"/>
          <w:shd w:val="clear" w:color="auto" w:fill="FFFFFF"/>
        </w:rPr>
        <w:t>.  Available at : http ://www.gov.uk/guidance/equality-act-2010-guidance&gt; (Accessed : 24 July 2022)</w:t>
      </w:r>
    </w:p>
    <w:p w14:paraId="534A4218" w14:textId="77777777" w:rsidR="002C026C" w:rsidRPr="00185DD0" w:rsidRDefault="002C026C" w:rsidP="002C026C">
      <w:pPr>
        <w:rPr>
          <w:rFonts w:ascii="Arial" w:hAnsi="Arial" w:cs="Arial"/>
          <w:color w:val="000000"/>
          <w:shd w:val="clear" w:color="auto" w:fill="FFFFFF"/>
        </w:rPr>
      </w:pPr>
    </w:p>
    <w:p w14:paraId="62D68104" w14:textId="55930150" w:rsidR="002C026C" w:rsidRPr="00185DD0" w:rsidRDefault="002C026C" w:rsidP="002C026C">
      <w:pPr>
        <w:rPr>
          <w:rFonts w:ascii="Arial" w:hAnsi="Arial" w:cs="Arial"/>
          <w:color w:val="0B0C0C"/>
          <w:shd w:val="clear" w:color="auto" w:fill="FFFFFF"/>
        </w:rPr>
      </w:pPr>
      <w:r w:rsidRPr="00185DD0">
        <w:rPr>
          <w:rStyle w:val="Strong"/>
          <w:rFonts w:ascii="Arial" w:hAnsi="Arial" w:cs="Arial"/>
          <w:color w:val="666666"/>
          <w:shd w:val="clear" w:color="auto" w:fill="FFFFFF"/>
        </w:rPr>
        <w:t> </w:t>
      </w:r>
      <w:r w:rsidRPr="00185DD0">
        <w:rPr>
          <w:rStyle w:val="selectable"/>
          <w:rFonts w:ascii="Arial" w:hAnsi="Arial" w:cs="Arial"/>
          <w:color w:val="000000"/>
          <w:shd w:val="clear" w:color="auto" w:fill="FFFFFF"/>
        </w:rPr>
        <w:t xml:space="preserve">Lebrasseur, A., Fortin-Bédard, N., Lettre, J., Raymond, E., Bussières, E., Lapierre, N., Faieta, J., Vincent, C., Duchesne, L., Ouellet, M., Gagnon, E., Tourigny, A., Lamontagne, M. and Routhier, F. </w:t>
      </w:r>
      <w:r>
        <w:rPr>
          <w:rStyle w:val="selectable"/>
          <w:rFonts w:ascii="Arial" w:hAnsi="Arial" w:cs="Arial"/>
          <w:color w:val="000000"/>
          <w:shd w:val="clear" w:color="auto" w:fill="FFFFFF"/>
        </w:rPr>
        <w:t>(</w:t>
      </w:r>
      <w:r w:rsidRPr="00185DD0">
        <w:rPr>
          <w:rStyle w:val="selectable"/>
          <w:rFonts w:ascii="Arial" w:hAnsi="Arial" w:cs="Arial"/>
          <w:color w:val="000000"/>
          <w:shd w:val="clear" w:color="auto" w:fill="FFFFFF"/>
        </w:rPr>
        <w:t>2021</w:t>
      </w:r>
      <w:r>
        <w:rPr>
          <w:rStyle w:val="selectable"/>
          <w:rFonts w:ascii="Arial" w:hAnsi="Arial" w:cs="Arial"/>
          <w:color w:val="000000"/>
          <w:shd w:val="clear" w:color="auto" w:fill="FFFFFF"/>
        </w:rPr>
        <w:t>)  ‘</w:t>
      </w:r>
      <w:r w:rsidRPr="00185DD0">
        <w:rPr>
          <w:rStyle w:val="selectable"/>
          <w:rFonts w:ascii="Arial" w:hAnsi="Arial" w:cs="Arial"/>
          <w:color w:val="000000"/>
          <w:shd w:val="clear" w:color="auto" w:fill="FFFFFF"/>
        </w:rPr>
        <w:t xml:space="preserve"> Impact of the COVID-19 Pandemic on Older Adults</w:t>
      </w:r>
      <w:r>
        <w:rPr>
          <w:rStyle w:val="selectable"/>
          <w:rFonts w:ascii="Arial" w:hAnsi="Arial" w:cs="Arial"/>
          <w:color w:val="000000"/>
          <w:shd w:val="clear" w:color="auto" w:fill="FFFFFF"/>
        </w:rPr>
        <w:t xml:space="preserve"> ‘,</w:t>
      </w:r>
      <w:r w:rsidRPr="00185DD0">
        <w:rPr>
          <w:rStyle w:val="selectable"/>
          <w:rFonts w:ascii="Arial" w:hAnsi="Arial" w:cs="Arial"/>
          <w:color w:val="000000"/>
          <w:shd w:val="clear" w:color="auto" w:fill="FFFFFF"/>
        </w:rPr>
        <w:t>: Rapid Review. </w:t>
      </w:r>
      <w:r w:rsidRPr="00185DD0">
        <w:rPr>
          <w:rStyle w:val="selectable"/>
          <w:rFonts w:ascii="Arial" w:hAnsi="Arial" w:cs="Arial"/>
          <w:i/>
          <w:iCs/>
          <w:color w:val="000000"/>
          <w:shd w:val="clear" w:color="auto" w:fill="FFFFFF"/>
        </w:rPr>
        <w:t>JMIR Aging</w:t>
      </w:r>
      <w:r w:rsidRPr="00185DD0">
        <w:rPr>
          <w:rStyle w:val="selectable"/>
          <w:rFonts w:ascii="Arial" w:hAnsi="Arial" w:cs="Arial"/>
          <w:color w:val="000000"/>
          <w:shd w:val="clear" w:color="auto" w:fill="FFFFFF"/>
        </w:rPr>
        <w:t>, 4(2)</w:t>
      </w:r>
    </w:p>
    <w:p w14:paraId="5A204F51" w14:textId="77777777" w:rsidR="002C026C" w:rsidRPr="0059739B" w:rsidRDefault="002C026C" w:rsidP="002C026C">
      <w:pPr>
        <w:rPr>
          <w:rFonts w:ascii="Arial" w:hAnsi="Arial" w:cs="Arial"/>
          <w:color w:val="0B0C0C"/>
          <w:shd w:val="clear" w:color="auto" w:fill="FFFFFF"/>
        </w:rPr>
      </w:pPr>
      <w:r>
        <w:rPr>
          <w:rFonts w:ascii="Arial" w:hAnsi="Arial" w:cs="Arial"/>
          <w:color w:val="0B0C0C"/>
          <w:shd w:val="clear" w:color="auto" w:fill="FFFFFF"/>
        </w:rPr>
        <w:t xml:space="preserve"> </w:t>
      </w:r>
    </w:p>
    <w:p w14:paraId="248FC09A" w14:textId="77777777" w:rsidR="002C026C" w:rsidRDefault="002C026C" w:rsidP="002C026C"/>
    <w:p w14:paraId="39DC962F" w14:textId="77777777" w:rsidR="002C026C" w:rsidRPr="0050317C" w:rsidRDefault="002C026C" w:rsidP="002C026C">
      <w:pPr>
        <w:rPr>
          <w:rFonts w:ascii="Arial" w:hAnsi="Arial" w:cs="Arial"/>
        </w:rPr>
      </w:pPr>
    </w:p>
    <w:p w14:paraId="5027889B" w14:textId="77777777" w:rsidR="00270A8D" w:rsidRPr="00270A8D" w:rsidRDefault="00270A8D" w:rsidP="00270A8D">
      <w:pPr>
        <w:spacing w:line="360" w:lineRule="auto"/>
        <w:rPr>
          <w:rFonts w:ascii="Arial" w:hAnsi="Arial" w:cs="Arial"/>
          <w:b/>
          <w:bCs/>
          <w:color w:val="000000"/>
          <w:sz w:val="28"/>
          <w:szCs w:val="28"/>
          <w:shd w:val="clear" w:color="auto" w:fill="FFFFFF"/>
        </w:rPr>
      </w:pPr>
    </w:p>
    <w:p w14:paraId="0DC210E1" w14:textId="77777777" w:rsidR="00CF2F4C" w:rsidRPr="00D65343" w:rsidRDefault="00CF2F4C" w:rsidP="00CF2F4C">
      <w:pPr>
        <w:spacing w:line="360" w:lineRule="auto"/>
        <w:jc w:val="both"/>
        <w:rPr>
          <w:rFonts w:ascii="Arial" w:hAnsi="Arial" w:cs="Arial"/>
          <w:b/>
          <w:bCs/>
          <w:color w:val="000000"/>
          <w:shd w:val="clear" w:color="auto" w:fill="FFFFFF"/>
        </w:rPr>
      </w:pPr>
    </w:p>
    <w:p w14:paraId="690E331F" w14:textId="77777777" w:rsidR="00CF2F4C" w:rsidRPr="00D65343" w:rsidRDefault="00CF2F4C" w:rsidP="00CF2F4C">
      <w:pPr>
        <w:spacing w:line="360" w:lineRule="auto"/>
        <w:jc w:val="both"/>
        <w:rPr>
          <w:rFonts w:ascii="Arial" w:hAnsi="Arial" w:cs="Arial"/>
          <w:color w:val="1C1D1E"/>
          <w:shd w:val="clear" w:color="auto" w:fill="FFFFFF"/>
        </w:rPr>
      </w:pPr>
    </w:p>
    <w:p w14:paraId="60CC0C9E" w14:textId="77777777" w:rsidR="00CF2F4C" w:rsidRPr="00D65343" w:rsidRDefault="00CF2F4C" w:rsidP="00CF2F4C">
      <w:pPr>
        <w:spacing w:line="360" w:lineRule="auto"/>
        <w:jc w:val="both"/>
        <w:rPr>
          <w:rFonts w:ascii="Arial" w:hAnsi="Arial" w:cs="Arial"/>
          <w:color w:val="1C1D1E"/>
          <w:shd w:val="clear" w:color="auto" w:fill="FFFFFF"/>
        </w:rPr>
      </w:pPr>
    </w:p>
    <w:p w14:paraId="5742695E" w14:textId="77777777" w:rsidR="00EC2852" w:rsidRDefault="00EC2852">
      <w:pPr>
        <w:rPr>
          <w:b/>
          <w:bCs/>
          <w:sz w:val="32"/>
          <w:szCs w:val="32"/>
        </w:rPr>
      </w:pPr>
    </w:p>
    <w:p w14:paraId="586379F2" w14:textId="77777777" w:rsidR="00EC2852" w:rsidRDefault="00EC2852">
      <w:pPr>
        <w:rPr>
          <w:b/>
          <w:bCs/>
          <w:sz w:val="32"/>
          <w:szCs w:val="32"/>
        </w:rPr>
      </w:pPr>
    </w:p>
    <w:p w14:paraId="67EE778B" w14:textId="77777777" w:rsidR="00EC2852" w:rsidRDefault="00EC2852">
      <w:pPr>
        <w:rPr>
          <w:b/>
          <w:bCs/>
          <w:sz w:val="32"/>
          <w:szCs w:val="32"/>
        </w:rPr>
      </w:pPr>
    </w:p>
    <w:p w14:paraId="6C8D1CDF" w14:textId="77777777" w:rsidR="00EC2852" w:rsidRDefault="00EC2852">
      <w:pPr>
        <w:rPr>
          <w:b/>
          <w:bCs/>
          <w:sz w:val="32"/>
          <w:szCs w:val="32"/>
        </w:rPr>
      </w:pPr>
    </w:p>
    <w:p w14:paraId="272EDA10" w14:textId="77777777" w:rsidR="00EC2852" w:rsidRDefault="00EC2852">
      <w:pPr>
        <w:rPr>
          <w:b/>
          <w:bCs/>
          <w:sz w:val="32"/>
          <w:szCs w:val="32"/>
        </w:rPr>
      </w:pPr>
    </w:p>
    <w:p w14:paraId="30D3C739" w14:textId="77777777" w:rsidR="00EC2852" w:rsidRDefault="00EC2852">
      <w:pPr>
        <w:rPr>
          <w:b/>
          <w:bCs/>
          <w:sz w:val="32"/>
          <w:szCs w:val="32"/>
        </w:rPr>
      </w:pPr>
    </w:p>
    <w:p w14:paraId="36BF8F03" w14:textId="0C88AC4E" w:rsidR="00EC2852" w:rsidRDefault="00EC2852">
      <w:pPr>
        <w:rPr>
          <w:b/>
          <w:bCs/>
          <w:sz w:val="32"/>
          <w:szCs w:val="32"/>
        </w:rPr>
      </w:pPr>
    </w:p>
    <w:p w14:paraId="279F3286" w14:textId="006B7DA3" w:rsidR="00196810" w:rsidRPr="00196810" w:rsidRDefault="00196810">
      <w:pPr>
        <w:rPr>
          <w:rFonts w:ascii="Arial" w:hAnsi="Arial" w:cs="Arial"/>
          <w:b/>
          <w:bCs/>
          <w:sz w:val="32"/>
          <w:szCs w:val="32"/>
        </w:rPr>
      </w:pPr>
      <w:r>
        <w:rPr>
          <w:b/>
          <w:bCs/>
          <w:sz w:val="32"/>
          <w:szCs w:val="32"/>
        </w:rPr>
        <w:t xml:space="preserve">             </w:t>
      </w:r>
    </w:p>
    <w:p w14:paraId="03CD232B" w14:textId="1BA41605" w:rsidR="00196810" w:rsidRPr="00196810" w:rsidRDefault="00196810">
      <w:pPr>
        <w:rPr>
          <w:rFonts w:ascii="Arial" w:hAnsi="Arial" w:cs="Arial"/>
          <w:b/>
          <w:bCs/>
          <w:sz w:val="28"/>
          <w:szCs w:val="28"/>
        </w:rPr>
      </w:pPr>
    </w:p>
    <w:sectPr w:rsidR="00196810" w:rsidRPr="001968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810"/>
    <w:rsid w:val="00196810"/>
    <w:rsid w:val="00270A8D"/>
    <w:rsid w:val="002A33AA"/>
    <w:rsid w:val="002C026C"/>
    <w:rsid w:val="002E624C"/>
    <w:rsid w:val="007A37A5"/>
    <w:rsid w:val="00A81899"/>
    <w:rsid w:val="00CF2F4C"/>
    <w:rsid w:val="00EC2852"/>
    <w:rsid w:val="00F14798"/>
    <w:rsid w:val="00F22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E9AB9"/>
  <w15:chartTrackingRefBased/>
  <w15:docId w15:val="{13A74D6C-73A8-4BC8-A02A-50E7E5286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2C026C"/>
  </w:style>
  <w:style w:type="character" w:styleId="Strong">
    <w:name w:val="Strong"/>
    <w:basedOn w:val="DefaultParagraphFont"/>
    <w:uiPriority w:val="22"/>
    <w:qFormat/>
    <w:rsid w:val="002C026C"/>
    <w:rPr>
      <w:b/>
      <w:bCs/>
    </w:rPr>
  </w:style>
  <w:style w:type="character" w:styleId="Hyperlink">
    <w:name w:val="Hyperlink"/>
    <w:basedOn w:val="DefaultParagraphFont"/>
    <w:uiPriority w:val="99"/>
    <w:unhideWhenUsed/>
    <w:rsid w:val="002C02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geuk.org.uk/globalassets/age-uk/documents/reports-and-publications/reports-and-briefings/health--wellbeing/coronavirus/id204712-age-uk-coronavirus-impact-report---one-year-on.pdf" TargetMode="External"/><Relationship Id="rId5" Type="http://schemas.openxmlformats.org/officeDocument/2006/relationships/hyperlink" Target="http://assets.publishing.service.gov.uk/government/uploads/system/uploads/attachment_data/file/1056192/adult_social_care_sysem_reform_impact_statement.pdj" TargetMode="External"/><Relationship Id="rId4" Type="http://schemas.openxmlformats.org/officeDocument/2006/relationships/hyperlink" Target="http://www.ageuk.org.uk/globalassets/age-uk/documents/reports-and-publications/later_life_uk_factsheet.p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7</Pages>
  <Words>1478</Words>
  <Characters>8429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magnus amadi</dc:creator>
  <cp:keywords/>
  <dc:description/>
  <cp:lastModifiedBy>magnus amadi</cp:lastModifiedBy>
  <cp:revision>11</cp:revision>
  <dcterms:created xsi:type="dcterms:W3CDTF">2022-07-25T00:38:00Z</dcterms:created>
  <dcterms:modified xsi:type="dcterms:W3CDTF">2022-07-25T01:05:00Z</dcterms:modified>
</cp:coreProperties>
</file>