
<file path=[Content_Types].xml><?xml version="1.0" encoding="utf-8"?>
<Types xmlns="http://schemas.openxmlformats.org/package/2006/content-types">
  <Default ContentType="application/xml" Extension="xml"/>
  <Default ContentType="image/png" Extension="png"/>
  <Default ContentType="application/vnd.openxmlformats-officedocument.obfuscatedFont" Extension="odttf"/>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Override ContentType="application/vnd.openxmlformats-officedocument.wordprocessingml.header+xml" PartName="/word/header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numPr>
          <w:ilvl w:val="0"/>
          <w:numId w:val="1"/>
        </w:numPr>
        <w:ind w:left="720" w:hanging="360"/>
        <w:jc w:val="center"/>
        <w:rPr>
          <w:b w:val="1"/>
          <w:bCs w:val="1"/>
          <w:sz w:val="36"/>
          <w:szCs w:val="36"/>
          <w:u w:val="none"/>
        </w:rPr>
      </w:pPr>
      <w:r w:rsidDel="00000000" w:rsidR="00000000" w:rsidRPr="00000000">
        <w:rPr>
          <w:rtl w:val="0"/>
        </w:rPr>
      </w:r>
    </w:p>
    <w:p w:rsidR="00000000" w:rsidDel="00000000" w:rsidP="00000000" w:rsidRDefault="00000000" w:rsidRPr="00000000" w14:paraId="00000002">
      <w:pPr>
        <w:jc w:val="center"/>
        <w:rPr>
          <w:b w:val="1"/>
          <w:bCs w:val="1"/>
          <w:sz w:val="36"/>
          <w:szCs w:val="36"/>
        </w:rPr>
      </w:pPr>
      <w:r w:rsidDel="00000000" w:rsidR="00000000" w:rsidRPr="00000000">
        <w:rPr>
          <w:rtl w:val="0"/>
        </w:rPr>
      </w:r>
    </w:p>
    <w:p w:rsidR="00000000" w:rsidDel="00000000" w:rsidP="00000000" w:rsidRDefault="00000000" w:rsidRPr="00000000" w14:paraId="00000003">
      <w:pPr>
        <w:jc w:val="center"/>
        <w:rPr>
          <w:b w:val="1"/>
          <w:bCs w:val="1"/>
          <w:sz w:val="36"/>
          <w:szCs w:val="36"/>
        </w:rPr>
      </w:pPr>
      <w:r w:rsidDel="00000000" w:rsidR="00000000" w:rsidRPr="00000000">
        <w:rPr>
          <w:rtl w:val="0"/>
        </w:rPr>
      </w:r>
    </w:p>
    <w:p w:rsidR="00000000" w:rsidDel="00000000" w:rsidP="00000000" w:rsidRDefault="00000000" w:rsidRPr="00000000" w14:paraId="00000004">
      <w:pPr>
        <w:jc w:val="center"/>
        <w:rPr>
          <w:b w:val="1"/>
          <w:bCs w:val="1"/>
          <w:sz w:val="36"/>
          <w:szCs w:val="36"/>
        </w:rPr>
      </w:pPr>
      <w:r w:rsidDel="00000000" w:rsidR="00000000" w:rsidRPr="00000000">
        <w:rPr>
          <w:rtl w:val="0"/>
        </w:rPr>
      </w:r>
    </w:p>
    <w:p w:rsidR="00000000" w:rsidDel="00000000" w:rsidP="00000000" w:rsidRDefault="00000000" w:rsidRPr="00000000" w14:paraId="00000005">
      <w:pPr>
        <w:jc w:val="center"/>
        <w:rPr>
          <w:b w:val="1"/>
          <w:bCs w:val="1"/>
          <w:sz w:val="36"/>
          <w:szCs w:val="36"/>
        </w:rPr>
      </w:pPr>
      <w:r w:rsidDel="00000000" w:rsidR="00000000" w:rsidRPr="00000000">
        <w:rPr>
          <w:b w:val="1"/>
          <w:bCs w:val="1"/>
          <w:sz w:val="36"/>
          <w:szCs w:val="36"/>
          <w:rtl w:val="0"/>
        </w:rPr>
        <w:t xml:space="preserve">Building Professional Identity and Employability Skills for Sustainable Careers in UK Health and Social Care</w:t>
      </w:r>
    </w:p>
    <w:p w:rsidR="00000000" w:rsidDel="00000000" w:rsidP="00000000" w:rsidRDefault="00000000" w:rsidRPr="00000000" w14:paraId="00000006">
      <w:pPr>
        <w:jc w:val="center"/>
        <w:rPr>
          <w:i w:val="1"/>
          <w:iCs w:val="1"/>
          <w:sz w:val="28"/>
          <w:szCs w:val="28"/>
        </w:rPr>
      </w:pPr>
      <w:r w:rsidDel="00000000" w:rsidR="00000000" w:rsidRPr="00000000">
        <w:rPr>
          <w:i w:val="1"/>
          <w:iCs w:val="1"/>
          <w:sz w:val="28"/>
          <w:szCs w:val="28"/>
          <w:rtl w:val="0"/>
        </w:rPr>
        <w:t xml:space="preserve">A Reflective Portfolio</w:t>
      </w:r>
    </w:p>
    <w:p w:rsidR="00000000" w:rsidDel="00000000" w:rsidP="00000000" w:rsidRDefault="00000000" w:rsidRPr="00000000" w14:paraId="00000007">
      <w:pPr>
        <w:spacing w:line="278.00000000000006" w:lineRule="auto"/>
        <w:jc w:val="cente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Student Name: Yasmin Ramzan</w:t>
      </w:r>
    </w:p>
    <w:p w:rsidR="00000000" w:rsidDel="00000000" w:rsidP="00000000" w:rsidRDefault="00000000" w:rsidRPr="00000000" w14:paraId="00000008">
      <w:pPr>
        <w:spacing w:line="278.00000000000006" w:lineRule="auto"/>
        <w:jc w:val="cente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Student Number: 2331697</w:t>
      </w:r>
    </w:p>
    <w:p w:rsidR="00000000" w:rsidDel="00000000" w:rsidP="00000000" w:rsidRDefault="00000000" w:rsidRPr="00000000" w14:paraId="00000009">
      <w:pPr>
        <w:spacing w:line="278.00000000000006" w:lineRule="auto"/>
        <w:jc w:val="center"/>
        <w:rPr>
          <w:rFonts w:ascii="Arial" w:cs="Arial" w:eastAsia="Arial" w:hAnsi="Arial"/>
          <w:sz w:val="22"/>
          <w:szCs w:val="22"/>
        </w:rPr>
      </w:pPr>
      <w:r w:rsidDel="00000000" w:rsidR="00000000" w:rsidRPr="00000000">
        <w:rPr>
          <w:rtl w:val="0"/>
        </w:rPr>
      </w:r>
    </w:p>
    <w:p w:rsidR="00000000" w:rsidDel="00000000" w:rsidP="00000000" w:rsidRDefault="00000000" w:rsidRPr="00000000" w14:paraId="0000000A">
      <w:pPr>
        <w:jc w:val="center"/>
        <w:rPr>
          <w:i w:val="1"/>
          <w:iCs w:val="1"/>
          <w:sz w:val="28"/>
          <w:szCs w:val="28"/>
        </w:rPr>
      </w:pPr>
      <w:r w:rsidDel="00000000" w:rsidR="00000000" w:rsidRPr="00000000">
        <w:rPr>
          <w:rtl w:val="0"/>
        </w:rPr>
      </w:r>
    </w:p>
    <w:p w:rsidR="00000000" w:rsidDel="00000000" w:rsidP="00000000" w:rsidRDefault="00000000" w:rsidRPr="00000000" w14:paraId="0000000B">
      <w:pPr>
        <w:jc w:val="center"/>
        <w:rPr>
          <w:b w:val="1"/>
          <w:bCs w:val="1"/>
          <w:i w:val="1"/>
          <w:iCs w:val="1"/>
          <w:sz w:val="32"/>
          <w:szCs w:val="32"/>
          <w:u w:val="single"/>
        </w:rPr>
      </w:pPr>
      <w:r w:rsidDel="00000000" w:rsidR="00000000" w:rsidRPr="00000000">
        <w:br w:type="page"/>
      </w:r>
      <w:r w:rsidDel="00000000" w:rsidR="00000000" w:rsidRPr="00000000">
        <w:rPr>
          <w:rtl w:val="0"/>
        </w:rPr>
      </w:r>
    </w:p>
    <w:p w:rsidR="00000000" w:rsidDel="00000000" w:rsidP="00000000" w:rsidRDefault="00000000" w:rsidRPr="00000000" w14:paraId="0000000C">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360" w:lineRule="auto"/>
        <w:ind w:left="0" w:right="0" w:firstLine="0"/>
        <w:jc w:val="left"/>
        <w:rPr>
          <w:rFonts w:ascii="Times New Roman" w:cs="Times New Roman" w:eastAsia="Times New Roman" w:hAnsi="Times New Roman"/>
          <w:b w:val="1"/>
          <w:bCs w:val="1"/>
          <w:i w:val="0"/>
          <w:iCs w:val="0"/>
          <w:smallCaps w:val="0"/>
          <w:strike w:val="0"/>
          <w:color w:val="000000"/>
          <w:sz w:val="32"/>
          <w:szCs w:val="32"/>
          <w:u w:val="single"/>
          <w:shd w:fill="auto" w:val="clear"/>
          <w:vertAlign w:val="baseline"/>
        </w:rPr>
      </w:pPr>
      <w:r w:rsidDel="00000000" w:rsidR="00000000" w:rsidRPr="00000000">
        <w:rPr>
          <w:rFonts w:ascii="Times New Roman" w:cs="Times New Roman" w:eastAsia="Times New Roman" w:hAnsi="Times New Roman"/>
          <w:b w:val="1"/>
          <w:bCs w:val="1"/>
          <w:i w:val="0"/>
          <w:iCs w:val="0"/>
          <w:smallCaps w:val="0"/>
          <w:strike w:val="0"/>
          <w:color w:val="000000"/>
          <w:sz w:val="32"/>
          <w:szCs w:val="32"/>
          <w:u w:val="single"/>
          <w:shd w:fill="auto" w:val="clear"/>
          <w:vertAlign w:val="baseline"/>
          <w:rtl w:val="0"/>
        </w:rPr>
        <w:t xml:space="preserve">Table of Contents</w:t>
      </w:r>
    </w:p>
    <w:sdt>
      <w:sdtPr>
        <w:id w:val="932055122"/>
        <w:docPartObj>
          <w:docPartGallery w:val="Table of Contents"/>
          <w:docPartUnique w:val="1"/>
        </w:docPartObj>
      </w:sdtPr>
      <w:sdtContent>
        <w:p w:rsidR="00000000" w:rsidDel="00000000" w:rsidP="00000000" w:rsidRDefault="00000000" w:rsidRPr="00000000" w14:paraId="0000000D">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350"/>
            </w:tabs>
            <w:spacing w:after="100" w:before="0" w:line="360" w:lineRule="auto"/>
            <w:ind w:left="0" w:right="0" w:firstLine="0"/>
            <w:jc w:val="both"/>
            <w:rPr>
              <w:rFonts w:ascii="Aptos" w:cs="Aptos" w:eastAsia="Aptos" w:hAnsi="Aptos"/>
              <w:b w:val="0"/>
              <w:bCs w:val="0"/>
              <w:i w:val="0"/>
              <w:iCs w:val="0"/>
              <w:smallCaps w:val="0"/>
              <w:strike w:val="0"/>
              <w:color w:val="000000"/>
              <w:sz w:val="24"/>
              <w:szCs w:val="24"/>
              <w:u w:val="none"/>
              <w:shd w:fill="auto" w:val="clear"/>
              <w:vertAlign w:val="baseline"/>
            </w:rPr>
          </w:pPr>
          <w:r w:rsidDel="00000000" w:rsidR="00000000" w:rsidRPr="00000000">
            <w:fldChar w:fldCharType="begin"/>
            <w:instrText xml:space="preserve"> TOC \h \u \z \t "Heading 1,1,Heading 2,2,Heading 3,3,"</w:instrText>
            <w:fldChar w:fldCharType="separate"/>
          </w:r>
          <w:hyperlink w:anchor="_69a8rwm8dzvg">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INTRODUCTION</w:t>
              <w:tab/>
              <w:t xml:space="preserve">4</w:t>
            </w:r>
          </w:hyperlink>
          <w:r w:rsidDel="00000000" w:rsidR="00000000" w:rsidRPr="00000000">
            <w:rPr>
              <w:rtl w:val="0"/>
            </w:rPr>
          </w:r>
        </w:p>
        <w:p w:rsidR="00000000" w:rsidDel="00000000" w:rsidP="00000000" w:rsidRDefault="00000000" w:rsidRPr="00000000" w14:paraId="0000000E">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350"/>
            </w:tabs>
            <w:spacing w:after="100" w:before="0" w:line="360" w:lineRule="auto"/>
            <w:ind w:left="0" w:right="0" w:firstLine="0"/>
            <w:jc w:val="both"/>
            <w:rPr>
              <w:rFonts w:ascii="Aptos" w:cs="Aptos" w:eastAsia="Aptos" w:hAnsi="Aptos"/>
              <w:b w:val="0"/>
              <w:bCs w:val="0"/>
              <w:i w:val="0"/>
              <w:iCs w:val="0"/>
              <w:smallCaps w:val="0"/>
              <w:strike w:val="0"/>
              <w:color w:val="000000"/>
              <w:sz w:val="24"/>
              <w:szCs w:val="24"/>
              <w:u w:val="none"/>
              <w:shd w:fill="auto" w:val="clear"/>
              <w:vertAlign w:val="baseline"/>
            </w:rPr>
          </w:pPr>
          <w:hyperlink w:anchor="_4recc3659fba">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1. Personal Brand Development</w:t>
              <w:tab/>
              <w:t xml:space="preserve">5</w:t>
            </w:r>
          </w:hyperlink>
          <w:r w:rsidDel="00000000" w:rsidR="00000000" w:rsidRPr="00000000">
            <w:rPr>
              <w:rtl w:val="0"/>
            </w:rPr>
          </w:r>
        </w:p>
        <w:p w:rsidR="00000000" w:rsidDel="00000000" w:rsidP="00000000" w:rsidRDefault="00000000" w:rsidRPr="00000000" w14:paraId="0000000F">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240" w:right="0" w:firstLine="0"/>
            <w:jc w:val="both"/>
            <w:rPr>
              <w:rFonts w:ascii="Aptos" w:cs="Aptos" w:eastAsia="Aptos" w:hAnsi="Aptos"/>
              <w:b w:val="0"/>
              <w:bCs w:val="0"/>
              <w:i w:val="0"/>
              <w:iCs w:val="0"/>
              <w:smallCaps w:val="0"/>
              <w:strike w:val="0"/>
              <w:color w:val="000000"/>
              <w:sz w:val="24"/>
              <w:szCs w:val="24"/>
              <w:u w:val="none"/>
              <w:shd w:fill="auto" w:val="clear"/>
              <w:vertAlign w:val="baseline"/>
            </w:rPr>
          </w:pPr>
          <w:hyperlink w:anchor="_1l1hgsojosh1">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Paragraph 1 — What personal branding means</w:t>
              <w:tab/>
              <w:t xml:space="preserve">5</w:t>
            </w:r>
          </w:hyperlink>
          <w:r w:rsidDel="00000000" w:rsidR="00000000" w:rsidRPr="00000000">
            <w:rPr>
              <w:rtl w:val="0"/>
            </w:rPr>
          </w:r>
        </w:p>
        <w:p w:rsidR="00000000" w:rsidDel="00000000" w:rsidP="00000000" w:rsidRDefault="00000000" w:rsidRPr="00000000" w14:paraId="00000010">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240" w:right="0" w:firstLine="0"/>
            <w:jc w:val="both"/>
            <w:rPr>
              <w:rFonts w:ascii="Aptos" w:cs="Aptos" w:eastAsia="Aptos" w:hAnsi="Aptos"/>
              <w:b w:val="0"/>
              <w:bCs w:val="0"/>
              <w:i w:val="0"/>
              <w:iCs w:val="0"/>
              <w:smallCaps w:val="0"/>
              <w:strike w:val="0"/>
              <w:color w:val="000000"/>
              <w:sz w:val="24"/>
              <w:szCs w:val="24"/>
              <w:u w:val="none"/>
              <w:shd w:fill="auto" w:val="clear"/>
              <w:vertAlign w:val="baseline"/>
            </w:rPr>
          </w:pPr>
          <w:hyperlink w:anchor="_hmkzbgiqzn7o">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Paragraph 2 — Current strengths</w:t>
              <w:tab/>
              <w:t xml:space="preserve">5</w:t>
            </w:r>
          </w:hyperlink>
          <w:r w:rsidDel="00000000" w:rsidR="00000000" w:rsidRPr="00000000">
            <w:rPr>
              <w:rtl w:val="0"/>
            </w:rPr>
          </w:r>
        </w:p>
        <w:p w:rsidR="00000000" w:rsidDel="00000000" w:rsidP="00000000" w:rsidRDefault="00000000" w:rsidRPr="00000000" w14:paraId="00000011">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240" w:right="0" w:firstLine="0"/>
            <w:jc w:val="both"/>
            <w:rPr>
              <w:rFonts w:ascii="Aptos" w:cs="Aptos" w:eastAsia="Aptos" w:hAnsi="Aptos"/>
              <w:b w:val="0"/>
              <w:bCs w:val="0"/>
              <w:i w:val="0"/>
              <w:iCs w:val="0"/>
              <w:smallCaps w:val="0"/>
              <w:strike w:val="0"/>
              <w:color w:val="000000"/>
              <w:sz w:val="24"/>
              <w:szCs w:val="24"/>
              <w:u w:val="none"/>
              <w:shd w:fill="auto" w:val="clear"/>
              <w:vertAlign w:val="baseline"/>
            </w:rPr>
          </w:pPr>
          <w:hyperlink w:anchor="_rqzjttopsps4">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Paragraph 3 — Areas for improvement and actions</w:t>
              <w:tab/>
              <w:t xml:space="preserve">5</w:t>
            </w:r>
          </w:hyperlink>
          <w:r w:rsidDel="00000000" w:rsidR="00000000" w:rsidRPr="00000000">
            <w:rPr>
              <w:rtl w:val="0"/>
            </w:rPr>
          </w:r>
        </w:p>
        <w:p w:rsidR="00000000" w:rsidDel="00000000" w:rsidP="00000000" w:rsidRDefault="00000000" w:rsidRPr="00000000" w14:paraId="00000012">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350"/>
            </w:tabs>
            <w:spacing w:after="100" w:before="0" w:line="360" w:lineRule="auto"/>
            <w:ind w:left="0" w:right="0" w:firstLine="0"/>
            <w:jc w:val="both"/>
            <w:rPr>
              <w:rFonts w:ascii="Aptos" w:cs="Aptos" w:eastAsia="Aptos" w:hAnsi="Aptos"/>
              <w:b w:val="0"/>
              <w:bCs w:val="0"/>
              <w:i w:val="0"/>
              <w:iCs w:val="0"/>
              <w:smallCaps w:val="0"/>
              <w:strike w:val="0"/>
              <w:color w:val="000000"/>
              <w:sz w:val="24"/>
              <w:szCs w:val="24"/>
              <w:u w:val="none"/>
              <w:shd w:fill="auto" w:val="clear"/>
              <w:vertAlign w:val="baseline"/>
            </w:rPr>
          </w:pPr>
          <w:hyperlink w:anchor="_ywdvogununv3">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2. Professional Network and Social Capital</w:t>
              <w:tab/>
              <w:t xml:space="preserve">6</w:t>
            </w:r>
          </w:hyperlink>
          <w:r w:rsidDel="00000000" w:rsidR="00000000" w:rsidRPr="00000000">
            <w:rPr>
              <w:rtl w:val="0"/>
            </w:rPr>
          </w:r>
        </w:p>
        <w:p w:rsidR="00000000" w:rsidDel="00000000" w:rsidP="00000000" w:rsidRDefault="00000000" w:rsidRPr="00000000" w14:paraId="00000013">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240" w:right="0" w:firstLine="0"/>
            <w:jc w:val="both"/>
            <w:rPr>
              <w:rFonts w:ascii="Aptos" w:cs="Aptos" w:eastAsia="Aptos" w:hAnsi="Aptos"/>
              <w:b w:val="0"/>
              <w:bCs w:val="0"/>
              <w:i w:val="0"/>
              <w:iCs w:val="0"/>
              <w:smallCaps w:val="0"/>
              <w:strike w:val="0"/>
              <w:color w:val="000000"/>
              <w:sz w:val="24"/>
              <w:szCs w:val="24"/>
              <w:u w:val="none"/>
              <w:shd w:fill="auto" w:val="clear"/>
              <w:vertAlign w:val="baseline"/>
            </w:rPr>
          </w:pPr>
          <w:hyperlink w:anchor="_gqx7v4mv60pq">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Paragraph 1 — Social capital theory</w:t>
              <w:tab/>
              <w:t xml:space="preserve">6</w:t>
            </w:r>
          </w:hyperlink>
          <w:r w:rsidDel="00000000" w:rsidR="00000000" w:rsidRPr="00000000">
            <w:rPr>
              <w:rtl w:val="0"/>
            </w:rPr>
          </w:r>
        </w:p>
        <w:p w:rsidR="00000000" w:rsidDel="00000000" w:rsidP="00000000" w:rsidRDefault="00000000" w:rsidRPr="00000000" w14:paraId="00000014">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240" w:right="0" w:firstLine="0"/>
            <w:jc w:val="both"/>
            <w:rPr>
              <w:rFonts w:ascii="Aptos" w:cs="Aptos" w:eastAsia="Aptos" w:hAnsi="Aptos"/>
              <w:b w:val="0"/>
              <w:bCs w:val="0"/>
              <w:i w:val="0"/>
              <w:iCs w:val="0"/>
              <w:smallCaps w:val="0"/>
              <w:strike w:val="0"/>
              <w:color w:val="000000"/>
              <w:sz w:val="24"/>
              <w:szCs w:val="24"/>
              <w:u w:val="none"/>
              <w:shd w:fill="auto" w:val="clear"/>
              <w:vertAlign w:val="baseline"/>
            </w:rPr>
          </w:pPr>
          <w:hyperlink w:anchor="_f72q0zkn80sj">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Paragraph 2 — Network description</w:t>
              <w:tab/>
              <w:t xml:space="preserve">6</w:t>
            </w:r>
          </w:hyperlink>
          <w:r w:rsidDel="00000000" w:rsidR="00000000" w:rsidRPr="00000000">
            <w:rPr>
              <w:rtl w:val="0"/>
            </w:rPr>
          </w:r>
        </w:p>
        <w:p w:rsidR="00000000" w:rsidDel="00000000" w:rsidP="00000000" w:rsidRDefault="00000000" w:rsidRPr="00000000" w14:paraId="00000015">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240" w:right="0" w:firstLine="0"/>
            <w:jc w:val="both"/>
            <w:rPr>
              <w:rFonts w:ascii="Aptos" w:cs="Aptos" w:eastAsia="Aptos" w:hAnsi="Aptos"/>
              <w:b w:val="0"/>
              <w:bCs w:val="0"/>
              <w:i w:val="0"/>
              <w:iCs w:val="0"/>
              <w:smallCaps w:val="0"/>
              <w:strike w:val="0"/>
              <w:color w:val="000000"/>
              <w:sz w:val="24"/>
              <w:szCs w:val="24"/>
              <w:u w:val="none"/>
              <w:shd w:fill="auto" w:val="clear"/>
              <w:vertAlign w:val="baseline"/>
            </w:rPr>
          </w:pPr>
          <w:hyperlink w:anchor="_ksxlgcxwnqvx">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Paragraph 3 — Critical explanation</w:t>
              <w:tab/>
              <w:t xml:space="preserve">6</w:t>
            </w:r>
          </w:hyperlink>
          <w:r w:rsidDel="00000000" w:rsidR="00000000" w:rsidRPr="00000000">
            <w:rPr>
              <w:rtl w:val="0"/>
            </w:rPr>
          </w:r>
        </w:p>
        <w:p w:rsidR="00000000" w:rsidDel="00000000" w:rsidP="00000000" w:rsidRDefault="00000000" w:rsidRPr="00000000" w14:paraId="00000016">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350"/>
            </w:tabs>
            <w:spacing w:after="100" w:before="0" w:line="360" w:lineRule="auto"/>
            <w:ind w:left="0" w:right="0" w:firstLine="0"/>
            <w:jc w:val="both"/>
            <w:rPr>
              <w:rFonts w:ascii="Aptos" w:cs="Aptos" w:eastAsia="Aptos" w:hAnsi="Aptos"/>
              <w:b w:val="0"/>
              <w:bCs w:val="0"/>
              <w:i w:val="0"/>
              <w:iCs w:val="0"/>
              <w:smallCaps w:val="0"/>
              <w:strike w:val="0"/>
              <w:color w:val="000000"/>
              <w:sz w:val="24"/>
              <w:szCs w:val="24"/>
              <w:u w:val="none"/>
              <w:shd w:fill="auto" w:val="clear"/>
              <w:vertAlign w:val="baseline"/>
            </w:rPr>
          </w:pPr>
          <w:hyperlink w:anchor="_uw84xn18f76z">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3. Blog: Digital Inclusion in UK Health and Social Care</w:t>
              <w:tab/>
              <w:t xml:space="preserve">7</w:t>
            </w:r>
          </w:hyperlink>
          <w:r w:rsidDel="00000000" w:rsidR="00000000" w:rsidRPr="00000000">
            <w:rPr>
              <w:rtl w:val="0"/>
            </w:rPr>
          </w:r>
        </w:p>
        <w:p w:rsidR="00000000" w:rsidDel="00000000" w:rsidP="00000000" w:rsidRDefault="00000000" w:rsidRPr="00000000" w14:paraId="00000017">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240" w:right="0" w:firstLine="0"/>
            <w:jc w:val="both"/>
            <w:rPr>
              <w:rFonts w:ascii="Aptos" w:cs="Aptos" w:eastAsia="Aptos" w:hAnsi="Aptos"/>
              <w:b w:val="0"/>
              <w:bCs w:val="0"/>
              <w:i w:val="0"/>
              <w:iCs w:val="0"/>
              <w:smallCaps w:val="0"/>
              <w:strike w:val="0"/>
              <w:color w:val="000000"/>
              <w:sz w:val="24"/>
              <w:szCs w:val="24"/>
              <w:u w:val="none"/>
              <w:shd w:fill="auto" w:val="clear"/>
              <w:vertAlign w:val="baseline"/>
            </w:rPr>
          </w:pPr>
          <w:hyperlink w:anchor="_1ucth14ce643">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Introduction</w:t>
              <w:tab/>
              <w:t xml:space="preserve">7</w:t>
            </w:r>
          </w:hyperlink>
          <w:r w:rsidDel="00000000" w:rsidR="00000000" w:rsidRPr="00000000">
            <w:rPr>
              <w:rtl w:val="0"/>
            </w:rPr>
          </w:r>
        </w:p>
        <w:p w:rsidR="00000000" w:rsidDel="00000000" w:rsidP="00000000" w:rsidRDefault="00000000" w:rsidRPr="00000000" w14:paraId="00000018">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240" w:right="0" w:firstLine="0"/>
            <w:jc w:val="both"/>
            <w:rPr>
              <w:rFonts w:ascii="Aptos" w:cs="Aptos" w:eastAsia="Aptos" w:hAnsi="Aptos"/>
              <w:b w:val="0"/>
              <w:bCs w:val="0"/>
              <w:i w:val="0"/>
              <w:iCs w:val="0"/>
              <w:smallCaps w:val="0"/>
              <w:strike w:val="0"/>
              <w:color w:val="000000"/>
              <w:sz w:val="24"/>
              <w:szCs w:val="24"/>
              <w:u w:val="none"/>
              <w:shd w:fill="auto" w:val="clear"/>
              <w:vertAlign w:val="baseline"/>
            </w:rPr>
          </w:pPr>
          <w:hyperlink w:anchor="_yudjfihxric0">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Body paragraph 1</w:t>
              <w:tab/>
              <w:t xml:space="preserve">7</w:t>
            </w:r>
          </w:hyperlink>
          <w:r w:rsidDel="00000000" w:rsidR="00000000" w:rsidRPr="00000000">
            <w:rPr>
              <w:rtl w:val="0"/>
            </w:rPr>
          </w:r>
        </w:p>
        <w:p w:rsidR="00000000" w:rsidDel="00000000" w:rsidP="00000000" w:rsidRDefault="00000000" w:rsidRPr="00000000" w14:paraId="00000019">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240" w:right="0" w:firstLine="0"/>
            <w:jc w:val="both"/>
            <w:rPr>
              <w:rFonts w:ascii="Aptos" w:cs="Aptos" w:eastAsia="Aptos" w:hAnsi="Aptos"/>
              <w:b w:val="0"/>
              <w:bCs w:val="0"/>
              <w:i w:val="0"/>
              <w:iCs w:val="0"/>
              <w:smallCaps w:val="0"/>
              <w:strike w:val="0"/>
              <w:color w:val="000000"/>
              <w:sz w:val="24"/>
              <w:szCs w:val="24"/>
              <w:u w:val="none"/>
              <w:shd w:fill="auto" w:val="clear"/>
              <w:vertAlign w:val="baseline"/>
            </w:rPr>
          </w:pPr>
          <w:hyperlink w:anchor="_czp7dvpbfcck">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Body paragraph 2</w:t>
              <w:tab/>
              <w:t xml:space="preserve">7</w:t>
            </w:r>
          </w:hyperlink>
          <w:r w:rsidDel="00000000" w:rsidR="00000000" w:rsidRPr="00000000">
            <w:rPr>
              <w:rtl w:val="0"/>
            </w:rPr>
          </w:r>
        </w:p>
        <w:p w:rsidR="00000000" w:rsidDel="00000000" w:rsidP="00000000" w:rsidRDefault="00000000" w:rsidRPr="00000000" w14:paraId="0000001A">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240" w:right="0" w:firstLine="0"/>
            <w:jc w:val="both"/>
            <w:rPr>
              <w:rFonts w:ascii="Aptos" w:cs="Aptos" w:eastAsia="Aptos" w:hAnsi="Aptos"/>
              <w:b w:val="0"/>
              <w:bCs w:val="0"/>
              <w:i w:val="0"/>
              <w:iCs w:val="0"/>
              <w:smallCaps w:val="0"/>
              <w:strike w:val="0"/>
              <w:color w:val="000000"/>
              <w:sz w:val="24"/>
              <w:szCs w:val="24"/>
              <w:u w:val="none"/>
              <w:shd w:fill="auto" w:val="clear"/>
              <w:vertAlign w:val="baseline"/>
            </w:rPr>
          </w:pPr>
          <w:hyperlink w:anchor="_umwl39777y2b">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Conclusion</w:t>
              <w:tab/>
              <w:t xml:space="preserve">7</w:t>
            </w:r>
          </w:hyperlink>
          <w:r w:rsidDel="00000000" w:rsidR="00000000" w:rsidRPr="00000000">
            <w:rPr>
              <w:rtl w:val="0"/>
            </w:rPr>
          </w:r>
        </w:p>
        <w:p w:rsidR="00000000" w:rsidDel="00000000" w:rsidP="00000000" w:rsidRDefault="00000000" w:rsidRPr="00000000" w14:paraId="0000001B">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350"/>
            </w:tabs>
            <w:spacing w:after="100" w:before="0" w:line="360" w:lineRule="auto"/>
            <w:ind w:left="0" w:right="0" w:firstLine="0"/>
            <w:jc w:val="both"/>
            <w:rPr>
              <w:rFonts w:ascii="Aptos" w:cs="Aptos" w:eastAsia="Aptos" w:hAnsi="Aptos"/>
              <w:b w:val="0"/>
              <w:bCs w:val="0"/>
              <w:i w:val="0"/>
              <w:iCs w:val="0"/>
              <w:smallCaps w:val="0"/>
              <w:strike w:val="0"/>
              <w:color w:val="000000"/>
              <w:sz w:val="24"/>
              <w:szCs w:val="24"/>
              <w:u w:val="none"/>
              <w:shd w:fill="auto" w:val="clear"/>
              <w:vertAlign w:val="baseline"/>
            </w:rPr>
          </w:pPr>
          <w:hyperlink w:anchor="_b8gkt38h4954">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4. Equality, Diversity and Inclusion in the NHS</w:t>
              <w:tab/>
              <w:t xml:space="preserve">9</w:t>
            </w:r>
          </w:hyperlink>
          <w:r w:rsidDel="00000000" w:rsidR="00000000" w:rsidRPr="00000000">
            <w:rPr>
              <w:rtl w:val="0"/>
            </w:rPr>
          </w:r>
        </w:p>
        <w:p w:rsidR="00000000" w:rsidDel="00000000" w:rsidP="00000000" w:rsidRDefault="00000000" w:rsidRPr="00000000" w14:paraId="0000001C">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350"/>
            </w:tabs>
            <w:spacing w:after="100" w:before="0" w:line="360" w:lineRule="auto"/>
            <w:ind w:left="0" w:right="0" w:firstLine="0"/>
            <w:jc w:val="both"/>
            <w:rPr>
              <w:rFonts w:ascii="Aptos" w:cs="Aptos" w:eastAsia="Aptos" w:hAnsi="Aptos"/>
              <w:b w:val="0"/>
              <w:bCs w:val="0"/>
              <w:i w:val="0"/>
              <w:iCs w:val="0"/>
              <w:smallCaps w:val="0"/>
              <w:strike w:val="0"/>
              <w:color w:val="000000"/>
              <w:sz w:val="24"/>
              <w:szCs w:val="24"/>
              <w:u w:val="none"/>
              <w:shd w:fill="auto" w:val="clear"/>
              <w:vertAlign w:val="baseline"/>
            </w:rPr>
          </w:pPr>
          <w:hyperlink w:anchor="_5eb2vi7qvgvp">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5. Reflective Letter on Emotional Intelligence and Resilience</w:t>
              <w:tab/>
              <w:t xml:space="preserve">11</w:t>
            </w:r>
          </w:hyperlink>
          <w:r w:rsidDel="00000000" w:rsidR="00000000" w:rsidRPr="00000000">
            <w:rPr>
              <w:rtl w:val="0"/>
            </w:rPr>
          </w:r>
        </w:p>
        <w:p w:rsidR="00000000" w:rsidDel="00000000" w:rsidP="00000000" w:rsidRDefault="00000000" w:rsidRPr="00000000" w14:paraId="0000001D">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350"/>
            </w:tabs>
            <w:spacing w:after="100" w:before="0" w:line="360" w:lineRule="auto"/>
            <w:ind w:left="0" w:right="0" w:firstLine="0"/>
            <w:jc w:val="both"/>
            <w:rPr>
              <w:rFonts w:ascii="Aptos" w:cs="Aptos" w:eastAsia="Aptos" w:hAnsi="Aptos"/>
              <w:b w:val="0"/>
              <w:bCs w:val="0"/>
              <w:i w:val="0"/>
              <w:iCs w:val="0"/>
              <w:smallCaps w:val="0"/>
              <w:strike w:val="0"/>
              <w:color w:val="000000"/>
              <w:sz w:val="24"/>
              <w:szCs w:val="24"/>
              <w:u w:val="none"/>
              <w:shd w:fill="auto" w:val="clear"/>
              <w:vertAlign w:val="baseline"/>
            </w:rPr>
          </w:pPr>
          <w:hyperlink w:anchor="_oguwduiiro">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6. Career Development Timeline</w:t>
              <w:tab/>
              <w:t xml:space="preserve">12</w:t>
            </w:r>
          </w:hyperlink>
          <w:r w:rsidDel="00000000" w:rsidR="00000000" w:rsidRPr="00000000">
            <w:rPr>
              <w:rtl w:val="0"/>
            </w:rPr>
          </w:r>
        </w:p>
        <w:p w:rsidR="00000000" w:rsidDel="00000000" w:rsidP="00000000" w:rsidRDefault="00000000" w:rsidRPr="00000000" w14:paraId="0000001E">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350"/>
            </w:tabs>
            <w:spacing w:after="100" w:before="0" w:line="360" w:lineRule="auto"/>
            <w:ind w:left="0" w:right="0" w:firstLine="0"/>
            <w:jc w:val="both"/>
            <w:rPr>
              <w:rFonts w:ascii="Aptos" w:cs="Aptos" w:eastAsia="Aptos" w:hAnsi="Aptos"/>
              <w:b w:val="0"/>
              <w:bCs w:val="0"/>
              <w:i w:val="0"/>
              <w:iCs w:val="0"/>
              <w:smallCaps w:val="0"/>
              <w:strike w:val="0"/>
              <w:color w:val="000000"/>
              <w:sz w:val="24"/>
              <w:szCs w:val="24"/>
              <w:u w:val="none"/>
              <w:shd w:fill="auto" w:val="clear"/>
              <w:vertAlign w:val="baseline"/>
            </w:rPr>
          </w:pPr>
          <w:hyperlink w:anchor="_t4tv21yw6fwv">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7. Implementing Organisational Change in a Care Home</w:t>
              <w:tab/>
              <w:t xml:space="preserve">14</w:t>
            </w:r>
          </w:hyperlink>
          <w:r w:rsidDel="00000000" w:rsidR="00000000" w:rsidRPr="00000000">
            <w:rPr>
              <w:rtl w:val="0"/>
            </w:rPr>
          </w:r>
        </w:p>
        <w:p w:rsidR="00000000" w:rsidDel="00000000" w:rsidP="00000000" w:rsidRDefault="00000000" w:rsidRPr="00000000" w14:paraId="0000001F">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240" w:right="0" w:firstLine="0"/>
            <w:jc w:val="both"/>
            <w:rPr>
              <w:rFonts w:ascii="Aptos" w:cs="Aptos" w:eastAsia="Aptos" w:hAnsi="Aptos"/>
              <w:b w:val="0"/>
              <w:bCs w:val="0"/>
              <w:i w:val="0"/>
              <w:iCs w:val="0"/>
              <w:smallCaps w:val="0"/>
              <w:strike w:val="0"/>
              <w:color w:val="000000"/>
              <w:sz w:val="24"/>
              <w:szCs w:val="24"/>
              <w:u w:val="none"/>
              <w:shd w:fill="auto" w:val="clear"/>
              <w:vertAlign w:val="baseline"/>
            </w:rPr>
          </w:pPr>
          <w:hyperlink w:anchor="_spzr52gg82p5">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Introduction</w:t>
              <w:tab/>
              <w:t xml:space="preserve">14</w:t>
            </w:r>
          </w:hyperlink>
          <w:r w:rsidDel="00000000" w:rsidR="00000000" w:rsidRPr="00000000">
            <w:rPr>
              <w:rtl w:val="0"/>
            </w:rPr>
          </w:r>
        </w:p>
        <w:p w:rsidR="00000000" w:rsidDel="00000000" w:rsidP="00000000" w:rsidRDefault="00000000" w:rsidRPr="00000000" w14:paraId="00000020">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240" w:right="0" w:firstLine="0"/>
            <w:jc w:val="both"/>
            <w:rPr>
              <w:rFonts w:ascii="Aptos" w:cs="Aptos" w:eastAsia="Aptos" w:hAnsi="Aptos"/>
              <w:b w:val="0"/>
              <w:bCs w:val="0"/>
              <w:i w:val="0"/>
              <w:iCs w:val="0"/>
              <w:smallCaps w:val="0"/>
              <w:strike w:val="0"/>
              <w:color w:val="000000"/>
              <w:sz w:val="24"/>
              <w:szCs w:val="24"/>
              <w:u w:val="none"/>
              <w:shd w:fill="auto" w:val="clear"/>
              <w:vertAlign w:val="baseline"/>
            </w:rPr>
          </w:pPr>
          <w:hyperlink w:anchor="_uw05upcoanyd">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Implementation Plan</w:t>
              <w:tab/>
              <w:t xml:space="preserve">14</w:t>
            </w:r>
          </w:hyperlink>
          <w:r w:rsidDel="00000000" w:rsidR="00000000" w:rsidRPr="00000000">
            <w:rPr>
              <w:rtl w:val="0"/>
            </w:rPr>
          </w:r>
        </w:p>
        <w:p w:rsidR="00000000" w:rsidDel="00000000" w:rsidP="00000000" w:rsidRDefault="00000000" w:rsidRPr="00000000" w14:paraId="00000021">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240" w:right="0" w:firstLine="0"/>
            <w:jc w:val="both"/>
            <w:rPr>
              <w:rFonts w:ascii="Aptos" w:cs="Aptos" w:eastAsia="Aptos" w:hAnsi="Aptos"/>
              <w:b w:val="0"/>
              <w:bCs w:val="0"/>
              <w:i w:val="0"/>
              <w:iCs w:val="0"/>
              <w:smallCaps w:val="0"/>
              <w:strike w:val="0"/>
              <w:color w:val="000000"/>
              <w:sz w:val="24"/>
              <w:szCs w:val="24"/>
              <w:u w:val="none"/>
              <w:shd w:fill="auto" w:val="clear"/>
              <w:vertAlign w:val="baseline"/>
            </w:rPr>
          </w:pPr>
          <w:hyperlink w:anchor="_yhi95nmjqbb4">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Barriers</w:t>
              <w:tab/>
              <w:t xml:space="preserve">14</w:t>
            </w:r>
          </w:hyperlink>
          <w:r w:rsidDel="00000000" w:rsidR="00000000" w:rsidRPr="00000000">
            <w:rPr>
              <w:rtl w:val="0"/>
            </w:rPr>
          </w:r>
        </w:p>
        <w:p w:rsidR="00000000" w:rsidDel="00000000" w:rsidP="00000000" w:rsidRDefault="00000000" w:rsidRPr="00000000" w14:paraId="00000022">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240" w:right="0" w:firstLine="0"/>
            <w:jc w:val="both"/>
            <w:rPr>
              <w:rFonts w:ascii="Aptos" w:cs="Aptos" w:eastAsia="Aptos" w:hAnsi="Aptos"/>
              <w:b w:val="0"/>
              <w:bCs w:val="0"/>
              <w:i w:val="0"/>
              <w:iCs w:val="0"/>
              <w:smallCaps w:val="0"/>
              <w:strike w:val="0"/>
              <w:color w:val="000000"/>
              <w:sz w:val="24"/>
              <w:szCs w:val="24"/>
              <w:u w:val="none"/>
              <w:shd w:fill="auto" w:val="clear"/>
              <w:vertAlign w:val="baseline"/>
            </w:rPr>
          </w:pPr>
          <w:hyperlink w:anchor="_dh0f3jfd1q">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Change Model</w:t>
              <w:tab/>
              <w:t xml:space="preserve">14</w:t>
            </w:r>
          </w:hyperlink>
          <w:r w:rsidDel="00000000" w:rsidR="00000000" w:rsidRPr="00000000">
            <w:rPr>
              <w:rtl w:val="0"/>
            </w:rPr>
          </w:r>
        </w:p>
        <w:p w:rsidR="00000000" w:rsidDel="00000000" w:rsidP="00000000" w:rsidRDefault="00000000" w:rsidRPr="00000000" w14:paraId="00000023">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350"/>
            </w:tabs>
            <w:spacing w:after="100" w:before="0" w:line="360" w:lineRule="auto"/>
            <w:ind w:left="0" w:right="0" w:firstLine="0"/>
            <w:jc w:val="both"/>
            <w:rPr>
              <w:rFonts w:ascii="Aptos" w:cs="Aptos" w:eastAsia="Aptos" w:hAnsi="Aptos"/>
              <w:b w:val="0"/>
              <w:bCs w:val="0"/>
              <w:i w:val="0"/>
              <w:iCs w:val="0"/>
              <w:smallCaps w:val="0"/>
              <w:strike w:val="0"/>
              <w:color w:val="000000"/>
              <w:sz w:val="24"/>
              <w:szCs w:val="24"/>
              <w:u w:val="none"/>
              <w:shd w:fill="auto" w:val="clear"/>
              <w:vertAlign w:val="baseline"/>
            </w:rPr>
          </w:pPr>
          <w:hyperlink w:anchor="_2m5op6ab200n">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8. Reflective Learning Using Gibbs Model</w:t>
              <w:tab/>
              <w:t xml:space="preserve">15</w:t>
            </w:r>
          </w:hyperlink>
          <w:r w:rsidDel="00000000" w:rsidR="00000000" w:rsidRPr="00000000">
            <w:rPr>
              <w:rtl w:val="0"/>
            </w:rPr>
          </w:r>
        </w:p>
        <w:p w:rsidR="00000000" w:rsidDel="00000000" w:rsidP="00000000" w:rsidRDefault="00000000" w:rsidRPr="00000000" w14:paraId="00000024">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240" w:right="0" w:firstLine="0"/>
            <w:jc w:val="both"/>
            <w:rPr>
              <w:rFonts w:ascii="Aptos" w:cs="Aptos" w:eastAsia="Aptos" w:hAnsi="Aptos"/>
              <w:b w:val="0"/>
              <w:bCs w:val="0"/>
              <w:i w:val="0"/>
              <w:iCs w:val="0"/>
              <w:smallCaps w:val="0"/>
              <w:strike w:val="0"/>
              <w:color w:val="000000"/>
              <w:sz w:val="24"/>
              <w:szCs w:val="24"/>
              <w:u w:val="none"/>
              <w:shd w:fill="auto" w:val="clear"/>
              <w:vertAlign w:val="baseline"/>
            </w:rPr>
          </w:pPr>
          <w:hyperlink w:anchor="_zc9x8jf7cixw">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Description</w:t>
              <w:tab/>
              <w:t xml:space="preserve">15</w:t>
            </w:r>
          </w:hyperlink>
          <w:r w:rsidDel="00000000" w:rsidR="00000000" w:rsidRPr="00000000">
            <w:rPr>
              <w:rtl w:val="0"/>
            </w:rPr>
          </w:r>
        </w:p>
        <w:p w:rsidR="00000000" w:rsidDel="00000000" w:rsidP="00000000" w:rsidRDefault="00000000" w:rsidRPr="00000000" w14:paraId="00000025">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240" w:right="0" w:firstLine="0"/>
            <w:jc w:val="both"/>
            <w:rPr>
              <w:rFonts w:ascii="Aptos" w:cs="Aptos" w:eastAsia="Aptos" w:hAnsi="Aptos"/>
              <w:b w:val="0"/>
              <w:bCs w:val="0"/>
              <w:i w:val="0"/>
              <w:iCs w:val="0"/>
              <w:smallCaps w:val="0"/>
              <w:strike w:val="0"/>
              <w:color w:val="000000"/>
              <w:sz w:val="24"/>
              <w:szCs w:val="24"/>
              <w:u w:val="none"/>
              <w:shd w:fill="auto" w:val="clear"/>
              <w:vertAlign w:val="baseline"/>
            </w:rPr>
          </w:pPr>
          <w:hyperlink w:anchor="_o1y2496om2qd">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Feelings and Evaluation</w:t>
              <w:tab/>
              <w:t xml:space="preserve">15</w:t>
            </w:r>
          </w:hyperlink>
          <w:r w:rsidDel="00000000" w:rsidR="00000000" w:rsidRPr="00000000">
            <w:rPr>
              <w:rtl w:val="0"/>
            </w:rPr>
          </w:r>
        </w:p>
        <w:p w:rsidR="00000000" w:rsidDel="00000000" w:rsidP="00000000" w:rsidRDefault="00000000" w:rsidRPr="00000000" w14:paraId="00000026">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240" w:right="0" w:firstLine="0"/>
            <w:jc w:val="both"/>
            <w:rPr>
              <w:rFonts w:ascii="Aptos" w:cs="Aptos" w:eastAsia="Aptos" w:hAnsi="Aptos"/>
              <w:b w:val="0"/>
              <w:bCs w:val="0"/>
              <w:i w:val="0"/>
              <w:iCs w:val="0"/>
              <w:smallCaps w:val="0"/>
              <w:strike w:val="0"/>
              <w:color w:val="000000"/>
              <w:sz w:val="24"/>
              <w:szCs w:val="24"/>
              <w:u w:val="none"/>
              <w:shd w:fill="auto" w:val="clear"/>
              <w:vertAlign w:val="baseline"/>
            </w:rPr>
          </w:pPr>
          <w:hyperlink w:anchor="_c1harwbymyf">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Analysis</w:t>
              <w:tab/>
              <w:t xml:space="preserve">15</w:t>
            </w:r>
          </w:hyperlink>
          <w:r w:rsidDel="00000000" w:rsidR="00000000" w:rsidRPr="00000000">
            <w:rPr>
              <w:rtl w:val="0"/>
            </w:rPr>
          </w:r>
        </w:p>
        <w:p w:rsidR="00000000" w:rsidDel="00000000" w:rsidP="00000000" w:rsidRDefault="00000000" w:rsidRPr="00000000" w14:paraId="00000027">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240" w:right="0" w:firstLine="0"/>
            <w:jc w:val="both"/>
            <w:rPr>
              <w:rFonts w:ascii="Aptos" w:cs="Aptos" w:eastAsia="Aptos" w:hAnsi="Aptos"/>
              <w:b w:val="0"/>
              <w:bCs w:val="0"/>
              <w:i w:val="0"/>
              <w:iCs w:val="0"/>
              <w:smallCaps w:val="0"/>
              <w:strike w:val="0"/>
              <w:color w:val="000000"/>
              <w:sz w:val="24"/>
              <w:szCs w:val="24"/>
              <w:u w:val="none"/>
              <w:shd w:fill="auto" w:val="clear"/>
              <w:vertAlign w:val="baseline"/>
            </w:rPr>
          </w:pPr>
          <w:hyperlink w:anchor="_sejzrtiw7983">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Action Plan</w:t>
              <w:tab/>
              <w:t xml:space="preserve">15</w:t>
            </w:r>
          </w:hyperlink>
          <w:r w:rsidDel="00000000" w:rsidR="00000000" w:rsidRPr="00000000">
            <w:rPr>
              <w:rtl w:val="0"/>
            </w:rPr>
          </w:r>
        </w:p>
        <w:p w:rsidR="00000000" w:rsidDel="00000000" w:rsidP="00000000" w:rsidRDefault="00000000" w:rsidRPr="00000000" w14:paraId="00000028">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350"/>
            </w:tabs>
            <w:spacing w:after="100" w:before="0" w:line="360" w:lineRule="auto"/>
            <w:ind w:left="0" w:right="0" w:firstLine="0"/>
            <w:jc w:val="both"/>
            <w:rPr>
              <w:rFonts w:ascii="Aptos" w:cs="Aptos" w:eastAsia="Aptos" w:hAnsi="Aptos"/>
              <w:b w:val="0"/>
              <w:bCs w:val="0"/>
              <w:i w:val="0"/>
              <w:iCs w:val="0"/>
              <w:smallCaps w:val="0"/>
              <w:strike w:val="0"/>
              <w:color w:val="000000"/>
              <w:sz w:val="24"/>
              <w:szCs w:val="24"/>
              <w:u w:val="none"/>
              <w:shd w:fill="auto" w:val="clear"/>
              <w:vertAlign w:val="baseline"/>
            </w:rPr>
          </w:pPr>
          <w:hyperlink w:anchor="_mkd11yejichb">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FINAL CONCLUSION</w:t>
              <w:tab/>
              <w:t xml:space="preserve">16</w:t>
            </w:r>
          </w:hyperlink>
          <w:r w:rsidDel="00000000" w:rsidR="00000000" w:rsidRPr="00000000">
            <w:rPr>
              <w:rtl w:val="0"/>
            </w:rPr>
          </w:r>
        </w:p>
        <w:p w:rsidR="00000000" w:rsidDel="00000000" w:rsidP="00000000" w:rsidRDefault="00000000" w:rsidRPr="00000000" w14:paraId="00000029">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350"/>
            </w:tabs>
            <w:spacing w:after="100" w:before="0" w:line="360" w:lineRule="auto"/>
            <w:ind w:left="0" w:right="0" w:firstLine="0"/>
            <w:jc w:val="both"/>
            <w:rPr>
              <w:rFonts w:ascii="Aptos" w:cs="Aptos" w:eastAsia="Aptos" w:hAnsi="Aptos"/>
              <w:b w:val="0"/>
              <w:bCs w:val="0"/>
              <w:i w:val="0"/>
              <w:iCs w:val="0"/>
              <w:smallCaps w:val="0"/>
              <w:strike w:val="0"/>
              <w:color w:val="000000"/>
              <w:sz w:val="24"/>
              <w:szCs w:val="24"/>
              <w:u w:val="none"/>
              <w:shd w:fill="auto" w:val="clear"/>
              <w:vertAlign w:val="baseline"/>
            </w:rPr>
          </w:pPr>
          <w:hyperlink w:anchor="_jxhdcberj45x">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REFERENCES</w:t>
              <w:tab/>
              <w:t xml:space="preserve">17</w:t>
            </w:r>
          </w:hyperlink>
          <w:r w:rsidDel="00000000" w:rsidR="00000000" w:rsidRPr="00000000">
            <w:rPr>
              <w:rtl w:val="0"/>
            </w:rPr>
          </w:r>
        </w:p>
        <w:p w:rsidR="00000000" w:rsidDel="00000000" w:rsidP="00000000" w:rsidRDefault="00000000" w:rsidRPr="00000000" w14:paraId="0000002A">
          <w:pPr>
            <w:rPr/>
          </w:pPr>
          <w:r w:rsidDel="00000000" w:rsidR="00000000" w:rsidRPr="00000000">
            <w:rPr>
              <w:rtl w:val="0"/>
            </w:rPr>
          </w:r>
          <w:r w:rsidDel="00000000" w:rsidR="00000000" w:rsidRPr="00000000">
            <w:fldChar w:fldCharType="end"/>
          </w:r>
        </w:p>
      </w:sdtContent>
    </w:sdt>
    <w:p w:rsidR="00000000" w:rsidDel="00000000" w:rsidP="00000000" w:rsidRDefault="00000000" w:rsidRPr="00000000" w14:paraId="0000002B">
      <w:pPr>
        <w:spacing w:line="259" w:lineRule="auto"/>
        <w:jc w:val="left"/>
        <w:rPr/>
      </w:pPr>
      <w:r w:rsidDel="00000000" w:rsidR="00000000" w:rsidRPr="00000000">
        <w:rPr>
          <w:rtl w:val="0"/>
        </w:rPr>
      </w:r>
    </w:p>
    <w:p w:rsidR="00000000" w:rsidDel="00000000" w:rsidP="00000000" w:rsidRDefault="00000000" w:rsidRPr="00000000" w14:paraId="0000002C">
      <w:pPr>
        <w:spacing w:line="259" w:lineRule="auto"/>
        <w:jc w:val="left"/>
        <w:rPr/>
      </w:pPr>
      <w:r w:rsidDel="00000000" w:rsidR="00000000" w:rsidRPr="00000000">
        <w:rPr>
          <w:rtl w:val="0"/>
        </w:rPr>
      </w:r>
    </w:p>
    <w:p w:rsidR="00000000" w:rsidDel="00000000" w:rsidP="00000000" w:rsidRDefault="00000000" w:rsidRPr="00000000" w14:paraId="0000002D">
      <w:pPr>
        <w:spacing w:line="259" w:lineRule="auto"/>
        <w:jc w:val="left"/>
        <w:rPr/>
      </w:pPr>
      <w:r w:rsidDel="00000000" w:rsidR="00000000" w:rsidRPr="00000000">
        <w:rPr>
          <w:rtl w:val="0"/>
        </w:rPr>
      </w:r>
    </w:p>
    <w:p w:rsidR="00000000" w:rsidDel="00000000" w:rsidP="00000000" w:rsidRDefault="00000000" w:rsidRPr="00000000" w14:paraId="0000002E">
      <w:pPr>
        <w:spacing w:line="259" w:lineRule="auto"/>
        <w:jc w:val="left"/>
        <w:rPr>
          <w:b w:val="1"/>
          <w:bCs w:val="1"/>
          <w:sz w:val="32"/>
          <w:szCs w:val="32"/>
          <w:u w:val="single"/>
        </w:rPr>
      </w:pPr>
      <w:r w:rsidDel="00000000" w:rsidR="00000000" w:rsidRPr="00000000">
        <w:br w:type="page"/>
      </w:r>
      <w:r w:rsidDel="00000000" w:rsidR="00000000" w:rsidRPr="00000000">
        <w:rPr>
          <w:rtl w:val="0"/>
        </w:rPr>
      </w:r>
    </w:p>
    <w:p w:rsidR="00000000" w:rsidDel="00000000" w:rsidP="00000000" w:rsidRDefault="00000000" w:rsidRPr="00000000" w14:paraId="0000002F">
      <w:pPr>
        <w:pStyle w:val="Heading1"/>
        <w:rPr/>
      </w:pPr>
      <w:bookmarkStart w:colFirst="0" w:colLast="0" w:name="_69a8rwm8dzvg" w:id="0"/>
      <w:bookmarkEnd w:id="0"/>
      <w:r w:rsidDel="00000000" w:rsidR="00000000" w:rsidRPr="00000000">
        <w:rPr>
          <w:rtl w:val="0"/>
        </w:rPr>
        <w:t xml:space="preserve">INTRODUCTION </w:t>
      </w:r>
    </w:p>
    <w:p w:rsidR="00000000" w:rsidDel="00000000" w:rsidP="00000000" w:rsidRDefault="00000000" w:rsidRPr="00000000" w14:paraId="00000030">
      <w:pPr>
        <w:rPr/>
      </w:pPr>
      <w:r w:rsidDel="00000000" w:rsidR="00000000" w:rsidRPr="00000000">
        <w:rPr>
          <w:rtl w:val="0"/>
        </w:rPr>
        <w:t xml:space="preserve">This portfolio examines the development of employability skills within health and social care education by integrating reflective tasks, professional analysis, and sector-focused planning. The document emphasises construction of a clear personal brand aligned with organisational expectations and service-user needs. Learning activities connect identity awareness, effective communication practices, professional networking behaviour, and responsible engagement with digital healthcare systems. Structured exercises also support evidence-based career planning, encouraging alignment between academic capability, labour-market demands, and continuous professional development standards required for sustainable employment in contemporary UK health and social care services across diverse organisational settings and evolving policy environments, workforce expectations, and population.</w:t>
      </w:r>
    </w:p>
    <w:p w:rsidR="00000000" w:rsidDel="00000000" w:rsidP="00000000" w:rsidRDefault="00000000" w:rsidRPr="00000000" w14:paraId="00000031">
      <w:pPr>
        <w:spacing w:line="259" w:lineRule="auto"/>
        <w:jc w:val="left"/>
        <w:rPr>
          <w:b w:val="1"/>
          <w:bCs w:val="1"/>
        </w:rPr>
      </w:pPr>
      <w:r w:rsidDel="00000000" w:rsidR="00000000" w:rsidRPr="00000000">
        <w:br w:type="page"/>
      </w:r>
      <w:r w:rsidDel="00000000" w:rsidR="00000000" w:rsidRPr="00000000">
        <w:rPr>
          <w:rtl w:val="0"/>
        </w:rPr>
      </w:r>
    </w:p>
    <w:p w:rsidR="00000000" w:rsidDel="00000000" w:rsidP="00000000" w:rsidRDefault="00000000" w:rsidRPr="00000000" w14:paraId="00000032">
      <w:pPr>
        <w:pStyle w:val="Heading1"/>
        <w:rPr/>
      </w:pPr>
      <w:bookmarkStart w:colFirst="0" w:colLast="0" w:name="_4recc3659fba" w:id="1"/>
      <w:bookmarkEnd w:id="1"/>
      <w:r w:rsidDel="00000000" w:rsidR="00000000" w:rsidRPr="00000000">
        <w:rPr>
          <w:rtl w:val="0"/>
        </w:rPr>
        <w:t xml:space="preserve">1. Personal Brand Development</w:t>
      </w:r>
    </w:p>
    <w:p w:rsidR="00000000" w:rsidDel="00000000" w:rsidP="00000000" w:rsidRDefault="00000000" w:rsidRPr="00000000" w14:paraId="00000033">
      <w:pPr>
        <w:pStyle w:val="Heading2"/>
        <w:rPr/>
      </w:pPr>
      <w:bookmarkStart w:colFirst="0" w:colLast="0" w:name="_1l1hgsojosh1" w:id="2"/>
      <w:bookmarkEnd w:id="2"/>
      <w:r w:rsidDel="00000000" w:rsidR="00000000" w:rsidRPr="00000000">
        <w:rPr>
          <w:rtl w:val="0"/>
        </w:rPr>
        <w:t xml:space="preserve">Paragraph 1 — What personal branding means</w:t>
      </w:r>
    </w:p>
    <w:p w:rsidR="00000000" w:rsidDel="00000000" w:rsidP="00000000" w:rsidRDefault="00000000" w:rsidRPr="00000000" w14:paraId="00000034">
      <w:pPr>
        <w:rPr/>
      </w:pPr>
      <w:r w:rsidDel="00000000" w:rsidR="00000000" w:rsidRPr="00000000">
        <w:rPr>
          <w:rtl w:val="0"/>
        </w:rPr>
        <w:t xml:space="preserve">Personal branding entails the ability to present the professional reputation, validated skills and ethical behaviour in a strategic way to show value of employability in organisational recruitment procedures. Making career visible and selection choices in healthcare Coherent brand will suggest reliability, competence, and service orientation (Khedher, 2019).</w:t>
      </w:r>
    </w:p>
    <w:p w:rsidR="00000000" w:rsidDel="00000000" w:rsidP="00000000" w:rsidRDefault="00000000" w:rsidRPr="00000000" w14:paraId="00000035">
      <w:pPr>
        <w:pStyle w:val="Heading2"/>
        <w:rPr/>
      </w:pPr>
      <w:bookmarkStart w:colFirst="0" w:colLast="0" w:name="_hmkzbgiqzn7o" w:id="3"/>
      <w:bookmarkEnd w:id="3"/>
      <w:r w:rsidDel="00000000" w:rsidR="00000000" w:rsidRPr="00000000">
        <w:rPr>
          <w:rtl w:val="0"/>
        </w:rPr>
        <w:t xml:space="preserve">Paragraph 2 — Current strengths</w:t>
      </w:r>
    </w:p>
    <w:p w:rsidR="00000000" w:rsidDel="00000000" w:rsidP="00000000" w:rsidRDefault="00000000" w:rsidRPr="00000000" w14:paraId="00000036">
      <w:pPr>
        <w:rPr/>
      </w:pPr>
      <w:r w:rsidDel="00000000" w:rsidR="00000000" w:rsidRPr="00000000">
        <w:rPr>
          <w:rtl w:val="0"/>
        </w:rPr>
        <w:t xml:space="preserve">The most valuable professional competencies are the ability to communicate effectively with the service users, the capacity to empathize with vulnerable communities, the willingness to collaborate in the team, and the ability to be reliable in reporting and protective practices. Community and exchange of effective communication can minimize clinical risk and increase patient satisfaction, whereas empathy facilitates the relationship of trust and ethical care. The cooperation of teams promotes the provision of services in an integrated manner, and responsible attendance, accuracy in records, and compliance with policies depict accountability that should be observed in health and social care settings (NHS England, 2023).</w:t>
      </w:r>
    </w:p>
    <w:p w:rsidR="00000000" w:rsidDel="00000000" w:rsidP="00000000" w:rsidRDefault="00000000" w:rsidRPr="00000000" w14:paraId="00000037">
      <w:pPr>
        <w:pStyle w:val="Heading2"/>
        <w:rPr/>
      </w:pPr>
      <w:bookmarkStart w:colFirst="0" w:colLast="0" w:name="_rqzjttopsps4" w:id="4"/>
      <w:bookmarkEnd w:id="4"/>
      <w:r w:rsidDel="00000000" w:rsidR="00000000" w:rsidRPr="00000000">
        <w:rPr>
          <w:rtl w:val="0"/>
        </w:rPr>
        <w:t xml:space="preserve">Paragraph 3 — Areas for improvement and actions </w:t>
      </w:r>
    </w:p>
    <w:p w:rsidR="00000000" w:rsidDel="00000000" w:rsidP="00000000" w:rsidRDefault="00000000" w:rsidRPr="00000000" w14:paraId="00000038">
      <w:pPr>
        <w:rPr/>
      </w:pPr>
      <w:r w:rsidDel="00000000" w:rsidR="00000000" w:rsidRPr="00000000">
        <w:rPr>
          <w:rtl w:val="0"/>
        </w:rPr>
        <w:t xml:space="preserve">Further professional development should prioritise leadership capacity, high-level digital literacy, and systematic stress-management methods. Leadership training improves the ability to supervise, confidence in delegation, and ethical decision making needed in care of the seniors. Increased digital competence helps in safe use of electronic records and telehealth systems within the UK services. Evidence-based stress management and reflective management enhance resilience, decrease the risk of burnout, and maintain retention of challenging health and social care professions professional environments (Health Foundation, 2022). </w:t>
      </w:r>
    </w:p>
    <w:p w:rsidR="00000000" w:rsidDel="00000000" w:rsidP="00000000" w:rsidRDefault="00000000" w:rsidRPr="00000000" w14:paraId="00000039">
      <w:pPr>
        <w:spacing w:line="259" w:lineRule="auto"/>
        <w:jc w:val="left"/>
        <w:rPr>
          <w:b w:val="1"/>
          <w:bCs w:val="1"/>
          <w:sz w:val="32"/>
          <w:szCs w:val="32"/>
          <w:u w:val="single"/>
        </w:rPr>
      </w:pPr>
      <w:r w:rsidDel="00000000" w:rsidR="00000000" w:rsidRPr="00000000">
        <w:br w:type="page"/>
      </w:r>
      <w:r w:rsidDel="00000000" w:rsidR="00000000" w:rsidRPr="00000000">
        <w:rPr>
          <w:rtl w:val="0"/>
        </w:rPr>
      </w:r>
    </w:p>
    <w:p w:rsidR="00000000" w:rsidDel="00000000" w:rsidP="00000000" w:rsidRDefault="00000000" w:rsidRPr="00000000" w14:paraId="0000003A">
      <w:pPr>
        <w:pStyle w:val="Heading1"/>
        <w:rPr/>
      </w:pPr>
      <w:bookmarkStart w:colFirst="0" w:colLast="0" w:name="_ywdvogununv3" w:id="5"/>
      <w:bookmarkEnd w:id="5"/>
      <w:r w:rsidDel="00000000" w:rsidR="00000000" w:rsidRPr="00000000">
        <w:rPr>
          <w:rtl w:val="0"/>
        </w:rPr>
        <w:t xml:space="preserve">2. Professional Network and Social Capital</w:t>
      </w:r>
    </w:p>
    <w:p w:rsidR="00000000" w:rsidDel="00000000" w:rsidP="00000000" w:rsidRDefault="00000000" w:rsidRPr="00000000" w14:paraId="0000003B">
      <w:pPr>
        <w:pStyle w:val="Heading2"/>
        <w:rPr/>
      </w:pPr>
      <w:bookmarkStart w:colFirst="0" w:colLast="0" w:name="_gqx7v4mv60pq" w:id="6"/>
      <w:bookmarkEnd w:id="6"/>
      <w:r w:rsidDel="00000000" w:rsidR="00000000" w:rsidRPr="00000000">
        <w:rPr>
          <w:rtl w:val="0"/>
        </w:rPr>
        <w:t xml:space="preserve">Paragraph 1 — Social capital theory</w:t>
      </w:r>
    </w:p>
    <w:p w:rsidR="00000000" w:rsidDel="00000000" w:rsidP="00000000" w:rsidRDefault="00000000" w:rsidRPr="00000000" w14:paraId="0000003C">
      <w:pPr>
        <w:rPr/>
      </w:pPr>
      <w:r w:rsidDel="00000000" w:rsidR="00000000" w:rsidRPr="00000000">
        <w:rPr>
          <w:rtl w:val="0"/>
        </w:rPr>
        <w:t xml:space="preserve">Social capital theory explains how relationships establish access to information, trust and opportunity in the professional settings. Close supportive affiliations between similar people fall under bonding capital, different groups and views are connected through bridging capital, and access to institutions and structures of authority manipulate resources, employment opportunities, and service involvement (Putnam, 2020).</w:t>
      </w:r>
    </w:p>
    <w:p w:rsidR="00000000" w:rsidDel="00000000" w:rsidP="00000000" w:rsidRDefault="00000000" w:rsidRPr="00000000" w14:paraId="0000003D">
      <w:pPr>
        <w:pStyle w:val="Heading2"/>
        <w:rPr/>
      </w:pPr>
      <w:bookmarkStart w:colFirst="0" w:colLast="0" w:name="_f72q0zkn80sj" w:id="7"/>
      <w:bookmarkEnd w:id="7"/>
      <w:r w:rsidDel="00000000" w:rsidR="00000000" w:rsidRPr="00000000">
        <w:rPr>
          <w:rtl w:val="0"/>
        </w:rPr>
        <w:t xml:space="preserve">Paragraph 2 — Network description </w:t>
      </w:r>
    </w:p>
    <w:p w:rsidR="00000000" w:rsidDel="00000000" w:rsidP="00000000" w:rsidRDefault="00000000" w:rsidRPr="00000000" w14:paraId="0000003E">
      <w:pPr>
        <w:rPr/>
      </w:pPr>
      <w:r w:rsidDel="00000000" w:rsidR="00000000" w:rsidRPr="00000000">
        <w:rPr>
          <w:rtl w:val="0"/>
        </w:rPr>
        <w:t xml:space="preserve">The emerging professional network incorporates university instructors who offer academic supervision, classmates who exchange learning together, and healthcare professionals who are face-to-face during the placement meetings or observational visits. Volunteering and involvement in local community groups, respectively, reinforce the connections with service users and the organisational staff, as well as create supportive social relations and familiarity with the priorities of the public health and expectations of care services.</w:t>
      </w:r>
    </w:p>
    <w:p w:rsidR="00000000" w:rsidDel="00000000" w:rsidP="00000000" w:rsidRDefault="00000000" w:rsidRPr="00000000" w14:paraId="0000003F">
      <w:pPr>
        <w:pStyle w:val="Heading2"/>
        <w:rPr/>
      </w:pPr>
      <w:bookmarkStart w:colFirst="0" w:colLast="0" w:name="_ksxlgcxwnqvx" w:id="8"/>
      <w:bookmarkEnd w:id="8"/>
      <w:r w:rsidDel="00000000" w:rsidR="00000000" w:rsidRPr="00000000">
        <w:rPr>
          <w:rtl w:val="0"/>
        </w:rPr>
        <w:t xml:space="preserve">Paragraph 3 — Critical explanation </w:t>
      </w:r>
    </w:p>
    <w:p w:rsidR="00000000" w:rsidDel="00000000" w:rsidP="00000000" w:rsidRDefault="00000000" w:rsidRPr="00000000" w14:paraId="00000040">
      <w:pPr>
        <w:rPr/>
      </w:pPr>
      <w:r w:rsidDel="00000000" w:rsidR="00000000" w:rsidRPr="00000000">
        <w:rPr>
          <w:rtl w:val="0"/>
        </w:rPr>
        <w:t xml:space="preserve">Professional networks strengthen employment opportunities by disseminating information about vacancies, giving references, and showing engagement in the sector at the sector level, which is cherished by the recruiters. Learning is also improved between collaborative academic relationships, which include feedback and peer discussion and practical healthcare experience. Nevertheless, networks can be symptomatic of existing inequality since people with an inferior institutional network can have diminished access to opportunities. Excessive use of personal networks can also prevent exposure to a wide range of career opportunities, lead to low levels of innovation, mobility, and intersectoral learning (Granovetter, 2018).</w:t>
      </w:r>
    </w:p>
    <w:p w:rsidR="00000000" w:rsidDel="00000000" w:rsidP="00000000" w:rsidRDefault="00000000" w:rsidRPr="00000000" w14:paraId="00000041">
      <w:pPr>
        <w:rPr/>
      </w:pPr>
      <w:r w:rsidDel="00000000" w:rsidR="00000000" w:rsidRPr="00000000">
        <w:rPr>
          <w:rtl w:val="0"/>
        </w:rPr>
      </w:r>
    </w:p>
    <w:p w:rsidR="00000000" w:rsidDel="00000000" w:rsidP="00000000" w:rsidRDefault="00000000" w:rsidRPr="00000000" w14:paraId="00000042">
      <w:pPr>
        <w:spacing w:line="259" w:lineRule="auto"/>
        <w:jc w:val="left"/>
        <w:rPr>
          <w:b w:val="1"/>
          <w:bCs w:val="1"/>
        </w:rPr>
      </w:pPr>
      <w:r w:rsidDel="00000000" w:rsidR="00000000" w:rsidRPr="00000000">
        <w:br w:type="page"/>
      </w:r>
      <w:r w:rsidDel="00000000" w:rsidR="00000000" w:rsidRPr="00000000">
        <w:rPr>
          <w:rtl w:val="0"/>
        </w:rPr>
      </w:r>
    </w:p>
    <w:p w:rsidR="00000000" w:rsidDel="00000000" w:rsidP="00000000" w:rsidRDefault="00000000" w:rsidRPr="00000000" w14:paraId="00000043">
      <w:pPr>
        <w:pStyle w:val="Heading1"/>
        <w:rPr/>
      </w:pPr>
      <w:bookmarkStart w:colFirst="0" w:colLast="0" w:name="_uw84xn18f76z" w:id="9"/>
      <w:bookmarkEnd w:id="9"/>
      <w:r w:rsidDel="00000000" w:rsidR="00000000" w:rsidRPr="00000000">
        <w:rPr>
          <w:rtl w:val="0"/>
        </w:rPr>
        <w:t xml:space="preserve">3. Blog: Digital Inclusion in UK Health and Social Care</w:t>
      </w:r>
    </w:p>
    <w:p w:rsidR="00000000" w:rsidDel="00000000" w:rsidP="00000000" w:rsidRDefault="00000000" w:rsidRPr="00000000" w14:paraId="00000044">
      <w:pPr>
        <w:jc w:val="center"/>
        <w:rPr/>
      </w:pPr>
      <w:r w:rsidDel="00000000" w:rsidR="00000000" w:rsidRPr="00000000">
        <w:rPr>
          <w:b w:val="1"/>
          <w:bCs w:val="1"/>
          <w:rtl w:val="0"/>
        </w:rPr>
        <w:t xml:space="preserve">Title: Digital Healthcare and the Risk of Excluding Vulnerable Patients</w:t>
      </w:r>
      <w:r w:rsidDel="00000000" w:rsidR="00000000" w:rsidRPr="00000000">
        <w:rPr>
          <w:rtl w:val="0"/>
        </w:rPr>
      </w:r>
    </w:p>
    <w:p w:rsidR="00000000" w:rsidDel="00000000" w:rsidP="00000000" w:rsidRDefault="00000000" w:rsidRPr="00000000" w14:paraId="00000045">
      <w:pPr>
        <w:pStyle w:val="Heading2"/>
        <w:rPr/>
      </w:pPr>
      <w:bookmarkStart w:colFirst="0" w:colLast="0" w:name="_1ucth14ce643" w:id="10"/>
      <w:bookmarkEnd w:id="10"/>
      <w:r w:rsidDel="00000000" w:rsidR="00000000" w:rsidRPr="00000000">
        <w:rPr>
          <w:rtl w:val="0"/>
        </w:rPr>
        <w:t xml:space="preserve">Introduction </w:t>
      </w:r>
    </w:p>
    <w:p w:rsidR="00000000" w:rsidDel="00000000" w:rsidP="00000000" w:rsidRDefault="00000000" w:rsidRPr="00000000" w14:paraId="00000046">
      <w:pPr>
        <w:rPr/>
      </w:pPr>
      <w:r w:rsidDel="00000000" w:rsidR="00000000" w:rsidRPr="00000000">
        <w:rPr>
          <w:rtl w:val="0"/>
        </w:rPr>
        <w:t xml:space="preserve">Digital healthcare has grown at a very high rate in the United Kingdom and has changed the system of appointments and handling of prescriptions, and even the channels of communication between a patient and a healthcare provider. The reason why this transition is important is that technology has the potential to be efficient and better in terms of clinical coordination, but equal access to services requires digital literacy, good connectivity, and system design inclusiveness in health and social care delivery (NHS England, 2023).</w:t>
      </w:r>
    </w:p>
    <w:p w:rsidR="00000000" w:rsidDel="00000000" w:rsidP="00000000" w:rsidRDefault="00000000" w:rsidRPr="00000000" w14:paraId="00000047">
      <w:pPr>
        <w:pStyle w:val="Heading2"/>
        <w:rPr/>
      </w:pPr>
      <w:bookmarkStart w:colFirst="0" w:colLast="0" w:name="_yudjfihxric0" w:id="11"/>
      <w:bookmarkEnd w:id="11"/>
      <w:r w:rsidDel="00000000" w:rsidR="00000000" w:rsidRPr="00000000">
        <w:rPr>
          <w:rtl w:val="0"/>
        </w:rPr>
        <w:t xml:space="preserve">Body paragraph 1</w:t>
      </w:r>
    </w:p>
    <w:p w:rsidR="00000000" w:rsidDel="00000000" w:rsidP="00000000" w:rsidRDefault="00000000" w:rsidRPr="00000000" w14:paraId="00000048">
      <w:pPr>
        <w:rPr/>
      </w:pPr>
      <w:r w:rsidDel="00000000" w:rsidR="00000000" w:rsidRPr="00000000">
        <w:rPr>
          <w:rtl w:val="0"/>
        </w:rPr>
        <w:t xml:space="preserve">Telemedicine allows remote clinical consultations through video platforms, which has cut down the necessity of traveling, and it favours rural or immobilized patients. The digital services in the NHS can now provide the possibility of online booking of appointments, prescription requests, and direct communication with the general practices. Electronic health records also facilitate coordinated treatment planning, which enhances the sharing of information amongst professionals and minimizes administrative reduction. Digital infrastructure in a particular way enhances continuity of care, safety monitoring, and system efficiency across multidisciplinary healthcare settings (Health Foundation, 2022).</w:t>
      </w:r>
    </w:p>
    <w:p w:rsidR="00000000" w:rsidDel="00000000" w:rsidP="00000000" w:rsidRDefault="00000000" w:rsidRPr="00000000" w14:paraId="00000049">
      <w:pPr>
        <w:pStyle w:val="Heading2"/>
        <w:rPr/>
      </w:pPr>
      <w:bookmarkStart w:colFirst="0" w:colLast="0" w:name="_czp7dvpbfcck" w:id="12"/>
      <w:bookmarkEnd w:id="12"/>
      <w:r w:rsidDel="00000000" w:rsidR="00000000" w:rsidRPr="00000000">
        <w:rPr>
          <w:rtl w:val="0"/>
        </w:rPr>
        <w:t xml:space="preserve">Body paragraph 2 </w:t>
      </w:r>
    </w:p>
    <w:p w:rsidR="00000000" w:rsidDel="00000000" w:rsidP="00000000" w:rsidRDefault="00000000" w:rsidRPr="00000000" w14:paraId="0000004A">
      <w:pPr>
        <w:rPr/>
      </w:pPr>
      <w:r w:rsidDel="00000000" w:rsidR="00000000" w:rsidRPr="00000000">
        <w:rPr>
          <w:rtl w:val="0"/>
        </w:rPr>
        <w:t xml:space="preserve">Despite these benefits, there is the problem of digital exclusion that is still a huge challenge. The deprived populations in old age, low-income families, and socially isolated groups tend to lack broadband or digital devices as well as the self-confidence to utilize online systems. Such access restriction can slow down booking an appointment, lower the adherence rate to medication and limit preventative health care interactions. Digitally excluded individuals have been shown to be more socio-isolated and worse health outcomes, which demonstrates that technological inequality is structurally related to socioeconomic disadvantage and unequal access to healthcare in modern service provision systems (Ofcom, 2023).</w:t>
      </w:r>
    </w:p>
    <w:p w:rsidR="00000000" w:rsidDel="00000000" w:rsidP="00000000" w:rsidRDefault="00000000" w:rsidRPr="00000000" w14:paraId="0000004B">
      <w:pPr>
        <w:pStyle w:val="Heading2"/>
        <w:rPr/>
      </w:pPr>
      <w:bookmarkStart w:colFirst="0" w:colLast="0" w:name="_umwl39777y2b" w:id="13"/>
      <w:bookmarkEnd w:id="13"/>
      <w:r w:rsidDel="00000000" w:rsidR="00000000" w:rsidRPr="00000000">
        <w:rPr>
          <w:rtl w:val="0"/>
        </w:rPr>
        <w:t xml:space="preserve">Conclusion</w:t>
      </w:r>
    </w:p>
    <w:p w:rsidR="00000000" w:rsidDel="00000000" w:rsidP="00000000" w:rsidRDefault="00000000" w:rsidRPr="00000000" w14:paraId="0000004C">
      <w:pPr>
        <w:rPr/>
      </w:pPr>
      <w:r w:rsidDel="00000000" w:rsidR="00000000" w:rsidRPr="00000000">
        <w:rPr>
          <w:rtl w:val="0"/>
        </w:rPr>
        <w:t xml:space="preserve">The solution to digital exclusion is specific digital literacy training, facilities of free devices, and alternative non-digital methods of appointment. A national policy that is inclusive must result in healthcare transformation that enhances equality and not inequality. Even digital innovation across the three aspects of community outreach and patient education will contribute to maintaining safe, accessible, and equitable health and social care services.</w:t>
      </w:r>
    </w:p>
    <w:p w:rsidR="00000000" w:rsidDel="00000000" w:rsidP="00000000" w:rsidRDefault="00000000" w:rsidRPr="00000000" w14:paraId="0000004D">
      <w:pPr>
        <w:rPr/>
      </w:pPr>
      <w:r w:rsidDel="00000000" w:rsidR="00000000" w:rsidRPr="00000000">
        <w:rPr>
          <w:rtl w:val="0"/>
        </w:rPr>
      </w:r>
    </w:p>
    <w:p w:rsidR="00000000" w:rsidDel="00000000" w:rsidP="00000000" w:rsidRDefault="00000000" w:rsidRPr="00000000" w14:paraId="0000004E">
      <w:pPr>
        <w:spacing w:line="259" w:lineRule="auto"/>
        <w:jc w:val="left"/>
        <w:rPr>
          <w:b w:val="1"/>
          <w:bCs w:val="1"/>
        </w:rPr>
      </w:pPr>
      <w:r w:rsidDel="00000000" w:rsidR="00000000" w:rsidRPr="00000000">
        <w:br w:type="page"/>
      </w:r>
      <w:r w:rsidDel="00000000" w:rsidR="00000000" w:rsidRPr="00000000">
        <w:rPr>
          <w:rtl w:val="0"/>
        </w:rPr>
      </w:r>
    </w:p>
    <w:p w:rsidR="00000000" w:rsidDel="00000000" w:rsidP="00000000" w:rsidRDefault="00000000" w:rsidRPr="00000000" w14:paraId="0000004F">
      <w:pPr>
        <w:pStyle w:val="Heading1"/>
        <w:rPr/>
      </w:pPr>
      <w:bookmarkStart w:colFirst="0" w:colLast="0" w:name="_b8gkt38h4954" w:id="14"/>
      <w:bookmarkEnd w:id="14"/>
      <w:r w:rsidDel="00000000" w:rsidR="00000000" w:rsidRPr="00000000">
        <w:rPr>
          <w:rtl w:val="0"/>
        </w:rPr>
        <w:t xml:space="preserve">4. Equality, Diversity and Inclusion in the NHS</w:t>
      </w:r>
    </w:p>
    <w:p w:rsidR="00000000" w:rsidDel="00000000" w:rsidP="00000000" w:rsidRDefault="00000000" w:rsidRPr="00000000" w14:paraId="00000050">
      <w:pPr>
        <w:numPr>
          <w:ilvl w:val="0"/>
          <w:numId w:val="2"/>
        </w:numPr>
        <w:ind w:left="720" w:hanging="360"/>
        <w:rPr/>
      </w:pPr>
      <w:r w:rsidDel="00000000" w:rsidR="00000000" w:rsidRPr="00000000">
        <w:rPr>
          <w:rtl w:val="0"/>
        </w:rPr>
        <w:t xml:space="preserve">The primary goal of NHS equality, diversity, and inclusion policy is ensuring workforce opportunity, representation, and equitable patient outcomes nationwide (NHS England, 2023).</w:t>
      </w:r>
    </w:p>
    <w:p w:rsidR="00000000" w:rsidDel="00000000" w:rsidP="00000000" w:rsidRDefault="00000000" w:rsidRPr="00000000" w14:paraId="00000051">
      <w:pPr>
        <w:numPr>
          <w:ilvl w:val="0"/>
          <w:numId w:val="2"/>
        </w:numPr>
        <w:ind w:left="720" w:hanging="360"/>
        <w:rPr/>
      </w:pPr>
      <w:r w:rsidDel="00000000" w:rsidR="00000000" w:rsidRPr="00000000">
        <w:rPr>
          <w:rtl w:val="0"/>
        </w:rPr>
        <w:t xml:space="preserve">The NHS solves the gender pay gap with clear pay audit and progression support, inclusive promotion review, and compulsory reporting.</w:t>
      </w:r>
    </w:p>
    <w:p w:rsidR="00000000" w:rsidDel="00000000" w:rsidP="00000000" w:rsidRDefault="00000000" w:rsidRPr="00000000" w14:paraId="00000052">
      <w:pPr>
        <w:numPr>
          <w:ilvl w:val="0"/>
          <w:numId w:val="2"/>
        </w:numPr>
        <w:ind w:left="720" w:hanging="360"/>
        <w:rPr/>
      </w:pPr>
      <w:r w:rsidDel="00000000" w:rsidR="00000000" w:rsidRPr="00000000">
        <w:rPr>
          <w:rtl w:val="0"/>
        </w:rPr>
        <w:t xml:space="preserve">Intersectionality acknowledges the interaction of multiple identities such as the gender, ethnicity, disability, and class to determine the experiences of discrimination and organisational responses to equality must be organised.</w:t>
      </w:r>
    </w:p>
    <w:p w:rsidR="00000000" w:rsidDel="00000000" w:rsidP="00000000" w:rsidRDefault="00000000" w:rsidRPr="00000000" w14:paraId="00000053">
      <w:pPr>
        <w:numPr>
          <w:ilvl w:val="0"/>
          <w:numId w:val="2"/>
        </w:numPr>
        <w:ind w:left="720" w:hanging="360"/>
        <w:rPr/>
      </w:pPr>
      <w:r w:rsidDel="00000000" w:rsidR="00000000" w:rsidRPr="00000000">
        <w:rPr>
          <w:rtl w:val="0"/>
        </w:rPr>
        <w:t xml:space="preserve">The NHS psychological safety promotes workplace staff who discuss errors, risks, wellbeing, innovation, and concerns, as well as learn, be accountable, be transparent, collaborate, and improve.</w:t>
      </w:r>
    </w:p>
    <w:p w:rsidR="00000000" w:rsidDel="00000000" w:rsidP="00000000" w:rsidRDefault="00000000" w:rsidRPr="00000000" w14:paraId="00000054">
      <w:pPr>
        <w:numPr>
          <w:ilvl w:val="0"/>
          <w:numId w:val="2"/>
        </w:numPr>
        <w:ind w:left="720" w:hanging="360"/>
        <w:rPr/>
      </w:pPr>
      <w:r w:rsidDel="00000000" w:rsidR="00000000" w:rsidRPr="00000000">
        <w:rPr>
          <w:rtl w:val="0"/>
        </w:rPr>
        <w:t xml:space="preserve">International recruited staff also have the support of fair induction, pastoral mentoring, career recognition, ethical recruitment, cultural inclusion, supervision, safeguarding, training, evaluation.</w:t>
      </w:r>
    </w:p>
    <w:p w:rsidR="00000000" w:rsidDel="00000000" w:rsidP="00000000" w:rsidRDefault="00000000" w:rsidRPr="00000000" w14:paraId="00000055">
      <w:pPr>
        <w:numPr>
          <w:ilvl w:val="0"/>
          <w:numId w:val="2"/>
        </w:numPr>
        <w:ind w:left="720" w:hanging="360"/>
        <w:rPr/>
      </w:pPr>
      <w:r w:rsidDel="00000000" w:rsidR="00000000" w:rsidRPr="00000000">
        <w:rPr>
          <w:rtl w:val="0"/>
        </w:rPr>
        <w:t xml:space="preserve">Inclusive leadership in NHS orgs establishes behavioural norms, distributes resources of equality, supervises diversity of workforce, confronts discrimination, makes accountable, transparent and compliant.</w:t>
      </w:r>
    </w:p>
    <w:p w:rsidR="00000000" w:rsidDel="00000000" w:rsidP="00000000" w:rsidRDefault="00000000" w:rsidRPr="00000000" w14:paraId="00000056">
      <w:pPr>
        <w:numPr>
          <w:ilvl w:val="0"/>
          <w:numId w:val="2"/>
        </w:numPr>
        <w:ind w:left="720" w:hanging="360"/>
        <w:rPr/>
      </w:pPr>
      <w:r w:rsidDel="00000000" w:rsidR="00000000" w:rsidRPr="00000000">
        <w:rPr>
          <w:rtl w:val="0"/>
        </w:rPr>
        <w:t xml:space="preserve">The NHS strategies decrease inequality in the workforce by scrutinizing recruitment, retention, promotion, disciplinary, pay, training, appraisal, progression, workload, safety, wellbeing, access, outcomes.</w:t>
      </w:r>
    </w:p>
    <w:p w:rsidR="00000000" w:rsidDel="00000000" w:rsidP="00000000" w:rsidRDefault="00000000" w:rsidRPr="00000000" w14:paraId="00000057">
      <w:pPr>
        <w:numPr>
          <w:ilvl w:val="0"/>
          <w:numId w:val="2"/>
        </w:numPr>
        <w:ind w:left="720" w:hanging="360"/>
        <w:rPr/>
      </w:pPr>
      <w:r w:rsidDel="00000000" w:rsidR="00000000" w:rsidRPr="00000000">
        <w:rPr>
          <w:rtl w:val="0"/>
        </w:rPr>
        <w:t xml:space="preserve">Organized gathering of secured characteristic workforce information allows NHS benchmarking, inequality, targeted intervention, monitoring, reporting, planning, transparency, compliance, improvement.</w:t>
      </w:r>
    </w:p>
    <w:p w:rsidR="00000000" w:rsidDel="00000000" w:rsidP="00000000" w:rsidRDefault="00000000" w:rsidRPr="00000000" w14:paraId="00000058">
      <w:pPr>
        <w:numPr>
          <w:ilvl w:val="0"/>
          <w:numId w:val="2"/>
        </w:numPr>
        <w:ind w:left="720" w:hanging="360"/>
        <w:rPr/>
      </w:pPr>
      <w:r w:rsidDel="00000000" w:rsidR="00000000" w:rsidRPr="00000000">
        <w:rPr>
          <w:rtl w:val="0"/>
        </w:rPr>
        <w:t xml:space="preserve">Flexible working policies enhance equality as they assist in taking care of carers, disability management, wellbeing, retention, productivity, job satisfaction, attendance, engagement, diversity, inclusion, performance.</w:t>
      </w:r>
    </w:p>
    <w:p w:rsidR="00000000" w:rsidDel="00000000" w:rsidP="00000000" w:rsidRDefault="00000000" w:rsidRPr="00000000" w14:paraId="00000059">
      <w:pPr>
        <w:numPr>
          <w:ilvl w:val="0"/>
          <w:numId w:val="2"/>
        </w:numPr>
        <w:ind w:left="720" w:hanging="360"/>
        <w:rPr/>
      </w:pPr>
      <w:r w:rsidDel="00000000" w:rsidR="00000000" w:rsidRPr="00000000">
        <w:rPr>
          <w:rtl w:val="0"/>
        </w:rPr>
        <w:t xml:space="preserve">Confidential reporting, independent investigation, restorative mediation, leadership sanctions, staff training, culture audit, monitoring, protection, enforcement, accountability are also listed as anti-bullying NHS programmes.</w:t>
      </w:r>
    </w:p>
    <w:p w:rsidR="00000000" w:rsidDel="00000000" w:rsidP="00000000" w:rsidRDefault="00000000" w:rsidRPr="00000000" w14:paraId="0000005A">
      <w:pPr>
        <w:rPr/>
      </w:pPr>
      <w:r w:rsidDel="00000000" w:rsidR="00000000" w:rsidRPr="00000000">
        <w:rPr>
          <w:rtl w:val="0"/>
        </w:rPr>
      </w:r>
    </w:p>
    <w:p w:rsidR="00000000" w:rsidDel="00000000" w:rsidP="00000000" w:rsidRDefault="00000000" w:rsidRPr="00000000" w14:paraId="0000005B">
      <w:pPr>
        <w:spacing w:line="259" w:lineRule="auto"/>
        <w:jc w:val="left"/>
        <w:rPr>
          <w:b w:val="1"/>
          <w:bCs w:val="1"/>
        </w:rPr>
      </w:pPr>
      <w:r w:rsidDel="00000000" w:rsidR="00000000" w:rsidRPr="00000000">
        <w:br w:type="page"/>
      </w:r>
      <w:r w:rsidDel="00000000" w:rsidR="00000000" w:rsidRPr="00000000">
        <w:rPr>
          <w:rtl w:val="0"/>
        </w:rPr>
      </w:r>
    </w:p>
    <w:p w:rsidR="00000000" w:rsidDel="00000000" w:rsidP="00000000" w:rsidRDefault="00000000" w:rsidRPr="00000000" w14:paraId="0000005C">
      <w:pPr>
        <w:pStyle w:val="Heading1"/>
        <w:rPr/>
      </w:pPr>
      <w:bookmarkStart w:colFirst="0" w:colLast="0" w:name="_5eb2vi7qvgvp" w:id="15"/>
      <w:bookmarkEnd w:id="15"/>
      <w:r w:rsidDel="00000000" w:rsidR="00000000" w:rsidRPr="00000000">
        <w:rPr>
          <w:rtl w:val="0"/>
        </w:rPr>
        <w:t xml:space="preserve">5. Reflective Letter on Emotional Intelligence and Resilience</w:t>
      </w:r>
    </w:p>
    <w:p w:rsidR="00000000" w:rsidDel="00000000" w:rsidP="00000000" w:rsidRDefault="00000000" w:rsidRPr="00000000" w14:paraId="0000005D">
      <w:pPr>
        <w:rPr/>
      </w:pPr>
      <w:r w:rsidDel="00000000" w:rsidR="00000000" w:rsidRPr="00000000">
        <w:rPr>
          <w:rtl w:val="0"/>
        </w:rPr>
        <w:t xml:space="preserve">Dear younger self, this message reflects on a period of academic pressure, financial strain and emotional burnout in early professional training in health and social care. The continuous workload, new requirements in terms of place and absence of confidence led to anxiety and disturbed sleep and decreasing motivation in both studies and everyday duties. Later emotional intelligence aided in formal realization of stress cues, interpersonal responses, and communication styles, which could be used in a calmer reaction to a challenging situation (Goleman, 2017). </w:t>
      </w:r>
    </w:p>
    <w:p w:rsidR="00000000" w:rsidDel="00000000" w:rsidP="00000000" w:rsidRDefault="00000000" w:rsidRPr="00000000" w14:paraId="0000005E">
      <w:pPr>
        <w:rPr/>
      </w:pPr>
      <w:r w:rsidDel="00000000" w:rsidR="00000000" w:rsidRPr="00000000">
        <w:rPr>
          <w:rtl w:val="0"/>
        </w:rPr>
        <w:t xml:space="preserve">Coping capacity and skills to regulate emotions increased slowly because of reflective journaling, supervised discussion, scheduled rest, and peer support. Resilience was developed by a realistic approach to goal setting, time schedule planning, wellbeing exercises, and acknowledging that professional competence is built through mentorship and not at once (Health Education England, 2020). </w:t>
      </w:r>
    </w:p>
    <w:p w:rsidR="00000000" w:rsidDel="00000000" w:rsidP="00000000" w:rsidRDefault="00000000" w:rsidRPr="00000000" w14:paraId="0000005F">
      <w:pPr>
        <w:rPr/>
      </w:pPr>
      <w:r w:rsidDel="00000000" w:rsidR="00000000" w:rsidRPr="00000000">
        <w:rPr>
          <w:rtl w:val="0"/>
        </w:rPr>
        <w:t xml:space="preserve">The future directions include emphasizing reflective supervision, supporting mental wellbeing, seeking developmental feedback, and acknowledging that sustainable healthcare professions rely on balance and supportive relationships, and life-long learning. Ongoing personal development demands guided training, professional ethics, caring collaboration, inclusive communication, making decisions based on evidence, patient-centred ethics, organisational accountability, lifelong learning, adaptive leadership, digital capability, service review, policy awareness, community involvement, cultural sensitivity, reflective in documentation, clinical safety, mentorship, teamwork, innovation, stability, stability, empathy, respect, professionalism, safeguarding, integrity, diligence, commitment, optimism, preparedness, accountability, consistency, sustainability, wellbeing, focus, motivation, progress, success.</w:t>
      </w:r>
    </w:p>
    <w:p w:rsidR="00000000" w:rsidDel="00000000" w:rsidP="00000000" w:rsidRDefault="00000000" w:rsidRPr="00000000" w14:paraId="00000060">
      <w:pPr>
        <w:rPr/>
      </w:pPr>
      <w:r w:rsidDel="00000000" w:rsidR="00000000" w:rsidRPr="00000000">
        <w:rPr>
          <w:rtl w:val="0"/>
        </w:rPr>
      </w:r>
    </w:p>
    <w:p w:rsidR="00000000" w:rsidDel="00000000" w:rsidP="00000000" w:rsidRDefault="00000000" w:rsidRPr="00000000" w14:paraId="00000061">
      <w:pPr>
        <w:rPr/>
      </w:pPr>
      <w:r w:rsidDel="00000000" w:rsidR="00000000" w:rsidRPr="00000000">
        <w:rPr>
          <w:rtl w:val="0"/>
        </w:rPr>
      </w:r>
    </w:p>
    <w:p w:rsidR="00000000" w:rsidDel="00000000" w:rsidP="00000000" w:rsidRDefault="00000000" w:rsidRPr="00000000" w14:paraId="00000062">
      <w:pPr>
        <w:rPr/>
      </w:pPr>
      <w:r w:rsidDel="00000000" w:rsidR="00000000" w:rsidRPr="00000000">
        <w:rPr>
          <w:rtl w:val="0"/>
        </w:rPr>
      </w:r>
    </w:p>
    <w:p w:rsidR="00000000" w:rsidDel="00000000" w:rsidP="00000000" w:rsidRDefault="00000000" w:rsidRPr="00000000" w14:paraId="00000063">
      <w:pPr>
        <w:spacing w:line="259" w:lineRule="auto"/>
        <w:jc w:val="left"/>
        <w:rPr>
          <w:b w:val="1"/>
          <w:bCs w:val="1"/>
        </w:rPr>
      </w:pPr>
      <w:r w:rsidDel="00000000" w:rsidR="00000000" w:rsidRPr="00000000">
        <w:br w:type="page"/>
      </w:r>
      <w:r w:rsidDel="00000000" w:rsidR="00000000" w:rsidRPr="00000000">
        <w:rPr>
          <w:rtl w:val="0"/>
        </w:rPr>
      </w:r>
    </w:p>
    <w:p w:rsidR="00000000" w:rsidDel="00000000" w:rsidP="00000000" w:rsidRDefault="00000000" w:rsidRPr="00000000" w14:paraId="00000064">
      <w:pPr>
        <w:pStyle w:val="Heading1"/>
        <w:rPr/>
      </w:pPr>
      <w:bookmarkStart w:colFirst="0" w:colLast="0" w:name="_oguwduiiro" w:id="16"/>
      <w:bookmarkEnd w:id="16"/>
      <w:r w:rsidDel="00000000" w:rsidR="00000000" w:rsidRPr="00000000">
        <w:rPr>
          <w:rtl w:val="0"/>
        </w:rPr>
        <w:t xml:space="preserve">6. Career Development Timeline</w:t>
      </w:r>
    </w:p>
    <w:p w:rsidR="00000000" w:rsidDel="00000000" w:rsidP="00000000" w:rsidRDefault="00000000" w:rsidRPr="00000000" w14:paraId="00000065">
      <w:pPr>
        <w:rPr>
          <w:b w:val="1"/>
          <w:bCs w:val="1"/>
        </w:rPr>
      </w:pPr>
      <w:r w:rsidDel="00000000" w:rsidR="00000000" w:rsidRPr="00000000">
        <w:rPr>
          <w:b w:val="1"/>
          <w:bCs w:val="1"/>
        </w:rPr>
        <w:drawing>
          <wp:inline distB="0" distT="0" distL="0" distR="0">
            <wp:extent cx="5943600" cy="2377440"/>
            <wp:effectExtent b="0" l="0" r="0" t="0"/>
            <wp:docPr id="1" name="image1.png"/>
            <a:graphic>
              <a:graphicData uri="http://schemas.openxmlformats.org/drawingml/2006/picture">
                <pic:pic>
                  <pic:nvPicPr>
                    <pic:cNvPr id="0" name="image1.png"/>
                    <pic:cNvPicPr preferRelativeResize="0"/>
                  </pic:nvPicPr>
                  <pic:blipFill>
                    <a:blip r:embed="rId6"/>
                    <a:srcRect b="0" l="0" r="0" t="0"/>
                    <a:stretch>
                      <a:fillRect/>
                    </a:stretch>
                  </pic:blipFill>
                  <pic:spPr>
                    <a:xfrm>
                      <a:off x="0" y="0"/>
                      <a:ext cx="5943600" cy="2377440"/>
                    </a:xfrm>
                    <a:prstGeom prst="rect"/>
                    <a:ln/>
                  </pic:spPr>
                </pic:pic>
              </a:graphicData>
            </a:graphic>
          </wp:inline>
        </w:drawing>
      </w:r>
      <w:r w:rsidDel="00000000" w:rsidR="00000000" w:rsidRPr="00000000">
        <w:rPr>
          <w:rtl w:val="0"/>
        </w:rPr>
      </w:r>
    </w:p>
    <w:p w:rsidR="00000000" w:rsidDel="00000000" w:rsidP="00000000" w:rsidRDefault="00000000" w:rsidRPr="00000000" w14:paraId="00000066">
      <w:pPr>
        <w:rPr>
          <w:b w:val="1"/>
          <w:bCs w:val="1"/>
        </w:rPr>
      </w:pPr>
      <w:r w:rsidDel="00000000" w:rsidR="00000000" w:rsidRPr="00000000">
        <w:rPr>
          <w:b w:val="1"/>
          <w:bCs w:val="1"/>
          <w:rtl w:val="0"/>
        </w:rPr>
        <w:t xml:space="preserve">Explanation</w:t>
      </w:r>
    </w:p>
    <w:p w:rsidR="00000000" w:rsidDel="00000000" w:rsidP="00000000" w:rsidRDefault="00000000" w:rsidRPr="00000000" w14:paraId="00000067">
      <w:pPr>
        <w:rPr/>
      </w:pPr>
      <w:r w:rsidDel="00000000" w:rsidR="00000000" w:rsidRPr="00000000">
        <w:rPr>
          <w:rtl w:val="0"/>
        </w:rPr>
        <w:t xml:space="preserve">A structured career development timeline supports progressive skill acquisition, development of professional confidence, and practical transition into healthcare work. Passages of the first phase entail academic knowledge of safeguarding, ethics, communication, and evidence-based practice that are needed to deliver safe services in regulated organisations (Skills for Care, 2022). Formal assessment of coursework also enhances documentation accurateness, research literacy, and expert accountability anticipations.</w:t>
      </w:r>
    </w:p>
    <w:p w:rsidR="00000000" w:rsidDel="00000000" w:rsidP="00000000" w:rsidRDefault="00000000" w:rsidRPr="00000000" w14:paraId="00000068">
      <w:pPr>
        <w:rPr/>
      </w:pPr>
      <w:r w:rsidDel="00000000" w:rsidR="00000000" w:rsidRPr="00000000">
        <w:rPr>
          <w:rtl w:val="0"/>
        </w:rPr>
        <w:t xml:space="preserve">The second stage focuses on guided placement or voluntary work, which enables learning the multidisciplinary teamwork, interaction with the patient, and risk management process. Experience-based learning environments enhance employability through the application of theoretical knowledge into applied competence, enhancing decision-making, emotional regulation and service-user communication in actual organisational settings (Health Education England, 2020).</w:t>
      </w:r>
    </w:p>
    <w:p w:rsidR="00000000" w:rsidDel="00000000" w:rsidP="00000000" w:rsidRDefault="00000000" w:rsidRPr="00000000" w14:paraId="00000069">
      <w:pPr>
        <w:rPr/>
      </w:pPr>
      <w:r w:rsidDel="00000000" w:rsidR="00000000" w:rsidRPr="00000000">
        <w:rPr>
          <w:rtl w:val="0"/>
        </w:rPr>
        <w:t xml:space="preserve">The last step will focus on priority in the job applications and preparation to competency-based interviews, and alignment to the professional standards frameworks. Recruitment preparation packages transferable skills, portfolio evidence and organisational awareness needed to sustain at entry level jobs. It is this staged method that ensures that there is sustained professional advancement, preparation to safe practice, and enhancement of the long term progress to specialist or supervisory health care career pathway in the changing service demands.</w:t>
      </w:r>
    </w:p>
    <w:p w:rsidR="00000000" w:rsidDel="00000000" w:rsidP="00000000" w:rsidRDefault="00000000" w:rsidRPr="00000000" w14:paraId="0000006A">
      <w:pPr>
        <w:spacing w:line="259" w:lineRule="auto"/>
        <w:jc w:val="left"/>
        <w:rPr>
          <w:b w:val="1"/>
          <w:bCs w:val="1"/>
        </w:rPr>
      </w:pPr>
      <w:r w:rsidDel="00000000" w:rsidR="00000000" w:rsidRPr="00000000">
        <w:br w:type="page"/>
      </w:r>
      <w:r w:rsidDel="00000000" w:rsidR="00000000" w:rsidRPr="00000000">
        <w:rPr>
          <w:rtl w:val="0"/>
        </w:rPr>
      </w:r>
    </w:p>
    <w:p w:rsidR="00000000" w:rsidDel="00000000" w:rsidP="00000000" w:rsidRDefault="00000000" w:rsidRPr="00000000" w14:paraId="0000006B">
      <w:pPr>
        <w:pStyle w:val="Heading1"/>
        <w:rPr/>
      </w:pPr>
      <w:bookmarkStart w:colFirst="0" w:colLast="0" w:name="_t4tv21yw6fwv" w:id="17"/>
      <w:bookmarkEnd w:id="17"/>
      <w:r w:rsidDel="00000000" w:rsidR="00000000" w:rsidRPr="00000000">
        <w:rPr>
          <w:rtl w:val="0"/>
        </w:rPr>
        <w:t xml:space="preserve">7. Implementing Organisational Change in a Care Home</w:t>
      </w:r>
    </w:p>
    <w:p w:rsidR="00000000" w:rsidDel="00000000" w:rsidP="00000000" w:rsidRDefault="00000000" w:rsidRPr="00000000" w14:paraId="0000006C">
      <w:pPr>
        <w:pStyle w:val="Heading2"/>
        <w:rPr/>
      </w:pPr>
      <w:bookmarkStart w:colFirst="0" w:colLast="0" w:name="_spzr52gg82p5" w:id="18"/>
      <w:bookmarkEnd w:id="18"/>
      <w:r w:rsidDel="00000000" w:rsidR="00000000" w:rsidRPr="00000000">
        <w:rPr>
          <w:rtl w:val="0"/>
        </w:rPr>
        <w:t xml:space="preserve">Introduction</w:t>
      </w:r>
    </w:p>
    <w:p w:rsidR="00000000" w:rsidDel="00000000" w:rsidP="00000000" w:rsidRDefault="00000000" w:rsidRPr="00000000" w14:paraId="0000006D">
      <w:pPr>
        <w:rPr/>
      </w:pPr>
      <w:r w:rsidDel="00000000" w:rsidR="00000000" w:rsidRPr="00000000">
        <w:rPr>
          <w:rtl w:val="0"/>
        </w:rPr>
        <w:t xml:space="preserve">The proposed intervention of the introduction of digital care record systems into a residential care home is expected to enhance accuracy of documentation, interdisciplinary communication, and regulatory compliance. Electronic recording saves on transcription errors, improves monitoring of resident wellbeing and facilitates the sharing of information safely in professional teams charged with safeguarding, medication dispensing, and care planning (NHS Digital, 2022).</w:t>
      </w:r>
    </w:p>
    <w:p w:rsidR="00000000" w:rsidDel="00000000" w:rsidP="00000000" w:rsidRDefault="00000000" w:rsidRPr="00000000" w14:paraId="0000006E">
      <w:pPr>
        <w:pStyle w:val="Heading2"/>
        <w:rPr/>
      </w:pPr>
      <w:bookmarkStart w:colFirst="0" w:colLast="0" w:name="_uw05upcoanyd" w:id="19"/>
      <w:bookmarkEnd w:id="19"/>
      <w:r w:rsidDel="00000000" w:rsidR="00000000" w:rsidRPr="00000000">
        <w:rPr>
          <w:rtl w:val="0"/>
        </w:rPr>
        <w:t xml:space="preserve">Implementation Plan</w:t>
      </w:r>
    </w:p>
    <w:p w:rsidR="00000000" w:rsidDel="00000000" w:rsidP="00000000" w:rsidRDefault="00000000" w:rsidRPr="00000000" w14:paraId="0000006F">
      <w:pPr>
        <w:rPr/>
      </w:pPr>
      <w:r w:rsidDel="00000000" w:rsidR="00000000" w:rsidRPr="00000000">
        <w:rPr>
          <w:rtl w:val="0"/>
        </w:rPr>
        <w:t xml:space="preserve">Implementation should be done through organized training on the staff on the use of the system, and the aspect of confidentiality and reporting of incidents. Leadership presence should convey the purpose of organisations, set aside guarded learning periods, and institute constant supervision to facilitate the consistent adoption. Effective communication channels such as written protocol, demonstration workshops and mentoring support make sure that there is less uncertainty and that expectations of operations are strengthened. The audit feedback, user reporting systems and supervision meetings with continuous evaluation makes sure that the practical challenges are realised early and addressed during organisational learning processes.</w:t>
      </w:r>
    </w:p>
    <w:p w:rsidR="00000000" w:rsidDel="00000000" w:rsidP="00000000" w:rsidRDefault="00000000" w:rsidRPr="00000000" w14:paraId="00000070">
      <w:pPr>
        <w:pStyle w:val="Heading2"/>
        <w:rPr/>
      </w:pPr>
      <w:bookmarkStart w:colFirst="0" w:colLast="0" w:name="_yhi95nmjqbb4" w:id="20"/>
      <w:bookmarkEnd w:id="20"/>
      <w:r w:rsidDel="00000000" w:rsidR="00000000" w:rsidRPr="00000000">
        <w:rPr>
          <w:rtl w:val="0"/>
        </w:rPr>
        <w:t xml:space="preserve">Barriers </w:t>
      </w:r>
    </w:p>
    <w:p w:rsidR="00000000" w:rsidDel="00000000" w:rsidP="00000000" w:rsidRDefault="00000000" w:rsidRPr="00000000" w14:paraId="00000071">
      <w:pPr>
        <w:rPr/>
      </w:pPr>
      <w:r w:rsidDel="00000000" w:rsidR="00000000" w:rsidRPr="00000000">
        <w:rPr>
          <w:rtl w:val="0"/>
        </w:rPr>
        <w:t xml:space="preserve">The possible obstacles involve the unwillingness of the employees to a new technology, financial limitations related to the purchase of the software, and the lack of digital skills of the experienced employees. Lack of proper training provision can decrease compliance and add to documentation delays. The implementation can also be inconsistent, and the perceived value of digital transformation initiatives can be lowered by organisational workload pressures, which inhibit learning time.</w:t>
      </w:r>
    </w:p>
    <w:p w:rsidR="00000000" w:rsidDel="00000000" w:rsidP="00000000" w:rsidRDefault="00000000" w:rsidRPr="00000000" w14:paraId="00000072">
      <w:pPr>
        <w:pStyle w:val="Heading2"/>
        <w:rPr/>
      </w:pPr>
      <w:bookmarkStart w:colFirst="0" w:colLast="0" w:name="_dh0f3jfd1q" w:id="21"/>
      <w:bookmarkEnd w:id="21"/>
      <w:r w:rsidDel="00000000" w:rsidR="00000000" w:rsidRPr="00000000">
        <w:rPr>
          <w:rtl w:val="0"/>
        </w:rPr>
        <w:t xml:space="preserve">Change Model</w:t>
      </w:r>
    </w:p>
    <w:p w:rsidR="00000000" w:rsidDel="00000000" w:rsidP="00000000" w:rsidRDefault="00000000" w:rsidRPr="00000000" w14:paraId="00000073">
      <w:pPr>
        <w:rPr/>
      </w:pPr>
      <w:r w:rsidDel="00000000" w:rsidR="00000000" w:rsidRPr="00000000">
        <w:rPr>
          <w:rtl w:val="0"/>
        </w:rPr>
        <w:t xml:space="preserve">Change model by Lewin aids in implementation by the three phases: unfreezing, introducing ordered digital practice under supervision and finally refreezing behaviours via reaffirming policies, supervision and performance accountability systems in an organisation.</w:t>
      </w:r>
      <w:r w:rsidDel="00000000" w:rsidR="00000000" w:rsidRPr="00000000">
        <w:br w:type="page"/>
      </w:r>
      <w:r w:rsidDel="00000000" w:rsidR="00000000" w:rsidRPr="00000000">
        <w:rPr>
          <w:rtl w:val="0"/>
        </w:rPr>
      </w:r>
    </w:p>
    <w:p w:rsidR="00000000" w:rsidDel="00000000" w:rsidP="00000000" w:rsidRDefault="00000000" w:rsidRPr="00000000" w14:paraId="00000074">
      <w:pPr>
        <w:pStyle w:val="Heading1"/>
        <w:rPr/>
      </w:pPr>
      <w:bookmarkStart w:colFirst="0" w:colLast="0" w:name="_2m5op6ab200n" w:id="22"/>
      <w:bookmarkEnd w:id="22"/>
      <w:r w:rsidDel="00000000" w:rsidR="00000000" w:rsidRPr="00000000">
        <w:rPr>
          <w:rtl w:val="0"/>
        </w:rPr>
        <w:t xml:space="preserve">8. Reflective Learning Using Gibbs Model</w:t>
      </w:r>
    </w:p>
    <w:p w:rsidR="00000000" w:rsidDel="00000000" w:rsidP="00000000" w:rsidRDefault="00000000" w:rsidRPr="00000000" w14:paraId="00000075">
      <w:pPr>
        <w:pStyle w:val="Heading2"/>
        <w:rPr/>
      </w:pPr>
      <w:bookmarkStart w:colFirst="0" w:colLast="0" w:name="_zc9x8jf7cixw" w:id="23"/>
      <w:bookmarkEnd w:id="23"/>
      <w:r w:rsidDel="00000000" w:rsidR="00000000" w:rsidRPr="00000000">
        <w:rPr>
          <w:rtl w:val="0"/>
        </w:rPr>
        <w:t xml:space="preserve">Description</w:t>
      </w:r>
    </w:p>
    <w:p w:rsidR="00000000" w:rsidDel="00000000" w:rsidP="00000000" w:rsidRDefault="00000000" w:rsidRPr="00000000" w14:paraId="00000076">
      <w:pPr>
        <w:rPr/>
      </w:pPr>
      <w:r w:rsidDel="00000000" w:rsidR="00000000" w:rsidRPr="00000000">
        <w:rPr>
          <w:rtl w:val="0"/>
        </w:rPr>
        <w:t xml:space="preserve">The module learning was structured exploration of professional identity, employability skills, knowledge of digital healthcare and organisational expectations in the modern use of the health and social care practice. The reflective cycle by Gibbs is a systematic structure of experience review, outcome evaluation, learning analysis, and development planning in a bid to enhance professional performance (Gibbs, 1988).</w:t>
      </w:r>
    </w:p>
    <w:p w:rsidR="00000000" w:rsidDel="00000000" w:rsidP="00000000" w:rsidRDefault="00000000" w:rsidRPr="00000000" w14:paraId="00000077">
      <w:pPr>
        <w:pStyle w:val="Heading2"/>
        <w:rPr/>
      </w:pPr>
      <w:bookmarkStart w:colFirst="0" w:colLast="0" w:name="_o1y2496om2qd" w:id="24"/>
      <w:bookmarkEnd w:id="24"/>
      <w:r w:rsidDel="00000000" w:rsidR="00000000" w:rsidRPr="00000000">
        <w:rPr>
          <w:rtl w:val="0"/>
        </w:rPr>
        <w:t xml:space="preserve">Feelings and Evaluation</w:t>
      </w:r>
    </w:p>
    <w:p w:rsidR="00000000" w:rsidDel="00000000" w:rsidP="00000000" w:rsidRDefault="00000000" w:rsidRPr="00000000" w14:paraId="00000078">
      <w:pPr>
        <w:rPr/>
      </w:pPr>
      <w:r w:rsidDel="00000000" w:rsidR="00000000" w:rsidRPr="00000000">
        <w:rPr>
          <w:rtl w:val="0"/>
        </w:rPr>
        <w:t xml:space="preserve">Reflective engagement indicated a statistically significant positive change in professional communication, collaborative confidence and systematic interpretation of the requirements of recruitment in a regulated healthcare setting. The increased awareness of communication enhanced the accuracy of documentation, protection of dialogue, and quality of interaction between the service user and the service provider. Higher confidence led to the involvement in teamwork discussions, presentation activities, and professional simulated scenarios. The knowledge of healthcare career opportunities was broadened by having an insight into workforce requirements, ethical practices, and multidisciplinary coordination expectations.</w:t>
      </w:r>
    </w:p>
    <w:p w:rsidR="00000000" w:rsidDel="00000000" w:rsidP="00000000" w:rsidRDefault="00000000" w:rsidRPr="00000000" w14:paraId="00000079">
      <w:pPr>
        <w:pStyle w:val="Heading2"/>
        <w:rPr/>
      </w:pPr>
      <w:bookmarkStart w:colFirst="0" w:colLast="0" w:name="_c1harwbymyf" w:id="25"/>
      <w:bookmarkEnd w:id="25"/>
      <w:r w:rsidDel="00000000" w:rsidR="00000000" w:rsidRPr="00000000">
        <w:rPr>
          <w:rtl w:val="0"/>
        </w:rPr>
        <w:t xml:space="preserve">Analysis</w:t>
      </w:r>
    </w:p>
    <w:p w:rsidR="00000000" w:rsidDel="00000000" w:rsidP="00000000" w:rsidRDefault="00000000" w:rsidRPr="00000000" w14:paraId="0000007A">
      <w:pPr>
        <w:rPr/>
      </w:pPr>
      <w:r w:rsidDel="00000000" w:rsidR="00000000" w:rsidRPr="00000000">
        <w:rPr>
          <w:rtl w:val="0"/>
        </w:rPr>
        <w:t xml:space="preserve">This learning is crucial in the fact that it is part of the healthcare employment that involves a controlled communication, ethical responsibility and flexible teamwork in the organisational pressure. Reflective practice enhances decision-making, clinical risk, and professional judgement in a complex care environment (Schon, 2017).</w:t>
      </w:r>
    </w:p>
    <w:p w:rsidR="00000000" w:rsidDel="00000000" w:rsidP="00000000" w:rsidRDefault="00000000" w:rsidRPr="00000000" w14:paraId="0000007B">
      <w:pPr>
        <w:pStyle w:val="Heading2"/>
        <w:rPr/>
      </w:pPr>
      <w:bookmarkStart w:colFirst="0" w:colLast="0" w:name="_sejzrtiw7983" w:id="26"/>
      <w:bookmarkEnd w:id="26"/>
      <w:r w:rsidDel="00000000" w:rsidR="00000000" w:rsidRPr="00000000">
        <w:rPr>
          <w:rtl w:val="0"/>
        </w:rPr>
        <w:t xml:space="preserve">Action Plan</w:t>
      </w:r>
    </w:p>
    <w:p w:rsidR="00000000" w:rsidDel="00000000" w:rsidP="00000000" w:rsidRDefault="00000000" w:rsidRPr="00000000" w14:paraId="0000007C">
      <w:pPr>
        <w:rPr/>
      </w:pPr>
      <w:r w:rsidDel="00000000" w:rsidR="00000000" w:rsidRPr="00000000">
        <w:rPr>
          <w:rtl w:val="0"/>
        </w:rPr>
        <w:t xml:space="preserve">Future development priorities include advanced communication workshops, guided practice experience, training in digital systems, resilience monitoring, sustained reflective journaling, professional mentoring, and systematic review of competence models in the sector.</w:t>
      </w:r>
    </w:p>
    <w:p w:rsidR="00000000" w:rsidDel="00000000" w:rsidP="00000000" w:rsidRDefault="00000000" w:rsidRPr="00000000" w14:paraId="0000007D">
      <w:pPr>
        <w:rPr/>
      </w:pPr>
      <w:r w:rsidDel="00000000" w:rsidR="00000000" w:rsidRPr="00000000">
        <w:rPr>
          <w:rtl w:val="0"/>
        </w:rPr>
      </w:r>
    </w:p>
    <w:p w:rsidR="00000000" w:rsidDel="00000000" w:rsidP="00000000" w:rsidRDefault="00000000" w:rsidRPr="00000000" w14:paraId="0000007E">
      <w:pPr>
        <w:spacing w:line="259" w:lineRule="auto"/>
        <w:jc w:val="left"/>
        <w:rPr>
          <w:b w:val="1"/>
          <w:bCs w:val="1"/>
        </w:rPr>
      </w:pPr>
      <w:r w:rsidDel="00000000" w:rsidR="00000000" w:rsidRPr="00000000">
        <w:br w:type="page"/>
      </w:r>
      <w:r w:rsidDel="00000000" w:rsidR="00000000" w:rsidRPr="00000000">
        <w:rPr>
          <w:rtl w:val="0"/>
        </w:rPr>
      </w:r>
    </w:p>
    <w:p w:rsidR="00000000" w:rsidDel="00000000" w:rsidP="00000000" w:rsidRDefault="00000000" w:rsidRPr="00000000" w14:paraId="0000007F">
      <w:pPr>
        <w:pStyle w:val="Heading1"/>
        <w:rPr/>
      </w:pPr>
      <w:bookmarkStart w:colFirst="0" w:colLast="0" w:name="_mkd11yejichb" w:id="27"/>
      <w:bookmarkEnd w:id="27"/>
      <w:r w:rsidDel="00000000" w:rsidR="00000000" w:rsidRPr="00000000">
        <w:rPr>
          <w:rtl w:val="0"/>
        </w:rPr>
        <w:t xml:space="preserve">FINAL CONCLUSION</w:t>
      </w:r>
    </w:p>
    <w:p w:rsidR="00000000" w:rsidDel="00000000" w:rsidP="00000000" w:rsidRDefault="00000000" w:rsidRPr="00000000" w14:paraId="00000080">
      <w:pPr>
        <w:rPr/>
      </w:pPr>
      <w:r w:rsidDel="00000000" w:rsidR="00000000" w:rsidRPr="00000000">
        <w:rPr>
          <w:rtl w:val="0"/>
        </w:rPr>
        <w:t xml:space="preserve">The overall portfolio activities show progressive development of the employability by means of reflective analysis, networking awareness, understanding digital competence, and systematic career planning in accordance with health and social care workforce expectations. Combination of professional identity ideas, ability to communicate, and organisational knowledge increases preparedness to service provision in a responsible manner. The ongoing acquisition of skills, professional ethics, and the preparation of decisions are all useful in terms of sustainable entry into healthcare practice, as well as the enhancement of long-term adherence to patient safety, teamwork, and controlled professionalism in the changing conditions of the public service.</w:t>
      </w:r>
    </w:p>
    <w:p w:rsidR="00000000" w:rsidDel="00000000" w:rsidP="00000000" w:rsidRDefault="00000000" w:rsidRPr="00000000" w14:paraId="00000081">
      <w:pPr>
        <w:spacing w:line="259" w:lineRule="auto"/>
        <w:jc w:val="left"/>
        <w:rPr/>
      </w:pPr>
      <w:r w:rsidDel="00000000" w:rsidR="00000000" w:rsidRPr="00000000">
        <w:br w:type="page"/>
      </w:r>
      <w:r w:rsidDel="00000000" w:rsidR="00000000" w:rsidRPr="00000000">
        <w:rPr>
          <w:rtl w:val="0"/>
        </w:rPr>
      </w:r>
    </w:p>
    <w:p w:rsidR="00000000" w:rsidDel="00000000" w:rsidP="00000000" w:rsidRDefault="00000000" w:rsidRPr="00000000" w14:paraId="00000082">
      <w:pPr>
        <w:pStyle w:val="Heading1"/>
        <w:rPr/>
      </w:pPr>
      <w:bookmarkStart w:colFirst="0" w:colLast="0" w:name="_jxhdcberj45x" w:id="28"/>
      <w:bookmarkEnd w:id="28"/>
      <w:r w:rsidDel="00000000" w:rsidR="00000000" w:rsidRPr="00000000">
        <w:rPr>
          <w:rtl w:val="0"/>
        </w:rPr>
        <w:t xml:space="preserve">REFERENCES</w:t>
      </w:r>
    </w:p>
    <w:p w:rsidR="00000000" w:rsidDel="00000000" w:rsidP="00000000" w:rsidRDefault="00000000" w:rsidRPr="00000000" w14:paraId="00000083">
      <w:pPr>
        <w:rPr/>
      </w:pPr>
      <w:r w:rsidDel="00000000" w:rsidR="00000000" w:rsidRPr="00000000">
        <w:rPr>
          <w:rtl w:val="0"/>
        </w:rPr>
        <w:t xml:space="preserve">Gibbs, G. (1988) </w:t>
      </w:r>
      <w:r w:rsidDel="00000000" w:rsidR="00000000" w:rsidRPr="00000000">
        <w:rPr>
          <w:i w:val="1"/>
          <w:iCs w:val="1"/>
          <w:rtl w:val="0"/>
        </w:rPr>
        <w:t xml:space="preserve">Learning by Doing: A Guide to Teaching and Learning Methods</w:t>
      </w:r>
      <w:r w:rsidDel="00000000" w:rsidR="00000000" w:rsidRPr="00000000">
        <w:rPr>
          <w:rtl w:val="0"/>
        </w:rPr>
        <w:t xml:space="preserve">. Oxford: Oxford Polytechnic.</w:t>
      </w:r>
    </w:p>
    <w:p w:rsidR="00000000" w:rsidDel="00000000" w:rsidP="00000000" w:rsidRDefault="00000000" w:rsidRPr="00000000" w14:paraId="00000084">
      <w:pPr>
        <w:rPr/>
      </w:pPr>
      <w:r w:rsidDel="00000000" w:rsidR="00000000" w:rsidRPr="00000000">
        <w:rPr>
          <w:rtl w:val="0"/>
        </w:rPr>
        <w:t xml:space="preserve">Goleman, D. (2017) </w:t>
      </w:r>
      <w:r w:rsidDel="00000000" w:rsidR="00000000" w:rsidRPr="00000000">
        <w:rPr>
          <w:i w:val="1"/>
          <w:iCs w:val="1"/>
          <w:rtl w:val="0"/>
        </w:rPr>
        <w:t xml:space="preserve">Emotional Intelligence: Why It Can Matter More Than IQ</w:t>
      </w:r>
      <w:r w:rsidDel="00000000" w:rsidR="00000000" w:rsidRPr="00000000">
        <w:rPr>
          <w:rtl w:val="0"/>
        </w:rPr>
        <w:t xml:space="preserve">. 10th anniversary edn. London: Bloomsbury.</w:t>
      </w:r>
    </w:p>
    <w:p w:rsidR="00000000" w:rsidDel="00000000" w:rsidP="00000000" w:rsidRDefault="00000000" w:rsidRPr="00000000" w14:paraId="00000085">
      <w:pPr>
        <w:rPr/>
      </w:pPr>
      <w:r w:rsidDel="00000000" w:rsidR="00000000" w:rsidRPr="00000000">
        <w:rPr>
          <w:rtl w:val="0"/>
        </w:rPr>
        <w:t xml:space="preserve">Granovetter, M. (2018) </w:t>
      </w:r>
      <w:r w:rsidDel="00000000" w:rsidR="00000000" w:rsidRPr="00000000">
        <w:rPr>
          <w:i w:val="1"/>
          <w:iCs w:val="1"/>
          <w:rtl w:val="0"/>
        </w:rPr>
        <w:t xml:space="preserve">Getting a Job: A Study of Contacts and Careers</w:t>
      </w:r>
      <w:r w:rsidDel="00000000" w:rsidR="00000000" w:rsidRPr="00000000">
        <w:rPr>
          <w:rtl w:val="0"/>
        </w:rPr>
        <w:t xml:space="preserve">. 2nd edn. Chicago: University of Chicago Press.</w:t>
      </w:r>
    </w:p>
    <w:p w:rsidR="00000000" w:rsidDel="00000000" w:rsidP="00000000" w:rsidRDefault="00000000" w:rsidRPr="00000000" w14:paraId="00000086">
      <w:pPr>
        <w:rPr/>
      </w:pPr>
      <w:r w:rsidDel="00000000" w:rsidR="00000000" w:rsidRPr="00000000">
        <w:rPr>
          <w:rtl w:val="0"/>
        </w:rPr>
        <w:t xml:space="preserve">Health Education England (2020) </w:t>
      </w:r>
      <w:r w:rsidDel="00000000" w:rsidR="00000000" w:rsidRPr="00000000">
        <w:rPr>
          <w:i w:val="1"/>
          <w:iCs w:val="1"/>
          <w:rtl w:val="0"/>
        </w:rPr>
        <w:t xml:space="preserve">Developing People – Improving Care: Framework for Workforce Development</w:t>
      </w:r>
      <w:r w:rsidDel="00000000" w:rsidR="00000000" w:rsidRPr="00000000">
        <w:rPr>
          <w:rtl w:val="0"/>
        </w:rPr>
        <w:t xml:space="preserve">. London: HEE.</w:t>
      </w:r>
    </w:p>
    <w:p w:rsidR="00000000" w:rsidDel="00000000" w:rsidP="00000000" w:rsidRDefault="00000000" w:rsidRPr="00000000" w14:paraId="00000087">
      <w:pPr>
        <w:rPr/>
      </w:pPr>
      <w:r w:rsidDel="00000000" w:rsidR="00000000" w:rsidRPr="00000000">
        <w:rPr>
          <w:rtl w:val="0"/>
        </w:rPr>
        <w:t xml:space="preserve">Health Foundation (2022) </w:t>
      </w:r>
      <w:r w:rsidDel="00000000" w:rsidR="00000000" w:rsidRPr="00000000">
        <w:rPr>
          <w:i w:val="1"/>
          <w:iCs w:val="1"/>
          <w:rtl w:val="0"/>
        </w:rPr>
        <w:t xml:space="preserve">Digital Technology and the Future of Health Systems</w:t>
      </w:r>
      <w:r w:rsidDel="00000000" w:rsidR="00000000" w:rsidRPr="00000000">
        <w:rPr>
          <w:rtl w:val="0"/>
        </w:rPr>
        <w:t xml:space="preserve">. London: The Health Foundation.</w:t>
      </w:r>
    </w:p>
    <w:p w:rsidR="00000000" w:rsidDel="00000000" w:rsidP="00000000" w:rsidRDefault="00000000" w:rsidRPr="00000000" w14:paraId="00000088">
      <w:pPr>
        <w:rPr/>
      </w:pPr>
      <w:r w:rsidDel="00000000" w:rsidR="00000000" w:rsidRPr="00000000">
        <w:rPr>
          <w:rtl w:val="0"/>
        </w:rPr>
        <w:t xml:space="preserve">Khedher, M. (2019) ‘Personal branding phenomenon’, </w:t>
      </w:r>
      <w:r w:rsidDel="00000000" w:rsidR="00000000" w:rsidRPr="00000000">
        <w:rPr>
          <w:i w:val="1"/>
          <w:iCs w:val="1"/>
          <w:rtl w:val="0"/>
        </w:rPr>
        <w:t xml:space="preserve">International Journal of Information, Business and Management</w:t>
      </w:r>
      <w:r w:rsidDel="00000000" w:rsidR="00000000" w:rsidRPr="00000000">
        <w:rPr>
          <w:rtl w:val="0"/>
        </w:rPr>
        <w:t xml:space="preserve">, 11(2), pp. 29–40.</w:t>
      </w:r>
    </w:p>
    <w:p w:rsidR="00000000" w:rsidDel="00000000" w:rsidP="00000000" w:rsidRDefault="00000000" w:rsidRPr="00000000" w14:paraId="00000089">
      <w:pPr>
        <w:rPr/>
      </w:pPr>
      <w:r w:rsidDel="00000000" w:rsidR="00000000" w:rsidRPr="00000000">
        <w:rPr>
          <w:rtl w:val="0"/>
        </w:rPr>
        <w:t xml:space="preserve">NHS Digital (2022) </w:t>
      </w:r>
      <w:r w:rsidDel="00000000" w:rsidR="00000000" w:rsidRPr="00000000">
        <w:rPr>
          <w:i w:val="1"/>
          <w:iCs w:val="1"/>
          <w:rtl w:val="0"/>
        </w:rPr>
        <w:t xml:space="preserve">Electronic Patient Records: Supporting Digital Transformation in Health and Care</w:t>
      </w:r>
      <w:r w:rsidDel="00000000" w:rsidR="00000000" w:rsidRPr="00000000">
        <w:rPr>
          <w:rtl w:val="0"/>
        </w:rPr>
        <w:t xml:space="preserve">. Leeds: NHS Digital.</w:t>
      </w:r>
    </w:p>
    <w:p w:rsidR="00000000" w:rsidDel="00000000" w:rsidP="00000000" w:rsidRDefault="00000000" w:rsidRPr="00000000" w14:paraId="0000008A">
      <w:pPr>
        <w:rPr/>
      </w:pPr>
      <w:r w:rsidDel="00000000" w:rsidR="00000000" w:rsidRPr="00000000">
        <w:rPr>
          <w:rtl w:val="0"/>
        </w:rPr>
        <w:t xml:space="preserve">NHS England (2023) </w:t>
      </w:r>
      <w:r w:rsidDel="00000000" w:rsidR="00000000" w:rsidRPr="00000000">
        <w:rPr>
          <w:i w:val="1"/>
          <w:iCs w:val="1"/>
          <w:rtl w:val="0"/>
        </w:rPr>
        <w:t xml:space="preserve">Equality, Diversity and Inclusion Improvement Plan</w:t>
      </w:r>
      <w:r w:rsidDel="00000000" w:rsidR="00000000" w:rsidRPr="00000000">
        <w:rPr>
          <w:rtl w:val="0"/>
        </w:rPr>
        <w:t xml:space="preserve">. London: NHS England.</w:t>
      </w:r>
    </w:p>
    <w:p w:rsidR="00000000" w:rsidDel="00000000" w:rsidP="00000000" w:rsidRDefault="00000000" w:rsidRPr="00000000" w14:paraId="0000008B">
      <w:pPr>
        <w:rPr/>
      </w:pPr>
      <w:r w:rsidDel="00000000" w:rsidR="00000000" w:rsidRPr="00000000">
        <w:rPr>
          <w:rtl w:val="0"/>
        </w:rPr>
        <w:t xml:space="preserve">Ofcom (2023) </w:t>
      </w:r>
      <w:r w:rsidDel="00000000" w:rsidR="00000000" w:rsidRPr="00000000">
        <w:rPr>
          <w:i w:val="1"/>
          <w:iCs w:val="1"/>
          <w:rtl w:val="0"/>
        </w:rPr>
        <w:t xml:space="preserve">Adults’ Media Use and Attitudes Report 2023</w:t>
      </w:r>
      <w:r w:rsidDel="00000000" w:rsidR="00000000" w:rsidRPr="00000000">
        <w:rPr>
          <w:rtl w:val="0"/>
        </w:rPr>
        <w:t xml:space="preserve">. London: Ofcom.</w:t>
      </w:r>
    </w:p>
    <w:p w:rsidR="00000000" w:rsidDel="00000000" w:rsidP="00000000" w:rsidRDefault="00000000" w:rsidRPr="00000000" w14:paraId="0000008C">
      <w:pPr>
        <w:rPr/>
      </w:pPr>
      <w:r w:rsidDel="00000000" w:rsidR="00000000" w:rsidRPr="00000000">
        <w:rPr>
          <w:rtl w:val="0"/>
        </w:rPr>
        <w:t xml:space="preserve">Putnam, R. D. (2020) </w:t>
      </w:r>
      <w:r w:rsidDel="00000000" w:rsidR="00000000" w:rsidRPr="00000000">
        <w:rPr>
          <w:i w:val="1"/>
          <w:iCs w:val="1"/>
          <w:rtl w:val="0"/>
        </w:rPr>
        <w:t xml:space="preserve">The Upswing: How America Came Together a Century Ago and How It Can Do So Again</w:t>
      </w:r>
      <w:r w:rsidDel="00000000" w:rsidR="00000000" w:rsidRPr="00000000">
        <w:rPr>
          <w:rtl w:val="0"/>
        </w:rPr>
        <w:t xml:space="preserve">. New York: Simon &amp; Schuster.</w:t>
      </w:r>
    </w:p>
    <w:p w:rsidR="00000000" w:rsidDel="00000000" w:rsidP="00000000" w:rsidRDefault="00000000" w:rsidRPr="00000000" w14:paraId="0000008D">
      <w:pPr>
        <w:rPr/>
      </w:pPr>
      <w:r w:rsidDel="00000000" w:rsidR="00000000" w:rsidRPr="00000000">
        <w:rPr>
          <w:rtl w:val="0"/>
        </w:rPr>
        <w:t xml:space="preserve">Schon, D. A. (2017) </w:t>
      </w:r>
      <w:r w:rsidDel="00000000" w:rsidR="00000000" w:rsidRPr="00000000">
        <w:rPr>
          <w:i w:val="1"/>
          <w:iCs w:val="1"/>
          <w:rtl w:val="0"/>
        </w:rPr>
        <w:t xml:space="preserve">The Reflective Practitioner: How Professionals Think in Action</w:t>
      </w:r>
      <w:r w:rsidDel="00000000" w:rsidR="00000000" w:rsidRPr="00000000">
        <w:rPr>
          <w:rtl w:val="0"/>
        </w:rPr>
        <w:t xml:space="preserve">. London: Routledge.</w:t>
      </w:r>
    </w:p>
    <w:p w:rsidR="00000000" w:rsidDel="00000000" w:rsidP="00000000" w:rsidRDefault="00000000" w:rsidRPr="00000000" w14:paraId="0000008E">
      <w:pPr>
        <w:rPr/>
      </w:pPr>
      <w:r w:rsidDel="00000000" w:rsidR="00000000" w:rsidRPr="00000000">
        <w:rPr>
          <w:rtl w:val="0"/>
        </w:rPr>
        <w:t xml:space="preserve">Skills for Care (2022) </w:t>
      </w:r>
      <w:r w:rsidDel="00000000" w:rsidR="00000000" w:rsidRPr="00000000">
        <w:rPr>
          <w:i w:val="1"/>
          <w:iCs w:val="1"/>
          <w:rtl w:val="0"/>
        </w:rPr>
        <w:t xml:space="preserve">Workforce Strategy for Adult Social Care in England</w:t>
      </w:r>
      <w:r w:rsidDel="00000000" w:rsidR="00000000" w:rsidRPr="00000000">
        <w:rPr>
          <w:rtl w:val="0"/>
        </w:rPr>
        <w:t xml:space="preserve">. Leeds: Skills for Care.</w:t>
      </w:r>
    </w:p>
    <w:p w:rsidR="00000000" w:rsidDel="00000000" w:rsidP="00000000" w:rsidRDefault="00000000" w:rsidRPr="00000000" w14:paraId="0000008F">
      <w:pPr>
        <w:rPr/>
      </w:pPr>
      <w:r w:rsidDel="00000000" w:rsidR="00000000" w:rsidRPr="00000000">
        <w:rPr>
          <w:rtl w:val="0"/>
        </w:rPr>
      </w:r>
    </w:p>
    <w:p w:rsidR="00000000" w:rsidDel="00000000" w:rsidP="00000000" w:rsidRDefault="00000000" w:rsidRPr="00000000" w14:paraId="00000090">
      <w:pPr>
        <w:rPr/>
      </w:pPr>
      <w:r w:rsidDel="00000000" w:rsidR="00000000" w:rsidRPr="00000000">
        <w:rPr>
          <w:rtl w:val="0"/>
        </w:rPr>
      </w:r>
    </w:p>
    <w:sectPr>
      <w:headerReference r:id="rId7" w:type="default"/>
      <w:pgSz w:h="15840" w:w="12240"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Aptos"/>
  <w:font w:name="Play"/>
  <w:font w:name="Arial"/>
  <w:font w:name="Times New Roman"/>
</w:fonts>
</file>

<file path=word/header1.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091">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680"/>
        <w:tab w:val="right" w:leader="none" w:pos="9360"/>
      </w:tabs>
      <w:spacing w:after="0" w:before="0" w:line="240" w:lineRule="auto"/>
      <w:ind w:left="0" w:right="0" w:firstLine="0"/>
      <w:jc w:val="right"/>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fldChar w:fldCharType="begin"/>
      <w:instrText xml:space="preserve">PAGE</w:instrText>
      <w:fldChar w:fldCharType="separate"/>
      <w:fldChar w:fldCharType="end"/>
    </w:r>
    <w:r w:rsidDel="00000000" w:rsidR="00000000" w:rsidRPr="00000000">
      <w:rPr>
        <w:rtl w:val="0"/>
      </w:rPr>
    </w:r>
  </w:p>
  <w:p w:rsidR="00000000" w:rsidDel="00000000" w:rsidP="00000000" w:rsidRDefault="00000000" w:rsidRPr="00000000" w14:paraId="00000092">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680"/>
        <w:tab w:val="right" w:leader="none" w:pos="9360"/>
      </w:tabs>
      <w:spacing w:after="0" w:before="0" w:line="240" w:lineRule="auto"/>
      <w:ind w:left="0" w:right="0" w:firstLine="0"/>
      <w:jc w:val="both"/>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r w:rsidDel="00000000" w:rsidR="00000000" w:rsidRPr="00000000">
      <w:rPr>
        <w:rtl w:val="0"/>
      </w:rPr>
    </w:r>
  </w:p>
</w:hd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abstractNum w:abstractNumId="1">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2">
    <w:lvl w:ilvl="0">
      <w:start w:val="1"/>
      <w:numFmt w:val="decimal"/>
      <w:lvlText w:val="%1."/>
      <w:lvlJc w:val="left"/>
      <w:pPr>
        <w:ind w:left="720" w:hanging="360"/>
      </w:pPr>
      <w:rPr/>
    </w:lvl>
    <w:lvl w:ilvl="1">
      <w:start w:val="1"/>
      <w:numFmt w:val="decimal"/>
      <w:lvlText w:val="%2."/>
      <w:lvlJc w:val="left"/>
      <w:pPr>
        <w:ind w:left="1440" w:hanging="360"/>
      </w:pPr>
      <w:rPr/>
    </w:lvl>
    <w:lvl w:ilvl="2">
      <w:start w:val="1"/>
      <w:numFmt w:val="decimal"/>
      <w:lvlText w:val="%3."/>
      <w:lvlJc w:val="left"/>
      <w:pPr>
        <w:ind w:left="2160" w:hanging="360"/>
      </w:pPr>
      <w:rPr/>
    </w:lvl>
    <w:lvl w:ilvl="3">
      <w:start w:val="1"/>
      <w:numFmt w:val="decimal"/>
      <w:lvlText w:val="%4."/>
      <w:lvlJc w:val="left"/>
      <w:pPr>
        <w:ind w:left="2880" w:hanging="360"/>
      </w:pPr>
      <w:rPr/>
    </w:lvl>
    <w:lvl w:ilvl="4">
      <w:start w:val="1"/>
      <w:numFmt w:val="decimal"/>
      <w:lvlText w:val="%5."/>
      <w:lvlJc w:val="left"/>
      <w:pPr>
        <w:ind w:left="3600" w:hanging="360"/>
      </w:pPr>
      <w:rPr/>
    </w:lvl>
    <w:lvl w:ilvl="5">
      <w:start w:val="1"/>
      <w:numFmt w:val="decimal"/>
      <w:lvlText w:val="%6."/>
      <w:lvlJc w:val="left"/>
      <w:pPr>
        <w:ind w:left="4320" w:hanging="360"/>
      </w:pPr>
      <w:rPr/>
    </w:lvl>
    <w:lvl w:ilvl="6">
      <w:start w:val="1"/>
      <w:numFmt w:val="decimal"/>
      <w:lvlText w:val="%7."/>
      <w:lvlJc w:val="left"/>
      <w:pPr>
        <w:ind w:left="5040" w:hanging="360"/>
      </w:pPr>
      <w:rPr/>
    </w:lvl>
    <w:lvl w:ilvl="7">
      <w:start w:val="1"/>
      <w:numFmt w:val="decimal"/>
      <w:lvlText w:val="%8."/>
      <w:lvlJc w:val="left"/>
      <w:pPr>
        <w:ind w:left="5760" w:hanging="360"/>
      </w:pPr>
      <w:rPr/>
    </w:lvl>
    <w:lvl w:ilvl="8">
      <w:start w:val="1"/>
      <w:numFmt w:val="decimal"/>
      <w:lvlText w:val="%9."/>
      <w:lvlJc w:val="left"/>
      <w:pPr>
        <w:ind w:left="6480" w:hanging="360"/>
      </w:pPr>
      <w:rPr/>
    </w:lvl>
  </w:abstractNum>
  <w:num w:numId="1">
    <w:abstractNumId w:val="1"/>
  </w:num>
  <w:num w:numId="2">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embedTrueTypeFonts w:val="1"/>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sz w:val="24"/>
        <w:szCs w:val="24"/>
        <w:lang w:val="en_GB"/>
      </w:rPr>
    </w:rPrDefault>
    <w:pPrDefault>
      <w:pPr>
        <w:spacing w:after="160" w:line="360" w:lineRule="auto"/>
        <w:jc w:val="both"/>
      </w:pPr>
    </w:pPrDefault>
  </w:docDefaults>
  <w:style w:type="table" w:styleId="TableNormal" w:default="1">
    <w:name w:val="TableNormal"/>
    <w:tblPr>
      <w:tblCellMar>
        <w:top w:w="100.0" w:type="dxa"/>
        <w:left w:w="100.0" w:type="dxa"/>
        <w:bottom w:w="100.0" w:type="dxa"/>
        <w:right w:w="100.0" w:type="dxa"/>
      </w:tblCellMar>
    </w:tblPr>
  </w:style>
  <w:style w:type="paragraph" w:styleId="Normal" w:default="1">
    <w:name w:val="normal"/>
  </w:style>
  <w:style w:type="paragraph" w:styleId="Heading1">
    <w:name w:val="heading 1"/>
    <w:basedOn w:val="Normal"/>
    <w:next w:val="Normal"/>
    <w:pPr/>
    <w:rPr>
      <w:b w:val="1"/>
      <w:bCs w:val="1"/>
      <w:sz w:val="32"/>
      <w:szCs w:val="32"/>
      <w:u w:val="single"/>
    </w:rPr>
  </w:style>
  <w:style w:type="paragraph" w:styleId="Heading2">
    <w:name w:val="heading 2"/>
    <w:basedOn w:val="Normal"/>
    <w:next w:val="Normal"/>
    <w:pPr/>
    <w:rPr>
      <w:b w:val="1"/>
      <w:bCs w:val="1"/>
    </w:rPr>
  </w:style>
  <w:style w:type="paragraph" w:styleId="Heading3">
    <w:name w:val="heading 3"/>
    <w:basedOn w:val="Normal"/>
    <w:next w:val="Normal"/>
    <w:pPr>
      <w:keepNext w:val="1"/>
      <w:keepLines w:val="1"/>
      <w:spacing w:after="80" w:before="160" w:lineRule="auto"/>
    </w:pPr>
    <w:rPr>
      <w:b w:val="1"/>
      <w:bCs w:val="1"/>
      <w:u w:val="single"/>
    </w:rPr>
  </w:style>
  <w:style w:type="paragraph" w:styleId="Heading4">
    <w:name w:val="heading 4"/>
    <w:basedOn w:val="Normal"/>
    <w:next w:val="Normal"/>
    <w:pPr>
      <w:keepNext w:val="1"/>
      <w:keepLines w:val="1"/>
      <w:spacing w:after="40" w:before="80" w:lineRule="auto"/>
    </w:pPr>
    <w:rPr>
      <w:rFonts w:ascii="Aptos" w:cs="Aptos" w:eastAsia="Aptos" w:hAnsi="Aptos"/>
      <w:i w:val="1"/>
      <w:iCs w:val="1"/>
      <w:color w:val="0f4761"/>
    </w:rPr>
  </w:style>
  <w:style w:type="paragraph" w:styleId="Heading5">
    <w:name w:val="heading 5"/>
    <w:basedOn w:val="Normal"/>
    <w:next w:val="Normal"/>
    <w:pPr>
      <w:keepNext w:val="1"/>
      <w:keepLines w:val="1"/>
      <w:spacing w:after="40" w:before="80" w:lineRule="auto"/>
    </w:pPr>
    <w:rPr>
      <w:rFonts w:ascii="Aptos" w:cs="Aptos" w:eastAsia="Aptos" w:hAnsi="Aptos"/>
      <w:color w:val="0f4761"/>
    </w:rPr>
  </w:style>
  <w:style w:type="paragraph" w:styleId="Heading6">
    <w:name w:val="heading 6"/>
    <w:basedOn w:val="Normal"/>
    <w:next w:val="Normal"/>
    <w:pPr>
      <w:keepNext w:val="1"/>
      <w:keepLines w:val="1"/>
      <w:spacing w:after="0" w:before="40" w:lineRule="auto"/>
    </w:pPr>
    <w:rPr>
      <w:rFonts w:ascii="Aptos" w:cs="Aptos" w:eastAsia="Aptos" w:hAnsi="Aptos"/>
      <w:i w:val="1"/>
      <w:iCs w:val="1"/>
      <w:color w:val="595959"/>
    </w:rPr>
  </w:style>
  <w:style w:type="paragraph" w:styleId="Title">
    <w:name w:val="Title"/>
    <w:basedOn w:val="Normal"/>
    <w:next w:val="Normal"/>
    <w:pPr>
      <w:spacing w:after="80" w:line="240" w:lineRule="auto"/>
    </w:pPr>
    <w:rPr>
      <w:rFonts w:ascii="Play" w:cs="Play" w:eastAsia="Play" w:hAnsi="Play"/>
      <w:sz w:val="56"/>
      <w:szCs w:val="56"/>
    </w:rPr>
  </w:style>
  <w:style w:type="paragraph" w:styleId="Subtitle">
    <w:name w:val="Subtitle"/>
    <w:basedOn w:val="Normal"/>
    <w:next w:val="Normal"/>
    <w:pPr>
      <w:spacing w:after="40" w:lineRule="auto"/>
      <w:jc w:val="center"/>
    </w:pPr>
    <w:rPr>
      <w:i w:val="1"/>
      <w:iCs w:val="1"/>
      <w:sz w:val="20"/>
      <w:szCs w:val="20"/>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 Id="rId6" Type="http://schemas.openxmlformats.org/officeDocument/2006/relationships/image" Target="media/image1.png"/><Relationship Id="rId7"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