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F0517" w14:textId="781B29EB" w:rsidR="484494DF" w:rsidRDefault="484494DF" w:rsidP="2141CCC2">
      <w:pPr>
        <w:spacing w:line="360" w:lineRule="auto"/>
        <w:jc w:val="center"/>
        <w:rPr>
          <w:rFonts w:ascii="Times New Roman" w:eastAsia="Times New Roman" w:hAnsi="Times New Roman" w:cs="Times New Roman"/>
          <w:b/>
          <w:bCs/>
          <w:color w:val="000000" w:themeColor="text1"/>
        </w:rPr>
      </w:pPr>
    </w:p>
    <w:p w14:paraId="398328B8" w14:textId="51D898B4" w:rsidR="484494DF" w:rsidRDefault="484494DF" w:rsidP="2141CCC2">
      <w:pPr>
        <w:spacing w:line="360" w:lineRule="auto"/>
        <w:jc w:val="center"/>
        <w:rPr>
          <w:rFonts w:ascii="Times New Roman" w:eastAsia="Times New Roman" w:hAnsi="Times New Roman" w:cs="Times New Roman"/>
          <w:b/>
          <w:bCs/>
          <w:color w:val="000000" w:themeColor="text1"/>
        </w:rPr>
      </w:pPr>
    </w:p>
    <w:p w14:paraId="01BA2FC1" w14:textId="30FDC937" w:rsidR="484494DF" w:rsidRDefault="484494DF" w:rsidP="2141CCC2">
      <w:pPr>
        <w:spacing w:line="360" w:lineRule="auto"/>
        <w:jc w:val="center"/>
        <w:rPr>
          <w:rFonts w:ascii="Times New Roman" w:eastAsia="Times New Roman" w:hAnsi="Times New Roman" w:cs="Times New Roman"/>
          <w:b/>
          <w:bCs/>
          <w:color w:val="000000" w:themeColor="text1"/>
        </w:rPr>
      </w:pPr>
    </w:p>
    <w:p w14:paraId="5F0719F2" w14:textId="57A3AD00" w:rsidR="484494DF" w:rsidRDefault="484494DF" w:rsidP="2141CCC2">
      <w:pPr>
        <w:spacing w:line="360" w:lineRule="auto"/>
        <w:jc w:val="center"/>
        <w:rPr>
          <w:rFonts w:ascii="Times New Roman" w:eastAsia="Times New Roman" w:hAnsi="Times New Roman" w:cs="Times New Roman"/>
          <w:b/>
          <w:bCs/>
          <w:color w:val="000000" w:themeColor="text1"/>
        </w:rPr>
      </w:pPr>
    </w:p>
    <w:p w14:paraId="404E62E4" w14:textId="23A9A145" w:rsidR="484494DF" w:rsidRDefault="484494DF" w:rsidP="2141CCC2">
      <w:pPr>
        <w:spacing w:line="360" w:lineRule="auto"/>
        <w:jc w:val="center"/>
        <w:rPr>
          <w:rFonts w:ascii="Times New Roman" w:eastAsia="Times New Roman" w:hAnsi="Times New Roman" w:cs="Times New Roman"/>
          <w:b/>
          <w:bCs/>
          <w:color w:val="000000" w:themeColor="text1"/>
        </w:rPr>
      </w:pPr>
    </w:p>
    <w:p w14:paraId="56949EB1" w14:textId="51615F86" w:rsidR="484494DF" w:rsidRDefault="484494DF" w:rsidP="2141CCC2">
      <w:pPr>
        <w:spacing w:line="360" w:lineRule="auto"/>
        <w:jc w:val="center"/>
        <w:rPr>
          <w:rFonts w:ascii="Times New Roman" w:eastAsia="Times New Roman" w:hAnsi="Times New Roman" w:cs="Times New Roman"/>
          <w:b/>
          <w:bCs/>
          <w:color w:val="000000" w:themeColor="text1"/>
        </w:rPr>
      </w:pPr>
    </w:p>
    <w:p w14:paraId="6D1A188F" w14:textId="1681CA3B" w:rsidR="484494DF" w:rsidRDefault="484494DF" w:rsidP="2141CCC2">
      <w:pPr>
        <w:spacing w:line="360" w:lineRule="auto"/>
        <w:jc w:val="center"/>
        <w:rPr>
          <w:rFonts w:ascii="Times New Roman" w:eastAsia="Times New Roman" w:hAnsi="Times New Roman" w:cs="Times New Roman"/>
          <w:b/>
          <w:bCs/>
          <w:color w:val="000000" w:themeColor="text1"/>
        </w:rPr>
      </w:pPr>
    </w:p>
    <w:p w14:paraId="323408BF" w14:textId="7A45D75B" w:rsidR="484494DF" w:rsidRDefault="484494DF" w:rsidP="2141CCC2">
      <w:pPr>
        <w:spacing w:line="360" w:lineRule="auto"/>
        <w:jc w:val="center"/>
        <w:rPr>
          <w:rFonts w:ascii="Times New Roman" w:eastAsia="Times New Roman" w:hAnsi="Times New Roman" w:cs="Times New Roman"/>
          <w:b/>
          <w:bCs/>
          <w:color w:val="000000" w:themeColor="text1"/>
        </w:rPr>
      </w:pPr>
    </w:p>
    <w:p w14:paraId="74A8B0C6" w14:textId="660594BC" w:rsidR="484494DF" w:rsidRDefault="484494DF" w:rsidP="2141CCC2">
      <w:pPr>
        <w:spacing w:line="360" w:lineRule="auto"/>
        <w:jc w:val="center"/>
        <w:rPr>
          <w:rFonts w:ascii="Times New Roman" w:eastAsia="Times New Roman" w:hAnsi="Times New Roman" w:cs="Times New Roman"/>
          <w:b/>
          <w:bCs/>
          <w:color w:val="000000" w:themeColor="text1"/>
        </w:rPr>
      </w:pPr>
    </w:p>
    <w:p w14:paraId="083DA69C" w14:textId="533CD778" w:rsidR="484494DF" w:rsidRDefault="2141CCC2" w:rsidP="2141CCC2">
      <w:pPr>
        <w:spacing w:line="360" w:lineRule="auto"/>
        <w:jc w:val="center"/>
        <w:rPr>
          <w:rFonts w:ascii="Aptos" w:eastAsia="Aptos" w:hAnsi="Aptos" w:cs="Aptos"/>
          <w:b/>
          <w:bCs/>
        </w:rPr>
      </w:pPr>
      <w:r w:rsidRPr="2141CCC2">
        <w:rPr>
          <w:rFonts w:ascii="Times New Roman" w:eastAsia="Times New Roman" w:hAnsi="Times New Roman" w:cs="Times New Roman"/>
          <w:b/>
          <w:bCs/>
          <w:color w:val="000000" w:themeColor="text1"/>
        </w:rPr>
        <w:t>Managing Food and Beverage Operations</w:t>
      </w:r>
    </w:p>
    <w:p w14:paraId="4EF6E2A0" w14:textId="7205B217" w:rsidR="484494DF" w:rsidRDefault="2141CCC2" w:rsidP="2141CCC2">
      <w:pPr>
        <w:spacing w:line="360" w:lineRule="auto"/>
        <w:jc w:val="center"/>
        <w:rPr>
          <w:rFonts w:ascii="Times New Roman" w:eastAsia="Times New Roman" w:hAnsi="Times New Roman" w:cs="Times New Roman"/>
          <w:b/>
          <w:bCs/>
          <w:color w:val="000000" w:themeColor="text1"/>
        </w:rPr>
      </w:pPr>
      <w:r w:rsidRPr="2141CCC2">
        <w:rPr>
          <w:rFonts w:ascii="Times New Roman" w:eastAsia="Times New Roman" w:hAnsi="Times New Roman" w:cs="Times New Roman"/>
          <w:b/>
          <w:bCs/>
          <w:color w:val="000000" w:themeColor="text1"/>
        </w:rPr>
        <w:t>Students name:</w:t>
      </w:r>
      <w:r w:rsidR="00B00908">
        <w:rPr>
          <w:rFonts w:ascii="Times New Roman" w:eastAsia="Times New Roman" w:hAnsi="Times New Roman" w:cs="Times New Roman"/>
          <w:b/>
          <w:bCs/>
          <w:color w:val="000000" w:themeColor="text1"/>
        </w:rPr>
        <w:t xml:space="preserve">  Sorina Barbu</w:t>
      </w:r>
    </w:p>
    <w:p w14:paraId="281ACBCA" w14:textId="684EC9B9" w:rsidR="2141CCC2" w:rsidRDefault="2141CCC2" w:rsidP="2141CCC2">
      <w:pPr>
        <w:spacing w:line="360" w:lineRule="auto"/>
        <w:jc w:val="center"/>
        <w:rPr>
          <w:rFonts w:ascii="Times New Roman" w:eastAsia="Times New Roman" w:hAnsi="Times New Roman" w:cs="Times New Roman"/>
          <w:color w:val="000000" w:themeColor="text1"/>
        </w:rPr>
      </w:pPr>
      <w:r w:rsidRPr="2141CCC2">
        <w:rPr>
          <w:rFonts w:ascii="Times New Roman" w:eastAsia="Times New Roman" w:hAnsi="Times New Roman" w:cs="Times New Roman"/>
          <w:b/>
          <w:bCs/>
          <w:color w:val="000000" w:themeColor="text1"/>
        </w:rPr>
        <w:t>Students ID number:</w:t>
      </w:r>
      <w:r w:rsidR="00B00908">
        <w:rPr>
          <w:rFonts w:ascii="Times New Roman" w:eastAsia="Times New Roman" w:hAnsi="Times New Roman" w:cs="Times New Roman"/>
          <w:b/>
          <w:bCs/>
          <w:color w:val="000000" w:themeColor="text1"/>
        </w:rPr>
        <w:t xml:space="preserve"> 2108671</w:t>
      </w:r>
    </w:p>
    <w:p w14:paraId="14E9A48C" w14:textId="071DBAF4" w:rsidR="484494DF" w:rsidRDefault="484494DF" w:rsidP="2141CCC2">
      <w:pPr>
        <w:spacing w:line="360" w:lineRule="auto"/>
      </w:pPr>
      <w:r>
        <w:br w:type="page"/>
      </w:r>
    </w:p>
    <w:p w14:paraId="6B5AEE77" w14:textId="78FF947B" w:rsidR="484494DF" w:rsidRDefault="484494DF" w:rsidP="484494DF">
      <w:pPr>
        <w:spacing w:line="360" w:lineRule="auto"/>
        <w:rPr>
          <w:rFonts w:ascii="Times New Roman" w:eastAsia="Times New Roman" w:hAnsi="Times New Roman" w:cs="Times New Roman"/>
          <w:b/>
          <w:bCs/>
        </w:rPr>
      </w:pPr>
      <w:r w:rsidRPr="484494DF">
        <w:rPr>
          <w:rFonts w:ascii="Times New Roman" w:eastAsia="Times New Roman" w:hAnsi="Times New Roman" w:cs="Times New Roman"/>
          <w:b/>
          <w:bCs/>
        </w:rPr>
        <w:lastRenderedPageBreak/>
        <w:t>Introduction</w:t>
      </w:r>
    </w:p>
    <w:p w14:paraId="514642CF" w14:textId="6E6916CA" w:rsidR="484494DF" w:rsidRDefault="484494DF" w:rsidP="484494DF">
      <w:pPr>
        <w:spacing w:line="360" w:lineRule="auto"/>
        <w:rPr>
          <w:rFonts w:ascii="Times New Roman" w:eastAsia="Times New Roman" w:hAnsi="Times New Roman" w:cs="Times New Roman"/>
        </w:rPr>
      </w:pPr>
      <w:r w:rsidRPr="484494DF">
        <w:rPr>
          <w:rFonts w:ascii="Times New Roman" w:eastAsia="Times New Roman" w:hAnsi="Times New Roman" w:cs="Times New Roman"/>
        </w:rPr>
        <w:t>Personal development forms the basis for success at a university level, as it becomes a journey that provides more than just acquisition of academic achievements. It includes skills, knowledge and life experiences which make a well-rounded man. According to Covey (2020), Personal development is a lifelong process of personal enlightenment and change. In the sphere of higher education, it serves as an important instrument for students’ preparation to tackle issues that they will see within their professional life. This report discusses personal development and how significant it is for a placement at the Food and Beverage department of Premier Inn hotel. The learning objectives and reflections are discussed in the following sections, clarifying how personal development was mediated between a practical framework.</w:t>
      </w:r>
    </w:p>
    <w:p w14:paraId="17CA6536" w14:textId="23884651" w:rsidR="484494DF" w:rsidRDefault="484494DF" w:rsidP="484494DF">
      <w:pPr>
        <w:spacing w:line="360" w:lineRule="auto"/>
        <w:rPr>
          <w:rFonts w:ascii="Times New Roman" w:eastAsia="Times New Roman" w:hAnsi="Times New Roman" w:cs="Times New Roman"/>
          <w:b/>
          <w:bCs/>
        </w:rPr>
      </w:pPr>
      <w:r w:rsidRPr="484494DF">
        <w:rPr>
          <w:rFonts w:ascii="Times New Roman" w:eastAsia="Times New Roman" w:hAnsi="Times New Roman" w:cs="Times New Roman"/>
          <w:b/>
          <w:bCs/>
        </w:rPr>
        <w:t>Section 1: Reflection on Experience and Personal Development</w:t>
      </w:r>
    </w:p>
    <w:p w14:paraId="74DF4612" w14:textId="23A4BE20" w:rsidR="484494DF" w:rsidRDefault="484494DF" w:rsidP="484494DF">
      <w:pPr>
        <w:spacing w:line="360" w:lineRule="auto"/>
        <w:rPr>
          <w:rFonts w:ascii="Times New Roman" w:eastAsia="Times New Roman" w:hAnsi="Times New Roman" w:cs="Times New Roman"/>
        </w:rPr>
      </w:pPr>
      <w:r w:rsidRPr="484494DF">
        <w:rPr>
          <w:rFonts w:ascii="Times New Roman" w:eastAsia="Times New Roman" w:hAnsi="Times New Roman" w:cs="Times New Roman"/>
        </w:rPr>
        <w:t>It was an immersive process for me to spend some time shadowing a supervisory role in the food and beverages department of Premier Inn as this significantly deepened my understanding of the importance of work-based skills, technical knowledge, and guest service standards. Working alongside the supervisor, I managed to observe what went into sustaining a level of service quality. As Hayes et al (2009) suggest, it is very important to improve supervision which in its turn contributes to proper service delivery in the hospitality industry.</w:t>
      </w:r>
      <w:r>
        <w:br/>
      </w:r>
      <w:r w:rsidRPr="484494DF">
        <w:rPr>
          <w:rFonts w:ascii="Times New Roman" w:eastAsia="Times New Roman" w:hAnsi="Times New Roman" w:cs="Times New Roman"/>
        </w:rPr>
        <w:t>This work experience brought about an understanding of the significance of working skills, whereby adaptation and swift decision- making was critical during busy periods. For instance, when there were some changes at the last moment in the menu, the immediate ability of communication and making changes was able to showcase that very fact how these skills could directly lead towards ensuring guest satisfaction. Additionally, the working with different technical aspects like using Point of Sale (POS) system properly, stressed again on necessity of technical knowledge to run smoothly.</w:t>
      </w:r>
      <w:r>
        <w:br/>
      </w:r>
      <w:r w:rsidRPr="484494DF">
        <w:rPr>
          <w:rFonts w:ascii="Times New Roman" w:eastAsia="Times New Roman" w:hAnsi="Times New Roman" w:cs="Times New Roman"/>
        </w:rPr>
        <w:t xml:space="preserve">In terms of personal and professional development, my experience in college as well as the previous industry exposure played a role of pillars which helped to develop an underlying approach within food and storage department. Classroom theories became academic frameworks, and past employment provided relevant focal points. This integration did much to impact my comprehension of communication, teamwork, task management, personal skills and guest services. For instance, integrating the stages of team development proposed by Tuckman (1965), my academic knowledge regarding how teams work practically found expression in the observations I made and participated during these efforts within this </w:t>
      </w:r>
      <w:r w:rsidRPr="484494DF">
        <w:rPr>
          <w:rFonts w:ascii="Times New Roman" w:eastAsia="Times New Roman" w:hAnsi="Times New Roman" w:cs="Times New Roman"/>
        </w:rPr>
        <w:lastRenderedPageBreak/>
        <w:t>department (Tuckman, 2001). Furthermore, my past exposure during placements in dealing with guest engagements made me possess a subtle understanding of guest services (</w:t>
      </w:r>
      <w:proofErr w:type="spellStart"/>
      <w:r w:rsidRPr="484494DF">
        <w:rPr>
          <w:rFonts w:ascii="Times New Roman" w:eastAsia="Times New Roman" w:hAnsi="Times New Roman" w:cs="Times New Roman"/>
        </w:rPr>
        <w:t>Kasavana</w:t>
      </w:r>
      <w:proofErr w:type="spellEnd"/>
      <w:r w:rsidRPr="484494DF">
        <w:rPr>
          <w:rFonts w:ascii="Times New Roman" w:eastAsia="Times New Roman" w:hAnsi="Times New Roman" w:cs="Times New Roman"/>
        </w:rPr>
        <w:t>, 2017).</w:t>
      </w:r>
    </w:p>
    <w:p w14:paraId="6E8E6FA3" w14:textId="506EB5A2" w:rsidR="484494DF" w:rsidRDefault="484494DF" w:rsidP="484494DF">
      <w:pPr>
        <w:spacing w:line="360" w:lineRule="auto"/>
        <w:rPr>
          <w:rFonts w:ascii="Times New Roman" w:eastAsia="Times New Roman" w:hAnsi="Times New Roman" w:cs="Times New Roman"/>
          <w:b/>
          <w:bCs/>
        </w:rPr>
      </w:pPr>
      <w:r w:rsidRPr="484494DF">
        <w:rPr>
          <w:rFonts w:ascii="Times New Roman" w:eastAsia="Times New Roman" w:hAnsi="Times New Roman" w:cs="Times New Roman"/>
          <w:b/>
          <w:bCs/>
        </w:rPr>
        <w:t>Section 2: Critical Analysis of Work-Based Skills and Technical Knowledge</w:t>
      </w:r>
    </w:p>
    <w:p w14:paraId="20C28308" w14:textId="3C89BE97" w:rsidR="484494DF" w:rsidRDefault="484494DF" w:rsidP="484494DF">
      <w:pPr>
        <w:spacing w:before="240" w:after="240" w:line="360" w:lineRule="auto"/>
        <w:rPr>
          <w:rFonts w:ascii="Times New Roman" w:eastAsia="Times New Roman" w:hAnsi="Times New Roman" w:cs="Times New Roman"/>
        </w:rPr>
      </w:pPr>
      <w:r w:rsidRPr="484494DF">
        <w:rPr>
          <w:rFonts w:ascii="Times New Roman" w:eastAsia="Times New Roman" w:hAnsi="Times New Roman" w:cs="Times New Roman"/>
        </w:rPr>
        <w:t>When trying to understand the details of the food and beverage department at Premier Inn, critical evaluation of work-based skills and technical knowledge becomes necessary in knowing their direct influence on achieving guest service standards. With my immersion into the role of a supervisor</w:t>
      </w:r>
      <w:r w:rsidR="00B00908">
        <w:rPr>
          <w:rFonts w:ascii="Times New Roman" w:eastAsia="Times New Roman" w:hAnsi="Times New Roman" w:cs="Times New Roman"/>
        </w:rPr>
        <w:t>,</w:t>
      </w:r>
      <w:r w:rsidRPr="484494DF">
        <w:rPr>
          <w:rFonts w:ascii="Times New Roman" w:eastAsia="Times New Roman" w:hAnsi="Times New Roman" w:cs="Times New Roman"/>
        </w:rPr>
        <w:t xml:space="preserve"> I understood that these components are complex. Efficient communication skills, flexibility, and conflict resolution were also work-based skills that contributed to guest satisfaction. The need for timely decision-making and effective communication was highlighted during a particularly busy dinner service. However, the ability to accommodate </w:t>
      </w:r>
      <w:r w:rsidR="00B00908">
        <w:rPr>
          <w:rFonts w:ascii="Times New Roman" w:eastAsia="Times New Roman" w:hAnsi="Times New Roman" w:cs="Times New Roman"/>
        </w:rPr>
        <w:t>last-minute</w:t>
      </w:r>
      <w:r w:rsidRPr="484494DF">
        <w:rPr>
          <w:rFonts w:ascii="Times New Roman" w:eastAsia="Times New Roman" w:hAnsi="Times New Roman" w:cs="Times New Roman"/>
        </w:rPr>
        <w:t xml:space="preserve"> changes in the menu e.g., unexpected guests while serving them showed that flexibility is a key element in ensuring quality service (Kim et al., 2009).</w:t>
      </w:r>
      <w:r>
        <w:br/>
      </w:r>
      <w:r w:rsidRPr="484494DF">
        <w:rPr>
          <w:rFonts w:ascii="Times New Roman" w:eastAsia="Times New Roman" w:hAnsi="Times New Roman" w:cs="Times New Roman"/>
        </w:rPr>
        <w:t>Technical knowledge became a pivot of operational efficacy. The ability to use the Point of Sale (POS) system was essential during peak hours, ensuring there were no bottlenecks in service delivery. According to Bitner et al. (1990), technical tools directly relate to the quality of service provided by a businessperson or institution. This is supported by my background which focuses on the utility of technical know-how and its relevance in practical situations. For example, when a sudden spike in orders came about, my skilful use of the POS system allowed for quicker order processing, minimizing waits guests had to be subjected to. This illustrates the direct relation between technical competence and guest satisfaction. Moreover, the knowledge of managing inventories was critical in ensuring that menu items were available and ultimately leading to a flawless dining experience.</w:t>
      </w:r>
    </w:p>
    <w:p w14:paraId="1E0A21B0" w14:textId="7C80F318" w:rsidR="484494DF" w:rsidRDefault="484494DF" w:rsidP="484494DF">
      <w:pPr>
        <w:spacing w:before="240" w:after="240" w:line="360" w:lineRule="auto"/>
        <w:rPr>
          <w:rFonts w:ascii="Times New Roman" w:eastAsia="Times New Roman" w:hAnsi="Times New Roman" w:cs="Times New Roman"/>
          <w:b/>
          <w:bCs/>
        </w:rPr>
      </w:pPr>
      <w:r w:rsidRPr="484494DF">
        <w:rPr>
          <w:rFonts w:ascii="Times New Roman" w:eastAsia="Times New Roman" w:hAnsi="Times New Roman" w:cs="Times New Roman"/>
          <w:b/>
          <w:bCs/>
        </w:rPr>
        <w:t>Section 3: Reflection on Organisational Issue</w:t>
      </w:r>
    </w:p>
    <w:p w14:paraId="0906690F" w14:textId="04287B67" w:rsidR="484494DF" w:rsidRDefault="484494DF" w:rsidP="484494DF">
      <w:pPr>
        <w:spacing w:before="240" w:after="240" w:line="360" w:lineRule="auto"/>
        <w:rPr>
          <w:rFonts w:ascii="Times New Roman" w:eastAsia="Times New Roman" w:hAnsi="Times New Roman" w:cs="Times New Roman"/>
        </w:rPr>
      </w:pPr>
      <w:r w:rsidRPr="484494DF">
        <w:rPr>
          <w:rFonts w:ascii="Times New Roman" w:eastAsia="Times New Roman" w:hAnsi="Times New Roman" w:cs="Times New Roman"/>
        </w:rPr>
        <w:t xml:space="preserve">One of the organizational issues evident in my placement at Premier Inn’s food and beverage department concerns non-proportional compliance by staff with health and safety standards. This gap, though apparently minor brought a lot of consequences for the department’s performance, service to guests as well as overall operations. The effects of the issue on performance were clearly seen in compromised efficiency. Occasionally, staff members also failed to observe high standards of hygiene, thereby creating a health risk and violation of </w:t>
      </w:r>
      <w:r w:rsidRPr="484494DF">
        <w:rPr>
          <w:rFonts w:ascii="Times New Roman" w:eastAsia="Times New Roman" w:hAnsi="Times New Roman" w:cs="Times New Roman"/>
        </w:rPr>
        <w:lastRenderedPageBreak/>
        <w:t>regulatory guidelines. This neglect directly impacts the service quality and operational efficiency in the hospitality industry.</w:t>
      </w:r>
      <w:r>
        <w:br/>
      </w:r>
      <w:r w:rsidRPr="484494DF">
        <w:rPr>
          <w:rFonts w:ascii="Times New Roman" w:eastAsia="Times New Roman" w:hAnsi="Times New Roman" w:cs="Times New Roman"/>
        </w:rPr>
        <w:t>The organizing issue endangered guest service, which was one of the key aspects of Premier Inn’s reputation. The inconsistencies in their compliance with the health and safety protocols not only compromised the well-being of guests but also undermined the faith that guests place on their care and safety. Parasuraman et al. (1985) state that service quality is an important indicator of customer satisfaction and any reduction in safety measures demolishes this critical element. However, the overall operations of the food and beverage department were hindered due to organizational problem. Thus, the regulatory penalties, poor publicity and stress on employees’ morale presented huge challenges (Robbins, 2009).</w:t>
      </w:r>
      <w:r>
        <w:br/>
      </w:r>
      <w:r w:rsidRPr="484494DF">
        <w:rPr>
          <w:rFonts w:ascii="Times New Roman" w:eastAsia="Times New Roman" w:hAnsi="Times New Roman" w:cs="Times New Roman"/>
        </w:rPr>
        <w:t>In order to address this problem, an effective training program on health and safety standards is mandatory. Using Health Belief Model, the training should focus on lapses in perception of severity as well as susceptibility and individual responsibility (Janz et al., 1984). The positive reinforcement can be used to promote compliance and establish a safety culture.</w:t>
      </w:r>
    </w:p>
    <w:p w14:paraId="009C9A7E" w14:textId="08A172D0" w:rsidR="484494DF" w:rsidRDefault="2141CCC2" w:rsidP="2141CCC2">
      <w:pPr>
        <w:spacing w:before="240" w:after="240" w:line="360" w:lineRule="auto"/>
        <w:rPr>
          <w:rFonts w:ascii="Times New Roman" w:eastAsia="Times New Roman" w:hAnsi="Times New Roman" w:cs="Times New Roman"/>
        </w:rPr>
      </w:pPr>
      <w:r w:rsidRPr="2141CCC2">
        <w:rPr>
          <w:rFonts w:ascii="Times New Roman" w:eastAsia="Times New Roman" w:hAnsi="Times New Roman" w:cs="Times New Roman"/>
          <w:b/>
          <w:bCs/>
        </w:rPr>
        <w:t>Section 4: Future Action Plan</w:t>
      </w:r>
    </w:p>
    <w:p w14:paraId="5BBCE47B" w14:textId="6FD97461" w:rsidR="484494DF" w:rsidRDefault="2141CCC2" w:rsidP="2141CCC2">
      <w:pPr>
        <w:spacing w:before="240" w:after="240" w:line="360" w:lineRule="auto"/>
        <w:rPr>
          <w:rFonts w:ascii="Times New Roman" w:eastAsia="Times New Roman" w:hAnsi="Times New Roman" w:cs="Times New Roman"/>
        </w:rPr>
      </w:pPr>
      <w:r w:rsidRPr="2141CCC2">
        <w:rPr>
          <w:rFonts w:ascii="Times New Roman" w:eastAsia="Times New Roman" w:hAnsi="Times New Roman" w:cs="Times New Roman"/>
        </w:rPr>
        <w:t xml:space="preserve">Based on what I learned during my placement in Premier Inn’s food and beverage department, a future action plan becomes critical to take actions to improve weaknesses in work-based skills and technical knowledge. Working towards improving communicational, teamwork, task management, personal skills and guest services is an integral part of my professional development within the industry. To enhance communication, I will take workshops or courses with a focus on effective communication strategies in the hospitality setting. This goes in line with my personal plan of getting better at communication and enhancing both team dynamics and communication with guests. Teamwork may promote collaborative behaviour through participation in team-building activities or exercises. This corresponds with my occupational development objective for becoming a useful team member, as well as the tenets of cooperation. With time management courses or apps, task management skills can be developed, allowing people to achieve accuracy even during busy times. This helps my academic voyage by applying the concept in a practical setting. Personal skills such as adaptability and conflict resolution, can be developed by use of immersive scenarios and case studies. This supports my overall personal development aspiration of self-enhancement. Lastly, improvement of guest services can be attained by means of frequently conducted customer service training sessions. This not only increases my technical </w:t>
      </w:r>
      <w:r w:rsidRPr="2141CCC2">
        <w:rPr>
          <w:rFonts w:ascii="Times New Roman" w:eastAsia="Times New Roman" w:hAnsi="Times New Roman" w:cs="Times New Roman"/>
        </w:rPr>
        <w:lastRenderedPageBreak/>
        <w:t>knowledge but also correlates with my desire to deliver quality service as required by Premier Inn.</w:t>
      </w:r>
    </w:p>
    <w:p w14:paraId="303A1F6C" w14:textId="53E3E25B" w:rsidR="484494DF" w:rsidRDefault="484494DF" w:rsidP="484494DF">
      <w:pPr>
        <w:spacing w:line="360" w:lineRule="auto"/>
        <w:rPr>
          <w:rFonts w:ascii="Times New Roman" w:eastAsia="Times New Roman" w:hAnsi="Times New Roman" w:cs="Times New Roman"/>
          <w:b/>
          <w:bCs/>
        </w:rPr>
      </w:pPr>
      <w:r w:rsidRPr="484494DF">
        <w:rPr>
          <w:rFonts w:ascii="Times New Roman" w:eastAsia="Times New Roman" w:hAnsi="Times New Roman" w:cs="Times New Roman"/>
          <w:b/>
          <w:bCs/>
        </w:rPr>
        <w:t>Conclusion</w:t>
      </w:r>
    </w:p>
    <w:p w14:paraId="1ACBB114" w14:textId="67B50125" w:rsidR="484494DF" w:rsidRDefault="2141CCC2" w:rsidP="484494DF">
      <w:pPr>
        <w:spacing w:line="360" w:lineRule="auto"/>
        <w:rPr>
          <w:rFonts w:ascii="Times New Roman" w:eastAsia="Times New Roman" w:hAnsi="Times New Roman" w:cs="Times New Roman"/>
        </w:rPr>
      </w:pPr>
      <w:r w:rsidRPr="2141CCC2">
        <w:rPr>
          <w:rFonts w:ascii="Times New Roman" w:eastAsia="Times New Roman" w:hAnsi="Times New Roman" w:cs="Times New Roman"/>
        </w:rPr>
        <w:t>In conclusion, the learning log demonstrates the transformative nature of shadowing in Premier Inn food and beverage department. It emphasizes the importance of the experience in developing work-based skills, technical knowledge, and a deep appreciation of guest service standards. The combination of personal and professional development heightens the importance, influencing my path in food and beverage. This immersion has not only honed my operational skills but also paved the way for my future career goals, highlighting the lasting impact of experiential learning on all-round development and professional achievement.</w:t>
      </w:r>
    </w:p>
    <w:p w14:paraId="562DEB32" w14:textId="49868781" w:rsidR="2141CCC2" w:rsidRDefault="2141CCC2" w:rsidP="2141CCC2">
      <w:pPr>
        <w:spacing w:line="360" w:lineRule="auto"/>
      </w:pPr>
      <w:r>
        <w:br w:type="page"/>
      </w:r>
    </w:p>
    <w:p w14:paraId="3D5720E6" w14:textId="176B21E9" w:rsidR="2141CCC2" w:rsidRDefault="2141CCC2" w:rsidP="2141CCC2">
      <w:pPr>
        <w:spacing w:line="360" w:lineRule="auto"/>
        <w:rPr>
          <w:rFonts w:ascii="Times New Roman" w:eastAsia="Times New Roman" w:hAnsi="Times New Roman" w:cs="Times New Roman"/>
          <w:b/>
          <w:bCs/>
        </w:rPr>
      </w:pPr>
      <w:r w:rsidRPr="2141CCC2">
        <w:rPr>
          <w:rFonts w:ascii="Times New Roman" w:eastAsia="Times New Roman" w:hAnsi="Times New Roman" w:cs="Times New Roman"/>
          <w:b/>
          <w:bCs/>
        </w:rPr>
        <w:lastRenderedPageBreak/>
        <w:t>References</w:t>
      </w:r>
    </w:p>
    <w:p w14:paraId="5D508502" w14:textId="3137BC4A" w:rsidR="2141CCC2" w:rsidRDefault="2141CCC2" w:rsidP="2141CCC2">
      <w:pPr>
        <w:spacing w:after="0" w:line="360" w:lineRule="auto"/>
        <w:ind w:left="720" w:hanging="720"/>
      </w:pPr>
      <w:r w:rsidRPr="2141CCC2">
        <w:rPr>
          <w:rFonts w:ascii="Arial" w:eastAsia="Arial" w:hAnsi="Arial" w:cs="Arial"/>
          <w:color w:val="222222"/>
          <w:sz w:val="19"/>
          <w:szCs w:val="19"/>
        </w:rPr>
        <w:t xml:space="preserve">Bitner, M.J., Booms, B.H. and Tetreault, M.S., 1990. The service encounter: diagnosing </w:t>
      </w:r>
      <w:proofErr w:type="spellStart"/>
      <w:r w:rsidRPr="2141CCC2">
        <w:rPr>
          <w:rFonts w:ascii="Times New Roman" w:eastAsia="Times New Roman" w:hAnsi="Times New Roman" w:cs="Times New Roman"/>
        </w:rPr>
        <w:t>favorable</w:t>
      </w:r>
      <w:proofErr w:type="spellEnd"/>
      <w:r w:rsidRPr="2141CCC2">
        <w:rPr>
          <w:rFonts w:ascii="Times New Roman" w:eastAsia="Times New Roman" w:hAnsi="Times New Roman" w:cs="Times New Roman"/>
        </w:rPr>
        <w:t xml:space="preserve"> and </w:t>
      </w:r>
      <w:proofErr w:type="spellStart"/>
      <w:r w:rsidRPr="2141CCC2">
        <w:rPr>
          <w:rFonts w:ascii="Times New Roman" w:eastAsia="Times New Roman" w:hAnsi="Times New Roman" w:cs="Times New Roman"/>
        </w:rPr>
        <w:t>unfavorable</w:t>
      </w:r>
      <w:proofErr w:type="spellEnd"/>
      <w:r w:rsidRPr="2141CCC2">
        <w:rPr>
          <w:rFonts w:ascii="Times New Roman" w:eastAsia="Times New Roman" w:hAnsi="Times New Roman" w:cs="Times New Roman"/>
        </w:rPr>
        <w:t xml:space="preserve"> incidents. </w:t>
      </w:r>
      <w:r w:rsidRPr="2141CCC2">
        <w:rPr>
          <w:rFonts w:ascii="Times New Roman" w:eastAsia="Times New Roman" w:hAnsi="Times New Roman" w:cs="Times New Roman"/>
          <w:i/>
          <w:iCs/>
        </w:rPr>
        <w:t>Journal of marketing</w:t>
      </w:r>
      <w:r w:rsidRPr="2141CCC2">
        <w:rPr>
          <w:rFonts w:ascii="Times New Roman" w:eastAsia="Times New Roman" w:hAnsi="Times New Roman" w:cs="Times New Roman"/>
        </w:rPr>
        <w:t xml:space="preserve">, </w:t>
      </w:r>
      <w:r w:rsidRPr="2141CCC2">
        <w:rPr>
          <w:rFonts w:ascii="Times New Roman" w:eastAsia="Times New Roman" w:hAnsi="Times New Roman" w:cs="Times New Roman"/>
          <w:i/>
          <w:iCs/>
        </w:rPr>
        <w:t>54</w:t>
      </w:r>
      <w:r w:rsidRPr="2141CCC2">
        <w:rPr>
          <w:rFonts w:ascii="Times New Roman" w:eastAsia="Times New Roman" w:hAnsi="Times New Roman" w:cs="Times New Roman"/>
        </w:rPr>
        <w:t>(1), pp.71-84.</w:t>
      </w:r>
      <w:r w:rsidRPr="2141CCC2">
        <w:rPr>
          <w:rFonts w:ascii="Arial" w:eastAsia="Arial" w:hAnsi="Arial" w:cs="Arial"/>
          <w:color w:val="222222"/>
          <w:sz w:val="19"/>
          <w:szCs w:val="19"/>
        </w:rPr>
        <w:t xml:space="preserve"> </w:t>
      </w:r>
    </w:p>
    <w:p w14:paraId="33EA4249" w14:textId="4DCA0F68" w:rsidR="2141CCC2" w:rsidRDefault="2141CCC2" w:rsidP="2141CCC2">
      <w:pPr>
        <w:spacing w:after="0" w:line="360" w:lineRule="auto"/>
        <w:ind w:left="720" w:hanging="720"/>
      </w:pPr>
      <w:r w:rsidRPr="2141CCC2">
        <w:rPr>
          <w:rFonts w:ascii="Arial" w:eastAsia="Arial" w:hAnsi="Arial" w:cs="Arial"/>
          <w:color w:val="222222"/>
          <w:sz w:val="19"/>
          <w:szCs w:val="19"/>
        </w:rPr>
        <w:t xml:space="preserve">Covey, S.R., 2020. </w:t>
      </w:r>
      <w:r w:rsidRPr="2141CCC2">
        <w:rPr>
          <w:rFonts w:ascii="Times New Roman" w:eastAsia="Times New Roman" w:hAnsi="Times New Roman" w:cs="Times New Roman"/>
          <w:i/>
          <w:iCs/>
        </w:rPr>
        <w:t>The 7 habits of highly effective people</w:t>
      </w:r>
      <w:r w:rsidRPr="2141CCC2">
        <w:rPr>
          <w:rFonts w:ascii="Times New Roman" w:eastAsia="Times New Roman" w:hAnsi="Times New Roman" w:cs="Times New Roman"/>
        </w:rPr>
        <w:t>. Simon &amp; Schuster.</w:t>
      </w:r>
      <w:r w:rsidRPr="2141CCC2">
        <w:rPr>
          <w:rFonts w:ascii="Arial" w:eastAsia="Arial" w:hAnsi="Arial" w:cs="Arial"/>
          <w:color w:val="222222"/>
          <w:sz w:val="19"/>
          <w:szCs w:val="19"/>
        </w:rPr>
        <w:t xml:space="preserve"> </w:t>
      </w:r>
    </w:p>
    <w:p w14:paraId="63BA7778" w14:textId="2F010B21" w:rsidR="2141CCC2" w:rsidRDefault="2141CCC2" w:rsidP="2141CCC2">
      <w:pPr>
        <w:spacing w:after="0" w:line="360" w:lineRule="auto"/>
        <w:ind w:left="720" w:hanging="720"/>
      </w:pPr>
      <w:r w:rsidRPr="2141CCC2">
        <w:rPr>
          <w:rFonts w:ascii="Arial" w:eastAsia="Arial" w:hAnsi="Arial" w:cs="Arial"/>
          <w:color w:val="222222"/>
          <w:sz w:val="19"/>
          <w:szCs w:val="19"/>
        </w:rPr>
        <w:t xml:space="preserve">Getz, </w:t>
      </w:r>
      <w:r w:rsidRPr="2141CCC2">
        <w:rPr>
          <w:rFonts w:ascii="Times New Roman" w:eastAsia="Times New Roman" w:hAnsi="Times New Roman" w:cs="Times New Roman"/>
        </w:rPr>
        <w:t xml:space="preserve">D. and Page, S.J., 2019. </w:t>
      </w:r>
      <w:r w:rsidRPr="2141CCC2">
        <w:rPr>
          <w:rFonts w:ascii="Times New Roman" w:eastAsia="Times New Roman" w:hAnsi="Times New Roman" w:cs="Times New Roman"/>
          <w:i/>
          <w:iCs/>
        </w:rPr>
        <w:t>Event studies: Theory, research and policy for planned events</w:t>
      </w:r>
      <w:r w:rsidRPr="2141CCC2">
        <w:rPr>
          <w:rFonts w:ascii="Times New Roman" w:eastAsia="Times New Roman" w:hAnsi="Times New Roman" w:cs="Times New Roman"/>
        </w:rPr>
        <w:t>. Routledge.</w:t>
      </w:r>
      <w:r w:rsidRPr="2141CCC2">
        <w:rPr>
          <w:rFonts w:ascii="Arial" w:eastAsia="Arial" w:hAnsi="Arial" w:cs="Arial"/>
          <w:color w:val="222222"/>
          <w:sz w:val="19"/>
          <w:szCs w:val="19"/>
        </w:rPr>
        <w:t xml:space="preserve"> </w:t>
      </w:r>
    </w:p>
    <w:p w14:paraId="53EB91EC" w14:textId="358A100E" w:rsidR="2141CCC2" w:rsidRDefault="2141CCC2" w:rsidP="2141CCC2">
      <w:pPr>
        <w:spacing w:after="0" w:line="360" w:lineRule="auto"/>
        <w:ind w:left="720" w:hanging="720"/>
      </w:pPr>
      <w:r w:rsidRPr="2141CCC2">
        <w:rPr>
          <w:rFonts w:ascii="Arial" w:eastAsia="Arial" w:hAnsi="Arial" w:cs="Arial"/>
          <w:color w:val="222222"/>
          <w:sz w:val="19"/>
          <w:szCs w:val="19"/>
        </w:rPr>
        <w:t xml:space="preserve">Hayes, D.K. and </w:t>
      </w:r>
      <w:proofErr w:type="spellStart"/>
      <w:r w:rsidRPr="2141CCC2">
        <w:rPr>
          <w:rFonts w:ascii="Times New Roman" w:eastAsia="Times New Roman" w:hAnsi="Times New Roman" w:cs="Times New Roman"/>
        </w:rPr>
        <w:t>Ninemeier</w:t>
      </w:r>
      <w:proofErr w:type="spellEnd"/>
      <w:r w:rsidRPr="2141CCC2">
        <w:rPr>
          <w:rFonts w:ascii="Times New Roman" w:eastAsia="Times New Roman" w:hAnsi="Times New Roman" w:cs="Times New Roman"/>
        </w:rPr>
        <w:t xml:space="preserve">, J.D., 2009. </w:t>
      </w:r>
      <w:r w:rsidRPr="2141CCC2">
        <w:rPr>
          <w:rFonts w:ascii="Times New Roman" w:eastAsia="Times New Roman" w:hAnsi="Times New Roman" w:cs="Times New Roman"/>
          <w:i/>
          <w:iCs/>
        </w:rPr>
        <w:t>Human resources management in the hospitality industry</w:t>
      </w:r>
      <w:r w:rsidRPr="2141CCC2">
        <w:rPr>
          <w:rFonts w:ascii="Times New Roman" w:eastAsia="Times New Roman" w:hAnsi="Times New Roman" w:cs="Times New Roman"/>
        </w:rPr>
        <w:t>. John Wiley &amp; Sons.</w:t>
      </w:r>
      <w:r w:rsidRPr="2141CCC2">
        <w:rPr>
          <w:rFonts w:ascii="Arial" w:eastAsia="Arial" w:hAnsi="Arial" w:cs="Arial"/>
          <w:color w:val="222222"/>
          <w:sz w:val="19"/>
          <w:szCs w:val="19"/>
        </w:rPr>
        <w:t xml:space="preserve"> </w:t>
      </w:r>
    </w:p>
    <w:p w14:paraId="59D22A08" w14:textId="079DFB84" w:rsidR="2141CCC2" w:rsidRDefault="2141CCC2" w:rsidP="2141CCC2">
      <w:pPr>
        <w:spacing w:after="0" w:line="360" w:lineRule="auto"/>
        <w:ind w:left="720" w:hanging="720"/>
      </w:pPr>
      <w:r w:rsidRPr="2141CCC2">
        <w:rPr>
          <w:rFonts w:ascii="Arial" w:eastAsia="Arial" w:hAnsi="Arial" w:cs="Arial"/>
          <w:color w:val="222222"/>
          <w:sz w:val="19"/>
          <w:szCs w:val="19"/>
        </w:rPr>
        <w:t xml:space="preserve">Janz, N.K. and Becker, M.H., 1984. The health belief model: A decade later. </w:t>
      </w:r>
      <w:r w:rsidRPr="2141CCC2">
        <w:rPr>
          <w:rFonts w:ascii="Times New Roman" w:eastAsia="Times New Roman" w:hAnsi="Times New Roman" w:cs="Times New Roman"/>
          <w:i/>
          <w:iCs/>
        </w:rPr>
        <w:t>Health education quarterly</w:t>
      </w:r>
      <w:r w:rsidRPr="2141CCC2">
        <w:rPr>
          <w:rFonts w:ascii="Times New Roman" w:eastAsia="Times New Roman" w:hAnsi="Times New Roman" w:cs="Times New Roman"/>
        </w:rPr>
        <w:t xml:space="preserve">, </w:t>
      </w:r>
      <w:r w:rsidRPr="2141CCC2">
        <w:rPr>
          <w:rFonts w:ascii="Times New Roman" w:eastAsia="Times New Roman" w:hAnsi="Times New Roman" w:cs="Times New Roman"/>
          <w:i/>
          <w:iCs/>
        </w:rPr>
        <w:t>11</w:t>
      </w:r>
      <w:r w:rsidRPr="2141CCC2">
        <w:rPr>
          <w:rFonts w:ascii="Times New Roman" w:eastAsia="Times New Roman" w:hAnsi="Times New Roman" w:cs="Times New Roman"/>
        </w:rPr>
        <w:t>(1), pp.1-47.</w:t>
      </w:r>
      <w:r w:rsidRPr="2141CCC2">
        <w:rPr>
          <w:rFonts w:ascii="Arial" w:eastAsia="Arial" w:hAnsi="Arial" w:cs="Arial"/>
          <w:color w:val="222222"/>
          <w:sz w:val="19"/>
          <w:szCs w:val="19"/>
        </w:rPr>
        <w:t xml:space="preserve"> </w:t>
      </w:r>
    </w:p>
    <w:p w14:paraId="599C224B" w14:textId="6EA0986C" w:rsidR="2141CCC2" w:rsidRDefault="2141CCC2" w:rsidP="2141CCC2">
      <w:pPr>
        <w:spacing w:after="0" w:line="360" w:lineRule="auto"/>
        <w:ind w:left="720" w:hanging="720"/>
      </w:pPr>
      <w:proofErr w:type="spellStart"/>
      <w:r w:rsidRPr="2141CCC2">
        <w:rPr>
          <w:rFonts w:ascii="Times New Roman" w:eastAsia="Times New Roman" w:hAnsi="Times New Roman" w:cs="Times New Roman"/>
        </w:rPr>
        <w:t>Kasavana</w:t>
      </w:r>
      <w:proofErr w:type="spellEnd"/>
      <w:r w:rsidRPr="2141CCC2">
        <w:rPr>
          <w:rFonts w:ascii="Times New Roman" w:eastAsia="Times New Roman" w:hAnsi="Times New Roman" w:cs="Times New Roman"/>
        </w:rPr>
        <w:t xml:space="preserve">, M.L., 2017. </w:t>
      </w:r>
      <w:r w:rsidRPr="2141CCC2">
        <w:rPr>
          <w:rFonts w:ascii="Times New Roman" w:eastAsia="Times New Roman" w:hAnsi="Times New Roman" w:cs="Times New Roman"/>
          <w:i/>
          <w:iCs/>
        </w:rPr>
        <w:t>Managing front office operations</w:t>
      </w:r>
      <w:r w:rsidRPr="2141CCC2">
        <w:rPr>
          <w:rFonts w:ascii="Times New Roman" w:eastAsia="Times New Roman" w:hAnsi="Times New Roman" w:cs="Times New Roman"/>
        </w:rPr>
        <w:t>. American Hotel &amp; Lodging Educational Institute.</w:t>
      </w:r>
      <w:r w:rsidRPr="2141CCC2">
        <w:rPr>
          <w:rFonts w:ascii="Arial" w:eastAsia="Arial" w:hAnsi="Arial" w:cs="Arial"/>
          <w:color w:val="222222"/>
          <w:sz w:val="19"/>
          <w:szCs w:val="19"/>
        </w:rPr>
        <w:t xml:space="preserve"> </w:t>
      </w:r>
    </w:p>
    <w:p w14:paraId="0F17D5C8" w14:textId="4F99AA34" w:rsidR="2141CCC2" w:rsidRDefault="2141CCC2" w:rsidP="2141CCC2">
      <w:pPr>
        <w:spacing w:after="0" w:line="360" w:lineRule="auto"/>
        <w:ind w:left="720" w:hanging="720"/>
      </w:pPr>
      <w:r w:rsidRPr="2141CCC2">
        <w:rPr>
          <w:rFonts w:ascii="Arial" w:eastAsia="Arial" w:hAnsi="Arial" w:cs="Arial"/>
          <w:color w:val="222222"/>
          <w:sz w:val="19"/>
          <w:szCs w:val="19"/>
        </w:rPr>
        <w:t xml:space="preserve">Kim, T.Y., Hon, A.H. and Crant, J.M., 2009. Proactive personality, employee creativity, and newcomer outcomes: A longitudinal study. </w:t>
      </w:r>
      <w:r w:rsidRPr="2141CCC2">
        <w:rPr>
          <w:rFonts w:ascii="Times New Roman" w:eastAsia="Times New Roman" w:hAnsi="Times New Roman" w:cs="Times New Roman"/>
          <w:i/>
          <w:iCs/>
        </w:rPr>
        <w:t>Journal of Business and Psychology</w:t>
      </w:r>
      <w:r w:rsidRPr="2141CCC2">
        <w:rPr>
          <w:rFonts w:ascii="Times New Roman" w:eastAsia="Times New Roman" w:hAnsi="Times New Roman" w:cs="Times New Roman"/>
        </w:rPr>
        <w:t xml:space="preserve">, </w:t>
      </w:r>
      <w:r w:rsidRPr="2141CCC2">
        <w:rPr>
          <w:rFonts w:ascii="Times New Roman" w:eastAsia="Times New Roman" w:hAnsi="Times New Roman" w:cs="Times New Roman"/>
          <w:i/>
          <w:iCs/>
        </w:rPr>
        <w:t>24</w:t>
      </w:r>
      <w:r w:rsidRPr="2141CCC2">
        <w:rPr>
          <w:rFonts w:ascii="Times New Roman" w:eastAsia="Times New Roman" w:hAnsi="Times New Roman" w:cs="Times New Roman"/>
        </w:rPr>
        <w:t>, pp.93-103.</w:t>
      </w:r>
      <w:r w:rsidRPr="2141CCC2">
        <w:rPr>
          <w:rFonts w:ascii="Arial" w:eastAsia="Arial" w:hAnsi="Arial" w:cs="Arial"/>
          <w:color w:val="222222"/>
          <w:sz w:val="19"/>
          <w:szCs w:val="19"/>
        </w:rPr>
        <w:t xml:space="preserve"> </w:t>
      </w:r>
    </w:p>
    <w:p w14:paraId="35217CAC" w14:textId="64349B3E" w:rsidR="2141CCC2" w:rsidRDefault="2141CCC2" w:rsidP="2141CCC2">
      <w:pPr>
        <w:spacing w:after="0" w:line="360" w:lineRule="auto"/>
        <w:ind w:left="720" w:hanging="720"/>
      </w:pPr>
      <w:r w:rsidRPr="2141CCC2">
        <w:rPr>
          <w:rFonts w:ascii="Arial" w:eastAsia="Arial" w:hAnsi="Arial" w:cs="Arial"/>
          <w:color w:val="222222"/>
          <w:sz w:val="19"/>
          <w:szCs w:val="19"/>
        </w:rPr>
        <w:t xml:space="preserve">Parasuraman, A., Zeithaml, V.A. and Berry, L.L., 1985. A conceptual model of service quality and its implications for future research. </w:t>
      </w:r>
      <w:r w:rsidRPr="2141CCC2">
        <w:rPr>
          <w:rFonts w:ascii="Times New Roman" w:eastAsia="Times New Roman" w:hAnsi="Times New Roman" w:cs="Times New Roman"/>
          <w:i/>
          <w:iCs/>
        </w:rPr>
        <w:t>Journal of marketing</w:t>
      </w:r>
      <w:r w:rsidRPr="2141CCC2">
        <w:rPr>
          <w:rFonts w:ascii="Times New Roman" w:eastAsia="Times New Roman" w:hAnsi="Times New Roman" w:cs="Times New Roman"/>
        </w:rPr>
        <w:t xml:space="preserve">, </w:t>
      </w:r>
      <w:r w:rsidRPr="2141CCC2">
        <w:rPr>
          <w:rFonts w:ascii="Times New Roman" w:eastAsia="Times New Roman" w:hAnsi="Times New Roman" w:cs="Times New Roman"/>
          <w:i/>
          <w:iCs/>
        </w:rPr>
        <w:t>49</w:t>
      </w:r>
      <w:r w:rsidRPr="2141CCC2">
        <w:rPr>
          <w:rFonts w:ascii="Times New Roman" w:eastAsia="Times New Roman" w:hAnsi="Times New Roman" w:cs="Times New Roman"/>
        </w:rPr>
        <w:t>(4), pp.41-50.</w:t>
      </w:r>
      <w:r w:rsidRPr="2141CCC2">
        <w:rPr>
          <w:rFonts w:ascii="Arial" w:eastAsia="Arial" w:hAnsi="Arial" w:cs="Arial"/>
          <w:color w:val="222222"/>
          <w:sz w:val="19"/>
          <w:szCs w:val="19"/>
        </w:rPr>
        <w:t xml:space="preserve"> </w:t>
      </w:r>
    </w:p>
    <w:p w14:paraId="4DF2E09C" w14:textId="6E237C17" w:rsidR="2141CCC2" w:rsidRDefault="2141CCC2" w:rsidP="2141CCC2">
      <w:pPr>
        <w:spacing w:after="0" w:line="360" w:lineRule="auto"/>
        <w:ind w:left="720" w:hanging="720"/>
      </w:pPr>
      <w:r w:rsidRPr="2141CCC2">
        <w:rPr>
          <w:rFonts w:ascii="Arial" w:eastAsia="Arial" w:hAnsi="Arial" w:cs="Arial"/>
          <w:color w:val="222222"/>
          <w:sz w:val="19"/>
          <w:szCs w:val="19"/>
        </w:rPr>
        <w:t xml:space="preserve">Robbins, S.P., 2009. </w:t>
      </w:r>
      <w:r w:rsidRPr="2141CCC2">
        <w:rPr>
          <w:rFonts w:ascii="Times New Roman" w:eastAsia="Times New Roman" w:hAnsi="Times New Roman" w:cs="Times New Roman"/>
          <w:i/>
          <w:iCs/>
        </w:rPr>
        <w:t>organisational behaviour in Southern Africa</w:t>
      </w:r>
      <w:r w:rsidRPr="2141CCC2">
        <w:rPr>
          <w:rFonts w:ascii="Times New Roman" w:eastAsia="Times New Roman" w:hAnsi="Times New Roman" w:cs="Times New Roman"/>
        </w:rPr>
        <w:t>. Pearson South Africa.</w:t>
      </w:r>
      <w:r w:rsidRPr="2141CCC2">
        <w:rPr>
          <w:rFonts w:ascii="Arial" w:eastAsia="Arial" w:hAnsi="Arial" w:cs="Arial"/>
          <w:color w:val="222222"/>
          <w:sz w:val="19"/>
          <w:szCs w:val="19"/>
        </w:rPr>
        <w:t xml:space="preserve"> </w:t>
      </w:r>
    </w:p>
    <w:p w14:paraId="2D8EB712" w14:textId="0B6AFF76" w:rsidR="2141CCC2" w:rsidRDefault="2141CCC2" w:rsidP="2141CCC2">
      <w:pPr>
        <w:spacing w:after="0" w:line="360" w:lineRule="auto"/>
        <w:ind w:left="720" w:hanging="720"/>
        <w:rPr>
          <w:rFonts w:ascii="Arial" w:eastAsia="Arial" w:hAnsi="Arial" w:cs="Arial"/>
          <w:color w:val="222222"/>
          <w:sz w:val="19"/>
          <w:szCs w:val="19"/>
        </w:rPr>
      </w:pPr>
      <w:r w:rsidRPr="2141CCC2">
        <w:rPr>
          <w:rFonts w:ascii="Arial" w:eastAsia="Arial" w:hAnsi="Arial" w:cs="Arial"/>
          <w:color w:val="222222"/>
          <w:sz w:val="19"/>
          <w:szCs w:val="19"/>
        </w:rPr>
        <w:t xml:space="preserve">Tuckman, B.W., 2001. Developmental sequence in small groups. </w:t>
      </w:r>
      <w:r w:rsidRPr="2141CCC2">
        <w:rPr>
          <w:rFonts w:ascii="Times New Roman" w:eastAsia="Times New Roman" w:hAnsi="Times New Roman" w:cs="Times New Roman"/>
          <w:i/>
          <w:iCs/>
        </w:rPr>
        <w:t>Group Facilitation</w:t>
      </w:r>
      <w:r w:rsidRPr="2141CCC2">
        <w:rPr>
          <w:rFonts w:ascii="Times New Roman" w:eastAsia="Times New Roman" w:hAnsi="Times New Roman" w:cs="Times New Roman"/>
        </w:rPr>
        <w:t>, (3), p.66.</w:t>
      </w:r>
    </w:p>
    <w:p w14:paraId="3035FD19" w14:textId="06573884" w:rsidR="2141CCC2" w:rsidRDefault="2141CCC2" w:rsidP="2141CCC2">
      <w:pPr>
        <w:spacing w:line="360" w:lineRule="auto"/>
        <w:rPr>
          <w:rFonts w:ascii="Times New Roman" w:eastAsia="Times New Roman" w:hAnsi="Times New Roman" w:cs="Times New Roman"/>
        </w:rPr>
      </w:pPr>
    </w:p>
    <w:sectPr w:rsidR="2141CCC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D37C78"/>
    <w:multiLevelType w:val="hybridMultilevel"/>
    <w:tmpl w:val="98929572"/>
    <w:lvl w:ilvl="0" w:tplc="BD94712A">
      <w:start w:val="1"/>
      <w:numFmt w:val="bullet"/>
      <w:lvlText w:val=""/>
      <w:lvlJc w:val="left"/>
      <w:pPr>
        <w:ind w:left="720" w:hanging="360"/>
      </w:pPr>
      <w:rPr>
        <w:rFonts w:ascii="Symbol" w:hAnsi="Symbol" w:hint="default"/>
      </w:rPr>
    </w:lvl>
    <w:lvl w:ilvl="1" w:tplc="CC0C89A6">
      <w:start w:val="1"/>
      <w:numFmt w:val="bullet"/>
      <w:lvlText w:val="o"/>
      <w:lvlJc w:val="left"/>
      <w:pPr>
        <w:ind w:left="1440" w:hanging="360"/>
      </w:pPr>
      <w:rPr>
        <w:rFonts w:ascii="Courier New" w:hAnsi="Courier New" w:hint="default"/>
      </w:rPr>
    </w:lvl>
    <w:lvl w:ilvl="2" w:tplc="1DF6D2EC">
      <w:start w:val="1"/>
      <w:numFmt w:val="bullet"/>
      <w:lvlText w:val=""/>
      <w:lvlJc w:val="left"/>
      <w:pPr>
        <w:ind w:left="2160" w:hanging="360"/>
      </w:pPr>
      <w:rPr>
        <w:rFonts w:ascii="Wingdings" w:hAnsi="Wingdings" w:hint="default"/>
      </w:rPr>
    </w:lvl>
    <w:lvl w:ilvl="3" w:tplc="51940FEA">
      <w:start w:val="1"/>
      <w:numFmt w:val="bullet"/>
      <w:lvlText w:val=""/>
      <w:lvlJc w:val="left"/>
      <w:pPr>
        <w:ind w:left="2880" w:hanging="360"/>
      </w:pPr>
      <w:rPr>
        <w:rFonts w:ascii="Symbol" w:hAnsi="Symbol" w:hint="default"/>
      </w:rPr>
    </w:lvl>
    <w:lvl w:ilvl="4" w:tplc="C95EB02C">
      <w:start w:val="1"/>
      <w:numFmt w:val="bullet"/>
      <w:lvlText w:val="o"/>
      <w:lvlJc w:val="left"/>
      <w:pPr>
        <w:ind w:left="3600" w:hanging="360"/>
      </w:pPr>
      <w:rPr>
        <w:rFonts w:ascii="Courier New" w:hAnsi="Courier New" w:hint="default"/>
      </w:rPr>
    </w:lvl>
    <w:lvl w:ilvl="5" w:tplc="098CA1DA">
      <w:start w:val="1"/>
      <w:numFmt w:val="bullet"/>
      <w:lvlText w:val=""/>
      <w:lvlJc w:val="left"/>
      <w:pPr>
        <w:ind w:left="4320" w:hanging="360"/>
      </w:pPr>
      <w:rPr>
        <w:rFonts w:ascii="Wingdings" w:hAnsi="Wingdings" w:hint="default"/>
      </w:rPr>
    </w:lvl>
    <w:lvl w:ilvl="6" w:tplc="C6C2796A">
      <w:start w:val="1"/>
      <w:numFmt w:val="bullet"/>
      <w:lvlText w:val=""/>
      <w:lvlJc w:val="left"/>
      <w:pPr>
        <w:ind w:left="5040" w:hanging="360"/>
      </w:pPr>
      <w:rPr>
        <w:rFonts w:ascii="Symbol" w:hAnsi="Symbol" w:hint="default"/>
      </w:rPr>
    </w:lvl>
    <w:lvl w:ilvl="7" w:tplc="43626412">
      <w:start w:val="1"/>
      <w:numFmt w:val="bullet"/>
      <w:lvlText w:val="o"/>
      <w:lvlJc w:val="left"/>
      <w:pPr>
        <w:ind w:left="5760" w:hanging="360"/>
      </w:pPr>
      <w:rPr>
        <w:rFonts w:ascii="Courier New" w:hAnsi="Courier New" w:hint="default"/>
      </w:rPr>
    </w:lvl>
    <w:lvl w:ilvl="8" w:tplc="A266953E">
      <w:start w:val="1"/>
      <w:numFmt w:val="bullet"/>
      <w:lvlText w:val=""/>
      <w:lvlJc w:val="left"/>
      <w:pPr>
        <w:ind w:left="6480" w:hanging="360"/>
      </w:pPr>
      <w:rPr>
        <w:rFonts w:ascii="Wingdings" w:hAnsi="Wingdings" w:hint="default"/>
      </w:rPr>
    </w:lvl>
  </w:abstractNum>
  <w:num w:numId="1" w16cid:durableId="1053431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EF4F20"/>
    <w:rsid w:val="00B00908"/>
    <w:rsid w:val="19D46503"/>
    <w:rsid w:val="2141CCC2"/>
    <w:rsid w:val="2FEF4F20"/>
    <w:rsid w:val="48449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46503"/>
  <w15:chartTrackingRefBased/>
  <w15:docId w15:val="{EB764123-1A04-4E0D-8C9A-E692B0AD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1461</Words>
  <Characters>8601</Characters>
  <Application>Microsoft Office Word</Application>
  <DocSecurity>0</DocSecurity>
  <Lines>138</Lines>
  <Paragraphs>26</Paragraphs>
  <ScaleCrop>false</ScaleCrop>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dc:creator>
  <cp:keywords/>
  <dc:description/>
  <cp:lastModifiedBy>Sorina Barbu (2108671)</cp:lastModifiedBy>
  <cp:revision>2</cp:revision>
  <dcterms:created xsi:type="dcterms:W3CDTF">2024-02-19T14:19:00Z</dcterms:created>
  <dcterms:modified xsi:type="dcterms:W3CDTF">2024-02-19T14:19:00Z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8f2c8210127da38d1bfaa17bf2096d3ec253516e0bc3450f268ad27d5b736bbb</vt:lpwstr>
  </property>
</Properties>
</file>