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eastAsia="zh-CN"/>
          <w14:ligatures w14:val="standardContextual"/>
        </w:rPr>
        <w:id w:val="-739703287"/>
        <w:docPartObj>
          <w:docPartGallery w:val="Cover Pages"/>
          <w:docPartUnique/>
        </w:docPartObj>
      </w:sdtPr>
      <w:sdtEndPr>
        <w:rPr>
          <w:color w:val="auto"/>
        </w:rPr>
      </w:sdtEndPr>
      <w:sdtContent>
        <w:p w14:paraId="326C0913" w14:textId="676D5F7E" w:rsidR="003E64A7" w:rsidRDefault="003E64A7">
          <w:pPr>
            <w:pStyle w:val="NoSpacing"/>
            <w:spacing w:before="1540" w:after="240"/>
            <w:jc w:val="center"/>
            <w:rPr>
              <w:color w:val="156082" w:themeColor="accent1"/>
            </w:rPr>
          </w:pPr>
          <w:r>
            <w:rPr>
              <w:noProof/>
              <w:color w:val="156082" w:themeColor="accent1"/>
            </w:rPr>
            <w:drawing>
              <wp:inline distT="0" distB="0" distL="0" distR="0" wp14:anchorId="53C2EDC6" wp14:editId="7828B5D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510E57520A3E477B94FFD137C13AEDF3"/>
            </w:placeholder>
            <w:dataBinding w:prefixMappings="xmlns:ns0='http://purl.org/dc/elements/1.1/' xmlns:ns1='http://schemas.openxmlformats.org/package/2006/metadata/core-properties' " w:xpath="/ns1:coreProperties[1]/ns0:title[1]" w:storeItemID="{6C3C8BC8-F283-45AE-878A-BAB7291924A1}"/>
            <w:text/>
          </w:sdtPr>
          <w:sdtContent>
            <w:p w14:paraId="75A4F03F" w14:textId="4F2DB0A0" w:rsidR="003E64A7" w:rsidRDefault="003E64A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3E64A7">
                <w:rPr>
                  <w:rFonts w:asciiTheme="majorHAnsi" w:eastAsiaTheme="majorEastAsia" w:hAnsiTheme="majorHAnsi" w:cstheme="majorBidi"/>
                  <w:caps/>
                  <w:color w:val="156082" w:themeColor="accent1"/>
                  <w:sz w:val="72"/>
                  <w:szCs w:val="72"/>
                </w:rPr>
                <w:t>Building the AI-Powered Organisation</w:t>
              </w:r>
            </w:p>
          </w:sdtContent>
        </w:sdt>
        <w:sdt>
          <w:sdtPr>
            <w:rPr>
              <w:color w:val="156082" w:themeColor="accent1"/>
              <w:sz w:val="28"/>
              <w:szCs w:val="28"/>
            </w:rPr>
            <w:alias w:val="Subtitle"/>
            <w:tag w:val=""/>
            <w:id w:val="328029620"/>
            <w:placeholder>
              <w:docPart w:val="46FF58B900DE42938E7F9902A91038C7"/>
            </w:placeholder>
            <w:dataBinding w:prefixMappings="xmlns:ns0='http://purl.org/dc/elements/1.1/' xmlns:ns1='http://schemas.openxmlformats.org/package/2006/metadata/core-properties' " w:xpath="/ns1:coreProperties[1]/ns0:subject[1]" w:storeItemID="{6C3C8BC8-F283-45AE-878A-BAB7291924A1}"/>
            <w:text/>
          </w:sdtPr>
          <w:sdtContent>
            <w:p w14:paraId="53A192A1" w14:textId="359D203A" w:rsidR="003E64A7" w:rsidRDefault="003E64A7">
              <w:pPr>
                <w:pStyle w:val="NoSpacing"/>
                <w:jc w:val="center"/>
                <w:rPr>
                  <w:color w:val="156082" w:themeColor="accent1"/>
                  <w:sz w:val="28"/>
                  <w:szCs w:val="28"/>
                </w:rPr>
              </w:pPr>
              <w:r>
                <w:rPr>
                  <w:color w:val="156082" w:themeColor="accent1"/>
                  <w:sz w:val="28"/>
                  <w:szCs w:val="28"/>
                </w:rPr>
                <w:t>Daniel Payne - 180352</w:t>
              </w:r>
              <w:r w:rsidR="00903400">
                <w:rPr>
                  <w:color w:val="156082" w:themeColor="accent1"/>
                  <w:sz w:val="28"/>
                  <w:szCs w:val="28"/>
                </w:rPr>
                <w:t>5</w:t>
              </w:r>
            </w:p>
          </w:sdtContent>
        </w:sdt>
        <w:p w14:paraId="7882FA22" w14:textId="1E9598EC" w:rsidR="003E64A7" w:rsidRDefault="003E64A7">
          <w:pPr>
            <w:pStyle w:val="NoSpacing"/>
            <w:spacing w:before="480"/>
            <w:jc w:val="center"/>
            <w:rPr>
              <w:color w:val="156082" w:themeColor="accent1"/>
            </w:rPr>
          </w:pPr>
          <w:r>
            <w:rPr>
              <w:noProof/>
              <w:color w:val="156082" w:themeColor="accent1"/>
            </w:rPr>
            <w:drawing>
              <wp:inline distT="0" distB="0" distL="0" distR="0" wp14:anchorId="7B377BA3" wp14:editId="6C184A4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E3CE6E" w14:textId="5CE9BCB9" w:rsidR="003E64A7" w:rsidRDefault="003E64A7">
          <w:r>
            <w:br w:type="page"/>
          </w:r>
        </w:p>
      </w:sdtContent>
    </w:sdt>
    <w:p w14:paraId="7CFCDFB1" w14:textId="6C355599" w:rsidR="003E64A7" w:rsidRPr="003E64A7" w:rsidRDefault="003E64A7" w:rsidP="00D55712">
      <w:pPr>
        <w:pStyle w:val="Heading1"/>
      </w:pPr>
      <w:bookmarkStart w:id="0" w:name="_Toc227913429"/>
      <w:r w:rsidRPr="003E64A7">
        <w:lastRenderedPageBreak/>
        <w:t>1. Executive Summary</w:t>
      </w:r>
      <w:bookmarkEnd w:id="0"/>
    </w:p>
    <w:p w14:paraId="0C1E84A3" w14:textId="31BC91F0" w:rsidR="003E64A7" w:rsidRPr="003E64A7" w:rsidRDefault="003E64A7" w:rsidP="003E64A7">
      <w:pPr>
        <w:spacing w:line="480" w:lineRule="auto"/>
        <w:rPr>
          <w:rFonts w:asciiTheme="minorBidi" w:hAnsiTheme="minorBidi"/>
        </w:rPr>
      </w:pPr>
      <w:r w:rsidRPr="003E64A7">
        <w:rPr>
          <w:rFonts w:asciiTheme="minorBidi" w:hAnsiTheme="minorBidi"/>
        </w:rPr>
        <w:t>This report presents a strategic workforce plan to support an AI</w:t>
      </w:r>
      <w:r w:rsidR="00B52F98">
        <w:rPr>
          <w:rFonts w:asciiTheme="minorBidi" w:hAnsiTheme="minorBidi"/>
        </w:rPr>
        <w:t xml:space="preserve"> powered</w:t>
      </w:r>
      <w:r w:rsidRPr="003E64A7">
        <w:rPr>
          <w:rFonts w:asciiTheme="minorBidi" w:hAnsiTheme="minorBidi"/>
        </w:rPr>
        <w:t xml:space="preserve"> Accor, prioritising HR-led governance, leadership capability building, job redesign</w:t>
      </w:r>
      <w:r w:rsidR="00A351C1">
        <w:rPr>
          <w:rFonts w:asciiTheme="minorBidi" w:hAnsiTheme="minorBidi"/>
        </w:rPr>
        <w:t>,</w:t>
      </w:r>
      <w:r w:rsidRPr="003E64A7">
        <w:rPr>
          <w:rFonts w:asciiTheme="minorBidi" w:hAnsiTheme="minorBidi"/>
        </w:rPr>
        <w:t xml:space="preserve"> workforce planning, and ethical AI with employee voice rather than technology deployment. It evaluates how HR and leaders can build the capability and trust required for responsible adoption that strengthens service quality, employee experience, and long-term organisational capability across Accor’s multi-brand operations (CIPD, 2023; CIPD, 2025a; UK Government, 2025a; OECD, 2019).</w:t>
      </w:r>
    </w:p>
    <w:p w14:paraId="09D31418" w14:textId="0D88200D" w:rsidR="003E64A7" w:rsidRPr="003E64A7" w:rsidRDefault="003E64A7" w:rsidP="00033590">
      <w:pPr>
        <w:spacing w:line="480" w:lineRule="auto"/>
        <w:rPr>
          <w:rFonts w:asciiTheme="minorBidi" w:hAnsiTheme="minorBidi"/>
        </w:rPr>
      </w:pPr>
      <w:r w:rsidRPr="003E64A7">
        <w:rPr>
          <w:rFonts w:asciiTheme="minorBidi" w:hAnsiTheme="minorBidi"/>
        </w:rPr>
        <w:t>Accor faces four interdependent workforce and leadership challenges. First, a frontline-heavy workforce delivers value through judgement, emotional labour, and service recovery</w:t>
      </w:r>
      <w:r w:rsidR="00A351C1">
        <w:rPr>
          <w:rFonts w:asciiTheme="minorBidi" w:hAnsiTheme="minorBidi"/>
        </w:rPr>
        <w:t>. W</w:t>
      </w:r>
      <w:r w:rsidRPr="003E64A7">
        <w:rPr>
          <w:rFonts w:asciiTheme="minorBidi" w:hAnsiTheme="minorBidi"/>
        </w:rPr>
        <w:t>ithout HR-led job redesign, digitally supported decision systems risk work intensification and deskilling, undermining guest experience and capability pipelines (Hackman and Oldham, 1980; Parker, 2014; Edmondson and Chamorro-</w:t>
      </w:r>
      <w:proofErr w:type="spellStart"/>
      <w:r w:rsidRPr="003E64A7">
        <w:rPr>
          <w:rFonts w:asciiTheme="minorBidi" w:hAnsiTheme="minorBidi"/>
        </w:rPr>
        <w:t>Premuzic</w:t>
      </w:r>
      <w:proofErr w:type="spellEnd"/>
      <w:r w:rsidRPr="003E64A7">
        <w:rPr>
          <w:rFonts w:asciiTheme="minorBidi" w:hAnsiTheme="minorBidi"/>
        </w:rPr>
        <w:t xml:space="preserve">, 2026). Second, leadership capability gaps may weaken trust if AI is framed as efficiency-first rather than </w:t>
      </w:r>
      <w:r w:rsidR="007D2DEC" w:rsidRPr="003E64A7">
        <w:rPr>
          <w:rFonts w:asciiTheme="minorBidi" w:hAnsiTheme="minorBidi"/>
        </w:rPr>
        <w:t>growth</w:t>
      </w:r>
      <w:r w:rsidRPr="003E64A7">
        <w:rPr>
          <w:rFonts w:asciiTheme="minorBidi" w:hAnsiTheme="minorBidi"/>
        </w:rPr>
        <w:t xml:space="preserve">, increasing resistance and disengagement (Bass and Riggio, 2006; </w:t>
      </w:r>
      <w:proofErr w:type="spellStart"/>
      <w:r w:rsidRPr="003E64A7">
        <w:rPr>
          <w:rFonts w:asciiTheme="minorBidi" w:hAnsiTheme="minorBidi"/>
        </w:rPr>
        <w:t>Puntoni</w:t>
      </w:r>
      <w:proofErr w:type="spellEnd"/>
      <w:r w:rsidRPr="003E64A7">
        <w:rPr>
          <w:rFonts w:asciiTheme="minorBidi" w:hAnsiTheme="minorBidi"/>
        </w:rPr>
        <w:t xml:space="preserve"> et al., 2026). </w:t>
      </w:r>
      <w:r w:rsidR="00033590" w:rsidRPr="00033590">
        <w:rPr>
          <w:rFonts w:asciiTheme="minorBidi" w:hAnsiTheme="minorBidi"/>
        </w:rPr>
        <w:t xml:space="preserve">Third, staff shortages and high turnover leave managers with less time and capacity to lead change effectively, increasing the risk of poor implementation and wasted investment. </w:t>
      </w:r>
      <w:r w:rsidRPr="003E64A7">
        <w:rPr>
          <w:rFonts w:asciiTheme="minorBidi" w:hAnsiTheme="minorBidi"/>
        </w:rPr>
        <w:t xml:space="preserve">(CIPD, 2024; </w:t>
      </w:r>
      <w:proofErr w:type="spellStart"/>
      <w:r w:rsidRPr="003E64A7">
        <w:rPr>
          <w:rFonts w:asciiTheme="minorBidi" w:hAnsiTheme="minorBidi"/>
        </w:rPr>
        <w:t>UKHospitality</w:t>
      </w:r>
      <w:proofErr w:type="spellEnd"/>
      <w:r w:rsidRPr="003E64A7">
        <w:rPr>
          <w:rFonts w:asciiTheme="minorBidi" w:hAnsiTheme="minorBidi"/>
        </w:rPr>
        <w:t xml:space="preserve">, 2023; </w:t>
      </w:r>
      <w:r w:rsidR="003265C0">
        <w:rPr>
          <w:rFonts w:asciiTheme="minorBidi" w:hAnsiTheme="minorBidi"/>
        </w:rPr>
        <w:t>Economic Insight</w:t>
      </w:r>
      <w:r w:rsidRPr="003E64A7">
        <w:rPr>
          <w:rFonts w:asciiTheme="minorBidi" w:hAnsiTheme="minorBidi"/>
        </w:rPr>
        <w:t>, 2019). Fourth, ethical and regulatory exposure</w:t>
      </w:r>
      <w:r w:rsidR="00D55712">
        <w:rPr>
          <w:rFonts w:asciiTheme="minorBidi" w:hAnsiTheme="minorBidi"/>
        </w:rPr>
        <w:t xml:space="preserve">, </w:t>
      </w:r>
      <w:r w:rsidRPr="003E64A7">
        <w:rPr>
          <w:rFonts w:asciiTheme="minorBidi" w:hAnsiTheme="minorBidi"/>
        </w:rPr>
        <w:t>including bias and perceived surveillance</w:t>
      </w:r>
      <w:r w:rsidR="00D55712">
        <w:rPr>
          <w:rFonts w:asciiTheme="minorBidi" w:hAnsiTheme="minorBidi"/>
        </w:rPr>
        <w:t xml:space="preserve">, </w:t>
      </w:r>
      <w:r w:rsidRPr="003E64A7">
        <w:rPr>
          <w:rFonts w:asciiTheme="minorBidi" w:hAnsiTheme="minorBidi"/>
        </w:rPr>
        <w:t>requires formal governance, transparency, and employee voice as regulatory expectations mature (Lewis Silkin, 2025a; Equality Act 2010; EU, 2024; ICO, 2020; EHRC, 2022).</w:t>
      </w:r>
    </w:p>
    <w:p w14:paraId="1A8267A7" w14:textId="77777777" w:rsidR="00B52F98" w:rsidRDefault="003E64A7" w:rsidP="003E64A7">
      <w:pPr>
        <w:spacing w:line="480" w:lineRule="auto"/>
        <w:rPr>
          <w:rFonts w:asciiTheme="minorBidi" w:hAnsiTheme="minorBidi"/>
        </w:rPr>
      </w:pPr>
      <w:r w:rsidRPr="003E64A7">
        <w:rPr>
          <w:rFonts w:asciiTheme="minorBidi" w:hAnsiTheme="minorBidi"/>
        </w:rPr>
        <w:t xml:space="preserve">The report recommends three board-level HR leadership interventions: (1) HR-led Responsible AI Governance &amp; Policy, (2) a Role-Based AI Capability Academy, and (3) Job and Workflow Redesign in priority service journeys. </w:t>
      </w:r>
    </w:p>
    <w:p w14:paraId="55B229B8" w14:textId="614B22C9" w:rsidR="003E64A7" w:rsidRDefault="003E64A7" w:rsidP="003E64A7">
      <w:pPr>
        <w:spacing w:line="480" w:lineRule="auto"/>
        <w:rPr>
          <w:rFonts w:asciiTheme="minorBidi" w:hAnsiTheme="minorBidi"/>
        </w:rPr>
      </w:pPr>
      <w:r w:rsidRPr="003E64A7">
        <w:rPr>
          <w:rFonts w:asciiTheme="minorBidi" w:hAnsiTheme="minorBidi"/>
        </w:rPr>
        <w:t>Success will be measured through workforce outcomes (engagement, turnover, absence), operational outcomes (time-to-competence; manager coaching time), and customer outcomes (guest satisfaction, complaints, and N</w:t>
      </w:r>
      <w:r w:rsidR="006A7A1D">
        <w:rPr>
          <w:rFonts w:asciiTheme="minorBidi" w:hAnsiTheme="minorBidi"/>
        </w:rPr>
        <w:t xml:space="preserve">et </w:t>
      </w:r>
      <w:r w:rsidRPr="003E64A7">
        <w:rPr>
          <w:rFonts w:asciiTheme="minorBidi" w:hAnsiTheme="minorBidi"/>
        </w:rPr>
        <w:t>P</w:t>
      </w:r>
      <w:r w:rsidR="006A7A1D">
        <w:rPr>
          <w:rFonts w:asciiTheme="minorBidi" w:hAnsiTheme="minorBidi"/>
        </w:rPr>
        <w:t>romoter Score</w:t>
      </w:r>
      <w:r w:rsidRPr="003E64A7">
        <w:rPr>
          <w:rFonts w:asciiTheme="minorBidi" w:hAnsiTheme="minorBidi"/>
        </w:rPr>
        <w:t xml:space="preserve">) (Kahn, 1990; Gallino and </w:t>
      </w:r>
      <w:proofErr w:type="spellStart"/>
      <w:r w:rsidRPr="003E64A7">
        <w:rPr>
          <w:rFonts w:asciiTheme="minorBidi" w:hAnsiTheme="minorBidi"/>
        </w:rPr>
        <w:t>Apaolaza</w:t>
      </w:r>
      <w:proofErr w:type="spellEnd"/>
      <w:r w:rsidRPr="003E64A7">
        <w:rPr>
          <w:rFonts w:asciiTheme="minorBidi" w:hAnsiTheme="minorBidi"/>
        </w:rPr>
        <w:t>, 2026).</w:t>
      </w:r>
    </w:p>
    <w:p w14:paraId="6213F308" w14:textId="77777777" w:rsidR="00D55712" w:rsidRDefault="00D55712" w:rsidP="003E64A7">
      <w:pPr>
        <w:spacing w:line="480" w:lineRule="auto"/>
        <w:rPr>
          <w:rFonts w:asciiTheme="minorBidi" w:hAnsiTheme="minorBidi"/>
        </w:rPr>
      </w:pPr>
    </w:p>
    <w:p w14:paraId="131BBE83" w14:textId="77777777" w:rsidR="00D55712" w:rsidRDefault="00D55712" w:rsidP="003E64A7">
      <w:pPr>
        <w:spacing w:line="480" w:lineRule="auto"/>
        <w:rPr>
          <w:rFonts w:asciiTheme="minorBidi" w:hAnsiTheme="minorBidi"/>
        </w:rPr>
      </w:pPr>
    </w:p>
    <w:p w14:paraId="018B8091" w14:textId="77777777" w:rsidR="00D55712" w:rsidRDefault="00D55712" w:rsidP="003E64A7">
      <w:pPr>
        <w:spacing w:line="480" w:lineRule="auto"/>
        <w:rPr>
          <w:rFonts w:asciiTheme="minorBidi" w:hAnsiTheme="minorBidi"/>
        </w:rPr>
      </w:pPr>
    </w:p>
    <w:p w14:paraId="45B10E32" w14:textId="77777777" w:rsidR="00D55712" w:rsidRDefault="00D55712" w:rsidP="003E64A7">
      <w:pPr>
        <w:spacing w:line="480" w:lineRule="auto"/>
        <w:rPr>
          <w:rFonts w:asciiTheme="minorBidi" w:hAnsiTheme="minorBidi"/>
        </w:rPr>
      </w:pPr>
    </w:p>
    <w:p w14:paraId="59116011" w14:textId="77777777" w:rsidR="00D55712" w:rsidRDefault="00D55712" w:rsidP="003E64A7">
      <w:pPr>
        <w:spacing w:line="480" w:lineRule="auto"/>
        <w:rPr>
          <w:rFonts w:asciiTheme="minorBidi" w:hAnsiTheme="minorBidi"/>
        </w:rPr>
      </w:pPr>
    </w:p>
    <w:p w14:paraId="1D86FF85" w14:textId="77777777" w:rsidR="00D55712" w:rsidRDefault="00D55712" w:rsidP="003E64A7">
      <w:pPr>
        <w:spacing w:line="480" w:lineRule="auto"/>
        <w:rPr>
          <w:rFonts w:asciiTheme="minorBidi" w:hAnsiTheme="minorBidi"/>
        </w:rPr>
      </w:pPr>
    </w:p>
    <w:p w14:paraId="6C4EC1D3" w14:textId="77777777" w:rsidR="00D55712" w:rsidRDefault="00D55712" w:rsidP="003E64A7">
      <w:pPr>
        <w:spacing w:line="480" w:lineRule="auto"/>
        <w:rPr>
          <w:rFonts w:asciiTheme="minorBidi" w:hAnsiTheme="minorBidi"/>
        </w:rPr>
      </w:pPr>
    </w:p>
    <w:p w14:paraId="440A7642" w14:textId="77777777" w:rsidR="00D55712" w:rsidRDefault="00D55712" w:rsidP="003E64A7">
      <w:pPr>
        <w:spacing w:line="480" w:lineRule="auto"/>
        <w:rPr>
          <w:rFonts w:asciiTheme="minorBidi" w:hAnsiTheme="minorBidi"/>
        </w:rPr>
      </w:pPr>
    </w:p>
    <w:p w14:paraId="02025067" w14:textId="77777777" w:rsidR="00D55712" w:rsidRDefault="00D55712" w:rsidP="003E64A7">
      <w:pPr>
        <w:spacing w:line="480" w:lineRule="auto"/>
        <w:rPr>
          <w:rFonts w:asciiTheme="minorBidi" w:hAnsiTheme="minorBidi"/>
        </w:rPr>
      </w:pPr>
    </w:p>
    <w:p w14:paraId="1B42E222" w14:textId="77777777" w:rsidR="00D55712" w:rsidRDefault="00D55712" w:rsidP="003E64A7">
      <w:pPr>
        <w:spacing w:line="480" w:lineRule="auto"/>
        <w:rPr>
          <w:rFonts w:asciiTheme="minorBidi" w:hAnsiTheme="minorBidi"/>
        </w:rPr>
      </w:pPr>
    </w:p>
    <w:p w14:paraId="7EFF9B32" w14:textId="77777777" w:rsidR="00D55712" w:rsidRDefault="00D55712" w:rsidP="003E64A7">
      <w:pPr>
        <w:spacing w:line="480" w:lineRule="auto"/>
        <w:rPr>
          <w:rFonts w:asciiTheme="minorBidi" w:hAnsiTheme="minorBidi"/>
        </w:rPr>
      </w:pPr>
    </w:p>
    <w:p w14:paraId="0D99DE50" w14:textId="77777777" w:rsidR="00D55712" w:rsidRDefault="00D55712" w:rsidP="003E64A7">
      <w:pPr>
        <w:spacing w:line="480" w:lineRule="auto"/>
        <w:rPr>
          <w:rFonts w:asciiTheme="minorBidi" w:hAnsiTheme="minorBidi"/>
        </w:rPr>
      </w:pPr>
    </w:p>
    <w:p w14:paraId="060E5C63" w14:textId="77777777" w:rsidR="00D55712" w:rsidRDefault="00D55712" w:rsidP="003E64A7">
      <w:pPr>
        <w:spacing w:line="480" w:lineRule="auto"/>
        <w:rPr>
          <w:rFonts w:asciiTheme="minorBidi" w:hAnsiTheme="minorBidi"/>
        </w:rPr>
      </w:pPr>
    </w:p>
    <w:p w14:paraId="088A2E88" w14:textId="77777777" w:rsidR="00D55712" w:rsidRDefault="00D55712" w:rsidP="003E64A7">
      <w:pPr>
        <w:spacing w:line="480" w:lineRule="auto"/>
        <w:rPr>
          <w:rFonts w:asciiTheme="minorBidi" w:hAnsiTheme="minorBidi"/>
        </w:rPr>
      </w:pPr>
    </w:p>
    <w:p w14:paraId="67772A9A" w14:textId="77777777" w:rsidR="00D55712" w:rsidRDefault="00D55712" w:rsidP="003E64A7">
      <w:pPr>
        <w:spacing w:line="480" w:lineRule="auto"/>
        <w:rPr>
          <w:rFonts w:asciiTheme="minorBidi" w:hAnsiTheme="minorBidi"/>
        </w:rPr>
      </w:pPr>
    </w:p>
    <w:p w14:paraId="5C7E9B15" w14:textId="77777777" w:rsidR="00D55712" w:rsidRDefault="00D55712" w:rsidP="003E64A7">
      <w:pPr>
        <w:spacing w:line="480" w:lineRule="auto"/>
        <w:rPr>
          <w:rFonts w:asciiTheme="minorBidi" w:hAnsiTheme="minorBidi"/>
        </w:rPr>
      </w:pPr>
    </w:p>
    <w:sdt>
      <w:sdtPr>
        <w:rPr>
          <w:rFonts w:asciiTheme="minorHAnsi" w:eastAsiaTheme="minorEastAsia" w:hAnsiTheme="minorHAnsi" w:cstheme="minorBidi"/>
          <w:color w:val="auto"/>
          <w:kern w:val="2"/>
          <w:sz w:val="24"/>
          <w:szCs w:val="24"/>
          <w:lang w:val="en-GB" w:eastAsia="zh-CN"/>
          <w14:ligatures w14:val="standardContextual"/>
        </w:rPr>
        <w:id w:val="-1275944286"/>
        <w:docPartObj>
          <w:docPartGallery w:val="Table of Contents"/>
          <w:docPartUnique/>
        </w:docPartObj>
      </w:sdtPr>
      <w:sdtEndPr>
        <w:rPr>
          <w:b/>
          <w:bCs/>
          <w:noProof/>
        </w:rPr>
      </w:sdtEndPr>
      <w:sdtContent>
        <w:p w14:paraId="059B99D5" w14:textId="6AAF165A" w:rsidR="00D55712" w:rsidRDefault="00D55712">
          <w:pPr>
            <w:pStyle w:val="TOCHeading"/>
          </w:pPr>
          <w:r>
            <w:t>Contents</w:t>
          </w:r>
        </w:p>
        <w:p w14:paraId="3F4560B9" w14:textId="46F44FF3" w:rsidR="00F46B88" w:rsidRDefault="00D55712">
          <w:pPr>
            <w:pStyle w:val="TOC1"/>
            <w:tabs>
              <w:tab w:val="right" w:leader="dot" w:pos="9016"/>
            </w:tabs>
            <w:rPr>
              <w:noProof/>
            </w:rPr>
          </w:pPr>
          <w:r>
            <w:fldChar w:fldCharType="begin"/>
          </w:r>
          <w:r>
            <w:instrText xml:space="preserve"> TOC \o "1-3" \h \z \u </w:instrText>
          </w:r>
          <w:r>
            <w:fldChar w:fldCharType="separate"/>
          </w:r>
          <w:hyperlink w:anchor="_Toc227913429" w:history="1">
            <w:r w:rsidR="00F46B88" w:rsidRPr="00A6616B">
              <w:rPr>
                <w:rStyle w:val="Hyperlink"/>
                <w:noProof/>
              </w:rPr>
              <w:t>1. Executive Summary</w:t>
            </w:r>
            <w:r w:rsidR="00F46B88">
              <w:rPr>
                <w:noProof/>
                <w:webHidden/>
              </w:rPr>
              <w:tab/>
            </w:r>
            <w:r w:rsidR="00F46B88">
              <w:rPr>
                <w:noProof/>
                <w:webHidden/>
              </w:rPr>
              <w:fldChar w:fldCharType="begin"/>
            </w:r>
            <w:r w:rsidR="00F46B88">
              <w:rPr>
                <w:noProof/>
                <w:webHidden/>
              </w:rPr>
              <w:instrText xml:space="preserve"> PAGEREF _Toc227913429 \h </w:instrText>
            </w:r>
            <w:r w:rsidR="00F46B88">
              <w:rPr>
                <w:noProof/>
                <w:webHidden/>
              </w:rPr>
            </w:r>
            <w:r w:rsidR="00F46B88">
              <w:rPr>
                <w:noProof/>
                <w:webHidden/>
              </w:rPr>
              <w:fldChar w:fldCharType="separate"/>
            </w:r>
            <w:r w:rsidR="00670CE0">
              <w:rPr>
                <w:noProof/>
                <w:webHidden/>
              </w:rPr>
              <w:t>1</w:t>
            </w:r>
            <w:r w:rsidR="00F46B88">
              <w:rPr>
                <w:noProof/>
                <w:webHidden/>
              </w:rPr>
              <w:fldChar w:fldCharType="end"/>
            </w:r>
          </w:hyperlink>
        </w:p>
        <w:p w14:paraId="639C5FDD" w14:textId="4EC167C3" w:rsidR="00F46B88" w:rsidRDefault="00F46B88">
          <w:pPr>
            <w:pStyle w:val="TOC1"/>
            <w:tabs>
              <w:tab w:val="right" w:leader="dot" w:pos="9016"/>
            </w:tabs>
            <w:rPr>
              <w:noProof/>
            </w:rPr>
          </w:pPr>
          <w:hyperlink w:anchor="_Toc227913430" w:history="1">
            <w:r w:rsidRPr="00A6616B">
              <w:rPr>
                <w:rStyle w:val="Hyperlink"/>
                <w:noProof/>
              </w:rPr>
              <w:t>2. Introduction and Scope</w:t>
            </w:r>
            <w:r>
              <w:rPr>
                <w:noProof/>
                <w:webHidden/>
              </w:rPr>
              <w:tab/>
            </w:r>
            <w:r>
              <w:rPr>
                <w:noProof/>
                <w:webHidden/>
              </w:rPr>
              <w:fldChar w:fldCharType="begin"/>
            </w:r>
            <w:r>
              <w:rPr>
                <w:noProof/>
                <w:webHidden/>
              </w:rPr>
              <w:instrText xml:space="preserve"> PAGEREF _Toc227913430 \h </w:instrText>
            </w:r>
            <w:r>
              <w:rPr>
                <w:noProof/>
                <w:webHidden/>
              </w:rPr>
            </w:r>
            <w:r>
              <w:rPr>
                <w:noProof/>
                <w:webHidden/>
              </w:rPr>
              <w:fldChar w:fldCharType="separate"/>
            </w:r>
            <w:r w:rsidR="00670CE0">
              <w:rPr>
                <w:noProof/>
                <w:webHidden/>
              </w:rPr>
              <w:t>4</w:t>
            </w:r>
            <w:r>
              <w:rPr>
                <w:noProof/>
                <w:webHidden/>
              </w:rPr>
              <w:fldChar w:fldCharType="end"/>
            </w:r>
          </w:hyperlink>
        </w:p>
        <w:p w14:paraId="01168625" w14:textId="325632FC" w:rsidR="00F46B88" w:rsidRDefault="00F46B88">
          <w:pPr>
            <w:pStyle w:val="TOC2"/>
            <w:tabs>
              <w:tab w:val="right" w:leader="dot" w:pos="9016"/>
            </w:tabs>
            <w:rPr>
              <w:noProof/>
            </w:rPr>
          </w:pPr>
          <w:hyperlink w:anchor="_Toc227913431" w:history="1">
            <w:r w:rsidRPr="00A6616B">
              <w:rPr>
                <w:rStyle w:val="Hyperlink"/>
                <w:noProof/>
              </w:rPr>
              <w:t>2.1 Organisation and workforce context</w:t>
            </w:r>
            <w:r>
              <w:rPr>
                <w:noProof/>
                <w:webHidden/>
              </w:rPr>
              <w:tab/>
            </w:r>
            <w:r>
              <w:rPr>
                <w:noProof/>
                <w:webHidden/>
              </w:rPr>
              <w:fldChar w:fldCharType="begin"/>
            </w:r>
            <w:r>
              <w:rPr>
                <w:noProof/>
                <w:webHidden/>
              </w:rPr>
              <w:instrText xml:space="preserve"> PAGEREF _Toc227913431 \h </w:instrText>
            </w:r>
            <w:r>
              <w:rPr>
                <w:noProof/>
                <w:webHidden/>
              </w:rPr>
            </w:r>
            <w:r>
              <w:rPr>
                <w:noProof/>
                <w:webHidden/>
              </w:rPr>
              <w:fldChar w:fldCharType="separate"/>
            </w:r>
            <w:r w:rsidR="00670CE0">
              <w:rPr>
                <w:noProof/>
                <w:webHidden/>
              </w:rPr>
              <w:t>4</w:t>
            </w:r>
            <w:r>
              <w:rPr>
                <w:noProof/>
                <w:webHidden/>
              </w:rPr>
              <w:fldChar w:fldCharType="end"/>
            </w:r>
          </w:hyperlink>
        </w:p>
        <w:p w14:paraId="5824D949" w14:textId="745E89EA" w:rsidR="00F46B88" w:rsidRDefault="00F46B88">
          <w:pPr>
            <w:pStyle w:val="TOC2"/>
            <w:tabs>
              <w:tab w:val="right" w:leader="dot" w:pos="9016"/>
            </w:tabs>
            <w:rPr>
              <w:noProof/>
            </w:rPr>
          </w:pPr>
          <w:hyperlink w:anchor="_Toc227913432" w:history="1">
            <w:r w:rsidRPr="00A6616B">
              <w:rPr>
                <w:rStyle w:val="Hyperlink"/>
                <w:noProof/>
              </w:rPr>
              <w:t>2.2 Business environment and external drivers</w:t>
            </w:r>
            <w:r>
              <w:rPr>
                <w:noProof/>
                <w:webHidden/>
              </w:rPr>
              <w:tab/>
            </w:r>
            <w:r>
              <w:rPr>
                <w:noProof/>
                <w:webHidden/>
              </w:rPr>
              <w:fldChar w:fldCharType="begin"/>
            </w:r>
            <w:r>
              <w:rPr>
                <w:noProof/>
                <w:webHidden/>
              </w:rPr>
              <w:instrText xml:space="preserve"> PAGEREF _Toc227913432 \h </w:instrText>
            </w:r>
            <w:r>
              <w:rPr>
                <w:noProof/>
                <w:webHidden/>
              </w:rPr>
            </w:r>
            <w:r>
              <w:rPr>
                <w:noProof/>
                <w:webHidden/>
              </w:rPr>
              <w:fldChar w:fldCharType="separate"/>
            </w:r>
            <w:r w:rsidR="00670CE0">
              <w:rPr>
                <w:noProof/>
                <w:webHidden/>
              </w:rPr>
              <w:t>4</w:t>
            </w:r>
            <w:r>
              <w:rPr>
                <w:noProof/>
                <w:webHidden/>
              </w:rPr>
              <w:fldChar w:fldCharType="end"/>
            </w:r>
          </w:hyperlink>
        </w:p>
        <w:p w14:paraId="18B0A6EE" w14:textId="7A8D141C" w:rsidR="00F46B88" w:rsidRDefault="00F46B88">
          <w:pPr>
            <w:pStyle w:val="TOC1"/>
            <w:tabs>
              <w:tab w:val="right" w:leader="dot" w:pos="9016"/>
            </w:tabs>
            <w:rPr>
              <w:noProof/>
            </w:rPr>
          </w:pPr>
          <w:hyperlink w:anchor="_Toc227913433" w:history="1">
            <w:r w:rsidRPr="00A6616B">
              <w:rPr>
                <w:rStyle w:val="Hyperlink"/>
                <w:noProof/>
              </w:rPr>
              <w:t>3. Analysis</w:t>
            </w:r>
            <w:r>
              <w:rPr>
                <w:noProof/>
                <w:webHidden/>
              </w:rPr>
              <w:tab/>
            </w:r>
            <w:r>
              <w:rPr>
                <w:noProof/>
                <w:webHidden/>
              </w:rPr>
              <w:fldChar w:fldCharType="begin"/>
            </w:r>
            <w:r>
              <w:rPr>
                <w:noProof/>
                <w:webHidden/>
              </w:rPr>
              <w:instrText xml:space="preserve"> PAGEREF _Toc227913433 \h </w:instrText>
            </w:r>
            <w:r>
              <w:rPr>
                <w:noProof/>
                <w:webHidden/>
              </w:rPr>
            </w:r>
            <w:r>
              <w:rPr>
                <w:noProof/>
                <w:webHidden/>
              </w:rPr>
              <w:fldChar w:fldCharType="separate"/>
            </w:r>
            <w:r w:rsidR="00670CE0">
              <w:rPr>
                <w:noProof/>
                <w:webHidden/>
              </w:rPr>
              <w:t>6</w:t>
            </w:r>
            <w:r>
              <w:rPr>
                <w:noProof/>
                <w:webHidden/>
              </w:rPr>
              <w:fldChar w:fldCharType="end"/>
            </w:r>
          </w:hyperlink>
        </w:p>
        <w:p w14:paraId="4C00BC7F" w14:textId="46809E63" w:rsidR="00F46B88" w:rsidRDefault="00F46B88">
          <w:pPr>
            <w:pStyle w:val="TOC2"/>
            <w:tabs>
              <w:tab w:val="right" w:leader="dot" w:pos="9016"/>
            </w:tabs>
            <w:rPr>
              <w:noProof/>
            </w:rPr>
          </w:pPr>
          <w:hyperlink w:anchor="_Toc227913434" w:history="1">
            <w:r w:rsidRPr="00A6616B">
              <w:rPr>
                <w:rStyle w:val="Hyperlink"/>
                <w:noProof/>
              </w:rPr>
              <w:t>3.1 Workforce planning and job design impact</w:t>
            </w:r>
            <w:r>
              <w:rPr>
                <w:noProof/>
                <w:webHidden/>
              </w:rPr>
              <w:tab/>
            </w:r>
            <w:r>
              <w:rPr>
                <w:noProof/>
                <w:webHidden/>
              </w:rPr>
              <w:fldChar w:fldCharType="begin"/>
            </w:r>
            <w:r>
              <w:rPr>
                <w:noProof/>
                <w:webHidden/>
              </w:rPr>
              <w:instrText xml:space="preserve"> PAGEREF _Toc227913434 \h </w:instrText>
            </w:r>
            <w:r>
              <w:rPr>
                <w:noProof/>
                <w:webHidden/>
              </w:rPr>
            </w:r>
            <w:r>
              <w:rPr>
                <w:noProof/>
                <w:webHidden/>
              </w:rPr>
              <w:fldChar w:fldCharType="separate"/>
            </w:r>
            <w:r w:rsidR="00670CE0">
              <w:rPr>
                <w:noProof/>
                <w:webHidden/>
              </w:rPr>
              <w:t>6</w:t>
            </w:r>
            <w:r>
              <w:rPr>
                <w:noProof/>
                <w:webHidden/>
              </w:rPr>
              <w:fldChar w:fldCharType="end"/>
            </w:r>
          </w:hyperlink>
        </w:p>
        <w:p w14:paraId="534C2B47" w14:textId="442956BD" w:rsidR="00F46B88" w:rsidRDefault="00F46B88">
          <w:pPr>
            <w:pStyle w:val="TOC2"/>
            <w:tabs>
              <w:tab w:val="right" w:leader="dot" w:pos="9016"/>
            </w:tabs>
            <w:rPr>
              <w:noProof/>
            </w:rPr>
          </w:pPr>
          <w:hyperlink w:anchor="_Toc227913435" w:history="1">
            <w:r w:rsidRPr="00A6616B">
              <w:rPr>
                <w:rStyle w:val="Hyperlink"/>
                <w:noProof/>
              </w:rPr>
              <w:t>3.2 Leadership for AI-enabled change: Transformational leadership</w:t>
            </w:r>
            <w:r>
              <w:rPr>
                <w:noProof/>
                <w:webHidden/>
              </w:rPr>
              <w:tab/>
            </w:r>
            <w:r>
              <w:rPr>
                <w:noProof/>
                <w:webHidden/>
              </w:rPr>
              <w:fldChar w:fldCharType="begin"/>
            </w:r>
            <w:r>
              <w:rPr>
                <w:noProof/>
                <w:webHidden/>
              </w:rPr>
              <w:instrText xml:space="preserve"> PAGEREF _Toc227913435 \h </w:instrText>
            </w:r>
            <w:r>
              <w:rPr>
                <w:noProof/>
                <w:webHidden/>
              </w:rPr>
            </w:r>
            <w:r>
              <w:rPr>
                <w:noProof/>
                <w:webHidden/>
              </w:rPr>
              <w:fldChar w:fldCharType="separate"/>
            </w:r>
            <w:r w:rsidR="00670CE0">
              <w:rPr>
                <w:noProof/>
                <w:webHidden/>
              </w:rPr>
              <w:t>7</w:t>
            </w:r>
            <w:r>
              <w:rPr>
                <w:noProof/>
                <w:webHidden/>
              </w:rPr>
              <w:fldChar w:fldCharType="end"/>
            </w:r>
          </w:hyperlink>
        </w:p>
        <w:p w14:paraId="2C252626" w14:textId="47227299" w:rsidR="00F46B88" w:rsidRDefault="00F46B88">
          <w:pPr>
            <w:pStyle w:val="TOC2"/>
            <w:tabs>
              <w:tab w:val="right" w:leader="dot" w:pos="9016"/>
            </w:tabs>
            <w:rPr>
              <w:noProof/>
            </w:rPr>
          </w:pPr>
          <w:hyperlink w:anchor="_Toc227913436" w:history="1">
            <w:r w:rsidRPr="00A6616B">
              <w:rPr>
                <w:rStyle w:val="Hyperlink"/>
                <w:noProof/>
              </w:rPr>
              <w:t>3.3 Differentiated leadership across roles and brands: Situational/adaptive</w:t>
            </w:r>
            <w:r>
              <w:rPr>
                <w:noProof/>
                <w:webHidden/>
              </w:rPr>
              <w:tab/>
            </w:r>
            <w:r>
              <w:rPr>
                <w:noProof/>
                <w:webHidden/>
              </w:rPr>
              <w:fldChar w:fldCharType="begin"/>
            </w:r>
            <w:r>
              <w:rPr>
                <w:noProof/>
                <w:webHidden/>
              </w:rPr>
              <w:instrText xml:space="preserve"> PAGEREF _Toc227913436 \h </w:instrText>
            </w:r>
            <w:r>
              <w:rPr>
                <w:noProof/>
                <w:webHidden/>
              </w:rPr>
            </w:r>
            <w:r>
              <w:rPr>
                <w:noProof/>
                <w:webHidden/>
              </w:rPr>
              <w:fldChar w:fldCharType="separate"/>
            </w:r>
            <w:r w:rsidR="00670CE0">
              <w:rPr>
                <w:noProof/>
                <w:webHidden/>
              </w:rPr>
              <w:t>8</w:t>
            </w:r>
            <w:r>
              <w:rPr>
                <w:noProof/>
                <w:webHidden/>
              </w:rPr>
              <w:fldChar w:fldCharType="end"/>
            </w:r>
          </w:hyperlink>
        </w:p>
        <w:p w14:paraId="2835541A" w14:textId="1ABC91D1" w:rsidR="00F46B88" w:rsidRDefault="00F46B88">
          <w:pPr>
            <w:pStyle w:val="TOC2"/>
            <w:tabs>
              <w:tab w:val="right" w:leader="dot" w:pos="9016"/>
            </w:tabs>
            <w:rPr>
              <w:noProof/>
            </w:rPr>
          </w:pPr>
          <w:hyperlink w:anchor="_Toc227913437" w:history="1">
            <w:r w:rsidRPr="00A6616B">
              <w:rPr>
                <w:rStyle w:val="Hyperlink"/>
                <w:noProof/>
              </w:rPr>
              <w:t>3.4 Responsible AI, ethical leadership, and employee voice</w:t>
            </w:r>
            <w:r>
              <w:rPr>
                <w:noProof/>
                <w:webHidden/>
              </w:rPr>
              <w:tab/>
            </w:r>
            <w:r>
              <w:rPr>
                <w:noProof/>
                <w:webHidden/>
              </w:rPr>
              <w:fldChar w:fldCharType="begin"/>
            </w:r>
            <w:r>
              <w:rPr>
                <w:noProof/>
                <w:webHidden/>
              </w:rPr>
              <w:instrText xml:space="preserve"> PAGEREF _Toc227913437 \h </w:instrText>
            </w:r>
            <w:r>
              <w:rPr>
                <w:noProof/>
                <w:webHidden/>
              </w:rPr>
            </w:r>
            <w:r>
              <w:rPr>
                <w:noProof/>
                <w:webHidden/>
              </w:rPr>
              <w:fldChar w:fldCharType="separate"/>
            </w:r>
            <w:r w:rsidR="00670CE0">
              <w:rPr>
                <w:noProof/>
                <w:webHidden/>
              </w:rPr>
              <w:t>9</w:t>
            </w:r>
            <w:r>
              <w:rPr>
                <w:noProof/>
                <w:webHidden/>
              </w:rPr>
              <w:fldChar w:fldCharType="end"/>
            </w:r>
          </w:hyperlink>
        </w:p>
        <w:p w14:paraId="20E82A30" w14:textId="676BA5A8" w:rsidR="00F46B88" w:rsidRDefault="00F46B88">
          <w:pPr>
            <w:pStyle w:val="TOC1"/>
            <w:tabs>
              <w:tab w:val="right" w:leader="dot" w:pos="9016"/>
            </w:tabs>
            <w:rPr>
              <w:noProof/>
            </w:rPr>
          </w:pPr>
          <w:hyperlink w:anchor="_Toc227913438" w:history="1">
            <w:r w:rsidRPr="00A6616B">
              <w:rPr>
                <w:rStyle w:val="Hyperlink"/>
                <w:noProof/>
              </w:rPr>
              <w:t>4. Recommendations</w:t>
            </w:r>
            <w:r>
              <w:rPr>
                <w:noProof/>
                <w:webHidden/>
              </w:rPr>
              <w:tab/>
            </w:r>
            <w:r>
              <w:rPr>
                <w:noProof/>
                <w:webHidden/>
              </w:rPr>
              <w:fldChar w:fldCharType="begin"/>
            </w:r>
            <w:r>
              <w:rPr>
                <w:noProof/>
                <w:webHidden/>
              </w:rPr>
              <w:instrText xml:space="preserve"> PAGEREF _Toc227913438 \h </w:instrText>
            </w:r>
            <w:r>
              <w:rPr>
                <w:noProof/>
                <w:webHidden/>
              </w:rPr>
            </w:r>
            <w:r>
              <w:rPr>
                <w:noProof/>
                <w:webHidden/>
              </w:rPr>
              <w:fldChar w:fldCharType="separate"/>
            </w:r>
            <w:r w:rsidR="00670CE0">
              <w:rPr>
                <w:noProof/>
                <w:webHidden/>
              </w:rPr>
              <w:t>11</w:t>
            </w:r>
            <w:r>
              <w:rPr>
                <w:noProof/>
                <w:webHidden/>
              </w:rPr>
              <w:fldChar w:fldCharType="end"/>
            </w:r>
          </w:hyperlink>
        </w:p>
        <w:p w14:paraId="05A72485" w14:textId="66F55820" w:rsidR="00F46B88" w:rsidRDefault="00F46B88">
          <w:pPr>
            <w:pStyle w:val="TOC2"/>
            <w:tabs>
              <w:tab w:val="right" w:leader="dot" w:pos="9016"/>
            </w:tabs>
            <w:rPr>
              <w:noProof/>
            </w:rPr>
          </w:pPr>
          <w:hyperlink w:anchor="_Toc227913439" w:history="1">
            <w:r w:rsidRPr="00A6616B">
              <w:rPr>
                <w:rStyle w:val="Hyperlink"/>
                <w:noProof/>
              </w:rPr>
              <w:t>4.1 Recommendation 1: HR-led Responsible AI Governance Framework</w:t>
            </w:r>
            <w:r>
              <w:rPr>
                <w:noProof/>
                <w:webHidden/>
              </w:rPr>
              <w:tab/>
            </w:r>
            <w:r>
              <w:rPr>
                <w:noProof/>
                <w:webHidden/>
              </w:rPr>
              <w:fldChar w:fldCharType="begin"/>
            </w:r>
            <w:r>
              <w:rPr>
                <w:noProof/>
                <w:webHidden/>
              </w:rPr>
              <w:instrText xml:space="preserve"> PAGEREF _Toc227913439 \h </w:instrText>
            </w:r>
            <w:r>
              <w:rPr>
                <w:noProof/>
                <w:webHidden/>
              </w:rPr>
            </w:r>
            <w:r>
              <w:rPr>
                <w:noProof/>
                <w:webHidden/>
              </w:rPr>
              <w:fldChar w:fldCharType="separate"/>
            </w:r>
            <w:r w:rsidR="00670CE0">
              <w:rPr>
                <w:noProof/>
                <w:webHidden/>
              </w:rPr>
              <w:t>11</w:t>
            </w:r>
            <w:r>
              <w:rPr>
                <w:noProof/>
                <w:webHidden/>
              </w:rPr>
              <w:fldChar w:fldCharType="end"/>
            </w:r>
          </w:hyperlink>
        </w:p>
        <w:p w14:paraId="7830B4D1" w14:textId="3417BC6F" w:rsidR="00F46B88" w:rsidRDefault="00F46B88">
          <w:pPr>
            <w:pStyle w:val="TOC2"/>
            <w:tabs>
              <w:tab w:val="right" w:leader="dot" w:pos="9016"/>
            </w:tabs>
            <w:rPr>
              <w:noProof/>
            </w:rPr>
          </w:pPr>
          <w:hyperlink w:anchor="_Toc227913440" w:history="1">
            <w:r w:rsidRPr="00A6616B">
              <w:rPr>
                <w:rStyle w:val="Hyperlink"/>
                <w:noProof/>
              </w:rPr>
              <w:t>4.2 Recommendation 2: Role-Based AI Capability Academy</w:t>
            </w:r>
            <w:r>
              <w:rPr>
                <w:noProof/>
                <w:webHidden/>
              </w:rPr>
              <w:tab/>
            </w:r>
            <w:r>
              <w:rPr>
                <w:noProof/>
                <w:webHidden/>
              </w:rPr>
              <w:fldChar w:fldCharType="begin"/>
            </w:r>
            <w:r>
              <w:rPr>
                <w:noProof/>
                <w:webHidden/>
              </w:rPr>
              <w:instrText xml:space="preserve"> PAGEREF _Toc227913440 \h </w:instrText>
            </w:r>
            <w:r>
              <w:rPr>
                <w:noProof/>
                <w:webHidden/>
              </w:rPr>
            </w:r>
            <w:r>
              <w:rPr>
                <w:noProof/>
                <w:webHidden/>
              </w:rPr>
              <w:fldChar w:fldCharType="separate"/>
            </w:r>
            <w:r w:rsidR="00670CE0">
              <w:rPr>
                <w:noProof/>
                <w:webHidden/>
              </w:rPr>
              <w:t>12</w:t>
            </w:r>
            <w:r>
              <w:rPr>
                <w:noProof/>
                <w:webHidden/>
              </w:rPr>
              <w:fldChar w:fldCharType="end"/>
            </w:r>
          </w:hyperlink>
        </w:p>
        <w:p w14:paraId="7F95A018" w14:textId="0138F7A1" w:rsidR="00F46B88" w:rsidRDefault="00F46B88">
          <w:pPr>
            <w:pStyle w:val="TOC2"/>
            <w:tabs>
              <w:tab w:val="right" w:leader="dot" w:pos="9016"/>
            </w:tabs>
            <w:rPr>
              <w:noProof/>
            </w:rPr>
          </w:pPr>
          <w:hyperlink w:anchor="_Toc227913441" w:history="1">
            <w:r w:rsidRPr="00A6616B">
              <w:rPr>
                <w:rStyle w:val="Hyperlink"/>
                <w:noProof/>
              </w:rPr>
              <w:t>4.3 Recommendation 3: Job &amp; Workflow Redesign in Priority Service Journeys</w:t>
            </w:r>
            <w:r>
              <w:rPr>
                <w:noProof/>
                <w:webHidden/>
              </w:rPr>
              <w:tab/>
            </w:r>
            <w:r>
              <w:rPr>
                <w:noProof/>
                <w:webHidden/>
              </w:rPr>
              <w:fldChar w:fldCharType="begin"/>
            </w:r>
            <w:r>
              <w:rPr>
                <w:noProof/>
                <w:webHidden/>
              </w:rPr>
              <w:instrText xml:space="preserve"> PAGEREF _Toc227913441 \h </w:instrText>
            </w:r>
            <w:r>
              <w:rPr>
                <w:noProof/>
                <w:webHidden/>
              </w:rPr>
            </w:r>
            <w:r>
              <w:rPr>
                <w:noProof/>
                <w:webHidden/>
              </w:rPr>
              <w:fldChar w:fldCharType="separate"/>
            </w:r>
            <w:r w:rsidR="00670CE0">
              <w:rPr>
                <w:noProof/>
                <w:webHidden/>
              </w:rPr>
              <w:t>13</w:t>
            </w:r>
            <w:r>
              <w:rPr>
                <w:noProof/>
                <w:webHidden/>
              </w:rPr>
              <w:fldChar w:fldCharType="end"/>
            </w:r>
          </w:hyperlink>
        </w:p>
        <w:p w14:paraId="2A2BC7C2" w14:textId="5B86D7AA" w:rsidR="00F46B88" w:rsidRDefault="00F46B88">
          <w:pPr>
            <w:pStyle w:val="TOC1"/>
            <w:tabs>
              <w:tab w:val="right" w:leader="dot" w:pos="9016"/>
            </w:tabs>
            <w:rPr>
              <w:noProof/>
            </w:rPr>
          </w:pPr>
          <w:hyperlink w:anchor="_Toc227913442" w:history="1">
            <w:r w:rsidRPr="00A6616B">
              <w:rPr>
                <w:rStyle w:val="Hyperlink"/>
                <w:noProof/>
              </w:rPr>
              <w:t>5. SMART Table</w:t>
            </w:r>
            <w:r>
              <w:rPr>
                <w:noProof/>
                <w:webHidden/>
              </w:rPr>
              <w:tab/>
            </w:r>
          </w:hyperlink>
          <w:r w:rsidRPr="00F8225A">
            <w:rPr>
              <w:rStyle w:val="Hyperlink"/>
              <w:noProof/>
              <w:color w:val="auto"/>
              <w:u w:val="none"/>
            </w:rPr>
            <w:t>13</w:t>
          </w:r>
        </w:p>
        <w:p w14:paraId="6C9B2DDF" w14:textId="098DBC0B" w:rsidR="00F46B88" w:rsidRDefault="00F46B88">
          <w:pPr>
            <w:pStyle w:val="TOC1"/>
            <w:tabs>
              <w:tab w:val="right" w:leader="dot" w:pos="9016"/>
            </w:tabs>
            <w:rPr>
              <w:noProof/>
            </w:rPr>
          </w:pPr>
          <w:hyperlink w:anchor="_Toc227913443" w:history="1">
            <w:r w:rsidRPr="00A6616B">
              <w:rPr>
                <w:rStyle w:val="Hyperlink"/>
                <w:noProof/>
              </w:rPr>
              <w:t>6. Conclusion</w:t>
            </w:r>
            <w:r>
              <w:rPr>
                <w:noProof/>
                <w:webHidden/>
              </w:rPr>
              <w:tab/>
              <w:t>14</w:t>
            </w:r>
          </w:hyperlink>
        </w:p>
        <w:p w14:paraId="183BC065" w14:textId="3AAD46E1" w:rsidR="00F46B88" w:rsidRDefault="00F46B88">
          <w:pPr>
            <w:pStyle w:val="TOC1"/>
            <w:tabs>
              <w:tab w:val="right" w:leader="dot" w:pos="9016"/>
            </w:tabs>
            <w:rPr>
              <w:noProof/>
            </w:rPr>
          </w:pPr>
          <w:hyperlink w:anchor="_Toc227913444" w:history="1">
            <w:r w:rsidRPr="00A6616B">
              <w:rPr>
                <w:rStyle w:val="Hyperlink"/>
                <w:noProof/>
              </w:rPr>
              <w:t>Reference List</w:t>
            </w:r>
            <w:r>
              <w:rPr>
                <w:noProof/>
                <w:webHidden/>
              </w:rPr>
              <w:tab/>
              <w:t>15</w:t>
            </w:r>
          </w:hyperlink>
        </w:p>
        <w:p w14:paraId="3D693A26" w14:textId="4750AA3F" w:rsidR="00D55712" w:rsidRDefault="00D55712">
          <w:r>
            <w:rPr>
              <w:b/>
              <w:bCs/>
              <w:noProof/>
            </w:rPr>
            <w:fldChar w:fldCharType="end"/>
          </w:r>
        </w:p>
      </w:sdtContent>
    </w:sdt>
    <w:p w14:paraId="0E1A9233" w14:textId="77777777" w:rsidR="00D55712" w:rsidRDefault="00D55712" w:rsidP="003E64A7">
      <w:pPr>
        <w:spacing w:line="480" w:lineRule="auto"/>
        <w:rPr>
          <w:rFonts w:asciiTheme="minorBidi" w:hAnsiTheme="minorBidi"/>
        </w:rPr>
      </w:pPr>
    </w:p>
    <w:p w14:paraId="140DEC5E" w14:textId="77777777" w:rsidR="00D55712" w:rsidRDefault="00D55712" w:rsidP="003E64A7">
      <w:pPr>
        <w:spacing w:line="480" w:lineRule="auto"/>
        <w:rPr>
          <w:rFonts w:asciiTheme="minorBidi" w:hAnsiTheme="minorBidi"/>
        </w:rPr>
      </w:pPr>
    </w:p>
    <w:p w14:paraId="09FF645C" w14:textId="77777777" w:rsidR="00D55712" w:rsidRDefault="00D55712" w:rsidP="003E64A7">
      <w:pPr>
        <w:spacing w:line="480" w:lineRule="auto"/>
        <w:rPr>
          <w:rFonts w:asciiTheme="minorBidi" w:hAnsiTheme="minorBidi"/>
        </w:rPr>
      </w:pPr>
    </w:p>
    <w:p w14:paraId="62C3EDEB" w14:textId="77777777" w:rsidR="00D55712" w:rsidRDefault="00D55712" w:rsidP="003E64A7">
      <w:pPr>
        <w:spacing w:line="480" w:lineRule="auto"/>
        <w:rPr>
          <w:rFonts w:asciiTheme="minorBidi" w:hAnsiTheme="minorBidi"/>
        </w:rPr>
      </w:pPr>
    </w:p>
    <w:p w14:paraId="23E1DFA7" w14:textId="77777777" w:rsidR="00D55712" w:rsidRDefault="00D55712" w:rsidP="003E64A7">
      <w:pPr>
        <w:spacing w:line="480" w:lineRule="auto"/>
        <w:rPr>
          <w:rFonts w:asciiTheme="minorBidi" w:hAnsiTheme="minorBidi"/>
        </w:rPr>
      </w:pPr>
    </w:p>
    <w:p w14:paraId="623570E7" w14:textId="77777777" w:rsidR="00D55712" w:rsidRDefault="00D55712" w:rsidP="003E64A7">
      <w:pPr>
        <w:spacing w:line="480" w:lineRule="auto"/>
        <w:rPr>
          <w:rFonts w:asciiTheme="minorBidi" w:hAnsiTheme="minorBidi"/>
        </w:rPr>
      </w:pPr>
    </w:p>
    <w:p w14:paraId="28D93694" w14:textId="77777777" w:rsidR="00D55712" w:rsidRDefault="00D55712" w:rsidP="003E64A7">
      <w:pPr>
        <w:spacing w:line="480" w:lineRule="auto"/>
        <w:rPr>
          <w:rFonts w:asciiTheme="minorBidi" w:hAnsiTheme="minorBidi"/>
        </w:rPr>
      </w:pPr>
    </w:p>
    <w:p w14:paraId="60E418EA" w14:textId="77777777" w:rsidR="00D55712" w:rsidRDefault="00D55712" w:rsidP="003E64A7">
      <w:pPr>
        <w:spacing w:line="480" w:lineRule="auto"/>
        <w:rPr>
          <w:rFonts w:asciiTheme="minorBidi" w:hAnsiTheme="minorBidi"/>
        </w:rPr>
      </w:pPr>
    </w:p>
    <w:p w14:paraId="2EF76970" w14:textId="76BB0EAB" w:rsidR="003E64A7" w:rsidRPr="003E64A7" w:rsidRDefault="003E64A7" w:rsidP="00D55712">
      <w:pPr>
        <w:pStyle w:val="Heading1"/>
      </w:pPr>
      <w:bookmarkStart w:id="1" w:name="_Toc227913430"/>
      <w:r w:rsidRPr="003E64A7">
        <w:t>2. Introduction and Scope</w:t>
      </w:r>
      <w:bookmarkEnd w:id="1"/>
    </w:p>
    <w:p w14:paraId="6494C640" w14:textId="77777777" w:rsidR="003E64A7" w:rsidRPr="003E64A7" w:rsidRDefault="003E64A7" w:rsidP="00D55712">
      <w:pPr>
        <w:pStyle w:val="Heading2"/>
      </w:pPr>
      <w:bookmarkStart w:id="2" w:name="_Toc227913431"/>
      <w:r w:rsidRPr="003E64A7">
        <w:t>2.1 Organisation and workforce context</w:t>
      </w:r>
      <w:bookmarkEnd w:id="2"/>
    </w:p>
    <w:p w14:paraId="3A8679EA" w14:textId="0E69BA0F" w:rsidR="003E64A7" w:rsidRPr="003E64A7" w:rsidRDefault="003E64A7" w:rsidP="007C4252">
      <w:pPr>
        <w:spacing w:line="480" w:lineRule="auto"/>
        <w:rPr>
          <w:rFonts w:asciiTheme="minorBidi" w:hAnsiTheme="minorBidi"/>
        </w:rPr>
      </w:pPr>
      <w:r w:rsidRPr="003E64A7">
        <w:rPr>
          <w:rFonts w:asciiTheme="minorBidi" w:hAnsiTheme="minorBidi"/>
        </w:rPr>
        <w:t xml:space="preserve">Accor operates a portfolio of hotel brands across luxury, premium, mid-scale, and economy segments. </w:t>
      </w:r>
      <w:r w:rsidR="007C4252" w:rsidRPr="007C4252">
        <w:rPr>
          <w:rFonts w:asciiTheme="minorBidi" w:hAnsiTheme="minorBidi"/>
        </w:rPr>
        <w:t xml:space="preserve">Accor’s multi-brand structure makes people management more complex because service expectations, levels of role autonomy, and operating models vary across brands and locations. As a result, a single, standardised approach to capability or leadership development is unlikely to be effective </w:t>
      </w:r>
      <w:r w:rsidRPr="003E64A7">
        <w:rPr>
          <w:rFonts w:asciiTheme="minorBidi" w:hAnsiTheme="minorBidi"/>
        </w:rPr>
        <w:t>(Accor, 2024; Boxall and Purcell, 2016). From an HR operating model perspective, this reinforces HR’s role as a strategic partner and capability builder rather than a transactional function (Ulrich, 1997).</w:t>
      </w:r>
    </w:p>
    <w:p w14:paraId="53FFD8BA" w14:textId="78258C39" w:rsidR="003E64A7" w:rsidRPr="003E64A7" w:rsidRDefault="003E64A7" w:rsidP="003E64A7">
      <w:pPr>
        <w:spacing w:line="480" w:lineRule="auto"/>
        <w:rPr>
          <w:rFonts w:asciiTheme="minorBidi" w:hAnsiTheme="minorBidi"/>
        </w:rPr>
      </w:pPr>
      <w:r w:rsidRPr="003E64A7">
        <w:rPr>
          <w:rFonts w:asciiTheme="minorBidi" w:hAnsiTheme="minorBidi"/>
        </w:rPr>
        <w:t xml:space="preserve">Accor’s UK workforce is characterised by a high proportion of frontline service roles, multi-site operations, and comparatively high turnover. Hospitality performance depends on situational judgement, emotional labour, and service recovery, meaning adoption </w:t>
      </w:r>
      <w:r w:rsidR="00B52F98">
        <w:rPr>
          <w:rFonts w:asciiTheme="minorBidi" w:hAnsiTheme="minorBidi"/>
        </w:rPr>
        <w:t xml:space="preserve">of AI powered initiatives </w:t>
      </w:r>
      <w:r w:rsidRPr="003E64A7">
        <w:rPr>
          <w:rFonts w:asciiTheme="minorBidi" w:hAnsiTheme="minorBidi"/>
        </w:rPr>
        <w:t>is more likely to reconfigure tasks and workflows than replace entire roles (</w:t>
      </w:r>
      <w:proofErr w:type="spellStart"/>
      <w:r w:rsidRPr="003E64A7">
        <w:rPr>
          <w:rFonts w:asciiTheme="minorBidi" w:hAnsiTheme="minorBidi"/>
        </w:rPr>
        <w:t>Jesuthasan</w:t>
      </w:r>
      <w:proofErr w:type="spellEnd"/>
      <w:r w:rsidRPr="003E64A7">
        <w:rPr>
          <w:rFonts w:asciiTheme="minorBidi" w:hAnsiTheme="minorBidi"/>
        </w:rPr>
        <w:t xml:space="preserve"> and Boudreau, 2018; Boudreau and Ramstad, 2007). Consequently, the strategic issue is not “how Accor uses AI”, but how HR and leaders design work, build capability, and sustain trust during responsible adoption (CIPD, 2023; CIPD, 2025a).</w:t>
      </w:r>
    </w:p>
    <w:p w14:paraId="192A45CB" w14:textId="77777777" w:rsidR="003E64A7" w:rsidRPr="003E64A7" w:rsidRDefault="003E64A7" w:rsidP="00D55712">
      <w:pPr>
        <w:pStyle w:val="Heading2"/>
      </w:pPr>
      <w:bookmarkStart w:id="3" w:name="_Toc227913432"/>
      <w:r w:rsidRPr="003E64A7">
        <w:t>2.2 Business environment and external drivers</w:t>
      </w:r>
      <w:bookmarkEnd w:id="3"/>
    </w:p>
    <w:p w14:paraId="05C437A5" w14:textId="7DC83AFD" w:rsidR="003E64A7" w:rsidRPr="003E64A7" w:rsidRDefault="003E64A7" w:rsidP="003E64A7">
      <w:pPr>
        <w:spacing w:line="480" w:lineRule="auto"/>
        <w:rPr>
          <w:rFonts w:asciiTheme="minorBidi" w:hAnsiTheme="minorBidi"/>
        </w:rPr>
      </w:pPr>
      <w:r w:rsidRPr="003E64A7">
        <w:rPr>
          <w:rFonts w:asciiTheme="minorBidi" w:hAnsiTheme="minorBidi"/>
        </w:rPr>
        <w:t>UK policy frames AI as a productivity lever and sets expectations for faster organisational adoption (UK Government, 2025a; UK Government, 2025b). Labour market conditions remain challenging: CIPD evidence indicates that two-thirds (67%) of employers planned to recruit in the next three months (Autumn 2024), reflecting continued churn and staffing pressures for employers (CIPD, 2024). Official statistics show the UK labour market remains tight: the ONS estimated 723,000 vacancies in Aug</w:t>
      </w:r>
      <w:r w:rsidR="00D55712">
        <w:rPr>
          <w:rFonts w:asciiTheme="minorBidi" w:hAnsiTheme="minorBidi"/>
        </w:rPr>
        <w:t xml:space="preserve"> - </w:t>
      </w:r>
      <w:r w:rsidRPr="003E64A7">
        <w:rPr>
          <w:rFonts w:asciiTheme="minorBidi" w:hAnsiTheme="minorBidi"/>
        </w:rPr>
        <w:t>Oct 2025 and 2.5 unemployed people per vacancy in Sep</w:t>
      </w:r>
      <w:r w:rsidR="00D55712">
        <w:rPr>
          <w:rFonts w:asciiTheme="minorBidi" w:hAnsiTheme="minorBidi"/>
        </w:rPr>
        <w:t xml:space="preserve"> - </w:t>
      </w:r>
      <w:r w:rsidRPr="003E64A7">
        <w:rPr>
          <w:rFonts w:asciiTheme="minorBidi" w:hAnsiTheme="minorBidi"/>
        </w:rPr>
        <w:t>Nov 2025, reinforcing the operational risk of change initiatives that increase turnover or reduce engagement (ONS, 2025; ONS, 2026).</w:t>
      </w:r>
    </w:p>
    <w:p w14:paraId="53975F93" w14:textId="658DCD54" w:rsidR="003E64A7" w:rsidRPr="003E64A7" w:rsidRDefault="003E64A7" w:rsidP="00DB1E18">
      <w:pPr>
        <w:spacing w:line="480" w:lineRule="auto"/>
        <w:rPr>
          <w:rFonts w:asciiTheme="minorBidi" w:hAnsiTheme="minorBidi"/>
        </w:rPr>
      </w:pPr>
      <w:r w:rsidRPr="003E64A7">
        <w:rPr>
          <w:rFonts w:asciiTheme="minorBidi" w:hAnsiTheme="minorBidi"/>
        </w:rPr>
        <w:t xml:space="preserve">At a macro level, </w:t>
      </w:r>
      <w:r w:rsidR="00CE0E20">
        <w:rPr>
          <w:rFonts w:asciiTheme="minorBidi" w:hAnsiTheme="minorBidi"/>
        </w:rPr>
        <w:t>the I</w:t>
      </w:r>
      <w:r w:rsidR="00CE0E20" w:rsidRPr="00CE0E20">
        <w:rPr>
          <w:rFonts w:asciiTheme="minorBidi" w:hAnsiTheme="minorBidi"/>
        </w:rPr>
        <w:t>nternational Monetary Fund (IMF)</w:t>
      </w:r>
      <w:r w:rsidR="00CE0E20">
        <w:rPr>
          <w:rFonts w:asciiTheme="minorBidi" w:hAnsiTheme="minorBidi"/>
        </w:rPr>
        <w:t xml:space="preserve"> </w:t>
      </w:r>
      <w:r w:rsidRPr="003E64A7">
        <w:rPr>
          <w:rFonts w:asciiTheme="minorBidi" w:hAnsiTheme="minorBidi"/>
        </w:rPr>
        <w:t xml:space="preserve">estimates AI will affect around 40% of global jobs, with advanced economies experiencing substantial job redesign effects (IMF, 2024). Advisory evidence similarly anticipates sizeable productivity potential, but uneven impacts if reskilling and governance lag (WEF, 2023; McKinsey Global Institute, 2023). </w:t>
      </w:r>
      <w:r w:rsidR="00DB1E18" w:rsidRPr="00DB1E18">
        <w:rPr>
          <w:rFonts w:asciiTheme="minorBidi" w:hAnsiTheme="minorBidi"/>
        </w:rPr>
        <w:t>The changing employment landscape, including proposals such as a Fair Work Agency and reforms addressing insecure work, is increasing scrutiny of fairness, transparency, and employee voice in workforce practices</w:t>
      </w:r>
      <w:r w:rsidR="00DB1E18">
        <w:rPr>
          <w:rFonts w:asciiTheme="minorBidi" w:hAnsiTheme="minorBidi"/>
        </w:rPr>
        <w:t xml:space="preserve"> </w:t>
      </w:r>
      <w:r w:rsidRPr="003E64A7">
        <w:rPr>
          <w:rFonts w:asciiTheme="minorBidi" w:hAnsiTheme="minorBidi"/>
        </w:rPr>
        <w:t>(Lewis Silkin, 2025a; Lewis Silkin, 2025b).</w:t>
      </w:r>
    </w:p>
    <w:p w14:paraId="6A2CB8C9" w14:textId="71E17488" w:rsidR="003E64A7" w:rsidRDefault="003E64A7" w:rsidP="003E64A7">
      <w:pPr>
        <w:spacing w:line="480" w:lineRule="auto"/>
        <w:rPr>
          <w:rFonts w:asciiTheme="minorBidi" w:hAnsiTheme="minorBidi"/>
        </w:rPr>
      </w:pPr>
      <w:r w:rsidRPr="003E64A7">
        <w:rPr>
          <w:rFonts w:asciiTheme="minorBidi" w:hAnsiTheme="minorBidi"/>
        </w:rPr>
        <w:t xml:space="preserve">These external pressures create a leadership </w:t>
      </w:r>
      <w:r w:rsidR="0004203B">
        <w:rPr>
          <w:rFonts w:asciiTheme="minorBidi" w:hAnsiTheme="minorBidi"/>
        </w:rPr>
        <w:t>priority</w:t>
      </w:r>
      <w:r w:rsidRPr="003E64A7">
        <w:rPr>
          <w:rFonts w:asciiTheme="minorBidi" w:hAnsiTheme="minorBidi"/>
        </w:rPr>
        <w:t xml:space="preserve"> for HR to design workforce interventions that build capability, trust, and sustainable performance rather than prioritising short-term efficiency, ensuring change strengthens both employee and customer outcomes (CIPD, 2023; OECD, 2019).</w:t>
      </w:r>
    </w:p>
    <w:p w14:paraId="283454B1" w14:textId="77777777" w:rsidR="003E64A7" w:rsidRDefault="003E64A7" w:rsidP="003E64A7">
      <w:pPr>
        <w:spacing w:line="480" w:lineRule="auto"/>
        <w:rPr>
          <w:rFonts w:asciiTheme="minorBidi" w:hAnsiTheme="minorBidi"/>
        </w:rPr>
      </w:pPr>
    </w:p>
    <w:p w14:paraId="2C86CF9C" w14:textId="77777777" w:rsidR="003E64A7" w:rsidRDefault="003E64A7" w:rsidP="003E64A7">
      <w:pPr>
        <w:spacing w:line="480" w:lineRule="auto"/>
        <w:rPr>
          <w:rFonts w:asciiTheme="minorBidi" w:hAnsiTheme="minorBidi"/>
        </w:rPr>
      </w:pPr>
    </w:p>
    <w:p w14:paraId="39C4021C" w14:textId="77777777" w:rsidR="00670CE0" w:rsidRDefault="00670CE0" w:rsidP="003E64A7">
      <w:pPr>
        <w:spacing w:line="480" w:lineRule="auto"/>
        <w:rPr>
          <w:rFonts w:asciiTheme="minorBidi" w:hAnsiTheme="minorBidi"/>
        </w:rPr>
      </w:pPr>
    </w:p>
    <w:p w14:paraId="06C0BEBB" w14:textId="77777777" w:rsidR="00670CE0" w:rsidRPr="003E64A7" w:rsidRDefault="00670CE0" w:rsidP="003E64A7">
      <w:pPr>
        <w:spacing w:line="480" w:lineRule="auto"/>
        <w:rPr>
          <w:rFonts w:asciiTheme="minorBidi" w:hAnsiTheme="minorBidi"/>
        </w:rPr>
      </w:pPr>
    </w:p>
    <w:p w14:paraId="50B9E5D6" w14:textId="14CAC365" w:rsidR="003E64A7" w:rsidRPr="003E64A7" w:rsidRDefault="003E64A7" w:rsidP="00D55712">
      <w:pPr>
        <w:pStyle w:val="Heading1"/>
      </w:pPr>
      <w:bookmarkStart w:id="4" w:name="_Toc227913433"/>
      <w:r w:rsidRPr="003E64A7">
        <w:t>3. Analysis</w:t>
      </w:r>
      <w:bookmarkEnd w:id="4"/>
    </w:p>
    <w:p w14:paraId="06B33563" w14:textId="1B2647BF" w:rsidR="003E64A7" w:rsidRPr="003E64A7" w:rsidRDefault="003E64A7" w:rsidP="00D55712">
      <w:pPr>
        <w:pStyle w:val="Heading2"/>
      </w:pPr>
      <w:bookmarkStart w:id="5" w:name="_Toc227913434"/>
      <w:r w:rsidRPr="003E64A7">
        <w:t>3.1 Workforce planning and job design impact</w:t>
      </w:r>
      <w:bookmarkEnd w:id="5"/>
    </w:p>
    <w:p w14:paraId="2413C6FF" w14:textId="205212F8" w:rsidR="003E64A7" w:rsidRPr="003E64A7" w:rsidRDefault="003E64A7" w:rsidP="003E64A7">
      <w:pPr>
        <w:spacing w:line="480" w:lineRule="auto"/>
        <w:rPr>
          <w:rFonts w:asciiTheme="minorBidi" w:hAnsiTheme="minorBidi"/>
        </w:rPr>
      </w:pPr>
      <w:r w:rsidRPr="003E64A7">
        <w:rPr>
          <w:rFonts w:asciiTheme="minorBidi" w:hAnsiTheme="minorBidi"/>
        </w:rPr>
        <w:t xml:space="preserve">Adoption </w:t>
      </w:r>
      <w:r w:rsidR="00A0447E">
        <w:rPr>
          <w:rFonts w:asciiTheme="minorBidi" w:hAnsiTheme="minorBidi"/>
        </w:rPr>
        <w:t xml:space="preserve">of AI </w:t>
      </w:r>
      <w:r w:rsidRPr="003E64A7">
        <w:rPr>
          <w:rFonts w:asciiTheme="minorBidi" w:hAnsiTheme="minorBidi"/>
        </w:rPr>
        <w:t xml:space="preserve">at Accor is best understood as task reconfiguration, not </w:t>
      </w:r>
      <w:r w:rsidR="00A0447E">
        <w:rPr>
          <w:rFonts w:asciiTheme="minorBidi" w:hAnsiTheme="minorBidi"/>
        </w:rPr>
        <w:t>complete</w:t>
      </w:r>
      <w:r w:rsidR="00A0447E" w:rsidRPr="003E64A7">
        <w:rPr>
          <w:rFonts w:asciiTheme="minorBidi" w:hAnsiTheme="minorBidi"/>
        </w:rPr>
        <w:t xml:space="preserve"> </w:t>
      </w:r>
      <w:r w:rsidRPr="003E64A7">
        <w:rPr>
          <w:rFonts w:asciiTheme="minorBidi" w:hAnsiTheme="minorBidi"/>
        </w:rPr>
        <w:t>automation. Applying a workforce planning cycle (demand, supply, gap, plan, monitor) indicates rising demand for digital confidence, data interpretation, and judgement</w:t>
      </w:r>
      <w:r w:rsidR="00D55712">
        <w:rPr>
          <w:rFonts w:asciiTheme="minorBidi" w:hAnsiTheme="minorBidi"/>
        </w:rPr>
        <w:t xml:space="preserve">, </w:t>
      </w:r>
      <w:r w:rsidRPr="003E64A7">
        <w:rPr>
          <w:rFonts w:asciiTheme="minorBidi" w:hAnsiTheme="minorBidi"/>
        </w:rPr>
        <w:t>particularly among supervisors who translate system outputs into operational decisions (Armstrong and Taylor, 2023; CIPD, 202</w:t>
      </w:r>
      <w:r w:rsidR="00CF375A">
        <w:rPr>
          <w:rFonts w:asciiTheme="minorBidi" w:hAnsiTheme="minorBidi"/>
        </w:rPr>
        <w:t>3</w:t>
      </w:r>
      <w:r w:rsidRPr="003E64A7">
        <w:rPr>
          <w:rFonts w:asciiTheme="minorBidi" w:hAnsiTheme="minorBidi"/>
        </w:rPr>
        <w:t>). Workforce segmentation is required</w:t>
      </w:r>
      <w:r w:rsidR="00A0447E">
        <w:rPr>
          <w:rFonts w:asciiTheme="minorBidi" w:hAnsiTheme="minorBidi"/>
        </w:rPr>
        <w:t xml:space="preserve"> to understand how AI can best </w:t>
      </w:r>
      <w:r w:rsidR="005D64B1">
        <w:rPr>
          <w:rFonts w:asciiTheme="minorBidi" w:hAnsiTheme="minorBidi"/>
        </w:rPr>
        <w:t xml:space="preserve">be </w:t>
      </w:r>
      <w:r w:rsidR="00A0447E">
        <w:rPr>
          <w:rFonts w:asciiTheme="minorBidi" w:hAnsiTheme="minorBidi"/>
        </w:rPr>
        <w:t>adopted to</w:t>
      </w:r>
      <w:r w:rsidRPr="003E64A7">
        <w:rPr>
          <w:rFonts w:asciiTheme="minorBidi" w:hAnsiTheme="minorBidi"/>
        </w:rPr>
        <w:t>: frontline (guest-facing service), supervisors (scheduling, performance judgement, coaching), and corporate (analytics, governance, policy).</w:t>
      </w:r>
    </w:p>
    <w:p w14:paraId="25C5E8AC" w14:textId="561755F3" w:rsidR="003E64A7" w:rsidRPr="003E64A7" w:rsidRDefault="003E64A7" w:rsidP="00731584">
      <w:pPr>
        <w:spacing w:line="480" w:lineRule="auto"/>
        <w:rPr>
          <w:rFonts w:asciiTheme="minorBidi" w:hAnsiTheme="minorBidi"/>
        </w:rPr>
      </w:pPr>
      <w:r w:rsidRPr="003E64A7">
        <w:rPr>
          <w:rFonts w:asciiTheme="minorBidi" w:hAnsiTheme="minorBidi"/>
        </w:rPr>
        <w:t xml:space="preserve">Job design theory indicates digital tools can either enrich or degrade work depending on implementation. Where administration is reduced and feedback quality improves, roles may gain skills variety and </w:t>
      </w:r>
      <w:r w:rsidR="00A0447E">
        <w:rPr>
          <w:rFonts w:asciiTheme="minorBidi" w:hAnsiTheme="minorBidi"/>
        </w:rPr>
        <w:t xml:space="preserve">a better </w:t>
      </w:r>
      <w:r w:rsidRPr="003E64A7">
        <w:rPr>
          <w:rFonts w:asciiTheme="minorBidi" w:hAnsiTheme="minorBidi"/>
        </w:rPr>
        <w:t xml:space="preserve">customer focus (Hackman and Oldham, 1980). </w:t>
      </w:r>
      <w:r w:rsidR="00E116EA" w:rsidRPr="00E116EA">
        <w:rPr>
          <w:rFonts w:asciiTheme="minorBidi" w:hAnsiTheme="minorBidi"/>
        </w:rPr>
        <w:t>However, evidence on job design and wellbeing suggests that redesign can harm outcomes if increases in performance expectations are not matched by sufficient autonomy and control</w:t>
      </w:r>
      <w:r w:rsidR="00E116EA">
        <w:rPr>
          <w:rFonts w:asciiTheme="minorBidi" w:hAnsiTheme="minorBidi"/>
        </w:rPr>
        <w:t xml:space="preserve"> </w:t>
      </w:r>
      <w:r w:rsidRPr="003E64A7">
        <w:rPr>
          <w:rFonts w:asciiTheme="minorBidi" w:hAnsiTheme="minorBidi"/>
        </w:rPr>
        <w:t xml:space="preserve">(Parker, 2014). </w:t>
      </w:r>
      <w:r w:rsidR="00731584" w:rsidRPr="00731584">
        <w:rPr>
          <w:rFonts w:asciiTheme="minorBidi" w:hAnsiTheme="minorBidi"/>
        </w:rPr>
        <w:t>Research on data-driven management systems highlights the risk that managers may rely too heavily on performance metrics, limiting employee discretion and reducing autonomy</w:t>
      </w:r>
      <w:r w:rsidRPr="003E64A7">
        <w:rPr>
          <w:rFonts w:asciiTheme="minorBidi" w:hAnsiTheme="minorBidi"/>
        </w:rPr>
        <w:t xml:space="preserve"> (Kellogg, Valentine and Christin, 2020). The trade-off is therefore clear: productivity gains may be short-lived if they produce burnout, absenteeism, or attrition.</w:t>
      </w:r>
    </w:p>
    <w:p w14:paraId="10250E7C" w14:textId="4F54D1E8" w:rsidR="003E64A7" w:rsidRPr="003E64A7" w:rsidRDefault="003E64A7" w:rsidP="00434FBC">
      <w:pPr>
        <w:spacing w:line="480" w:lineRule="auto"/>
        <w:rPr>
          <w:rFonts w:asciiTheme="minorBidi" w:hAnsiTheme="minorBidi"/>
        </w:rPr>
      </w:pPr>
      <w:r w:rsidRPr="003E64A7">
        <w:rPr>
          <w:rFonts w:asciiTheme="minorBidi" w:hAnsiTheme="minorBidi"/>
        </w:rPr>
        <w:t>Entry-level pathways require explicit protection</w:t>
      </w:r>
      <w:r w:rsidR="00A0447E">
        <w:rPr>
          <w:rFonts w:asciiTheme="minorBidi" w:hAnsiTheme="minorBidi"/>
        </w:rPr>
        <w:t xml:space="preserve"> when considering implementation of AI tools</w:t>
      </w:r>
      <w:r w:rsidRPr="003E64A7">
        <w:rPr>
          <w:rFonts w:asciiTheme="minorBidi" w:hAnsiTheme="minorBidi"/>
        </w:rPr>
        <w:t>. Removing “junior” tasks without redesigning development routes erodes future capability pipeline</w:t>
      </w:r>
      <w:r w:rsidR="00E91273">
        <w:rPr>
          <w:rFonts w:asciiTheme="minorBidi" w:hAnsiTheme="minorBidi"/>
        </w:rPr>
        <w:t xml:space="preserve"> providing limited progression routes for employees</w:t>
      </w:r>
      <w:r w:rsidRPr="003E64A7">
        <w:rPr>
          <w:rFonts w:asciiTheme="minorBidi" w:hAnsiTheme="minorBidi"/>
        </w:rPr>
        <w:t xml:space="preserve"> and creates long-term leadership risk (Edmondson and Chamorro-</w:t>
      </w:r>
      <w:proofErr w:type="spellStart"/>
      <w:r w:rsidRPr="003E64A7">
        <w:rPr>
          <w:rFonts w:asciiTheme="minorBidi" w:hAnsiTheme="minorBidi"/>
        </w:rPr>
        <w:t>Premuzic</w:t>
      </w:r>
      <w:proofErr w:type="spellEnd"/>
      <w:r w:rsidRPr="003E64A7">
        <w:rPr>
          <w:rFonts w:asciiTheme="minorBidi" w:hAnsiTheme="minorBidi"/>
        </w:rPr>
        <w:t>, 2026). The “AI wall”</w:t>
      </w:r>
      <w:r w:rsidR="00434FBC">
        <w:rPr>
          <w:rFonts w:asciiTheme="minorBidi" w:hAnsiTheme="minorBidi"/>
        </w:rPr>
        <w:t xml:space="preserve"> e</w:t>
      </w:r>
      <w:r w:rsidR="00434FBC" w:rsidRPr="00434FBC">
        <w:rPr>
          <w:rFonts w:asciiTheme="minorBidi" w:hAnsiTheme="minorBidi"/>
        </w:rPr>
        <w:t>vidence suggests that AI improves performance mainly when employees already have relevant knowledge or experience; without this foundation, they may struggle to assess or refine outputs effectively.</w:t>
      </w:r>
      <w:r w:rsidRPr="003E64A7">
        <w:rPr>
          <w:rFonts w:asciiTheme="minorBidi" w:hAnsiTheme="minorBidi"/>
        </w:rPr>
        <w:t xml:space="preserve"> (</w:t>
      </w:r>
      <w:proofErr w:type="spellStart"/>
      <w:r w:rsidRPr="003E64A7">
        <w:rPr>
          <w:rFonts w:asciiTheme="minorBidi" w:hAnsiTheme="minorBidi"/>
        </w:rPr>
        <w:t>Vendraminelli</w:t>
      </w:r>
      <w:proofErr w:type="spellEnd"/>
      <w:r w:rsidRPr="003E64A7">
        <w:rPr>
          <w:rFonts w:asciiTheme="minorBidi" w:hAnsiTheme="minorBidi"/>
        </w:rPr>
        <w:t xml:space="preserve"> et al., 2026). HR-led job redesign must therefore preserve learning-by-doing and progression-relevant skills rather than narrowing roles into monitored task execution.</w:t>
      </w:r>
      <w:r w:rsidR="007E2AFC">
        <w:rPr>
          <w:rFonts w:asciiTheme="minorBidi" w:hAnsiTheme="minorBidi"/>
        </w:rPr>
        <w:t xml:space="preserve"> </w:t>
      </w:r>
      <w:r w:rsidRPr="003E64A7">
        <w:rPr>
          <w:rFonts w:asciiTheme="minorBidi" w:hAnsiTheme="minorBidi"/>
        </w:rPr>
        <w:t>Job redesign can enhance service quality and retention only if HR manages the efficiency</w:t>
      </w:r>
      <w:r w:rsidR="00D55712">
        <w:rPr>
          <w:rFonts w:asciiTheme="minorBidi" w:hAnsiTheme="minorBidi"/>
        </w:rPr>
        <w:t xml:space="preserve">, </w:t>
      </w:r>
      <w:r w:rsidRPr="003E64A7">
        <w:rPr>
          <w:rFonts w:asciiTheme="minorBidi" w:hAnsiTheme="minorBidi"/>
        </w:rPr>
        <w:t>autonomy trade-off and safeguards entry-level development.</w:t>
      </w:r>
    </w:p>
    <w:p w14:paraId="78A958FA" w14:textId="4AD75E60" w:rsidR="003E64A7" w:rsidRPr="003E64A7" w:rsidRDefault="003E64A7" w:rsidP="003E64A7">
      <w:pPr>
        <w:spacing w:line="480" w:lineRule="auto"/>
        <w:rPr>
          <w:rFonts w:asciiTheme="minorBidi" w:hAnsiTheme="minorBidi"/>
        </w:rPr>
      </w:pPr>
    </w:p>
    <w:p w14:paraId="13C755ED" w14:textId="6500B1D0" w:rsidR="003E64A7" w:rsidRPr="003E64A7" w:rsidRDefault="003E64A7" w:rsidP="00D55712">
      <w:pPr>
        <w:pStyle w:val="Heading2"/>
      </w:pPr>
      <w:bookmarkStart w:id="6" w:name="_Toc227913435"/>
      <w:r w:rsidRPr="003E64A7">
        <w:t>3.2 Leadership for AI-enabled change: Transformational leadership</w:t>
      </w:r>
      <w:bookmarkEnd w:id="6"/>
    </w:p>
    <w:p w14:paraId="6138162D" w14:textId="058C0AA7" w:rsidR="003E64A7" w:rsidRPr="003E64A7" w:rsidRDefault="003E64A7" w:rsidP="005D7C47">
      <w:pPr>
        <w:spacing w:line="480" w:lineRule="auto"/>
        <w:rPr>
          <w:rFonts w:asciiTheme="minorBidi" w:hAnsiTheme="minorBidi"/>
        </w:rPr>
      </w:pPr>
      <w:r w:rsidRPr="003E64A7">
        <w:rPr>
          <w:rFonts w:asciiTheme="minorBidi" w:hAnsiTheme="minorBidi"/>
        </w:rPr>
        <w:t>Transformational leadership is an appropriate lens</w:t>
      </w:r>
      <w:r w:rsidR="008847A1">
        <w:rPr>
          <w:rFonts w:asciiTheme="minorBidi" w:hAnsiTheme="minorBidi"/>
        </w:rPr>
        <w:t xml:space="preserve"> for this </w:t>
      </w:r>
      <w:r w:rsidR="002D0685">
        <w:rPr>
          <w:rFonts w:asciiTheme="minorBidi" w:hAnsiTheme="minorBidi"/>
        </w:rPr>
        <w:t xml:space="preserve">discussion </w:t>
      </w:r>
      <w:r w:rsidRPr="003E64A7">
        <w:rPr>
          <w:rFonts w:asciiTheme="minorBidi" w:hAnsiTheme="minorBidi"/>
        </w:rPr>
        <w:t xml:space="preserve">because it emphasises purpose, engagement, and culture alignment (Burns, 1978; Bass and Riggio, 2006). </w:t>
      </w:r>
      <w:r w:rsidR="005D7C47" w:rsidRPr="005D7C47">
        <w:rPr>
          <w:rFonts w:asciiTheme="minorBidi" w:hAnsiTheme="minorBidi"/>
        </w:rPr>
        <w:t>Leaders need to clearly communicate a shared purpose that positions digital tools as enhancing hospitality by supporting judgement and service recovery, rather than replacing the human element. Without this</w:t>
      </w:r>
      <w:r w:rsidR="00E91273">
        <w:rPr>
          <w:rFonts w:asciiTheme="minorBidi" w:hAnsiTheme="minorBidi"/>
        </w:rPr>
        <w:t xml:space="preserve"> </w:t>
      </w:r>
      <w:r w:rsidR="003968D5">
        <w:rPr>
          <w:rFonts w:asciiTheme="minorBidi" w:hAnsiTheme="minorBidi"/>
        </w:rPr>
        <w:t>clear communication around the adoptions of AI tools to support change and innovation</w:t>
      </w:r>
      <w:r w:rsidR="005D7C47" w:rsidRPr="005D7C47">
        <w:rPr>
          <w:rFonts w:asciiTheme="minorBidi" w:hAnsiTheme="minorBidi"/>
        </w:rPr>
        <w:t>, employees are more likely to perceive change as a threat, increased monitoring, or a cost-cutting measure.</w:t>
      </w:r>
    </w:p>
    <w:p w14:paraId="3FB79537" w14:textId="68815D31" w:rsidR="003E64A7" w:rsidRPr="003E64A7" w:rsidRDefault="003E64A7" w:rsidP="0098797F">
      <w:pPr>
        <w:spacing w:line="480" w:lineRule="auto"/>
        <w:rPr>
          <w:rFonts w:asciiTheme="minorBidi" w:hAnsiTheme="minorBidi"/>
        </w:rPr>
      </w:pPr>
      <w:r w:rsidRPr="003E64A7">
        <w:rPr>
          <w:rFonts w:asciiTheme="minorBidi" w:hAnsiTheme="minorBidi"/>
        </w:rPr>
        <w:t>Evidence indicates efficiency-first narratives increase resistance and reduce trust, particularly where workers perceive lowered autonomy or diminished value (</w:t>
      </w:r>
      <w:proofErr w:type="spellStart"/>
      <w:r w:rsidRPr="003E64A7">
        <w:rPr>
          <w:rFonts w:asciiTheme="minorBidi" w:hAnsiTheme="minorBidi"/>
        </w:rPr>
        <w:t>Puntoni</w:t>
      </w:r>
      <w:proofErr w:type="spellEnd"/>
      <w:r w:rsidRPr="003E64A7">
        <w:rPr>
          <w:rFonts w:asciiTheme="minorBidi" w:hAnsiTheme="minorBidi"/>
        </w:rPr>
        <w:t xml:space="preserve"> et al., 2026). </w:t>
      </w:r>
      <w:r w:rsidR="0098797F" w:rsidRPr="0098797F">
        <w:rPr>
          <w:rFonts w:asciiTheme="minorBidi" w:hAnsiTheme="minorBidi"/>
        </w:rPr>
        <w:t>This is consistent with engagement theory, which suggests that employees are more likely to invest discretionary effort when they experience psychological meaningfulness, safety, and availability</w:t>
      </w:r>
      <w:r w:rsidR="0098797F">
        <w:rPr>
          <w:rFonts w:asciiTheme="minorBidi" w:hAnsiTheme="minorBidi"/>
        </w:rPr>
        <w:t xml:space="preserve"> - </w:t>
      </w:r>
      <w:r w:rsidR="0098797F" w:rsidRPr="0098797F">
        <w:rPr>
          <w:rFonts w:asciiTheme="minorBidi" w:hAnsiTheme="minorBidi"/>
        </w:rPr>
        <w:t xml:space="preserve">conditions that can be weakened by uncertainty and perceived monitoring </w:t>
      </w:r>
      <w:r w:rsidRPr="003E64A7">
        <w:rPr>
          <w:rFonts w:asciiTheme="minorBidi" w:hAnsiTheme="minorBidi"/>
        </w:rPr>
        <w:t>(Kahn, 1990; Edmondson, 2018). Hospitality managers often operate under high workload and emotional demands; this reduces</w:t>
      </w:r>
      <w:r w:rsidR="003968D5">
        <w:rPr>
          <w:rFonts w:asciiTheme="minorBidi" w:hAnsiTheme="minorBidi"/>
        </w:rPr>
        <w:t xml:space="preserve"> the</w:t>
      </w:r>
      <w:r w:rsidRPr="003E64A7">
        <w:rPr>
          <w:rFonts w:asciiTheme="minorBidi" w:hAnsiTheme="minorBidi"/>
        </w:rPr>
        <w:t xml:space="preserve"> capacity for high-quality change conversations and increases superficial compliance risks (CIPD, 2024; Mullins, 2016).</w:t>
      </w:r>
    </w:p>
    <w:p w14:paraId="4B1787FB" w14:textId="69EF3312" w:rsidR="003E64A7" w:rsidRPr="003E64A7" w:rsidRDefault="003E64A7" w:rsidP="003E64A7">
      <w:pPr>
        <w:spacing w:line="480" w:lineRule="auto"/>
        <w:rPr>
          <w:rFonts w:asciiTheme="minorBidi" w:hAnsiTheme="minorBidi"/>
        </w:rPr>
      </w:pPr>
      <w:r w:rsidRPr="003E64A7">
        <w:rPr>
          <w:rFonts w:asciiTheme="minorBidi" w:hAnsiTheme="minorBidi"/>
        </w:rPr>
        <w:t>Transformational behaviours</w:t>
      </w:r>
      <w:r w:rsidR="00D55712">
        <w:rPr>
          <w:rFonts w:asciiTheme="minorBidi" w:hAnsiTheme="minorBidi"/>
        </w:rPr>
        <w:t xml:space="preserve">, </w:t>
      </w:r>
      <w:r w:rsidRPr="003E64A7">
        <w:rPr>
          <w:rFonts w:asciiTheme="minorBidi" w:hAnsiTheme="minorBidi"/>
        </w:rPr>
        <w:t>vision, individualised consideration, and role modelling</w:t>
      </w:r>
      <w:r w:rsidR="00D55712">
        <w:rPr>
          <w:rFonts w:asciiTheme="minorBidi" w:hAnsiTheme="minorBidi"/>
        </w:rPr>
        <w:t xml:space="preserve">, </w:t>
      </w:r>
      <w:r w:rsidRPr="003E64A7">
        <w:rPr>
          <w:rFonts w:asciiTheme="minorBidi" w:hAnsiTheme="minorBidi"/>
        </w:rPr>
        <w:t>are therefore critical, particularly for supervisors who act as change translator</w:t>
      </w:r>
      <w:r w:rsidR="00A351C1">
        <w:rPr>
          <w:rFonts w:asciiTheme="minorBidi" w:hAnsiTheme="minorBidi"/>
        </w:rPr>
        <w:t>s</w:t>
      </w:r>
      <w:r w:rsidRPr="003E64A7">
        <w:rPr>
          <w:rFonts w:asciiTheme="minorBidi" w:hAnsiTheme="minorBidi"/>
        </w:rPr>
        <w:t>. Leadership capability, while necessary, is insufficient in isolation</w:t>
      </w:r>
      <w:r w:rsidR="003968D5">
        <w:rPr>
          <w:rFonts w:asciiTheme="minorBidi" w:hAnsiTheme="minorBidi"/>
        </w:rPr>
        <w:t>.</w:t>
      </w:r>
      <w:r w:rsidR="00AD32B9">
        <w:rPr>
          <w:rFonts w:asciiTheme="minorBidi" w:hAnsiTheme="minorBidi"/>
        </w:rPr>
        <w:t xml:space="preserve"> </w:t>
      </w:r>
      <w:r w:rsidR="00A70B83">
        <w:rPr>
          <w:rFonts w:asciiTheme="minorBidi" w:hAnsiTheme="minorBidi"/>
        </w:rPr>
        <w:t>E</w:t>
      </w:r>
      <w:r w:rsidR="00A70B83" w:rsidRPr="003E64A7">
        <w:rPr>
          <w:rFonts w:asciiTheme="minorBidi" w:hAnsiTheme="minorBidi"/>
        </w:rPr>
        <w:t>ffective</w:t>
      </w:r>
      <w:r w:rsidRPr="003E64A7">
        <w:rPr>
          <w:rFonts w:asciiTheme="minorBidi" w:hAnsiTheme="minorBidi"/>
        </w:rPr>
        <w:t xml:space="preserve"> adoption also depends on structured change design that </w:t>
      </w:r>
      <w:r w:rsidR="00A20163">
        <w:rPr>
          <w:rFonts w:asciiTheme="minorBidi" w:hAnsiTheme="minorBidi"/>
        </w:rPr>
        <w:t>includes</w:t>
      </w:r>
      <w:r w:rsidRPr="003E64A7">
        <w:rPr>
          <w:rFonts w:asciiTheme="minorBidi" w:hAnsiTheme="minorBidi"/>
        </w:rPr>
        <w:t xml:space="preserve"> communication, builds coalitions, and reinforces new practices (Kotter, 1996; Lewin, 1947).</w:t>
      </w:r>
      <w:r>
        <w:rPr>
          <w:rFonts w:asciiTheme="minorBidi" w:hAnsiTheme="minorBidi"/>
        </w:rPr>
        <w:t xml:space="preserve"> </w:t>
      </w:r>
      <w:r w:rsidRPr="003E64A7">
        <w:rPr>
          <w:rFonts w:asciiTheme="minorBidi" w:hAnsiTheme="minorBidi"/>
        </w:rPr>
        <w:t>Sustaining psychological safety and discretionary service behaviours under uncertainty is a leadership dependency for successful workforce outcomes.</w:t>
      </w:r>
    </w:p>
    <w:p w14:paraId="60C897E7" w14:textId="2E868AD7" w:rsidR="003E64A7" w:rsidRPr="003E64A7" w:rsidRDefault="003E64A7" w:rsidP="003E64A7">
      <w:pPr>
        <w:spacing w:line="480" w:lineRule="auto"/>
        <w:rPr>
          <w:rFonts w:asciiTheme="minorBidi" w:hAnsiTheme="minorBidi"/>
        </w:rPr>
      </w:pPr>
    </w:p>
    <w:p w14:paraId="0A78578E" w14:textId="7A8923C2" w:rsidR="003E64A7" w:rsidRPr="003E64A7" w:rsidRDefault="003E64A7" w:rsidP="00D55712">
      <w:pPr>
        <w:pStyle w:val="Heading2"/>
      </w:pPr>
      <w:bookmarkStart w:id="7" w:name="_Toc227913436"/>
      <w:r w:rsidRPr="003E64A7">
        <w:t>3.3 Differentiated leadership across roles and brands: Situational/adaptive</w:t>
      </w:r>
      <w:bookmarkEnd w:id="7"/>
      <w:r w:rsidRPr="003E64A7">
        <w:t xml:space="preserve"> </w:t>
      </w:r>
    </w:p>
    <w:p w14:paraId="45C3A5DF" w14:textId="2788AE81" w:rsidR="003E64A7" w:rsidRPr="003E64A7" w:rsidRDefault="003E64A7" w:rsidP="003E64A7">
      <w:pPr>
        <w:spacing w:line="480" w:lineRule="auto"/>
        <w:rPr>
          <w:rFonts w:asciiTheme="minorBidi" w:hAnsiTheme="minorBidi"/>
        </w:rPr>
      </w:pPr>
      <w:r w:rsidRPr="003E64A7">
        <w:rPr>
          <w:rFonts w:asciiTheme="minorBidi" w:hAnsiTheme="minorBidi"/>
        </w:rPr>
        <w:t xml:space="preserve">Accor’s multi-brand structure requires differentiated leadership because readiness, role risk, and service propositions vary by brand and site. Situational leadership suggests leaders must adapt style and support to competence and commitment </w:t>
      </w:r>
      <w:r w:rsidR="003968D5">
        <w:rPr>
          <w:rFonts w:asciiTheme="minorBidi" w:hAnsiTheme="minorBidi"/>
        </w:rPr>
        <w:t xml:space="preserve">variations </w:t>
      </w:r>
      <w:r w:rsidRPr="003E64A7">
        <w:rPr>
          <w:rFonts w:asciiTheme="minorBidi" w:hAnsiTheme="minorBidi"/>
        </w:rPr>
        <w:t xml:space="preserve">across groups (Hersey, Blanchard and Johnson, 2013). A single global programme risks </w:t>
      </w:r>
      <w:r w:rsidR="00867386" w:rsidRPr="003E64A7">
        <w:rPr>
          <w:rFonts w:asciiTheme="minorBidi" w:hAnsiTheme="minorBidi"/>
        </w:rPr>
        <w:t>ordinary</w:t>
      </w:r>
      <w:r w:rsidRPr="003E64A7">
        <w:rPr>
          <w:rFonts w:asciiTheme="minorBidi" w:hAnsiTheme="minorBidi"/>
        </w:rPr>
        <w:t xml:space="preserve"> solutions that fit no one, particularly where local labour markets and role designs differ (Boxall and Purcell, 2016; OECD, 2023).</w:t>
      </w:r>
    </w:p>
    <w:p w14:paraId="7DBF3A31" w14:textId="64215CB2" w:rsidR="003E64A7" w:rsidRPr="003E64A7" w:rsidRDefault="003E64A7" w:rsidP="003E64A7">
      <w:pPr>
        <w:spacing w:line="480" w:lineRule="auto"/>
        <w:rPr>
          <w:rFonts w:asciiTheme="minorBidi" w:hAnsiTheme="minorBidi"/>
        </w:rPr>
      </w:pPr>
      <w:r w:rsidRPr="003E64A7">
        <w:rPr>
          <w:rFonts w:asciiTheme="minorBidi" w:hAnsiTheme="minorBidi"/>
        </w:rPr>
        <w:t xml:space="preserve">Adaptive leadership supports experimentation and local learning loops: pilots, feedback, and iteration reduce implementation risk and improve legitimacy (Heifetz, </w:t>
      </w:r>
      <w:proofErr w:type="spellStart"/>
      <w:r w:rsidRPr="003E64A7">
        <w:rPr>
          <w:rFonts w:asciiTheme="minorBidi" w:hAnsiTheme="minorBidi"/>
        </w:rPr>
        <w:t>Grashow</w:t>
      </w:r>
      <w:proofErr w:type="spellEnd"/>
      <w:r w:rsidRPr="003E64A7">
        <w:rPr>
          <w:rFonts w:asciiTheme="minorBidi" w:hAnsiTheme="minorBidi"/>
        </w:rPr>
        <w:t xml:space="preserve"> and Linsky, 2009). This aligns with evidence that analytics-driven management practices interact with local context and managerial judgement rather than functioning as </w:t>
      </w:r>
      <w:r w:rsidR="00867386" w:rsidRPr="003E64A7">
        <w:rPr>
          <w:rFonts w:asciiTheme="minorBidi" w:hAnsiTheme="minorBidi"/>
        </w:rPr>
        <w:t>general</w:t>
      </w:r>
      <w:r w:rsidRPr="003E64A7">
        <w:rPr>
          <w:rFonts w:asciiTheme="minorBidi" w:hAnsiTheme="minorBidi"/>
        </w:rPr>
        <w:t xml:space="preserve"> </w:t>
      </w:r>
      <w:r w:rsidR="00867386" w:rsidRPr="003E64A7">
        <w:rPr>
          <w:rFonts w:asciiTheme="minorBidi" w:hAnsiTheme="minorBidi"/>
        </w:rPr>
        <w:t>directions</w:t>
      </w:r>
      <w:r w:rsidRPr="003E64A7">
        <w:rPr>
          <w:rFonts w:asciiTheme="minorBidi" w:hAnsiTheme="minorBidi"/>
        </w:rPr>
        <w:t xml:space="preserve"> (Rani and Furrer, 2021).</w:t>
      </w:r>
      <w:r w:rsidR="003968D5">
        <w:rPr>
          <w:rFonts w:asciiTheme="minorBidi" w:hAnsiTheme="minorBidi"/>
        </w:rPr>
        <w:t xml:space="preserve"> This enables employees to feel involved in any proposed implemented changes. Implemented changes can be adopted and adapted in different ways depending on the service requirements.</w:t>
      </w:r>
    </w:p>
    <w:p w14:paraId="2751C4B3" w14:textId="23BE8DDE" w:rsidR="003E64A7" w:rsidRPr="003E64A7" w:rsidRDefault="003E64A7" w:rsidP="003E64A7">
      <w:pPr>
        <w:spacing w:line="480" w:lineRule="auto"/>
        <w:rPr>
          <w:rFonts w:asciiTheme="minorBidi" w:hAnsiTheme="minorBidi"/>
        </w:rPr>
      </w:pPr>
      <w:r w:rsidRPr="003E64A7">
        <w:rPr>
          <w:rFonts w:asciiTheme="minorBidi" w:hAnsiTheme="minorBidi"/>
        </w:rPr>
        <w:t>HR sets capability frameworks and ethical baselines while enabling local adaptation, ensuring consistent standards with operational learning and brand-specific practice (Ulrich, 1997; OECD, 2019).</w:t>
      </w:r>
      <w:r>
        <w:rPr>
          <w:rFonts w:asciiTheme="minorBidi" w:hAnsiTheme="minorBidi"/>
        </w:rPr>
        <w:t xml:space="preserve"> </w:t>
      </w:r>
      <w:r w:rsidRPr="003E64A7">
        <w:rPr>
          <w:rFonts w:asciiTheme="minorBidi" w:hAnsiTheme="minorBidi"/>
        </w:rPr>
        <w:t>Standardisation enables control but risks weakening local ownership; adaptive approaches may be slower but improve adoption quality and trust.</w:t>
      </w:r>
    </w:p>
    <w:p w14:paraId="06F3C49F" w14:textId="60554115" w:rsidR="003E64A7" w:rsidRDefault="003E64A7" w:rsidP="003E64A7">
      <w:pPr>
        <w:spacing w:line="480" w:lineRule="auto"/>
        <w:rPr>
          <w:rFonts w:asciiTheme="minorBidi" w:hAnsiTheme="minorBidi"/>
        </w:rPr>
      </w:pPr>
    </w:p>
    <w:p w14:paraId="6572D9B5" w14:textId="77777777" w:rsidR="003E64A7" w:rsidRPr="003E64A7" w:rsidRDefault="003E64A7" w:rsidP="003E64A7">
      <w:pPr>
        <w:spacing w:line="480" w:lineRule="auto"/>
        <w:rPr>
          <w:rFonts w:asciiTheme="minorBidi" w:hAnsiTheme="minorBidi"/>
        </w:rPr>
      </w:pPr>
    </w:p>
    <w:p w14:paraId="50CAC713" w14:textId="44787B6B" w:rsidR="003E64A7" w:rsidRPr="003E64A7" w:rsidRDefault="003E64A7" w:rsidP="00D55712">
      <w:pPr>
        <w:pStyle w:val="Heading2"/>
      </w:pPr>
      <w:bookmarkStart w:id="8" w:name="_Toc227913437"/>
      <w:r w:rsidRPr="003E64A7">
        <w:t>3.4 Responsible AI, ethical leadership, and employee voice</w:t>
      </w:r>
      <w:bookmarkEnd w:id="8"/>
    </w:p>
    <w:p w14:paraId="0E441067" w14:textId="6E7603F2" w:rsidR="003E64A7" w:rsidRPr="003E64A7" w:rsidRDefault="003E64A7" w:rsidP="003E64A7">
      <w:pPr>
        <w:spacing w:line="480" w:lineRule="auto"/>
        <w:rPr>
          <w:rFonts w:asciiTheme="minorBidi" w:hAnsiTheme="minorBidi"/>
        </w:rPr>
      </w:pPr>
      <w:r w:rsidRPr="003E64A7">
        <w:rPr>
          <w:rFonts w:asciiTheme="minorBidi" w:hAnsiTheme="minorBidi"/>
        </w:rPr>
        <w:t>Ethical leadership is operationally central</w:t>
      </w:r>
      <w:r w:rsidR="003968D5">
        <w:rPr>
          <w:rFonts w:asciiTheme="minorBidi" w:hAnsiTheme="minorBidi"/>
        </w:rPr>
        <w:t xml:space="preserve"> when considering the implementation of AI within services</w:t>
      </w:r>
      <w:r w:rsidRPr="003E64A7">
        <w:rPr>
          <w:rFonts w:asciiTheme="minorBidi" w:hAnsiTheme="minorBidi"/>
        </w:rPr>
        <w:t xml:space="preserve"> because digital decision support may influence scheduling, performance signals, and workload distribution</w:t>
      </w:r>
      <w:r w:rsidR="0037654D">
        <w:rPr>
          <w:rFonts w:asciiTheme="minorBidi" w:hAnsiTheme="minorBidi"/>
        </w:rPr>
        <w:t>. Each of which are</w:t>
      </w:r>
      <w:r w:rsidR="00D55712">
        <w:rPr>
          <w:rFonts w:asciiTheme="minorBidi" w:hAnsiTheme="minorBidi"/>
        </w:rPr>
        <w:t xml:space="preserve"> </w:t>
      </w:r>
      <w:r w:rsidRPr="003E64A7">
        <w:rPr>
          <w:rFonts w:asciiTheme="minorBidi" w:hAnsiTheme="minorBidi"/>
        </w:rPr>
        <w:t xml:space="preserve">highly </w:t>
      </w:r>
      <w:r w:rsidR="0037654D" w:rsidRPr="003E64A7">
        <w:rPr>
          <w:rFonts w:asciiTheme="minorBidi" w:hAnsiTheme="minorBidi"/>
        </w:rPr>
        <w:t>noticeable</w:t>
      </w:r>
      <w:r w:rsidRPr="003E64A7">
        <w:rPr>
          <w:rFonts w:asciiTheme="minorBidi" w:hAnsiTheme="minorBidi"/>
        </w:rPr>
        <w:t xml:space="preserve"> issues for frontline teams. CIPD guidance prioritises fairness, transparency, data security, inclusion, and reskilling as responsible adoption principles (CIPD, 2023; CIPD, 2025b). International principles similarly stress accountability, human oversight, and harm reduction (OECD, 2019; UNESCO, 2021).</w:t>
      </w:r>
    </w:p>
    <w:p w14:paraId="7C91A2CC" w14:textId="188717F4" w:rsidR="003E64A7" w:rsidRDefault="003E64A7" w:rsidP="003930B9">
      <w:pPr>
        <w:spacing w:line="480" w:lineRule="auto"/>
        <w:rPr>
          <w:rFonts w:asciiTheme="minorBidi" w:hAnsiTheme="minorBidi"/>
        </w:rPr>
      </w:pPr>
      <w:r w:rsidRPr="003E64A7">
        <w:rPr>
          <w:rFonts w:asciiTheme="minorBidi" w:hAnsiTheme="minorBidi"/>
        </w:rPr>
        <w:t xml:space="preserve">Likely failure points include </w:t>
      </w:r>
      <w:r w:rsidR="001848AA" w:rsidRPr="001848AA">
        <w:rPr>
          <w:rFonts w:asciiTheme="minorBidi" w:hAnsiTheme="minorBidi"/>
        </w:rPr>
        <w:t>lack of transparency in decision-making, bias carried over from historical data, and limited opportunities for employees to challenge outcomes.</w:t>
      </w:r>
      <w:r w:rsidRPr="003E64A7">
        <w:rPr>
          <w:rFonts w:asciiTheme="minorBidi" w:hAnsiTheme="minorBidi"/>
        </w:rPr>
        <w:t xml:space="preserve"> Brown and Treviño (2006) argue that ethical leadership shapes norms and decision-making by modelling fairness and accountability, which supports the case for HR-led governance and meaningful consultation. UK compliance expectations reinforce this need: </w:t>
      </w:r>
      <w:r w:rsidR="003930B9">
        <w:rPr>
          <w:rFonts w:asciiTheme="minorBidi" w:hAnsiTheme="minorBidi"/>
        </w:rPr>
        <w:t>d</w:t>
      </w:r>
      <w:r w:rsidR="003930B9" w:rsidRPr="003930B9">
        <w:rPr>
          <w:rFonts w:asciiTheme="minorBidi" w:hAnsiTheme="minorBidi"/>
        </w:rPr>
        <w:t xml:space="preserve">ata protection and equality obligations require that decisions affecting employees are transparent, proportionate, and clearly justified </w:t>
      </w:r>
      <w:r w:rsidRPr="003E64A7">
        <w:rPr>
          <w:rFonts w:asciiTheme="minorBidi" w:hAnsiTheme="minorBidi"/>
        </w:rPr>
        <w:t>(ICO, 2020; EHRC, 2022; Equality Act 2010). Emerging regulatory frameworks and external standards strengthen the case for structured risk management and documentation (NIST, 2023; EU, 2024; ILO, 2021).</w:t>
      </w:r>
      <w:r>
        <w:rPr>
          <w:rFonts w:asciiTheme="minorBidi" w:hAnsiTheme="minorBidi"/>
        </w:rPr>
        <w:t xml:space="preserve"> </w:t>
      </w:r>
      <w:r w:rsidRPr="003E64A7">
        <w:rPr>
          <w:rFonts w:asciiTheme="minorBidi" w:hAnsiTheme="minorBidi"/>
        </w:rPr>
        <w:t>Responsible governance is an enabling mechanism for trust, adoption quality, and brand reputation</w:t>
      </w:r>
      <w:r w:rsidR="003968D5">
        <w:rPr>
          <w:rFonts w:asciiTheme="minorBidi" w:hAnsiTheme="minorBidi"/>
        </w:rPr>
        <w:t>. Essentially, HR</w:t>
      </w:r>
      <w:r w:rsidRPr="003E64A7">
        <w:rPr>
          <w:rFonts w:asciiTheme="minorBidi" w:hAnsiTheme="minorBidi"/>
        </w:rPr>
        <w:t xml:space="preserve"> ownership protects workforce legitimacy.</w:t>
      </w:r>
    </w:p>
    <w:p w14:paraId="1280E762" w14:textId="77777777" w:rsidR="00670CE0" w:rsidRDefault="00670CE0" w:rsidP="003930B9">
      <w:pPr>
        <w:spacing w:line="480" w:lineRule="auto"/>
        <w:rPr>
          <w:rFonts w:asciiTheme="minorBidi" w:hAnsiTheme="minorBidi"/>
        </w:rPr>
      </w:pPr>
    </w:p>
    <w:p w14:paraId="0E3BD50A" w14:textId="77777777" w:rsidR="00670CE0" w:rsidRDefault="00670CE0" w:rsidP="003930B9">
      <w:pPr>
        <w:spacing w:line="480" w:lineRule="auto"/>
        <w:rPr>
          <w:rFonts w:asciiTheme="minorBidi" w:hAnsiTheme="minorBidi"/>
        </w:rPr>
      </w:pPr>
    </w:p>
    <w:p w14:paraId="596391F3" w14:textId="77777777" w:rsidR="00670CE0" w:rsidRDefault="00670CE0" w:rsidP="003930B9">
      <w:pPr>
        <w:spacing w:line="480" w:lineRule="auto"/>
        <w:rPr>
          <w:rFonts w:asciiTheme="minorBidi" w:hAnsiTheme="minorBidi"/>
        </w:rPr>
      </w:pPr>
    </w:p>
    <w:p w14:paraId="700DE5AF" w14:textId="77777777" w:rsidR="00670CE0" w:rsidRDefault="00670CE0" w:rsidP="003930B9">
      <w:pPr>
        <w:spacing w:line="480" w:lineRule="auto"/>
        <w:rPr>
          <w:rFonts w:asciiTheme="minorBidi" w:hAnsiTheme="minorBidi"/>
        </w:rPr>
      </w:pPr>
    </w:p>
    <w:p w14:paraId="2BEDBF07" w14:textId="77777777" w:rsidR="00670CE0" w:rsidRDefault="00670CE0" w:rsidP="003930B9">
      <w:pPr>
        <w:spacing w:line="480" w:lineRule="auto"/>
        <w:rPr>
          <w:rFonts w:asciiTheme="minorBidi" w:hAnsiTheme="minorBidi"/>
        </w:rPr>
      </w:pPr>
    </w:p>
    <w:p w14:paraId="1937EAD2" w14:textId="77777777" w:rsidR="00670CE0" w:rsidRDefault="00670CE0" w:rsidP="003930B9">
      <w:pPr>
        <w:spacing w:line="480" w:lineRule="auto"/>
        <w:rPr>
          <w:rFonts w:asciiTheme="minorBidi" w:hAnsiTheme="minorBidi"/>
        </w:rPr>
      </w:pPr>
    </w:p>
    <w:p w14:paraId="382E919C" w14:textId="77777777" w:rsidR="00670CE0" w:rsidRDefault="00670CE0" w:rsidP="003930B9">
      <w:pPr>
        <w:spacing w:line="480" w:lineRule="auto"/>
        <w:rPr>
          <w:rFonts w:asciiTheme="minorBidi" w:hAnsiTheme="minorBidi"/>
        </w:rPr>
      </w:pPr>
    </w:p>
    <w:p w14:paraId="4318CAB1" w14:textId="77777777" w:rsidR="00670CE0" w:rsidRDefault="00670CE0" w:rsidP="003930B9">
      <w:pPr>
        <w:spacing w:line="480" w:lineRule="auto"/>
        <w:rPr>
          <w:rFonts w:asciiTheme="minorBidi" w:hAnsiTheme="minorBidi"/>
        </w:rPr>
      </w:pPr>
    </w:p>
    <w:p w14:paraId="29FBA4D8" w14:textId="77777777" w:rsidR="00670CE0" w:rsidRDefault="00670CE0" w:rsidP="003930B9">
      <w:pPr>
        <w:spacing w:line="480" w:lineRule="auto"/>
        <w:rPr>
          <w:rFonts w:asciiTheme="minorBidi" w:hAnsiTheme="minorBidi"/>
        </w:rPr>
      </w:pPr>
    </w:p>
    <w:p w14:paraId="03599563" w14:textId="77777777" w:rsidR="00670CE0" w:rsidRDefault="00670CE0" w:rsidP="003930B9">
      <w:pPr>
        <w:spacing w:line="480" w:lineRule="auto"/>
        <w:rPr>
          <w:rFonts w:asciiTheme="minorBidi" w:hAnsiTheme="minorBidi"/>
        </w:rPr>
      </w:pPr>
    </w:p>
    <w:p w14:paraId="0DEB7687" w14:textId="77777777" w:rsidR="00670CE0" w:rsidRPr="003E64A7" w:rsidRDefault="00670CE0" w:rsidP="003930B9">
      <w:pPr>
        <w:spacing w:line="480" w:lineRule="auto"/>
        <w:rPr>
          <w:rFonts w:asciiTheme="minorBidi" w:hAnsiTheme="minorBidi"/>
        </w:rPr>
      </w:pPr>
    </w:p>
    <w:p w14:paraId="7A1F63B1" w14:textId="7CC7DCA1" w:rsidR="003E64A7" w:rsidRPr="003E64A7" w:rsidRDefault="003E64A7" w:rsidP="00D55712">
      <w:pPr>
        <w:pStyle w:val="Heading1"/>
      </w:pPr>
      <w:bookmarkStart w:id="9" w:name="_Toc227913438"/>
      <w:r w:rsidRPr="003E64A7">
        <w:t>4. Recommendations</w:t>
      </w:r>
      <w:bookmarkEnd w:id="9"/>
    </w:p>
    <w:p w14:paraId="2140799C" w14:textId="1A681130" w:rsidR="003E64A7" w:rsidRPr="003E64A7" w:rsidRDefault="003E64A7" w:rsidP="00D55712">
      <w:pPr>
        <w:pStyle w:val="Heading2"/>
      </w:pPr>
      <w:bookmarkStart w:id="10" w:name="_Toc227913439"/>
      <w:r w:rsidRPr="003E64A7">
        <w:t>4.1 Recommendation 1: HR-led Responsible AI Governance Framework</w:t>
      </w:r>
      <w:bookmarkEnd w:id="10"/>
      <w:r w:rsidRPr="003E64A7">
        <w:t xml:space="preserve"> </w:t>
      </w:r>
    </w:p>
    <w:p w14:paraId="41861656" w14:textId="77777777" w:rsidR="003E64A7" w:rsidRPr="003E64A7" w:rsidRDefault="003E64A7" w:rsidP="003E64A7">
      <w:pPr>
        <w:spacing w:line="480" w:lineRule="auto"/>
        <w:rPr>
          <w:rFonts w:asciiTheme="minorBidi" w:hAnsiTheme="minorBidi"/>
        </w:rPr>
      </w:pPr>
      <w:r w:rsidRPr="003E64A7">
        <w:rPr>
          <w:rFonts w:asciiTheme="minorBidi" w:hAnsiTheme="minorBidi"/>
          <w:b/>
          <w:bCs/>
        </w:rPr>
        <w:t>Aim:</w:t>
      </w:r>
      <w:r w:rsidRPr="003E64A7">
        <w:rPr>
          <w:rFonts w:asciiTheme="minorBidi" w:hAnsiTheme="minorBidi"/>
        </w:rPr>
        <w:t xml:space="preserve"> Ensure ethical, transparent, trusted use in people-impacting contexts</w:t>
      </w:r>
      <w:r w:rsidRPr="003E64A7">
        <w:rPr>
          <w:rFonts w:asciiTheme="minorBidi" w:hAnsiTheme="minorBidi"/>
        </w:rPr>
        <w:br/>
      </w:r>
      <w:r w:rsidRPr="003E64A7">
        <w:rPr>
          <w:rFonts w:asciiTheme="minorBidi" w:hAnsiTheme="minorBidi"/>
          <w:b/>
          <w:bCs/>
        </w:rPr>
        <w:t>Owner:</w:t>
      </w:r>
      <w:r w:rsidRPr="003E64A7">
        <w:rPr>
          <w:rFonts w:asciiTheme="minorBidi" w:hAnsiTheme="minorBidi"/>
        </w:rPr>
        <w:t xml:space="preserve"> Group HR Director</w:t>
      </w:r>
      <w:r w:rsidRPr="003E64A7">
        <w:rPr>
          <w:rFonts w:asciiTheme="minorBidi" w:hAnsiTheme="minorBidi"/>
        </w:rPr>
        <w:br/>
      </w:r>
      <w:r w:rsidRPr="003E64A7">
        <w:rPr>
          <w:rFonts w:asciiTheme="minorBidi" w:hAnsiTheme="minorBidi"/>
          <w:b/>
          <w:bCs/>
        </w:rPr>
        <w:t>Estimated cost:</w:t>
      </w:r>
      <w:r w:rsidRPr="003E64A7">
        <w:rPr>
          <w:rFonts w:asciiTheme="minorBidi" w:hAnsiTheme="minorBidi"/>
        </w:rPr>
        <w:t xml:space="preserve"> £150k–£300k annually</w:t>
      </w:r>
    </w:p>
    <w:p w14:paraId="1E959678" w14:textId="4218ED53" w:rsidR="003E64A7" w:rsidRPr="003E64A7" w:rsidRDefault="003E64A7" w:rsidP="00197E8D">
      <w:pPr>
        <w:spacing w:line="480" w:lineRule="auto"/>
        <w:rPr>
          <w:rFonts w:asciiTheme="minorBidi" w:hAnsiTheme="minorBidi"/>
        </w:rPr>
      </w:pPr>
      <w:r w:rsidRPr="003E64A7">
        <w:rPr>
          <w:rFonts w:asciiTheme="minorBidi" w:hAnsiTheme="minorBidi"/>
        </w:rPr>
        <w:t>Implement HR-led governance with cross-functional participation (HR, Legal, Operations, IT) and explicit decision rights for people-impacting decisions. Introduce risk-tiering, transparency principles, and contestability routes enabling employees to challenge outcomes. Align governance to CIPD guidance and recognised standards to improve defensibility and consistency (CIPD, 2023; NIST, 2023; OECD, 2019).</w:t>
      </w:r>
      <w:r w:rsidRPr="003E64A7">
        <w:rPr>
          <w:rFonts w:asciiTheme="minorBidi" w:hAnsiTheme="minorBidi"/>
        </w:rPr>
        <w:br/>
      </w:r>
      <w:r w:rsidRPr="003E64A7">
        <w:rPr>
          <w:rFonts w:asciiTheme="minorBidi" w:hAnsiTheme="minorBidi"/>
          <w:b/>
          <w:bCs/>
        </w:rPr>
        <w:t>Traceability:</w:t>
      </w:r>
      <w:r w:rsidRPr="003E64A7">
        <w:rPr>
          <w:rFonts w:asciiTheme="minorBidi" w:hAnsiTheme="minorBidi"/>
        </w:rPr>
        <w:t xml:space="preserve"> This responds directly to the trust and ethical failure risks identified in </w:t>
      </w:r>
      <w:r w:rsidRPr="00CD46DE">
        <w:rPr>
          <w:rFonts w:asciiTheme="minorBidi" w:hAnsiTheme="minorBidi"/>
        </w:rPr>
        <w:t xml:space="preserve">Section </w:t>
      </w:r>
      <w:r w:rsidR="003D12A4">
        <w:rPr>
          <w:rFonts w:asciiTheme="minorBidi" w:hAnsiTheme="minorBidi"/>
        </w:rPr>
        <w:t xml:space="preserve">3.2, 3.3 and </w:t>
      </w:r>
      <w:r w:rsidRPr="00CD46DE">
        <w:rPr>
          <w:rFonts w:asciiTheme="minorBidi" w:hAnsiTheme="minorBidi"/>
        </w:rPr>
        <w:t>3.4</w:t>
      </w:r>
      <w:r w:rsidRPr="00BE3938">
        <w:rPr>
          <w:rFonts w:asciiTheme="minorBidi" w:hAnsiTheme="minorBidi"/>
        </w:rPr>
        <w:t>.</w:t>
      </w:r>
      <w:r w:rsidRPr="003E64A7">
        <w:rPr>
          <w:rFonts w:asciiTheme="minorBidi" w:hAnsiTheme="minorBidi"/>
        </w:rPr>
        <w:br/>
      </w:r>
      <w:r w:rsidRPr="003E64A7">
        <w:rPr>
          <w:rFonts w:asciiTheme="minorBidi" w:hAnsiTheme="minorBidi"/>
          <w:b/>
          <w:bCs/>
        </w:rPr>
        <w:t>Alternative considered:</w:t>
      </w:r>
      <w:r w:rsidRPr="003E64A7">
        <w:rPr>
          <w:rFonts w:asciiTheme="minorBidi" w:hAnsiTheme="minorBidi"/>
        </w:rPr>
        <w:t xml:space="preserve"> </w:t>
      </w:r>
      <w:r w:rsidR="001A3E6D" w:rsidRPr="001A3E6D">
        <w:rPr>
          <w:rFonts w:asciiTheme="minorBidi" w:hAnsiTheme="minorBidi"/>
        </w:rPr>
        <w:t>IT-led governance may enable quicker implementation, but it often lacks strong employee engagement, consultation, and ethical oversight, which can lead to greater resistance and increased reputational risk</w:t>
      </w:r>
      <w:r w:rsidR="001A3E6D">
        <w:rPr>
          <w:rFonts w:asciiTheme="minorBidi" w:hAnsiTheme="minorBidi"/>
        </w:rPr>
        <w:t xml:space="preserve"> </w:t>
      </w:r>
      <w:r w:rsidRPr="003E64A7">
        <w:rPr>
          <w:rFonts w:asciiTheme="minorBidi" w:hAnsiTheme="minorBidi"/>
        </w:rPr>
        <w:t>(CIPD, 2023).</w:t>
      </w:r>
      <w:r w:rsidRPr="003E64A7">
        <w:rPr>
          <w:rFonts w:asciiTheme="minorBidi" w:hAnsiTheme="minorBidi"/>
        </w:rPr>
        <w:br/>
      </w:r>
      <w:r w:rsidRPr="003E64A7">
        <w:rPr>
          <w:rFonts w:asciiTheme="minorBidi" w:hAnsiTheme="minorBidi"/>
          <w:b/>
          <w:bCs/>
        </w:rPr>
        <w:t>KPIs:</w:t>
      </w:r>
      <w:r w:rsidRPr="003E64A7">
        <w:rPr>
          <w:rFonts w:asciiTheme="minorBidi" w:hAnsiTheme="minorBidi"/>
        </w:rPr>
        <w:t xml:space="preserve"> </w:t>
      </w:r>
      <w:r w:rsidR="00381AAB" w:rsidRPr="00381AAB">
        <w:rPr>
          <w:rFonts w:asciiTheme="minorBidi" w:hAnsiTheme="minorBidi"/>
        </w:rPr>
        <w:t>percentage of use cases formally risk-assessed; employee trust survey (pulse) scores; number of grievances related to monitoring or scheduling; and proportion of audit actions completed within agreed timeframes.</w:t>
      </w:r>
      <w:r w:rsidRPr="003E64A7">
        <w:rPr>
          <w:rFonts w:asciiTheme="minorBidi" w:hAnsiTheme="minorBidi"/>
        </w:rPr>
        <w:br/>
      </w:r>
      <w:r w:rsidRPr="003E64A7">
        <w:rPr>
          <w:rFonts w:asciiTheme="minorBidi" w:hAnsiTheme="minorBidi"/>
          <w:b/>
          <w:bCs/>
        </w:rPr>
        <w:t>Risk/Mitigation:</w:t>
      </w:r>
      <w:r w:rsidRPr="003E64A7">
        <w:rPr>
          <w:rFonts w:asciiTheme="minorBidi" w:hAnsiTheme="minorBidi"/>
        </w:rPr>
        <w:t xml:space="preserve"> </w:t>
      </w:r>
      <w:r w:rsidR="00197E8D" w:rsidRPr="00197E8D">
        <w:rPr>
          <w:rFonts w:asciiTheme="minorBidi" w:hAnsiTheme="minorBidi"/>
        </w:rPr>
        <w:t>Perceptions of excessive bureaucracy can be addressed by limiting the framework to people-impacting use cases, maintaining efficient review cycles, and ensuring alignment with evolving employment regulations</w:t>
      </w:r>
      <w:r w:rsidR="00197E8D">
        <w:rPr>
          <w:rFonts w:asciiTheme="minorBidi" w:hAnsiTheme="minorBidi"/>
        </w:rPr>
        <w:t xml:space="preserve"> </w:t>
      </w:r>
      <w:r w:rsidRPr="003E64A7">
        <w:rPr>
          <w:rFonts w:asciiTheme="minorBidi" w:hAnsiTheme="minorBidi"/>
        </w:rPr>
        <w:t>(Lewis Silkin, 2025a; Lewis Silkin, 2025b).</w:t>
      </w:r>
    </w:p>
    <w:p w14:paraId="6BBA3D07" w14:textId="64A51E77" w:rsidR="003E64A7" w:rsidRPr="003E64A7" w:rsidRDefault="003E64A7" w:rsidP="00D55712">
      <w:pPr>
        <w:pStyle w:val="Heading2"/>
      </w:pPr>
      <w:bookmarkStart w:id="11" w:name="_Toc227913440"/>
      <w:r w:rsidRPr="003E64A7">
        <w:t>4.2 Recommendation 2: Role-Based AI Capability Academy</w:t>
      </w:r>
      <w:bookmarkEnd w:id="11"/>
    </w:p>
    <w:p w14:paraId="62C421AA" w14:textId="77777777" w:rsidR="003E64A7" w:rsidRPr="003E64A7" w:rsidRDefault="003E64A7" w:rsidP="003E64A7">
      <w:pPr>
        <w:spacing w:line="480" w:lineRule="auto"/>
        <w:rPr>
          <w:rFonts w:asciiTheme="minorBidi" w:hAnsiTheme="minorBidi"/>
        </w:rPr>
      </w:pPr>
      <w:r w:rsidRPr="003E64A7">
        <w:rPr>
          <w:rFonts w:asciiTheme="minorBidi" w:hAnsiTheme="minorBidi"/>
          <w:b/>
          <w:bCs/>
        </w:rPr>
        <w:t>Aim:</w:t>
      </w:r>
      <w:r w:rsidRPr="003E64A7">
        <w:rPr>
          <w:rFonts w:asciiTheme="minorBidi" w:hAnsiTheme="minorBidi"/>
        </w:rPr>
        <w:t xml:space="preserve"> Build differentiated capability; reduce unsafe adoption</w:t>
      </w:r>
      <w:r w:rsidRPr="003E64A7">
        <w:rPr>
          <w:rFonts w:asciiTheme="minorBidi" w:hAnsiTheme="minorBidi"/>
        </w:rPr>
        <w:br/>
      </w:r>
      <w:r w:rsidRPr="003E64A7">
        <w:rPr>
          <w:rFonts w:asciiTheme="minorBidi" w:hAnsiTheme="minorBidi"/>
          <w:b/>
          <w:bCs/>
        </w:rPr>
        <w:t>Owner:</w:t>
      </w:r>
      <w:r w:rsidRPr="003E64A7">
        <w:rPr>
          <w:rFonts w:asciiTheme="minorBidi" w:hAnsiTheme="minorBidi"/>
        </w:rPr>
        <w:t xml:space="preserve"> Head of Learning &amp; Development</w:t>
      </w:r>
      <w:r w:rsidRPr="003E64A7">
        <w:rPr>
          <w:rFonts w:asciiTheme="minorBidi" w:hAnsiTheme="minorBidi"/>
        </w:rPr>
        <w:br/>
      </w:r>
      <w:r w:rsidRPr="003E64A7">
        <w:rPr>
          <w:rFonts w:asciiTheme="minorBidi" w:hAnsiTheme="minorBidi"/>
          <w:b/>
          <w:bCs/>
        </w:rPr>
        <w:t>Estimated cost:</w:t>
      </w:r>
      <w:r w:rsidRPr="003E64A7">
        <w:rPr>
          <w:rFonts w:asciiTheme="minorBidi" w:hAnsiTheme="minorBidi"/>
        </w:rPr>
        <w:t xml:space="preserve"> £400–£700 per participant (plus backfill/release time)</w:t>
      </w:r>
    </w:p>
    <w:p w14:paraId="205DC804" w14:textId="200E9660" w:rsidR="003E64A7" w:rsidRDefault="003E64A7" w:rsidP="00652E2A">
      <w:pPr>
        <w:spacing w:line="480" w:lineRule="auto"/>
        <w:rPr>
          <w:rFonts w:asciiTheme="minorBidi" w:hAnsiTheme="minorBidi"/>
        </w:rPr>
      </w:pPr>
      <w:r w:rsidRPr="003E64A7">
        <w:rPr>
          <w:rFonts w:asciiTheme="minorBidi" w:hAnsiTheme="minorBidi"/>
        </w:rPr>
        <w:t>Design role-specific pathways for frontline, supervisors, and corporate, combining digital literacy with judgement, coaching, and change conversations. Include manager coaching and certification to reduce unapproved tool use and improve consistency. HR should own the academy because it governs competence frameworks, progression pathways, and behavioural adoption across brands, consistent with strategic HR roles (Ulrich, 1997; CIPD, 2025a). The design recognises that tools do not create expertise without foundations (“AI wall”), requiring staged development and assessment (</w:t>
      </w:r>
      <w:proofErr w:type="spellStart"/>
      <w:r w:rsidRPr="003E64A7">
        <w:rPr>
          <w:rFonts w:asciiTheme="minorBidi" w:hAnsiTheme="minorBidi"/>
        </w:rPr>
        <w:t>Vendraminelli</w:t>
      </w:r>
      <w:proofErr w:type="spellEnd"/>
      <w:r w:rsidRPr="003E64A7">
        <w:rPr>
          <w:rFonts w:asciiTheme="minorBidi" w:hAnsiTheme="minorBidi"/>
        </w:rPr>
        <w:t xml:space="preserve"> et al., 2026).</w:t>
      </w:r>
      <w:r w:rsidRPr="003E64A7">
        <w:rPr>
          <w:rFonts w:asciiTheme="minorBidi" w:hAnsiTheme="minorBidi"/>
        </w:rPr>
        <w:br/>
      </w:r>
      <w:r w:rsidRPr="003E64A7">
        <w:rPr>
          <w:rFonts w:asciiTheme="minorBidi" w:hAnsiTheme="minorBidi"/>
          <w:b/>
          <w:bCs/>
        </w:rPr>
        <w:t>Traceability:</w:t>
      </w:r>
      <w:r w:rsidRPr="003E64A7">
        <w:rPr>
          <w:rFonts w:asciiTheme="minorBidi" w:hAnsiTheme="minorBidi"/>
        </w:rPr>
        <w:t xml:space="preserve"> This addresses the capability gaps and supervisory judgement demands identified in </w:t>
      </w:r>
      <w:r w:rsidRPr="001A6997">
        <w:rPr>
          <w:rFonts w:asciiTheme="minorBidi" w:hAnsiTheme="minorBidi"/>
        </w:rPr>
        <w:t>Section 3.1.</w:t>
      </w:r>
      <w:r w:rsidRPr="003E64A7">
        <w:rPr>
          <w:rFonts w:asciiTheme="minorBidi" w:hAnsiTheme="minorBidi"/>
        </w:rPr>
        <w:br/>
      </w:r>
      <w:r w:rsidRPr="003E64A7">
        <w:rPr>
          <w:rFonts w:asciiTheme="minorBidi" w:hAnsiTheme="minorBidi"/>
          <w:b/>
          <w:bCs/>
        </w:rPr>
        <w:t>Alternative considered:</w:t>
      </w:r>
      <w:r w:rsidRPr="003E64A7">
        <w:rPr>
          <w:rFonts w:asciiTheme="minorBidi" w:hAnsiTheme="minorBidi"/>
        </w:rPr>
        <w:t xml:space="preserve"> </w:t>
      </w:r>
      <w:r w:rsidR="003B06E3" w:rsidRPr="003B06E3">
        <w:rPr>
          <w:rFonts w:asciiTheme="minorBidi" w:hAnsiTheme="minorBidi"/>
        </w:rPr>
        <w:t>While ad hoc vendor-led training may offer lower upfront costs, it often leads to inconsistent practices and unregulated use, reducing the overall quality of adoption and weakening risk control</w:t>
      </w:r>
      <w:r w:rsidRPr="003E64A7">
        <w:rPr>
          <w:rFonts w:asciiTheme="minorBidi" w:hAnsiTheme="minorBidi"/>
        </w:rPr>
        <w:t xml:space="preserve"> (CIPD, 2025b).</w:t>
      </w:r>
      <w:r w:rsidRPr="003E64A7">
        <w:rPr>
          <w:rFonts w:asciiTheme="minorBidi" w:hAnsiTheme="minorBidi"/>
        </w:rPr>
        <w:br/>
      </w:r>
      <w:r w:rsidRPr="003E64A7">
        <w:rPr>
          <w:rFonts w:asciiTheme="minorBidi" w:hAnsiTheme="minorBidi"/>
          <w:b/>
          <w:bCs/>
        </w:rPr>
        <w:t>KPIs:</w:t>
      </w:r>
      <w:r w:rsidRPr="003E64A7">
        <w:rPr>
          <w:rFonts w:asciiTheme="minorBidi" w:hAnsiTheme="minorBidi"/>
        </w:rPr>
        <w:t xml:space="preserve"> </w:t>
      </w:r>
      <w:r w:rsidR="00652E2A" w:rsidRPr="00652E2A">
        <w:rPr>
          <w:rFonts w:asciiTheme="minorBidi" w:hAnsiTheme="minorBidi"/>
        </w:rPr>
        <w:t>training completion rates; assessment pass rates; levels of manager confidence; reduction in unapproved or informal tool use; and trends in guest satisfaction and customer complaints.</w:t>
      </w:r>
      <w:r w:rsidRPr="003E64A7">
        <w:rPr>
          <w:rFonts w:asciiTheme="minorBidi" w:hAnsiTheme="minorBidi"/>
        </w:rPr>
        <w:br/>
      </w:r>
      <w:r w:rsidRPr="003E64A7">
        <w:rPr>
          <w:rFonts w:asciiTheme="minorBidi" w:hAnsiTheme="minorBidi"/>
          <w:b/>
          <w:bCs/>
        </w:rPr>
        <w:t>Assumption example:</w:t>
      </w:r>
      <w:r w:rsidRPr="003E64A7">
        <w:rPr>
          <w:rFonts w:asciiTheme="minorBidi" w:hAnsiTheme="minorBidi"/>
        </w:rPr>
        <w:t xml:space="preserve"> £500 per learner × 200 supervisors in pilot region </w:t>
      </w:r>
      <w:r w:rsidR="002920CA">
        <w:rPr>
          <w:rFonts w:asciiTheme="minorBidi" w:hAnsiTheme="minorBidi"/>
        </w:rPr>
        <w:t>=</w:t>
      </w:r>
      <w:r w:rsidRPr="003E64A7">
        <w:rPr>
          <w:rFonts w:asciiTheme="minorBidi" w:hAnsiTheme="minorBidi"/>
        </w:rPr>
        <w:t xml:space="preserve"> £100</w:t>
      </w:r>
      <w:r w:rsidR="0028412D">
        <w:rPr>
          <w:rFonts w:asciiTheme="minorBidi" w:hAnsiTheme="minorBidi"/>
        </w:rPr>
        <w:t>,000</w:t>
      </w:r>
      <w:r w:rsidRPr="003E64A7">
        <w:rPr>
          <w:rFonts w:asciiTheme="minorBidi" w:hAnsiTheme="minorBidi"/>
        </w:rPr>
        <w:t>, excluding backfill.</w:t>
      </w:r>
      <w:r w:rsidR="00652E2A">
        <w:rPr>
          <w:rFonts w:asciiTheme="minorBidi" w:hAnsiTheme="minorBidi"/>
        </w:rPr>
        <w:t xml:space="preserve"> Backfill will allow </w:t>
      </w:r>
      <w:r w:rsidR="00E97510">
        <w:rPr>
          <w:rFonts w:asciiTheme="minorBidi" w:hAnsiTheme="minorBidi"/>
        </w:rPr>
        <w:t>lower skilled workers to gain experience.</w:t>
      </w:r>
    </w:p>
    <w:p w14:paraId="42833830" w14:textId="7E13B3CA" w:rsidR="00E56F00" w:rsidRPr="003E64A7" w:rsidRDefault="00E56F00" w:rsidP="00E56F00">
      <w:pPr>
        <w:spacing w:line="480" w:lineRule="auto"/>
        <w:rPr>
          <w:rFonts w:asciiTheme="minorBidi" w:hAnsiTheme="minorBidi"/>
        </w:rPr>
      </w:pPr>
      <w:r w:rsidRPr="00E56F00">
        <w:rPr>
          <w:rFonts w:asciiTheme="minorBidi" w:hAnsiTheme="minorBidi"/>
          <w:b/>
          <w:bCs/>
        </w:rPr>
        <w:t>Risk/Mitigation:</w:t>
      </w:r>
      <w:r w:rsidRPr="00E56F00">
        <w:rPr>
          <w:rFonts w:asciiTheme="minorBidi" w:hAnsiTheme="minorBidi"/>
        </w:rPr>
        <w:t xml:space="preserve"> Low engagement, inconsistent adoption, and superficial compliance can be mitigated through strong senior sponsorship, integration of learning into working time, site-level champions, and embedding coaching and certification to reinforce application in practice</w:t>
      </w:r>
      <w:r w:rsidR="00242258">
        <w:rPr>
          <w:rFonts w:asciiTheme="minorBidi" w:hAnsiTheme="minorBidi"/>
        </w:rPr>
        <w:t>. M</w:t>
      </w:r>
      <w:r w:rsidRPr="00E56F00">
        <w:rPr>
          <w:rFonts w:asciiTheme="minorBidi" w:hAnsiTheme="minorBidi"/>
        </w:rPr>
        <w:t xml:space="preserve">anager capability gaps should be addressed through prioritised training and ongoing support, while the risk of continued </w:t>
      </w:r>
      <w:r w:rsidR="00805DD5">
        <w:rPr>
          <w:rFonts w:asciiTheme="minorBidi" w:hAnsiTheme="minorBidi"/>
        </w:rPr>
        <w:t>unapproved use</w:t>
      </w:r>
      <w:r w:rsidRPr="00E56F00">
        <w:rPr>
          <w:rFonts w:asciiTheme="minorBidi" w:hAnsiTheme="minorBidi"/>
        </w:rPr>
        <w:t xml:space="preserve"> can be reduced through clear guidance, communication, and alignment with governance frameworks (Heifetz, </w:t>
      </w:r>
      <w:proofErr w:type="spellStart"/>
      <w:r w:rsidRPr="00E56F00">
        <w:rPr>
          <w:rFonts w:asciiTheme="minorBidi" w:hAnsiTheme="minorBidi"/>
        </w:rPr>
        <w:t>Grashow</w:t>
      </w:r>
      <w:proofErr w:type="spellEnd"/>
      <w:r w:rsidRPr="00E56F00">
        <w:rPr>
          <w:rFonts w:asciiTheme="minorBidi" w:hAnsiTheme="minorBidi"/>
        </w:rPr>
        <w:t xml:space="preserve"> and Linsky, 2009; CIPD, 2025b).</w:t>
      </w:r>
    </w:p>
    <w:p w14:paraId="785AE900" w14:textId="77777777" w:rsidR="00E15705" w:rsidRDefault="00E15705" w:rsidP="00D55712">
      <w:pPr>
        <w:pStyle w:val="Heading2"/>
      </w:pPr>
      <w:bookmarkStart w:id="12" w:name="_Toc227913441"/>
    </w:p>
    <w:p w14:paraId="48CEF3E1" w14:textId="0FE5A796" w:rsidR="003E64A7" w:rsidRPr="003E64A7" w:rsidRDefault="003E64A7" w:rsidP="00D55712">
      <w:pPr>
        <w:pStyle w:val="Heading2"/>
      </w:pPr>
      <w:r w:rsidRPr="003E64A7">
        <w:t>4.3 Recommendation 3: Job &amp; Workflow Redesign in Priority Service Journeys</w:t>
      </w:r>
      <w:bookmarkEnd w:id="12"/>
    </w:p>
    <w:p w14:paraId="466EE1F1" w14:textId="3CBA86DB" w:rsidR="003E64A7" w:rsidRPr="003E64A7" w:rsidRDefault="003E64A7" w:rsidP="004A773C">
      <w:pPr>
        <w:spacing w:line="480" w:lineRule="auto"/>
        <w:rPr>
          <w:rFonts w:asciiTheme="minorBidi" w:hAnsiTheme="minorBidi"/>
        </w:rPr>
      </w:pPr>
      <w:r w:rsidRPr="003E64A7">
        <w:rPr>
          <w:rFonts w:asciiTheme="minorBidi" w:hAnsiTheme="minorBidi"/>
          <w:b/>
          <w:bCs/>
        </w:rPr>
        <w:t>Aim:</w:t>
      </w:r>
      <w:r w:rsidRPr="003E64A7">
        <w:rPr>
          <w:rFonts w:asciiTheme="minorBidi" w:hAnsiTheme="minorBidi"/>
        </w:rPr>
        <w:t xml:space="preserve"> Protect service quality and progression while capturing productivity gains</w:t>
      </w:r>
      <w:r w:rsidRPr="003E64A7">
        <w:rPr>
          <w:rFonts w:asciiTheme="minorBidi" w:hAnsiTheme="minorBidi"/>
        </w:rPr>
        <w:br/>
      </w:r>
      <w:r w:rsidRPr="003E64A7">
        <w:rPr>
          <w:rFonts w:asciiTheme="minorBidi" w:hAnsiTheme="minorBidi"/>
          <w:b/>
          <w:bCs/>
        </w:rPr>
        <w:t>Owner:</w:t>
      </w:r>
      <w:r w:rsidRPr="003E64A7">
        <w:rPr>
          <w:rFonts w:asciiTheme="minorBidi" w:hAnsiTheme="minorBidi"/>
        </w:rPr>
        <w:t xml:space="preserve"> </w:t>
      </w:r>
      <w:r w:rsidR="004A773C" w:rsidRPr="004A773C">
        <w:rPr>
          <w:rFonts w:asciiTheme="minorBidi" w:hAnsiTheme="minorBidi"/>
        </w:rPr>
        <w:t>HR Business Partners in collaboration with the COO and Regional Operations Director</w:t>
      </w:r>
      <w:r w:rsidRPr="003E64A7">
        <w:rPr>
          <w:rFonts w:asciiTheme="minorBidi" w:hAnsiTheme="minorBidi"/>
        </w:rPr>
        <w:br/>
      </w:r>
      <w:r w:rsidRPr="003E64A7">
        <w:rPr>
          <w:rFonts w:asciiTheme="minorBidi" w:hAnsiTheme="minorBidi"/>
          <w:b/>
          <w:bCs/>
        </w:rPr>
        <w:t>Estimated cost:</w:t>
      </w:r>
      <w:r w:rsidRPr="003E64A7">
        <w:rPr>
          <w:rFonts w:asciiTheme="minorBidi" w:hAnsiTheme="minorBidi"/>
        </w:rPr>
        <w:t xml:space="preserve"> £250k</w:t>
      </w:r>
      <w:r w:rsidR="00243DE3">
        <w:rPr>
          <w:rFonts w:asciiTheme="minorBidi" w:hAnsiTheme="minorBidi"/>
        </w:rPr>
        <w:t xml:space="preserve"> - </w:t>
      </w:r>
      <w:r w:rsidRPr="003E64A7">
        <w:rPr>
          <w:rFonts w:asciiTheme="minorBidi" w:hAnsiTheme="minorBidi"/>
        </w:rPr>
        <w:t>£500k per journey pilot</w:t>
      </w:r>
    </w:p>
    <w:p w14:paraId="4ECBBFAB" w14:textId="37E87480" w:rsidR="00B10FAE" w:rsidRDefault="003E64A7" w:rsidP="00B940D2">
      <w:pPr>
        <w:spacing w:line="480" w:lineRule="auto"/>
        <w:rPr>
          <w:rFonts w:asciiTheme="minorBidi" w:hAnsiTheme="minorBidi"/>
        </w:rPr>
        <w:sectPr w:rsidR="00B10FAE" w:rsidSect="003E64A7">
          <w:footerReference w:type="default" r:id="rId9"/>
          <w:pgSz w:w="11906" w:h="16838"/>
          <w:pgMar w:top="1440" w:right="1440" w:bottom="1440" w:left="1440" w:header="708" w:footer="708" w:gutter="0"/>
          <w:pgNumType w:start="0"/>
          <w:cols w:space="708"/>
          <w:titlePg/>
          <w:docGrid w:linePitch="360"/>
        </w:sectPr>
      </w:pPr>
      <w:r w:rsidRPr="003E64A7">
        <w:rPr>
          <w:rFonts w:asciiTheme="minorBidi" w:hAnsiTheme="minorBidi"/>
        </w:rPr>
        <w:t>Pilot redesign in 2</w:t>
      </w:r>
      <w:r w:rsidR="00D55712">
        <w:rPr>
          <w:rFonts w:asciiTheme="minorBidi" w:hAnsiTheme="minorBidi"/>
        </w:rPr>
        <w:t xml:space="preserve"> - </w:t>
      </w:r>
      <w:r w:rsidRPr="003E64A7">
        <w:rPr>
          <w:rFonts w:asciiTheme="minorBidi" w:hAnsiTheme="minorBidi"/>
        </w:rPr>
        <w:t>3 service journeys. Rebalance tasks, update role profiles, autonomy boundaries, performance measures, and protect entry-level learning pathways (Hackman and Oldham, 1980; Parker, 2014). This is explicitly customer-oriented: redesigned work should reduce service failures and improve recovery, tracked via N</w:t>
      </w:r>
      <w:r w:rsidR="00243DE3">
        <w:rPr>
          <w:rFonts w:asciiTheme="minorBidi" w:hAnsiTheme="minorBidi"/>
        </w:rPr>
        <w:t xml:space="preserve">et </w:t>
      </w:r>
      <w:r w:rsidRPr="003E64A7">
        <w:rPr>
          <w:rFonts w:asciiTheme="minorBidi" w:hAnsiTheme="minorBidi"/>
        </w:rPr>
        <w:t>P</w:t>
      </w:r>
      <w:r w:rsidR="00243DE3">
        <w:rPr>
          <w:rFonts w:asciiTheme="minorBidi" w:hAnsiTheme="minorBidi"/>
        </w:rPr>
        <w:t xml:space="preserve">romoter </w:t>
      </w:r>
      <w:r w:rsidRPr="003E64A7">
        <w:rPr>
          <w:rFonts w:asciiTheme="minorBidi" w:hAnsiTheme="minorBidi"/>
        </w:rPr>
        <w:t>S</w:t>
      </w:r>
      <w:r w:rsidR="00243DE3">
        <w:rPr>
          <w:rFonts w:asciiTheme="minorBidi" w:hAnsiTheme="minorBidi"/>
        </w:rPr>
        <w:t>cores (NPS)</w:t>
      </w:r>
      <w:r w:rsidRPr="003E64A7">
        <w:rPr>
          <w:rFonts w:asciiTheme="minorBidi" w:hAnsiTheme="minorBidi"/>
        </w:rPr>
        <w:t xml:space="preserve">, complaints, and guest satisfaction (Gallino and </w:t>
      </w:r>
      <w:proofErr w:type="spellStart"/>
      <w:r w:rsidRPr="003E64A7">
        <w:rPr>
          <w:rFonts w:asciiTheme="minorBidi" w:hAnsiTheme="minorBidi"/>
        </w:rPr>
        <w:t>Apaolaza</w:t>
      </w:r>
      <w:proofErr w:type="spellEnd"/>
      <w:r w:rsidRPr="003E64A7">
        <w:rPr>
          <w:rFonts w:asciiTheme="minorBidi" w:hAnsiTheme="minorBidi"/>
        </w:rPr>
        <w:t>, 2026).</w:t>
      </w:r>
      <w:r w:rsidRPr="003E64A7">
        <w:rPr>
          <w:rFonts w:asciiTheme="minorBidi" w:hAnsiTheme="minorBidi"/>
        </w:rPr>
        <w:br/>
      </w:r>
      <w:r w:rsidRPr="003E64A7">
        <w:rPr>
          <w:rFonts w:asciiTheme="minorBidi" w:hAnsiTheme="minorBidi"/>
          <w:b/>
          <w:bCs/>
        </w:rPr>
        <w:t>Traceability:</w:t>
      </w:r>
      <w:r w:rsidRPr="003E64A7">
        <w:rPr>
          <w:rFonts w:asciiTheme="minorBidi" w:hAnsiTheme="minorBidi"/>
        </w:rPr>
        <w:t xml:space="preserve"> This responds to the efficiency</w:t>
      </w:r>
      <w:r w:rsidR="00317A29">
        <w:rPr>
          <w:rFonts w:asciiTheme="minorBidi" w:hAnsiTheme="minorBidi"/>
        </w:rPr>
        <w:t xml:space="preserve"> </w:t>
      </w:r>
      <w:r w:rsidRPr="003E64A7">
        <w:rPr>
          <w:rFonts w:asciiTheme="minorBidi" w:hAnsiTheme="minorBidi"/>
        </w:rPr>
        <w:t xml:space="preserve">autonomy trade-off and deskilling risk identified in </w:t>
      </w:r>
      <w:r w:rsidRPr="00317A29">
        <w:rPr>
          <w:rFonts w:asciiTheme="minorBidi" w:hAnsiTheme="minorBidi"/>
        </w:rPr>
        <w:t>Section 3.1.</w:t>
      </w:r>
      <w:r w:rsidR="00BE3938">
        <w:rPr>
          <w:rFonts w:asciiTheme="minorBidi" w:hAnsiTheme="minorBidi"/>
        </w:rPr>
        <w:t xml:space="preserve"> </w:t>
      </w:r>
      <w:r w:rsidRPr="003E64A7">
        <w:rPr>
          <w:rFonts w:asciiTheme="minorBidi" w:hAnsiTheme="minorBidi"/>
        </w:rPr>
        <w:br/>
      </w:r>
      <w:r w:rsidRPr="003E64A7">
        <w:rPr>
          <w:rFonts w:asciiTheme="minorBidi" w:hAnsiTheme="minorBidi"/>
          <w:b/>
          <w:bCs/>
        </w:rPr>
        <w:t>Alternative considered:</w:t>
      </w:r>
      <w:r w:rsidRPr="003E64A7">
        <w:rPr>
          <w:rFonts w:asciiTheme="minorBidi" w:hAnsiTheme="minorBidi"/>
        </w:rPr>
        <w:t xml:space="preserve"> Standardising processes without job redesign is faster, but risks intensifying work and increasing turnover, which undermines service consistency and brand trust (Kellogg, Valentine and Christin, 2020).</w:t>
      </w:r>
      <w:r w:rsidRPr="003E64A7">
        <w:rPr>
          <w:rFonts w:asciiTheme="minorBidi" w:hAnsiTheme="minorBidi"/>
        </w:rPr>
        <w:br/>
      </w:r>
      <w:r w:rsidRPr="003E64A7">
        <w:rPr>
          <w:rFonts w:asciiTheme="minorBidi" w:hAnsiTheme="minorBidi"/>
          <w:b/>
          <w:bCs/>
        </w:rPr>
        <w:t>KPIs:</w:t>
      </w:r>
      <w:r w:rsidRPr="003E64A7">
        <w:rPr>
          <w:rFonts w:asciiTheme="minorBidi" w:hAnsiTheme="minorBidi"/>
        </w:rPr>
        <w:t xml:space="preserve"> </w:t>
      </w:r>
      <w:r w:rsidR="00DC1E1D" w:rsidRPr="00DC1E1D">
        <w:rPr>
          <w:rFonts w:asciiTheme="minorBidi" w:hAnsiTheme="minorBidi"/>
        </w:rPr>
        <w:t>employee turnover rates; absence levels; employee engagement scores; time to competence; guest satisfaction and NPS; and customer complaint trends.</w:t>
      </w:r>
      <w:r w:rsidRPr="003E64A7">
        <w:rPr>
          <w:rFonts w:asciiTheme="minorBidi" w:hAnsiTheme="minorBidi"/>
        </w:rPr>
        <w:br/>
      </w:r>
      <w:r w:rsidRPr="003E64A7">
        <w:rPr>
          <w:rFonts w:asciiTheme="minorBidi" w:hAnsiTheme="minorBidi"/>
          <w:b/>
          <w:bCs/>
        </w:rPr>
        <w:t>Risk/Mitigation:</w:t>
      </w:r>
      <w:r w:rsidRPr="003E64A7">
        <w:rPr>
          <w:rFonts w:asciiTheme="minorBidi" w:hAnsiTheme="minorBidi"/>
        </w:rPr>
        <w:t xml:space="preserve"> </w:t>
      </w:r>
      <w:r w:rsidR="00B940D2" w:rsidRPr="00B940D2">
        <w:rPr>
          <w:rFonts w:asciiTheme="minorBidi" w:hAnsiTheme="minorBidi"/>
        </w:rPr>
        <w:t xml:space="preserve">Inconsistent uptake can be mitigated through strong senior sponsorship, site-level coaching, and the use of adaptive piloting with ongoing feedback and iteration </w:t>
      </w:r>
      <w:r w:rsidRPr="003E64A7">
        <w:rPr>
          <w:rFonts w:asciiTheme="minorBidi" w:hAnsiTheme="minorBidi"/>
        </w:rPr>
        <w:t xml:space="preserve">(Heifetz, </w:t>
      </w:r>
      <w:proofErr w:type="spellStart"/>
      <w:r w:rsidRPr="003E64A7">
        <w:rPr>
          <w:rFonts w:asciiTheme="minorBidi" w:hAnsiTheme="minorBidi"/>
        </w:rPr>
        <w:t>Grashow</w:t>
      </w:r>
      <w:proofErr w:type="spellEnd"/>
      <w:r w:rsidRPr="003E64A7">
        <w:rPr>
          <w:rFonts w:asciiTheme="minorBidi" w:hAnsiTheme="minorBidi"/>
        </w:rPr>
        <w:t xml:space="preserve"> and Linsky, 2009).</w:t>
      </w:r>
    </w:p>
    <w:p w14:paraId="5DCA3FD6" w14:textId="77777777" w:rsidR="003E64A7" w:rsidRDefault="003E64A7" w:rsidP="00D55712">
      <w:pPr>
        <w:pStyle w:val="Heading1"/>
      </w:pPr>
      <w:bookmarkStart w:id="13" w:name="_Toc227913442"/>
      <w:r w:rsidRPr="003E64A7">
        <w:t>5. SMART Table</w:t>
      </w:r>
      <w:bookmarkEnd w:id="13"/>
    </w:p>
    <w:p w14:paraId="2D5482F5" w14:textId="77777777" w:rsidR="003165E9" w:rsidRDefault="003165E9" w:rsidP="003165E9"/>
    <w:tbl>
      <w:tblPr>
        <w:tblStyle w:val="TableGrid"/>
        <w:tblW w:w="0" w:type="auto"/>
        <w:tblLook w:val="04A0" w:firstRow="1" w:lastRow="0" w:firstColumn="1" w:lastColumn="0" w:noHBand="0" w:noVBand="1"/>
      </w:tblPr>
      <w:tblGrid>
        <w:gridCol w:w="2230"/>
        <w:gridCol w:w="2044"/>
        <w:gridCol w:w="2479"/>
        <w:gridCol w:w="1960"/>
        <w:gridCol w:w="1591"/>
        <w:gridCol w:w="2013"/>
        <w:gridCol w:w="1631"/>
      </w:tblGrid>
      <w:tr w:rsidR="00B608BD" w14:paraId="5308E5A1" w14:textId="77777777" w:rsidTr="00B608BD">
        <w:tc>
          <w:tcPr>
            <w:tcW w:w="2230" w:type="dxa"/>
            <w:shd w:val="clear" w:color="auto" w:fill="E8E8E8" w:themeFill="background2"/>
            <w:vAlign w:val="center"/>
          </w:tcPr>
          <w:p w14:paraId="03196AA0" w14:textId="0BFEC81C" w:rsidR="003165E9" w:rsidRDefault="003165E9" w:rsidP="00E44CEE">
            <w:pPr>
              <w:jc w:val="center"/>
            </w:pPr>
            <w:r w:rsidRPr="003E64A7">
              <w:rPr>
                <w:rFonts w:asciiTheme="minorBidi" w:hAnsiTheme="minorBidi"/>
                <w:b/>
                <w:bCs/>
              </w:rPr>
              <w:t>Recommendation</w:t>
            </w:r>
          </w:p>
        </w:tc>
        <w:tc>
          <w:tcPr>
            <w:tcW w:w="2160" w:type="dxa"/>
            <w:shd w:val="clear" w:color="auto" w:fill="E8E8E8" w:themeFill="background2"/>
            <w:vAlign w:val="center"/>
          </w:tcPr>
          <w:p w14:paraId="011C2A36" w14:textId="484F8362" w:rsidR="003165E9" w:rsidRDefault="003165E9" w:rsidP="00E44CEE">
            <w:pPr>
              <w:jc w:val="center"/>
            </w:pPr>
            <w:r w:rsidRPr="003E64A7">
              <w:rPr>
                <w:rFonts w:asciiTheme="minorBidi" w:hAnsiTheme="minorBidi"/>
                <w:b/>
                <w:bCs/>
              </w:rPr>
              <w:t>Specific</w:t>
            </w:r>
          </w:p>
        </w:tc>
        <w:tc>
          <w:tcPr>
            <w:tcW w:w="2764" w:type="dxa"/>
            <w:shd w:val="clear" w:color="auto" w:fill="E8E8E8" w:themeFill="background2"/>
            <w:vAlign w:val="center"/>
          </w:tcPr>
          <w:p w14:paraId="308C01EF" w14:textId="2D701CB2" w:rsidR="003165E9" w:rsidRDefault="003165E9" w:rsidP="00E44CEE">
            <w:pPr>
              <w:jc w:val="center"/>
            </w:pPr>
            <w:r w:rsidRPr="003E64A7">
              <w:rPr>
                <w:rFonts w:asciiTheme="minorBidi" w:hAnsiTheme="minorBidi"/>
                <w:b/>
                <w:bCs/>
              </w:rPr>
              <w:t>Measurable (KPIs)</w:t>
            </w:r>
          </w:p>
        </w:tc>
        <w:tc>
          <w:tcPr>
            <w:tcW w:w="2073" w:type="dxa"/>
            <w:shd w:val="clear" w:color="auto" w:fill="E8E8E8" w:themeFill="background2"/>
            <w:vAlign w:val="center"/>
          </w:tcPr>
          <w:p w14:paraId="0632EDA9" w14:textId="4109A730" w:rsidR="003165E9" w:rsidRDefault="003165E9" w:rsidP="00E44CEE">
            <w:pPr>
              <w:jc w:val="center"/>
            </w:pPr>
            <w:r w:rsidRPr="003E64A7">
              <w:rPr>
                <w:rFonts w:asciiTheme="minorBidi" w:hAnsiTheme="minorBidi"/>
                <w:b/>
                <w:bCs/>
              </w:rPr>
              <w:t>Achievable (how)</w:t>
            </w:r>
          </w:p>
        </w:tc>
        <w:tc>
          <w:tcPr>
            <w:tcW w:w="1471" w:type="dxa"/>
            <w:shd w:val="clear" w:color="auto" w:fill="E8E8E8" w:themeFill="background2"/>
            <w:vAlign w:val="center"/>
          </w:tcPr>
          <w:p w14:paraId="6AD429CC" w14:textId="2A5FC411" w:rsidR="003165E9" w:rsidRDefault="003165E9" w:rsidP="00E44CEE">
            <w:pPr>
              <w:jc w:val="center"/>
            </w:pPr>
            <w:r w:rsidRPr="003E64A7">
              <w:rPr>
                <w:rFonts w:asciiTheme="minorBidi" w:hAnsiTheme="minorBidi"/>
                <w:b/>
                <w:bCs/>
              </w:rPr>
              <w:t>Relevant</w:t>
            </w:r>
          </w:p>
        </w:tc>
        <w:tc>
          <w:tcPr>
            <w:tcW w:w="2065" w:type="dxa"/>
            <w:shd w:val="clear" w:color="auto" w:fill="E8E8E8" w:themeFill="background2"/>
            <w:vAlign w:val="center"/>
          </w:tcPr>
          <w:p w14:paraId="68545E8C" w14:textId="36F17BAB" w:rsidR="003165E9" w:rsidRDefault="003165E9" w:rsidP="00E44CEE">
            <w:pPr>
              <w:jc w:val="center"/>
            </w:pPr>
            <w:r w:rsidRPr="003E64A7">
              <w:rPr>
                <w:rFonts w:asciiTheme="minorBidi" w:hAnsiTheme="minorBidi"/>
                <w:b/>
                <w:bCs/>
              </w:rPr>
              <w:t>Time-bound</w:t>
            </w:r>
          </w:p>
        </w:tc>
        <w:tc>
          <w:tcPr>
            <w:tcW w:w="1185" w:type="dxa"/>
            <w:shd w:val="clear" w:color="auto" w:fill="E8E8E8" w:themeFill="background2"/>
            <w:vAlign w:val="center"/>
          </w:tcPr>
          <w:p w14:paraId="07BC0498" w14:textId="69223180" w:rsidR="003165E9" w:rsidRDefault="003165E9" w:rsidP="00E44CEE">
            <w:pPr>
              <w:jc w:val="center"/>
            </w:pPr>
            <w:r w:rsidRPr="003E64A7">
              <w:rPr>
                <w:rFonts w:asciiTheme="minorBidi" w:hAnsiTheme="minorBidi"/>
                <w:b/>
                <w:bCs/>
              </w:rPr>
              <w:t>Owner</w:t>
            </w:r>
          </w:p>
        </w:tc>
      </w:tr>
      <w:tr w:rsidR="00B608BD" w14:paraId="16110D99" w14:textId="77777777" w:rsidTr="00B608BD">
        <w:tc>
          <w:tcPr>
            <w:tcW w:w="2230" w:type="dxa"/>
            <w:vAlign w:val="center"/>
          </w:tcPr>
          <w:p w14:paraId="555344C0" w14:textId="62FFC1C0" w:rsidR="003165E9" w:rsidRPr="003E64A7" w:rsidRDefault="003165E9" w:rsidP="003165E9">
            <w:pPr>
              <w:rPr>
                <w:rFonts w:asciiTheme="minorBidi" w:hAnsiTheme="minorBidi"/>
                <w:b/>
                <w:bCs/>
              </w:rPr>
            </w:pPr>
            <w:r w:rsidRPr="003E64A7">
              <w:rPr>
                <w:rFonts w:asciiTheme="minorBidi" w:hAnsiTheme="minorBidi"/>
                <w:b/>
                <w:bCs/>
              </w:rPr>
              <w:t>1. HR-led Responsible Governance</w:t>
            </w:r>
          </w:p>
        </w:tc>
        <w:tc>
          <w:tcPr>
            <w:tcW w:w="2160" w:type="dxa"/>
            <w:vAlign w:val="center"/>
          </w:tcPr>
          <w:p w14:paraId="76815D67" w14:textId="45FD33DB" w:rsidR="003165E9" w:rsidRPr="003E64A7" w:rsidRDefault="00410A45" w:rsidP="00410A45">
            <w:pPr>
              <w:rPr>
                <w:rFonts w:asciiTheme="minorBidi" w:hAnsiTheme="minorBidi"/>
                <w:b/>
                <w:bCs/>
              </w:rPr>
            </w:pPr>
            <w:r w:rsidRPr="00410A45">
              <w:rPr>
                <w:rFonts w:asciiTheme="minorBidi" w:hAnsiTheme="minorBidi"/>
              </w:rPr>
              <w:t>Defined decision rights; risk-tiering; transparency; contestability; employee voice</w:t>
            </w:r>
          </w:p>
        </w:tc>
        <w:tc>
          <w:tcPr>
            <w:tcW w:w="2764" w:type="dxa"/>
            <w:vAlign w:val="center"/>
          </w:tcPr>
          <w:p w14:paraId="5BE92896" w14:textId="03971912" w:rsidR="003165E9" w:rsidRPr="003E64A7" w:rsidRDefault="00F37EE5" w:rsidP="00F37EE5">
            <w:pPr>
              <w:rPr>
                <w:rFonts w:asciiTheme="minorBidi" w:hAnsiTheme="minorBidi"/>
                <w:b/>
                <w:bCs/>
              </w:rPr>
            </w:pPr>
            <w:r w:rsidRPr="00F37EE5">
              <w:rPr>
                <w:rFonts w:asciiTheme="minorBidi" w:hAnsiTheme="minorBidi"/>
              </w:rPr>
              <w:t>Percentage of use cases assessed; employee trust (pulse) scores; number of grievances; audit actions closed within agreed timeframes</w:t>
            </w:r>
          </w:p>
        </w:tc>
        <w:tc>
          <w:tcPr>
            <w:tcW w:w="2073" w:type="dxa"/>
            <w:vAlign w:val="center"/>
          </w:tcPr>
          <w:p w14:paraId="1AC6D930" w14:textId="0F3B3951" w:rsidR="003165E9" w:rsidRPr="003E64A7" w:rsidRDefault="00F37EE5" w:rsidP="00F37EE5">
            <w:pPr>
              <w:rPr>
                <w:rFonts w:asciiTheme="minorBidi" w:hAnsiTheme="minorBidi"/>
                <w:b/>
                <w:bCs/>
              </w:rPr>
            </w:pPr>
            <w:r>
              <w:rPr>
                <w:rFonts w:asciiTheme="minorBidi" w:hAnsiTheme="minorBidi"/>
              </w:rPr>
              <w:t>H</w:t>
            </w:r>
            <w:r w:rsidRPr="00F37EE5">
              <w:rPr>
                <w:rFonts w:asciiTheme="minorBidi" w:hAnsiTheme="minorBidi"/>
              </w:rPr>
              <w:t>R-led governance framework; standardised templates; quarterly review cycles</w:t>
            </w:r>
          </w:p>
        </w:tc>
        <w:tc>
          <w:tcPr>
            <w:tcW w:w="1471" w:type="dxa"/>
            <w:vAlign w:val="center"/>
          </w:tcPr>
          <w:p w14:paraId="5986BFFB" w14:textId="7FBD3A44" w:rsidR="003165E9" w:rsidRPr="003E64A7" w:rsidRDefault="00B608BD" w:rsidP="00B608BD">
            <w:pPr>
              <w:rPr>
                <w:rFonts w:asciiTheme="minorBidi" w:hAnsiTheme="minorBidi"/>
                <w:b/>
                <w:bCs/>
              </w:rPr>
            </w:pPr>
            <w:r w:rsidRPr="00B608BD">
              <w:rPr>
                <w:rFonts w:asciiTheme="minorBidi" w:hAnsiTheme="minorBidi"/>
              </w:rPr>
              <w:t>Supports trust, fairness, and legal defensibility</w:t>
            </w:r>
          </w:p>
        </w:tc>
        <w:tc>
          <w:tcPr>
            <w:tcW w:w="2065" w:type="dxa"/>
            <w:vAlign w:val="center"/>
          </w:tcPr>
          <w:p w14:paraId="217FED35" w14:textId="40E560F5" w:rsidR="003165E9" w:rsidRPr="003E64A7" w:rsidRDefault="00B608BD" w:rsidP="00B608BD">
            <w:pPr>
              <w:rPr>
                <w:rFonts w:asciiTheme="minorBidi" w:hAnsiTheme="minorBidi"/>
                <w:b/>
                <w:bCs/>
              </w:rPr>
            </w:pPr>
            <w:r w:rsidRPr="00B608BD">
              <w:rPr>
                <w:rFonts w:asciiTheme="minorBidi" w:hAnsiTheme="minorBidi"/>
              </w:rPr>
              <w:t>Design: 8 weeks; pilot: 12 weeks; business-as-usual implementation within 6 months</w:t>
            </w:r>
          </w:p>
        </w:tc>
        <w:tc>
          <w:tcPr>
            <w:tcW w:w="1185" w:type="dxa"/>
            <w:vAlign w:val="center"/>
          </w:tcPr>
          <w:p w14:paraId="5D65CDBF" w14:textId="77777777" w:rsidR="00B608BD" w:rsidRPr="00B608BD" w:rsidRDefault="00B608BD" w:rsidP="00B608BD">
            <w:pPr>
              <w:rPr>
                <w:rFonts w:asciiTheme="minorBidi" w:hAnsiTheme="minorBidi"/>
              </w:rPr>
            </w:pPr>
            <w:r w:rsidRPr="00B608BD">
              <w:rPr>
                <w:rFonts w:asciiTheme="minorBidi" w:hAnsiTheme="minorBidi"/>
              </w:rPr>
              <w:t>Group HR Director</w:t>
            </w:r>
          </w:p>
          <w:p w14:paraId="43BBC8BF" w14:textId="3EC9C3B5" w:rsidR="003165E9" w:rsidRPr="003E64A7" w:rsidRDefault="003165E9" w:rsidP="003165E9">
            <w:pPr>
              <w:rPr>
                <w:rFonts w:asciiTheme="minorBidi" w:hAnsiTheme="minorBidi"/>
                <w:b/>
                <w:bCs/>
              </w:rPr>
            </w:pPr>
          </w:p>
        </w:tc>
      </w:tr>
      <w:tr w:rsidR="00B608BD" w14:paraId="4E89800E" w14:textId="77777777" w:rsidTr="00B608BD">
        <w:tc>
          <w:tcPr>
            <w:tcW w:w="2230" w:type="dxa"/>
            <w:vAlign w:val="center"/>
          </w:tcPr>
          <w:p w14:paraId="7E379A98" w14:textId="07F49F77" w:rsidR="003165E9" w:rsidRPr="003E64A7" w:rsidRDefault="003165E9" w:rsidP="003165E9">
            <w:pPr>
              <w:rPr>
                <w:rFonts w:asciiTheme="minorBidi" w:hAnsiTheme="minorBidi"/>
                <w:b/>
                <w:bCs/>
              </w:rPr>
            </w:pPr>
            <w:r w:rsidRPr="003E64A7">
              <w:rPr>
                <w:rFonts w:asciiTheme="minorBidi" w:hAnsiTheme="minorBidi"/>
                <w:b/>
                <w:bCs/>
              </w:rPr>
              <w:t>2. Capability Academy</w:t>
            </w:r>
          </w:p>
        </w:tc>
        <w:tc>
          <w:tcPr>
            <w:tcW w:w="2160" w:type="dxa"/>
            <w:vAlign w:val="center"/>
          </w:tcPr>
          <w:p w14:paraId="3632A544" w14:textId="16BB89BA" w:rsidR="003165E9" w:rsidRPr="003E64A7" w:rsidRDefault="004920AE" w:rsidP="004920AE">
            <w:pPr>
              <w:rPr>
                <w:rFonts w:asciiTheme="minorBidi" w:hAnsiTheme="minorBidi"/>
              </w:rPr>
            </w:pPr>
            <w:r>
              <w:rPr>
                <w:rFonts w:asciiTheme="minorBidi" w:hAnsiTheme="minorBidi"/>
              </w:rPr>
              <w:t>R</w:t>
            </w:r>
            <w:r w:rsidRPr="004920AE">
              <w:rPr>
                <w:rFonts w:asciiTheme="minorBidi" w:hAnsiTheme="minorBidi"/>
              </w:rPr>
              <w:t>ole-based learning pathways; coaching; certification</w:t>
            </w:r>
          </w:p>
        </w:tc>
        <w:tc>
          <w:tcPr>
            <w:tcW w:w="2764" w:type="dxa"/>
            <w:vAlign w:val="center"/>
          </w:tcPr>
          <w:p w14:paraId="4FFAF8D8" w14:textId="493796E2" w:rsidR="003165E9" w:rsidRPr="003E64A7" w:rsidRDefault="004920AE" w:rsidP="004920AE">
            <w:pPr>
              <w:rPr>
                <w:rFonts w:asciiTheme="minorBidi" w:hAnsiTheme="minorBidi"/>
              </w:rPr>
            </w:pPr>
            <w:r w:rsidRPr="004920AE">
              <w:rPr>
                <w:rFonts w:asciiTheme="minorBidi" w:hAnsiTheme="minorBidi"/>
              </w:rPr>
              <w:t>Training completion rates; assessment pass rates; manager confidence levels; reduction in unapproved tool use</w:t>
            </w:r>
          </w:p>
        </w:tc>
        <w:tc>
          <w:tcPr>
            <w:tcW w:w="2073" w:type="dxa"/>
            <w:vAlign w:val="center"/>
          </w:tcPr>
          <w:p w14:paraId="6A2959D2" w14:textId="05F65B93" w:rsidR="003165E9" w:rsidRPr="003E64A7" w:rsidRDefault="00F24DFC" w:rsidP="00F24DFC">
            <w:pPr>
              <w:rPr>
                <w:rFonts w:asciiTheme="minorBidi" w:hAnsiTheme="minorBidi"/>
              </w:rPr>
            </w:pPr>
            <w:r w:rsidRPr="00F24DFC">
              <w:rPr>
                <w:rFonts w:asciiTheme="minorBidi" w:hAnsiTheme="minorBidi"/>
              </w:rPr>
              <w:t>Blended learning approach; change champions; integration into onboarding</w:t>
            </w:r>
          </w:p>
        </w:tc>
        <w:tc>
          <w:tcPr>
            <w:tcW w:w="1471" w:type="dxa"/>
            <w:vAlign w:val="center"/>
          </w:tcPr>
          <w:p w14:paraId="4F67C7F2" w14:textId="65B6C23E" w:rsidR="003165E9" w:rsidRPr="003E64A7" w:rsidRDefault="00F24DFC" w:rsidP="00F24DFC">
            <w:pPr>
              <w:rPr>
                <w:rFonts w:asciiTheme="minorBidi" w:hAnsiTheme="minorBidi"/>
              </w:rPr>
            </w:pPr>
            <w:r w:rsidRPr="00F24DFC">
              <w:rPr>
                <w:rFonts w:asciiTheme="minorBidi" w:hAnsiTheme="minorBidi"/>
              </w:rPr>
              <w:t>Builds capability, supports safe adoption, and improves retention</w:t>
            </w:r>
          </w:p>
        </w:tc>
        <w:tc>
          <w:tcPr>
            <w:tcW w:w="2065" w:type="dxa"/>
            <w:vAlign w:val="center"/>
          </w:tcPr>
          <w:p w14:paraId="5B6E7604" w14:textId="0445E58C" w:rsidR="003165E9" w:rsidRPr="003E64A7" w:rsidRDefault="00F24DFC" w:rsidP="00F24DFC">
            <w:pPr>
              <w:rPr>
                <w:rFonts w:asciiTheme="minorBidi" w:hAnsiTheme="minorBidi"/>
              </w:rPr>
            </w:pPr>
            <w:r w:rsidRPr="00F24DFC">
              <w:rPr>
                <w:rFonts w:asciiTheme="minorBidi" w:hAnsiTheme="minorBidi"/>
              </w:rPr>
              <w:t>Design: 6</w:t>
            </w:r>
            <w:r w:rsidR="00243DE3">
              <w:rPr>
                <w:rFonts w:asciiTheme="minorBidi" w:hAnsiTheme="minorBidi"/>
              </w:rPr>
              <w:t xml:space="preserve"> - </w:t>
            </w:r>
            <w:r w:rsidRPr="00F24DFC">
              <w:rPr>
                <w:rFonts w:asciiTheme="minorBidi" w:hAnsiTheme="minorBidi"/>
              </w:rPr>
              <w:t>8 weeks; pilot by month 3; scale by months 9</w:t>
            </w:r>
            <w:r w:rsidR="00243DE3">
              <w:rPr>
                <w:rFonts w:asciiTheme="minorBidi" w:hAnsiTheme="minorBidi"/>
              </w:rPr>
              <w:t xml:space="preserve"> -</w:t>
            </w:r>
            <w:r w:rsidRPr="00F24DFC">
              <w:rPr>
                <w:rFonts w:asciiTheme="minorBidi" w:hAnsiTheme="minorBidi"/>
              </w:rPr>
              <w:t>12</w:t>
            </w:r>
          </w:p>
        </w:tc>
        <w:tc>
          <w:tcPr>
            <w:tcW w:w="1185" w:type="dxa"/>
            <w:vAlign w:val="center"/>
          </w:tcPr>
          <w:p w14:paraId="37B24EE5" w14:textId="04F5A365" w:rsidR="003165E9" w:rsidRPr="003E64A7" w:rsidRDefault="00F24DFC" w:rsidP="00F24DFC">
            <w:pPr>
              <w:rPr>
                <w:rFonts w:asciiTheme="minorBidi" w:hAnsiTheme="minorBidi"/>
              </w:rPr>
            </w:pPr>
            <w:r w:rsidRPr="00F24DFC">
              <w:rPr>
                <w:rFonts w:asciiTheme="minorBidi" w:hAnsiTheme="minorBidi"/>
              </w:rPr>
              <w:t>Head of Learning and Development</w:t>
            </w:r>
          </w:p>
        </w:tc>
      </w:tr>
      <w:tr w:rsidR="00B608BD" w14:paraId="77083DA7" w14:textId="77777777" w:rsidTr="00B608BD">
        <w:tc>
          <w:tcPr>
            <w:tcW w:w="2230" w:type="dxa"/>
            <w:vAlign w:val="center"/>
          </w:tcPr>
          <w:p w14:paraId="741B0976" w14:textId="3BF8D593" w:rsidR="003165E9" w:rsidRPr="003E64A7" w:rsidRDefault="003165E9" w:rsidP="003165E9">
            <w:pPr>
              <w:rPr>
                <w:rFonts w:asciiTheme="minorBidi" w:hAnsiTheme="minorBidi"/>
                <w:b/>
                <w:bCs/>
              </w:rPr>
            </w:pPr>
            <w:r w:rsidRPr="003E64A7">
              <w:rPr>
                <w:rFonts w:asciiTheme="minorBidi" w:hAnsiTheme="minorBidi"/>
                <w:b/>
                <w:bCs/>
              </w:rPr>
              <w:t>3. Service-journey redesign</w:t>
            </w:r>
          </w:p>
        </w:tc>
        <w:tc>
          <w:tcPr>
            <w:tcW w:w="2160" w:type="dxa"/>
            <w:vAlign w:val="center"/>
          </w:tcPr>
          <w:p w14:paraId="4C46E755" w14:textId="65AAF291" w:rsidR="003165E9" w:rsidRPr="003E64A7" w:rsidRDefault="005F422B" w:rsidP="005F422B">
            <w:pPr>
              <w:rPr>
                <w:rFonts w:asciiTheme="minorBidi" w:hAnsiTheme="minorBidi"/>
              </w:rPr>
            </w:pPr>
            <w:r>
              <w:rPr>
                <w:rFonts w:asciiTheme="minorBidi" w:hAnsiTheme="minorBidi"/>
              </w:rPr>
              <w:t>R</w:t>
            </w:r>
            <w:r w:rsidRPr="005F422B">
              <w:rPr>
                <w:rFonts w:asciiTheme="minorBidi" w:hAnsiTheme="minorBidi"/>
              </w:rPr>
              <w:t>edesign of 2</w:t>
            </w:r>
            <w:r w:rsidR="00243DE3">
              <w:rPr>
                <w:rFonts w:asciiTheme="minorBidi" w:hAnsiTheme="minorBidi"/>
              </w:rPr>
              <w:t xml:space="preserve"> - </w:t>
            </w:r>
            <w:r w:rsidRPr="005F422B">
              <w:rPr>
                <w:rFonts w:asciiTheme="minorBidi" w:hAnsiTheme="minorBidi"/>
              </w:rPr>
              <w:t>3 key service journeys; updated roles and performance metrics; appointment of change champions</w:t>
            </w:r>
          </w:p>
        </w:tc>
        <w:tc>
          <w:tcPr>
            <w:tcW w:w="2764" w:type="dxa"/>
            <w:vAlign w:val="center"/>
          </w:tcPr>
          <w:p w14:paraId="57257E45" w14:textId="2053ABA9" w:rsidR="003165E9" w:rsidRPr="003E64A7" w:rsidRDefault="005F422B" w:rsidP="005F422B">
            <w:pPr>
              <w:rPr>
                <w:rFonts w:asciiTheme="minorBidi" w:hAnsiTheme="minorBidi"/>
              </w:rPr>
            </w:pPr>
            <w:r w:rsidRPr="005F422B">
              <w:rPr>
                <w:rFonts w:asciiTheme="minorBidi" w:hAnsiTheme="minorBidi"/>
              </w:rPr>
              <w:t>Employee turnover rates; absence levels; engagement scores; NPS; customer complaints; time to competence</w:t>
            </w:r>
          </w:p>
        </w:tc>
        <w:tc>
          <w:tcPr>
            <w:tcW w:w="2073" w:type="dxa"/>
            <w:vAlign w:val="center"/>
          </w:tcPr>
          <w:p w14:paraId="546A0777" w14:textId="77777777" w:rsidR="003165E9" w:rsidRPr="003E64A7" w:rsidRDefault="00A416CD" w:rsidP="00A416CD">
            <w:pPr>
              <w:rPr>
                <w:rFonts w:asciiTheme="minorBidi" w:hAnsiTheme="minorBidi"/>
              </w:rPr>
            </w:pPr>
            <w:r w:rsidRPr="00A416CD">
              <w:rPr>
                <w:rFonts w:asciiTheme="minorBidi" w:hAnsiTheme="minorBidi"/>
              </w:rPr>
              <w:t>Design sprints; A/B pilot testing; continuous feedback loops</w:t>
            </w:r>
          </w:p>
        </w:tc>
        <w:tc>
          <w:tcPr>
            <w:tcW w:w="1471" w:type="dxa"/>
            <w:vAlign w:val="center"/>
          </w:tcPr>
          <w:p w14:paraId="02AD3760" w14:textId="2038CD3D" w:rsidR="003165E9" w:rsidRPr="003E64A7" w:rsidRDefault="00A416CD" w:rsidP="00A416CD">
            <w:pPr>
              <w:rPr>
                <w:rFonts w:asciiTheme="minorBidi" w:hAnsiTheme="minorBidi"/>
              </w:rPr>
            </w:pPr>
            <w:r>
              <w:rPr>
                <w:rFonts w:asciiTheme="minorBidi" w:hAnsiTheme="minorBidi"/>
              </w:rPr>
              <w:t>E</w:t>
            </w:r>
            <w:r w:rsidRPr="00A416CD">
              <w:rPr>
                <w:rFonts w:asciiTheme="minorBidi" w:hAnsiTheme="minorBidi"/>
              </w:rPr>
              <w:t>nhances service quality and supports entry-level development pathways</w:t>
            </w:r>
          </w:p>
        </w:tc>
        <w:tc>
          <w:tcPr>
            <w:tcW w:w="2065" w:type="dxa"/>
            <w:vAlign w:val="center"/>
          </w:tcPr>
          <w:p w14:paraId="4A321ADE" w14:textId="03186D8B" w:rsidR="003165E9" w:rsidRPr="003E64A7" w:rsidRDefault="00A416CD" w:rsidP="00A416CD">
            <w:pPr>
              <w:rPr>
                <w:rFonts w:asciiTheme="minorBidi" w:hAnsiTheme="minorBidi"/>
              </w:rPr>
            </w:pPr>
            <w:r w:rsidRPr="00A416CD">
              <w:rPr>
                <w:rFonts w:asciiTheme="minorBidi" w:hAnsiTheme="minorBidi"/>
              </w:rPr>
              <w:t>Discovery: 4 weeks; pilot: 12</w:t>
            </w:r>
            <w:r w:rsidR="00243DE3">
              <w:rPr>
                <w:rFonts w:asciiTheme="minorBidi" w:hAnsiTheme="minorBidi"/>
              </w:rPr>
              <w:t xml:space="preserve"> -</w:t>
            </w:r>
            <w:r w:rsidRPr="00A416CD">
              <w:rPr>
                <w:rFonts w:asciiTheme="minorBidi" w:hAnsiTheme="minorBidi"/>
              </w:rPr>
              <w:t>16 weeks; scale decision within 6 months</w:t>
            </w:r>
          </w:p>
        </w:tc>
        <w:tc>
          <w:tcPr>
            <w:tcW w:w="1185" w:type="dxa"/>
            <w:vAlign w:val="center"/>
          </w:tcPr>
          <w:p w14:paraId="7F3D8AF1" w14:textId="6A288196" w:rsidR="003165E9" w:rsidRPr="003E64A7" w:rsidRDefault="00243DE3" w:rsidP="00A416CD">
            <w:pPr>
              <w:rPr>
                <w:rFonts w:asciiTheme="minorBidi" w:hAnsiTheme="minorBidi"/>
              </w:rPr>
            </w:pPr>
            <w:r>
              <w:rPr>
                <w:rFonts w:asciiTheme="minorBidi" w:hAnsiTheme="minorBidi"/>
              </w:rPr>
              <w:t>H</w:t>
            </w:r>
            <w:r w:rsidR="00A416CD" w:rsidRPr="00A416CD">
              <w:rPr>
                <w:rFonts w:asciiTheme="minorBidi" w:hAnsiTheme="minorBidi"/>
              </w:rPr>
              <w:t>R Business Partners in collaboration with the Chief Operating Office</w:t>
            </w:r>
            <w:r w:rsidR="00A416CD">
              <w:rPr>
                <w:rFonts w:asciiTheme="minorBidi" w:hAnsiTheme="minorBidi"/>
              </w:rPr>
              <w:t>r</w:t>
            </w:r>
          </w:p>
        </w:tc>
      </w:tr>
    </w:tbl>
    <w:p w14:paraId="7A70CBC6" w14:textId="77777777" w:rsidR="00B10FAE" w:rsidRDefault="00B10FAE" w:rsidP="00D55712">
      <w:pPr>
        <w:pStyle w:val="Heading1"/>
        <w:sectPr w:rsidR="00B10FAE" w:rsidSect="00B10FAE">
          <w:pgSz w:w="16838" w:h="11906" w:orient="landscape"/>
          <w:pgMar w:top="1440" w:right="1440" w:bottom="1440" w:left="1440" w:header="708" w:footer="708" w:gutter="0"/>
          <w:pgNumType w:start="0"/>
          <w:cols w:space="708"/>
          <w:titlePg/>
          <w:docGrid w:linePitch="360"/>
        </w:sectPr>
      </w:pPr>
    </w:p>
    <w:p w14:paraId="7AD71616" w14:textId="64C83397" w:rsidR="003E64A7" w:rsidRPr="003E64A7" w:rsidRDefault="003E64A7" w:rsidP="00D55712">
      <w:pPr>
        <w:pStyle w:val="Heading1"/>
      </w:pPr>
      <w:bookmarkStart w:id="14" w:name="_Toc227913443"/>
      <w:r w:rsidRPr="003E64A7">
        <w:t>6. Conclusion</w:t>
      </w:r>
      <w:bookmarkEnd w:id="14"/>
    </w:p>
    <w:p w14:paraId="28774780" w14:textId="5F0762B3" w:rsidR="003E64A7" w:rsidRPr="003E64A7" w:rsidRDefault="003E64A7" w:rsidP="000C6FB6">
      <w:pPr>
        <w:spacing w:line="480" w:lineRule="auto"/>
        <w:rPr>
          <w:rFonts w:asciiTheme="minorBidi" w:hAnsiTheme="minorBidi"/>
        </w:rPr>
      </w:pPr>
      <w:r w:rsidRPr="003E64A7">
        <w:rPr>
          <w:rFonts w:asciiTheme="minorBidi" w:hAnsiTheme="minorBidi"/>
        </w:rPr>
        <w:t xml:space="preserve">This report argues that the success of AI adoption at Accor depends less on technical sophistication than on </w:t>
      </w:r>
      <w:r w:rsidRPr="008C442D">
        <w:rPr>
          <w:rFonts w:asciiTheme="minorBidi" w:hAnsiTheme="minorBidi"/>
        </w:rPr>
        <w:t>people-centred HR leadership</w:t>
      </w:r>
      <w:r w:rsidRPr="003E64A7">
        <w:rPr>
          <w:rFonts w:asciiTheme="minorBidi" w:hAnsiTheme="minorBidi"/>
        </w:rPr>
        <w:t xml:space="preserve">. </w:t>
      </w:r>
      <w:r w:rsidR="000C6FB6" w:rsidRPr="000C6FB6">
        <w:rPr>
          <w:rFonts w:asciiTheme="minorBidi" w:hAnsiTheme="minorBidi"/>
        </w:rPr>
        <w:t>In hospitality, digital tools reshape how work is organised, how managers operate, and how fairness is perceived</w:t>
      </w:r>
      <w:r w:rsidR="00BE3938">
        <w:rPr>
          <w:rFonts w:asciiTheme="minorBidi" w:hAnsiTheme="minorBidi"/>
        </w:rPr>
        <w:t>. As</w:t>
      </w:r>
      <w:r w:rsidR="000C6FB6" w:rsidRPr="000C6FB6">
        <w:rPr>
          <w:rFonts w:asciiTheme="minorBidi" w:hAnsiTheme="minorBidi"/>
        </w:rPr>
        <w:t xml:space="preserve"> a result, the key risks are organisational, including reduced trust, increased workload pressures, and weakened progression pathways</w:t>
      </w:r>
      <w:r w:rsidR="000C6FB6">
        <w:rPr>
          <w:rFonts w:asciiTheme="minorBidi" w:hAnsiTheme="minorBidi"/>
        </w:rPr>
        <w:t xml:space="preserve"> </w:t>
      </w:r>
      <w:r w:rsidRPr="003E64A7">
        <w:rPr>
          <w:rFonts w:asciiTheme="minorBidi" w:hAnsiTheme="minorBidi"/>
        </w:rPr>
        <w:t>(CIPD, 2023; Kellogg, Valentine and Christin, 2020).</w:t>
      </w:r>
    </w:p>
    <w:p w14:paraId="02FEB692" w14:textId="2249683A" w:rsidR="003E64A7" w:rsidRPr="003E64A7" w:rsidRDefault="003E64A7" w:rsidP="00135FDC">
      <w:pPr>
        <w:spacing w:line="480" w:lineRule="auto"/>
        <w:rPr>
          <w:rFonts w:asciiTheme="minorBidi" w:hAnsiTheme="minorBidi"/>
        </w:rPr>
      </w:pPr>
      <w:r w:rsidRPr="003E64A7">
        <w:rPr>
          <w:rFonts w:asciiTheme="minorBidi" w:hAnsiTheme="minorBidi"/>
        </w:rPr>
        <w:t xml:space="preserve">Without HR-led governance, role-based capability building, and structured job redesign, adoption </w:t>
      </w:r>
      <w:r w:rsidR="00BE3938">
        <w:rPr>
          <w:rFonts w:asciiTheme="minorBidi" w:hAnsiTheme="minorBidi"/>
        </w:rPr>
        <w:t xml:space="preserve">of AI </w:t>
      </w:r>
      <w:r w:rsidRPr="003E64A7">
        <w:rPr>
          <w:rFonts w:asciiTheme="minorBidi" w:hAnsiTheme="minorBidi"/>
        </w:rPr>
        <w:t xml:space="preserve">is likely to generate superficial compliance, resistance, and service-quality erosion. </w:t>
      </w:r>
      <w:r w:rsidR="00135FDC" w:rsidRPr="00135FDC">
        <w:rPr>
          <w:rFonts w:asciiTheme="minorBidi" w:hAnsiTheme="minorBidi"/>
        </w:rPr>
        <w:t xml:space="preserve">Conversely, </w:t>
      </w:r>
      <w:r w:rsidR="00147A3C">
        <w:rPr>
          <w:rFonts w:asciiTheme="minorBidi" w:hAnsiTheme="minorBidi"/>
        </w:rPr>
        <w:t>as long as</w:t>
      </w:r>
      <w:r w:rsidR="00147A3C" w:rsidRPr="00135FDC">
        <w:rPr>
          <w:rFonts w:asciiTheme="minorBidi" w:hAnsiTheme="minorBidi"/>
        </w:rPr>
        <w:t xml:space="preserve"> </w:t>
      </w:r>
      <w:r w:rsidR="00135FDC" w:rsidRPr="00135FDC">
        <w:rPr>
          <w:rFonts w:asciiTheme="minorBidi" w:hAnsiTheme="minorBidi"/>
        </w:rPr>
        <w:t>HR puts in place clear ethical standards and mechanisms for employee voice, and leaders present change as supporting rather than replacing people, Accor can improve the quality of adoption while maintaining brand trust and the guest experience</w:t>
      </w:r>
      <w:r w:rsidR="00135FDC">
        <w:rPr>
          <w:rFonts w:asciiTheme="minorBidi" w:hAnsiTheme="minorBidi"/>
        </w:rPr>
        <w:t xml:space="preserve"> </w:t>
      </w:r>
      <w:r w:rsidRPr="003E64A7">
        <w:rPr>
          <w:rFonts w:asciiTheme="minorBidi" w:hAnsiTheme="minorBidi"/>
        </w:rPr>
        <w:t>(Brown and Treviño, 2006; Edmondson, 2018).</w:t>
      </w:r>
    </w:p>
    <w:p w14:paraId="4939E12B" w14:textId="5C145225" w:rsidR="003E64A7" w:rsidRPr="003E64A7" w:rsidRDefault="003E64A7" w:rsidP="00283C77">
      <w:pPr>
        <w:spacing w:line="480" w:lineRule="auto"/>
        <w:rPr>
          <w:rFonts w:asciiTheme="minorBidi" w:hAnsiTheme="minorBidi"/>
        </w:rPr>
      </w:pPr>
      <w:r w:rsidRPr="003E64A7">
        <w:rPr>
          <w:rFonts w:asciiTheme="minorBidi" w:hAnsiTheme="minorBidi"/>
        </w:rPr>
        <w:t>By implementing the proposed interventions</w:t>
      </w:r>
      <w:r w:rsidR="00D55712">
        <w:rPr>
          <w:rFonts w:asciiTheme="minorBidi" w:hAnsiTheme="minorBidi"/>
        </w:rPr>
        <w:t>, r</w:t>
      </w:r>
      <w:r w:rsidRPr="003E64A7">
        <w:rPr>
          <w:rFonts w:asciiTheme="minorBidi" w:hAnsiTheme="minorBidi"/>
        </w:rPr>
        <w:t xml:space="preserve">esponsible governance, a role-based </w:t>
      </w:r>
      <w:r w:rsidR="008A4488">
        <w:rPr>
          <w:rFonts w:asciiTheme="minorBidi" w:hAnsiTheme="minorBidi"/>
        </w:rPr>
        <w:t xml:space="preserve">capability </w:t>
      </w:r>
      <w:r w:rsidRPr="003E64A7">
        <w:rPr>
          <w:rFonts w:asciiTheme="minorBidi" w:hAnsiTheme="minorBidi"/>
        </w:rPr>
        <w:t>academy, and service</w:t>
      </w:r>
      <w:r w:rsidR="001677DC">
        <w:rPr>
          <w:rFonts w:asciiTheme="minorBidi" w:hAnsiTheme="minorBidi"/>
        </w:rPr>
        <w:t xml:space="preserve"> </w:t>
      </w:r>
      <w:r w:rsidRPr="003E64A7">
        <w:rPr>
          <w:rFonts w:asciiTheme="minorBidi" w:hAnsiTheme="minorBidi"/>
        </w:rPr>
        <w:t>journey redesign</w:t>
      </w:r>
      <w:r w:rsidR="00D55712">
        <w:rPr>
          <w:rFonts w:asciiTheme="minorBidi" w:hAnsiTheme="minorBidi"/>
        </w:rPr>
        <w:t xml:space="preserve">, </w:t>
      </w:r>
      <w:r w:rsidRPr="003E64A7">
        <w:rPr>
          <w:rFonts w:asciiTheme="minorBidi" w:hAnsiTheme="minorBidi"/>
        </w:rPr>
        <w:t xml:space="preserve">Accor can build sustainable workforce capability and reinforce </w:t>
      </w:r>
      <w:r w:rsidR="001677DC">
        <w:rPr>
          <w:rFonts w:asciiTheme="minorBidi" w:hAnsiTheme="minorBidi"/>
        </w:rPr>
        <w:t xml:space="preserve">its </w:t>
      </w:r>
      <w:r w:rsidRPr="003E64A7">
        <w:rPr>
          <w:rFonts w:asciiTheme="minorBidi" w:hAnsiTheme="minorBidi"/>
        </w:rPr>
        <w:t xml:space="preserve">human-centred </w:t>
      </w:r>
      <w:r w:rsidR="001677DC">
        <w:rPr>
          <w:rFonts w:asciiTheme="minorBidi" w:hAnsiTheme="minorBidi"/>
        </w:rPr>
        <w:t xml:space="preserve">approach to </w:t>
      </w:r>
      <w:r w:rsidRPr="003E64A7">
        <w:rPr>
          <w:rFonts w:asciiTheme="minorBidi" w:hAnsiTheme="minorBidi"/>
        </w:rPr>
        <w:t xml:space="preserve">hospitality </w:t>
      </w:r>
      <w:r w:rsidR="001677DC">
        <w:rPr>
          <w:rFonts w:asciiTheme="minorBidi" w:hAnsiTheme="minorBidi"/>
        </w:rPr>
        <w:t>with</w:t>
      </w:r>
      <w:r w:rsidRPr="003E64A7">
        <w:rPr>
          <w:rFonts w:asciiTheme="minorBidi" w:hAnsiTheme="minorBidi"/>
        </w:rPr>
        <w:t>in an AI-enabled operating model</w:t>
      </w:r>
      <w:r w:rsidR="00283C77">
        <w:rPr>
          <w:rFonts w:asciiTheme="minorBidi" w:hAnsiTheme="minorBidi"/>
        </w:rPr>
        <w:t>,</w:t>
      </w:r>
      <w:r w:rsidR="001677DC">
        <w:rPr>
          <w:rFonts w:asciiTheme="minorBidi" w:hAnsiTheme="minorBidi"/>
        </w:rPr>
        <w:t xml:space="preserve"> </w:t>
      </w:r>
      <w:r w:rsidR="00283C77" w:rsidRPr="00283C77">
        <w:rPr>
          <w:rFonts w:asciiTheme="minorBidi" w:hAnsiTheme="minorBidi"/>
        </w:rPr>
        <w:t xml:space="preserve">in line with policy direction and evolving regulatory expectations. </w:t>
      </w:r>
      <w:r w:rsidRPr="003E64A7">
        <w:rPr>
          <w:rFonts w:asciiTheme="minorBidi" w:hAnsiTheme="minorBidi"/>
        </w:rPr>
        <w:t>(UK Government, 2025a; EU, 2024; IMF, 2024).</w:t>
      </w:r>
    </w:p>
    <w:p w14:paraId="10AE5A9F" w14:textId="77777777" w:rsidR="003E64A7" w:rsidRDefault="003E64A7" w:rsidP="003E64A7">
      <w:pPr>
        <w:spacing w:line="480" w:lineRule="auto"/>
        <w:rPr>
          <w:rFonts w:asciiTheme="minorBidi" w:hAnsiTheme="minorBidi"/>
          <w:b/>
          <w:bCs/>
        </w:rPr>
      </w:pPr>
    </w:p>
    <w:p w14:paraId="5D36EE40" w14:textId="77777777" w:rsidR="003E64A7" w:rsidRDefault="003E64A7" w:rsidP="003E64A7">
      <w:pPr>
        <w:spacing w:line="480" w:lineRule="auto"/>
        <w:rPr>
          <w:rFonts w:asciiTheme="minorBidi" w:hAnsiTheme="minorBidi"/>
          <w:b/>
          <w:bCs/>
        </w:rPr>
      </w:pPr>
    </w:p>
    <w:p w14:paraId="18413E9B" w14:textId="77777777" w:rsidR="003E64A7" w:rsidRDefault="003E64A7" w:rsidP="003E64A7">
      <w:pPr>
        <w:spacing w:line="480" w:lineRule="auto"/>
        <w:rPr>
          <w:rFonts w:asciiTheme="minorBidi" w:hAnsiTheme="minorBidi"/>
          <w:b/>
          <w:bCs/>
        </w:rPr>
      </w:pPr>
    </w:p>
    <w:p w14:paraId="466280CD" w14:textId="77777777" w:rsidR="003E64A7" w:rsidRDefault="003E64A7" w:rsidP="003E64A7">
      <w:pPr>
        <w:spacing w:line="480" w:lineRule="auto"/>
        <w:rPr>
          <w:rFonts w:asciiTheme="minorBidi" w:hAnsiTheme="minorBidi"/>
          <w:b/>
          <w:bCs/>
        </w:rPr>
      </w:pPr>
    </w:p>
    <w:p w14:paraId="4C801D6F" w14:textId="4F651E29" w:rsidR="003E64A7" w:rsidRPr="003E64A7" w:rsidRDefault="003E64A7" w:rsidP="00D55712">
      <w:pPr>
        <w:pStyle w:val="Heading1"/>
      </w:pPr>
      <w:bookmarkStart w:id="15" w:name="_Toc227913444"/>
      <w:r w:rsidRPr="003E64A7">
        <w:t>Reference</w:t>
      </w:r>
      <w:r>
        <w:t xml:space="preserve"> List</w:t>
      </w:r>
      <w:bookmarkEnd w:id="15"/>
    </w:p>
    <w:p w14:paraId="51166079" w14:textId="484D2742" w:rsidR="005A57E2" w:rsidRDefault="003E64A7" w:rsidP="009D224B">
      <w:pPr>
        <w:spacing w:line="480" w:lineRule="auto"/>
        <w:rPr>
          <w:rFonts w:asciiTheme="minorBidi" w:hAnsiTheme="minorBidi"/>
        </w:rPr>
      </w:pPr>
      <w:r w:rsidRPr="003E64A7">
        <w:rPr>
          <w:rFonts w:asciiTheme="minorBidi" w:hAnsiTheme="minorBidi"/>
        </w:rPr>
        <w:t xml:space="preserve">Accor (2024) </w:t>
      </w:r>
      <w:r w:rsidRPr="003E64A7">
        <w:rPr>
          <w:rFonts w:asciiTheme="minorBidi" w:hAnsiTheme="minorBidi"/>
          <w:i/>
          <w:iCs/>
        </w:rPr>
        <w:t>Universal Registration Document / Annual Report</w:t>
      </w:r>
      <w:r w:rsidRPr="003E64A7">
        <w:rPr>
          <w:rFonts w:asciiTheme="minorBidi" w:hAnsiTheme="minorBidi"/>
        </w:rPr>
        <w:t xml:space="preserve">. Paris: Accor. Available at: </w:t>
      </w:r>
      <w:hyperlink r:id="rId10" w:tgtFrame="_new" w:history="1">
        <w:r w:rsidRPr="003E64A7">
          <w:rPr>
            <w:rStyle w:val="Hyperlink"/>
            <w:rFonts w:asciiTheme="minorBidi" w:hAnsiTheme="minorBidi"/>
          </w:rPr>
          <w:t>https://group.accor.com/</w:t>
        </w:r>
      </w:hyperlink>
      <w:r w:rsidRPr="003E64A7">
        <w:rPr>
          <w:rFonts w:asciiTheme="minorBidi" w:hAnsiTheme="minorBidi"/>
        </w:rPr>
        <w:t xml:space="preserve"> (Accessed: 15 January 202</w:t>
      </w:r>
      <w:r w:rsidR="00415851">
        <w:rPr>
          <w:rFonts w:asciiTheme="minorBidi" w:hAnsiTheme="minorBidi"/>
        </w:rPr>
        <w:t>6</w:t>
      </w:r>
      <w:r w:rsidRPr="003E64A7">
        <w:rPr>
          <w:rFonts w:asciiTheme="minorBidi" w:hAnsiTheme="minorBidi"/>
        </w:rPr>
        <w:t>).</w:t>
      </w:r>
      <w:r w:rsidRPr="003E64A7">
        <w:rPr>
          <w:rFonts w:asciiTheme="minorBidi" w:hAnsiTheme="minorBidi"/>
        </w:rPr>
        <w:br/>
        <w:t xml:space="preserve">Armstrong, M. and Taylor, S. (2023) </w:t>
      </w:r>
      <w:r w:rsidRPr="003E64A7">
        <w:rPr>
          <w:rFonts w:asciiTheme="minorBidi" w:hAnsiTheme="minorBidi"/>
          <w:i/>
          <w:iCs/>
        </w:rPr>
        <w:t>Armstrong’s Handbook of Human Resource Management Practice</w:t>
      </w:r>
      <w:r w:rsidRPr="003E64A7">
        <w:rPr>
          <w:rFonts w:asciiTheme="minorBidi" w:hAnsiTheme="minorBidi"/>
        </w:rPr>
        <w:t xml:space="preserve">. 15th </w:t>
      </w:r>
      <w:proofErr w:type="spellStart"/>
      <w:r w:rsidRPr="003E64A7">
        <w:rPr>
          <w:rFonts w:asciiTheme="minorBidi" w:hAnsiTheme="minorBidi"/>
        </w:rPr>
        <w:t>edn</w:t>
      </w:r>
      <w:proofErr w:type="spellEnd"/>
      <w:r w:rsidRPr="003E64A7">
        <w:rPr>
          <w:rFonts w:asciiTheme="minorBidi" w:hAnsiTheme="minorBidi"/>
        </w:rPr>
        <w:t>. London: Kogan Page.</w:t>
      </w:r>
      <w:r w:rsidRPr="003E64A7">
        <w:rPr>
          <w:rFonts w:asciiTheme="minorBidi" w:hAnsiTheme="minorBidi"/>
        </w:rPr>
        <w:br/>
        <w:t xml:space="preserve">Bass, B.M. and Riggio, R.E. (2006) </w:t>
      </w:r>
      <w:r w:rsidRPr="003E64A7">
        <w:rPr>
          <w:rFonts w:asciiTheme="minorBidi" w:hAnsiTheme="minorBidi"/>
          <w:i/>
          <w:iCs/>
        </w:rPr>
        <w:t>Transformational Leadership</w:t>
      </w:r>
      <w:r w:rsidRPr="003E64A7">
        <w:rPr>
          <w:rFonts w:asciiTheme="minorBidi" w:hAnsiTheme="minorBidi"/>
        </w:rPr>
        <w:t xml:space="preserve">. 2nd </w:t>
      </w:r>
      <w:proofErr w:type="spellStart"/>
      <w:r w:rsidRPr="003E64A7">
        <w:rPr>
          <w:rFonts w:asciiTheme="minorBidi" w:hAnsiTheme="minorBidi"/>
        </w:rPr>
        <w:t>edn</w:t>
      </w:r>
      <w:proofErr w:type="spellEnd"/>
      <w:r w:rsidRPr="003E64A7">
        <w:rPr>
          <w:rFonts w:asciiTheme="minorBidi" w:hAnsiTheme="minorBidi"/>
        </w:rPr>
        <w:t>. Mahwah, NJ: Lawrence Erlbaum.</w:t>
      </w:r>
      <w:r w:rsidRPr="003E64A7">
        <w:rPr>
          <w:rFonts w:asciiTheme="minorBidi" w:hAnsiTheme="minorBidi"/>
        </w:rPr>
        <w:br/>
        <w:t xml:space="preserve">Boudreau, J.W. and Ramstad, P.M. (2007) </w:t>
      </w:r>
      <w:r w:rsidRPr="003E64A7">
        <w:rPr>
          <w:rFonts w:asciiTheme="minorBidi" w:hAnsiTheme="minorBidi"/>
          <w:i/>
          <w:iCs/>
        </w:rPr>
        <w:t>Beyond HR: The New Science of Human Capital</w:t>
      </w:r>
      <w:r w:rsidRPr="003E64A7">
        <w:rPr>
          <w:rFonts w:asciiTheme="minorBidi" w:hAnsiTheme="minorBidi"/>
        </w:rPr>
        <w:t>. Boston, MA: Harvard Business School Press.</w:t>
      </w:r>
      <w:r w:rsidRPr="003E64A7">
        <w:rPr>
          <w:rFonts w:asciiTheme="minorBidi" w:hAnsiTheme="minorBidi"/>
        </w:rPr>
        <w:br/>
        <w:t xml:space="preserve">Boxall, P. and Purcell, J. (2016) </w:t>
      </w:r>
      <w:r w:rsidRPr="003E64A7">
        <w:rPr>
          <w:rFonts w:asciiTheme="minorBidi" w:hAnsiTheme="minorBidi"/>
          <w:i/>
          <w:iCs/>
        </w:rPr>
        <w:t>Strategy and Human Resource Management</w:t>
      </w:r>
      <w:r w:rsidRPr="003E64A7">
        <w:rPr>
          <w:rFonts w:asciiTheme="minorBidi" w:hAnsiTheme="minorBidi"/>
        </w:rPr>
        <w:t xml:space="preserve">. 4th </w:t>
      </w:r>
      <w:proofErr w:type="spellStart"/>
      <w:r w:rsidRPr="003E64A7">
        <w:rPr>
          <w:rFonts w:asciiTheme="minorBidi" w:hAnsiTheme="minorBidi"/>
        </w:rPr>
        <w:t>edn</w:t>
      </w:r>
      <w:proofErr w:type="spellEnd"/>
      <w:r w:rsidRPr="003E64A7">
        <w:rPr>
          <w:rFonts w:asciiTheme="minorBidi" w:hAnsiTheme="minorBidi"/>
        </w:rPr>
        <w:t>. London: Palgrave Macmillan.</w:t>
      </w:r>
      <w:r w:rsidRPr="003E64A7">
        <w:rPr>
          <w:rFonts w:asciiTheme="minorBidi" w:hAnsiTheme="minorBidi"/>
        </w:rPr>
        <w:br/>
        <w:t xml:space="preserve">Brown, M.E. and Treviño, L.K. (2006) ‘Ethical leadership: A review and future directions’, </w:t>
      </w:r>
      <w:r w:rsidRPr="003E64A7">
        <w:rPr>
          <w:rFonts w:asciiTheme="minorBidi" w:hAnsiTheme="minorBidi"/>
          <w:i/>
          <w:iCs/>
        </w:rPr>
        <w:t>The Leadership Quarterly</w:t>
      </w:r>
      <w:r w:rsidRPr="003E64A7">
        <w:rPr>
          <w:rFonts w:asciiTheme="minorBidi" w:hAnsiTheme="minorBidi"/>
        </w:rPr>
        <w:t>, 17(6), pp. 595</w:t>
      </w:r>
      <w:r w:rsidR="002726B1">
        <w:rPr>
          <w:rFonts w:asciiTheme="minorBidi" w:hAnsiTheme="minorBidi"/>
        </w:rPr>
        <w:t xml:space="preserve"> - </w:t>
      </w:r>
      <w:r w:rsidRPr="003E64A7">
        <w:rPr>
          <w:rFonts w:asciiTheme="minorBidi" w:hAnsiTheme="minorBidi"/>
        </w:rPr>
        <w:t>616.</w:t>
      </w:r>
      <w:r w:rsidRPr="003E64A7">
        <w:rPr>
          <w:rFonts w:asciiTheme="minorBidi" w:hAnsiTheme="minorBidi"/>
        </w:rPr>
        <w:br/>
        <w:t xml:space="preserve">Burns, J.M. (1978) </w:t>
      </w:r>
      <w:r w:rsidRPr="003E64A7">
        <w:rPr>
          <w:rFonts w:asciiTheme="minorBidi" w:hAnsiTheme="minorBidi"/>
          <w:i/>
          <w:iCs/>
        </w:rPr>
        <w:t>Leadership</w:t>
      </w:r>
      <w:r w:rsidRPr="003E64A7">
        <w:rPr>
          <w:rFonts w:asciiTheme="minorBidi" w:hAnsiTheme="minorBidi"/>
        </w:rPr>
        <w:t>. New York: Harper &amp; Row.</w:t>
      </w:r>
      <w:r w:rsidRPr="003E64A7">
        <w:rPr>
          <w:rFonts w:asciiTheme="minorBidi" w:hAnsiTheme="minorBidi"/>
        </w:rPr>
        <w:br/>
        <w:t>CIPD (202</w:t>
      </w:r>
      <w:r w:rsidR="00CF375A">
        <w:rPr>
          <w:rFonts w:asciiTheme="minorBidi" w:hAnsiTheme="minorBidi"/>
        </w:rPr>
        <w:t>3</w:t>
      </w:r>
      <w:r w:rsidRPr="003E64A7">
        <w:rPr>
          <w:rFonts w:asciiTheme="minorBidi" w:hAnsiTheme="minorBidi"/>
        </w:rPr>
        <w:t xml:space="preserve">) </w:t>
      </w:r>
      <w:r w:rsidRPr="003E64A7">
        <w:rPr>
          <w:rFonts w:asciiTheme="minorBidi" w:hAnsiTheme="minorBidi"/>
          <w:i/>
          <w:iCs/>
        </w:rPr>
        <w:t>Strategic workforce planning: Guide</w:t>
      </w:r>
      <w:r w:rsidRPr="003E64A7">
        <w:rPr>
          <w:rFonts w:asciiTheme="minorBidi" w:hAnsiTheme="minorBidi"/>
        </w:rPr>
        <w:t>. London: CIPD.</w:t>
      </w:r>
      <w:r w:rsidR="00E63E77">
        <w:rPr>
          <w:rFonts w:asciiTheme="minorBidi" w:hAnsiTheme="minorBidi"/>
        </w:rPr>
        <w:t xml:space="preserve"> Available at: </w:t>
      </w:r>
      <w:hyperlink r:id="rId11" w:history="1">
        <w:r w:rsidR="00E63E77" w:rsidRPr="00B1285F">
          <w:rPr>
            <w:rStyle w:val="Hyperlink"/>
            <w:rFonts w:asciiTheme="minorBidi" w:hAnsiTheme="minorBidi"/>
          </w:rPr>
          <w:t>https://www.cipd.org/en/knowledge/guides/strategic-workforce-planning/</w:t>
        </w:r>
      </w:hyperlink>
      <w:r w:rsidR="00E63E77">
        <w:rPr>
          <w:rFonts w:asciiTheme="minorBidi" w:hAnsiTheme="minorBidi"/>
        </w:rPr>
        <w:t xml:space="preserve"> (Accessed: 15 January 2026)</w:t>
      </w:r>
      <w:r w:rsidRPr="003E64A7">
        <w:rPr>
          <w:rFonts w:asciiTheme="minorBidi" w:hAnsiTheme="minorBidi"/>
        </w:rPr>
        <w:br/>
        <w:t xml:space="preserve">CIPD (2023) </w:t>
      </w:r>
      <w:r w:rsidRPr="003E64A7">
        <w:rPr>
          <w:rFonts w:asciiTheme="minorBidi" w:hAnsiTheme="minorBidi"/>
          <w:i/>
          <w:iCs/>
        </w:rPr>
        <w:t>Using AI responsibly in people management</w:t>
      </w:r>
      <w:r w:rsidRPr="003E64A7">
        <w:rPr>
          <w:rFonts w:asciiTheme="minorBidi" w:hAnsiTheme="minorBidi"/>
        </w:rPr>
        <w:t xml:space="preserve">. CIPD. Available at: </w:t>
      </w:r>
      <w:hyperlink r:id="rId12" w:history="1">
        <w:r w:rsidR="004865C4" w:rsidRPr="00B1285F">
          <w:rPr>
            <w:rStyle w:val="Hyperlink"/>
          </w:rPr>
          <w:t>https://www.cipd.org/en/views-and-insights/thought-leadership/insight/ai-people-management/</w:t>
        </w:r>
      </w:hyperlink>
      <w:r w:rsidR="004865C4">
        <w:t xml:space="preserve"> </w:t>
      </w:r>
      <w:r w:rsidRPr="003E64A7">
        <w:rPr>
          <w:rFonts w:asciiTheme="minorBidi" w:hAnsiTheme="minorBidi"/>
        </w:rPr>
        <w:t>(Accessed: 15 January 202</w:t>
      </w:r>
      <w:r w:rsidR="00415851">
        <w:rPr>
          <w:rFonts w:asciiTheme="minorBidi" w:hAnsiTheme="minorBidi"/>
        </w:rPr>
        <w:t>6</w:t>
      </w:r>
      <w:r w:rsidRPr="003E64A7">
        <w:rPr>
          <w:rFonts w:asciiTheme="minorBidi" w:hAnsiTheme="minorBidi"/>
        </w:rPr>
        <w:t xml:space="preserve">). </w:t>
      </w:r>
      <w:r w:rsidRPr="003E64A7">
        <w:rPr>
          <w:rFonts w:asciiTheme="minorBidi" w:hAnsiTheme="minorBidi"/>
        </w:rPr>
        <w:br/>
        <w:t xml:space="preserve">CIPD (2024) </w:t>
      </w:r>
      <w:r w:rsidRPr="003E64A7">
        <w:rPr>
          <w:rFonts w:asciiTheme="minorBidi" w:hAnsiTheme="minorBidi"/>
          <w:i/>
          <w:iCs/>
        </w:rPr>
        <w:t>Labour Market Outlook: Autumn 2024</w:t>
      </w:r>
      <w:r w:rsidRPr="003E64A7">
        <w:rPr>
          <w:rFonts w:asciiTheme="minorBidi" w:hAnsiTheme="minorBidi"/>
        </w:rPr>
        <w:t xml:space="preserve">. London: CIPD. </w:t>
      </w:r>
      <w:r w:rsidRPr="003E64A7">
        <w:rPr>
          <w:rFonts w:asciiTheme="minorBidi" w:hAnsiTheme="minorBidi"/>
        </w:rPr>
        <w:br/>
        <w:t xml:space="preserve">CIPD (2025a) </w:t>
      </w:r>
      <w:r w:rsidRPr="003E64A7">
        <w:rPr>
          <w:rFonts w:asciiTheme="minorBidi" w:hAnsiTheme="minorBidi"/>
          <w:i/>
          <w:iCs/>
        </w:rPr>
        <w:t>AI in the workplace</w:t>
      </w:r>
      <w:r w:rsidRPr="003E64A7">
        <w:rPr>
          <w:rFonts w:asciiTheme="minorBidi" w:hAnsiTheme="minorBidi"/>
        </w:rPr>
        <w:t xml:space="preserve">. CIPD. Available at: </w:t>
      </w:r>
      <w:hyperlink r:id="rId13" w:history="1">
        <w:r w:rsidR="0013770B" w:rsidRPr="00B1285F">
          <w:rPr>
            <w:rStyle w:val="Hyperlink"/>
          </w:rPr>
          <w:t>https://www.cipd.org/uk/topics/artificial-intelligence-workplace/</w:t>
        </w:r>
      </w:hyperlink>
      <w:r w:rsidR="0013770B">
        <w:t xml:space="preserve"> </w:t>
      </w:r>
      <w:r w:rsidRPr="003E64A7">
        <w:rPr>
          <w:rFonts w:asciiTheme="minorBidi" w:hAnsiTheme="minorBidi"/>
        </w:rPr>
        <w:t>(Accessed: 15 January 202</w:t>
      </w:r>
      <w:r w:rsidR="00415851">
        <w:rPr>
          <w:rFonts w:asciiTheme="minorBidi" w:hAnsiTheme="minorBidi"/>
        </w:rPr>
        <w:t>6</w:t>
      </w:r>
      <w:r w:rsidRPr="003E64A7">
        <w:rPr>
          <w:rFonts w:asciiTheme="minorBidi" w:hAnsiTheme="minorBidi"/>
        </w:rPr>
        <w:t xml:space="preserve">). </w:t>
      </w:r>
      <w:r w:rsidRPr="003E64A7">
        <w:rPr>
          <w:rFonts w:asciiTheme="minorBidi" w:hAnsiTheme="minorBidi"/>
        </w:rPr>
        <w:br/>
        <w:t xml:space="preserve">CIPD (2025b) </w:t>
      </w:r>
      <w:r w:rsidRPr="003E64A7">
        <w:rPr>
          <w:rFonts w:asciiTheme="minorBidi" w:hAnsiTheme="minorBidi"/>
          <w:i/>
          <w:iCs/>
        </w:rPr>
        <w:t>AI use in the workplace: Practical advice for HR professionals</w:t>
      </w:r>
      <w:r w:rsidRPr="003E64A7">
        <w:rPr>
          <w:rFonts w:asciiTheme="minorBidi" w:hAnsiTheme="minorBidi"/>
        </w:rPr>
        <w:t xml:space="preserve">. CIPD. Available at: </w:t>
      </w:r>
      <w:hyperlink r:id="rId14" w:history="1">
        <w:r w:rsidR="0090063C" w:rsidRPr="00B1285F">
          <w:rPr>
            <w:rStyle w:val="Hyperlink"/>
          </w:rPr>
          <w:t>https://www.cipd.org/en/knowledge/guides/preparing-organisation-ai-use/</w:t>
        </w:r>
      </w:hyperlink>
      <w:r w:rsidR="0090063C">
        <w:t xml:space="preserve"> </w:t>
      </w:r>
      <w:r w:rsidRPr="003E64A7">
        <w:rPr>
          <w:rFonts w:asciiTheme="minorBidi" w:hAnsiTheme="minorBidi"/>
        </w:rPr>
        <w:t>(Accessed: 15 January 202</w:t>
      </w:r>
      <w:r w:rsidR="00415851">
        <w:rPr>
          <w:rFonts w:asciiTheme="minorBidi" w:hAnsiTheme="minorBidi"/>
        </w:rPr>
        <w:t>6</w:t>
      </w:r>
      <w:r w:rsidRPr="003E64A7">
        <w:rPr>
          <w:rFonts w:asciiTheme="minorBidi" w:hAnsiTheme="minorBidi"/>
        </w:rPr>
        <w:t xml:space="preserve">). </w:t>
      </w:r>
    </w:p>
    <w:p w14:paraId="69F60ADB" w14:textId="200CBCAA" w:rsidR="003E64A7" w:rsidRPr="003E64A7" w:rsidRDefault="005A57E2" w:rsidP="009D224B">
      <w:pPr>
        <w:spacing w:line="480" w:lineRule="auto"/>
        <w:rPr>
          <w:rFonts w:asciiTheme="minorBidi" w:hAnsiTheme="minorBidi"/>
        </w:rPr>
      </w:pPr>
      <w:r w:rsidRPr="009D224B">
        <w:rPr>
          <w:rFonts w:asciiTheme="minorBidi" w:hAnsiTheme="minorBidi"/>
        </w:rPr>
        <w:t xml:space="preserve">Economic Insight (2019) </w:t>
      </w:r>
      <w:r w:rsidRPr="009D224B">
        <w:rPr>
          <w:rFonts w:asciiTheme="minorBidi" w:hAnsiTheme="minorBidi"/>
          <w:i/>
          <w:iCs/>
        </w:rPr>
        <w:t>Hospitality and Tourism workforce landscape</w:t>
      </w:r>
      <w:r w:rsidRPr="009D224B">
        <w:rPr>
          <w:rFonts w:asciiTheme="minorBidi" w:hAnsiTheme="minorBidi"/>
        </w:rPr>
        <w:t xml:space="preserve">. London: Department for Digital, Culture, Media and Sport. </w:t>
      </w:r>
      <w:r w:rsidRPr="005A57E2">
        <w:rPr>
          <w:rFonts w:asciiTheme="minorBidi" w:hAnsiTheme="minorBidi"/>
        </w:rPr>
        <w:t xml:space="preserve">Available at: </w:t>
      </w:r>
      <w:hyperlink r:id="rId15" w:history="1">
        <w:r w:rsidRPr="005A57E2">
          <w:rPr>
            <w:rStyle w:val="Hyperlink"/>
            <w:rFonts w:asciiTheme="minorBidi" w:hAnsiTheme="minorBidi"/>
          </w:rPr>
          <w:t>https://assets.publishing.service.gov.uk/media/5d67a363ed915d53b4904899/Hospitality_and_Tourism_Workforce_Landscape.pdf</w:t>
        </w:r>
      </w:hyperlink>
      <w:r w:rsidRPr="005A57E2">
        <w:rPr>
          <w:rFonts w:asciiTheme="minorBidi" w:hAnsiTheme="minorBidi"/>
        </w:rPr>
        <w:t xml:space="preserve"> (Accesse</w:t>
      </w:r>
      <w:r>
        <w:rPr>
          <w:rFonts w:asciiTheme="minorBidi" w:hAnsiTheme="minorBidi"/>
        </w:rPr>
        <w:t>d: 20 January 202</w:t>
      </w:r>
      <w:r w:rsidR="00415851">
        <w:rPr>
          <w:rFonts w:asciiTheme="minorBidi" w:hAnsiTheme="minorBidi"/>
        </w:rPr>
        <w:t>6</w:t>
      </w:r>
      <w:r>
        <w:rPr>
          <w:rFonts w:asciiTheme="minorBidi" w:hAnsiTheme="minorBidi"/>
        </w:rPr>
        <w:t>)</w:t>
      </w:r>
      <w:r w:rsidR="003E64A7" w:rsidRPr="003E64A7">
        <w:rPr>
          <w:rFonts w:asciiTheme="minorBidi" w:hAnsiTheme="minorBidi"/>
        </w:rPr>
        <w:br/>
        <w:t xml:space="preserve">Edmondson, A.C. (2018) </w:t>
      </w:r>
      <w:r w:rsidR="003E64A7" w:rsidRPr="003E64A7">
        <w:rPr>
          <w:rFonts w:asciiTheme="minorBidi" w:hAnsiTheme="minorBidi"/>
          <w:i/>
          <w:iCs/>
        </w:rPr>
        <w:t>The Fearless Organization: Creating Psychological Safety in the Workplace for Learning, Innovation, and Growth</w:t>
      </w:r>
      <w:r w:rsidR="003E64A7" w:rsidRPr="003E64A7">
        <w:rPr>
          <w:rFonts w:asciiTheme="minorBidi" w:hAnsiTheme="minorBidi"/>
        </w:rPr>
        <w:t>. Hoboken, NJ: Wiley.</w:t>
      </w:r>
      <w:r w:rsidR="003E64A7" w:rsidRPr="003E64A7">
        <w:rPr>
          <w:rFonts w:asciiTheme="minorBidi" w:hAnsiTheme="minorBidi"/>
        </w:rPr>
        <w:br/>
        <w:t>Edmondson, A.C. and Chamorro-</w:t>
      </w:r>
      <w:proofErr w:type="spellStart"/>
      <w:r w:rsidR="003E64A7" w:rsidRPr="003E64A7">
        <w:rPr>
          <w:rFonts w:asciiTheme="minorBidi" w:hAnsiTheme="minorBidi"/>
        </w:rPr>
        <w:t>Premuzic</w:t>
      </w:r>
      <w:proofErr w:type="spellEnd"/>
      <w:r w:rsidR="003E64A7" w:rsidRPr="003E64A7">
        <w:rPr>
          <w:rFonts w:asciiTheme="minorBidi" w:hAnsiTheme="minorBidi"/>
        </w:rPr>
        <w:t>, T. (202</w:t>
      </w:r>
      <w:r w:rsidR="008A47FD">
        <w:rPr>
          <w:rFonts w:asciiTheme="minorBidi" w:hAnsiTheme="minorBidi"/>
        </w:rPr>
        <w:t>5</w:t>
      </w:r>
      <w:r w:rsidR="003E64A7" w:rsidRPr="003E64A7">
        <w:rPr>
          <w:rFonts w:asciiTheme="minorBidi" w:hAnsiTheme="minorBidi"/>
        </w:rPr>
        <w:t xml:space="preserve">) ‘The perils of using AI to replace entry-level jobs’, </w:t>
      </w:r>
      <w:r w:rsidR="003E64A7" w:rsidRPr="003E64A7">
        <w:rPr>
          <w:rFonts w:asciiTheme="minorBidi" w:hAnsiTheme="minorBidi"/>
          <w:i/>
          <w:iCs/>
        </w:rPr>
        <w:t>Harvard Business Review</w:t>
      </w:r>
      <w:r w:rsidR="003E64A7" w:rsidRPr="003E64A7">
        <w:rPr>
          <w:rFonts w:asciiTheme="minorBidi" w:hAnsiTheme="minorBidi"/>
        </w:rPr>
        <w:t>, March</w:t>
      </w:r>
      <w:r w:rsidR="002726B1">
        <w:rPr>
          <w:rFonts w:asciiTheme="minorBidi" w:hAnsiTheme="minorBidi"/>
        </w:rPr>
        <w:t xml:space="preserve"> - </w:t>
      </w:r>
      <w:r w:rsidR="003E64A7" w:rsidRPr="003E64A7">
        <w:rPr>
          <w:rFonts w:asciiTheme="minorBidi" w:hAnsiTheme="minorBidi"/>
        </w:rPr>
        <w:t>April.</w:t>
      </w:r>
      <w:r w:rsidR="000E2B0C">
        <w:rPr>
          <w:rFonts w:asciiTheme="minorBidi" w:hAnsiTheme="minorBidi"/>
        </w:rPr>
        <w:t xml:space="preserve"> Available at: </w:t>
      </w:r>
      <w:hyperlink r:id="rId16" w:history="1">
        <w:r w:rsidR="000E2B0C" w:rsidRPr="00B1285F">
          <w:rPr>
            <w:rStyle w:val="Hyperlink"/>
            <w:rFonts w:asciiTheme="minorBidi" w:hAnsiTheme="minorBidi"/>
          </w:rPr>
          <w:t>https://hbr.org/2024/07/the-perils-of-using-ai-to-replace-entry-level-jobs</w:t>
        </w:r>
      </w:hyperlink>
      <w:r w:rsidR="000E2B0C">
        <w:rPr>
          <w:rFonts w:asciiTheme="minorBidi" w:hAnsiTheme="minorBidi"/>
        </w:rPr>
        <w:t xml:space="preserve"> (Accessed: 20 January 2026).</w:t>
      </w:r>
      <w:r w:rsidR="003E64A7" w:rsidRPr="003E64A7">
        <w:rPr>
          <w:rFonts w:asciiTheme="minorBidi" w:hAnsiTheme="minorBidi"/>
        </w:rPr>
        <w:br/>
        <w:t xml:space="preserve">EHRC (2022) </w:t>
      </w:r>
      <w:r w:rsidR="003E64A7" w:rsidRPr="003E64A7">
        <w:rPr>
          <w:rFonts w:asciiTheme="minorBidi" w:hAnsiTheme="minorBidi"/>
          <w:i/>
          <w:iCs/>
        </w:rPr>
        <w:t>Artificial intelligence and the Public Sector Equality Duty</w:t>
      </w:r>
      <w:r w:rsidR="003E64A7" w:rsidRPr="003E64A7">
        <w:rPr>
          <w:rFonts w:asciiTheme="minorBidi" w:hAnsiTheme="minorBidi"/>
        </w:rPr>
        <w:t>. London: Equality and Human Rights Commission.</w:t>
      </w:r>
      <w:r w:rsidR="00E54FC1">
        <w:rPr>
          <w:rFonts w:asciiTheme="minorBidi" w:hAnsiTheme="minorBidi"/>
        </w:rPr>
        <w:t xml:space="preserve"> Available at: </w:t>
      </w:r>
      <w:hyperlink r:id="rId17" w:history="1">
        <w:r w:rsidR="00E54FC1" w:rsidRPr="00B1285F">
          <w:rPr>
            <w:rStyle w:val="Hyperlink"/>
            <w:rFonts w:asciiTheme="minorBidi" w:hAnsiTheme="minorBidi"/>
          </w:rPr>
          <w:t>https://www.equalityhumanrights.com/en/advice-and-guidance/artificial-intelligence-and-equality</w:t>
        </w:r>
      </w:hyperlink>
      <w:r w:rsidR="00E54FC1">
        <w:rPr>
          <w:rFonts w:asciiTheme="minorBidi" w:hAnsiTheme="minorBidi"/>
        </w:rPr>
        <w:t xml:space="preserve"> (Accessed 15 January 2026).</w:t>
      </w:r>
      <w:r w:rsidR="003E64A7" w:rsidRPr="003E64A7">
        <w:rPr>
          <w:rFonts w:asciiTheme="minorBidi" w:hAnsiTheme="minorBidi"/>
        </w:rPr>
        <w:br/>
        <w:t xml:space="preserve">Equality Act 2010 (2010) </w:t>
      </w:r>
      <w:r w:rsidR="003E64A7" w:rsidRPr="003E64A7">
        <w:rPr>
          <w:rFonts w:asciiTheme="minorBidi" w:hAnsiTheme="minorBidi"/>
          <w:i/>
          <w:iCs/>
        </w:rPr>
        <w:t>Equality Act 2010</w:t>
      </w:r>
      <w:r w:rsidR="003E64A7" w:rsidRPr="003E64A7">
        <w:rPr>
          <w:rFonts w:asciiTheme="minorBidi" w:hAnsiTheme="minorBidi"/>
        </w:rPr>
        <w:t>. London: The Stationery Office.</w:t>
      </w:r>
      <w:r w:rsidR="003E64A7" w:rsidRPr="003E64A7">
        <w:rPr>
          <w:rFonts w:asciiTheme="minorBidi" w:hAnsiTheme="minorBidi"/>
        </w:rPr>
        <w:br/>
        <w:t xml:space="preserve">European Union (2024) </w:t>
      </w:r>
      <w:r w:rsidR="003E64A7" w:rsidRPr="003E64A7">
        <w:rPr>
          <w:rFonts w:asciiTheme="minorBidi" w:hAnsiTheme="minorBidi"/>
          <w:i/>
          <w:iCs/>
        </w:rPr>
        <w:t>Artificial Intelligence Act</w:t>
      </w:r>
      <w:r w:rsidR="003E64A7" w:rsidRPr="003E64A7">
        <w:rPr>
          <w:rFonts w:asciiTheme="minorBidi" w:hAnsiTheme="minorBidi"/>
        </w:rPr>
        <w:t>. Brussels: European Union.</w:t>
      </w:r>
      <w:r w:rsidR="003E64A7" w:rsidRPr="003E64A7">
        <w:rPr>
          <w:rFonts w:asciiTheme="minorBidi" w:hAnsiTheme="minorBidi"/>
        </w:rPr>
        <w:br/>
        <w:t xml:space="preserve">Gallino, S. and </w:t>
      </w:r>
      <w:proofErr w:type="spellStart"/>
      <w:r w:rsidR="003E64A7" w:rsidRPr="003E64A7">
        <w:rPr>
          <w:rFonts w:asciiTheme="minorBidi" w:hAnsiTheme="minorBidi"/>
        </w:rPr>
        <w:t>Apaolaza</w:t>
      </w:r>
      <w:proofErr w:type="spellEnd"/>
      <w:r w:rsidR="003E64A7" w:rsidRPr="003E64A7">
        <w:rPr>
          <w:rFonts w:asciiTheme="minorBidi" w:hAnsiTheme="minorBidi"/>
        </w:rPr>
        <w:t>, B. (202</w:t>
      </w:r>
      <w:r w:rsidR="00767BAC">
        <w:rPr>
          <w:rFonts w:asciiTheme="minorBidi" w:hAnsiTheme="minorBidi"/>
        </w:rPr>
        <w:t>5</w:t>
      </w:r>
      <w:r w:rsidR="003E64A7" w:rsidRPr="003E64A7">
        <w:rPr>
          <w:rFonts w:asciiTheme="minorBidi" w:hAnsiTheme="minorBidi"/>
        </w:rPr>
        <w:t xml:space="preserve">) ‘The solution to service-worker churn’, </w:t>
      </w:r>
      <w:r w:rsidR="003E64A7" w:rsidRPr="003E64A7">
        <w:rPr>
          <w:rFonts w:asciiTheme="minorBidi" w:hAnsiTheme="minorBidi"/>
          <w:i/>
          <w:iCs/>
        </w:rPr>
        <w:t>Harvard Business Review</w:t>
      </w:r>
      <w:r w:rsidR="003E64A7" w:rsidRPr="003E64A7">
        <w:rPr>
          <w:rFonts w:asciiTheme="minorBidi" w:hAnsiTheme="minorBidi"/>
        </w:rPr>
        <w:t>, March</w:t>
      </w:r>
      <w:r w:rsidR="005F0C59">
        <w:rPr>
          <w:rFonts w:asciiTheme="minorBidi" w:hAnsiTheme="minorBidi"/>
        </w:rPr>
        <w:t xml:space="preserve"> - </w:t>
      </w:r>
      <w:r w:rsidR="003E64A7" w:rsidRPr="003E64A7">
        <w:rPr>
          <w:rFonts w:asciiTheme="minorBidi" w:hAnsiTheme="minorBidi"/>
        </w:rPr>
        <w:t>April.</w:t>
      </w:r>
      <w:r w:rsidR="00980F5E">
        <w:rPr>
          <w:rFonts w:asciiTheme="minorBidi" w:hAnsiTheme="minorBidi"/>
        </w:rPr>
        <w:t xml:space="preserve"> Available at: </w:t>
      </w:r>
      <w:hyperlink r:id="rId18" w:history="1">
        <w:r w:rsidR="00980F5E" w:rsidRPr="00B1285F">
          <w:rPr>
            <w:rStyle w:val="Hyperlink"/>
            <w:rFonts w:asciiTheme="minorBidi" w:hAnsiTheme="minorBidi"/>
          </w:rPr>
          <w:t>https://hbr.org/2023/09/the-solution-to-service-worker-churn</w:t>
        </w:r>
      </w:hyperlink>
      <w:r w:rsidR="00980F5E">
        <w:rPr>
          <w:rFonts w:asciiTheme="minorBidi" w:hAnsiTheme="minorBidi"/>
        </w:rPr>
        <w:t xml:space="preserve"> (Accessed: 20 January 2026).</w:t>
      </w:r>
      <w:r w:rsidR="003E64A7" w:rsidRPr="003E64A7">
        <w:rPr>
          <w:rFonts w:asciiTheme="minorBidi" w:hAnsiTheme="minorBidi"/>
        </w:rPr>
        <w:br/>
        <w:t xml:space="preserve">Hackman, J.R. and Oldham, G.R. (1980) </w:t>
      </w:r>
      <w:r w:rsidR="003E64A7" w:rsidRPr="003E64A7">
        <w:rPr>
          <w:rFonts w:asciiTheme="minorBidi" w:hAnsiTheme="minorBidi"/>
          <w:i/>
          <w:iCs/>
        </w:rPr>
        <w:t>Work Redesign</w:t>
      </w:r>
      <w:r w:rsidR="003E64A7" w:rsidRPr="003E64A7">
        <w:rPr>
          <w:rFonts w:asciiTheme="minorBidi" w:hAnsiTheme="minorBidi"/>
        </w:rPr>
        <w:t>. Reading, MA: Addison-Wesley.</w:t>
      </w:r>
      <w:r w:rsidR="003E64A7" w:rsidRPr="003E64A7">
        <w:rPr>
          <w:rFonts w:asciiTheme="minorBidi" w:hAnsiTheme="minorBidi"/>
        </w:rPr>
        <w:br/>
        <w:t xml:space="preserve">Heifetz, R., </w:t>
      </w:r>
      <w:proofErr w:type="spellStart"/>
      <w:r w:rsidR="003E64A7" w:rsidRPr="003E64A7">
        <w:rPr>
          <w:rFonts w:asciiTheme="minorBidi" w:hAnsiTheme="minorBidi"/>
        </w:rPr>
        <w:t>Grashow</w:t>
      </w:r>
      <w:proofErr w:type="spellEnd"/>
      <w:r w:rsidR="003E64A7" w:rsidRPr="003E64A7">
        <w:rPr>
          <w:rFonts w:asciiTheme="minorBidi" w:hAnsiTheme="minorBidi"/>
        </w:rPr>
        <w:t xml:space="preserve">, A. and Linsky, M. (2009) </w:t>
      </w:r>
      <w:r w:rsidR="003E64A7" w:rsidRPr="003E64A7">
        <w:rPr>
          <w:rFonts w:asciiTheme="minorBidi" w:hAnsiTheme="minorBidi"/>
          <w:i/>
          <w:iCs/>
        </w:rPr>
        <w:t>The Practice of Adaptive Leadership</w:t>
      </w:r>
      <w:r w:rsidR="003E64A7" w:rsidRPr="003E64A7">
        <w:rPr>
          <w:rFonts w:asciiTheme="minorBidi" w:hAnsiTheme="minorBidi"/>
        </w:rPr>
        <w:t>. Boston, MA: Harvard Business Press.</w:t>
      </w:r>
      <w:r w:rsidR="003E64A7" w:rsidRPr="003E64A7">
        <w:rPr>
          <w:rFonts w:asciiTheme="minorBidi" w:hAnsiTheme="minorBidi"/>
        </w:rPr>
        <w:br/>
        <w:t xml:space="preserve">Hersey, P., Blanchard, K.H. and Johnson, D.E. (2013) </w:t>
      </w:r>
      <w:r w:rsidR="003E64A7" w:rsidRPr="003E64A7">
        <w:rPr>
          <w:rFonts w:asciiTheme="minorBidi" w:hAnsiTheme="minorBidi"/>
          <w:i/>
          <w:iCs/>
        </w:rPr>
        <w:t xml:space="preserve">Management of Organizational </w:t>
      </w:r>
      <w:proofErr w:type="spellStart"/>
      <w:r w:rsidR="003E64A7" w:rsidRPr="003E64A7">
        <w:rPr>
          <w:rFonts w:asciiTheme="minorBidi" w:hAnsiTheme="minorBidi"/>
          <w:i/>
          <w:iCs/>
        </w:rPr>
        <w:t>Behavior</w:t>
      </w:r>
      <w:proofErr w:type="spellEnd"/>
      <w:r w:rsidR="003E64A7" w:rsidRPr="003E64A7">
        <w:rPr>
          <w:rFonts w:asciiTheme="minorBidi" w:hAnsiTheme="minorBidi"/>
          <w:i/>
          <w:iCs/>
        </w:rPr>
        <w:t>: Leading Human Resources</w:t>
      </w:r>
      <w:r w:rsidR="003E64A7" w:rsidRPr="003E64A7">
        <w:rPr>
          <w:rFonts w:asciiTheme="minorBidi" w:hAnsiTheme="minorBidi"/>
        </w:rPr>
        <w:t xml:space="preserve">. 10th </w:t>
      </w:r>
      <w:proofErr w:type="spellStart"/>
      <w:r w:rsidR="003E64A7" w:rsidRPr="003E64A7">
        <w:rPr>
          <w:rFonts w:asciiTheme="minorBidi" w:hAnsiTheme="minorBidi"/>
        </w:rPr>
        <w:t>edn</w:t>
      </w:r>
      <w:proofErr w:type="spellEnd"/>
      <w:r w:rsidR="003E64A7" w:rsidRPr="003E64A7">
        <w:rPr>
          <w:rFonts w:asciiTheme="minorBidi" w:hAnsiTheme="minorBidi"/>
        </w:rPr>
        <w:t>. Harlow: Pearson.</w:t>
      </w:r>
      <w:r w:rsidR="003E64A7" w:rsidRPr="003E64A7">
        <w:rPr>
          <w:rFonts w:asciiTheme="minorBidi" w:hAnsiTheme="minorBidi"/>
        </w:rPr>
        <w:br/>
        <w:t xml:space="preserve">ICO (2020) </w:t>
      </w:r>
      <w:r w:rsidR="003E64A7" w:rsidRPr="003E64A7">
        <w:rPr>
          <w:rFonts w:asciiTheme="minorBidi" w:hAnsiTheme="minorBidi"/>
          <w:i/>
          <w:iCs/>
        </w:rPr>
        <w:t>Guidance on AI and data protection</w:t>
      </w:r>
      <w:r w:rsidR="003E64A7" w:rsidRPr="003E64A7">
        <w:rPr>
          <w:rFonts w:asciiTheme="minorBidi" w:hAnsiTheme="minorBidi"/>
        </w:rPr>
        <w:t xml:space="preserve">. Wilmslow: Information Commissioner’s Office. Available at: </w:t>
      </w:r>
      <w:hyperlink r:id="rId19" w:history="1">
        <w:r w:rsidR="00C84BBC" w:rsidRPr="00B1285F">
          <w:rPr>
            <w:rStyle w:val="Hyperlink"/>
            <w:rFonts w:asciiTheme="minorBidi" w:hAnsiTheme="minorBidi"/>
          </w:rPr>
          <w:t>https://ico.org.uk/for-organisations/guide-to-data-protection/key-dp-themes/guidance-on-ai-and-data-protection/</w:t>
        </w:r>
      </w:hyperlink>
      <w:r w:rsidR="00C84BBC">
        <w:rPr>
          <w:rFonts w:asciiTheme="minorBidi" w:hAnsiTheme="minorBidi"/>
        </w:rPr>
        <w:t xml:space="preserve"> </w:t>
      </w:r>
      <w:r w:rsidR="003E64A7" w:rsidRPr="003E64A7">
        <w:rPr>
          <w:rFonts w:asciiTheme="minorBidi" w:hAnsiTheme="minorBidi"/>
        </w:rPr>
        <w:t xml:space="preserve"> (Accessed: 15 January 202</w:t>
      </w:r>
      <w:r w:rsidR="00767BAC">
        <w:rPr>
          <w:rFonts w:asciiTheme="minorBidi" w:hAnsiTheme="minorBidi"/>
        </w:rPr>
        <w:t>6</w:t>
      </w:r>
      <w:r w:rsidR="003E64A7" w:rsidRPr="003E64A7">
        <w:rPr>
          <w:rFonts w:asciiTheme="minorBidi" w:hAnsiTheme="minorBidi"/>
        </w:rPr>
        <w:t>).</w:t>
      </w:r>
      <w:r w:rsidR="003E64A7" w:rsidRPr="003E64A7">
        <w:rPr>
          <w:rFonts w:asciiTheme="minorBidi" w:hAnsiTheme="minorBidi"/>
        </w:rPr>
        <w:br/>
        <w:t xml:space="preserve">ILO (2021) </w:t>
      </w:r>
      <w:r w:rsidR="003E64A7" w:rsidRPr="003E64A7">
        <w:rPr>
          <w:rFonts w:asciiTheme="minorBidi" w:hAnsiTheme="minorBidi"/>
          <w:i/>
          <w:iCs/>
        </w:rPr>
        <w:t>World Employment and Social Outlook 2021: The role of digital labour platforms in transforming the world of work</w:t>
      </w:r>
      <w:r w:rsidR="003E64A7" w:rsidRPr="003E64A7">
        <w:rPr>
          <w:rFonts w:asciiTheme="minorBidi" w:hAnsiTheme="minorBidi"/>
        </w:rPr>
        <w:t>. Geneva: International Labour Organization.</w:t>
      </w:r>
      <w:r w:rsidR="003E64A7" w:rsidRPr="003E64A7">
        <w:rPr>
          <w:rFonts w:asciiTheme="minorBidi" w:hAnsiTheme="minorBidi"/>
        </w:rPr>
        <w:br/>
        <w:t xml:space="preserve">IMF (2024) ‘AI will transform the global economy. Let’s make sure it benefits humanity’, </w:t>
      </w:r>
      <w:r w:rsidR="003E64A7" w:rsidRPr="003E64A7">
        <w:rPr>
          <w:rFonts w:asciiTheme="minorBidi" w:hAnsiTheme="minorBidi"/>
          <w:i/>
          <w:iCs/>
        </w:rPr>
        <w:t>IMF Blog</w:t>
      </w:r>
      <w:r w:rsidR="003E64A7" w:rsidRPr="003E64A7">
        <w:rPr>
          <w:rFonts w:asciiTheme="minorBidi" w:hAnsiTheme="minorBidi"/>
        </w:rPr>
        <w:t xml:space="preserve">, 14 January. Available at: </w:t>
      </w:r>
      <w:hyperlink r:id="rId20" w:tgtFrame="_new" w:history="1">
        <w:r w:rsidR="003E64A7" w:rsidRPr="003E64A7">
          <w:rPr>
            <w:rStyle w:val="Hyperlink"/>
            <w:rFonts w:asciiTheme="minorBidi" w:hAnsiTheme="minorBidi"/>
          </w:rPr>
          <w:t>https://www.imf.org/en/Blogs/Articles/2024/01/14/ai-will-transform-the-global-economy-lets-make-sure-it-benefits-humanity</w:t>
        </w:r>
      </w:hyperlink>
      <w:r w:rsidR="003E64A7" w:rsidRPr="003E64A7">
        <w:rPr>
          <w:rFonts w:asciiTheme="minorBidi" w:hAnsiTheme="minorBidi"/>
        </w:rPr>
        <w:t xml:space="preserve"> (Accessed: 15 January 202</w:t>
      </w:r>
      <w:r w:rsidR="00767BAC">
        <w:rPr>
          <w:rFonts w:asciiTheme="minorBidi" w:hAnsiTheme="minorBidi"/>
        </w:rPr>
        <w:t>6</w:t>
      </w:r>
      <w:r w:rsidR="003E64A7" w:rsidRPr="003E64A7">
        <w:rPr>
          <w:rFonts w:asciiTheme="minorBidi" w:hAnsiTheme="minorBidi"/>
        </w:rPr>
        <w:t>).</w:t>
      </w:r>
      <w:r w:rsidR="003E64A7" w:rsidRPr="003E64A7">
        <w:rPr>
          <w:rFonts w:asciiTheme="minorBidi" w:hAnsiTheme="minorBidi"/>
        </w:rPr>
        <w:br/>
      </w:r>
      <w:proofErr w:type="spellStart"/>
      <w:r w:rsidR="003E64A7" w:rsidRPr="003E64A7">
        <w:rPr>
          <w:rFonts w:asciiTheme="minorBidi" w:hAnsiTheme="minorBidi"/>
        </w:rPr>
        <w:t>Jesuthasan</w:t>
      </w:r>
      <w:proofErr w:type="spellEnd"/>
      <w:r w:rsidR="003E64A7" w:rsidRPr="003E64A7">
        <w:rPr>
          <w:rFonts w:asciiTheme="minorBidi" w:hAnsiTheme="minorBidi"/>
        </w:rPr>
        <w:t xml:space="preserve">, R. and Boudreau, J.W. (2018) </w:t>
      </w:r>
      <w:r w:rsidR="003E64A7" w:rsidRPr="003E64A7">
        <w:rPr>
          <w:rFonts w:asciiTheme="minorBidi" w:hAnsiTheme="minorBidi"/>
          <w:i/>
          <w:iCs/>
        </w:rPr>
        <w:t>Reinventing Jobs: A 4-Step Approach for Applying Automation to Work</w:t>
      </w:r>
      <w:r w:rsidR="003E64A7" w:rsidRPr="003E64A7">
        <w:rPr>
          <w:rFonts w:asciiTheme="minorBidi" w:hAnsiTheme="minorBidi"/>
        </w:rPr>
        <w:t>. Boston, MA: Harvard Business Review Press.</w:t>
      </w:r>
      <w:r w:rsidR="003E64A7" w:rsidRPr="003E64A7">
        <w:rPr>
          <w:rFonts w:asciiTheme="minorBidi" w:hAnsiTheme="minorBidi"/>
        </w:rPr>
        <w:br/>
        <w:t xml:space="preserve">Kahn, W.A. (1990) ‘Psychological conditions of personal engagement and disengagement at work’, </w:t>
      </w:r>
      <w:r w:rsidR="003E64A7" w:rsidRPr="003E64A7">
        <w:rPr>
          <w:rFonts w:asciiTheme="minorBidi" w:hAnsiTheme="minorBidi"/>
          <w:i/>
          <w:iCs/>
        </w:rPr>
        <w:t>Academy of Management Journal</w:t>
      </w:r>
      <w:r w:rsidR="003E64A7" w:rsidRPr="003E64A7">
        <w:rPr>
          <w:rFonts w:asciiTheme="minorBidi" w:hAnsiTheme="minorBidi"/>
        </w:rPr>
        <w:t>, 33(4), pp. 692–724.</w:t>
      </w:r>
      <w:r w:rsidR="003E64A7" w:rsidRPr="003E64A7">
        <w:rPr>
          <w:rFonts w:asciiTheme="minorBidi" w:hAnsiTheme="minorBidi"/>
        </w:rPr>
        <w:br/>
        <w:t xml:space="preserve">Kellogg, K.C., Valentine, M.A. and Christin, A. (2020) ‘Algorithms at work: The new contested terrain of control’, </w:t>
      </w:r>
      <w:r w:rsidR="003E64A7" w:rsidRPr="003E64A7">
        <w:rPr>
          <w:rFonts w:asciiTheme="minorBidi" w:hAnsiTheme="minorBidi"/>
          <w:i/>
          <w:iCs/>
        </w:rPr>
        <w:t>Academy of Management Annals</w:t>
      </w:r>
      <w:r w:rsidR="003E64A7" w:rsidRPr="003E64A7">
        <w:rPr>
          <w:rFonts w:asciiTheme="minorBidi" w:hAnsiTheme="minorBidi"/>
        </w:rPr>
        <w:t>, 14(1), pp. 366</w:t>
      </w:r>
      <w:r w:rsidR="002726B1">
        <w:rPr>
          <w:rFonts w:asciiTheme="minorBidi" w:hAnsiTheme="minorBidi"/>
        </w:rPr>
        <w:t xml:space="preserve"> -</w:t>
      </w:r>
      <w:r w:rsidR="005F0C59">
        <w:rPr>
          <w:rFonts w:asciiTheme="minorBidi" w:hAnsiTheme="minorBidi"/>
        </w:rPr>
        <w:t xml:space="preserve"> </w:t>
      </w:r>
      <w:r w:rsidR="003E64A7" w:rsidRPr="003E64A7">
        <w:rPr>
          <w:rFonts w:asciiTheme="minorBidi" w:hAnsiTheme="minorBidi"/>
        </w:rPr>
        <w:t>410.</w:t>
      </w:r>
      <w:r w:rsidR="003E64A7" w:rsidRPr="003E64A7">
        <w:rPr>
          <w:rFonts w:asciiTheme="minorBidi" w:hAnsiTheme="minorBidi"/>
        </w:rPr>
        <w:br/>
        <w:t xml:space="preserve">Kotter, J.P. (1996) </w:t>
      </w:r>
      <w:r w:rsidR="003E64A7" w:rsidRPr="003E64A7">
        <w:rPr>
          <w:rFonts w:asciiTheme="minorBidi" w:hAnsiTheme="minorBidi"/>
          <w:i/>
          <w:iCs/>
        </w:rPr>
        <w:t>Leading Change</w:t>
      </w:r>
      <w:r w:rsidR="003E64A7" w:rsidRPr="003E64A7">
        <w:rPr>
          <w:rFonts w:asciiTheme="minorBidi" w:hAnsiTheme="minorBidi"/>
        </w:rPr>
        <w:t>. Boston, MA: Harvard Business School Press.</w:t>
      </w:r>
      <w:r w:rsidR="003E64A7" w:rsidRPr="003E64A7">
        <w:rPr>
          <w:rFonts w:asciiTheme="minorBidi" w:hAnsiTheme="minorBidi"/>
        </w:rPr>
        <w:br/>
        <w:t xml:space="preserve">Lewis Silkin (2025a) </w:t>
      </w:r>
      <w:r w:rsidR="003E64A7" w:rsidRPr="003E64A7">
        <w:rPr>
          <w:rFonts w:asciiTheme="minorBidi" w:hAnsiTheme="minorBidi"/>
          <w:i/>
          <w:iCs/>
        </w:rPr>
        <w:t>Employment Rights Bill unpacked: Fair Work Agency</w:t>
      </w:r>
      <w:r w:rsidR="003E64A7" w:rsidRPr="003E64A7">
        <w:rPr>
          <w:rFonts w:asciiTheme="minorBidi" w:hAnsiTheme="minorBidi"/>
        </w:rPr>
        <w:t xml:space="preserve">. Available at: </w:t>
      </w:r>
      <w:hyperlink r:id="rId21" w:history="1">
        <w:r w:rsidR="00CE7FCF" w:rsidRPr="00B1285F">
          <w:rPr>
            <w:rStyle w:val="Hyperlink"/>
          </w:rPr>
          <w:t>https://www.lewissilkin.com/insights/2025/03/13/employment-rights-bill-unpacked-fair-work-agency</w:t>
        </w:r>
      </w:hyperlink>
      <w:r w:rsidR="003E64A7" w:rsidRPr="003E64A7">
        <w:rPr>
          <w:rFonts w:asciiTheme="minorBidi" w:hAnsiTheme="minorBidi"/>
        </w:rPr>
        <w:t xml:space="preserve"> (Accessed: 15 January 202</w:t>
      </w:r>
      <w:r w:rsidR="00767BAC">
        <w:rPr>
          <w:rFonts w:asciiTheme="minorBidi" w:hAnsiTheme="minorBidi"/>
        </w:rPr>
        <w:t>6</w:t>
      </w:r>
      <w:r w:rsidR="003E64A7" w:rsidRPr="003E64A7">
        <w:rPr>
          <w:rFonts w:asciiTheme="minorBidi" w:hAnsiTheme="minorBidi"/>
        </w:rPr>
        <w:t>).</w:t>
      </w:r>
      <w:r w:rsidR="003E64A7" w:rsidRPr="003E64A7">
        <w:rPr>
          <w:rFonts w:asciiTheme="minorBidi" w:hAnsiTheme="minorBidi"/>
        </w:rPr>
        <w:br/>
        <w:t xml:space="preserve">Lewis Silkin (2025b) </w:t>
      </w:r>
      <w:r w:rsidR="003E64A7" w:rsidRPr="003E64A7">
        <w:rPr>
          <w:rFonts w:asciiTheme="minorBidi" w:hAnsiTheme="minorBidi"/>
          <w:i/>
          <w:iCs/>
        </w:rPr>
        <w:t>Employment Rights Bill unpacked: zero hours reforms extended to agency workers</w:t>
      </w:r>
      <w:r w:rsidR="003E64A7" w:rsidRPr="003E64A7">
        <w:rPr>
          <w:rFonts w:asciiTheme="minorBidi" w:hAnsiTheme="minorBidi"/>
        </w:rPr>
        <w:t xml:space="preserve">. Available at: </w:t>
      </w:r>
      <w:hyperlink r:id="rId22" w:history="1">
        <w:r w:rsidR="00223E22" w:rsidRPr="00B1285F">
          <w:rPr>
            <w:rStyle w:val="Hyperlink"/>
          </w:rPr>
          <w:t>https://www.lewissilkin.com/insights/2025/03/13/employment-rights-bill-unpacked-zero-hours-reforms-extended-to-agency-workers</w:t>
        </w:r>
      </w:hyperlink>
      <w:r w:rsidR="00223E22">
        <w:t xml:space="preserve"> </w:t>
      </w:r>
      <w:r w:rsidR="003E64A7" w:rsidRPr="003E64A7">
        <w:rPr>
          <w:rFonts w:asciiTheme="minorBidi" w:hAnsiTheme="minorBidi"/>
        </w:rPr>
        <w:t>(Accessed: 15 January 202</w:t>
      </w:r>
      <w:r w:rsidR="00767BAC">
        <w:rPr>
          <w:rFonts w:asciiTheme="minorBidi" w:hAnsiTheme="minorBidi"/>
        </w:rPr>
        <w:t>6</w:t>
      </w:r>
      <w:r w:rsidR="003E64A7" w:rsidRPr="003E64A7">
        <w:rPr>
          <w:rFonts w:asciiTheme="minorBidi" w:hAnsiTheme="minorBidi"/>
        </w:rPr>
        <w:t>).</w:t>
      </w:r>
      <w:r w:rsidR="003E64A7" w:rsidRPr="003E64A7">
        <w:rPr>
          <w:rFonts w:asciiTheme="minorBidi" w:hAnsiTheme="minorBidi"/>
        </w:rPr>
        <w:br/>
        <w:t xml:space="preserve">Lewin, K. (1947) ‘Frontiers in group dynamics’, </w:t>
      </w:r>
      <w:r w:rsidR="003E64A7" w:rsidRPr="003E64A7">
        <w:rPr>
          <w:rFonts w:asciiTheme="minorBidi" w:hAnsiTheme="minorBidi"/>
          <w:i/>
          <w:iCs/>
        </w:rPr>
        <w:t>Human Relations</w:t>
      </w:r>
      <w:r w:rsidR="003E64A7" w:rsidRPr="003E64A7">
        <w:rPr>
          <w:rFonts w:asciiTheme="minorBidi" w:hAnsiTheme="minorBidi"/>
        </w:rPr>
        <w:t>, 1(1), pp. 5</w:t>
      </w:r>
      <w:r w:rsidR="002726B1">
        <w:rPr>
          <w:rFonts w:asciiTheme="minorBidi" w:hAnsiTheme="minorBidi"/>
        </w:rPr>
        <w:t xml:space="preserve"> - </w:t>
      </w:r>
      <w:r w:rsidR="003E64A7" w:rsidRPr="003E64A7">
        <w:rPr>
          <w:rFonts w:asciiTheme="minorBidi" w:hAnsiTheme="minorBidi"/>
        </w:rPr>
        <w:t>41.</w:t>
      </w:r>
      <w:r w:rsidR="003E64A7" w:rsidRPr="003E64A7">
        <w:rPr>
          <w:rFonts w:asciiTheme="minorBidi" w:hAnsiTheme="minorBidi"/>
        </w:rPr>
        <w:br/>
        <w:t xml:space="preserve">McKinsey Global Institute (2023) </w:t>
      </w:r>
      <w:r w:rsidR="003E64A7" w:rsidRPr="003E64A7">
        <w:rPr>
          <w:rFonts w:asciiTheme="minorBidi" w:hAnsiTheme="minorBidi"/>
          <w:i/>
          <w:iCs/>
        </w:rPr>
        <w:t>The economic potential of generative AI: The next productivity frontier</w:t>
      </w:r>
      <w:r w:rsidR="003E64A7" w:rsidRPr="003E64A7">
        <w:rPr>
          <w:rFonts w:asciiTheme="minorBidi" w:hAnsiTheme="minorBidi"/>
        </w:rPr>
        <w:t xml:space="preserve">. McKinsey &amp; Company. Available at: </w:t>
      </w:r>
      <w:hyperlink r:id="rId23" w:history="1">
        <w:r w:rsidR="000C78FF" w:rsidRPr="00B1285F">
          <w:rPr>
            <w:rStyle w:val="Hyperlink"/>
          </w:rPr>
          <w:t>https://www.mckinsey.com/capabilities/tech-and-ai/our-insights/the-economic-potential-of-generative-ai-the-next-productivity-frontier</w:t>
        </w:r>
      </w:hyperlink>
      <w:r w:rsidR="000C78FF">
        <w:t xml:space="preserve"> </w:t>
      </w:r>
      <w:r w:rsidR="003E64A7" w:rsidRPr="003E64A7">
        <w:rPr>
          <w:rFonts w:asciiTheme="minorBidi" w:hAnsiTheme="minorBidi"/>
        </w:rPr>
        <w:t>(Accessed: 15 January 202</w:t>
      </w:r>
      <w:r w:rsidR="00767BAC">
        <w:rPr>
          <w:rFonts w:asciiTheme="minorBidi" w:hAnsiTheme="minorBidi"/>
        </w:rPr>
        <w:t>6</w:t>
      </w:r>
      <w:r w:rsidR="003E64A7" w:rsidRPr="003E64A7">
        <w:rPr>
          <w:rFonts w:asciiTheme="minorBidi" w:hAnsiTheme="minorBidi"/>
        </w:rPr>
        <w:t xml:space="preserve">). </w:t>
      </w:r>
      <w:r w:rsidR="003E64A7" w:rsidRPr="003E64A7">
        <w:rPr>
          <w:rFonts w:asciiTheme="minorBidi" w:hAnsiTheme="minorBidi"/>
        </w:rPr>
        <w:br/>
        <w:t xml:space="preserve">Mullins, L.J. (2016) </w:t>
      </w:r>
      <w:r w:rsidR="003E64A7" w:rsidRPr="003E64A7">
        <w:rPr>
          <w:rFonts w:asciiTheme="minorBidi" w:hAnsiTheme="minorBidi"/>
          <w:i/>
          <w:iCs/>
        </w:rPr>
        <w:t>Management and Organisational Behaviour</w:t>
      </w:r>
      <w:r w:rsidR="003E64A7" w:rsidRPr="003E64A7">
        <w:rPr>
          <w:rFonts w:asciiTheme="minorBidi" w:hAnsiTheme="minorBidi"/>
        </w:rPr>
        <w:t xml:space="preserve">. 11th </w:t>
      </w:r>
      <w:proofErr w:type="spellStart"/>
      <w:r w:rsidR="003E64A7" w:rsidRPr="003E64A7">
        <w:rPr>
          <w:rFonts w:asciiTheme="minorBidi" w:hAnsiTheme="minorBidi"/>
        </w:rPr>
        <w:t>edn</w:t>
      </w:r>
      <w:proofErr w:type="spellEnd"/>
      <w:r w:rsidR="003E64A7" w:rsidRPr="003E64A7">
        <w:rPr>
          <w:rFonts w:asciiTheme="minorBidi" w:hAnsiTheme="minorBidi"/>
        </w:rPr>
        <w:t>. Harlow: Pearson.</w:t>
      </w:r>
      <w:r w:rsidR="003E64A7" w:rsidRPr="003E64A7">
        <w:rPr>
          <w:rFonts w:asciiTheme="minorBidi" w:hAnsiTheme="minorBidi"/>
        </w:rPr>
        <w:br/>
        <w:t xml:space="preserve">NIST (2023) </w:t>
      </w:r>
      <w:r w:rsidR="003E64A7" w:rsidRPr="003E64A7">
        <w:rPr>
          <w:rFonts w:asciiTheme="minorBidi" w:hAnsiTheme="minorBidi"/>
          <w:i/>
          <w:iCs/>
        </w:rPr>
        <w:t>Artificial Intelligence Risk Management Framework (AI RMF 1.0)</w:t>
      </w:r>
      <w:r w:rsidR="003E64A7" w:rsidRPr="003E64A7">
        <w:rPr>
          <w:rFonts w:asciiTheme="minorBidi" w:hAnsiTheme="minorBidi"/>
        </w:rPr>
        <w:t xml:space="preserve">. Gaithersburg, MD: National Institute of Standards and Technology. Available at: </w:t>
      </w:r>
      <w:hyperlink r:id="rId24" w:tgtFrame="_new" w:history="1">
        <w:r w:rsidR="003E64A7" w:rsidRPr="003E64A7">
          <w:rPr>
            <w:rStyle w:val="Hyperlink"/>
            <w:rFonts w:asciiTheme="minorBidi" w:hAnsiTheme="minorBidi"/>
          </w:rPr>
          <w:t>https://www.nist.gov/itl/ai-risk-management-framework</w:t>
        </w:r>
      </w:hyperlink>
      <w:r w:rsidR="003E64A7" w:rsidRPr="003E64A7">
        <w:rPr>
          <w:rFonts w:asciiTheme="minorBidi" w:hAnsiTheme="minorBidi"/>
        </w:rPr>
        <w:t xml:space="preserve"> (Accessed: 15 January 202</w:t>
      </w:r>
      <w:r w:rsidR="00767BAC">
        <w:rPr>
          <w:rFonts w:asciiTheme="minorBidi" w:hAnsiTheme="minorBidi"/>
        </w:rPr>
        <w:t>6</w:t>
      </w:r>
      <w:r w:rsidR="003E64A7" w:rsidRPr="003E64A7">
        <w:rPr>
          <w:rFonts w:asciiTheme="minorBidi" w:hAnsiTheme="minorBidi"/>
        </w:rPr>
        <w:t>).</w:t>
      </w:r>
      <w:r w:rsidR="003E64A7" w:rsidRPr="003E64A7">
        <w:rPr>
          <w:rFonts w:asciiTheme="minorBidi" w:hAnsiTheme="minorBidi"/>
        </w:rPr>
        <w:br/>
        <w:t xml:space="preserve">OECD (2019) </w:t>
      </w:r>
      <w:r w:rsidR="003E64A7" w:rsidRPr="003E64A7">
        <w:rPr>
          <w:rFonts w:asciiTheme="minorBidi" w:hAnsiTheme="minorBidi"/>
          <w:i/>
          <w:iCs/>
        </w:rPr>
        <w:t>OECD Principles on Artificial Intelligence</w:t>
      </w:r>
      <w:r w:rsidR="003E64A7" w:rsidRPr="003E64A7">
        <w:rPr>
          <w:rFonts w:asciiTheme="minorBidi" w:hAnsiTheme="minorBidi"/>
        </w:rPr>
        <w:t xml:space="preserve">. Paris: OECD. Available at: </w:t>
      </w:r>
      <w:hyperlink r:id="rId25" w:tgtFrame="_new" w:history="1">
        <w:r w:rsidR="003E64A7" w:rsidRPr="003E64A7">
          <w:rPr>
            <w:rStyle w:val="Hyperlink"/>
            <w:rFonts w:asciiTheme="minorBidi" w:hAnsiTheme="minorBidi"/>
          </w:rPr>
          <w:t>https://oecd.ai/en/ai-principles</w:t>
        </w:r>
      </w:hyperlink>
      <w:r w:rsidR="003E64A7" w:rsidRPr="003E64A7">
        <w:rPr>
          <w:rFonts w:asciiTheme="minorBidi" w:hAnsiTheme="minorBidi"/>
        </w:rPr>
        <w:t xml:space="preserve"> (Accessed: 15 January 2025).</w:t>
      </w:r>
      <w:r w:rsidR="003E64A7" w:rsidRPr="003E64A7">
        <w:rPr>
          <w:rFonts w:asciiTheme="minorBidi" w:hAnsiTheme="minorBidi"/>
        </w:rPr>
        <w:br/>
        <w:t xml:space="preserve">OECD (2023) </w:t>
      </w:r>
      <w:r w:rsidR="003E64A7" w:rsidRPr="003E64A7">
        <w:rPr>
          <w:rFonts w:asciiTheme="minorBidi" w:hAnsiTheme="minorBidi"/>
          <w:i/>
          <w:iCs/>
        </w:rPr>
        <w:t>Employment Outlook 2023</w:t>
      </w:r>
      <w:r w:rsidR="003E64A7" w:rsidRPr="003E64A7">
        <w:rPr>
          <w:rFonts w:asciiTheme="minorBidi" w:hAnsiTheme="minorBidi"/>
        </w:rPr>
        <w:t>. Paris: OECD.</w:t>
      </w:r>
      <w:r w:rsidR="002B7CAB">
        <w:rPr>
          <w:rFonts w:asciiTheme="minorBidi" w:hAnsiTheme="minorBidi"/>
        </w:rPr>
        <w:t xml:space="preserve"> Available at: </w:t>
      </w:r>
      <w:hyperlink r:id="rId26" w:history="1">
        <w:r w:rsidR="00655C02" w:rsidRPr="00B1285F">
          <w:rPr>
            <w:rStyle w:val="Hyperlink"/>
            <w:rFonts w:asciiTheme="minorBidi" w:hAnsiTheme="minorBidi"/>
          </w:rPr>
          <w:t>https://www.oecd.org/content/dam/oecd/en/publications/reports/2023/07/oecd-employment-outlook-2023_904bcef3/08785bba-en.pdf</w:t>
        </w:r>
      </w:hyperlink>
      <w:r w:rsidR="00655C02">
        <w:rPr>
          <w:rFonts w:asciiTheme="minorBidi" w:hAnsiTheme="minorBidi"/>
        </w:rPr>
        <w:t xml:space="preserve"> (Accessed:15 January 202</w:t>
      </w:r>
      <w:r w:rsidR="00767BAC">
        <w:rPr>
          <w:rFonts w:asciiTheme="minorBidi" w:hAnsiTheme="minorBidi"/>
        </w:rPr>
        <w:t>6</w:t>
      </w:r>
      <w:r w:rsidR="00655C02">
        <w:rPr>
          <w:rFonts w:asciiTheme="minorBidi" w:hAnsiTheme="minorBidi"/>
        </w:rPr>
        <w:t>)</w:t>
      </w:r>
      <w:r w:rsidR="003E64A7" w:rsidRPr="003E64A7">
        <w:rPr>
          <w:rFonts w:asciiTheme="minorBidi" w:hAnsiTheme="minorBidi"/>
        </w:rPr>
        <w:br/>
        <w:t xml:space="preserve">ONS (2025) </w:t>
      </w:r>
      <w:r w:rsidR="003E64A7" w:rsidRPr="003E64A7">
        <w:rPr>
          <w:rFonts w:asciiTheme="minorBidi" w:hAnsiTheme="minorBidi"/>
          <w:i/>
          <w:iCs/>
        </w:rPr>
        <w:t>Vacancies and jobs in the UK: November 2025</w:t>
      </w:r>
      <w:r w:rsidR="003E64A7" w:rsidRPr="003E64A7">
        <w:rPr>
          <w:rFonts w:asciiTheme="minorBidi" w:hAnsiTheme="minorBidi"/>
        </w:rPr>
        <w:t xml:space="preserve">. Office for National Statistics. Available at: </w:t>
      </w:r>
      <w:hyperlink r:id="rId27" w:history="1">
        <w:r w:rsidR="004F500B" w:rsidRPr="00B1285F">
          <w:rPr>
            <w:rStyle w:val="Hyperlink"/>
          </w:rPr>
          <w:t>https://www.ons.gov.uk/employmentandlabourmarket/peopleinwork/employmentandemployeetypes/bulletins/jobsandvacanciesintheuk/november2025</w:t>
        </w:r>
      </w:hyperlink>
      <w:r w:rsidR="004F500B">
        <w:t xml:space="preserve"> </w:t>
      </w:r>
      <w:r w:rsidR="003E64A7" w:rsidRPr="003E64A7">
        <w:rPr>
          <w:rFonts w:asciiTheme="minorBidi" w:hAnsiTheme="minorBidi"/>
        </w:rPr>
        <w:t>(Accessed: 15 January 202</w:t>
      </w:r>
      <w:r w:rsidR="00767BAC">
        <w:rPr>
          <w:rFonts w:asciiTheme="minorBidi" w:hAnsiTheme="minorBidi"/>
        </w:rPr>
        <w:t>6</w:t>
      </w:r>
      <w:r w:rsidR="003E64A7" w:rsidRPr="003E64A7">
        <w:rPr>
          <w:rFonts w:asciiTheme="minorBidi" w:hAnsiTheme="minorBidi"/>
        </w:rPr>
        <w:t xml:space="preserve">). </w:t>
      </w:r>
      <w:r w:rsidR="003E64A7" w:rsidRPr="003E64A7">
        <w:rPr>
          <w:rFonts w:asciiTheme="minorBidi" w:hAnsiTheme="minorBidi"/>
        </w:rPr>
        <w:br/>
        <w:t xml:space="preserve">ONS (2026) </w:t>
      </w:r>
      <w:r w:rsidR="003E64A7" w:rsidRPr="003E64A7">
        <w:rPr>
          <w:rFonts w:asciiTheme="minorBidi" w:hAnsiTheme="minorBidi"/>
          <w:i/>
          <w:iCs/>
        </w:rPr>
        <w:t>Vacancies and jobs in the UK: January 2026</w:t>
      </w:r>
      <w:r w:rsidR="003E64A7" w:rsidRPr="003E64A7">
        <w:rPr>
          <w:rFonts w:asciiTheme="minorBidi" w:hAnsiTheme="minorBidi"/>
        </w:rPr>
        <w:t xml:space="preserve">. Office for National Statistics. Available at: </w:t>
      </w:r>
      <w:hyperlink r:id="rId28" w:history="1">
        <w:r w:rsidR="004A2EB9" w:rsidRPr="00B1285F">
          <w:rPr>
            <w:rStyle w:val="Hyperlink"/>
          </w:rPr>
          <w:t>https://www.ons.gov.uk/employmentandlabourmarket/peopleinwork/employmentandemployeetypes/bulletins/jobsandvacanciesintheuk/january2026</w:t>
        </w:r>
      </w:hyperlink>
      <w:r w:rsidR="004A2EB9">
        <w:t xml:space="preserve"> </w:t>
      </w:r>
      <w:r w:rsidR="003E64A7" w:rsidRPr="003E64A7">
        <w:rPr>
          <w:rFonts w:asciiTheme="minorBidi" w:hAnsiTheme="minorBidi"/>
        </w:rPr>
        <w:t>(Accessed: 15 January 202</w:t>
      </w:r>
      <w:r w:rsidR="00767BAC">
        <w:rPr>
          <w:rFonts w:asciiTheme="minorBidi" w:hAnsiTheme="minorBidi"/>
        </w:rPr>
        <w:t>6</w:t>
      </w:r>
      <w:r w:rsidR="003E64A7" w:rsidRPr="003E64A7">
        <w:rPr>
          <w:rFonts w:asciiTheme="minorBidi" w:hAnsiTheme="minorBidi"/>
        </w:rPr>
        <w:t xml:space="preserve">). </w:t>
      </w:r>
      <w:r w:rsidR="003E64A7" w:rsidRPr="003E64A7">
        <w:rPr>
          <w:rFonts w:asciiTheme="minorBidi" w:hAnsiTheme="minorBidi"/>
        </w:rPr>
        <w:br/>
        <w:t xml:space="preserve">Parker, S.K. (2014) ‘Beyond motivation: Job and work design for development, health, ambition, and productivity’, </w:t>
      </w:r>
      <w:r w:rsidR="003E64A7" w:rsidRPr="003E64A7">
        <w:rPr>
          <w:rFonts w:asciiTheme="minorBidi" w:hAnsiTheme="minorBidi"/>
          <w:i/>
          <w:iCs/>
        </w:rPr>
        <w:t>Annual Review of Psychology</w:t>
      </w:r>
      <w:r w:rsidR="003E64A7" w:rsidRPr="003E64A7">
        <w:rPr>
          <w:rFonts w:asciiTheme="minorBidi" w:hAnsiTheme="minorBidi"/>
        </w:rPr>
        <w:t>, 65, pp. 661</w:t>
      </w:r>
      <w:r w:rsidR="005F0C59">
        <w:rPr>
          <w:rFonts w:asciiTheme="minorBidi" w:hAnsiTheme="minorBidi"/>
        </w:rPr>
        <w:t xml:space="preserve">- </w:t>
      </w:r>
      <w:r w:rsidR="003E64A7" w:rsidRPr="003E64A7">
        <w:rPr>
          <w:rFonts w:asciiTheme="minorBidi" w:hAnsiTheme="minorBidi"/>
        </w:rPr>
        <w:t>691.</w:t>
      </w:r>
      <w:r w:rsidR="003E64A7" w:rsidRPr="005A57E2">
        <w:rPr>
          <w:rFonts w:asciiTheme="minorBidi" w:hAnsiTheme="minorBidi"/>
        </w:rPr>
        <w:br/>
      </w:r>
      <w:proofErr w:type="spellStart"/>
      <w:r w:rsidR="003E64A7" w:rsidRPr="005A57E2">
        <w:rPr>
          <w:rFonts w:asciiTheme="minorBidi" w:hAnsiTheme="minorBidi"/>
        </w:rPr>
        <w:t>Puntoni</w:t>
      </w:r>
      <w:proofErr w:type="spellEnd"/>
      <w:r w:rsidR="003E64A7" w:rsidRPr="005A57E2">
        <w:rPr>
          <w:rFonts w:asciiTheme="minorBidi" w:hAnsiTheme="minorBidi"/>
        </w:rPr>
        <w:t xml:space="preserve">, S. et al. </w:t>
      </w:r>
      <w:r w:rsidR="003E64A7" w:rsidRPr="003E64A7">
        <w:rPr>
          <w:rFonts w:asciiTheme="minorBidi" w:hAnsiTheme="minorBidi"/>
        </w:rPr>
        <w:t>(202</w:t>
      </w:r>
      <w:r w:rsidR="00B25189">
        <w:rPr>
          <w:rFonts w:asciiTheme="minorBidi" w:hAnsiTheme="minorBidi"/>
        </w:rPr>
        <w:t>5</w:t>
      </w:r>
      <w:r w:rsidR="003E64A7" w:rsidRPr="003E64A7">
        <w:rPr>
          <w:rFonts w:asciiTheme="minorBidi" w:hAnsiTheme="minorBidi"/>
        </w:rPr>
        <w:t xml:space="preserve">) ‘Why AI feels so threatening to workers’, </w:t>
      </w:r>
      <w:r w:rsidR="003E64A7" w:rsidRPr="003E64A7">
        <w:rPr>
          <w:rFonts w:asciiTheme="minorBidi" w:hAnsiTheme="minorBidi"/>
          <w:i/>
          <w:iCs/>
        </w:rPr>
        <w:t>Harvard Business Review</w:t>
      </w:r>
      <w:r w:rsidR="003E64A7" w:rsidRPr="003E64A7">
        <w:rPr>
          <w:rFonts w:asciiTheme="minorBidi" w:hAnsiTheme="minorBidi"/>
        </w:rPr>
        <w:t>, March</w:t>
      </w:r>
      <w:r w:rsidR="002726B1">
        <w:rPr>
          <w:rFonts w:asciiTheme="minorBidi" w:hAnsiTheme="minorBidi"/>
        </w:rPr>
        <w:t xml:space="preserve"> - </w:t>
      </w:r>
      <w:r w:rsidR="003E64A7" w:rsidRPr="003E64A7">
        <w:rPr>
          <w:rFonts w:asciiTheme="minorBidi" w:hAnsiTheme="minorBidi"/>
        </w:rPr>
        <w:t>April.</w:t>
      </w:r>
      <w:r w:rsidR="00BA3276">
        <w:rPr>
          <w:rFonts w:asciiTheme="minorBidi" w:hAnsiTheme="minorBidi"/>
        </w:rPr>
        <w:t xml:space="preserve"> Available at: </w:t>
      </w:r>
      <w:hyperlink r:id="rId29" w:history="1">
        <w:r w:rsidR="00BA3276" w:rsidRPr="00B1285F">
          <w:rPr>
            <w:rStyle w:val="Hyperlink"/>
            <w:rFonts w:asciiTheme="minorBidi" w:hAnsiTheme="minorBidi"/>
          </w:rPr>
          <w:t>https://hbr.org/2025/03/why-ai-feels-so-threatening-to-workers</w:t>
        </w:r>
      </w:hyperlink>
      <w:r w:rsidR="00BA3276">
        <w:rPr>
          <w:rFonts w:asciiTheme="minorBidi" w:hAnsiTheme="minorBidi"/>
        </w:rPr>
        <w:t xml:space="preserve"> (</w:t>
      </w:r>
      <w:r w:rsidR="00415851">
        <w:rPr>
          <w:rFonts w:asciiTheme="minorBidi" w:hAnsiTheme="minorBidi"/>
        </w:rPr>
        <w:t>A</w:t>
      </w:r>
      <w:r w:rsidR="00BA3276">
        <w:rPr>
          <w:rFonts w:asciiTheme="minorBidi" w:hAnsiTheme="minorBidi"/>
        </w:rPr>
        <w:t>ccessed: 15 January 202</w:t>
      </w:r>
      <w:r w:rsidR="00415851">
        <w:rPr>
          <w:rFonts w:asciiTheme="minorBidi" w:hAnsiTheme="minorBidi"/>
        </w:rPr>
        <w:t>6)</w:t>
      </w:r>
      <w:r w:rsidR="00767BAC">
        <w:rPr>
          <w:rFonts w:asciiTheme="minorBidi" w:hAnsiTheme="minorBidi"/>
        </w:rPr>
        <w:t>.</w:t>
      </w:r>
      <w:r w:rsidR="003E64A7" w:rsidRPr="003E64A7">
        <w:rPr>
          <w:rFonts w:asciiTheme="minorBidi" w:hAnsiTheme="minorBidi"/>
        </w:rPr>
        <w:br/>
        <w:t xml:space="preserve">Rani, U. and Furrer, M. (2021) ‘Digital labour platforms and new forms of algorithmic management’, </w:t>
      </w:r>
      <w:r w:rsidR="003E64A7" w:rsidRPr="003E64A7">
        <w:rPr>
          <w:rFonts w:asciiTheme="minorBidi" w:hAnsiTheme="minorBidi"/>
          <w:i/>
          <w:iCs/>
        </w:rPr>
        <w:t>International Labour Review</w:t>
      </w:r>
      <w:r w:rsidR="003E64A7" w:rsidRPr="003E64A7">
        <w:rPr>
          <w:rFonts w:asciiTheme="minorBidi" w:hAnsiTheme="minorBidi"/>
        </w:rPr>
        <w:t>, 160(3), pp. 427</w:t>
      </w:r>
      <w:r w:rsidR="005F0C59">
        <w:rPr>
          <w:rFonts w:asciiTheme="minorBidi" w:hAnsiTheme="minorBidi"/>
        </w:rPr>
        <w:t xml:space="preserve">- </w:t>
      </w:r>
      <w:r w:rsidR="003E64A7" w:rsidRPr="003E64A7">
        <w:rPr>
          <w:rFonts w:asciiTheme="minorBidi" w:hAnsiTheme="minorBidi"/>
        </w:rPr>
        <w:t>450.</w:t>
      </w:r>
      <w:r w:rsidR="003E64A7" w:rsidRPr="003E64A7">
        <w:rPr>
          <w:rFonts w:asciiTheme="minorBidi" w:hAnsiTheme="minorBidi"/>
        </w:rPr>
        <w:br/>
        <w:t xml:space="preserve">UK Government (2025a) </w:t>
      </w:r>
      <w:r w:rsidR="003E64A7" w:rsidRPr="003E64A7">
        <w:rPr>
          <w:rFonts w:asciiTheme="minorBidi" w:hAnsiTheme="minorBidi"/>
          <w:i/>
          <w:iCs/>
        </w:rPr>
        <w:t>Prime Minister sets out blueprint to turbocharge AI</w:t>
      </w:r>
      <w:r w:rsidR="003E64A7" w:rsidRPr="003E64A7">
        <w:rPr>
          <w:rFonts w:asciiTheme="minorBidi" w:hAnsiTheme="minorBidi"/>
        </w:rPr>
        <w:t xml:space="preserve">. GOV.UK. Available at: </w:t>
      </w:r>
      <w:hyperlink r:id="rId30" w:tgtFrame="_new" w:history="1">
        <w:r w:rsidR="003E64A7" w:rsidRPr="003E64A7">
          <w:rPr>
            <w:rStyle w:val="Hyperlink"/>
            <w:rFonts w:asciiTheme="minorBidi" w:hAnsiTheme="minorBidi"/>
          </w:rPr>
          <w:t>https://www.gov.uk/government/news/prime-minister-sets-out-blueprint-to-turbocharge-ai</w:t>
        </w:r>
      </w:hyperlink>
      <w:r w:rsidR="003E64A7" w:rsidRPr="003E64A7">
        <w:rPr>
          <w:rFonts w:asciiTheme="minorBidi" w:hAnsiTheme="minorBidi"/>
        </w:rPr>
        <w:t xml:space="preserve"> (Accessed: 15 January 202</w:t>
      </w:r>
      <w:r w:rsidR="00767BAC">
        <w:rPr>
          <w:rFonts w:asciiTheme="minorBidi" w:hAnsiTheme="minorBidi"/>
        </w:rPr>
        <w:t>6</w:t>
      </w:r>
      <w:r w:rsidR="003E64A7" w:rsidRPr="003E64A7">
        <w:rPr>
          <w:rFonts w:asciiTheme="minorBidi" w:hAnsiTheme="minorBidi"/>
        </w:rPr>
        <w:t>).</w:t>
      </w:r>
      <w:r w:rsidR="003E64A7" w:rsidRPr="003E64A7">
        <w:rPr>
          <w:rFonts w:asciiTheme="minorBidi" w:hAnsiTheme="minorBidi"/>
        </w:rPr>
        <w:br/>
        <w:t xml:space="preserve">UK Government (2025b) </w:t>
      </w:r>
      <w:r w:rsidR="003E64A7" w:rsidRPr="003E64A7">
        <w:rPr>
          <w:rFonts w:asciiTheme="minorBidi" w:hAnsiTheme="minorBidi"/>
          <w:i/>
          <w:iCs/>
        </w:rPr>
        <w:t>AI Opportunities Action Plan: government response</w:t>
      </w:r>
      <w:r w:rsidR="003E64A7" w:rsidRPr="003E64A7">
        <w:rPr>
          <w:rFonts w:asciiTheme="minorBidi" w:hAnsiTheme="minorBidi"/>
        </w:rPr>
        <w:t xml:space="preserve">. GOV.UK. Available at: </w:t>
      </w:r>
      <w:hyperlink r:id="rId31" w:history="1">
        <w:r w:rsidR="00E15293" w:rsidRPr="00B1285F">
          <w:rPr>
            <w:rStyle w:val="Hyperlink"/>
            <w:rFonts w:asciiTheme="minorBidi" w:hAnsiTheme="minorBidi"/>
          </w:rPr>
          <w:t>https://www.gov.uk/government/publications/ai-opportunities-action-plan-government-response/ai-opportunities-action-plan-government-response</w:t>
        </w:r>
      </w:hyperlink>
      <w:r w:rsidR="00E15293">
        <w:rPr>
          <w:rFonts w:asciiTheme="minorBidi" w:hAnsiTheme="minorBidi"/>
        </w:rPr>
        <w:t xml:space="preserve"> </w:t>
      </w:r>
      <w:r w:rsidR="003E64A7" w:rsidRPr="003E64A7">
        <w:rPr>
          <w:rFonts w:asciiTheme="minorBidi" w:hAnsiTheme="minorBidi"/>
        </w:rPr>
        <w:t>(Accessed: 15 January 202</w:t>
      </w:r>
      <w:r w:rsidR="00767BAC">
        <w:rPr>
          <w:rFonts w:asciiTheme="minorBidi" w:hAnsiTheme="minorBidi"/>
        </w:rPr>
        <w:t>6</w:t>
      </w:r>
      <w:r w:rsidR="003E64A7" w:rsidRPr="003E64A7">
        <w:rPr>
          <w:rFonts w:asciiTheme="minorBidi" w:hAnsiTheme="minorBidi"/>
        </w:rPr>
        <w:t>).</w:t>
      </w:r>
      <w:r w:rsidR="003E64A7" w:rsidRPr="003E64A7">
        <w:rPr>
          <w:rFonts w:asciiTheme="minorBidi" w:hAnsiTheme="minorBidi"/>
        </w:rPr>
        <w:br/>
      </w:r>
      <w:proofErr w:type="spellStart"/>
      <w:r w:rsidR="003E64A7" w:rsidRPr="003E64A7">
        <w:rPr>
          <w:rFonts w:asciiTheme="minorBidi" w:hAnsiTheme="minorBidi"/>
        </w:rPr>
        <w:t>UKHospitality</w:t>
      </w:r>
      <w:proofErr w:type="spellEnd"/>
      <w:r w:rsidR="003E64A7" w:rsidRPr="003E64A7">
        <w:rPr>
          <w:rFonts w:asciiTheme="minorBidi" w:hAnsiTheme="minorBidi"/>
        </w:rPr>
        <w:t xml:space="preserve"> (2023) </w:t>
      </w:r>
      <w:r w:rsidR="003E64A7" w:rsidRPr="003E64A7">
        <w:rPr>
          <w:rFonts w:asciiTheme="minorBidi" w:hAnsiTheme="minorBidi"/>
          <w:i/>
          <w:iCs/>
        </w:rPr>
        <w:t>Workforce and skills reports</w:t>
      </w:r>
      <w:r w:rsidR="003E64A7" w:rsidRPr="003E64A7">
        <w:rPr>
          <w:rFonts w:asciiTheme="minorBidi" w:hAnsiTheme="minorBidi"/>
        </w:rPr>
        <w:t xml:space="preserve">. London: </w:t>
      </w:r>
      <w:proofErr w:type="spellStart"/>
      <w:r w:rsidR="003E64A7" w:rsidRPr="003E64A7">
        <w:rPr>
          <w:rFonts w:asciiTheme="minorBidi" w:hAnsiTheme="minorBidi"/>
        </w:rPr>
        <w:t>UKHospitality</w:t>
      </w:r>
      <w:proofErr w:type="spellEnd"/>
      <w:r w:rsidR="003E64A7" w:rsidRPr="003E64A7">
        <w:rPr>
          <w:rFonts w:asciiTheme="minorBidi" w:hAnsiTheme="minorBidi"/>
        </w:rPr>
        <w:t>.</w:t>
      </w:r>
      <w:r w:rsidR="00F44506">
        <w:rPr>
          <w:rFonts w:asciiTheme="minorBidi" w:hAnsiTheme="minorBidi"/>
        </w:rPr>
        <w:t xml:space="preserve"> Available at: </w:t>
      </w:r>
      <w:hyperlink r:id="rId32" w:history="1">
        <w:r w:rsidR="00F44506" w:rsidRPr="00B1285F">
          <w:rPr>
            <w:rStyle w:val="Hyperlink"/>
            <w:rFonts w:asciiTheme="minorBidi" w:hAnsiTheme="minorBidi"/>
          </w:rPr>
          <w:t>https://www.ukhospitality.org.uk/work/hospitality-workforce-strategy/</w:t>
        </w:r>
      </w:hyperlink>
      <w:r w:rsidR="00F44506">
        <w:rPr>
          <w:rFonts w:asciiTheme="minorBidi" w:hAnsiTheme="minorBidi"/>
        </w:rPr>
        <w:t xml:space="preserve"> (accessed:15 January 2026).</w:t>
      </w:r>
      <w:r w:rsidR="003E64A7" w:rsidRPr="003E64A7">
        <w:rPr>
          <w:rFonts w:asciiTheme="minorBidi" w:hAnsiTheme="minorBidi"/>
        </w:rPr>
        <w:br/>
        <w:t xml:space="preserve">Ulrich, D. (1997) </w:t>
      </w:r>
      <w:r w:rsidR="003E64A7" w:rsidRPr="003E64A7">
        <w:rPr>
          <w:rFonts w:asciiTheme="minorBidi" w:hAnsiTheme="minorBidi"/>
          <w:i/>
          <w:iCs/>
        </w:rPr>
        <w:t>Human Resource Champions</w:t>
      </w:r>
      <w:r w:rsidR="003E64A7" w:rsidRPr="003E64A7">
        <w:rPr>
          <w:rFonts w:asciiTheme="minorBidi" w:hAnsiTheme="minorBidi"/>
        </w:rPr>
        <w:t>. Boston, MA: Harvard Business School Press.</w:t>
      </w:r>
      <w:r w:rsidR="003E64A7" w:rsidRPr="003E64A7">
        <w:rPr>
          <w:rFonts w:asciiTheme="minorBidi" w:hAnsiTheme="minorBidi"/>
        </w:rPr>
        <w:br/>
        <w:t xml:space="preserve">UNESCO (2021) </w:t>
      </w:r>
      <w:r w:rsidR="003E64A7" w:rsidRPr="003E64A7">
        <w:rPr>
          <w:rFonts w:asciiTheme="minorBidi" w:hAnsiTheme="minorBidi"/>
          <w:i/>
          <w:iCs/>
        </w:rPr>
        <w:t>Recommendation on the Ethics of Artificial Intelligence</w:t>
      </w:r>
      <w:r w:rsidR="003E64A7" w:rsidRPr="003E64A7">
        <w:rPr>
          <w:rFonts w:asciiTheme="minorBidi" w:hAnsiTheme="minorBidi"/>
        </w:rPr>
        <w:t xml:space="preserve">. Paris: UNESCO. Available at: </w:t>
      </w:r>
      <w:hyperlink r:id="rId33" w:history="1">
        <w:r w:rsidR="00E15293" w:rsidRPr="00B1285F">
          <w:rPr>
            <w:rStyle w:val="Hyperlink"/>
            <w:rFonts w:asciiTheme="minorBidi" w:hAnsiTheme="minorBidi"/>
          </w:rPr>
          <w:t>https://unesdoc.unesco.org/ark:/48223/pf0000380455</w:t>
        </w:r>
      </w:hyperlink>
      <w:r w:rsidR="00E15293">
        <w:rPr>
          <w:rFonts w:asciiTheme="minorBidi" w:hAnsiTheme="minorBidi"/>
        </w:rPr>
        <w:t xml:space="preserve"> </w:t>
      </w:r>
      <w:r w:rsidR="003E64A7" w:rsidRPr="003E64A7">
        <w:rPr>
          <w:rFonts w:asciiTheme="minorBidi" w:hAnsiTheme="minorBidi"/>
        </w:rPr>
        <w:t xml:space="preserve"> (Accessed: 15 January 202</w:t>
      </w:r>
      <w:r w:rsidR="00767BAC">
        <w:rPr>
          <w:rFonts w:asciiTheme="minorBidi" w:hAnsiTheme="minorBidi"/>
        </w:rPr>
        <w:t>6</w:t>
      </w:r>
      <w:r w:rsidR="003E64A7" w:rsidRPr="003E64A7">
        <w:rPr>
          <w:rFonts w:asciiTheme="minorBidi" w:hAnsiTheme="minorBidi"/>
        </w:rPr>
        <w:t>).</w:t>
      </w:r>
      <w:r w:rsidR="003E64A7" w:rsidRPr="003E64A7">
        <w:rPr>
          <w:rFonts w:asciiTheme="minorBidi" w:hAnsiTheme="minorBidi"/>
        </w:rPr>
        <w:br/>
      </w:r>
      <w:proofErr w:type="spellStart"/>
      <w:r w:rsidR="003E64A7" w:rsidRPr="003E64A7">
        <w:rPr>
          <w:rFonts w:asciiTheme="minorBidi" w:hAnsiTheme="minorBidi"/>
        </w:rPr>
        <w:t>Vendraminelli</w:t>
      </w:r>
      <w:proofErr w:type="spellEnd"/>
      <w:r w:rsidR="003E64A7" w:rsidRPr="003E64A7">
        <w:rPr>
          <w:rFonts w:asciiTheme="minorBidi" w:hAnsiTheme="minorBidi"/>
        </w:rPr>
        <w:t xml:space="preserve">, L. et al. (2026) ‘AI won’t make your employees experts’, </w:t>
      </w:r>
      <w:r w:rsidR="003E64A7" w:rsidRPr="003E64A7">
        <w:rPr>
          <w:rFonts w:asciiTheme="minorBidi" w:hAnsiTheme="minorBidi"/>
          <w:i/>
          <w:iCs/>
        </w:rPr>
        <w:t>Harvard Business Review</w:t>
      </w:r>
      <w:r w:rsidR="003E64A7" w:rsidRPr="003E64A7">
        <w:rPr>
          <w:rFonts w:asciiTheme="minorBidi" w:hAnsiTheme="minorBidi"/>
        </w:rPr>
        <w:t>, March</w:t>
      </w:r>
      <w:r w:rsidR="002726B1">
        <w:rPr>
          <w:rFonts w:asciiTheme="minorBidi" w:hAnsiTheme="minorBidi"/>
        </w:rPr>
        <w:t xml:space="preserve"> - </w:t>
      </w:r>
      <w:r w:rsidR="003E64A7" w:rsidRPr="003E64A7">
        <w:rPr>
          <w:rFonts w:asciiTheme="minorBidi" w:hAnsiTheme="minorBidi"/>
        </w:rPr>
        <w:t>April.</w:t>
      </w:r>
      <w:r w:rsidR="00DC6A9F">
        <w:rPr>
          <w:rFonts w:asciiTheme="minorBidi" w:hAnsiTheme="minorBidi"/>
        </w:rPr>
        <w:t xml:space="preserve"> Available at: </w:t>
      </w:r>
      <w:hyperlink r:id="rId34" w:history="1">
        <w:r w:rsidR="00DE5D9A" w:rsidRPr="00B1285F">
          <w:rPr>
            <w:rStyle w:val="Hyperlink"/>
            <w:rFonts w:asciiTheme="minorBidi" w:hAnsiTheme="minorBidi"/>
          </w:rPr>
          <w:t>https://hbr.org/2024/09/ai-wont-make-your-employees-experts</w:t>
        </w:r>
      </w:hyperlink>
      <w:r w:rsidR="00DE5D9A">
        <w:rPr>
          <w:rFonts w:asciiTheme="minorBidi" w:hAnsiTheme="minorBidi"/>
        </w:rPr>
        <w:t xml:space="preserve"> </w:t>
      </w:r>
      <w:r w:rsidR="00980F5E">
        <w:rPr>
          <w:rFonts w:asciiTheme="minorBidi" w:hAnsiTheme="minorBidi"/>
        </w:rPr>
        <w:t>(</w:t>
      </w:r>
      <w:r w:rsidR="00DE5D9A">
        <w:rPr>
          <w:rFonts w:asciiTheme="minorBidi" w:hAnsiTheme="minorBidi"/>
        </w:rPr>
        <w:t>Accessed: 15 January 2026).</w:t>
      </w:r>
      <w:r w:rsidR="003E64A7" w:rsidRPr="003E64A7">
        <w:rPr>
          <w:rFonts w:asciiTheme="minorBidi" w:hAnsiTheme="minorBidi"/>
        </w:rPr>
        <w:br/>
        <w:t xml:space="preserve">WEF (2023) </w:t>
      </w:r>
      <w:r w:rsidR="003E64A7" w:rsidRPr="003E64A7">
        <w:rPr>
          <w:rFonts w:asciiTheme="minorBidi" w:hAnsiTheme="minorBidi"/>
          <w:i/>
          <w:iCs/>
        </w:rPr>
        <w:t>The Future of Jobs Report 2023</w:t>
      </w:r>
      <w:r w:rsidR="003E64A7" w:rsidRPr="003E64A7">
        <w:rPr>
          <w:rFonts w:asciiTheme="minorBidi" w:hAnsiTheme="minorBidi"/>
        </w:rPr>
        <w:t>. Geneva: World Economic Forum.</w:t>
      </w:r>
      <w:r w:rsidR="00C017B2">
        <w:rPr>
          <w:rFonts w:asciiTheme="minorBidi" w:hAnsiTheme="minorBidi"/>
        </w:rPr>
        <w:t xml:space="preserve"> Available at: </w:t>
      </w:r>
      <w:hyperlink r:id="rId35" w:history="1">
        <w:r w:rsidR="007B7188" w:rsidRPr="00B1285F">
          <w:rPr>
            <w:rStyle w:val="Hyperlink"/>
            <w:rFonts w:asciiTheme="minorBidi" w:hAnsiTheme="minorBidi"/>
          </w:rPr>
          <w:t>https://www.weforum.org/publications/the-future-of-jobs-report-2023/</w:t>
        </w:r>
      </w:hyperlink>
      <w:r w:rsidR="007B7188">
        <w:rPr>
          <w:rFonts w:asciiTheme="minorBidi" w:hAnsiTheme="minorBidi"/>
        </w:rPr>
        <w:t xml:space="preserve"> (Accessed: 15 January 2026).</w:t>
      </w:r>
    </w:p>
    <w:p w14:paraId="7610619D" w14:textId="77777777" w:rsidR="00423167" w:rsidRDefault="00423167"/>
    <w:sectPr w:rsidR="00423167" w:rsidSect="003E64A7">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B5F88" w14:textId="77777777" w:rsidR="00CF3B0B" w:rsidRDefault="00CF3B0B" w:rsidP="00D55712">
      <w:pPr>
        <w:spacing w:after="0" w:line="240" w:lineRule="auto"/>
      </w:pPr>
      <w:r>
        <w:separator/>
      </w:r>
    </w:p>
  </w:endnote>
  <w:endnote w:type="continuationSeparator" w:id="0">
    <w:p w14:paraId="459AF7B1" w14:textId="77777777" w:rsidR="00CF3B0B" w:rsidRDefault="00CF3B0B" w:rsidP="00D55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473763"/>
      <w:docPartObj>
        <w:docPartGallery w:val="Page Numbers (Bottom of Page)"/>
        <w:docPartUnique/>
      </w:docPartObj>
    </w:sdtPr>
    <w:sdtEndPr>
      <w:rPr>
        <w:noProof/>
      </w:rPr>
    </w:sdtEndPr>
    <w:sdtContent>
      <w:p w14:paraId="544D52D4" w14:textId="174E5CC1" w:rsidR="00D55712" w:rsidRDefault="00D557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A11060" w14:textId="77777777" w:rsidR="00D55712" w:rsidRDefault="00D557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14D1" w14:textId="4CBFBBA8" w:rsidR="00F8225A" w:rsidRDefault="00F8225A">
    <w:pPr>
      <w:pStyle w:val="Footer"/>
      <w:jc w:val="center"/>
    </w:pPr>
  </w:p>
  <w:p w14:paraId="53B87E4D" w14:textId="77777777" w:rsidR="00F8225A" w:rsidRDefault="00F82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F0E8D" w14:textId="77777777" w:rsidR="00CF3B0B" w:rsidRDefault="00CF3B0B" w:rsidP="00D55712">
      <w:pPr>
        <w:spacing w:after="0" w:line="240" w:lineRule="auto"/>
      </w:pPr>
      <w:r>
        <w:separator/>
      </w:r>
    </w:p>
  </w:footnote>
  <w:footnote w:type="continuationSeparator" w:id="0">
    <w:p w14:paraId="29E370F5" w14:textId="77777777" w:rsidR="00CF3B0B" w:rsidRDefault="00CF3B0B" w:rsidP="00D557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4A7"/>
    <w:rsid w:val="00033590"/>
    <w:rsid w:val="0004203B"/>
    <w:rsid w:val="000868C7"/>
    <w:rsid w:val="000958C3"/>
    <w:rsid w:val="000C6FB6"/>
    <w:rsid w:val="000C78FF"/>
    <w:rsid w:val="000E0E7A"/>
    <w:rsid w:val="000E2B0C"/>
    <w:rsid w:val="00100764"/>
    <w:rsid w:val="00135FDC"/>
    <w:rsid w:val="0013770B"/>
    <w:rsid w:val="00147A3C"/>
    <w:rsid w:val="0015329D"/>
    <w:rsid w:val="001677DC"/>
    <w:rsid w:val="001848AA"/>
    <w:rsid w:val="00197E8D"/>
    <w:rsid w:val="001A3E6D"/>
    <w:rsid w:val="001A6997"/>
    <w:rsid w:val="001A771E"/>
    <w:rsid w:val="00223E22"/>
    <w:rsid w:val="00242258"/>
    <w:rsid w:val="00243DE3"/>
    <w:rsid w:val="0025578D"/>
    <w:rsid w:val="002726B1"/>
    <w:rsid w:val="002734CC"/>
    <w:rsid w:val="00276737"/>
    <w:rsid w:val="00283C77"/>
    <w:rsid w:val="0028412D"/>
    <w:rsid w:val="002920CA"/>
    <w:rsid w:val="002B7CAB"/>
    <w:rsid w:val="002D0685"/>
    <w:rsid w:val="002F2029"/>
    <w:rsid w:val="003165E9"/>
    <w:rsid w:val="00317A29"/>
    <w:rsid w:val="003265C0"/>
    <w:rsid w:val="0037654D"/>
    <w:rsid w:val="00381AAB"/>
    <w:rsid w:val="003930B9"/>
    <w:rsid w:val="003968D5"/>
    <w:rsid w:val="003B06E3"/>
    <w:rsid w:val="003D12A4"/>
    <w:rsid w:val="003E64A7"/>
    <w:rsid w:val="00402122"/>
    <w:rsid w:val="00410A45"/>
    <w:rsid w:val="00415851"/>
    <w:rsid w:val="00423167"/>
    <w:rsid w:val="00434FBC"/>
    <w:rsid w:val="004436A8"/>
    <w:rsid w:val="0045564A"/>
    <w:rsid w:val="004865C4"/>
    <w:rsid w:val="004920AE"/>
    <w:rsid w:val="004A2EB9"/>
    <w:rsid w:val="004A773C"/>
    <w:rsid w:val="004C4006"/>
    <w:rsid w:val="004E41D4"/>
    <w:rsid w:val="004E6313"/>
    <w:rsid w:val="004F500B"/>
    <w:rsid w:val="00503A75"/>
    <w:rsid w:val="00524CBB"/>
    <w:rsid w:val="0053276E"/>
    <w:rsid w:val="005622C2"/>
    <w:rsid w:val="005A57E2"/>
    <w:rsid w:val="005D64B1"/>
    <w:rsid w:val="005D7C47"/>
    <w:rsid w:val="005F0C59"/>
    <w:rsid w:val="005F33BD"/>
    <w:rsid w:val="005F422B"/>
    <w:rsid w:val="005F71F0"/>
    <w:rsid w:val="00600AA3"/>
    <w:rsid w:val="00620025"/>
    <w:rsid w:val="00652E2A"/>
    <w:rsid w:val="00655C02"/>
    <w:rsid w:val="00670CE0"/>
    <w:rsid w:val="006A7A1D"/>
    <w:rsid w:val="00731584"/>
    <w:rsid w:val="007376B0"/>
    <w:rsid w:val="00767BAC"/>
    <w:rsid w:val="007B7188"/>
    <w:rsid w:val="007C4252"/>
    <w:rsid w:val="007D2DEC"/>
    <w:rsid w:val="007E2AFC"/>
    <w:rsid w:val="00805DD5"/>
    <w:rsid w:val="008268DB"/>
    <w:rsid w:val="00867386"/>
    <w:rsid w:val="008847A1"/>
    <w:rsid w:val="0089586B"/>
    <w:rsid w:val="008A4488"/>
    <w:rsid w:val="008A47FD"/>
    <w:rsid w:val="008C442D"/>
    <w:rsid w:val="008E3232"/>
    <w:rsid w:val="0090063C"/>
    <w:rsid w:val="00903400"/>
    <w:rsid w:val="00924EA4"/>
    <w:rsid w:val="00926FC8"/>
    <w:rsid w:val="00971A66"/>
    <w:rsid w:val="00980F5E"/>
    <w:rsid w:val="0098797F"/>
    <w:rsid w:val="009A0791"/>
    <w:rsid w:val="009B01D6"/>
    <w:rsid w:val="009D224B"/>
    <w:rsid w:val="009D60F7"/>
    <w:rsid w:val="009D7DED"/>
    <w:rsid w:val="00A0447E"/>
    <w:rsid w:val="00A20163"/>
    <w:rsid w:val="00A351C1"/>
    <w:rsid w:val="00A416CD"/>
    <w:rsid w:val="00A70B83"/>
    <w:rsid w:val="00A7676F"/>
    <w:rsid w:val="00AA3F83"/>
    <w:rsid w:val="00AA5FB0"/>
    <w:rsid w:val="00AD32B9"/>
    <w:rsid w:val="00B10FAE"/>
    <w:rsid w:val="00B11243"/>
    <w:rsid w:val="00B25189"/>
    <w:rsid w:val="00B45B1B"/>
    <w:rsid w:val="00B52F98"/>
    <w:rsid w:val="00B608BD"/>
    <w:rsid w:val="00B940D2"/>
    <w:rsid w:val="00BA3276"/>
    <w:rsid w:val="00BD4F29"/>
    <w:rsid w:val="00BE3938"/>
    <w:rsid w:val="00BE606E"/>
    <w:rsid w:val="00C017B2"/>
    <w:rsid w:val="00C3563A"/>
    <w:rsid w:val="00C84BBC"/>
    <w:rsid w:val="00CD46DE"/>
    <w:rsid w:val="00CE0E20"/>
    <w:rsid w:val="00CE7FCF"/>
    <w:rsid w:val="00CF375A"/>
    <w:rsid w:val="00CF3B0B"/>
    <w:rsid w:val="00D55712"/>
    <w:rsid w:val="00DB1E18"/>
    <w:rsid w:val="00DC1E1D"/>
    <w:rsid w:val="00DC6A9F"/>
    <w:rsid w:val="00DE0203"/>
    <w:rsid w:val="00DE5D9A"/>
    <w:rsid w:val="00E116EA"/>
    <w:rsid w:val="00E15293"/>
    <w:rsid w:val="00E15705"/>
    <w:rsid w:val="00E22C58"/>
    <w:rsid w:val="00E44CEE"/>
    <w:rsid w:val="00E54FC1"/>
    <w:rsid w:val="00E56F00"/>
    <w:rsid w:val="00E63E77"/>
    <w:rsid w:val="00E91273"/>
    <w:rsid w:val="00E97510"/>
    <w:rsid w:val="00F24DFC"/>
    <w:rsid w:val="00F30558"/>
    <w:rsid w:val="00F37EE5"/>
    <w:rsid w:val="00F44506"/>
    <w:rsid w:val="00F46B88"/>
    <w:rsid w:val="00F54289"/>
    <w:rsid w:val="00F76A9B"/>
    <w:rsid w:val="00F8225A"/>
    <w:rsid w:val="00FA57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D4F82"/>
  <w15:chartTrackingRefBased/>
  <w15:docId w15:val="{1E82F498-96E7-44BA-A7E1-6D1C0D0C4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4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64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64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4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4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4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4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4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4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4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64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64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4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4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4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4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4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4A7"/>
    <w:rPr>
      <w:rFonts w:eastAsiaTheme="majorEastAsia" w:cstheme="majorBidi"/>
      <w:color w:val="272727" w:themeColor="text1" w:themeTint="D8"/>
    </w:rPr>
  </w:style>
  <w:style w:type="paragraph" w:styleId="Title">
    <w:name w:val="Title"/>
    <w:basedOn w:val="Normal"/>
    <w:next w:val="Normal"/>
    <w:link w:val="TitleChar"/>
    <w:uiPriority w:val="10"/>
    <w:qFormat/>
    <w:rsid w:val="003E64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4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4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4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4A7"/>
    <w:pPr>
      <w:spacing w:before="160"/>
      <w:jc w:val="center"/>
    </w:pPr>
    <w:rPr>
      <w:i/>
      <w:iCs/>
      <w:color w:val="404040" w:themeColor="text1" w:themeTint="BF"/>
    </w:rPr>
  </w:style>
  <w:style w:type="character" w:customStyle="1" w:styleId="QuoteChar">
    <w:name w:val="Quote Char"/>
    <w:basedOn w:val="DefaultParagraphFont"/>
    <w:link w:val="Quote"/>
    <w:uiPriority w:val="29"/>
    <w:rsid w:val="003E64A7"/>
    <w:rPr>
      <w:i/>
      <w:iCs/>
      <w:color w:val="404040" w:themeColor="text1" w:themeTint="BF"/>
    </w:rPr>
  </w:style>
  <w:style w:type="paragraph" w:styleId="ListParagraph">
    <w:name w:val="List Paragraph"/>
    <w:basedOn w:val="Normal"/>
    <w:uiPriority w:val="34"/>
    <w:qFormat/>
    <w:rsid w:val="003E64A7"/>
    <w:pPr>
      <w:ind w:left="720"/>
      <w:contextualSpacing/>
    </w:pPr>
  </w:style>
  <w:style w:type="character" w:styleId="IntenseEmphasis">
    <w:name w:val="Intense Emphasis"/>
    <w:basedOn w:val="DefaultParagraphFont"/>
    <w:uiPriority w:val="21"/>
    <w:qFormat/>
    <w:rsid w:val="003E64A7"/>
    <w:rPr>
      <w:i/>
      <w:iCs/>
      <w:color w:val="0F4761" w:themeColor="accent1" w:themeShade="BF"/>
    </w:rPr>
  </w:style>
  <w:style w:type="paragraph" w:styleId="IntenseQuote">
    <w:name w:val="Intense Quote"/>
    <w:basedOn w:val="Normal"/>
    <w:next w:val="Normal"/>
    <w:link w:val="IntenseQuoteChar"/>
    <w:uiPriority w:val="30"/>
    <w:qFormat/>
    <w:rsid w:val="003E64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4A7"/>
    <w:rPr>
      <w:i/>
      <w:iCs/>
      <w:color w:val="0F4761" w:themeColor="accent1" w:themeShade="BF"/>
    </w:rPr>
  </w:style>
  <w:style w:type="character" w:styleId="IntenseReference">
    <w:name w:val="Intense Reference"/>
    <w:basedOn w:val="DefaultParagraphFont"/>
    <w:uiPriority w:val="32"/>
    <w:qFormat/>
    <w:rsid w:val="003E64A7"/>
    <w:rPr>
      <w:b/>
      <w:bCs/>
      <w:smallCaps/>
      <w:color w:val="0F4761" w:themeColor="accent1" w:themeShade="BF"/>
      <w:spacing w:val="5"/>
    </w:rPr>
  </w:style>
  <w:style w:type="paragraph" w:styleId="NoSpacing">
    <w:name w:val="No Spacing"/>
    <w:link w:val="NoSpacingChar"/>
    <w:uiPriority w:val="1"/>
    <w:qFormat/>
    <w:rsid w:val="003E64A7"/>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E64A7"/>
    <w:rPr>
      <w:kern w:val="0"/>
      <w:sz w:val="22"/>
      <w:szCs w:val="22"/>
      <w:lang w:val="en-US" w:eastAsia="en-US"/>
      <w14:ligatures w14:val="none"/>
    </w:rPr>
  </w:style>
  <w:style w:type="character" w:styleId="Hyperlink">
    <w:name w:val="Hyperlink"/>
    <w:basedOn w:val="DefaultParagraphFont"/>
    <w:uiPriority w:val="99"/>
    <w:unhideWhenUsed/>
    <w:rsid w:val="003E64A7"/>
    <w:rPr>
      <w:color w:val="467886" w:themeColor="hyperlink"/>
      <w:u w:val="single"/>
    </w:rPr>
  </w:style>
  <w:style w:type="character" w:styleId="UnresolvedMention">
    <w:name w:val="Unresolved Mention"/>
    <w:basedOn w:val="DefaultParagraphFont"/>
    <w:uiPriority w:val="99"/>
    <w:semiHidden/>
    <w:unhideWhenUsed/>
    <w:rsid w:val="003E64A7"/>
    <w:rPr>
      <w:color w:val="605E5C"/>
      <w:shd w:val="clear" w:color="auto" w:fill="E1DFDD"/>
    </w:rPr>
  </w:style>
  <w:style w:type="paragraph" w:styleId="Header">
    <w:name w:val="header"/>
    <w:basedOn w:val="Normal"/>
    <w:link w:val="HeaderChar"/>
    <w:uiPriority w:val="99"/>
    <w:unhideWhenUsed/>
    <w:rsid w:val="00D557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712"/>
  </w:style>
  <w:style w:type="paragraph" w:styleId="Footer">
    <w:name w:val="footer"/>
    <w:basedOn w:val="Normal"/>
    <w:link w:val="FooterChar"/>
    <w:uiPriority w:val="99"/>
    <w:unhideWhenUsed/>
    <w:rsid w:val="00D557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712"/>
  </w:style>
  <w:style w:type="paragraph" w:styleId="TOCHeading">
    <w:name w:val="TOC Heading"/>
    <w:basedOn w:val="Heading1"/>
    <w:next w:val="Normal"/>
    <w:uiPriority w:val="39"/>
    <w:unhideWhenUsed/>
    <w:qFormat/>
    <w:rsid w:val="00D5571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55712"/>
    <w:pPr>
      <w:spacing w:after="100"/>
    </w:pPr>
  </w:style>
  <w:style w:type="paragraph" w:styleId="TOC2">
    <w:name w:val="toc 2"/>
    <w:basedOn w:val="Normal"/>
    <w:next w:val="Normal"/>
    <w:autoRedefine/>
    <w:uiPriority w:val="39"/>
    <w:unhideWhenUsed/>
    <w:rsid w:val="00D55712"/>
    <w:pPr>
      <w:spacing w:after="100"/>
      <w:ind w:left="240"/>
    </w:pPr>
  </w:style>
  <w:style w:type="table" w:styleId="TableGrid">
    <w:name w:val="Table Grid"/>
    <w:basedOn w:val="TableNormal"/>
    <w:uiPriority w:val="39"/>
    <w:rsid w:val="00316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52F98"/>
    <w:pPr>
      <w:spacing w:after="0" w:line="240" w:lineRule="auto"/>
    </w:pPr>
  </w:style>
  <w:style w:type="character" w:styleId="CommentReference">
    <w:name w:val="annotation reference"/>
    <w:basedOn w:val="DefaultParagraphFont"/>
    <w:uiPriority w:val="99"/>
    <w:semiHidden/>
    <w:unhideWhenUsed/>
    <w:rsid w:val="00B52F98"/>
    <w:rPr>
      <w:sz w:val="16"/>
      <w:szCs w:val="16"/>
    </w:rPr>
  </w:style>
  <w:style w:type="paragraph" w:styleId="CommentText">
    <w:name w:val="annotation text"/>
    <w:basedOn w:val="Normal"/>
    <w:link w:val="CommentTextChar"/>
    <w:uiPriority w:val="99"/>
    <w:unhideWhenUsed/>
    <w:rsid w:val="00B52F98"/>
    <w:pPr>
      <w:spacing w:line="240" w:lineRule="auto"/>
    </w:pPr>
    <w:rPr>
      <w:sz w:val="20"/>
      <w:szCs w:val="20"/>
    </w:rPr>
  </w:style>
  <w:style w:type="character" w:customStyle="1" w:styleId="CommentTextChar">
    <w:name w:val="Comment Text Char"/>
    <w:basedOn w:val="DefaultParagraphFont"/>
    <w:link w:val="CommentText"/>
    <w:uiPriority w:val="99"/>
    <w:rsid w:val="00B52F98"/>
    <w:rPr>
      <w:sz w:val="20"/>
      <w:szCs w:val="20"/>
    </w:rPr>
  </w:style>
  <w:style w:type="paragraph" w:styleId="CommentSubject">
    <w:name w:val="annotation subject"/>
    <w:basedOn w:val="CommentText"/>
    <w:next w:val="CommentText"/>
    <w:link w:val="CommentSubjectChar"/>
    <w:uiPriority w:val="99"/>
    <w:semiHidden/>
    <w:unhideWhenUsed/>
    <w:rsid w:val="00B52F98"/>
    <w:rPr>
      <w:b/>
      <w:bCs/>
    </w:rPr>
  </w:style>
  <w:style w:type="character" w:customStyle="1" w:styleId="CommentSubjectChar">
    <w:name w:val="Comment Subject Char"/>
    <w:basedOn w:val="CommentTextChar"/>
    <w:link w:val="CommentSubject"/>
    <w:uiPriority w:val="99"/>
    <w:semiHidden/>
    <w:rsid w:val="00B52F98"/>
    <w:rPr>
      <w:b/>
      <w:bCs/>
      <w:sz w:val="20"/>
      <w:szCs w:val="20"/>
    </w:rPr>
  </w:style>
  <w:style w:type="character" w:styleId="FollowedHyperlink">
    <w:name w:val="FollowedHyperlink"/>
    <w:basedOn w:val="DefaultParagraphFont"/>
    <w:uiPriority w:val="99"/>
    <w:semiHidden/>
    <w:unhideWhenUsed/>
    <w:rsid w:val="007B718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topics/artificial-intelligence-workplace/" TargetMode="External"/><Relationship Id="rId18" Type="http://schemas.openxmlformats.org/officeDocument/2006/relationships/hyperlink" Target="https://hbr.org/2023/09/the-solution-to-service-worker-churn" TargetMode="External"/><Relationship Id="rId26" Type="http://schemas.openxmlformats.org/officeDocument/2006/relationships/hyperlink" Target="https://www.oecd.org/content/dam/oecd/en/publications/reports/2023/07/oecd-employment-outlook-2023_904bcef3/08785bba-en.pdf" TargetMode="External"/><Relationship Id="rId39" Type="http://schemas.openxmlformats.org/officeDocument/2006/relationships/theme" Target="theme/theme1.xml"/><Relationship Id="rId21" Type="http://schemas.openxmlformats.org/officeDocument/2006/relationships/hyperlink" Target="https://www.lewissilkin.com/insights/2025/03/13/employment-rights-bill-unpacked-fair-work-agency" TargetMode="External"/><Relationship Id="rId34" Type="http://schemas.openxmlformats.org/officeDocument/2006/relationships/hyperlink" Target="https://hbr.org/2024/09/ai-wont-make-your-employees-experts" TargetMode="External"/><Relationship Id="rId7" Type="http://schemas.openxmlformats.org/officeDocument/2006/relationships/image" Target="media/image1.png"/><Relationship Id="rId12" Type="http://schemas.openxmlformats.org/officeDocument/2006/relationships/hyperlink" Target="https://www.cipd.org/en/views-and-insights/thought-leadership/insight/ai-people-management/" TargetMode="External"/><Relationship Id="rId17" Type="http://schemas.openxmlformats.org/officeDocument/2006/relationships/hyperlink" Target="https://www.equalityhumanrights.com/en/advice-and-guidance/artificial-intelligence-and-equality" TargetMode="External"/><Relationship Id="rId25" Type="http://schemas.openxmlformats.org/officeDocument/2006/relationships/hyperlink" Target="https://oecd.ai/en/ai-principles" TargetMode="External"/><Relationship Id="rId33" Type="http://schemas.openxmlformats.org/officeDocument/2006/relationships/hyperlink" Target="https://unesdoc.unesco.org/ark:/48223/pf0000380455" TargetMode="External"/><Relationship Id="rId38"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hbr.org/2024/07/the-perils-of-using-ai-to-replace-entry-level-jobs" TargetMode="External"/><Relationship Id="rId20" Type="http://schemas.openxmlformats.org/officeDocument/2006/relationships/hyperlink" Target="https://www.imf.org/en/Blogs/Articles/2024/01/14/ai-will-transform-the-global-economy-lets-make-sure-it-benefits-humanity" TargetMode="External"/><Relationship Id="rId29" Type="http://schemas.openxmlformats.org/officeDocument/2006/relationships/hyperlink" Target="https://hbr.org/2025/03/why-ai-feels-so-threatening-to-worker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pd.org/en/knowledge/guides/strategic-workforce-planning/" TargetMode="External"/><Relationship Id="rId24" Type="http://schemas.openxmlformats.org/officeDocument/2006/relationships/hyperlink" Target="https://www.nist.gov/itl/ai-risk-management-framework" TargetMode="External"/><Relationship Id="rId32" Type="http://schemas.openxmlformats.org/officeDocument/2006/relationships/hyperlink" Target="https://www.ukhospitality.org.uk/work/hospitality-workforce-strategy/"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sets.publishing.service.gov.uk/media/5d67a363ed915d53b4904899/Hospitality_and_Tourism_Workforce_Landscape.pdf" TargetMode="External"/><Relationship Id="rId23" Type="http://schemas.openxmlformats.org/officeDocument/2006/relationships/hyperlink" Target="https://www.mckinsey.com/capabilities/tech-and-ai/our-insights/the-economic-potential-of-generative-ai-the-next-productivity-frontier" TargetMode="External"/><Relationship Id="rId28" Type="http://schemas.openxmlformats.org/officeDocument/2006/relationships/hyperlink" Target="https://www.ons.gov.uk/employmentandlabourmarket/peopleinwork/employmentandemployeetypes/bulletins/jobsandvacanciesintheuk/january2026" TargetMode="External"/><Relationship Id="rId36" Type="http://schemas.openxmlformats.org/officeDocument/2006/relationships/footer" Target="footer2.xml"/><Relationship Id="rId10" Type="http://schemas.openxmlformats.org/officeDocument/2006/relationships/hyperlink" Target="https://group.accor.com/" TargetMode="External"/><Relationship Id="rId19" Type="http://schemas.openxmlformats.org/officeDocument/2006/relationships/hyperlink" Target="https://ico.org.uk/for-organisations/guide-to-data-protection/key-dp-themes/guidance-on-ai-and-data-protection/" TargetMode="External"/><Relationship Id="rId31" Type="http://schemas.openxmlformats.org/officeDocument/2006/relationships/hyperlink" Target="https://www.gov.uk/government/publications/ai-opportunities-action-plan-government-response/ai-opportunities-action-plan-government-respons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cipd.org/en/knowledge/guides/preparing-organisation-ai-use/" TargetMode="External"/><Relationship Id="rId22" Type="http://schemas.openxmlformats.org/officeDocument/2006/relationships/hyperlink" Target="https://www.lewissilkin.com/insights/2025/03/13/employment-rights-bill-unpacked-zero-hours-reforms-extended-to-agency-workers" TargetMode="External"/><Relationship Id="rId27" Type="http://schemas.openxmlformats.org/officeDocument/2006/relationships/hyperlink" Target="https://www.ons.gov.uk/employmentandlabourmarket/peopleinwork/employmentandemployeetypes/bulletins/jobsandvacanciesintheuk/november2025" TargetMode="External"/><Relationship Id="rId30" Type="http://schemas.openxmlformats.org/officeDocument/2006/relationships/hyperlink" Target="https://www.gov.uk/government/news/prime-minister-sets-out-blueprint-to-turbocharge-ai" TargetMode="External"/><Relationship Id="rId35" Type="http://schemas.openxmlformats.org/officeDocument/2006/relationships/hyperlink" Target="https://www.weforum.org/publications/the-future-of-jobs-report-2023/" TargetMode="External"/><Relationship Id="rId8" Type="http://schemas.openxmlformats.org/officeDocument/2006/relationships/image" Target="media/image2.png"/><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10E57520A3E477B94FFD137C13AEDF3"/>
        <w:category>
          <w:name w:val="General"/>
          <w:gallery w:val="placeholder"/>
        </w:category>
        <w:types>
          <w:type w:val="bbPlcHdr"/>
        </w:types>
        <w:behaviors>
          <w:behavior w:val="content"/>
        </w:behaviors>
        <w:guid w:val="{C0AA7FF0-ACA9-4437-AAD8-2C96268B463D}"/>
      </w:docPartPr>
      <w:docPartBody>
        <w:p w:rsidR="008341BC" w:rsidRDefault="00B67380" w:rsidP="00B67380">
          <w:pPr>
            <w:pStyle w:val="510E57520A3E477B94FFD137C13AEDF3"/>
          </w:pPr>
          <w:r>
            <w:rPr>
              <w:rFonts w:asciiTheme="majorHAnsi" w:eastAsiaTheme="majorEastAsia" w:hAnsiTheme="majorHAnsi" w:cstheme="majorBidi"/>
              <w:caps/>
              <w:color w:val="156082" w:themeColor="accent1"/>
              <w:sz w:val="80"/>
              <w:szCs w:val="80"/>
            </w:rPr>
            <w:t>[Document title]</w:t>
          </w:r>
        </w:p>
      </w:docPartBody>
    </w:docPart>
    <w:docPart>
      <w:docPartPr>
        <w:name w:val="46FF58B900DE42938E7F9902A91038C7"/>
        <w:category>
          <w:name w:val="General"/>
          <w:gallery w:val="placeholder"/>
        </w:category>
        <w:types>
          <w:type w:val="bbPlcHdr"/>
        </w:types>
        <w:behaviors>
          <w:behavior w:val="content"/>
        </w:behaviors>
        <w:guid w:val="{CC7B5117-E8B2-471D-89FA-D548AC8D3696}"/>
      </w:docPartPr>
      <w:docPartBody>
        <w:p w:rsidR="008341BC" w:rsidRDefault="00B67380" w:rsidP="00B67380">
          <w:pPr>
            <w:pStyle w:val="46FF58B900DE42938E7F9902A91038C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380"/>
    <w:rsid w:val="00047800"/>
    <w:rsid w:val="001A771E"/>
    <w:rsid w:val="0025578D"/>
    <w:rsid w:val="00276737"/>
    <w:rsid w:val="006F223F"/>
    <w:rsid w:val="007A7204"/>
    <w:rsid w:val="008341BC"/>
    <w:rsid w:val="008E3232"/>
    <w:rsid w:val="00A61A56"/>
    <w:rsid w:val="00AA5FB0"/>
    <w:rsid w:val="00B67380"/>
    <w:rsid w:val="00E22C58"/>
    <w:rsid w:val="00E46606"/>
    <w:rsid w:val="00F358E3"/>
    <w:rsid w:val="00F555A1"/>
    <w:rsid w:val="00FA57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0E57520A3E477B94FFD137C13AEDF3">
    <w:name w:val="510E57520A3E477B94FFD137C13AEDF3"/>
    <w:rsid w:val="00B67380"/>
  </w:style>
  <w:style w:type="paragraph" w:customStyle="1" w:styleId="46FF58B900DE42938E7F9902A91038C7">
    <w:name w:val="46FF58B900DE42938E7F9902A91038C7"/>
    <w:rsid w:val="00B673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4822C-997A-4E88-AC7C-B3BE3B24F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4936</Words>
  <Characters>28140</Characters>
  <Application>Microsoft Office Word</Application>
  <DocSecurity>0</DocSecurity>
  <Lines>234</Lines>
  <Paragraphs>66</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Building the AI-Powered Organisation</vt:lpstr>
      <vt:lpstr>1. Executive Summary</vt:lpstr>
      <vt:lpstr>2. Introduction and Scope</vt:lpstr>
      <vt:lpstr>    2.1 Organisation and workforce context</vt:lpstr>
      <vt:lpstr>    2.2 Business environment and external drivers</vt:lpstr>
      <vt:lpstr>3. Analysis</vt:lpstr>
      <vt:lpstr>    3.1 Workforce planning and job design impact</vt:lpstr>
      <vt:lpstr>    3.2 Leadership for AI-enabled change: Transformational leadership</vt:lpstr>
      <vt:lpstr>    3.3 Differentiated leadership across roles and brands: Situational/adaptive </vt:lpstr>
      <vt:lpstr>    3.4 Responsible AI, ethical leadership, and employee voice</vt:lpstr>
      <vt:lpstr>4. Recommendations</vt:lpstr>
      <vt:lpstr>    4.1 Recommendation 1: HR-led Responsible AI Governance Framework </vt:lpstr>
      <vt:lpstr>    4.2 Recommendation 2: Role-Based AI Capability Academy</vt:lpstr>
      <vt:lpstr>    </vt:lpstr>
      <vt:lpstr>    4.3 Recommendation 3: Job &amp; Workflow Redesign in Priority Service Journeys</vt:lpstr>
      <vt:lpstr>5. SMART Table</vt:lpstr>
      <vt:lpstr/>
      <vt:lpstr>6. Conclusion</vt:lpstr>
      <vt:lpstr>Reference List</vt:lpstr>
    </vt:vector>
  </TitlesOfParts>
  <Company>University of Wales Trinity Saint David</Company>
  <LinksUpToDate>false</LinksUpToDate>
  <CharactersWithSpaces>33010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the AI-Powered Organisation</dc:title>
  <dc:subject>Daniel Payne - 1803525</dc:subject>
  <dc:creator>Daniel Payne</dc:creator>
  <cp:keywords/>
  <dc:description/>
  <cp:lastModifiedBy>Daniel Payne</cp:lastModifiedBy>
  <cp:revision>72</cp:revision>
  <dcterms:created xsi:type="dcterms:W3CDTF">2026-04-24T07:45:00Z</dcterms:created>
  <dcterms:modified xsi:type="dcterms:W3CDTF">2026-04-24T10:19:00Z</dcterms:modified>
</cp:coreProperties>
</file>