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3709FB" wp14:paraId="5E5787A5" wp14:textId="47D25B3D">
      <w:pPr>
        <w:rPr>
          <w:b w:val="1"/>
          <w:bCs w:val="1"/>
          <w:u w:val="single"/>
        </w:rPr>
      </w:pPr>
    </w:p>
    <w:p w:rsidR="058AD107" w:rsidRDefault="058AD107" w14:paraId="307F597E" w14:textId="72812F26">
      <w:pPr>
        <w:rPr>
          <w:b w:val="0"/>
          <w:bCs w:val="0"/>
          <w:u w:val="none"/>
        </w:rPr>
      </w:pPr>
      <w:r w:rsidR="058AD107">
        <w:rPr>
          <w:b w:val="0"/>
          <w:bCs w:val="0"/>
          <w:u w:val="none"/>
        </w:rPr>
        <w:t xml:space="preserve">I confirm that I have not used AI tools in the research and creation of this assignment. I confirm that I have not presented any AI generated materials as my own work. I confirm I have copies of my draft notes and other resources I used, which I may be asked to provide in evidence.   </w:t>
      </w:r>
    </w:p>
    <w:p w:rsidR="058AD107" w:rsidP="643709FB" w:rsidRDefault="058AD107" w14:paraId="1BD16C94" w14:textId="228AC04C">
      <w:pPr>
        <w:pStyle w:val="Normal"/>
      </w:pPr>
      <w:r w:rsidR="058AD107">
        <w:rPr>
          <w:b w:val="0"/>
          <w:bCs w:val="0"/>
          <w:u w:val="none"/>
        </w:rPr>
        <w:t xml:space="preserve"> </w:t>
      </w:r>
    </w:p>
    <w:p w:rsidR="058AD107" w:rsidP="643709FB" w:rsidRDefault="058AD107" w14:paraId="5FA43CBB" w14:textId="0151C977">
      <w:pPr>
        <w:pStyle w:val="Normal"/>
        <w:rPr>
          <w:b w:val="0"/>
          <w:bCs w:val="0"/>
          <w:u w:val="none"/>
        </w:rPr>
      </w:pPr>
      <w:r w:rsidR="40F255EC">
        <w:rPr>
          <w:b w:val="0"/>
          <w:bCs w:val="0"/>
          <w:u w:val="none"/>
        </w:rPr>
        <w:t>Word Count: 16</w:t>
      </w:r>
      <w:r w:rsidR="055F5C6B">
        <w:rPr>
          <w:b w:val="0"/>
          <w:bCs w:val="0"/>
          <w:u w:val="none"/>
        </w:rPr>
        <w:t>50</w:t>
      </w:r>
      <w:r w:rsidR="06C8BE81">
        <w:rPr>
          <w:b w:val="0"/>
          <w:bCs w:val="0"/>
          <w:u w:val="none"/>
        </w:rPr>
        <w:t xml:space="preserve">                                                                       S. Samuels: 2410646</w:t>
      </w:r>
    </w:p>
    <w:p w:rsidR="058AD107" w:rsidP="643709FB" w:rsidRDefault="058AD107" w14:paraId="529293B2" w14:textId="5EC66AA4">
      <w:pPr>
        <w:pStyle w:val="Normal"/>
      </w:pPr>
      <w:r w:rsidR="058AD107">
        <w:rPr>
          <w:b w:val="0"/>
          <w:bCs w:val="0"/>
          <w:u w:val="none"/>
        </w:rPr>
        <w:t xml:space="preserve"> </w:t>
      </w:r>
    </w:p>
    <w:p w:rsidR="058AD107" w:rsidP="643709FB" w:rsidRDefault="058AD107" w14:paraId="732D0809" w14:textId="0CBEEEA7">
      <w:pPr>
        <w:pStyle w:val="Normal"/>
      </w:pPr>
      <w:r w:rsidR="058AD107">
        <w:rPr>
          <w:b w:val="0"/>
          <w:bCs w:val="0"/>
          <w:u w:val="none"/>
        </w:rPr>
        <w:t xml:space="preserve"> </w:t>
      </w:r>
    </w:p>
    <w:p w:rsidR="058AD107" w:rsidP="383AF2B7" w:rsidRDefault="058AD107" w14:paraId="765EDC3F" w14:textId="1439E305">
      <w:pPr>
        <w:pStyle w:val="Normal"/>
        <w:rPr>
          <w:b w:val="1"/>
          <w:bCs w:val="1"/>
          <w:u w:val="single"/>
        </w:rPr>
      </w:pPr>
      <w:r w:rsidRPr="383AF2B7" w:rsidR="058AD107">
        <w:rPr>
          <w:b w:val="1"/>
          <w:bCs w:val="1"/>
          <w:u w:val="single"/>
        </w:rPr>
        <w:t xml:space="preserve">PRIMARY SOURCE ANALYSIS </w:t>
      </w:r>
    </w:p>
    <w:p w:rsidR="058AD107" w:rsidP="2678DC8C" w:rsidRDefault="058AD107" w14:paraId="77D36943" w14:textId="12AC9DD3">
      <w:pPr>
        <w:pStyle w:val="Normal"/>
        <w:spacing w:line="480" w:lineRule="auto"/>
      </w:pPr>
      <w:r w:rsidR="058AD107">
        <w:rPr>
          <w:b w:val="0"/>
          <w:bCs w:val="0"/>
          <w:u w:val="none"/>
        </w:rPr>
        <w:t xml:space="preserve"> </w:t>
      </w:r>
    </w:p>
    <w:p w:rsidR="058AD107" w:rsidP="2678DC8C" w:rsidRDefault="058AD107" w14:paraId="6705F4A7" w14:textId="76C67082">
      <w:pPr>
        <w:pStyle w:val="Normal"/>
        <w:spacing w:line="480" w:lineRule="auto"/>
      </w:pPr>
      <w:r w:rsidR="058AD107">
        <w:rPr>
          <w:b w:val="0"/>
          <w:bCs w:val="0"/>
          <w:u w:val="none"/>
        </w:rPr>
        <w:t>The Indian Contagious Diseases Act</w:t>
      </w:r>
      <w:r w:rsidR="16C5C821">
        <w:rPr>
          <w:b w:val="0"/>
          <w:bCs w:val="0"/>
          <w:u w:val="none"/>
        </w:rPr>
        <w:t xml:space="preserve"> (CDA)</w:t>
      </w:r>
      <w:r w:rsidR="058AD107">
        <w:rPr>
          <w:b w:val="0"/>
          <w:bCs w:val="0"/>
          <w:u w:val="none"/>
        </w:rPr>
        <w:t xml:space="preserve"> of 1868</w:t>
      </w:r>
      <w:r w:rsidR="058AD107">
        <w:rPr>
          <w:b w:val="0"/>
          <w:bCs w:val="0"/>
          <w:u w:val="none"/>
        </w:rPr>
        <w:t xml:space="preserve"> </w:t>
      </w:r>
      <w:r w:rsidR="058AD107">
        <w:rPr>
          <w:b w:val="0"/>
          <w:bCs w:val="0"/>
          <w:u w:val="none"/>
        </w:rPr>
        <w:t xml:space="preserve">was a British colonial law created to address and control the widespread occurrence of venereal disease within the British army, specifically targeting the regulation of female prostitutes by forced confinement, medical </w:t>
      </w:r>
      <w:r w:rsidR="058AD107">
        <w:rPr>
          <w:b w:val="0"/>
          <w:bCs w:val="0"/>
          <w:u w:val="none"/>
        </w:rPr>
        <w:t>examination</w:t>
      </w:r>
      <w:r w:rsidR="058AD107">
        <w:rPr>
          <w:b w:val="0"/>
          <w:bCs w:val="0"/>
          <w:u w:val="none"/>
        </w:rPr>
        <w:t xml:space="preserve"> and registration. The aim of the act was prevention and containment of sexual disease and part of the wider British effort to regulate and impose colonial rule over the native population. </w:t>
      </w:r>
      <w:r w:rsidR="6B0C12F5">
        <w:rPr>
          <w:b w:val="0"/>
          <w:bCs w:val="0"/>
          <w:u w:val="none"/>
        </w:rPr>
        <w:t>I</w:t>
      </w:r>
      <w:r w:rsidR="058AD107">
        <w:rPr>
          <w:b w:val="0"/>
          <w:bCs w:val="0"/>
          <w:u w:val="none"/>
        </w:rPr>
        <w:t>t</w:t>
      </w:r>
      <w:r w:rsidR="0D541F5D">
        <w:rPr>
          <w:b w:val="0"/>
          <w:bCs w:val="0"/>
          <w:u w:val="none"/>
        </w:rPr>
        <w:t xml:space="preserve"> also</w:t>
      </w:r>
      <w:r w:rsidR="058AD107">
        <w:rPr>
          <w:b w:val="0"/>
          <w:bCs w:val="0"/>
          <w:u w:val="none"/>
        </w:rPr>
        <w:t xml:space="preserve"> </w:t>
      </w:r>
      <w:r w:rsidR="058AD107">
        <w:rPr>
          <w:b w:val="0"/>
          <w:bCs w:val="0"/>
          <w:u w:val="none"/>
        </w:rPr>
        <w:t>attempted</w:t>
      </w:r>
      <w:r w:rsidR="058AD107">
        <w:rPr>
          <w:b w:val="0"/>
          <w:bCs w:val="0"/>
          <w:u w:val="none"/>
        </w:rPr>
        <w:t xml:space="preserve"> to shift the focus and </w:t>
      </w:r>
      <w:r w:rsidR="058AD107">
        <w:rPr>
          <w:b w:val="0"/>
          <w:bCs w:val="0"/>
          <w:u w:val="none"/>
        </w:rPr>
        <w:t>ultimately the</w:t>
      </w:r>
      <w:r w:rsidR="058AD107">
        <w:rPr>
          <w:b w:val="0"/>
          <w:bCs w:val="0"/>
          <w:u w:val="none"/>
        </w:rPr>
        <w:t xml:space="preserve"> responsibility</w:t>
      </w:r>
      <w:r w:rsidR="709A09F6">
        <w:rPr>
          <w:b w:val="0"/>
          <w:bCs w:val="0"/>
          <w:u w:val="none"/>
        </w:rPr>
        <w:t>,</w:t>
      </w:r>
      <w:r w:rsidR="058AD107">
        <w:rPr>
          <w:b w:val="0"/>
          <w:bCs w:val="0"/>
          <w:u w:val="none"/>
        </w:rPr>
        <w:t xml:space="preserve"> of venereal diseases onto women. I explore the significance of the Act and some contemporary reactions to its implementation. I also give context to the document historically and</w:t>
      </w:r>
      <w:r w:rsidR="6EB6E295">
        <w:rPr>
          <w:b w:val="0"/>
          <w:bCs w:val="0"/>
          <w:u w:val="none"/>
        </w:rPr>
        <w:t xml:space="preserve"> reflect on some</w:t>
      </w:r>
      <w:r w:rsidR="058AD107">
        <w:rPr>
          <w:b w:val="0"/>
          <w:bCs w:val="0"/>
          <w:u w:val="none"/>
        </w:rPr>
        <w:t xml:space="preserve"> </w:t>
      </w:r>
      <w:r w:rsidR="058AD107">
        <w:rPr>
          <w:b w:val="0"/>
          <w:bCs w:val="0"/>
          <w:u w:val="none"/>
        </w:rPr>
        <w:t xml:space="preserve">societal opinions of the period. </w:t>
      </w:r>
    </w:p>
    <w:p w:rsidR="058AD107" w:rsidP="3CF9A548" w:rsidRDefault="058AD107" w14:paraId="2FD0EC63" w14:textId="2FED6921">
      <w:pPr>
        <w:pStyle w:val="Normal"/>
        <w:spacing w:line="480" w:lineRule="auto"/>
        <w:ind w:firstLine="720"/>
        <w:rPr>
          <w:b w:val="0"/>
          <w:bCs w:val="0"/>
          <w:u w:val="none"/>
        </w:rPr>
      </w:pPr>
      <w:r w:rsidR="0CBCE014">
        <w:rPr>
          <w:b w:val="0"/>
          <w:bCs w:val="0"/>
          <w:u w:val="none"/>
        </w:rPr>
        <w:t xml:space="preserve">   </w:t>
      </w:r>
      <w:r w:rsidR="058AD107">
        <w:rPr>
          <w:b w:val="0"/>
          <w:bCs w:val="0"/>
          <w:u w:val="none"/>
        </w:rPr>
        <w:t>Before 1868 the British army already had well established cantonment areas within Indian urban districts</w:t>
      </w:r>
      <w:r w:rsidR="73553C8E">
        <w:rPr>
          <w:b w:val="0"/>
          <w:bCs w:val="0"/>
          <w:u w:val="none"/>
        </w:rPr>
        <w:t>.</w:t>
      </w:r>
      <w:r w:rsidR="058AD107">
        <w:rPr>
          <w:b w:val="0"/>
          <w:bCs w:val="0"/>
          <w:u w:val="none"/>
        </w:rPr>
        <w:t xml:space="preserve"> Within these areas the military personnel were traditionally able to access ‘bazaars</w:t>
      </w:r>
      <w:r w:rsidR="058AD107">
        <w:rPr>
          <w:b w:val="0"/>
          <w:bCs w:val="0"/>
          <w:u w:val="none"/>
        </w:rPr>
        <w:t>’,</w:t>
      </w:r>
      <w:r w:rsidR="058AD107">
        <w:rPr>
          <w:b w:val="0"/>
          <w:bCs w:val="0"/>
          <w:u w:val="none"/>
        </w:rPr>
        <w:t xml:space="preserve"> open air markets that allowed the soldiers to access and </w:t>
      </w:r>
      <w:r w:rsidR="058AD107">
        <w:rPr>
          <w:b w:val="0"/>
          <w:bCs w:val="0"/>
          <w:u w:val="none"/>
        </w:rPr>
        <w:t>procure</w:t>
      </w:r>
      <w:r w:rsidR="058AD107">
        <w:rPr>
          <w:b w:val="0"/>
          <w:bCs w:val="0"/>
          <w:u w:val="none"/>
        </w:rPr>
        <w:t xml:space="preserve"> various local goods and services, amongst which in the</w:t>
      </w:r>
      <w:r w:rsidRPr="3CF9A548" w:rsidR="058AD107">
        <w:rPr>
          <w:b w:val="0"/>
          <w:bCs w:val="0"/>
          <w:i w:val="1"/>
          <w:iCs w:val="1"/>
          <w:u w:val="none"/>
        </w:rPr>
        <w:t xml:space="preserve"> </w:t>
      </w:r>
      <w:r w:rsidRPr="3CF9A548" w:rsidR="058AD107">
        <w:rPr>
          <w:b w:val="0"/>
          <w:bCs w:val="0"/>
          <w:i w:val="1"/>
          <w:iCs w:val="1"/>
          <w:u w:val="none"/>
        </w:rPr>
        <w:t>Caklas</w:t>
      </w:r>
      <w:r w:rsidR="058AD107">
        <w:rPr>
          <w:b w:val="0"/>
          <w:bCs w:val="0"/>
          <w:u w:val="none"/>
        </w:rPr>
        <w:t xml:space="preserve"> (red light areas) was the availability of female prostitutes</w:t>
      </w:r>
      <w:r w:rsidRPr="643709FB">
        <w:rPr>
          <w:rStyle w:val="FootnoteReference"/>
          <w:b w:val="0"/>
          <w:bCs w:val="0"/>
          <w:u w:val="none"/>
        </w:rPr>
        <w:footnoteReference w:id="29950"/>
      </w:r>
      <w:r w:rsidR="058AD107">
        <w:rPr>
          <w:b w:val="0"/>
          <w:bCs w:val="0"/>
          <w:u w:val="none"/>
        </w:rPr>
        <w:t>.</w:t>
      </w:r>
      <w:r w:rsidR="058AD107">
        <w:rPr>
          <w:b w:val="0"/>
          <w:bCs w:val="0"/>
          <w:u w:val="none"/>
        </w:rPr>
        <w:t xml:space="preserve"> Managed by a locally appointed official or Kotwal, prostitutes </w:t>
      </w:r>
      <w:r w:rsidR="058AD107">
        <w:rPr>
          <w:b w:val="0"/>
          <w:bCs w:val="0"/>
          <w:u w:val="none"/>
        </w:rPr>
        <w:t>deemed</w:t>
      </w:r>
      <w:r w:rsidR="058AD107">
        <w:rPr>
          <w:b w:val="0"/>
          <w:bCs w:val="0"/>
          <w:u w:val="none"/>
        </w:rPr>
        <w:t xml:space="preserve"> ‘disordered’ were sent to the lock hospital within the cantonment to receive treatment for venereal disease (VD</w:t>
      </w:r>
      <w:r w:rsidR="058AD107">
        <w:rPr>
          <w:b w:val="0"/>
          <w:bCs w:val="0"/>
          <w:u w:val="none"/>
        </w:rPr>
        <w:t xml:space="preserve">).</w:t>
      </w:r>
      <w:r w:rsidR="5255E18F">
        <w:rPr>
          <w:b w:val="0"/>
          <w:bCs w:val="0"/>
          <w:u w:val="none"/>
        </w:rPr>
        <w:t xml:space="preserve"> </w:t>
      </w:r>
      <w:r w:rsidRPr="643709FB">
        <w:rPr>
          <w:rStyle w:val="FootnoteReference"/>
          <w:b w:val="0"/>
          <w:bCs w:val="0"/>
          <w:u w:val="none"/>
        </w:rPr>
        <w:footnoteReference w:id="21344"/>
      </w:r>
      <w:r w:rsidR="058AD107">
        <w:rPr>
          <w:b w:val="0"/>
          <w:bCs w:val="0"/>
          <w:u w:val="none"/>
        </w:rPr>
        <w:t xml:space="preserve"> </w:t>
      </w:r>
    </w:p>
    <w:p w:rsidR="058AD107" w:rsidP="3CF9A548" w:rsidRDefault="058AD107" w14:paraId="330D8B38" w14:textId="6999897D">
      <w:pPr>
        <w:pStyle w:val="Normal"/>
        <w:spacing w:line="480" w:lineRule="auto"/>
        <w:ind w:firstLine="720"/>
        <w:rPr>
          <w:b w:val="0"/>
          <w:bCs w:val="0"/>
          <w:u w:val="none"/>
        </w:rPr>
      </w:pPr>
      <w:r w:rsidR="27DA00FB">
        <w:rPr>
          <w:b w:val="0"/>
          <w:bCs w:val="0"/>
          <w:u w:val="none"/>
        </w:rPr>
        <w:t xml:space="preserve">   </w:t>
      </w:r>
      <w:r w:rsidR="058AD107">
        <w:rPr>
          <w:b w:val="0"/>
          <w:bCs w:val="0"/>
          <w:u w:val="none"/>
        </w:rPr>
        <w:t xml:space="preserve">The British army placed </w:t>
      </w:r>
      <w:r w:rsidR="058AD107">
        <w:rPr>
          <w:b w:val="0"/>
          <w:bCs w:val="0"/>
          <w:u w:val="none"/>
        </w:rPr>
        <w:t>great importance</w:t>
      </w:r>
      <w:r w:rsidR="058AD107">
        <w:rPr>
          <w:b w:val="0"/>
          <w:bCs w:val="0"/>
          <w:u w:val="none"/>
        </w:rPr>
        <w:t xml:space="preserve"> </w:t>
      </w:r>
      <w:r w:rsidR="1DC3C9E3">
        <w:rPr>
          <w:b w:val="0"/>
          <w:bCs w:val="0"/>
          <w:u w:val="none"/>
        </w:rPr>
        <w:t xml:space="preserve">on</w:t>
      </w:r>
      <w:r w:rsidR="058AD107">
        <w:rPr>
          <w:b w:val="0"/>
          <w:bCs w:val="0"/>
          <w:u w:val="none"/>
        </w:rPr>
        <w:t xml:space="preserve"> soldier</w:t>
      </w:r>
      <w:r w:rsidR="05B507BE">
        <w:rPr>
          <w:b w:val="0"/>
          <w:bCs w:val="0"/>
          <w:u w:val="none"/>
        </w:rPr>
        <w:t xml:space="preserve"> welfare</w:t>
      </w:r>
      <w:r w:rsidR="058AD107">
        <w:rPr>
          <w:b w:val="0"/>
          <w:bCs w:val="0"/>
          <w:u w:val="none"/>
        </w:rPr>
        <w:t xml:space="preserve">, and venereal disease amongst the ranks threatened to undermine not only the health</w:t>
      </w:r>
      <w:r w:rsidR="52652001">
        <w:rPr>
          <w:b w:val="0"/>
          <w:bCs w:val="0"/>
          <w:u w:val="none"/>
        </w:rPr>
        <w:t xml:space="preserve">,</w:t>
      </w:r>
      <w:r w:rsidR="058AD107">
        <w:rPr>
          <w:b w:val="0"/>
          <w:bCs w:val="0"/>
          <w:u w:val="none"/>
        </w:rPr>
        <w:t xml:space="preserve"> but portrayal of British soldiers as strong and capable. The unfortunate reality was that, however well the British establishment tried to deflect blame for the spread of VD to prostitutes, the problem was an internal one. The problem seemed confined to British troops many of whom were young and unmarried. Official records from 1833-1837 showed VD was extremely low amongst the Indian sepoy troops at between 2 and 4 percent, compared to British figures of 32-45 </w:t>
      </w:r>
      <w:r w:rsidR="4542F17B">
        <w:rPr>
          <w:b w:val="0"/>
          <w:bCs w:val="0"/>
          <w:u w:val="none"/>
        </w:rPr>
        <w:t>percent</w:t>
      </w:r>
      <w:r w:rsidR="6400834E">
        <w:rPr>
          <w:b w:val="0"/>
          <w:bCs w:val="0"/>
          <w:u w:val="none"/>
        </w:rPr>
        <w:t xml:space="preserve">. </w:t>
      </w:r>
      <w:r w:rsidRPr="4EEF06C2">
        <w:rPr>
          <w:rStyle w:val="FootnoteReference"/>
          <w:b w:val="0"/>
          <w:bCs w:val="0"/>
          <w:u w:val="none"/>
        </w:rPr>
        <w:footnoteReference w:id="1995"/>
      </w:r>
      <w:r w:rsidR="61F6CB9B">
        <w:rPr>
          <w:b w:val="0"/>
          <w:bCs w:val="0"/>
          <w:u w:val="none"/>
        </w:rPr>
        <w:t xml:space="preserve"> </w:t>
      </w:r>
      <w:r w:rsidR="058AD107">
        <w:rPr>
          <w:b w:val="0"/>
          <w:bCs w:val="0"/>
          <w:u w:val="none"/>
        </w:rPr>
        <w:t>1862 Official figures detailing the number of British married soldiers in Bombay, madras and Bengal were all well below 10 percent</w:t>
      </w:r>
      <w:r w:rsidR="058AD107">
        <w:rPr>
          <w:b w:val="0"/>
          <w:bCs w:val="0"/>
          <w:u w:val="none"/>
        </w:rPr>
        <w:t xml:space="preserve">.  </w:t>
      </w:r>
      <w:r w:rsidR="058AD107">
        <w:rPr>
          <w:b w:val="0"/>
          <w:bCs w:val="0"/>
          <w:u w:val="none"/>
        </w:rPr>
        <w:t>There was no real appetite within institutions such as the Royal Commission to advocate for such movements at redressing the balance towards increasing the number of married soldiers to the armies' own recommendations of 12 percent. Indeed, it noted its own concerns of risk for wives and children left in the cantonment (of married soldiers out on active service) being ‘exposed to temptation and distress</w:t>
      </w:r>
      <w:r w:rsidR="058AD107">
        <w:rPr>
          <w:b w:val="0"/>
          <w:bCs w:val="0"/>
          <w:u w:val="none"/>
        </w:rPr>
        <w:t>’.</w:t>
      </w:r>
      <w:r w:rsidR="058AD107">
        <w:rPr>
          <w:b w:val="0"/>
          <w:bCs w:val="0"/>
          <w:u w:val="none"/>
        </w:rPr>
        <w:t xml:space="preserve"> </w:t>
      </w:r>
      <w:r w:rsidRPr="4EEF06C2">
        <w:rPr>
          <w:rStyle w:val="FootnoteReference"/>
          <w:b w:val="0"/>
          <w:bCs w:val="0"/>
          <w:u w:val="none"/>
        </w:rPr>
        <w:footnoteReference w:id="12296"/>
      </w:r>
      <w:r w:rsidR="058AD107">
        <w:rPr>
          <w:b w:val="0"/>
          <w:bCs w:val="0"/>
          <w:u w:val="none"/>
        </w:rPr>
        <w:t xml:space="preserve"> </w:t>
      </w:r>
    </w:p>
    <w:p w:rsidR="058AD107" w:rsidP="3CF9A548" w:rsidRDefault="058AD107" w14:paraId="6FFC0193" w14:textId="16256728">
      <w:pPr>
        <w:pStyle w:val="Normal"/>
        <w:spacing w:line="480" w:lineRule="auto"/>
        <w:ind w:firstLine="720"/>
        <w:rPr>
          <w:b w:val="0"/>
          <w:bCs w:val="0"/>
          <w:u w:val="none"/>
        </w:rPr>
      </w:pPr>
      <w:r w:rsidR="7E65E3E4">
        <w:rPr>
          <w:b w:val="0"/>
          <w:bCs w:val="0"/>
          <w:u w:val="none"/>
        </w:rPr>
        <w:t xml:space="preserve">   </w:t>
      </w:r>
      <w:r w:rsidR="058AD107">
        <w:rPr>
          <w:b w:val="0"/>
          <w:bCs w:val="0"/>
          <w:u w:val="none"/>
        </w:rPr>
        <w:t xml:space="preserve">As well as meeting the needs of the British military population there was a recognition that wider societal conditions were inevitably </w:t>
      </w:r>
      <w:r w:rsidR="058AD107">
        <w:rPr>
          <w:b w:val="0"/>
          <w:bCs w:val="0"/>
          <w:u w:val="none"/>
        </w:rPr>
        <w:t>impacting</w:t>
      </w:r>
      <w:r w:rsidR="058AD107">
        <w:rPr>
          <w:b w:val="0"/>
          <w:bCs w:val="0"/>
          <w:u w:val="none"/>
        </w:rPr>
        <w:t xml:space="preserve"> everyday matters </w:t>
      </w:r>
      <w:r w:rsidR="09388590">
        <w:rPr>
          <w:b w:val="0"/>
          <w:bCs w:val="0"/>
          <w:u w:val="none"/>
        </w:rPr>
        <w:t xml:space="preserve">of</w:t>
      </w:r>
      <w:r w:rsidR="058AD107">
        <w:rPr>
          <w:b w:val="0"/>
          <w:bCs w:val="0"/>
          <w:u w:val="none"/>
        </w:rPr>
        <w:t xml:space="preserve"> health and hygiene. By 1868 Colonial concerns were addressing the wider issue of public health </w:t>
      </w:r>
      <w:r w:rsidR="7A3B6A13">
        <w:rPr>
          <w:b w:val="0"/>
          <w:bCs w:val="0"/>
          <w:u w:val="none"/>
        </w:rPr>
        <w:t xml:space="preserve">(</w:t>
      </w:r>
      <w:r w:rsidR="7A3B6A13">
        <w:rPr>
          <w:b w:val="0"/>
          <w:bCs w:val="0"/>
          <w:u w:val="none"/>
        </w:rPr>
        <w:t xml:space="preserve">cholera, </w:t>
      </w:r>
      <w:r w:rsidR="7A3B6A13">
        <w:rPr>
          <w:b w:val="0"/>
          <w:bCs w:val="0"/>
          <w:u w:val="none"/>
        </w:rPr>
        <w:t>smallpox</w:t>
      </w:r>
      <w:r w:rsidR="7A3B6A13">
        <w:rPr>
          <w:b w:val="0"/>
          <w:bCs w:val="0"/>
          <w:u w:val="none"/>
        </w:rPr>
        <w:t xml:space="preserve"> and yellow fever) outside</w:t>
      </w:r>
      <w:r w:rsidR="058AD107">
        <w:rPr>
          <w:b w:val="0"/>
          <w:bCs w:val="0"/>
          <w:u w:val="none"/>
        </w:rPr>
        <w:t xml:space="preserve"> the cantonments for the </w:t>
      </w:r>
      <w:r w:rsidR="058AD107">
        <w:rPr>
          <w:b w:val="0"/>
          <w:bCs w:val="0"/>
          <w:u w:val="none"/>
        </w:rPr>
        <w:t>initial</w:t>
      </w:r>
      <w:r w:rsidR="058AD107">
        <w:rPr>
          <w:b w:val="0"/>
          <w:bCs w:val="0"/>
          <w:u w:val="none"/>
        </w:rPr>
        <w:t xml:space="preserve"> purpose of self-preservation, later adopting a sense of colonial responsibility to its citizens for health as well as economic reasons</w:t>
      </w:r>
      <w:r w:rsidR="2E5B7140">
        <w:rPr>
          <w:b w:val="0"/>
          <w:bCs w:val="0"/>
          <w:u w:val="none"/>
        </w:rPr>
        <w:t xml:space="preserve">.</w:t>
      </w:r>
      <w:r w:rsidRPr="4EEF06C2">
        <w:rPr>
          <w:rStyle w:val="FootnoteReference"/>
          <w:b w:val="0"/>
          <w:bCs w:val="0"/>
          <w:u w:val="none"/>
        </w:rPr>
        <w:footnoteReference w:id="8677"/>
      </w:r>
      <w:r w:rsidR="058AD107">
        <w:rPr>
          <w:b w:val="0"/>
          <w:bCs w:val="0"/>
          <w:u w:val="none"/>
        </w:rPr>
        <w:t xml:space="preserve"> There was a growing sense of instability </w:t>
      </w:r>
      <w:r w:rsidR="058AD107">
        <w:rPr>
          <w:b w:val="0"/>
          <w:bCs w:val="0"/>
          <w:u w:val="none"/>
        </w:rPr>
        <w:t>regarding</w:t>
      </w:r>
      <w:r w:rsidR="058AD107">
        <w:rPr>
          <w:b w:val="0"/>
          <w:bCs w:val="0"/>
          <w:u w:val="none"/>
        </w:rPr>
        <w:t xml:space="preserve"> integration, aggravated by the uprising in 1857 which prompted an increase in troop deployment into the British </w:t>
      </w:r>
      <w:r w:rsidR="058AD107">
        <w:rPr>
          <w:b w:val="0"/>
          <w:bCs w:val="0"/>
          <w:u w:val="none"/>
        </w:rPr>
        <w:t xml:space="preserve">Raj.</w:t>
      </w:r>
      <w:r w:rsidR="2BD4F17E">
        <w:rPr>
          <w:b w:val="0"/>
          <w:bCs w:val="0"/>
          <w:u w:val="none"/>
        </w:rPr>
        <w:t xml:space="preserve"> </w:t>
      </w:r>
      <w:r w:rsidRPr="4EEF06C2">
        <w:rPr>
          <w:rStyle w:val="FootnoteReference"/>
          <w:b w:val="0"/>
          <w:bCs w:val="0"/>
          <w:u w:val="none"/>
        </w:rPr>
        <w:footnoteReference w:id="32202"/>
      </w:r>
    </w:p>
    <w:p w:rsidR="058AD107" w:rsidP="3CF9A548" w:rsidRDefault="058AD107" w14:paraId="25BE414D" w14:textId="2C22B1E3">
      <w:pPr>
        <w:pStyle w:val="Normal"/>
        <w:spacing w:line="480" w:lineRule="auto"/>
        <w:ind w:firstLine="720"/>
      </w:pPr>
      <w:r w:rsidR="3E1B8B2A">
        <w:rPr>
          <w:b w:val="0"/>
          <w:bCs w:val="0"/>
          <w:u w:val="none"/>
        </w:rPr>
        <w:t xml:space="preserve">   </w:t>
      </w:r>
      <w:r w:rsidR="058AD107">
        <w:rPr>
          <w:b w:val="0"/>
          <w:bCs w:val="0"/>
          <w:u w:val="none"/>
        </w:rPr>
        <w:t xml:space="preserve">The problem of VD among the ranks by the early nineteenth century was a particularly awkward problem for the British and forced them to confront matters of an unsavoury kind. Pressed to address these, the reaction from as long ago as 1807 in Bengal India, was the introduction of lock hospitals</w:t>
      </w:r>
      <w:r w:rsidR="7F5C2AAF">
        <w:rPr>
          <w:b w:val="0"/>
          <w:bCs w:val="0"/>
          <w:u w:val="none"/>
        </w:rPr>
        <w:t xml:space="preserve">.</w:t>
      </w:r>
      <w:r w:rsidR="058AD107">
        <w:rPr>
          <w:b w:val="0"/>
          <w:bCs w:val="0"/>
          <w:u w:val="none"/>
        </w:rPr>
        <w:t xml:space="preserve"> </w:t>
      </w:r>
      <w:r w:rsidR="1AC26513">
        <w:rPr>
          <w:b w:val="0"/>
          <w:bCs w:val="0"/>
          <w:u w:val="none"/>
        </w:rPr>
        <w:t xml:space="preserve">B</w:t>
      </w:r>
      <w:r w:rsidR="058AD107">
        <w:rPr>
          <w:b w:val="0"/>
          <w:bCs w:val="0"/>
          <w:u w:val="none"/>
        </w:rPr>
        <w:t xml:space="preserve">y 1828 the number there had risen to sixteen. The emphasis for treatment was focused on the female prostitutes. Yet by 1830 the progressive Governor General William Bentinck decided they were unfit for purpose as well as uneconomic and ordered their </w:t>
      </w:r>
      <w:r w:rsidR="036E2DAD">
        <w:rPr>
          <w:b w:val="0"/>
          <w:bCs w:val="0"/>
          <w:u w:val="none"/>
        </w:rPr>
        <w:t>closure.</w:t>
      </w:r>
      <w:r w:rsidR="0B180769">
        <w:rPr>
          <w:b w:val="0"/>
          <w:bCs w:val="0"/>
          <w:u w:val="none"/>
        </w:rPr>
        <w:t xml:space="preserve"> </w:t>
      </w:r>
      <w:r w:rsidRPr="68E97E63">
        <w:rPr>
          <w:rStyle w:val="FootnoteReference"/>
          <w:b w:val="0"/>
          <w:bCs w:val="0"/>
          <w:u w:val="none"/>
        </w:rPr>
        <w:footnoteReference w:id="25071"/>
      </w:r>
      <w:r w:rsidR="058AD107">
        <w:rPr>
          <w:b w:val="0"/>
          <w:bCs w:val="0"/>
          <w:u w:val="none"/>
        </w:rPr>
        <w:t xml:space="preserve"> This was an exception though. Lock hospitals elsewhere in India continued to </w:t>
      </w:r>
      <w:r w:rsidR="058AD107">
        <w:rPr>
          <w:b w:val="0"/>
          <w:bCs w:val="0"/>
          <w:u w:val="none"/>
        </w:rPr>
        <w:t>operate</w:t>
      </w:r>
      <w:r w:rsidR="058AD107">
        <w:rPr>
          <w:b w:val="0"/>
          <w:bCs w:val="0"/>
          <w:u w:val="none"/>
        </w:rPr>
        <w:t xml:space="preserve"> and increase in number. By 1864 the Royal Commission on the State of the British Army in India reported that VD had infected a third, and in some places up to seventy percent of the army</w:t>
      </w:r>
      <w:r w:rsidRPr="4BA4CB47">
        <w:rPr>
          <w:rStyle w:val="FootnoteReference"/>
          <w:b w:val="0"/>
          <w:bCs w:val="0"/>
          <w:u w:val="none"/>
        </w:rPr>
        <w:footnoteReference w:id="6949"/>
      </w:r>
      <w:r w:rsidR="36BAC3B1">
        <w:rPr>
          <w:b w:val="0"/>
          <w:bCs w:val="0"/>
          <w:u w:val="none"/>
        </w:rPr>
        <w:t>.</w:t>
      </w:r>
      <w:r w:rsidR="058AD107">
        <w:rPr>
          <w:b w:val="0"/>
          <w:bCs w:val="0"/>
          <w:u w:val="none"/>
        </w:rPr>
        <w:t xml:space="preserve"> In the same year the Cantonment Act was passed, its purpose was to unify relevant legal and medical matters into one coherent policy to deal with prostitution, in a previously unregulated area outside the </w:t>
      </w:r>
      <w:r w:rsidR="058AD107">
        <w:rPr>
          <w:b w:val="0"/>
          <w:bCs w:val="0"/>
          <w:u w:val="none"/>
        </w:rPr>
        <w:t xml:space="preserve">cantonments</w:t>
      </w:r>
      <w:r w:rsidR="6C5BAD0C">
        <w:rPr>
          <w:b w:val="0"/>
          <w:bCs w:val="0"/>
          <w:u w:val="none"/>
        </w:rPr>
        <w:t xml:space="preserve">.</w:t>
      </w:r>
      <w:r w:rsidR="3946CE28">
        <w:rPr>
          <w:b w:val="0"/>
          <w:bCs w:val="0"/>
          <w:u w:val="none"/>
        </w:rPr>
        <w:t xml:space="preserve"> </w:t>
      </w:r>
      <w:r w:rsidRPr="4BA4CB47">
        <w:rPr>
          <w:rStyle w:val="FootnoteReference"/>
          <w:b w:val="0"/>
          <w:bCs w:val="0"/>
          <w:u w:val="none"/>
        </w:rPr>
        <w:footnoteReference w:id="29516"/>
      </w:r>
      <w:r w:rsidR="058AD107">
        <w:rPr>
          <w:b w:val="0"/>
          <w:bCs w:val="0"/>
          <w:u w:val="none"/>
        </w:rPr>
        <w:t xml:space="preserve"> It required women to be registered and whilst under detention to be examined fortnightly. </w:t>
      </w:r>
    </w:p>
    <w:p w:rsidR="058AD107" w:rsidP="3CF9A548" w:rsidRDefault="058AD107" w14:paraId="2EF84AEA" w14:textId="174C9DFA">
      <w:pPr>
        <w:pStyle w:val="Normal"/>
        <w:spacing w:line="480" w:lineRule="auto"/>
        <w:ind w:firstLine="720"/>
        <w:rPr>
          <w:b w:val="0"/>
          <w:bCs w:val="0"/>
          <w:u w:val="none"/>
        </w:rPr>
      </w:pPr>
      <w:r w:rsidR="231E6726">
        <w:rPr>
          <w:b w:val="0"/>
          <w:bCs w:val="0"/>
          <w:u w:val="none"/>
        </w:rPr>
        <w:t xml:space="preserve">   </w:t>
      </w:r>
      <w:r w:rsidR="058AD107">
        <w:rPr>
          <w:b w:val="0"/>
          <w:bCs w:val="0"/>
          <w:u w:val="none"/>
        </w:rPr>
        <w:t xml:space="preserve">The introduction of Lock hospitals in India mirrored their already well-established ones in England highlighting the British colonial aims for replication of their domestic societal values abroad. The principles differed only in the more extreme coercive tactics of the Indian </w:t>
      </w:r>
      <w:bookmarkStart w:name="_Int_0ba1GhiU" w:id="1789123592"/>
      <w:r w:rsidR="058AD107">
        <w:rPr>
          <w:b w:val="0"/>
          <w:bCs w:val="0"/>
          <w:u w:val="none"/>
        </w:rPr>
        <w:t>model.</w:t>
      </w:r>
      <w:r w:rsidRPr="68E97E63">
        <w:rPr>
          <w:rStyle w:val="FootnoteReference"/>
          <w:b w:val="0"/>
          <w:bCs w:val="0"/>
          <w:u w:val="none"/>
        </w:rPr>
        <w:footnoteReference w:id="20161"/>
      </w:r>
      <w:bookmarkEnd w:id="1789123592"/>
      <w:r w:rsidR="058AD107">
        <w:rPr>
          <w:b w:val="0"/>
          <w:bCs w:val="0"/>
          <w:u w:val="none"/>
        </w:rPr>
        <w:t xml:space="preserve"> The hospitals themselves were </w:t>
      </w:r>
      <w:r w:rsidR="058AD107">
        <w:rPr>
          <w:b w:val="0"/>
          <w:bCs w:val="0"/>
          <w:u w:val="none"/>
        </w:rPr>
        <w:t>deemed</w:t>
      </w:r>
      <w:r w:rsidR="058AD107">
        <w:rPr>
          <w:b w:val="0"/>
          <w:bCs w:val="0"/>
          <w:u w:val="none"/>
        </w:rPr>
        <w:t xml:space="preserve"> necessary in some part due to the failure to treat VD, particularly syphilis for which mercury was still being administered, ineffectively, in treatment. Considering this, the focus became the containment of infected women, and its implementation in law as the Indian Contagious Diseases Act of 1868</w:t>
      </w:r>
      <w:r w:rsidR="058AD107">
        <w:rPr>
          <w:b w:val="0"/>
          <w:bCs w:val="0"/>
          <w:u w:val="none"/>
        </w:rPr>
        <w:t xml:space="preserve">.  </w:t>
      </w:r>
    </w:p>
    <w:p w:rsidR="058AD107" w:rsidP="3CF9A548" w:rsidRDefault="058AD107" w14:paraId="0B8524FA" w14:textId="5A4F579E">
      <w:pPr>
        <w:pStyle w:val="Normal"/>
        <w:spacing w:line="480" w:lineRule="auto"/>
        <w:ind w:firstLine="720"/>
        <w:rPr>
          <w:b w:val="0"/>
          <w:bCs w:val="0"/>
          <w:u w:val="none"/>
        </w:rPr>
      </w:pPr>
      <w:r w:rsidR="6DD55FA7">
        <w:rPr>
          <w:b w:val="0"/>
          <w:bCs w:val="0"/>
          <w:u w:val="none"/>
        </w:rPr>
        <w:t xml:space="preserve">   </w:t>
      </w:r>
      <w:r w:rsidR="058AD107">
        <w:rPr>
          <w:b w:val="0"/>
          <w:bCs w:val="0"/>
          <w:u w:val="none"/>
        </w:rPr>
        <w:t xml:space="preserve">The Act proposed that prostitutes </w:t>
      </w:r>
      <w:r w:rsidR="058AD107">
        <w:rPr>
          <w:b w:val="0"/>
          <w:bCs w:val="0"/>
          <w:u w:val="none"/>
        </w:rPr>
        <w:t>operating</w:t>
      </w:r>
      <w:r w:rsidR="058AD107">
        <w:rPr>
          <w:b w:val="0"/>
          <w:bCs w:val="0"/>
          <w:u w:val="none"/>
        </w:rPr>
        <w:t xml:space="preserve"> within the confines of the cantonment area (subject to change by notice) be registered. Evidence of registration could be demanded at any time from a local government officer, failure to comply would end in a fine and imprisonment. </w:t>
      </w:r>
      <w:r w:rsidR="5EC624F1">
        <w:rPr>
          <w:b w:val="0"/>
          <w:bCs w:val="0"/>
          <w:u w:val="none"/>
        </w:rPr>
        <w:t xml:space="preserve">Official n</w:t>
      </w:r>
      <w:r w:rsidR="058AD107">
        <w:rPr>
          <w:b w:val="0"/>
          <w:bCs w:val="0"/>
          <w:u w:val="none"/>
        </w:rPr>
        <w:t xml:space="preserve">otice</w:t>
      </w:r>
      <w:r w:rsidR="62D81355">
        <w:rPr>
          <w:b w:val="0"/>
          <w:bCs w:val="0"/>
          <w:u w:val="none"/>
        </w:rPr>
        <w:t xml:space="preserve"> from officers was needed</w:t>
      </w:r>
      <w:r w:rsidR="058AD107">
        <w:rPr>
          <w:b w:val="0"/>
          <w:bCs w:val="0"/>
          <w:u w:val="none"/>
        </w:rPr>
        <w:t xml:space="preserve"> </w:t>
      </w:r>
      <w:r w:rsidR="058AD107">
        <w:rPr>
          <w:b w:val="0"/>
          <w:bCs w:val="0"/>
          <w:u w:val="none"/>
        </w:rPr>
        <w:t xml:space="preserve">to leave the cantonment area at any given time</w:t>
      </w:r>
      <w:r w:rsidR="4D042DED">
        <w:rPr>
          <w:b w:val="0"/>
          <w:bCs w:val="0"/>
          <w:u w:val="none"/>
        </w:rPr>
        <w:t xml:space="preserve">;</w:t>
      </w:r>
      <w:r w:rsidR="058AD107">
        <w:rPr>
          <w:b w:val="0"/>
          <w:bCs w:val="0"/>
          <w:u w:val="none"/>
        </w:rPr>
        <w:t xml:space="preserve"> failure would result in a similar punishment</w:t>
      </w:r>
      <w:r w:rsidR="490D6184">
        <w:rPr>
          <w:b w:val="0"/>
          <w:bCs w:val="0"/>
          <w:u w:val="none"/>
        </w:rPr>
        <w:t xml:space="preserve">. T</w:t>
      </w:r>
      <w:r w:rsidR="058AD107">
        <w:rPr>
          <w:b w:val="0"/>
          <w:bCs w:val="0"/>
          <w:u w:val="none"/>
        </w:rPr>
        <w:t xml:space="preserve">his applied to brothel keepers as well as prostitutes. Women were subject to periodic examination by ‘persons appointed</w:t>
      </w:r>
      <w:r w:rsidR="058AD107">
        <w:rPr>
          <w:b w:val="0"/>
          <w:bCs w:val="0"/>
          <w:u w:val="none"/>
        </w:rPr>
        <w:t>’,</w:t>
      </w:r>
      <w:r w:rsidR="058AD107">
        <w:rPr>
          <w:b w:val="0"/>
          <w:bCs w:val="0"/>
          <w:u w:val="none"/>
        </w:rPr>
        <w:t xml:space="preserve"> arrangements times were kept completely flexible and at the discretion of those appointed officers. Failure to comply would result in a fine and </w:t>
      </w:r>
      <w:r w:rsidR="058AD107">
        <w:rPr>
          <w:b w:val="0"/>
          <w:bCs w:val="0"/>
          <w:u w:val="none"/>
        </w:rPr>
        <w:t xml:space="preserve">imprisonment</w:t>
      </w:r>
      <w:r w:rsidR="3CD750ED">
        <w:rPr>
          <w:b w:val="0"/>
          <w:bCs w:val="0"/>
          <w:u w:val="none"/>
        </w:rPr>
        <w:t xml:space="preserve">.</w:t>
      </w:r>
      <w:r w:rsidR="2FB1B142">
        <w:rPr>
          <w:b w:val="0"/>
          <w:bCs w:val="0"/>
          <w:u w:val="none"/>
        </w:rPr>
        <w:t xml:space="preserve"> </w:t>
      </w:r>
      <w:r w:rsidRPr="68E97E63">
        <w:rPr>
          <w:rStyle w:val="FootnoteReference"/>
          <w:b w:val="0"/>
          <w:bCs w:val="0"/>
          <w:u w:val="none"/>
        </w:rPr>
        <w:footnoteReference w:id="25885"/>
      </w:r>
    </w:p>
    <w:p w:rsidR="058AD107" w:rsidP="3CF9A548" w:rsidRDefault="058AD107" w14:paraId="41D9256E" w14:textId="05DAB30B">
      <w:pPr>
        <w:pStyle w:val="Normal"/>
        <w:spacing w:line="480" w:lineRule="auto"/>
        <w:ind w:firstLine="720"/>
      </w:pPr>
      <w:r w:rsidR="6B3CA065">
        <w:rPr>
          <w:b w:val="0"/>
          <w:bCs w:val="0"/>
          <w:u w:val="none"/>
        </w:rPr>
        <w:t xml:space="preserve">   </w:t>
      </w:r>
      <w:r w:rsidR="058AD107">
        <w:rPr>
          <w:b w:val="0"/>
          <w:bCs w:val="0"/>
          <w:u w:val="none"/>
        </w:rPr>
        <w:t xml:space="preserve">The legislation negatively portrayed women as commodities and set about prioritising the welfare of the soldiers </w:t>
      </w:r>
      <w:r w:rsidR="2FD1A6E4">
        <w:rPr>
          <w:b w:val="0"/>
          <w:bCs w:val="0"/>
          <w:u w:val="none"/>
        </w:rPr>
        <w:t xml:space="preserve">(</w:t>
      </w:r>
      <w:r w:rsidR="058AD107">
        <w:rPr>
          <w:b w:val="0"/>
          <w:bCs w:val="0"/>
          <w:u w:val="none"/>
        </w:rPr>
        <w:t xml:space="preserve">though </w:t>
      </w:r>
      <w:r w:rsidR="058AD107">
        <w:rPr>
          <w:b w:val="0"/>
          <w:bCs w:val="0"/>
          <w:u w:val="none"/>
        </w:rPr>
        <w:t>deeming</w:t>
      </w:r>
      <w:r w:rsidR="058AD107">
        <w:rPr>
          <w:b w:val="0"/>
          <w:bCs w:val="0"/>
          <w:u w:val="none"/>
        </w:rPr>
        <w:t xml:space="preserve"> medical inspection of them</w:t>
      </w:r>
      <w:r w:rsidR="0E106D1A">
        <w:rPr>
          <w:b w:val="0"/>
          <w:bCs w:val="0"/>
          <w:u w:val="none"/>
        </w:rPr>
        <w:t xml:space="preserve">,</w:t>
      </w:r>
      <w:r w:rsidR="058AD107">
        <w:rPr>
          <w:b w:val="0"/>
          <w:bCs w:val="0"/>
          <w:u w:val="none"/>
        </w:rPr>
        <w:t xml:space="preserve"> unnecessary</w:t>
      </w:r>
      <w:r w:rsidR="523BC9FF">
        <w:rPr>
          <w:b w:val="0"/>
          <w:bCs w:val="0"/>
          <w:u w:val="none"/>
        </w:rPr>
        <w:t xml:space="preserve">)</w:t>
      </w:r>
      <w:r w:rsidR="058AD107">
        <w:rPr>
          <w:b w:val="0"/>
          <w:bCs w:val="0"/>
          <w:u w:val="none"/>
        </w:rPr>
        <w:t xml:space="preserve">. The ultimate </w:t>
      </w:r>
      <w:r w:rsidR="058AD107">
        <w:rPr>
          <w:b w:val="0"/>
          <w:bCs w:val="0"/>
          <w:u w:val="none"/>
        </w:rPr>
        <w:t>objective</w:t>
      </w:r>
      <w:r w:rsidR="058AD107">
        <w:rPr>
          <w:b w:val="0"/>
          <w:bCs w:val="0"/>
          <w:u w:val="none"/>
        </w:rPr>
        <w:t xml:space="preserve"> was to </w:t>
      </w:r>
      <w:r w:rsidR="058AD107">
        <w:rPr>
          <w:b w:val="0"/>
          <w:bCs w:val="0"/>
          <w:u w:val="none"/>
        </w:rPr>
        <w:t>procure</w:t>
      </w:r>
      <w:r w:rsidR="058AD107">
        <w:rPr>
          <w:b w:val="0"/>
          <w:bCs w:val="0"/>
          <w:u w:val="none"/>
        </w:rPr>
        <w:t xml:space="preserve"> the healthiest females, and in doing so the British were prepared to isolate and victimise the prostitutes, scapegoating them as a problem, and in isolation subjecting them to invasive, painful examinations. In so doing as Erica Wald says, they redefined the women as a ‘prostitute caste</w:t>
      </w:r>
      <w:r w:rsidR="058AD107">
        <w:rPr>
          <w:b w:val="0"/>
          <w:bCs w:val="0"/>
          <w:u w:val="none"/>
        </w:rPr>
        <w:t>’.</w:t>
      </w:r>
      <w:r w:rsidR="6EAEDD74">
        <w:rPr>
          <w:b w:val="0"/>
          <w:bCs w:val="0"/>
          <w:u w:val="none"/>
        </w:rPr>
        <w:t xml:space="preserve"> </w:t>
      </w:r>
      <w:r w:rsidRPr="68E97E63">
        <w:rPr>
          <w:rStyle w:val="FootnoteReference"/>
          <w:b w:val="0"/>
          <w:bCs w:val="0"/>
          <w:u w:val="none"/>
        </w:rPr>
        <w:footnoteReference w:id="30383"/>
      </w:r>
      <w:r w:rsidR="058AD107">
        <w:rPr>
          <w:b w:val="0"/>
          <w:bCs w:val="0"/>
          <w:u w:val="none"/>
        </w:rPr>
        <w:t xml:space="preserve"> The </w:t>
      </w:r>
      <w:r w:rsidR="7110F6BE">
        <w:rPr>
          <w:b w:val="0"/>
          <w:bCs w:val="0"/>
          <w:u w:val="none"/>
        </w:rPr>
        <w:t xml:space="preserve">Indian Contagious Disease Act</w:t>
      </w:r>
      <w:r w:rsidR="058AD107">
        <w:rPr>
          <w:b w:val="0"/>
          <w:bCs w:val="0"/>
          <w:u w:val="none"/>
        </w:rPr>
        <w:t xml:space="preserve"> prompt</w:t>
      </w:r>
      <w:r w:rsidR="7ED417F7">
        <w:rPr>
          <w:b w:val="0"/>
          <w:bCs w:val="0"/>
          <w:u w:val="none"/>
        </w:rPr>
        <w:t xml:space="preserve">ed</w:t>
      </w:r>
      <w:r w:rsidR="058AD107">
        <w:rPr>
          <w:b w:val="0"/>
          <w:bCs w:val="0"/>
          <w:u w:val="none"/>
        </w:rPr>
        <w:t xml:space="preserve"> a wide-ranging movement of opposition </w:t>
      </w:r>
      <w:r w:rsidR="3DC75139">
        <w:rPr>
          <w:b w:val="0"/>
          <w:bCs w:val="0"/>
          <w:u w:val="none"/>
        </w:rPr>
        <w:t xml:space="preserve">since its </w:t>
      </w:r>
      <w:r w:rsidR="631A1FE9">
        <w:rPr>
          <w:b w:val="0"/>
          <w:bCs w:val="0"/>
          <w:u w:val="none"/>
        </w:rPr>
        <w:t xml:space="preserve">implementation</w:t>
      </w:r>
      <w:r w:rsidR="058AD107">
        <w:rPr>
          <w:b w:val="0"/>
          <w:bCs w:val="0"/>
          <w:u w:val="none"/>
        </w:rPr>
        <w:t xml:space="preserve">. Central </w:t>
      </w:r>
      <w:r w:rsidR="0E8EC18E">
        <w:rPr>
          <w:b w:val="0"/>
          <w:bCs w:val="0"/>
          <w:u w:val="none"/>
        </w:rPr>
        <w:t xml:space="preserve">to its core values,</w:t>
      </w:r>
      <w:r w:rsidR="058AD107">
        <w:rPr>
          <w:b w:val="0"/>
          <w:bCs w:val="0"/>
          <w:u w:val="none"/>
        </w:rPr>
        <w:t xml:space="preserve"> </w:t>
      </w:r>
      <w:r w:rsidR="058AD107">
        <w:rPr>
          <w:b w:val="0"/>
          <w:bCs w:val="0"/>
          <w:u w:val="none"/>
        </w:rPr>
        <w:t xml:space="preserve">w</w:t>
      </w:r>
      <w:r w:rsidR="326730BE">
        <w:rPr>
          <w:b w:val="0"/>
          <w:bCs w:val="0"/>
          <w:u w:val="none"/>
        </w:rPr>
        <w:t xml:space="preserve">ere</w:t>
      </w:r>
      <w:r w:rsidR="058AD107">
        <w:rPr>
          <w:b w:val="0"/>
          <w:bCs w:val="0"/>
          <w:u w:val="none"/>
        </w:rPr>
        <w:t xml:space="preserve"> the upholding of Victorian principles of morality and </w:t>
      </w:r>
      <w:r w:rsidR="058AD107">
        <w:rPr>
          <w:b w:val="0"/>
          <w:bCs w:val="0"/>
          <w:u w:val="none"/>
        </w:rPr>
        <w:t>established</w:t>
      </w:r>
      <w:r w:rsidR="058AD107">
        <w:rPr>
          <w:b w:val="0"/>
          <w:bCs w:val="0"/>
          <w:u w:val="none"/>
        </w:rPr>
        <w:t xml:space="preserve"> ‘appropriate’ portrayals of female sexuality and identity as well as embedded systemic control of prostitute's bodies,</w:t>
      </w:r>
      <w:r w:rsidR="0BAE9499">
        <w:rPr>
          <w:b w:val="0"/>
          <w:bCs w:val="0"/>
          <w:u w:val="none"/>
        </w:rPr>
        <w:t xml:space="preserve"> as</w:t>
      </w:r>
      <w:r w:rsidR="058AD107">
        <w:rPr>
          <w:b w:val="0"/>
          <w:bCs w:val="0"/>
          <w:u w:val="none"/>
        </w:rPr>
        <w:t xml:space="preserve"> </w:t>
      </w:r>
      <w:r w:rsidR="058AD107">
        <w:rPr>
          <w:b w:val="0"/>
          <w:bCs w:val="0"/>
          <w:u w:val="none"/>
        </w:rPr>
        <w:t>Kimeya</w:t>
      </w:r>
      <w:r w:rsidR="058AD107">
        <w:rPr>
          <w:b w:val="0"/>
          <w:bCs w:val="0"/>
          <w:u w:val="none"/>
        </w:rPr>
        <w:t xml:space="preserve"> Baker says </w:t>
      </w:r>
      <w:r w:rsidR="1161B285">
        <w:rPr>
          <w:b w:val="0"/>
          <w:bCs w:val="0"/>
          <w:u w:val="none"/>
        </w:rPr>
        <w:t xml:space="preserve">’</w:t>
      </w:r>
      <w:r w:rsidR="058AD107">
        <w:rPr>
          <w:b w:val="0"/>
          <w:bCs w:val="0"/>
          <w:u w:val="none"/>
        </w:rPr>
        <w:t xml:space="preserve">historically, a site for the manifestation of power, knowledge, and sexual discourse</w:t>
      </w:r>
      <w:r w:rsidR="058AD107">
        <w:rPr>
          <w:b w:val="0"/>
          <w:bCs w:val="0"/>
          <w:u w:val="none"/>
        </w:rPr>
        <w:t xml:space="preserve">’</w:t>
      </w:r>
      <w:r w:rsidR="628BD115">
        <w:rPr>
          <w:b w:val="0"/>
          <w:bCs w:val="0"/>
          <w:u w:val="none"/>
        </w:rPr>
        <w:t>.</w:t>
      </w:r>
      <w:r w:rsidR="058AD107">
        <w:rPr>
          <w:b w:val="0"/>
          <w:bCs w:val="0"/>
          <w:u w:val="none"/>
        </w:rPr>
        <w:t xml:space="preserve"> </w:t>
      </w:r>
      <w:r w:rsidRPr="68E97E63">
        <w:rPr>
          <w:rStyle w:val="FootnoteReference"/>
          <w:b w:val="0"/>
          <w:bCs w:val="0"/>
          <w:u w:val="none"/>
        </w:rPr>
        <w:footnoteReference w:id="3719"/>
      </w:r>
      <w:r w:rsidR="058AD107">
        <w:rPr>
          <w:b w:val="0"/>
          <w:bCs w:val="0"/>
          <w:u w:val="none"/>
        </w:rPr>
        <w:t xml:space="preserve"> </w:t>
      </w:r>
    </w:p>
    <w:p w:rsidR="058AD107" w:rsidP="3CF9A548" w:rsidRDefault="058AD107" w14:paraId="1C7503EC" w14:textId="1FC38EA7">
      <w:pPr>
        <w:pStyle w:val="Normal"/>
        <w:spacing w:line="480" w:lineRule="auto"/>
        <w:ind w:firstLine="720"/>
        <w:rPr>
          <w:b w:val="0"/>
          <w:bCs w:val="0"/>
          <w:u w:val="none"/>
        </w:rPr>
      </w:pPr>
      <w:r w:rsidR="510C053A">
        <w:rPr>
          <w:b w:val="0"/>
          <w:bCs w:val="0"/>
          <w:u w:val="none"/>
        </w:rPr>
        <w:t xml:space="preserve">   </w:t>
      </w:r>
      <w:r w:rsidR="058AD107">
        <w:rPr>
          <w:b w:val="0"/>
          <w:bCs w:val="0"/>
          <w:u w:val="none"/>
        </w:rPr>
        <w:t xml:space="preserve">There appeared to be two salient points upon which opposition was unified. The first was that the CDA was unconstitutional and disregarded the long-held sanctity of liberty for women as citizens, enshrined in law since the Magna Carta. The other was that it condoned prostitution and effectively legalized it in the application of laws to </w:t>
      </w:r>
      <w:r w:rsidR="058AD107">
        <w:rPr>
          <w:b w:val="0"/>
          <w:bCs w:val="0"/>
          <w:u w:val="none"/>
        </w:rPr>
        <w:t>it.</w:t>
      </w:r>
      <w:r w:rsidR="3BBC1DE8">
        <w:rPr>
          <w:b w:val="0"/>
          <w:bCs w:val="0"/>
          <w:u w:val="none"/>
        </w:rPr>
        <w:t xml:space="preserve"> </w:t>
      </w:r>
      <w:r w:rsidRPr="68E97E63">
        <w:rPr>
          <w:rStyle w:val="FootnoteReference"/>
          <w:b w:val="0"/>
          <w:bCs w:val="0"/>
          <w:u w:val="none"/>
        </w:rPr>
        <w:footnoteReference w:id="16964"/>
      </w:r>
    </w:p>
    <w:p w:rsidR="058AD107" w:rsidP="3CF9A548" w:rsidRDefault="058AD107" w14:paraId="4C562A95" w14:textId="231F8D47">
      <w:pPr>
        <w:pStyle w:val="Normal"/>
        <w:spacing w:line="480" w:lineRule="auto"/>
        <w:ind w:firstLine="720"/>
        <w:rPr>
          <w:b w:val="0"/>
          <w:bCs w:val="0"/>
          <w:u w:val="none"/>
        </w:rPr>
      </w:pPr>
      <w:r w:rsidR="058AD107">
        <w:rPr>
          <w:b w:val="0"/>
          <w:bCs w:val="0"/>
          <w:u w:val="none"/>
        </w:rPr>
        <w:t xml:space="preserve"> </w:t>
      </w:r>
      <w:r w:rsidR="5854EA52">
        <w:rPr>
          <w:b w:val="0"/>
          <w:bCs w:val="0"/>
          <w:u w:val="none"/>
        </w:rPr>
        <w:t xml:space="preserve">   </w:t>
      </w:r>
      <w:r w:rsidR="058AD107">
        <w:rPr>
          <w:b w:val="0"/>
          <w:bCs w:val="0"/>
          <w:u w:val="none"/>
        </w:rPr>
        <w:t xml:space="preserve">Reactions to the CDA </w:t>
      </w:r>
      <w:r w:rsidR="2D351FF0">
        <w:rPr>
          <w:b w:val="0"/>
          <w:bCs w:val="0"/>
          <w:u w:val="none"/>
        </w:rPr>
        <w:t xml:space="preserve">of</w:t>
      </w:r>
      <w:r w:rsidR="058AD107">
        <w:rPr>
          <w:b w:val="0"/>
          <w:bCs w:val="0"/>
          <w:u w:val="none"/>
        </w:rPr>
        <w:t xml:space="preserve"> 1868 </w:t>
      </w:r>
      <w:r w:rsidR="6F521962">
        <w:rPr>
          <w:b w:val="0"/>
          <w:bCs w:val="0"/>
          <w:u w:val="none"/>
        </w:rPr>
        <w:t xml:space="preserve">included </w:t>
      </w:r>
      <w:r w:rsidR="058AD107">
        <w:rPr>
          <w:b w:val="0"/>
          <w:bCs w:val="0"/>
          <w:u w:val="none"/>
        </w:rPr>
        <w:t xml:space="preserve">political</w:t>
      </w:r>
      <w:r w:rsidR="7730C211">
        <w:rPr>
          <w:b w:val="0"/>
          <w:bCs w:val="0"/>
          <w:u w:val="none"/>
        </w:rPr>
        <w:t xml:space="preserve"> r</w:t>
      </w:r>
      <w:r w:rsidR="282DDE61">
        <w:rPr>
          <w:b w:val="0"/>
          <w:bCs w:val="0"/>
          <w:u w:val="none"/>
        </w:rPr>
        <w:t xml:space="preserve">esponse</w:t>
      </w:r>
      <w:r w:rsidR="7730C211">
        <w:rPr>
          <w:b w:val="0"/>
          <w:bCs w:val="0"/>
          <w:u w:val="none"/>
        </w:rPr>
        <w:t xml:space="preserve"> from</w:t>
      </w:r>
      <w:r w:rsidR="058AD107">
        <w:rPr>
          <w:b w:val="0"/>
          <w:bCs w:val="0"/>
          <w:u w:val="none"/>
        </w:rPr>
        <w:t xml:space="preserve"> activists</w:t>
      </w:r>
      <w:r w:rsidR="1B5BF766">
        <w:rPr>
          <w:b w:val="0"/>
          <w:bCs w:val="0"/>
          <w:u w:val="none"/>
        </w:rPr>
        <w:t xml:space="preserve"> such as</w:t>
      </w:r>
      <w:r w:rsidR="058AD107">
        <w:rPr>
          <w:b w:val="0"/>
          <w:bCs w:val="0"/>
          <w:u w:val="none"/>
        </w:rPr>
        <w:t xml:space="preserve"> social reformer Josephine Butler, who was successful in promoting the rights of women in </w:t>
      </w:r>
      <w:r w:rsidR="0A6BF517">
        <w:rPr>
          <w:b w:val="0"/>
          <w:bCs w:val="0"/>
          <w:u w:val="none"/>
        </w:rPr>
        <w:t xml:space="preserve">education (</w:t>
      </w:r>
      <w:r w:rsidR="0A6BF517">
        <w:rPr>
          <w:b w:val="0"/>
          <w:bCs w:val="0"/>
          <w:u w:val="none"/>
        </w:rPr>
        <w:t xml:space="preserve">helping</w:t>
      </w:r>
      <w:r w:rsidR="058AD107">
        <w:rPr>
          <w:b w:val="0"/>
          <w:bCs w:val="0"/>
          <w:u w:val="none"/>
        </w:rPr>
        <w:t xml:space="preserve"> </w:t>
      </w:r>
      <w:r w:rsidR="058AD107">
        <w:rPr>
          <w:b w:val="0"/>
          <w:bCs w:val="0"/>
          <w:u w:val="none"/>
        </w:rPr>
        <w:t>establish</w:t>
      </w:r>
      <w:r w:rsidR="058AD107">
        <w:rPr>
          <w:b w:val="0"/>
          <w:bCs w:val="0"/>
          <w:u w:val="none"/>
        </w:rPr>
        <w:t xml:space="preserve"> an all-female college at Newnham</w:t>
      </w:r>
      <w:r w:rsidR="472A0FDE">
        <w:rPr>
          <w:b w:val="0"/>
          <w:bCs w:val="0"/>
          <w:u w:val="none"/>
        </w:rPr>
        <w:t xml:space="preserve">)</w:t>
      </w:r>
      <w:r w:rsidR="058AD107">
        <w:rPr>
          <w:b w:val="0"/>
          <w:bCs w:val="0"/>
          <w:u w:val="none"/>
        </w:rPr>
        <w:t xml:space="preserve">. By 1869 Butler along with campaigner and suffragist Elizabeth Wolstenholme, as well as Mrs. Jacob Bright had formed the Ladies National Association (LNA) for the Repeal of the Contagious Diseases Act. Butler was able to gain support not only from the Quakers (their political </w:t>
      </w:r>
      <w:r w:rsidR="058AD107">
        <w:rPr>
          <w:b w:val="0"/>
          <w:bCs w:val="0"/>
          <w:u w:val="none"/>
        </w:rPr>
        <w:t>clout</w:t>
      </w:r>
      <w:r w:rsidR="058AD107">
        <w:rPr>
          <w:b w:val="0"/>
          <w:bCs w:val="0"/>
          <w:u w:val="none"/>
        </w:rPr>
        <w:t xml:space="preserve"> bolstered by their contribution to ending slavery) but radical members of the Liberal party such as James </w:t>
      </w:r>
      <w:r w:rsidR="058AD107">
        <w:rPr>
          <w:b w:val="0"/>
          <w:bCs w:val="0"/>
          <w:u w:val="none"/>
        </w:rPr>
        <w:t xml:space="preserve">Stansfeld</w:t>
      </w:r>
      <w:r w:rsidR="548CC4A7">
        <w:rPr>
          <w:b w:val="0"/>
          <w:bCs w:val="0"/>
          <w:u w:val="none"/>
        </w:rPr>
        <w:t xml:space="preserve">.</w:t>
      </w:r>
      <w:r w:rsidR="3421024F">
        <w:rPr>
          <w:b w:val="0"/>
          <w:bCs w:val="0"/>
          <w:u w:val="none"/>
        </w:rPr>
        <w:t xml:space="preserve"> </w:t>
      </w:r>
      <w:r w:rsidRPr="68E97E63">
        <w:rPr>
          <w:rStyle w:val="FootnoteReference"/>
          <w:b w:val="0"/>
          <w:bCs w:val="0"/>
          <w:u w:val="none"/>
        </w:rPr>
        <w:footnoteReference w:id="13303"/>
      </w:r>
    </w:p>
    <w:p w:rsidR="058AD107" w:rsidP="3CF9A548" w:rsidRDefault="058AD107" w14:paraId="00647668" w14:textId="39687D44">
      <w:pPr>
        <w:pStyle w:val="Normal"/>
        <w:spacing w:line="480" w:lineRule="auto"/>
        <w:ind w:firstLine="720"/>
        <w:rPr>
          <w:b w:val="0"/>
          <w:bCs w:val="0"/>
          <w:u w:val="none"/>
        </w:rPr>
      </w:pPr>
      <w:r w:rsidR="15CF794A">
        <w:rPr>
          <w:b w:val="0"/>
          <w:bCs w:val="0"/>
          <w:u w:val="none"/>
        </w:rPr>
        <w:t xml:space="preserve">   </w:t>
      </w:r>
      <w:r w:rsidR="058AD107">
        <w:rPr>
          <w:b w:val="0"/>
          <w:bCs w:val="0"/>
          <w:u w:val="none"/>
        </w:rPr>
        <w:t xml:space="preserve">Another noteworthy organization was The National Association for Repeal of the Contagious Disease Act </w:t>
      </w:r>
      <w:r w:rsidR="058AD107">
        <w:rPr>
          <w:b w:val="0"/>
          <w:bCs w:val="0"/>
          <w:u w:val="none"/>
        </w:rPr>
        <w:t>established</w:t>
      </w:r>
      <w:r w:rsidR="058AD107">
        <w:rPr>
          <w:b w:val="0"/>
          <w:bCs w:val="0"/>
          <w:u w:val="none"/>
        </w:rPr>
        <w:t xml:space="preserve"> in 1869. Set up after the Royal Commission report investigating health within the army. Made up of initially of men it included Members of Parliament and </w:t>
      </w:r>
      <w:r w:rsidR="058AD107">
        <w:rPr>
          <w:b w:val="0"/>
          <w:bCs w:val="0"/>
          <w:u w:val="none"/>
        </w:rPr>
        <w:t>businessmen</w:t>
      </w:r>
      <w:r w:rsidR="058AD107">
        <w:rPr>
          <w:b w:val="0"/>
          <w:bCs w:val="0"/>
          <w:u w:val="none"/>
        </w:rPr>
        <w:t xml:space="preserve">, </w:t>
      </w:r>
      <w:r w:rsidR="058AD107">
        <w:rPr>
          <w:b w:val="0"/>
          <w:bCs w:val="0"/>
          <w:u w:val="none"/>
        </w:rPr>
        <w:t>lawyers</w:t>
      </w:r>
      <w:r w:rsidR="058AD107">
        <w:rPr>
          <w:b w:val="0"/>
          <w:bCs w:val="0"/>
          <w:u w:val="none"/>
        </w:rPr>
        <w:t xml:space="preserve"> and clergymen, promoting its cause through ‘The Shield ‘a weekly repeal </w:t>
      </w:r>
      <w:r w:rsidR="058AD107">
        <w:rPr>
          <w:b w:val="0"/>
          <w:bCs w:val="0"/>
          <w:u w:val="none"/>
        </w:rPr>
        <w:t xml:space="preserve">journal.</w:t>
      </w:r>
      <w:r w:rsidR="4B671E21">
        <w:rPr>
          <w:b w:val="0"/>
          <w:bCs w:val="0"/>
          <w:u w:val="none"/>
        </w:rPr>
        <w:t xml:space="preserve"> </w:t>
      </w:r>
      <w:r w:rsidRPr="68E97E63">
        <w:rPr>
          <w:rStyle w:val="FootnoteReference"/>
          <w:b w:val="0"/>
          <w:bCs w:val="0"/>
          <w:u w:val="none"/>
        </w:rPr>
        <w:footnoteReference w:id="24875"/>
      </w:r>
    </w:p>
    <w:p w:rsidR="058AD107" w:rsidP="3CF9A548" w:rsidRDefault="058AD107" w14:paraId="7728EABB" w14:textId="33DD2684">
      <w:pPr>
        <w:pStyle w:val="Normal"/>
        <w:spacing w:line="480" w:lineRule="auto"/>
        <w:ind w:firstLine="720"/>
        <w:rPr>
          <w:b w:val="0"/>
          <w:bCs w:val="0"/>
          <w:u w:val="none"/>
        </w:rPr>
      </w:pPr>
      <w:r w:rsidR="20810B0F">
        <w:rPr>
          <w:b w:val="0"/>
          <w:bCs w:val="0"/>
          <w:u w:val="none"/>
        </w:rPr>
        <w:t xml:space="preserve">   </w:t>
      </w:r>
      <w:r w:rsidR="058AD107">
        <w:rPr>
          <w:b w:val="0"/>
          <w:bCs w:val="0"/>
          <w:u w:val="none"/>
        </w:rPr>
        <w:t>The subject found mention, albeit limited, in well-respected publications such as The British Medical Journal where Stansfeld's position is clearly presented though cynically kept in check claiming he ‘continues his crusade with a splendid defiance of facts’.</w:t>
      </w:r>
      <w:r w:rsidRPr="68E97E63">
        <w:rPr>
          <w:rStyle w:val="FootnoteReference"/>
          <w:b w:val="0"/>
          <w:bCs w:val="0"/>
          <w:u w:val="none"/>
        </w:rPr>
        <w:footnoteReference w:id="3619"/>
      </w:r>
      <w:r w:rsidR="058AD107">
        <w:rPr>
          <w:b w:val="0"/>
          <w:bCs w:val="0"/>
          <w:u w:val="none"/>
        </w:rPr>
        <w:t xml:space="preserve"> The BMJ and papers such as the Pall Mall Gazette leant on the evidence of Elizabeth Garrett a lone female doctor who supported the CDA. Other press papers such as the Daily News were historically sympathetic having published the views of </w:t>
      </w:r>
      <w:r w:rsidR="3A51B337">
        <w:rPr>
          <w:b w:val="0"/>
          <w:bCs w:val="0"/>
          <w:u w:val="none"/>
        </w:rPr>
        <w:t xml:space="preserve">Butler but</w:t>
      </w:r>
      <w:r w:rsidR="3A51B337">
        <w:rPr>
          <w:b w:val="0"/>
          <w:bCs w:val="0"/>
          <w:u w:val="none"/>
        </w:rPr>
        <w:t xml:space="preserve"> had also published the letters</w:t>
      </w:r>
      <w:r w:rsidR="058AD107">
        <w:rPr>
          <w:b w:val="0"/>
          <w:bCs w:val="0"/>
          <w:u w:val="none"/>
        </w:rPr>
        <w:t xml:space="preserve"> earlier objectors to the CDA like H</w:t>
      </w:r>
      <w:r w:rsidR="058AD107">
        <w:rPr>
          <w:b w:val="0"/>
          <w:bCs w:val="0"/>
          <w:u w:val="none"/>
        </w:rPr>
        <w:t xml:space="preserve">arriet </w:t>
      </w:r>
      <w:r w:rsidR="058AD107">
        <w:rPr>
          <w:b w:val="0"/>
          <w:bCs w:val="0"/>
          <w:u w:val="none"/>
        </w:rPr>
        <w:t>M</w:t>
      </w:r>
      <w:r w:rsidR="058AD107">
        <w:rPr>
          <w:b w:val="0"/>
          <w:bCs w:val="0"/>
          <w:u w:val="none"/>
        </w:rPr>
        <w:t>atineau</w:t>
      </w:r>
      <w:r w:rsidR="058AD107">
        <w:rPr>
          <w:b w:val="0"/>
          <w:bCs w:val="0"/>
          <w:u w:val="none"/>
        </w:rPr>
        <w:t xml:space="preserve">, albeit under </w:t>
      </w:r>
      <w:bookmarkStart w:name="_Int_lUVy4ZKp" w:id="1771440726"/>
      <w:r w:rsidR="3A921CC6">
        <w:rPr>
          <w:b w:val="0"/>
          <w:bCs w:val="0"/>
          <w:u w:val="none"/>
        </w:rPr>
        <w:t>pseudonyms.</w:t>
      </w:r>
      <w:r w:rsidRPr="68E97E63">
        <w:rPr>
          <w:rStyle w:val="FootnoteReference"/>
          <w:b w:val="0"/>
          <w:bCs w:val="0"/>
          <w:u w:val="none"/>
        </w:rPr>
        <w:footnoteReference w:id="25642"/>
      </w:r>
      <w:bookmarkEnd w:id="1771440726"/>
    </w:p>
    <w:p w:rsidR="058AD107" w:rsidP="3CF9A548" w:rsidRDefault="058AD107" w14:paraId="088D01E0" w14:textId="5CDB72D8">
      <w:pPr>
        <w:pStyle w:val="Normal"/>
        <w:spacing w:line="480" w:lineRule="auto"/>
        <w:ind w:firstLine="720"/>
        <w:rPr>
          <w:b w:val="0"/>
          <w:bCs w:val="0"/>
          <w:u w:val="none"/>
        </w:rPr>
      </w:pPr>
      <w:r w:rsidR="3117471E">
        <w:rPr>
          <w:b w:val="0"/>
          <w:bCs w:val="0"/>
          <w:u w:val="none"/>
        </w:rPr>
        <w:t xml:space="preserve">   </w:t>
      </w:r>
      <w:r w:rsidR="058AD107">
        <w:rPr>
          <w:b w:val="0"/>
          <w:bCs w:val="0"/>
          <w:u w:val="none"/>
        </w:rPr>
        <w:t>The movement against the CDA gained increased traction but not enough to prevent the reintroduction of the act in 1880. They were successful eventually; in 1883 the act was suspended. The leak of the ‘Lord Roberts infamous memorandum’ in 1886 proved to have a particularly damaging effect on further justification or the public appetite for the CDA. The confidential circular was issued by Lord Roberts, commander in chief of the British Indian Army. Sent out to all cantonments it was leaked,</w:t>
      </w:r>
      <w:r w:rsidR="0733D940">
        <w:rPr>
          <w:b w:val="0"/>
          <w:bCs w:val="0"/>
          <w:u w:val="none"/>
        </w:rPr>
        <w:t xml:space="preserve"> then</w:t>
      </w:r>
      <w:r w:rsidR="058AD107">
        <w:rPr>
          <w:b w:val="0"/>
          <w:bCs w:val="0"/>
          <w:u w:val="none"/>
        </w:rPr>
        <w:t xml:space="preserve"> widely distributed to</w:t>
      </w:r>
      <w:r w:rsidR="0CCA3067">
        <w:rPr>
          <w:b w:val="0"/>
          <w:bCs w:val="0"/>
          <w:u w:val="none"/>
        </w:rPr>
        <w:t xml:space="preserve"> British</w:t>
      </w:r>
      <w:r w:rsidR="058AD107">
        <w:rPr>
          <w:b w:val="0"/>
          <w:bCs w:val="0"/>
          <w:u w:val="none"/>
        </w:rPr>
        <w:t xml:space="preserve"> MP’s and later</w:t>
      </w:r>
      <w:r w:rsidR="050B387B">
        <w:rPr>
          <w:b w:val="0"/>
          <w:bCs w:val="0"/>
          <w:u w:val="none"/>
        </w:rPr>
        <w:t>, to</w:t>
      </w:r>
      <w:r w:rsidR="058AD107">
        <w:rPr>
          <w:b w:val="0"/>
          <w:bCs w:val="0"/>
          <w:u w:val="none"/>
        </w:rPr>
        <w:t xml:space="preserve"> the press by an unknown ‘Christian Englishman</w:t>
      </w:r>
      <w:r w:rsidR="058AD107">
        <w:rPr>
          <w:b w:val="0"/>
          <w:bCs w:val="0"/>
          <w:u w:val="none"/>
        </w:rPr>
        <w:t>’</w:t>
      </w:r>
      <w:r w:rsidR="058AD107">
        <w:rPr>
          <w:b w:val="0"/>
          <w:bCs w:val="0"/>
          <w:u w:val="none"/>
        </w:rPr>
        <w:t>.</w:t>
      </w:r>
      <w:r w:rsidR="5C134ECF">
        <w:rPr>
          <w:b w:val="0"/>
          <w:bCs w:val="0"/>
          <w:u w:val="none"/>
        </w:rPr>
        <w:t xml:space="preserve"> </w:t>
      </w:r>
      <w:r w:rsidRPr="68E97E63">
        <w:rPr>
          <w:rStyle w:val="FootnoteReference"/>
          <w:b w:val="0"/>
          <w:bCs w:val="0"/>
          <w:u w:val="none"/>
        </w:rPr>
        <w:footnoteReference w:id="14638"/>
      </w:r>
    </w:p>
    <w:p w:rsidR="058AD107" w:rsidP="3CF9A548" w:rsidRDefault="058AD107" w14:paraId="6866FD2F" w14:textId="76A232B2">
      <w:pPr>
        <w:pStyle w:val="Normal"/>
        <w:spacing w:line="480" w:lineRule="auto"/>
        <w:ind w:firstLine="720"/>
        <w:rPr>
          <w:b w:val="0"/>
          <w:bCs w:val="0"/>
          <w:u w:val="none"/>
        </w:rPr>
      </w:pPr>
      <w:r w:rsidR="2DDA02DD">
        <w:rPr>
          <w:b w:val="0"/>
          <w:bCs w:val="0"/>
          <w:u w:val="none"/>
        </w:rPr>
        <w:t xml:space="preserve">   </w:t>
      </w:r>
      <w:r w:rsidR="058AD107">
        <w:rPr>
          <w:b w:val="0"/>
          <w:bCs w:val="0"/>
          <w:u w:val="none"/>
        </w:rPr>
        <w:t xml:space="preserve">The circular reinforced concerns of the militaries overt use of discipline and immoral conduct in the cantonments impeding on personal freedoms. The circular cited reports of girls of 14 and younger being used as prostitutes to replace other diseased women evicted by police. </w:t>
      </w:r>
      <w:r w:rsidRPr="68E97E63">
        <w:rPr>
          <w:rStyle w:val="FootnoteReference"/>
          <w:b w:val="0"/>
          <w:bCs w:val="0"/>
          <w:u w:val="none"/>
        </w:rPr>
        <w:footnoteReference w:id="28396"/>
      </w:r>
    </w:p>
    <w:p w:rsidR="058AD107" w:rsidP="3CF9A548" w:rsidRDefault="058AD107" w14:paraId="0E292D52" w14:textId="29657A94">
      <w:pPr>
        <w:pStyle w:val="Normal"/>
        <w:spacing w:line="480" w:lineRule="auto"/>
        <w:ind w:firstLine="720"/>
        <w:rPr>
          <w:b w:val="0"/>
          <w:bCs w:val="0"/>
          <w:u w:val="none"/>
        </w:rPr>
      </w:pPr>
      <w:r w:rsidR="058AD107">
        <w:rPr>
          <w:b w:val="0"/>
          <w:bCs w:val="0"/>
          <w:u w:val="none"/>
        </w:rPr>
        <w:t xml:space="preserve"> </w:t>
      </w:r>
      <w:r w:rsidR="71DD6FF2">
        <w:rPr>
          <w:b w:val="0"/>
          <w:bCs w:val="0"/>
          <w:u w:val="none"/>
        </w:rPr>
        <w:t xml:space="preserve">   </w:t>
      </w:r>
      <w:r w:rsidR="0849C5FD">
        <w:rPr>
          <w:b w:val="0"/>
          <w:bCs w:val="0"/>
          <w:u w:val="none"/>
        </w:rPr>
        <w:t xml:space="preserve">The</w:t>
      </w:r>
      <w:r w:rsidR="0D6CECBF">
        <w:rPr>
          <w:b w:val="0"/>
          <w:bCs w:val="0"/>
          <w:u w:val="none"/>
        </w:rPr>
        <w:t xml:space="preserve"> </w:t>
      </w:r>
      <w:r w:rsidR="50D3B1A5">
        <w:rPr>
          <w:b w:val="0"/>
          <w:bCs w:val="0"/>
          <w:u w:val="none"/>
        </w:rPr>
        <w:t xml:space="preserve">CDA </w:t>
      </w:r>
      <w:r w:rsidR="058AD107">
        <w:rPr>
          <w:b w:val="0"/>
          <w:bCs w:val="0"/>
          <w:u w:val="none"/>
        </w:rPr>
        <w:t xml:space="preserve">was repealed in the House of Commons on the </w:t>
      </w:r>
      <w:r w:rsidR="4BF9EFC4">
        <w:rPr>
          <w:b w:val="0"/>
          <w:bCs w:val="0"/>
          <w:u w:val="none"/>
        </w:rPr>
        <w:t>2nd of</w:t>
      </w:r>
      <w:r w:rsidR="058AD107">
        <w:rPr>
          <w:b w:val="0"/>
          <w:bCs w:val="0"/>
          <w:u w:val="none"/>
        </w:rPr>
        <w:t xml:space="preserve"> April 1886, with Stansfeld's original resolution passed</w:t>
      </w:r>
      <w:r w:rsidR="058AD107">
        <w:rPr>
          <w:b w:val="0"/>
          <w:bCs w:val="0"/>
          <w:u w:val="none"/>
        </w:rPr>
        <w:t xml:space="preserve">.</w:t>
      </w:r>
      <w:r w:rsidR="266AEAB3">
        <w:rPr>
          <w:b w:val="0"/>
          <w:bCs w:val="0"/>
          <w:u w:val="none"/>
        </w:rPr>
        <w:t xml:space="preserve"> </w:t>
      </w:r>
      <w:r w:rsidR="058AD107">
        <w:rPr>
          <w:b w:val="0"/>
          <w:bCs w:val="0"/>
          <w:u w:val="none"/>
        </w:rPr>
        <w:t xml:space="preserve"> </w:t>
      </w:r>
      <w:r w:rsidR="058AD107">
        <w:rPr>
          <w:b w:val="0"/>
          <w:bCs w:val="0"/>
          <w:u w:val="none"/>
        </w:rPr>
        <w:t xml:space="preserve">The CDA was to signal the end to the use of lock hospitals towards the end of the 19th Century in India. There was a general movement away from the </w:t>
      </w:r>
      <w:r w:rsidR="058AD107">
        <w:rPr>
          <w:b w:val="0"/>
          <w:bCs w:val="0"/>
          <w:u w:val="none"/>
        </w:rPr>
        <w:t>p</w:t>
      </w:r>
      <w:r w:rsidR="058AD107">
        <w:rPr>
          <w:b w:val="0"/>
          <w:bCs w:val="0"/>
          <w:u w:val="none"/>
        </w:rPr>
        <w:t>revious</w:t>
      </w:r>
      <w:r w:rsidR="058AD107">
        <w:rPr>
          <w:b w:val="0"/>
          <w:bCs w:val="0"/>
          <w:u w:val="none"/>
        </w:rPr>
        <w:t xml:space="preserve"> </w:t>
      </w:r>
      <w:r w:rsidR="058AD107">
        <w:rPr>
          <w:b w:val="0"/>
          <w:bCs w:val="0"/>
          <w:u w:val="none"/>
        </w:rPr>
        <w:t xml:space="preserve">system of involuntary invasive treatments brought about through rigid discriminatory legislation which was reflected by the growth of transformative socio-political movements of the time. Emphasis was later focused on voluntary participation with medical services and a recognition of the need for greater female representation within health and medical </w:t>
      </w:r>
      <w:r w:rsidR="058AD107">
        <w:rPr>
          <w:b w:val="0"/>
          <w:bCs w:val="0"/>
          <w:u w:val="none"/>
        </w:rPr>
        <w:t xml:space="preserve">provision</w:t>
      </w:r>
      <w:r w:rsidR="2EC7CB9F">
        <w:rPr>
          <w:b w:val="0"/>
          <w:bCs w:val="0"/>
          <w:u w:val="none"/>
        </w:rPr>
        <w:t xml:space="preserve">.</w:t>
      </w:r>
      <w:r w:rsidR="27CA9B69">
        <w:rPr>
          <w:b w:val="0"/>
          <w:bCs w:val="0"/>
          <w:u w:val="none"/>
        </w:rPr>
        <w:t xml:space="preserve"> </w:t>
      </w:r>
      <w:r w:rsidRPr="68E97E63">
        <w:rPr>
          <w:rStyle w:val="FootnoteReference"/>
          <w:b w:val="0"/>
          <w:bCs w:val="0"/>
          <w:u w:val="none"/>
        </w:rPr>
        <w:footnoteReference w:id="7658"/>
      </w:r>
    </w:p>
    <w:p w:rsidR="058AD107" w:rsidP="3CF9A548" w:rsidRDefault="058AD107" w14:paraId="35807FAB" w14:textId="596599C1">
      <w:pPr>
        <w:pStyle w:val="Normal"/>
        <w:spacing w:line="480" w:lineRule="auto"/>
        <w:ind w:firstLine="720"/>
      </w:pPr>
      <w:r w:rsidR="058AD107">
        <w:rPr>
          <w:b w:val="0"/>
          <w:bCs w:val="0"/>
          <w:u w:val="none"/>
        </w:rPr>
        <w:t xml:space="preserve"> </w:t>
      </w:r>
      <w:r w:rsidR="4AB0DB62">
        <w:rPr>
          <w:b w:val="0"/>
          <w:bCs w:val="0"/>
          <w:u w:val="none"/>
        </w:rPr>
        <w:t xml:space="preserve">    The CDA offers a useful insight into colonial public health policy, and how legislation was used to regulate female sexuality and prostitution. It </w:t>
      </w:r>
      <w:r w:rsidR="4AB0DB62">
        <w:rPr>
          <w:b w:val="0"/>
          <w:bCs w:val="0"/>
          <w:u w:val="none"/>
        </w:rPr>
        <w:t>demonstrates</w:t>
      </w:r>
      <w:r w:rsidR="4AB0DB62">
        <w:rPr>
          <w:b w:val="0"/>
          <w:bCs w:val="0"/>
          <w:u w:val="none"/>
        </w:rPr>
        <w:t xml:space="preserve"> the </w:t>
      </w:r>
      <w:r w:rsidR="4AB0DB62">
        <w:rPr>
          <w:b w:val="0"/>
          <w:bCs w:val="0"/>
          <w:u w:val="none"/>
        </w:rPr>
        <w:t>numerous</w:t>
      </w:r>
      <w:r w:rsidR="4AB0DB62">
        <w:rPr>
          <w:b w:val="0"/>
          <w:bCs w:val="0"/>
          <w:u w:val="none"/>
        </w:rPr>
        <w:t xml:space="preserve"> </w:t>
      </w:r>
      <w:r w:rsidR="4AB0DB62">
        <w:rPr>
          <w:b w:val="0"/>
          <w:bCs w:val="0"/>
          <w:u w:val="none"/>
        </w:rPr>
        <w:t>facets</w:t>
      </w:r>
      <w:r w:rsidR="4AB0DB62">
        <w:rPr>
          <w:b w:val="0"/>
          <w:bCs w:val="0"/>
          <w:u w:val="none"/>
        </w:rPr>
        <w:t xml:space="preserve"> of legal enforcement, including medical examination, registration, </w:t>
      </w:r>
      <w:r w:rsidR="4AB0DB62">
        <w:rPr>
          <w:b w:val="0"/>
          <w:bCs w:val="0"/>
          <w:u w:val="none"/>
        </w:rPr>
        <w:t>penalties</w:t>
      </w:r>
      <w:r w:rsidR="4AB0DB62">
        <w:rPr>
          <w:b w:val="0"/>
          <w:bCs w:val="0"/>
          <w:u w:val="none"/>
        </w:rPr>
        <w:t xml:space="preserve"> and confinement. This helps researchers better understand the mechanics of colonial control. The CDA was biased in perspective, neglecting indigenous voices and misrepresenting women as vectors of disease</w:t>
      </w:r>
      <w:r w:rsidR="4AB0DB62">
        <w:rPr>
          <w:b w:val="0"/>
          <w:bCs w:val="0"/>
          <w:u w:val="none"/>
        </w:rPr>
        <w:t xml:space="preserve">.  </w:t>
      </w:r>
      <w:r w:rsidR="6CE23E10">
        <w:rPr>
          <w:b w:val="0"/>
          <w:bCs w:val="0"/>
          <w:u w:val="none"/>
        </w:rPr>
        <w:t>D</w:t>
      </w:r>
      <w:r w:rsidR="058AD107">
        <w:rPr>
          <w:b w:val="0"/>
          <w:bCs w:val="0"/>
          <w:u w:val="none"/>
        </w:rPr>
        <w:t>ebate</w:t>
      </w:r>
      <w:r w:rsidR="6A4DE41A">
        <w:rPr>
          <w:b w:val="0"/>
          <w:bCs w:val="0"/>
          <w:u w:val="none"/>
        </w:rPr>
        <w:t xml:space="preserve"> around the CDA</w:t>
      </w:r>
      <w:r w:rsidR="058AD107">
        <w:rPr>
          <w:b w:val="0"/>
          <w:bCs w:val="0"/>
          <w:u w:val="none"/>
        </w:rPr>
        <w:t xml:space="preserve"> </w:t>
      </w:r>
      <w:r w:rsidR="058AD107">
        <w:rPr>
          <w:b w:val="0"/>
          <w:bCs w:val="0"/>
          <w:u w:val="none"/>
        </w:rPr>
        <w:t xml:space="preserve">also triggered long standing taboos and societal unease </w:t>
      </w:r>
      <w:r w:rsidR="058AD107">
        <w:rPr>
          <w:b w:val="0"/>
          <w:bCs w:val="0"/>
          <w:u w:val="none"/>
        </w:rPr>
        <w:t>regarding</w:t>
      </w:r>
      <w:r w:rsidR="058AD107">
        <w:rPr>
          <w:b w:val="0"/>
          <w:bCs w:val="0"/>
          <w:u w:val="none"/>
        </w:rPr>
        <w:t xml:space="preserve"> the moral and ethical debates of prostitution and the larger picture of female rights and equality.</w:t>
      </w:r>
    </w:p>
    <w:p w:rsidR="383AF2B7" w:rsidP="3CF9A548" w:rsidRDefault="383AF2B7" w14:paraId="017C549F" w14:textId="65BF47E3">
      <w:pPr>
        <w:pStyle w:val="Normal"/>
        <w:ind w:firstLine="720"/>
        <w:rPr>
          <w:b w:val="0"/>
          <w:bCs w:val="0"/>
          <w:u w:val="none"/>
        </w:rPr>
      </w:pPr>
    </w:p>
    <w:p w:rsidR="383AF2B7" w:rsidP="3CF9A548" w:rsidRDefault="383AF2B7" w14:paraId="6DDE2FBD" w14:textId="2E093F5E">
      <w:pPr>
        <w:pStyle w:val="Normal"/>
        <w:ind w:firstLine="720"/>
        <w:rPr>
          <w:b w:val="0"/>
          <w:bCs w:val="0"/>
          <w:u w:val="none"/>
        </w:rPr>
      </w:pPr>
    </w:p>
    <w:p w:rsidR="2678DC8C" w:rsidP="3CF9A548" w:rsidRDefault="2678DC8C" w14:paraId="3C9C09FB" w14:textId="71BF2F4D">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3A1F94C3" w14:textId="3FD55C53">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579AE40F" w14:textId="7436BC45">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4720CA8B" w14:textId="73FA4B75">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0C405894" w14:textId="60BBAC76">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4F9EF237" w14:textId="62DA4F98">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3CF9A548" w:rsidRDefault="2678DC8C" w14:paraId="45E79819" w14:textId="67DD4129">
      <w:pPr>
        <w:ind w:firstLine="720"/>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2678DC8C" w:rsidRDefault="2678DC8C" w14:paraId="739EE721" w14:textId="6BB293F4">
      <w:pPr>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2678DC8C" w:rsidRDefault="2678DC8C" w14:paraId="7753E4AA" w14:textId="2E9B7E3F">
      <w:pPr>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2678DC8C" w:rsidRDefault="2678DC8C" w14:paraId="00957415" w14:textId="38802EBC">
      <w:pPr>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2678DC8C" w:rsidP="2678DC8C" w:rsidRDefault="2678DC8C" w14:paraId="64360380" w14:textId="67578244">
      <w:pPr>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31A7BC4B" w14:textId="45CDE11B">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0AC9EB8D" w14:textId="35E3DC06">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0F45C4C8" w14:textId="3FED7A36">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586B7785" w14:textId="0F531A84">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0121F5E1" w14:textId="3F286B91">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4151AC62" w14:textId="1D0CD15D">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122F60AB" w14:textId="1B58082A">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3842CA84" w14:textId="61E82A64">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0EE06766" w14:textId="24FBECA7">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264407B2" w14:textId="2221C424">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18B22CEE" w:rsidP="18B22CEE" w:rsidRDefault="18B22CEE" w14:paraId="207FD24C" w14:textId="46897FA2">
      <w:pPr>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pPr>
    </w:p>
    <w:p w:rsidR="77989434" w:rsidP="2678DC8C" w:rsidRDefault="77989434" w14:paraId="185C6C0B" w14:textId="38D753FC">
      <w:pPr>
        <w:rPr>
          <w:rFonts w:ascii="Open Sans" w:hAnsi="Open Sans" w:eastAsia="Open Sans" w:cs="Open Sans"/>
          <w:b w:val="1"/>
          <w:bCs w:val="1"/>
          <w:i w:val="0"/>
          <w:iCs w:val="0"/>
          <w:caps w:val="0"/>
          <w:smallCaps w:val="0"/>
          <w:noProof w:val="0"/>
          <w:color w:val="000000" w:themeColor="text1" w:themeTint="FF" w:themeShade="FF"/>
          <w:sz w:val="24"/>
          <w:szCs w:val="24"/>
          <w:lang w:val="en-GB"/>
        </w:rPr>
      </w:pPr>
      <w:r w:rsidRPr="2678DC8C" w:rsidR="77989434">
        <w:rPr>
          <w:rFonts w:ascii="Open Sans" w:hAnsi="Open Sans" w:eastAsia="Open Sans" w:cs="Open Sans"/>
          <w:b w:val="1"/>
          <w:bCs w:val="1"/>
          <w:i w:val="0"/>
          <w:iCs w:val="0"/>
          <w:caps w:val="0"/>
          <w:smallCaps w:val="0"/>
          <w:strike w:val="0"/>
          <w:dstrike w:val="0"/>
          <w:noProof w:val="0"/>
          <w:color w:val="000000" w:themeColor="text1" w:themeTint="FF" w:themeShade="FF"/>
          <w:sz w:val="24"/>
          <w:szCs w:val="24"/>
          <w:u w:val="single"/>
          <w:lang w:val="en-GB"/>
        </w:rPr>
        <w:t>REFERENCES</w:t>
      </w:r>
    </w:p>
    <w:p w:rsidR="383AF2B7" w:rsidP="214A6FB4" w:rsidRDefault="383AF2B7" w14:paraId="6E7ED83C" w14:textId="3F070E7F">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015CAAF6" w14:textId="3A3D875A">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Andrew, Elizabeth. W, and Katharine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C.Bushnell</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The Queens Daughter’s in India,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London: Morgan and Scott, 1899)</w:t>
      </w:r>
      <w:r w:rsidRPr="214A6FB4" w:rsidR="3C59C14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hyperlink r:id="R3bf96ad8e207493a">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The Project Gutenberg eBook of The Queen’s Daughters in India, by Elizabeth W. Andrew and Katharine C. Bushnell.</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3A15265C">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19 November 2025]</w:t>
      </w:r>
    </w:p>
    <w:p w:rsidR="383AF2B7" w:rsidP="214A6FB4" w:rsidRDefault="383AF2B7" w14:paraId="1857719A" w14:textId="44F3ECF0">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3744A105" w14:textId="27A3448A">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Baker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Kimeya,The</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Contagious Diseases Acts and The Prostitute: How Disease and the Law Controlled the Female Body.</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 UCL Journal of Law and Jurisprudence,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2012) 1 (1) pp. 88-119. </w:t>
      </w:r>
      <w:hyperlink r:id="Rd175afc8e9d5459d">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10.14324/111.2052-1871.040</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p>
    <w:p w:rsidR="383AF2B7" w:rsidP="383AF2B7" w:rsidRDefault="383AF2B7" w14:paraId="5B7D614A" w14:textId="4756F5C7">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76D22113" w14:textId="18A15B12">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Butler, Josephine,</w:t>
      </w:r>
      <w:r w:rsidRPr="214A6FB4" w:rsidR="77989434">
        <w:rPr>
          <w:rFonts w:ascii="Open Sans" w:hAnsi="Open Sans" w:eastAsia="Open Sans" w:cs="Open Sans"/>
          <w:b w:val="0"/>
          <w:bCs w:val="0"/>
          <w:i w:val="1"/>
          <w:iCs w:val="1"/>
          <w:caps w:val="0"/>
          <w:smallCaps w:val="0"/>
          <w:noProof w:val="0"/>
          <w:color w:val="3A3A3A" w:themeColor="background2" w:themeTint="FF" w:themeShade="40"/>
          <w:sz w:val="24"/>
          <w:szCs w:val="24"/>
          <w:lang w:val="en-GB"/>
        </w:rPr>
        <w:t xml:space="preserve"> Personal reminiscences of a great crusade, </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2</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vertAlign w:val="superscript"/>
          <w:lang w:val="en-GB"/>
        </w:rPr>
        <w:t>nd</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edn</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w:t>
      </w:r>
      <w:r w:rsidRPr="214A6FB4" w:rsidR="77989434">
        <w:rPr>
          <w:rFonts w:ascii="Open Sans" w:hAnsi="Open Sans" w:eastAsia="Open Sans" w:cs="Open Sans"/>
          <w:b w:val="0"/>
          <w:bCs w:val="0"/>
          <w:i w:val="1"/>
          <w:iCs w:val="1"/>
          <w:caps w:val="0"/>
          <w:smallCaps w:val="0"/>
          <w:noProof w:val="0"/>
          <w:color w:val="3A3A3A" w:themeColor="background2" w:themeTint="FF" w:themeShade="40"/>
          <w:sz w:val="24"/>
          <w:szCs w:val="24"/>
          <w:lang w:val="en-GB"/>
        </w:rPr>
        <w:t xml:space="preserve"> </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(London: H. Marshall &amp; Son ,1910) </w:t>
      </w:r>
      <w:hyperlink r:id="R3cb0d421258743f6">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Personal reminiscences of a great crusade : Butler, Josephine Elizabeth Grey, 1828-1906 : Free Download, Borrow, and Streaming : Internet Archive</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2E686FBD">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20 November 2025]</w:t>
      </w:r>
    </w:p>
    <w:p w:rsidR="383AF2B7" w:rsidP="214A6FB4" w:rsidRDefault="383AF2B7" w14:paraId="6A21F58A" w14:textId="696BEC13">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5F90B6D5" w14:textId="13E54912">
      <w:pPr>
        <w:pStyle w:val="Normal"/>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222222"/>
          <w:sz w:val="24"/>
          <w:szCs w:val="24"/>
          <w:lang w:val="en-GB"/>
        </w:rPr>
        <w:t xml:space="preserve">Chakraborty, A., Dube, D. &amp; </w:t>
      </w:r>
      <w:r w:rsidRPr="214A6FB4" w:rsidR="77989434">
        <w:rPr>
          <w:rFonts w:ascii="Open Sans" w:hAnsi="Open Sans" w:eastAsia="Open Sans" w:cs="Open Sans"/>
          <w:b w:val="0"/>
          <w:bCs w:val="0"/>
          <w:i w:val="0"/>
          <w:iCs w:val="0"/>
          <w:caps w:val="0"/>
          <w:smallCaps w:val="0"/>
          <w:noProof w:val="0"/>
          <w:color w:val="222222"/>
          <w:sz w:val="24"/>
          <w:szCs w:val="24"/>
          <w:lang w:val="en-GB"/>
        </w:rPr>
        <w:t>Winterdyk</w:t>
      </w:r>
      <w:r w:rsidRPr="214A6FB4" w:rsidR="77989434">
        <w:rPr>
          <w:rFonts w:ascii="Open Sans" w:hAnsi="Open Sans" w:eastAsia="Open Sans" w:cs="Open Sans"/>
          <w:b w:val="0"/>
          <w:bCs w:val="0"/>
          <w:i w:val="0"/>
          <w:iCs w:val="0"/>
          <w:caps w:val="0"/>
          <w:smallCaps w:val="0"/>
          <w:noProof w:val="0"/>
          <w:color w:val="222222"/>
          <w:sz w:val="24"/>
          <w:szCs w:val="24"/>
          <w:lang w:val="en-GB"/>
        </w:rPr>
        <w:t xml:space="preserve">, J. The Enduring Legacy of British Colonialism on Sexual Exploitation in India. </w:t>
      </w:r>
      <w:r w:rsidRPr="214A6FB4" w:rsidR="77989434">
        <w:rPr>
          <w:rFonts w:ascii="Open Sans" w:hAnsi="Open Sans" w:eastAsia="Open Sans" w:cs="Open Sans"/>
          <w:b w:val="0"/>
          <w:bCs w:val="0"/>
          <w:i w:val="1"/>
          <w:iCs w:val="1"/>
          <w:caps w:val="0"/>
          <w:smallCaps w:val="0"/>
          <w:noProof w:val="0"/>
          <w:color w:val="222222"/>
          <w:sz w:val="24"/>
          <w:szCs w:val="24"/>
          <w:lang w:val="en-GB"/>
        </w:rPr>
        <w:t xml:space="preserve">Int </w:t>
      </w:r>
      <w:r w:rsidRPr="214A6FB4" w:rsidR="77989434">
        <w:rPr>
          <w:rFonts w:ascii="Open Sans" w:hAnsi="Open Sans" w:eastAsia="Open Sans" w:cs="Open Sans"/>
          <w:b w:val="0"/>
          <w:bCs w:val="0"/>
          <w:i w:val="1"/>
          <w:iCs w:val="1"/>
          <w:caps w:val="0"/>
          <w:smallCaps w:val="0"/>
          <w:noProof w:val="0"/>
          <w:color w:val="222222"/>
          <w:sz w:val="24"/>
          <w:szCs w:val="24"/>
          <w:lang w:val="en-GB"/>
        </w:rPr>
        <w:t>Criminol</w:t>
      </w:r>
      <w:r w:rsidRPr="214A6FB4" w:rsidR="77989434">
        <w:rPr>
          <w:rFonts w:ascii="Open Sans" w:hAnsi="Open Sans" w:eastAsia="Open Sans" w:cs="Open Sans"/>
          <w:b w:val="0"/>
          <w:bCs w:val="0"/>
          <w:i w:val="0"/>
          <w:iCs w:val="0"/>
          <w:caps w:val="0"/>
          <w:smallCaps w:val="0"/>
          <w:noProof w:val="0"/>
          <w:color w:val="222222"/>
          <w:sz w:val="24"/>
          <w:szCs w:val="24"/>
          <w:lang w:val="en-GB"/>
        </w:rPr>
        <w:t xml:space="preserve"> </w:t>
      </w:r>
      <w:r w:rsidRPr="214A6FB4" w:rsidR="77989434">
        <w:rPr>
          <w:rFonts w:ascii="Open Sans" w:hAnsi="Open Sans" w:eastAsia="Open Sans" w:cs="Open Sans"/>
          <w:b w:val="1"/>
          <w:bCs w:val="1"/>
          <w:i w:val="0"/>
          <w:iCs w:val="0"/>
          <w:caps w:val="0"/>
          <w:smallCaps w:val="0"/>
          <w:noProof w:val="0"/>
          <w:color w:val="222222"/>
          <w:sz w:val="24"/>
          <w:szCs w:val="24"/>
          <w:lang w:val="en-GB"/>
        </w:rPr>
        <w:t>4</w:t>
      </w:r>
      <w:r w:rsidRPr="214A6FB4" w:rsidR="77989434">
        <w:rPr>
          <w:rFonts w:ascii="Open Sans" w:hAnsi="Open Sans" w:eastAsia="Open Sans" w:cs="Open Sans"/>
          <w:b w:val="0"/>
          <w:bCs w:val="0"/>
          <w:i w:val="0"/>
          <w:iCs w:val="0"/>
          <w:caps w:val="0"/>
          <w:smallCaps w:val="0"/>
          <w:noProof w:val="0"/>
          <w:color w:val="222222"/>
          <w:sz w:val="24"/>
          <w:szCs w:val="24"/>
          <w:lang w:val="en-GB"/>
        </w:rPr>
        <w:t xml:space="preserve">, 336–348 (2024). </w:t>
      </w:r>
      <w:hyperlink r:id="R81c47d6a771d495e">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https://doi.org/10.1007/s43576-024-00143-3</w:t>
        </w:r>
      </w:hyperlink>
    </w:p>
    <w:p w:rsidR="383AF2B7" w:rsidP="383AF2B7" w:rsidRDefault="383AF2B7" w14:paraId="54940DD8" w14:textId="20012E47">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0981BD3B" w14:textId="5174FC03">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Gopalakrishnan, Divya Rama, Venereal</w:t>
      </w:r>
      <w:r w:rsidRPr="3CF9A548"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 diseases, public </w:t>
      </w:r>
      <w:r w:rsidRPr="3CF9A548"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health</w:t>
      </w:r>
      <w:r w:rsidRPr="3CF9A548"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 and sanitary measures in the mid-nineteenth century Madras Presidency,</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 Indian Economic and Social History Review, 61, 2 (2024): p,151. </w:t>
      </w:r>
      <w:hyperlink r:id="R9b597370ecc24541">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Venereal diseases, public health and sanitary measures in the mid-nineteenth-century Madras Presidency - Divya Rama Gopalakrishnan, 2024</w:t>
        </w:r>
      </w:hyperlink>
      <w:r w:rsidRPr="3CF9A548" w:rsidR="28BB90F6">
        <w:rPr>
          <w:rFonts w:ascii="Open Sans" w:hAnsi="Open Sans" w:eastAsia="Open Sans" w:cs="Open Sans"/>
          <w:b w:val="0"/>
          <w:bCs w:val="0"/>
          <w:i w:val="0"/>
          <w:iCs w:val="0"/>
          <w:caps w:val="0"/>
          <w:smallCaps w:val="0"/>
          <w:strike w:val="0"/>
          <w:dstrike w:val="0"/>
          <w:noProof w:val="0"/>
          <w:sz w:val="24"/>
          <w:szCs w:val="24"/>
          <w:lang w:val="en-GB"/>
        </w:rPr>
        <w:t xml:space="preserve"> [Accessed 19 Nov 2025]</w:t>
      </w:r>
    </w:p>
    <w:p w:rsidR="383AF2B7" w:rsidP="214A6FB4" w:rsidRDefault="383AF2B7" w14:paraId="3DECAB44" w14:textId="50E250E7">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7B825725" w14:textId="777F62B5">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181817"/>
          <w:sz w:val="24"/>
          <w:szCs w:val="24"/>
          <w:lang w:val="en-GB"/>
        </w:rPr>
        <w:t xml:space="preserve">Hamilton, Margaret, Opposition to the Contagious Diseases Acts, 1864-1886. </w:t>
      </w:r>
      <w:r w:rsidRPr="214A6FB4" w:rsidR="77989434">
        <w:rPr>
          <w:rFonts w:ascii="Open Sans" w:hAnsi="Open Sans" w:eastAsia="Open Sans" w:cs="Open Sans"/>
          <w:b w:val="0"/>
          <w:bCs w:val="0"/>
          <w:i w:val="1"/>
          <w:iCs w:val="1"/>
          <w:caps w:val="0"/>
          <w:smallCaps w:val="0"/>
          <w:noProof w:val="0"/>
          <w:color w:val="181817"/>
          <w:sz w:val="24"/>
          <w:szCs w:val="24"/>
          <w:lang w:val="en-GB"/>
        </w:rPr>
        <w:t>Albion</w:t>
      </w:r>
      <w:r w:rsidRPr="214A6FB4" w:rsidR="77989434">
        <w:rPr>
          <w:rFonts w:ascii="Open Sans" w:hAnsi="Open Sans" w:eastAsia="Open Sans" w:cs="Open Sans"/>
          <w:b w:val="0"/>
          <w:bCs w:val="0"/>
          <w:i w:val="0"/>
          <w:iCs w:val="0"/>
          <w:caps w:val="0"/>
          <w:smallCaps w:val="0"/>
          <w:noProof w:val="0"/>
          <w:color w:val="181817"/>
          <w:sz w:val="24"/>
          <w:szCs w:val="24"/>
          <w:lang w:val="en-GB"/>
        </w:rPr>
        <w:t xml:space="preserve">. 1978;10(1):14-27. doi:10.2307/4048453 </w:t>
      </w:r>
      <w:hyperlink r:id="Re251b8b61f584142">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https://www-jstor-org.ezproxy.uwtsd.ac.uk/stable/pdf/4048453.pdf?refreqid=fastly-default%3A8d7eaac1bd2cffc04e4ccff59bf41b60&amp;ab_segments=&amp;initiator=&amp;acceptTC=1</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43CEA6A5">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21 Nov 2025]</w:t>
      </w:r>
    </w:p>
    <w:p w:rsidR="383AF2B7" w:rsidP="214A6FB4" w:rsidRDefault="383AF2B7" w14:paraId="01D7CD52" w14:textId="75891204">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2783FBB8" w14:textId="05A7C303">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3CF9A548"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Iftikhar, Rukhsana, ‘Colonial Desire, Orient Beauty: Army and Prostitution in British India</w:t>
      </w:r>
      <w:r w:rsidRPr="3CF9A548"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w:t>
      </w:r>
      <w:r w:rsidRPr="3CF9A548"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w:t>
      </w:r>
      <w:r w:rsidRPr="3CF9A548" w:rsidR="77989434">
        <w:rPr>
          <w:rFonts w:ascii="Open Sans" w:hAnsi="Open Sans" w:eastAsia="Open Sans" w:cs="Open Sans"/>
          <w:b w:val="0"/>
          <w:bCs w:val="0"/>
          <w:i w:val="1"/>
          <w:iCs w:val="1"/>
          <w:caps w:val="0"/>
          <w:smallCaps w:val="0"/>
          <w:noProof w:val="0"/>
          <w:color w:val="3A3A3A" w:themeColor="background2" w:themeTint="FF" w:themeShade="40"/>
          <w:sz w:val="24"/>
          <w:szCs w:val="24"/>
          <w:lang w:val="en-GB"/>
        </w:rPr>
        <w:t>Journal of the Research Society of Pakistan</w:t>
      </w:r>
      <w:r w:rsidRPr="3CF9A548"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55.1 (2018) </w:t>
      </w:r>
      <w:hyperlink r:id="R13d608380533431b">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19_55_1_18.pdf</w:t>
        </w:r>
      </w:hyperlink>
      <w:r w:rsidRPr="3CF9A548" w:rsidR="31CA18BF">
        <w:rPr>
          <w:rFonts w:ascii="Open Sans" w:hAnsi="Open Sans" w:eastAsia="Open Sans" w:cs="Open Sans"/>
          <w:b w:val="0"/>
          <w:bCs w:val="0"/>
          <w:i w:val="0"/>
          <w:iCs w:val="0"/>
          <w:caps w:val="0"/>
          <w:smallCaps w:val="0"/>
          <w:strike w:val="0"/>
          <w:dstrike w:val="0"/>
          <w:noProof w:val="0"/>
          <w:sz w:val="24"/>
          <w:szCs w:val="24"/>
          <w:lang w:val="en-GB"/>
        </w:rPr>
        <w:t xml:space="preserve"> [Accessed 18 Nov 2025]</w:t>
      </w:r>
    </w:p>
    <w:p w:rsidR="383AF2B7" w:rsidP="383AF2B7" w:rsidRDefault="383AF2B7" w14:paraId="7BC077A8" w14:textId="67F21163">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126877C5" w:rsidRDefault="77989434" w14:paraId="71A13B47" w14:textId="57BA4060">
      <w:pPr>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126877C5"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India Code, Digital Repository of Laws,</w:t>
      </w:r>
      <w:hyperlink r:id="R980a73be198b4d42">
        <w:r w:rsidRPr="126877C5" w:rsidR="77989434">
          <w:rPr>
            <w:rStyle w:val="Hyperlink"/>
            <w:rFonts w:ascii="Open Sans" w:hAnsi="Open Sans" w:eastAsia="Open Sans" w:cs="Open Sans"/>
            <w:b w:val="0"/>
            <w:bCs w:val="0"/>
            <w:i w:val="0"/>
            <w:iCs w:val="0"/>
            <w:caps w:val="0"/>
            <w:smallCaps w:val="0"/>
            <w:strike w:val="0"/>
            <w:dstrike w:val="0"/>
            <w:noProof w:val="0"/>
            <w:sz w:val="24"/>
            <w:szCs w:val="24"/>
            <w:lang w:val="en-GB"/>
          </w:rPr>
          <w:t>repealedfileopen</w:t>
        </w:r>
      </w:hyperlink>
      <w:r w:rsidRPr="126877C5"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126877C5"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126877C5" w:rsidR="37A252A8">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126877C5"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20 November 2025]</w:t>
      </w:r>
    </w:p>
    <w:p w:rsidR="383AF2B7" w:rsidP="383AF2B7" w:rsidRDefault="383AF2B7" w14:paraId="21569534" w14:textId="7EAA4A0B">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26247521" w14:textId="1E391F35">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Legg</w:t>
      </w:r>
      <w:r w:rsidRPr="214A6FB4" w:rsidR="357CD241">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Stephen,</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Stimulation, Segregation and Scandal: Geographies of Prostitution Regulation in British India, between Registration (1888) and Suppression (1923)’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Modern Asian Studies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46, 6(2012) p.1463 C⃝CambridgeUniversityPress2012 doi:10.1017/S0026749X11000503</w:t>
      </w:r>
    </w:p>
    <w:p w:rsidR="383AF2B7" w:rsidP="383AF2B7" w:rsidRDefault="383AF2B7" w14:paraId="3E462020" w14:textId="1A739DB1">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3CF9A548" w:rsidP="3CF9A548" w:rsidRDefault="3CF9A548" w14:paraId="736434B7" w14:textId="082B443C">
      <w:pPr>
        <w:pStyle w:val="Heading1"/>
        <w:keepNext w:val="0"/>
        <w:keepLines w:val="0"/>
        <w:spacing w:before="360" w:after="80"/>
        <w:ind w:left="720" w:hanging="720"/>
        <w:rPr>
          <w:rFonts w:ascii="Open Sans" w:hAnsi="Open Sans" w:eastAsia="Open Sans" w:cs="Open Sans"/>
          <w:b w:val="0"/>
          <w:bCs w:val="0"/>
          <w:i w:val="0"/>
          <w:iCs w:val="0"/>
          <w:caps w:val="0"/>
          <w:smallCaps w:val="0"/>
          <w:noProof w:val="0"/>
          <w:color w:val="2C2C2C"/>
          <w:sz w:val="24"/>
          <w:szCs w:val="24"/>
          <w:lang w:val="en-GB"/>
        </w:rPr>
      </w:pPr>
    </w:p>
    <w:p w:rsidR="77989434" w:rsidP="214A6FB4" w:rsidRDefault="77989434" w14:paraId="15626169" w14:textId="54DE251D">
      <w:pPr>
        <w:pStyle w:val="Heading1"/>
        <w:keepNext w:val="0"/>
        <w:keepLines w:val="0"/>
        <w:spacing w:before="360" w:after="80"/>
        <w:ind w:left="720" w:hanging="720"/>
        <w:rPr>
          <w:rFonts w:ascii="Open Sans" w:hAnsi="Open Sans" w:eastAsia="Open Sans" w:cs="Open Sans"/>
          <w:b w:val="0"/>
          <w:bCs w:val="0"/>
          <w:i w:val="0"/>
          <w:iCs w:val="0"/>
          <w:caps w:val="0"/>
          <w:smallCaps w:val="0"/>
          <w:noProof w:val="0"/>
          <w:color w:val="2C2C2C"/>
          <w:sz w:val="24"/>
          <w:szCs w:val="24"/>
          <w:lang w:val="en-GB"/>
        </w:rPr>
      </w:pPr>
      <w:r w:rsidRPr="214A6FB4" w:rsidR="77989434">
        <w:rPr>
          <w:rFonts w:ascii="Open Sans" w:hAnsi="Open Sans" w:eastAsia="Open Sans" w:cs="Open Sans"/>
          <w:b w:val="0"/>
          <w:bCs w:val="0"/>
          <w:i w:val="0"/>
          <w:iCs w:val="0"/>
          <w:caps w:val="0"/>
          <w:smallCaps w:val="0"/>
          <w:noProof w:val="0"/>
          <w:color w:val="2C2C2C"/>
          <w:sz w:val="24"/>
          <w:szCs w:val="24"/>
          <w:lang w:val="en-GB"/>
        </w:rPr>
        <w:t>Mathers</w:t>
      </w:r>
      <w:r w:rsidRPr="214A6FB4" w:rsidR="4B00BAC1">
        <w:rPr>
          <w:rFonts w:ascii="Open Sans" w:hAnsi="Open Sans" w:eastAsia="Open Sans" w:cs="Open Sans"/>
          <w:b w:val="0"/>
          <w:bCs w:val="0"/>
          <w:i w:val="0"/>
          <w:iCs w:val="0"/>
          <w:caps w:val="0"/>
          <w:smallCaps w:val="0"/>
          <w:noProof w:val="0"/>
          <w:color w:val="2C2C2C"/>
          <w:sz w:val="24"/>
          <w:szCs w:val="24"/>
          <w:lang w:val="en-GB"/>
        </w:rPr>
        <w:t>,</w:t>
      </w:r>
      <w:r w:rsidRPr="214A6FB4" w:rsidR="77989434">
        <w:rPr>
          <w:rFonts w:ascii="Open Sans" w:hAnsi="Open Sans" w:eastAsia="Open Sans" w:cs="Open Sans"/>
          <w:b w:val="0"/>
          <w:bCs w:val="0"/>
          <w:i w:val="0"/>
          <w:iCs w:val="0"/>
          <w:caps w:val="0"/>
          <w:smallCaps w:val="0"/>
          <w:noProof w:val="0"/>
          <w:color w:val="2C2C2C"/>
          <w:sz w:val="24"/>
          <w:szCs w:val="24"/>
          <w:lang w:val="en-GB"/>
        </w:rPr>
        <w:t xml:space="preserve"> Helen, ‘</w:t>
      </w:r>
      <w:r w:rsidRPr="214A6FB4" w:rsidR="77989434">
        <w:rPr>
          <w:rFonts w:ascii="Open Sans" w:hAnsi="Open Sans" w:eastAsia="Open Sans" w:cs="Open Sans"/>
          <w:b w:val="0"/>
          <w:bCs w:val="0"/>
          <w:i w:val="1"/>
          <w:iCs w:val="1"/>
          <w:caps w:val="0"/>
          <w:smallCaps w:val="0"/>
          <w:noProof w:val="0"/>
          <w:color w:val="2C2C2C"/>
          <w:sz w:val="24"/>
          <w:szCs w:val="24"/>
          <w:lang w:val="en-GB"/>
        </w:rPr>
        <w:t>Patron saint of prostitutes: Josephine Butler and a Victorian scandal</w:t>
      </w:r>
      <w:r w:rsidRPr="214A6FB4" w:rsidR="77989434">
        <w:rPr>
          <w:rFonts w:ascii="Open Sans" w:hAnsi="Open Sans" w:eastAsia="Open Sans" w:cs="Open Sans"/>
          <w:b w:val="0"/>
          <w:bCs w:val="0"/>
          <w:i w:val="1"/>
          <w:iCs w:val="1"/>
          <w:caps w:val="0"/>
          <w:smallCaps w:val="0"/>
          <w:noProof w:val="0"/>
          <w:color w:val="2C2C2C"/>
          <w:sz w:val="24"/>
          <w:szCs w:val="24"/>
          <w:lang w:val="en-GB"/>
        </w:rPr>
        <w:t>’,</w:t>
      </w:r>
      <w:r w:rsidRPr="214A6FB4" w:rsidR="77989434">
        <w:rPr>
          <w:rFonts w:ascii="Open Sans" w:hAnsi="Open Sans" w:eastAsia="Open Sans" w:cs="Open Sans"/>
          <w:b w:val="0"/>
          <w:bCs w:val="0"/>
          <w:i w:val="0"/>
          <w:iCs w:val="0"/>
          <w:caps w:val="0"/>
          <w:smallCaps w:val="0"/>
          <w:noProof w:val="0"/>
          <w:color w:val="2C2C2C"/>
          <w:sz w:val="24"/>
          <w:szCs w:val="24"/>
          <w:lang w:val="en-GB"/>
        </w:rPr>
        <w:t xml:space="preserve"> (Stroud: The History Press,2014)</w:t>
      </w:r>
    </w:p>
    <w:p w:rsidR="77989434" w:rsidP="214A6FB4" w:rsidRDefault="77989434" w14:paraId="343BEE3D" w14:textId="288FD10D">
      <w:pPr>
        <w:keepNext w:val="0"/>
        <w:keepLines w:val="0"/>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hyperlink r:id="Rcff8172e17e54484">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https://archive.org/details/patronsaintofpro0000math/page/80/mode/1up</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64D2BBCD">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21 Nov 2025]</w:t>
      </w:r>
    </w:p>
    <w:p w:rsidR="383AF2B7" w:rsidP="383AF2B7" w:rsidRDefault="383AF2B7" w14:paraId="5256ABF0" w14:textId="13E33D72">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020E1C38" w14:textId="2C713088">
      <w:pPr>
        <w:ind w:left="720" w:hanging="720"/>
        <w:rPr>
          <w:rFonts w:ascii="Open Sans" w:hAnsi="Open Sans" w:eastAsia="Open Sans" w:cs="Open Sans"/>
          <w:b w:val="0"/>
          <w:bCs w:val="0"/>
          <w:i w:val="0"/>
          <w:iCs w:val="0"/>
          <w:caps w:val="0"/>
          <w:smallCaps w:val="0"/>
          <w:noProof w:val="0"/>
          <w:color w:val="2A2A2A"/>
          <w:sz w:val="24"/>
          <w:szCs w:val="24"/>
          <w:lang w:val="en-GB"/>
        </w:rPr>
      </w:pPr>
      <w:r w:rsidRPr="3CF9A548" w:rsidR="77989434">
        <w:rPr>
          <w:rFonts w:ascii="Open Sans" w:hAnsi="Open Sans" w:eastAsia="Open Sans" w:cs="Open Sans"/>
          <w:b w:val="0"/>
          <w:bCs w:val="0"/>
          <w:i w:val="0"/>
          <w:iCs w:val="0"/>
          <w:caps w:val="0"/>
          <w:smallCaps w:val="0"/>
          <w:noProof w:val="0"/>
          <w:color w:val="2A2A2A"/>
          <w:sz w:val="24"/>
          <w:szCs w:val="24"/>
          <w:lang w:val="en-GB"/>
        </w:rPr>
        <w:t xml:space="preserve">Mukherjee, Sujata, </w:t>
      </w:r>
      <w:r w:rsidRPr="3CF9A548" w:rsidR="77989434">
        <w:rPr>
          <w:rFonts w:ascii="Open Sans" w:hAnsi="Open Sans" w:eastAsia="Open Sans" w:cs="Open Sans"/>
          <w:b w:val="0"/>
          <w:bCs w:val="0"/>
          <w:i w:val="1"/>
          <w:iCs w:val="1"/>
          <w:caps w:val="0"/>
          <w:smallCaps w:val="0"/>
          <w:noProof w:val="0"/>
          <w:color w:val="2A2A2A"/>
          <w:sz w:val="24"/>
          <w:szCs w:val="24"/>
          <w:lang w:val="en-GB"/>
        </w:rPr>
        <w:t>Gender, Medicine, and Society in Colonial India: Women's Health Care in Nineteenth- and Early Twentieth-Century Bengal</w:t>
      </w:r>
      <w:r w:rsidRPr="3CF9A548" w:rsidR="77989434">
        <w:rPr>
          <w:rFonts w:ascii="Open Sans" w:hAnsi="Open Sans" w:eastAsia="Open Sans" w:cs="Open Sans"/>
          <w:b w:val="0"/>
          <w:bCs w:val="0"/>
          <w:i w:val="0"/>
          <w:iCs w:val="0"/>
          <w:caps w:val="0"/>
          <w:smallCaps w:val="0"/>
          <w:noProof w:val="0"/>
          <w:color w:val="2A2A2A"/>
          <w:sz w:val="24"/>
          <w:szCs w:val="24"/>
          <w:lang w:val="en-GB"/>
        </w:rPr>
        <w:t xml:space="preserve"> (Delhi</w:t>
      </w:r>
      <w:r w:rsidRPr="3CF9A548" w:rsidR="693E1F1A">
        <w:rPr>
          <w:rFonts w:ascii="Open Sans" w:hAnsi="Open Sans" w:eastAsia="Open Sans" w:cs="Open Sans"/>
          <w:b w:val="0"/>
          <w:bCs w:val="0"/>
          <w:i w:val="0"/>
          <w:iCs w:val="0"/>
          <w:caps w:val="0"/>
          <w:smallCaps w:val="0"/>
          <w:noProof w:val="0"/>
          <w:color w:val="2A2A2A"/>
          <w:sz w:val="24"/>
          <w:szCs w:val="24"/>
          <w:lang w:val="en-GB"/>
        </w:rPr>
        <w:t>:</w:t>
      </w:r>
      <w:r w:rsidRPr="3CF9A548" w:rsidR="77989434">
        <w:rPr>
          <w:rFonts w:ascii="Open Sans" w:hAnsi="Open Sans" w:eastAsia="Open Sans" w:cs="Open Sans"/>
          <w:b w:val="0"/>
          <w:bCs w:val="0"/>
          <w:i w:val="0"/>
          <w:iCs w:val="0"/>
          <w:caps w:val="0"/>
          <w:smallCaps w:val="0"/>
          <w:noProof w:val="0"/>
          <w:color w:val="2A2A2A"/>
          <w:sz w:val="24"/>
          <w:szCs w:val="24"/>
          <w:lang w:val="en-GB"/>
        </w:rPr>
        <w:t xml:space="preserve"> Oxford Academic</w:t>
      </w:r>
      <w:r w:rsidRPr="3CF9A548" w:rsidR="0CC50FD6">
        <w:rPr>
          <w:rFonts w:ascii="Open Sans" w:hAnsi="Open Sans" w:eastAsia="Open Sans" w:cs="Open Sans"/>
          <w:b w:val="0"/>
          <w:bCs w:val="0"/>
          <w:i w:val="0"/>
          <w:iCs w:val="0"/>
          <w:caps w:val="0"/>
          <w:smallCaps w:val="0"/>
          <w:noProof w:val="0"/>
          <w:color w:val="2A2A2A"/>
          <w:sz w:val="24"/>
          <w:szCs w:val="24"/>
          <w:lang w:val="en-GB"/>
        </w:rPr>
        <w:t>,</w:t>
      </w:r>
      <w:r w:rsidRPr="3CF9A548" w:rsidR="77989434">
        <w:rPr>
          <w:rFonts w:ascii="Open Sans" w:hAnsi="Open Sans" w:eastAsia="Open Sans" w:cs="Open Sans"/>
          <w:b w:val="0"/>
          <w:bCs w:val="0"/>
          <w:i w:val="0"/>
          <w:iCs w:val="0"/>
          <w:caps w:val="0"/>
          <w:smallCaps w:val="0"/>
          <w:noProof w:val="0"/>
          <w:color w:val="2A2A2A"/>
          <w:sz w:val="24"/>
          <w:szCs w:val="24"/>
          <w:lang w:val="en-GB"/>
        </w:rPr>
        <w:t xml:space="preserve"> 2017), </w:t>
      </w:r>
      <w:hyperlink r:id="R42b852cd347c4da6">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https://doi.org/10.1093/acprof:oso/9780199468225.001.0001</w:t>
        </w:r>
      </w:hyperlink>
      <w:r w:rsidRPr="3CF9A548" w:rsidR="77989434">
        <w:rPr>
          <w:rFonts w:ascii="Open Sans" w:hAnsi="Open Sans" w:eastAsia="Open Sans" w:cs="Open Sans"/>
          <w:b w:val="0"/>
          <w:bCs w:val="0"/>
          <w:i w:val="0"/>
          <w:iCs w:val="0"/>
          <w:caps w:val="0"/>
          <w:smallCaps w:val="0"/>
          <w:noProof w:val="0"/>
          <w:color w:val="2A2A2A"/>
          <w:sz w:val="24"/>
          <w:szCs w:val="24"/>
          <w:lang w:val="en-GB"/>
        </w:rPr>
        <w:t xml:space="preserve">, </w:t>
      </w:r>
    </w:p>
    <w:p w:rsidR="383AF2B7" w:rsidP="214A6FB4" w:rsidRDefault="383AF2B7" w14:paraId="6CFD2101" w14:textId="0451148C">
      <w:pPr>
        <w:ind w:left="720" w:hanging="720"/>
        <w:rPr>
          <w:rFonts w:ascii="Open Sans" w:hAnsi="Open Sans" w:eastAsia="Open Sans" w:cs="Open Sans"/>
          <w:b w:val="0"/>
          <w:bCs w:val="0"/>
          <w:i w:val="0"/>
          <w:iCs w:val="0"/>
          <w:caps w:val="0"/>
          <w:smallCaps w:val="0"/>
          <w:noProof w:val="0"/>
          <w:color w:val="2A2A2A"/>
          <w:sz w:val="24"/>
          <w:szCs w:val="24"/>
          <w:lang w:val="en-GB"/>
        </w:rPr>
      </w:pPr>
    </w:p>
    <w:p w:rsidR="77989434" w:rsidP="214A6FB4" w:rsidRDefault="77989434" w14:paraId="3B9A4808" w14:textId="67087069">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“Mr. Stansfeld, M.P., And </w:t>
      </w:r>
      <w:r w:rsidRPr="214A6FB4" w:rsidR="4046FE59">
        <w:rPr>
          <w:rFonts w:ascii="Open Sans" w:hAnsi="Open Sans" w:eastAsia="Open Sans" w:cs="Open Sans"/>
          <w:b w:val="0"/>
          <w:bCs w:val="0"/>
          <w:i w:val="0"/>
          <w:iCs w:val="0"/>
          <w:caps w:val="0"/>
          <w:smallCaps w:val="0"/>
          <w:noProof w:val="0"/>
          <w:color w:val="000000" w:themeColor="text1" w:themeTint="FF" w:themeShade="FF"/>
          <w:sz w:val="24"/>
          <w:szCs w:val="24"/>
          <w:lang w:val="en-GB"/>
        </w:rPr>
        <w:t>the</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Contagious Diseases Acts.”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The British Medical Journal</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vol. 2, no. 823, 1876, pp. 476–476.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JSTOR</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hyperlink r:id="Rc46feda96e934984">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Mr. Stansfeld, M.P., And The Contagious Diseases Acts</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 [</w:t>
      </w:r>
      <w:r w:rsidRPr="214A6FB4" w:rsidR="275D4DAF">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21 Nov 2025]</w:t>
      </w:r>
    </w:p>
    <w:p w:rsidR="383AF2B7" w:rsidP="214A6FB4" w:rsidRDefault="383AF2B7" w14:paraId="0DAEE11A" w14:textId="316FD5E1">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1FD6F7BA" w14:textId="72DF4C7E">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Peers</w:t>
      </w:r>
      <w:r w:rsidRPr="3CF9A548" w:rsidR="2495D889">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Douglas M, Soldiers, </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Surgeons</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and the Campaigns to Combat Sexually Transmitted Diseases in Colonial India, 1805-1860 </w:t>
      </w:r>
      <w:r w:rsidRPr="3CF9A548"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Medical History,</w:t>
      </w:r>
      <w:r w:rsidRPr="3CF9A548"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1998, 42(2), p.551 </w:t>
      </w:r>
      <w:hyperlink r:id="Raa29c02510bb47dc">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S0025727300063651</w:t>
        </w:r>
      </w:hyperlink>
      <w:r w:rsidRPr="3CF9A548" w:rsidR="68D09BC8">
        <w:rPr>
          <w:rFonts w:ascii="Open Sans" w:hAnsi="Open Sans" w:eastAsia="Open Sans" w:cs="Open Sans"/>
          <w:b w:val="0"/>
          <w:bCs w:val="0"/>
          <w:i w:val="0"/>
          <w:iCs w:val="0"/>
          <w:caps w:val="0"/>
          <w:smallCaps w:val="0"/>
          <w:strike w:val="0"/>
          <w:dstrike w:val="0"/>
          <w:noProof w:val="0"/>
          <w:sz w:val="24"/>
          <w:szCs w:val="24"/>
          <w:lang w:val="en-GB"/>
        </w:rPr>
        <w:t xml:space="preserve"> [Accessed 20 Nov 2025]</w:t>
      </w:r>
    </w:p>
    <w:p w:rsidR="383AF2B7" w:rsidP="383AF2B7" w:rsidRDefault="383AF2B7" w14:paraId="339A62AC" w14:textId="5C8A561A">
      <w:pPr>
        <w:rPr>
          <w:rFonts w:ascii="Open Sans" w:hAnsi="Open Sans" w:eastAsia="Open Sans" w:cs="Open Sans"/>
          <w:b w:val="0"/>
          <w:bCs w:val="0"/>
          <w:i w:val="0"/>
          <w:iCs w:val="0"/>
          <w:caps w:val="0"/>
          <w:smallCaps w:val="0"/>
          <w:noProof w:val="0"/>
          <w:color w:val="2A2A2A"/>
          <w:sz w:val="24"/>
          <w:szCs w:val="24"/>
          <w:lang w:val="en-GB"/>
        </w:rPr>
      </w:pPr>
    </w:p>
    <w:p w:rsidR="383AF2B7" w:rsidP="383AF2B7" w:rsidRDefault="383AF2B7" w14:paraId="5B5DB7AC" w14:textId="576FE26B">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12F222BF" w14:textId="6A3AD4D5">
      <w:pPr>
        <w:pStyle w:val="Normal"/>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Ramanna</w:t>
      </w:r>
      <w:r w:rsidRPr="214A6FB4" w:rsidR="66052738">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Mridula, ‘Control and Resistance: The Working of the Contagious Diseases Acts in Bombay City,’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Economic and Political Weekly</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vol. 35, no. 17, 2000, pp. 1470–76.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JSTOR</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hyperlink r:id="Rcf545c5dedc74f33">
        <w:r w:rsidRPr="214A6FB4" w:rsidR="77989434">
          <w:rPr>
            <w:rStyle w:val="Hyperlink"/>
            <w:rFonts w:ascii="Open Sans" w:hAnsi="Open Sans" w:eastAsia="Open Sans" w:cs="Open Sans"/>
            <w:b w:val="0"/>
            <w:bCs w:val="0"/>
            <w:i w:val="0"/>
            <w:iCs w:val="0"/>
            <w:caps w:val="0"/>
            <w:smallCaps w:val="0"/>
            <w:noProof w:val="0"/>
            <w:sz w:val="24"/>
            <w:szCs w:val="24"/>
            <w:lang w:val="en-GB"/>
          </w:rPr>
          <w:t>http://www.jstor.org/stable/4409206</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w:t>
      </w:r>
      <w:r w:rsidRPr="214A6FB4" w:rsidR="253A7983">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14 Nov. 2025]</w:t>
      </w:r>
    </w:p>
    <w:p w:rsidR="383AF2B7" w:rsidP="214A6FB4" w:rsidRDefault="383AF2B7" w14:paraId="090A3F1F" w14:textId="44CBB232">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539DED34" w14:textId="23C49F48">
      <w:pPr>
        <w:ind w:left="720" w:hanging="720"/>
        <w:rPr>
          <w:rFonts w:ascii="Open Sans" w:hAnsi="Open Sans" w:eastAsia="Open Sans" w:cs="Open Sans"/>
          <w:b w:val="0"/>
          <w:bCs w:val="0"/>
          <w:i w:val="0"/>
          <w:iCs w:val="0"/>
          <w:caps w:val="0"/>
          <w:smallCaps w:val="0"/>
          <w:noProof w:val="0"/>
          <w:color w:val="3A3A3A" w:themeColor="background2" w:themeTint="FF" w:themeShade="40"/>
          <w:sz w:val="24"/>
          <w:szCs w:val="24"/>
          <w:lang w:val="en-GB"/>
        </w:rPr>
      </w:pP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Regard</w:t>
      </w:r>
      <w:r w:rsidRPr="214A6FB4" w:rsidR="4C7E7106">
        <w:rPr>
          <w:rFonts w:ascii="Open Sans" w:hAnsi="Open Sans" w:eastAsia="Open Sans" w:cs="Open Sans"/>
          <w:b w:val="0"/>
          <w:bCs w:val="0"/>
          <w:i w:val="0"/>
          <w:iCs w:val="0"/>
          <w:caps w:val="0"/>
          <w:smallCaps w:val="0"/>
          <w:noProof w:val="0"/>
          <w:color w:val="3A3A3A" w:themeColor="background2" w:themeTint="FF" w:themeShade="40"/>
          <w:sz w:val="24"/>
          <w:szCs w:val="24"/>
          <w:lang w:val="en-GB"/>
        </w:rPr>
        <w:t>,</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Frédéric, ‘Sexual Politics and Ethics: Josephine Butler</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xml:space="preserve"> in </w:t>
      </w:r>
      <w:r w:rsidRPr="214A6FB4" w:rsidR="77989434">
        <w:rPr>
          <w:rFonts w:ascii="Open Sans" w:hAnsi="Open Sans" w:eastAsia="Open Sans" w:cs="Open Sans"/>
          <w:b w:val="0"/>
          <w:bCs w:val="0"/>
          <w:i w:val="1"/>
          <w:iCs w:val="1"/>
          <w:caps w:val="0"/>
          <w:smallCaps w:val="0"/>
          <w:noProof w:val="0"/>
          <w:color w:val="3A3A3A" w:themeColor="background2" w:themeTint="FF" w:themeShade="40"/>
          <w:sz w:val="24"/>
          <w:szCs w:val="24"/>
          <w:lang w:val="en-GB"/>
        </w:rPr>
        <w:t>The Oxford Handbook of American and British Women Philosophers in the Nineteenth Century</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 ed. by Lydia Moland and Alison Stone, Oxford University Press, (2025), Ch 2, doi:10.1093/</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oxfordhb</w:t>
      </w:r>
      <w:r w:rsidRPr="214A6FB4" w:rsidR="77989434">
        <w:rPr>
          <w:rFonts w:ascii="Open Sans" w:hAnsi="Open Sans" w:eastAsia="Open Sans" w:cs="Open Sans"/>
          <w:b w:val="0"/>
          <w:bCs w:val="0"/>
          <w:i w:val="0"/>
          <w:iCs w:val="0"/>
          <w:caps w:val="0"/>
          <w:smallCaps w:val="0"/>
          <w:noProof w:val="0"/>
          <w:color w:val="3A3A3A" w:themeColor="background2" w:themeTint="FF" w:themeShade="40"/>
          <w:sz w:val="24"/>
          <w:szCs w:val="24"/>
          <w:lang w:val="en-GB"/>
        </w:rPr>
        <w:t>/9780197558898.013.46</w:t>
      </w:r>
    </w:p>
    <w:p w:rsidR="383AF2B7" w:rsidP="214A6FB4" w:rsidRDefault="383AF2B7" w14:paraId="24FF2413" w14:textId="51D491BB">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214A6FB4" w:rsidRDefault="77989434" w14:paraId="41CDA594" w14:textId="7094D384">
      <w:pPr>
        <w:ind w:left="720" w:hanging="720"/>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Tripathi, Vigya, ‘Guarding the Female Body: The contagious Disease Act of 19</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vertAlign w:val="superscript"/>
          <w:lang w:val="en-GB"/>
        </w:rPr>
        <w:t>th</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Century British India’, </w:t>
      </w:r>
      <w:r w:rsidRPr="214A6FB4" w:rsidR="77989434">
        <w:rPr>
          <w:rFonts w:ascii="Open Sans" w:hAnsi="Open Sans" w:eastAsia="Open Sans" w:cs="Open Sans"/>
          <w:b w:val="0"/>
          <w:bCs w:val="0"/>
          <w:i w:val="1"/>
          <w:iCs w:val="1"/>
          <w:caps w:val="0"/>
          <w:smallCaps w:val="0"/>
          <w:noProof w:val="0"/>
          <w:color w:val="000000" w:themeColor="text1" w:themeTint="FF" w:themeShade="FF"/>
          <w:sz w:val="24"/>
          <w:szCs w:val="24"/>
          <w:lang w:val="en-GB"/>
        </w:rPr>
        <w:t>International Journal of Creative Research Thoughts, Volume</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12, issue 2, (2024)</w:t>
      </w:r>
      <w:hyperlink r:id="R9d965fa22f3b498b">
        <w:r w:rsidRPr="214A6FB4" w:rsidR="77989434">
          <w:rPr>
            <w:rStyle w:val="Hyperlink"/>
            <w:rFonts w:ascii="Open Sans" w:hAnsi="Open Sans" w:eastAsia="Open Sans" w:cs="Open Sans"/>
            <w:b w:val="0"/>
            <w:bCs w:val="0"/>
            <w:i w:val="0"/>
            <w:iCs w:val="0"/>
            <w:caps w:val="0"/>
            <w:smallCaps w:val="0"/>
            <w:strike w:val="0"/>
            <w:dstrike w:val="0"/>
            <w:noProof w:val="0"/>
            <w:sz w:val="24"/>
            <w:szCs w:val="24"/>
            <w:lang w:val="en-GB"/>
          </w:rPr>
          <w:t>(15) Guarding The Female Body: The Contagious Disease Act Of 19th Century British India</w:t>
        </w:r>
      </w:hyperlink>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214A6FB4" w:rsidR="5B446710">
        <w:rPr>
          <w:rFonts w:ascii="Open Sans" w:hAnsi="Open Sans" w:eastAsia="Open Sans" w:cs="Open Sans"/>
          <w:b w:val="0"/>
          <w:bCs w:val="0"/>
          <w:i w:val="0"/>
          <w:iCs w:val="0"/>
          <w:caps w:val="0"/>
          <w:smallCaps w:val="0"/>
          <w:noProof w:val="0"/>
          <w:color w:val="000000" w:themeColor="text1" w:themeTint="FF" w:themeShade="FF"/>
          <w:sz w:val="24"/>
          <w:szCs w:val="24"/>
          <w:lang w:val="en-GB"/>
        </w:rPr>
        <w:t>A</w:t>
      </w:r>
      <w:r w:rsidRPr="214A6FB4" w:rsidR="77989434">
        <w:rPr>
          <w:rFonts w:ascii="Open Sans" w:hAnsi="Open Sans" w:eastAsia="Open Sans" w:cs="Open Sans"/>
          <w:b w:val="0"/>
          <w:bCs w:val="0"/>
          <w:i w:val="0"/>
          <w:iCs w:val="0"/>
          <w:caps w:val="0"/>
          <w:smallCaps w:val="0"/>
          <w:noProof w:val="0"/>
          <w:color w:val="000000" w:themeColor="text1" w:themeTint="FF" w:themeShade="FF"/>
          <w:sz w:val="24"/>
          <w:szCs w:val="24"/>
          <w:lang w:val="en-GB"/>
        </w:rPr>
        <w:t>ccessed 19 November 2025]</w:t>
      </w:r>
    </w:p>
    <w:p w:rsidR="383AF2B7" w:rsidP="383AF2B7" w:rsidRDefault="383AF2B7" w14:paraId="42F75AD0" w14:textId="7D60544D">
      <w:pPr>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7989434" w:rsidP="3CF9A548" w:rsidRDefault="77989434" w14:paraId="3F748C1F" w14:textId="48CCB695">
      <w:pPr>
        <w:ind w:left="720" w:hanging="720"/>
        <w:rPr>
          <w:rFonts w:ascii="Open Sans" w:hAnsi="Open Sans" w:eastAsia="Open Sans" w:cs="Open Sans"/>
          <w:b w:val="0"/>
          <w:bCs w:val="0"/>
          <w:i w:val="0"/>
          <w:iCs w:val="0"/>
          <w:caps w:val="0"/>
          <w:smallCaps w:val="0"/>
          <w:noProof w:val="0"/>
          <w:color w:val="333333"/>
          <w:sz w:val="24"/>
          <w:szCs w:val="24"/>
          <w:lang w:val="en-GB"/>
        </w:rPr>
      </w:pPr>
      <w:r w:rsidRPr="3CF9A548" w:rsidR="77989434">
        <w:rPr>
          <w:rFonts w:ascii="Open Sans" w:hAnsi="Open Sans" w:eastAsia="Open Sans" w:cs="Open Sans"/>
          <w:b w:val="0"/>
          <w:bCs w:val="0"/>
          <w:i w:val="0"/>
          <w:iCs w:val="0"/>
          <w:caps w:val="0"/>
          <w:smallCaps w:val="0"/>
          <w:noProof w:val="0"/>
          <w:color w:val="333333"/>
          <w:sz w:val="24"/>
          <w:szCs w:val="24"/>
          <w:lang w:val="en-GB"/>
        </w:rPr>
        <w:t xml:space="preserve">Wald, E. (2009). From begums and </w:t>
      </w:r>
      <w:r w:rsidRPr="3CF9A548" w:rsidR="77989434">
        <w:rPr>
          <w:rFonts w:ascii="Open Sans" w:hAnsi="Open Sans" w:eastAsia="Open Sans" w:cs="Open Sans"/>
          <w:b w:val="0"/>
          <w:bCs w:val="0"/>
          <w:i w:val="0"/>
          <w:iCs w:val="0"/>
          <w:caps w:val="0"/>
          <w:smallCaps w:val="0"/>
          <w:noProof w:val="0"/>
          <w:color w:val="333333"/>
          <w:sz w:val="24"/>
          <w:szCs w:val="24"/>
          <w:lang w:val="en-GB"/>
        </w:rPr>
        <w:t>bibis</w:t>
      </w:r>
      <w:r w:rsidRPr="3CF9A548" w:rsidR="77989434">
        <w:rPr>
          <w:rFonts w:ascii="Open Sans" w:hAnsi="Open Sans" w:eastAsia="Open Sans" w:cs="Open Sans"/>
          <w:b w:val="0"/>
          <w:bCs w:val="0"/>
          <w:i w:val="0"/>
          <w:iCs w:val="0"/>
          <w:caps w:val="0"/>
          <w:smallCaps w:val="0"/>
          <w:noProof w:val="0"/>
          <w:color w:val="333333"/>
          <w:sz w:val="24"/>
          <w:szCs w:val="24"/>
          <w:lang w:val="en-GB"/>
        </w:rPr>
        <w:t xml:space="preserve"> to abandoned females and idle women: sexual relationships, venereal </w:t>
      </w:r>
      <w:r w:rsidRPr="3CF9A548" w:rsidR="77989434">
        <w:rPr>
          <w:rFonts w:ascii="Open Sans" w:hAnsi="Open Sans" w:eastAsia="Open Sans" w:cs="Open Sans"/>
          <w:b w:val="0"/>
          <w:bCs w:val="0"/>
          <w:i w:val="0"/>
          <w:iCs w:val="0"/>
          <w:caps w:val="0"/>
          <w:smallCaps w:val="0"/>
          <w:noProof w:val="0"/>
          <w:color w:val="333333"/>
          <w:sz w:val="24"/>
          <w:szCs w:val="24"/>
          <w:lang w:val="en-GB"/>
        </w:rPr>
        <w:t>disease</w:t>
      </w:r>
      <w:r w:rsidRPr="3CF9A548" w:rsidR="77989434">
        <w:rPr>
          <w:rFonts w:ascii="Open Sans" w:hAnsi="Open Sans" w:eastAsia="Open Sans" w:cs="Open Sans"/>
          <w:b w:val="0"/>
          <w:bCs w:val="0"/>
          <w:i w:val="0"/>
          <w:iCs w:val="0"/>
          <w:caps w:val="0"/>
          <w:smallCaps w:val="0"/>
          <w:noProof w:val="0"/>
          <w:color w:val="333333"/>
          <w:sz w:val="24"/>
          <w:szCs w:val="24"/>
          <w:lang w:val="en-GB"/>
        </w:rPr>
        <w:t xml:space="preserve"> and the redefinition of prostitution in early nineteenth-century India: </w:t>
      </w:r>
      <w:r w:rsidRPr="3CF9A548" w:rsidR="77989434">
        <w:rPr>
          <w:rFonts w:ascii="Open Sans" w:hAnsi="Open Sans" w:eastAsia="Open Sans" w:cs="Open Sans"/>
          <w:b w:val="0"/>
          <w:bCs w:val="0"/>
          <w:i w:val="1"/>
          <w:iCs w:val="1"/>
          <w:caps w:val="0"/>
          <w:smallCaps w:val="0"/>
          <w:noProof w:val="0"/>
          <w:color w:val="333333"/>
          <w:sz w:val="24"/>
          <w:szCs w:val="24"/>
          <w:lang w:val="en-GB"/>
        </w:rPr>
        <w:t>The Indian Economic and Social History Review</w:t>
      </w:r>
      <w:r w:rsidRPr="3CF9A548" w:rsidR="77989434">
        <w:rPr>
          <w:rFonts w:ascii="Open Sans" w:hAnsi="Open Sans" w:eastAsia="Open Sans" w:cs="Open Sans"/>
          <w:b w:val="0"/>
          <w:bCs w:val="0"/>
          <w:i w:val="0"/>
          <w:iCs w:val="0"/>
          <w:caps w:val="0"/>
          <w:smallCaps w:val="0"/>
          <w:noProof w:val="0"/>
          <w:color w:val="333333"/>
          <w:sz w:val="24"/>
          <w:szCs w:val="24"/>
          <w:lang w:val="en-GB"/>
        </w:rPr>
        <w:t xml:space="preserve">, </w:t>
      </w:r>
      <w:r w:rsidRPr="3CF9A548" w:rsidR="77989434">
        <w:rPr>
          <w:rFonts w:ascii="Open Sans" w:hAnsi="Open Sans" w:eastAsia="Open Sans" w:cs="Open Sans"/>
          <w:b w:val="0"/>
          <w:bCs w:val="0"/>
          <w:i w:val="1"/>
          <w:iCs w:val="1"/>
          <w:caps w:val="0"/>
          <w:smallCaps w:val="0"/>
          <w:noProof w:val="0"/>
          <w:color w:val="333333"/>
          <w:sz w:val="24"/>
          <w:szCs w:val="24"/>
          <w:lang w:val="en-GB"/>
        </w:rPr>
        <w:t>46</w:t>
      </w:r>
      <w:r w:rsidRPr="3CF9A548" w:rsidR="77989434">
        <w:rPr>
          <w:rFonts w:ascii="Open Sans" w:hAnsi="Open Sans" w:eastAsia="Open Sans" w:cs="Open Sans"/>
          <w:b w:val="0"/>
          <w:bCs w:val="0"/>
          <w:i w:val="0"/>
          <w:iCs w:val="0"/>
          <w:caps w:val="0"/>
          <w:smallCaps w:val="0"/>
          <w:noProof w:val="0"/>
          <w:color w:val="333333"/>
          <w:sz w:val="24"/>
          <w:szCs w:val="24"/>
          <w:lang w:val="en-GB"/>
        </w:rPr>
        <w:t xml:space="preserve">(1), 5-25. </w:t>
      </w:r>
      <w:hyperlink r:id="R6d542655931947ee">
        <w:r w:rsidRPr="3CF9A548" w:rsidR="77989434">
          <w:rPr>
            <w:rStyle w:val="Hyperlink"/>
            <w:rFonts w:ascii="Open Sans" w:hAnsi="Open Sans" w:eastAsia="Open Sans" w:cs="Open Sans"/>
            <w:b w:val="0"/>
            <w:bCs w:val="0"/>
            <w:i w:val="0"/>
            <w:iCs w:val="0"/>
            <w:caps w:val="0"/>
            <w:smallCaps w:val="0"/>
            <w:strike w:val="0"/>
            <w:dstrike w:val="0"/>
            <w:noProof w:val="0"/>
            <w:sz w:val="24"/>
            <w:szCs w:val="24"/>
            <w:lang w:val="en-GB"/>
          </w:rPr>
          <w:t>https://doi.org/10.1177/001946460804600102</w:t>
        </w:r>
      </w:hyperlink>
      <w:r w:rsidRPr="3CF9A548" w:rsidR="77989434">
        <w:rPr>
          <w:rFonts w:ascii="Open Sans" w:hAnsi="Open Sans" w:eastAsia="Open Sans" w:cs="Open Sans"/>
          <w:b w:val="0"/>
          <w:bCs w:val="0"/>
          <w:i w:val="0"/>
          <w:iCs w:val="0"/>
          <w:caps w:val="0"/>
          <w:smallCaps w:val="0"/>
          <w:noProof w:val="0"/>
          <w:color w:val="333333"/>
          <w:sz w:val="24"/>
          <w:szCs w:val="24"/>
          <w:lang w:val="en-GB"/>
        </w:rPr>
        <w:t xml:space="preserve"> </w:t>
      </w:r>
    </w:p>
    <w:p w:rsidR="383AF2B7" w:rsidP="383AF2B7" w:rsidRDefault="383AF2B7" w14:paraId="70C8CC6F" w14:textId="5AA63A0B">
      <w:pPr>
        <w:pStyle w:val="Normal"/>
        <w:rPr>
          <w:b w:val="0"/>
          <w:bCs w:val="0"/>
          <w:u w:val="none"/>
        </w:rPr>
      </w:pPr>
    </w:p>
    <w:sectPr>
      <w:pgSz w:w="11906" w:h="16838" w:orient="portrait"/>
      <w:pgMar w:top="1440" w:right="1440" w:bottom="1440" w:left="1440" w:header="720" w:footer="720" w:gutter="0"/>
      <w:cols w:space="720"/>
      <w:docGrid w:linePitch="360"/>
      <w:headerReference w:type="default" r:id="R08f6066c71bb40c7"/>
      <w:footerReference w:type="default" r:id="Ra2ef39e6204247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005"/>
      <w:gridCol w:w="3005"/>
      <w:gridCol w:w="3005"/>
    </w:tblGrid>
    <w:tr w:rsidR="643709FB" w:rsidTr="643709FB" w14:paraId="23AB8D68">
      <w:trPr>
        <w:trHeight w:val="300"/>
      </w:trPr>
      <w:tc>
        <w:tcPr>
          <w:tcW w:w="3005" w:type="dxa"/>
          <w:tcMar/>
        </w:tcPr>
        <w:p w:rsidR="643709FB" w:rsidP="643709FB" w:rsidRDefault="643709FB" w14:paraId="1C4998D8" w14:textId="124E8F5C">
          <w:pPr>
            <w:pStyle w:val="Header"/>
            <w:bidi w:val="0"/>
            <w:ind w:left="-115"/>
            <w:jc w:val="left"/>
          </w:pPr>
        </w:p>
      </w:tc>
      <w:tc>
        <w:tcPr>
          <w:tcW w:w="3005" w:type="dxa"/>
          <w:tcMar/>
        </w:tcPr>
        <w:p w:rsidR="643709FB" w:rsidP="643709FB" w:rsidRDefault="643709FB" w14:paraId="6299F1D9" w14:textId="25616FB8">
          <w:pPr>
            <w:pStyle w:val="Header"/>
            <w:bidi w:val="0"/>
            <w:jc w:val="center"/>
          </w:pPr>
        </w:p>
      </w:tc>
      <w:tc>
        <w:tcPr>
          <w:tcW w:w="3005" w:type="dxa"/>
          <w:tcMar/>
        </w:tcPr>
        <w:p w:rsidR="643709FB" w:rsidP="643709FB" w:rsidRDefault="643709FB" w14:paraId="579E8449" w14:textId="42EF5286">
          <w:pPr>
            <w:pStyle w:val="Header"/>
            <w:bidi w:val="0"/>
            <w:ind w:right="-115"/>
            <w:jc w:val="right"/>
          </w:pPr>
        </w:p>
      </w:tc>
    </w:tr>
  </w:tbl>
  <w:p w:rsidR="643709FB" w:rsidP="643709FB" w:rsidRDefault="643709FB" w14:paraId="09FB8617" w14:textId="356AB2F8">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footnote w:type="separator" w:id="-1">
    <w:p w:rsidR="643709FB" w:rsidRDefault="643709FB" w14:paraId="5530B6BE" w14:textId="167E6AF3">
      <w:pPr>
        <w:spacing w:after="0" w:line="240" w:lineRule="auto"/>
      </w:pPr>
      <w:r>
        <w:separator/>
      </w:r>
    </w:p>
  </w:footnote>
  <w:footnote w:type="continuationSeparator" w:id="0">
    <w:p w:rsidR="643709FB" w:rsidRDefault="643709FB" w14:paraId="2496BEB5" w14:textId="050AACDD">
      <w:pPr>
        <w:spacing w:after="0" w:line="240" w:lineRule="auto"/>
      </w:pPr>
      <w:r>
        <w:continuationSeparator/>
      </w:r>
    </w:p>
  </w:footnote>
  <w:footnote w:id="29950">
    <w:p w:rsidR="643709FB" w:rsidP="643709FB" w:rsidRDefault="643709FB" w14:paraId="7B6BE697" w14:textId="6D10186A">
      <w:pPr>
        <w:pStyle w:val="FootnoteText"/>
        <w:bidi w:val="0"/>
      </w:pPr>
      <w:r w:rsidRPr="643709FB">
        <w:rPr>
          <w:rStyle w:val="FootnoteReference"/>
        </w:rPr>
        <w:footnoteRef/>
      </w:r>
      <w:r w:rsidR="68E97E63">
        <w:rPr/>
        <w:t xml:space="preserve"> Iftikhar Rukhsana, ‘Colonial Desire, Orient Beauty: Army and Prostitution in British India</w:t>
      </w:r>
      <w:r w:rsidR="68E97E63">
        <w:rPr/>
        <w:t>’,</w:t>
      </w:r>
      <w:r w:rsidR="68E97E63">
        <w:rPr/>
        <w:t xml:space="preserve"> Journal of the Research Society of Pakistan, 55.1 (2018), p.269.</w:t>
      </w:r>
    </w:p>
  </w:footnote>
  <w:footnote w:id="21344">
    <w:p w:rsidR="643709FB" w:rsidP="126877C5" w:rsidRDefault="643709FB" w14:paraId="7FD39F73" w14:textId="1A5C7DFA">
      <w:pPr>
        <w:pStyle w:val="FootnoteText"/>
        <w:bidi w:val="0"/>
        <w:rPr>
          <w:rFonts w:ascii="Open Sans" w:hAnsi="Open Sans" w:eastAsia="Open Sans" w:cs="Open Sans"/>
          <w:b w:val="0"/>
          <w:bCs w:val="0"/>
          <w:i w:val="0"/>
          <w:iCs w:val="0"/>
          <w:caps w:val="0"/>
          <w:smallCaps w:val="0"/>
          <w:strike w:val="0"/>
          <w:dstrike w:val="0"/>
          <w:noProof w:val="0"/>
          <w:sz w:val="20"/>
          <w:szCs w:val="20"/>
          <w:lang w:val="en-GB"/>
        </w:rPr>
      </w:pPr>
      <w:r w:rsidRPr="4BA4CB47">
        <w:rPr>
          <w:rStyle w:val="FootnoteReference"/>
          <w:sz w:val="20"/>
          <w:szCs w:val="20"/>
        </w:rPr>
        <w:footnoteRef/>
      </w:r>
      <w:r w:rsidRPr="4BA4CB47" w:rsidR="126877C5">
        <w:rPr>
          <w:sz w:val="20"/>
          <w:szCs w:val="20"/>
        </w:rPr>
        <w:t xml:space="preserv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Douglas M Peers, Soldiers, Surgeons and the Campaigns to Combat Sexually Transmitted Diseases in Colonial India, 1805-1860 </w:t>
      </w:r>
      <w:r w:rsidRPr="126877C5" w:rsidR="126877C5">
        <w:rPr>
          <w:rFonts w:ascii="Open Sans" w:hAnsi="Open Sans" w:eastAsia="Open Sans" w:cs="Open Sans"/>
          <w:b w:val="0"/>
          <w:bCs w:val="0"/>
          <w:i w:val="1"/>
          <w:iCs w:val="1"/>
          <w:caps w:val="0"/>
          <w:smallCaps w:val="0"/>
          <w:noProof w:val="0"/>
          <w:color w:val="000000" w:themeColor="text1" w:themeTint="FF" w:themeShade="FF"/>
          <w:sz w:val="20"/>
          <w:szCs w:val="20"/>
          <w:lang w:val="en-GB"/>
        </w:rPr>
        <w:t>Medical History,</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1998</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42(2), p.551</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p>
    <w:p w:rsidR="643709FB" w:rsidP="4BA4CB47" w:rsidRDefault="643709FB" w14:paraId="6B700927" w14:textId="10E04625">
      <w:pPr>
        <w:pStyle w:val="FootnoteText"/>
        <w:bidi w:val="0"/>
        <w:rPr>
          <w:sz w:val="20"/>
          <w:szCs w:val="20"/>
        </w:rPr>
      </w:pPr>
    </w:p>
  </w:footnote>
  <w:footnote w:id="1995">
    <w:p w:rsidR="4EEF06C2" w:rsidP="4EEF06C2" w:rsidRDefault="4EEF06C2" w14:paraId="26FF426D" w14:textId="259BB658">
      <w:pPr>
        <w:pStyle w:val="FootnoteText"/>
        <w:bidi w:val="0"/>
        <w:rPr>
          <w:noProof w:val="0"/>
          <w:lang w:val="en-GB"/>
        </w:rPr>
      </w:pPr>
      <w:r w:rsidRPr="4EEF06C2">
        <w:rPr>
          <w:rStyle w:val="FootnoteReference"/>
        </w:rPr>
        <w:footnoteRef/>
      </w:r>
      <w:r w:rsidR="2468606C">
        <w:rPr/>
        <w:t xml:space="preserve"> </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w:t>
      </w:r>
      <w:r w:rsidRPr="2468606C" w:rsidR="2468606C">
        <w:rPr>
          <w:rFonts w:ascii="Open Sans" w:hAnsi="Open Sans" w:eastAsia="Open Sans" w:cs="Open Sans"/>
          <w:b w:val="0"/>
          <w:bCs w:val="0"/>
          <w:i w:val="0"/>
          <w:iCs w:val="0"/>
          <w:caps w:val="0"/>
          <w:smallCaps w:val="0"/>
          <w:noProof w:val="0"/>
          <w:color w:val="555555"/>
          <w:sz w:val="20"/>
          <w:szCs w:val="20"/>
          <w:lang w:val="en-GB"/>
        </w:rPr>
        <w:t>Sabya</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Sachi </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R </w:t>
      </w:r>
      <w:r w:rsidRPr="2468606C" w:rsidR="2468606C">
        <w:rPr>
          <w:rFonts w:ascii="Open Sans" w:hAnsi="Open Sans" w:eastAsia="Open Sans" w:cs="Open Sans"/>
          <w:b w:val="0"/>
          <w:bCs w:val="0"/>
          <w:i w:val="0"/>
          <w:iCs w:val="0"/>
          <w:caps w:val="0"/>
          <w:smallCaps w:val="0"/>
          <w:noProof w:val="0"/>
          <w:color w:val="555555"/>
          <w:sz w:val="20"/>
          <w:szCs w:val="20"/>
          <w:lang w:val="en-GB"/>
        </w:rPr>
        <w:t>Mishra</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w:t>
      </w:r>
      <w:r w:rsidRPr="2468606C" w:rsidR="2468606C">
        <w:rPr>
          <w:rFonts w:ascii="Open Sans" w:hAnsi="Open Sans" w:eastAsia="Open Sans" w:cs="Open Sans"/>
          <w:b w:val="0"/>
          <w:bCs w:val="0"/>
          <w:i w:val="0"/>
          <w:iCs w:val="0"/>
          <w:caps w:val="0"/>
          <w:smallCaps w:val="0"/>
          <w:noProof w:val="0"/>
          <w:color w:val="555555"/>
          <w:sz w:val="20"/>
          <w:szCs w:val="20"/>
          <w:lang w:val="en-GB"/>
        </w:rPr>
        <w:t>‘</w:t>
      </w:r>
      <w:r w:rsidRPr="2468606C" w:rsidR="2468606C">
        <w:rPr>
          <w:rFonts w:ascii="Open Sans" w:hAnsi="Open Sans" w:eastAsia="Open Sans" w:cs="Open Sans"/>
          <w:b w:val="0"/>
          <w:bCs w:val="0"/>
          <w:i w:val="0"/>
          <w:iCs w:val="0"/>
          <w:caps w:val="0"/>
          <w:smallCaps w:val="0"/>
          <w:noProof w:val="0"/>
          <w:color w:val="555555"/>
          <w:sz w:val="20"/>
          <w:szCs w:val="20"/>
          <w:lang w:val="en-GB"/>
        </w:rPr>
        <w:t>Laws of pleasure: The Making of Indian Contagious Diseases Act</w:t>
      </w:r>
      <w:r w:rsidRPr="2468606C" w:rsidR="2468606C">
        <w:rPr>
          <w:rFonts w:ascii="Open Sans" w:hAnsi="Open Sans" w:eastAsia="Open Sans" w:cs="Open Sans"/>
          <w:b w:val="0"/>
          <w:bCs w:val="0"/>
          <w:i w:val="0"/>
          <w:iCs w:val="0"/>
          <w:caps w:val="0"/>
          <w:smallCaps w:val="0"/>
          <w:noProof w:val="0"/>
          <w:color w:val="555555"/>
          <w:sz w:val="20"/>
          <w:szCs w:val="20"/>
          <w:lang w:val="en-GB"/>
        </w:rPr>
        <w:t>, 1868.</w:t>
      </w:r>
      <w:r w:rsidRPr="2468606C" w:rsidR="2468606C">
        <w:rPr>
          <w:rFonts w:ascii="Open Sans" w:hAnsi="Open Sans" w:eastAsia="Open Sans" w:cs="Open Sans"/>
          <w:b w:val="0"/>
          <w:bCs w:val="0"/>
          <w:i w:val="0"/>
          <w:iCs w:val="0"/>
          <w:caps w:val="0"/>
          <w:smallCaps w:val="0"/>
          <w:noProof w:val="0"/>
          <w:color w:val="555555"/>
          <w:sz w:val="20"/>
          <w:szCs w:val="20"/>
          <w:lang w:val="en-GB"/>
        </w:rPr>
        <w:t>’</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w:t>
      </w:r>
      <w:r w:rsidRPr="2468606C" w:rsidR="2468606C">
        <w:rPr>
          <w:rFonts w:ascii="Open Sans" w:hAnsi="Open Sans" w:eastAsia="Open Sans" w:cs="Open Sans"/>
          <w:b w:val="0"/>
          <w:bCs w:val="0"/>
          <w:i w:val="1"/>
          <w:iCs w:val="1"/>
          <w:caps w:val="0"/>
          <w:smallCaps w:val="0"/>
          <w:noProof w:val="0"/>
          <w:color w:val="555555"/>
          <w:sz w:val="20"/>
          <w:szCs w:val="20"/>
          <w:lang w:val="en-GB"/>
        </w:rPr>
        <w:t>Proceedings of the Indian History Congress</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vol. </w:t>
      </w:r>
      <w:r w:rsidRPr="2468606C" w:rsidR="2468606C">
        <w:rPr>
          <w:rFonts w:ascii="Open Sans" w:hAnsi="Open Sans" w:eastAsia="Open Sans" w:cs="Open Sans"/>
          <w:b w:val="0"/>
          <w:bCs w:val="0"/>
          <w:i w:val="0"/>
          <w:iCs w:val="0"/>
          <w:caps w:val="0"/>
          <w:smallCaps w:val="0"/>
          <w:noProof w:val="0"/>
          <w:color w:val="555555"/>
          <w:sz w:val="20"/>
          <w:szCs w:val="20"/>
          <w:lang w:val="en-GB"/>
        </w:rPr>
        <w:t>60, (1999</w:t>
      </w:r>
      <w:r w:rsidRPr="2468606C" w:rsidR="2468606C">
        <w:rPr>
          <w:rFonts w:ascii="Open Sans" w:hAnsi="Open Sans" w:eastAsia="Open Sans" w:cs="Open Sans"/>
          <w:b w:val="0"/>
          <w:bCs w:val="0"/>
          <w:i w:val="0"/>
          <w:iCs w:val="0"/>
          <w:caps w:val="0"/>
          <w:smallCaps w:val="0"/>
          <w:noProof w:val="0"/>
          <w:color w:val="555555"/>
          <w:sz w:val="20"/>
          <w:szCs w:val="20"/>
          <w:lang w:val="en-GB"/>
        </w:rPr>
        <w:t>)</w:t>
      </w:r>
      <w:r w:rsidRPr="2468606C" w:rsidR="2468606C">
        <w:rPr>
          <w:rFonts w:ascii="Open Sans" w:hAnsi="Open Sans" w:eastAsia="Open Sans" w:cs="Open Sans"/>
          <w:b w:val="0"/>
          <w:bCs w:val="0"/>
          <w:i w:val="0"/>
          <w:iCs w:val="0"/>
          <w:caps w:val="0"/>
          <w:smallCaps w:val="0"/>
          <w:noProof w:val="0"/>
          <w:color w:val="555555"/>
          <w:sz w:val="20"/>
          <w:szCs w:val="20"/>
          <w:lang w:val="en-GB"/>
        </w:rPr>
        <w:t>, p.553</w:t>
      </w:r>
      <w:r w:rsidRPr="2468606C" w:rsidR="2468606C">
        <w:rPr>
          <w:rFonts w:ascii="Open Sans" w:hAnsi="Open Sans" w:eastAsia="Open Sans" w:cs="Open Sans"/>
          <w:b w:val="0"/>
          <w:bCs w:val="0"/>
          <w:i w:val="0"/>
          <w:iCs w:val="0"/>
          <w:caps w:val="0"/>
          <w:smallCaps w:val="0"/>
          <w:noProof w:val="0"/>
          <w:color w:val="555555"/>
          <w:sz w:val="20"/>
          <w:szCs w:val="20"/>
          <w:lang w:val="en-GB"/>
        </w:rPr>
        <w:t>.</w:t>
      </w:r>
      <w:r w:rsidRPr="2468606C" w:rsidR="2468606C">
        <w:rPr>
          <w:rFonts w:ascii="Open Sans" w:hAnsi="Open Sans" w:eastAsia="Open Sans" w:cs="Open Sans"/>
          <w:b w:val="0"/>
          <w:bCs w:val="0"/>
          <w:i w:val="0"/>
          <w:iCs w:val="0"/>
          <w:caps w:val="0"/>
          <w:smallCaps w:val="0"/>
          <w:noProof w:val="0"/>
          <w:color w:val="555555"/>
          <w:sz w:val="20"/>
          <w:szCs w:val="20"/>
          <w:lang w:val="en-GB"/>
        </w:rPr>
        <w:t xml:space="preserve"> </w:t>
      </w:r>
    </w:p>
    <w:p w:rsidR="4EEF06C2" w:rsidP="4EEF06C2" w:rsidRDefault="4EEF06C2" w14:paraId="11091EC0" w14:textId="7AF8768C">
      <w:pPr>
        <w:pStyle w:val="FootnoteText"/>
        <w:bidi w:val="0"/>
      </w:pPr>
    </w:p>
  </w:footnote>
  <w:footnote w:id="12296">
    <w:p w:rsidR="4EEF06C2" w:rsidP="4BA4CB47" w:rsidRDefault="4EEF06C2" w14:paraId="38C12F05" w14:textId="058174E6">
      <w:pPr>
        <w:pStyle w:val="FootnoteText"/>
        <w:bidi w:val="0"/>
        <w:rPr>
          <w:rFonts w:ascii="Open Sans" w:hAnsi="Open Sans" w:eastAsia="Open Sans" w:cs="Open Sans"/>
          <w:b w:val="0"/>
          <w:bCs w:val="0"/>
          <w:i w:val="0"/>
          <w:iCs w:val="0"/>
          <w:caps w:val="0"/>
          <w:smallCaps w:val="0"/>
          <w:noProof w:val="0"/>
          <w:color w:val="555555"/>
          <w:sz w:val="20"/>
          <w:szCs w:val="20"/>
          <w:lang w:val="en-GB"/>
        </w:rPr>
      </w:pPr>
      <w:r w:rsidRPr="4BA4CB47">
        <w:rPr>
          <w:rStyle w:val="FootnoteReference"/>
          <w:sz w:val="20"/>
          <w:szCs w:val="20"/>
        </w:rPr>
        <w:footnoteRef/>
      </w:r>
      <w:r w:rsidRPr="4BA4CB47" w:rsidR="4BA4CB47">
        <w:rPr>
          <w:sz w:val="20"/>
          <w:szCs w:val="20"/>
        </w:rPr>
        <w:t xml:space="preserve"> </w:t>
      </w:r>
      <w:r w:rsidRPr="4BA4CB47" w:rsidR="4BA4CB47">
        <w:rPr>
          <w:rFonts w:ascii="Open Sans" w:hAnsi="Open Sans" w:eastAsia="Open Sans" w:cs="Open Sans"/>
          <w:b w:val="0"/>
          <w:bCs w:val="0"/>
          <w:i w:val="0"/>
          <w:iCs w:val="0"/>
          <w:caps w:val="0"/>
          <w:smallCaps w:val="0"/>
          <w:noProof w:val="0"/>
          <w:color w:val="555555"/>
          <w:sz w:val="20"/>
          <w:szCs w:val="20"/>
          <w:lang w:val="en-GB"/>
        </w:rPr>
        <w:t>Sabya</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 Sachi </w:t>
      </w:r>
      <w:r w:rsidRPr="4BA4CB47" w:rsidR="4BA4CB47">
        <w:rPr>
          <w:rFonts w:ascii="Open Sans" w:hAnsi="Open Sans" w:eastAsia="Open Sans" w:cs="Open Sans"/>
          <w:b w:val="0"/>
          <w:bCs w:val="0"/>
          <w:i w:val="0"/>
          <w:iCs w:val="0"/>
          <w:caps w:val="0"/>
          <w:smallCaps w:val="0"/>
          <w:noProof w:val="0"/>
          <w:color w:val="555555"/>
          <w:sz w:val="20"/>
          <w:szCs w:val="20"/>
          <w:lang w:val="en-GB"/>
        </w:rPr>
        <w:t>R .Mishra</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 </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Laws of pleasure: </w:t>
      </w:r>
      <w:r w:rsidRPr="4BA4CB47" w:rsidR="4BA4CB47">
        <w:rPr>
          <w:rFonts w:ascii="Open Sans" w:hAnsi="Open Sans" w:eastAsia="Open Sans" w:cs="Open Sans"/>
          <w:b w:val="0"/>
          <w:bCs w:val="0"/>
          <w:i w:val="0"/>
          <w:iCs w:val="0"/>
          <w:caps w:val="0"/>
          <w:smallCaps w:val="0"/>
          <w:noProof w:val="0"/>
          <w:color w:val="555555"/>
          <w:sz w:val="20"/>
          <w:szCs w:val="20"/>
          <w:lang w:val="en-GB"/>
        </w:rPr>
        <w:t>The Making of Indian Contagious Diseases Ac</w:t>
      </w:r>
      <w:r w:rsidRPr="4BA4CB47" w:rsidR="4BA4CB47">
        <w:rPr>
          <w:rFonts w:ascii="Open Sans" w:hAnsi="Open Sans" w:eastAsia="Open Sans" w:cs="Open Sans"/>
          <w:b w:val="0"/>
          <w:bCs w:val="0"/>
          <w:i w:val="1"/>
          <w:iCs w:val="1"/>
          <w:caps w:val="0"/>
          <w:smallCaps w:val="0"/>
          <w:noProof w:val="0"/>
          <w:color w:val="555555"/>
          <w:sz w:val="20"/>
          <w:szCs w:val="20"/>
          <w:lang w:val="en-GB"/>
        </w:rPr>
        <w:t>t,</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 1868.</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w:t>
      </w:r>
      <w:r w:rsidRPr="4BA4CB47" w:rsidR="4BA4CB47">
        <w:rPr>
          <w:rFonts w:ascii="Open Sans" w:hAnsi="Open Sans" w:eastAsia="Open Sans" w:cs="Open Sans"/>
          <w:b w:val="0"/>
          <w:bCs w:val="0"/>
          <w:i w:val="0"/>
          <w:iCs w:val="0"/>
          <w:caps w:val="0"/>
          <w:smallCaps w:val="0"/>
          <w:noProof w:val="0"/>
          <w:color w:val="555555"/>
          <w:sz w:val="20"/>
          <w:szCs w:val="20"/>
          <w:lang w:val="en-GB"/>
        </w:rPr>
        <w:t xml:space="preserve"> p.555.</w:t>
      </w:r>
    </w:p>
  </w:footnote>
  <w:footnote w:id="8677">
    <w:p w:rsidR="4EEF06C2" w:rsidP="4BA4CB47" w:rsidRDefault="4EEF06C2" w14:paraId="5FFC45C8" w14:textId="08C12981">
      <w:pPr>
        <w:pStyle w:val="FootnoteText"/>
        <w:bidi w:val="0"/>
        <w:rPr>
          <w:noProof w:val="0"/>
          <w:sz w:val="20"/>
          <w:szCs w:val="20"/>
          <w:lang w:val="en-GB"/>
        </w:rPr>
      </w:pPr>
      <w:r w:rsidRPr="4BA4CB47">
        <w:rPr>
          <w:rStyle w:val="FootnoteReference"/>
          <w:sz w:val="20"/>
          <w:szCs w:val="20"/>
        </w:rPr>
        <w:footnoteRef/>
      </w:r>
      <w:r w:rsidRPr="4BA4CB47" w:rsidR="4BA4CB47">
        <w:rPr>
          <w:sz w:val="20"/>
          <w:szCs w:val="20"/>
        </w:rPr>
        <w:t xml:space="preserve"> </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Divya Rama Gopalakrishnan, </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Venereal</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diseases, public </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health</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and sanitary measures in the mid-nineteenth century Madras Presidency</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w:t>
      </w:r>
      <w:r w:rsidRPr="4BA4CB47" w:rsidR="4BA4CB47">
        <w:rPr>
          <w:rFonts w:ascii="Noto Sans" w:hAnsi="Noto Sans" w:eastAsia="Noto Sans" w:cs="Noto Sans"/>
          <w:b w:val="0"/>
          <w:bCs w:val="0"/>
          <w:i w:val="1"/>
          <w:iCs w:val="1"/>
          <w:caps w:val="0"/>
          <w:smallCaps w:val="0"/>
          <w:noProof w:val="0"/>
          <w:color w:val="000000" w:themeColor="text1" w:themeTint="FF" w:themeShade="FF"/>
          <w:sz w:val="20"/>
          <w:szCs w:val="20"/>
          <w:lang w:val="en-GB"/>
        </w:rPr>
        <w:t xml:space="preserve">,</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w:t>
      </w:r>
      <w:r w:rsidRPr="4BA4CB47" w:rsidR="4BA4CB47">
        <w:rPr>
          <w:rFonts w:ascii="Noto Sans" w:hAnsi="Noto Sans" w:eastAsia="Noto Sans" w:cs="Noto Sans"/>
          <w:b w:val="0"/>
          <w:bCs w:val="0"/>
          <w:i w:val="1"/>
          <w:iCs w:val="1"/>
          <w:caps w:val="0"/>
          <w:smallCaps w:val="0"/>
          <w:noProof w:val="0"/>
          <w:color w:val="000000" w:themeColor="text1" w:themeTint="FF" w:themeShade="FF"/>
          <w:sz w:val="20"/>
          <w:szCs w:val="20"/>
          <w:lang w:val="en-GB"/>
        </w:rPr>
        <w:t xml:space="preserve">The Indian Economic and Social History Review</w:t>
      </w:r>
      <w:r w:rsidRPr="4BA4CB47" w:rsidR="4BA4CB4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61, 2 (2024): p,151.</w:t>
      </w:r>
    </w:p>
    <w:p w:rsidR="4EEF06C2" w:rsidP="4EEF06C2" w:rsidRDefault="4EEF06C2" w14:paraId="2268A386" w14:textId="5C0C1F50">
      <w:pPr>
        <w:pStyle w:val="FootnoteText"/>
        <w:bidi w:val="0"/>
      </w:pPr>
    </w:p>
  </w:footnote>
  <w:footnote w:id="32202">
    <w:p w:rsidR="4EEF06C2" w:rsidP="126877C5" w:rsidRDefault="4EEF06C2" w14:paraId="749AC010" w14:textId="34F2BE71">
      <w:pPr>
        <w:pStyle w:val="FootnoteText"/>
        <w:bidi w:val="0"/>
        <w:rPr>
          <w:rFonts w:ascii="Noto Sans" w:hAnsi="Noto Sans" w:eastAsia="Noto Sans" w:cs="Noto Sans"/>
          <w:b w:val="0"/>
          <w:bCs w:val="0"/>
          <w:i w:val="0"/>
          <w:iCs w:val="0"/>
          <w:caps w:val="0"/>
          <w:smallCaps w:val="0"/>
          <w:noProof w:val="0"/>
          <w:color w:val="000000" w:themeColor="text1" w:themeTint="FF" w:themeShade="FF"/>
          <w:sz w:val="20"/>
          <w:szCs w:val="20"/>
          <w:lang w:val="en-GB"/>
        </w:rPr>
      </w:pPr>
      <w:r w:rsidRPr="4BA4CB47">
        <w:rPr>
          <w:rStyle w:val="FootnoteReference"/>
          <w:sz w:val="20"/>
          <w:szCs w:val="20"/>
        </w:rPr>
        <w:footnoteRef/>
      </w:r>
      <w:r w:rsidRPr="4BA4CB47" w:rsidR="126877C5">
        <w:rPr>
          <w:sz w:val="20"/>
          <w:szCs w:val="20"/>
        </w:rPr>
        <w:t xml:space="preserve"> </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Stephen Legg</w:t>
      </w:r>
      <w:r w:rsidRPr="126877C5" w:rsidR="126877C5">
        <w:rPr>
          <w:rFonts w:ascii="Noto Sans" w:hAnsi="Noto Sans" w:eastAsia="Noto Sans" w:cs="Noto Sans"/>
          <w:b w:val="0"/>
          <w:bCs w:val="0"/>
          <w:i w:val="1"/>
          <w:iCs w:val="1"/>
          <w:caps w:val="0"/>
          <w:smallCaps w:val="0"/>
          <w:noProof w:val="0"/>
          <w:color w:val="000000" w:themeColor="text1" w:themeTint="FF" w:themeShade="FF"/>
          <w:sz w:val="20"/>
          <w:szCs w:val="20"/>
          <w:lang w:val="en-GB"/>
        </w:rPr>
        <w:t xml:space="preserve">, Modern Asian Studies </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46, </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6</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CambridgeUniversityPress</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2012</w:t>
      </w:r>
      <w:r w:rsidRPr="126877C5" w:rsidR="126877C5">
        <w:rPr>
          <w:rFonts w:ascii="Noto Sans" w:hAnsi="Noto Sans" w:eastAsia="Noto Sans" w:cs="Noto Sans"/>
          <w:b w:val="0"/>
          <w:bCs w:val="0"/>
          <w:i w:val="0"/>
          <w:iCs w:val="0"/>
          <w:caps w:val="0"/>
          <w:smallCaps w:val="0"/>
          <w:noProof w:val="0"/>
          <w:color w:val="000000" w:themeColor="text1" w:themeTint="FF" w:themeShade="FF"/>
          <w:sz w:val="20"/>
          <w:szCs w:val="20"/>
          <w:lang w:val="en-GB"/>
        </w:rPr>
        <w:t>), p.1463.</w:t>
      </w:r>
    </w:p>
    <w:p w:rsidR="4EEF06C2" w:rsidP="4EEF06C2" w:rsidRDefault="4EEF06C2" w14:paraId="5D50C409" w14:textId="111E49F4">
      <w:pPr>
        <w:pStyle w:val="FootnoteText"/>
        <w:bidi w:val="0"/>
      </w:pPr>
    </w:p>
  </w:footnote>
  <w:footnote w:id="6949">
    <w:p w:rsidR="4BA4CB47" w:rsidP="2468606C" w:rsidRDefault="4BA4CB47" w14:paraId="2F2D09C5" w14:textId="06AC5EB2">
      <w:pPr>
        <w:pStyle w:val="FootnoteText"/>
        <w:bidi w:val="0"/>
        <w:rPr>
          <w:rFonts w:ascii="Open Sans" w:hAnsi="Open Sans" w:eastAsia="Open Sans" w:cs="Open Sans"/>
          <w:b w:val="0"/>
          <w:bCs w:val="0"/>
          <w:i w:val="1"/>
          <w:iCs w:val="1"/>
          <w:caps w:val="0"/>
          <w:smallCaps w:val="0"/>
          <w:noProof w:val="0"/>
          <w:color w:val="000000" w:themeColor="text1" w:themeTint="FF" w:themeShade="FF"/>
          <w:sz w:val="20"/>
          <w:szCs w:val="20"/>
          <w:lang w:val="en-GB"/>
        </w:rPr>
      </w:pPr>
      <w:r w:rsidRPr="383AF2B7">
        <w:rPr>
          <w:rStyle w:val="FootnoteReference"/>
          <w:sz w:val="20"/>
          <w:szCs w:val="20"/>
        </w:rPr>
        <w:footnoteRef/>
      </w:r>
      <w:r w:rsidRPr="383AF2B7" w:rsidR="2468606C">
        <w:rPr>
          <w:sz w:val="20"/>
          <w:szCs w:val="20"/>
        </w:rPr>
        <w:t xml:space="preserve"> </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Mridula</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Ramanna</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“Control and Resistance: The Working of the Contagious Diseases Acts in Bombay City.” </w:t>
      </w:r>
      <w:r w:rsidRPr="2468606C" w:rsidR="2468606C">
        <w:rPr>
          <w:rFonts w:ascii="Open Sans" w:hAnsi="Open Sans" w:eastAsia="Open Sans" w:cs="Open Sans"/>
          <w:b w:val="0"/>
          <w:bCs w:val="0"/>
          <w:i w:val="1"/>
          <w:iCs w:val="1"/>
          <w:caps w:val="0"/>
          <w:smallCaps w:val="0"/>
          <w:noProof w:val="0"/>
          <w:color w:val="000000" w:themeColor="text1" w:themeTint="FF" w:themeShade="FF"/>
          <w:sz w:val="20"/>
          <w:szCs w:val="20"/>
          <w:lang w:val="en-GB"/>
        </w:rPr>
        <w:t>Economic and Political Weekly</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vol. 35, no. 17, 2000, p</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1</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470. </w:t>
      </w:r>
    </w:p>
    <w:p w:rsidR="4BA4CB47" w:rsidP="4BA4CB47" w:rsidRDefault="4BA4CB47" w14:paraId="28E32F78" w14:textId="13A86CCA">
      <w:pPr>
        <w:pStyle w:val="FootnoteText"/>
        <w:bidi w:val="0"/>
      </w:pPr>
    </w:p>
  </w:footnote>
  <w:footnote w:id="29516">
    <w:p w:rsidR="4BA4CB47" w:rsidP="383AF2B7" w:rsidRDefault="4BA4CB47" w14:paraId="1178D478" w14:textId="4418FF7C">
      <w:pPr>
        <w:pStyle w:val="FootnoteText"/>
        <w:bidi w:val="0"/>
        <w:rPr>
          <w:noProof w:val="0"/>
          <w:sz w:val="20"/>
          <w:szCs w:val="20"/>
          <w:lang w:val="en-GB"/>
        </w:rPr>
      </w:pPr>
      <w:r w:rsidRPr="383AF2B7">
        <w:rPr>
          <w:rStyle w:val="FootnoteReference"/>
          <w:sz w:val="20"/>
          <w:szCs w:val="20"/>
        </w:rPr>
        <w:footnoteRef/>
      </w:r>
      <w:r w:rsidRPr="383AF2B7" w:rsidR="383AF2B7">
        <w:rPr>
          <w:sz w:val="20"/>
          <w:szCs w:val="20"/>
        </w:rPr>
        <w:t xml:space="preserve"> </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Vigya, Tripathi, ‘Guarding the Female Body: The contagious Disease Act of 19</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vertAlign w:val="superscript"/>
          <w:lang w:val="en-GB"/>
        </w:rPr>
        <w:t>th</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Century British India’, </w:t>
      </w:r>
      <w:r w:rsidRPr="383AF2B7" w:rsidR="383AF2B7">
        <w:rPr>
          <w:rFonts w:ascii="Noto Sans" w:hAnsi="Noto Sans" w:eastAsia="Noto Sans" w:cs="Noto Sans"/>
          <w:b w:val="0"/>
          <w:bCs w:val="0"/>
          <w:i w:val="1"/>
          <w:iCs w:val="1"/>
          <w:caps w:val="0"/>
          <w:smallCaps w:val="0"/>
          <w:noProof w:val="0"/>
          <w:color w:val="000000" w:themeColor="text1" w:themeTint="FF" w:themeShade="FF"/>
          <w:sz w:val="20"/>
          <w:szCs w:val="20"/>
          <w:lang w:val="en-GB"/>
        </w:rPr>
        <w:t>International Journal of Creative Research Thoughts, Volume</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 12, issue 2, (</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2024)</w:t>
      </w:r>
      <w:r w:rsidRPr="383AF2B7" w:rsidR="383AF2B7">
        <w:rPr>
          <w:rFonts w:ascii="Noto Sans" w:hAnsi="Noto Sans" w:eastAsia="Noto Sans" w:cs="Noto Sans"/>
          <w:b w:val="0"/>
          <w:bCs w:val="0"/>
          <w:i w:val="0"/>
          <w:iCs w:val="0"/>
          <w:caps w:val="0"/>
          <w:smallCaps w:val="0"/>
          <w:noProof w:val="0"/>
          <w:color w:val="000000" w:themeColor="text1" w:themeTint="FF" w:themeShade="FF"/>
          <w:sz w:val="20"/>
          <w:szCs w:val="20"/>
          <w:lang w:val="en-GB"/>
        </w:rPr>
        <w:t xml:space="preserve">p.141.</w:t>
      </w:r>
    </w:p>
    <w:p w:rsidR="4BA4CB47" w:rsidP="383AF2B7" w:rsidRDefault="4BA4CB47" w14:paraId="7999EA76" w14:textId="4092C504">
      <w:pPr>
        <w:pStyle w:val="FootnoteText"/>
        <w:bidi w:val="0"/>
        <w:rPr>
          <w:sz w:val="20"/>
          <w:szCs w:val="20"/>
        </w:rPr>
      </w:pPr>
    </w:p>
  </w:footnote>
  <w:footnote w:id="20161">
    <w:p w:rsidR="68E97E63" w:rsidP="2468606C" w:rsidRDefault="68E97E63" w14:paraId="3A275079" w14:textId="6C99383F">
      <w:pPr>
        <w:pStyle w:val="FootnoteText"/>
        <w:bidi w:val="0"/>
        <w:rPr>
          <w:rFonts w:ascii="Source Sans Pro" w:hAnsi="Source Sans Pro" w:eastAsia="Source Sans Pro" w:cs="Source Sans Pro"/>
          <w:b w:val="0"/>
          <w:bCs w:val="0"/>
          <w:i w:val="0"/>
          <w:iCs w:val="0"/>
          <w:caps w:val="0"/>
          <w:smallCaps w:val="0"/>
          <w:noProof w:val="0"/>
          <w:color w:val="2A2A2A"/>
          <w:sz w:val="22"/>
          <w:szCs w:val="22"/>
          <w:lang w:val="en-GB"/>
        </w:rPr>
      </w:pPr>
      <w:r w:rsidRPr="68E97E63">
        <w:rPr>
          <w:rStyle w:val="FootnoteReference"/>
        </w:rPr>
        <w:footnoteRef/>
      </w:r>
      <w:r w:rsidR="2468606C">
        <w:rPr/>
        <w:t xml:space="preserve"> </w:t>
      </w:r>
      <w:r w:rsidR="2468606C">
        <w:rPr/>
        <w:t xml:space="preserve">Sujata </w:t>
      </w:r>
      <w:r w:rsidRPr="2468606C" w:rsidR="2468606C">
        <w:rPr>
          <w:rFonts w:ascii="Source Sans Pro" w:hAnsi="Source Sans Pro" w:eastAsia="Source Sans Pro" w:cs="Source Sans Pro"/>
          <w:b w:val="0"/>
          <w:bCs w:val="0"/>
          <w:i w:val="0"/>
          <w:iCs w:val="0"/>
          <w:caps w:val="0"/>
          <w:smallCaps w:val="0"/>
          <w:noProof w:val="0"/>
          <w:color w:val="2A2A2A"/>
          <w:sz w:val="22"/>
          <w:szCs w:val="22"/>
          <w:lang w:val="en-GB"/>
        </w:rPr>
        <w:t xml:space="preserve">Mukherjee</w:t>
      </w:r>
      <w:r w:rsidRPr="2468606C" w:rsidR="2468606C">
        <w:rPr>
          <w:rFonts w:ascii="Source Sans Pro" w:hAnsi="Source Sans Pro" w:eastAsia="Source Sans Pro" w:cs="Source Sans Pro"/>
          <w:b w:val="0"/>
          <w:bCs w:val="0"/>
          <w:i w:val="0"/>
          <w:iCs w:val="0"/>
          <w:caps w:val="0"/>
          <w:smallCaps w:val="0"/>
          <w:noProof w:val="0"/>
          <w:color w:val="2A2A2A"/>
          <w:sz w:val="22"/>
          <w:szCs w:val="22"/>
          <w:lang w:val="en-GB"/>
        </w:rPr>
        <w:t xml:space="preserve">, </w:t>
      </w:r>
      <w:r w:rsidRPr="2468606C" w:rsidR="2468606C">
        <w:rPr>
          <w:rFonts w:ascii="Source Sans Pro" w:hAnsi="Source Sans Pro" w:eastAsia="Source Sans Pro" w:cs="Source Sans Pro"/>
          <w:b w:val="0"/>
          <w:bCs w:val="0"/>
          <w:i w:val="1"/>
          <w:iCs w:val="1"/>
          <w:caps w:val="0"/>
          <w:smallCaps w:val="0"/>
          <w:noProof w:val="0"/>
          <w:color w:val="2A2A2A"/>
          <w:sz w:val="22"/>
          <w:szCs w:val="22"/>
          <w:lang w:val="en-GB"/>
        </w:rPr>
        <w:t xml:space="preserve">Gender, Medicine, and Society in Colonial India</w:t>
      </w:r>
      <w:r w:rsidRPr="2468606C" w:rsidR="2468606C">
        <w:rPr>
          <w:rFonts w:ascii="Source Sans Pro" w:hAnsi="Source Sans Pro" w:eastAsia="Source Sans Pro" w:cs="Source Sans Pro"/>
          <w:b w:val="0"/>
          <w:bCs w:val="0"/>
          <w:i w:val="1"/>
          <w:iCs w:val="1"/>
          <w:caps w:val="0"/>
          <w:smallCaps w:val="0"/>
          <w:noProof w:val="0"/>
          <w:color w:val="2A2A2A"/>
          <w:sz w:val="22"/>
          <w:szCs w:val="22"/>
          <w:lang w:val="en-GB"/>
        </w:rPr>
        <w:t xml:space="preserve">,</w:t>
      </w:r>
      <w:r w:rsidRPr="2468606C" w:rsidR="2468606C">
        <w:rPr>
          <w:rFonts w:ascii="Source Sans Pro" w:hAnsi="Source Sans Pro" w:eastAsia="Source Sans Pro" w:cs="Source Sans Pro"/>
          <w:b w:val="0"/>
          <w:bCs w:val="0"/>
          <w:i w:val="1"/>
          <w:iCs w:val="1"/>
          <w:caps w:val="0"/>
          <w:smallCaps w:val="0"/>
          <w:noProof w:val="0"/>
          <w:color w:val="2A2A2A"/>
          <w:sz w:val="22"/>
          <w:szCs w:val="22"/>
          <w:lang w:val="en-GB"/>
        </w:rPr>
        <w:t xml:space="preserve"> </w:t>
      </w:r>
      <w:r w:rsidRPr="2468606C" w:rsidR="2468606C">
        <w:rPr>
          <w:rFonts w:ascii="Source Sans Pro" w:hAnsi="Source Sans Pro" w:eastAsia="Source Sans Pro" w:cs="Source Sans Pro"/>
          <w:b w:val="0"/>
          <w:bCs w:val="0"/>
          <w:i w:val="0"/>
          <w:iCs w:val="0"/>
          <w:caps w:val="0"/>
          <w:smallCaps w:val="0"/>
          <w:noProof w:val="0"/>
          <w:color w:val="2A2A2A"/>
          <w:sz w:val="22"/>
          <w:szCs w:val="22"/>
          <w:lang w:val="en-GB"/>
        </w:rPr>
        <w:t>p.</w:t>
      </w:r>
      <w:r w:rsidRPr="2468606C" w:rsidR="2468606C">
        <w:rPr>
          <w:rFonts w:ascii="Source Sans Pro" w:hAnsi="Source Sans Pro" w:eastAsia="Source Sans Pro" w:cs="Source Sans Pro"/>
          <w:b w:val="0"/>
          <w:bCs w:val="0"/>
          <w:i w:val="0"/>
          <w:iCs w:val="0"/>
          <w:caps w:val="0"/>
          <w:smallCaps w:val="0"/>
          <w:noProof w:val="0"/>
          <w:color w:val="2A2A2A"/>
          <w:sz w:val="22"/>
          <w:szCs w:val="22"/>
          <w:lang w:val="en-GB"/>
        </w:rPr>
        <w:t>6.</w:t>
      </w:r>
    </w:p>
  </w:footnote>
  <w:footnote w:id="25885">
    <w:p w:rsidR="68E97E63" w:rsidP="126877C5" w:rsidRDefault="68E97E63" w14:paraId="34C139DC" w14:textId="546ED781">
      <w:pPr>
        <w:pStyle w:val="FootnoteText"/>
        <w:bidi w:val="0"/>
        <w:rPr>
          <w:rFonts w:ascii="Open Sans" w:hAnsi="Open Sans" w:eastAsia="Open Sans" w:cs="Open Sans" w:asciiTheme="minorAscii" w:hAnsiTheme="minorAscii" w:eastAsiaTheme="minorAscii" w:cstheme="minorAscii"/>
          <w:b w:val="0"/>
          <w:bCs w:val="0"/>
          <w:i w:val="0"/>
          <w:iCs w:val="0"/>
          <w:caps w:val="0"/>
          <w:smallCaps w:val="0"/>
          <w:strike w:val="0"/>
          <w:dstrike w:val="0"/>
          <w:noProof w:val="0"/>
          <w:sz w:val="20"/>
          <w:szCs w:val="20"/>
          <w:lang w:val="en-GB"/>
        </w:rPr>
      </w:pPr>
      <w:r w:rsidRPr="68E97E63">
        <w:rPr>
          <w:rStyle w:val="FootnoteReference"/>
        </w:rPr>
        <w:footnoteRef/>
      </w:r>
      <w:r w:rsidR="126877C5">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India Code, Digital Repository of Laws</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68E97E63" w:rsidP="68E97E63" w:rsidRDefault="68E97E63" w14:paraId="241CC163" w14:textId="585847B4">
      <w:pPr>
        <w:pStyle w:val="FootnoteText"/>
        <w:bidi w:val="0"/>
      </w:pPr>
    </w:p>
  </w:footnote>
  <w:footnote w:id="30383">
    <w:p w:rsidR="68E97E63" w:rsidP="2468606C" w:rsidRDefault="68E97E63" w14:paraId="1AB4BEDA" w14:textId="6A333C2A">
      <w:pPr>
        <w:pStyle w:val="FootnoteText"/>
        <w:bidi w:val="0"/>
        <w:rPr>
          <w:rFonts w:ascii="Open Sans" w:hAnsi="Open Sans" w:eastAsia="Open Sans" w:cs="Open Sans"/>
          <w:b w:val="0"/>
          <w:bCs w:val="0"/>
          <w:i w:val="0"/>
          <w:iCs w:val="0"/>
          <w:caps w:val="0"/>
          <w:smallCaps w:val="0"/>
          <w:strike w:val="0"/>
          <w:dstrike w:val="0"/>
          <w:noProof w:val="0"/>
          <w:sz w:val="20"/>
          <w:szCs w:val="20"/>
          <w:lang w:val="en-GB"/>
        </w:rPr>
      </w:pPr>
      <w:r w:rsidRPr="68E97E63">
        <w:rPr>
          <w:rStyle w:val="FootnoteReference"/>
        </w:rPr>
        <w:footnoteRef/>
      </w:r>
      <w:r w:rsidR="2468606C">
        <w:rPr/>
        <w:t xml:space="preserve"> </w:t>
      </w:r>
      <w:r w:rsidR="2468606C">
        <w:rPr/>
        <w:t xml:space="preserve">Erica </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Wal</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d</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From</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begums and </w:t>
      </w:r>
      <w:r w:rsidRPr="2468606C" w:rsidR="2468606C">
        <w:rPr>
          <w:rFonts w:ascii="Open Sans" w:hAnsi="Open Sans" w:eastAsia="Open Sans" w:cs="Open Sans"/>
          <w:b w:val="0"/>
          <w:bCs w:val="0"/>
          <w:i w:val="0"/>
          <w:iCs w:val="0"/>
          <w:caps w:val="0"/>
          <w:smallCaps w:val="0"/>
          <w:noProof w:val="0"/>
          <w:color w:val="333333"/>
          <w:sz w:val="20"/>
          <w:szCs w:val="20"/>
          <w:lang w:val="en-GB"/>
        </w:rPr>
        <w:t>bibis</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to abandoned females and idle women: sexual relationships, venereal </w:t>
      </w:r>
      <w:r w:rsidRPr="2468606C" w:rsidR="2468606C">
        <w:rPr>
          <w:rFonts w:ascii="Open Sans" w:hAnsi="Open Sans" w:eastAsia="Open Sans" w:cs="Open Sans"/>
          <w:b w:val="0"/>
          <w:bCs w:val="0"/>
          <w:i w:val="0"/>
          <w:iCs w:val="0"/>
          <w:caps w:val="0"/>
          <w:smallCaps w:val="0"/>
          <w:noProof w:val="0"/>
          <w:color w:val="333333"/>
          <w:sz w:val="20"/>
          <w:szCs w:val="20"/>
          <w:lang w:val="en-GB"/>
        </w:rPr>
        <w:t>disease</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and the redefinition of prostitution in early nineteenth-century India: </w:t>
      </w:r>
      <w:r w:rsidRPr="2468606C" w:rsidR="2468606C">
        <w:rPr>
          <w:rFonts w:ascii="Open Sans" w:hAnsi="Open Sans" w:eastAsia="Open Sans" w:cs="Open Sans"/>
          <w:b w:val="0"/>
          <w:bCs w:val="0"/>
          <w:i w:val="1"/>
          <w:iCs w:val="1"/>
          <w:caps w:val="0"/>
          <w:smallCaps w:val="0"/>
          <w:noProof w:val="0"/>
          <w:color w:val="333333"/>
          <w:sz w:val="20"/>
          <w:szCs w:val="20"/>
          <w:lang w:val="en-GB"/>
        </w:rPr>
        <w:t>The Indian Economic and Social History Review</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w:t>
      </w:r>
      <w:r w:rsidRPr="2468606C" w:rsidR="2468606C">
        <w:rPr>
          <w:rFonts w:ascii="Open Sans" w:hAnsi="Open Sans" w:eastAsia="Open Sans" w:cs="Open Sans"/>
          <w:b w:val="0"/>
          <w:bCs w:val="0"/>
          <w:i w:val="1"/>
          <w:iCs w:val="1"/>
          <w:caps w:val="0"/>
          <w:smallCaps w:val="0"/>
          <w:noProof w:val="0"/>
          <w:color w:val="333333"/>
          <w:sz w:val="20"/>
          <w:szCs w:val="20"/>
          <w:lang w:val="en-GB"/>
        </w:rPr>
        <w:t>46</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(1), </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(2009), </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p.23</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w:t>
      </w:r>
      <w:r w:rsidRPr="2468606C" w:rsidR="2468606C">
        <w:rPr>
          <w:rFonts w:ascii="Open Sans" w:hAnsi="Open Sans" w:eastAsia="Open Sans" w:cs="Open Sans"/>
          <w:b w:val="0"/>
          <w:bCs w:val="0"/>
          <w:i w:val="0"/>
          <w:iCs w:val="0"/>
          <w:caps w:val="0"/>
          <w:smallCaps w:val="0"/>
          <w:noProof w:val="0"/>
          <w:color w:val="333333"/>
          <w:sz w:val="20"/>
          <w:szCs w:val="20"/>
          <w:lang w:val="en-GB"/>
        </w:rPr>
        <w:t xml:space="preserve">  </w:t>
      </w:r>
    </w:p>
    <w:p w:rsidR="68E97E63" w:rsidP="68E97E63" w:rsidRDefault="68E97E63" w14:paraId="387340B1" w14:textId="44058C31">
      <w:pPr>
        <w:pStyle w:val="FootnoteText"/>
        <w:bidi w:val="0"/>
      </w:pPr>
    </w:p>
  </w:footnote>
  <w:footnote w:id="3719">
    <w:p w:rsidR="68E97E63" w:rsidP="126877C5" w:rsidRDefault="68E97E63" w14:paraId="5A8D28A9" w14:textId="0ADC582A">
      <w:pPr>
        <w:pStyle w:val="FootnoteText"/>
        <w:bidi w:val="0"/>
        <w:rPr>
          <w:rFonts w:ascii="Open Sans" w:hAnsi="Open Sans" w:eastAsia="Open Sans" w:cs="Open Sans"/>
          <w:b w:val="0"/>
          <w:bCs w:val="0"/>
          <w:i w:val="0"/>
          <w:iCs w:val="0"/>
          <w:caps w:val="0"/>
          <w:smallCaps w:val="0"/>
          <w:strike w:val="0"/>
          <w:dstrike w:val="0"/>
          <w:noProof w:val="0"/>
          <w:sz w:val="20"/>
          <w:szCs w:val="20"/>
          <w:lang w:val="en-GB"/>
        </w:rPr>
      </w:pPr>
      <w:r w:rsidRPr="68E97E63">
        <w:rPr>
          <w:rStyle w:val="FootnoteReference"/>
        </w:rPr>
        <w:footnoteRef/>
      </w:r>
      <w:r w:rsidR="126877C5">
        <w:rPr/>
        <w:t xml:space="preserv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Kimeya</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Baker, The Contagious Diseases Acts and The Prostitute: How Disease and the Law Controlled the Female Body.</w:t>
      </w:r>
      <w:r w:rsidRPr="126877C5" w:rsidR="126877C5">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 UCL Journal of Law and Jurisprudence,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2012) 1 (1) pp. 88-119. </w:t>
      </w:r>
    </w:p>
    <w:p w:rsidR="68E97E63" w:rsidP="68E97E63" w:rsidRDefault="68E97E63" w14:paraId="55A46117" w14:textId="3FD0F2E4">
      <w:pPr>
        <w:pStyle w:val="FootnoteText"/>
        <w:bidi w:val="0"/>
      </w:pPr>
    </w:p>
    <w:p w:rsidR="68E97E63" w:rsidP="68E97E63" w:rsidRDefault="68E97E63" w14:paraId="7AE8F647" w14:textId="4919D72C">
      <w:pPr>
        <w:pStyle w:val="FootnoteText"/>
        <w:bidi w:val="0"/>
      </w:pPr>
    </w:p>
  </w:footnote>
  <w:footnote w:id="16964">
    <w:p w:rsidR="68E97E63" w:rsidP="2468606C" w:rsidRDefault="68E97E63" w14:paraId="4D66BB9E" w14:textId="30257504">
      <w:pPr>
        <w:pStyle w:val="FootnoteText"/>
        <w:bidi w:val="0"/>
        <w:rPr>
          <w:rFonts w:ascii="Noto Sans" w:hAnsi="Noto Sans" w:eastAsia="Noto Sans" w:cs="Noto Sans"/>
          <w:b w:val="0"/>
          <w:bCs w:val="0"/>
          <w:i w:val="0"/>
          <w:iCs w:val="0"/>
          <w:caps w:val="0"/>
          <w:smallCaps w:val="0"/>
          <w:noProof w:val="0"/>
          <w:color w:val="181817"/>
          <w:sz w:val="20"/>
          <w:szCs w:val="20"/>
          <w:lang w:val="en-GB"/>
        </w:rPr>
      </w:pPr>
      <w:r w:rsidRPr="68E97E63">
        <w:rPr>
          <w:rStyle w:val="FootnoteReference"/>
        </w:rPr>
        <w:footnoteRef/>
      </w:r>
      <w:r w:rsidR="2468606C">
        <w:rPr/>
        <w:t xml:space="preserve"> </w:t>
      </w:r>
      <w:r w:rsidR="2468606C">
        <w:rPr/>
        <w:t xml:space="preserve">Margaret </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Hamilton</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 Opposition to the Contagious Diseases Acts, 1864-1886. </w:t>
      </w:r>
      <w:r w:rsidRPr="2468606C" w:rsidR="2468606C">
        <w:rPr>
          <w:rFonts w:ascii="Noto Sans" w:hAnsi="Noto Sans" w:eastAsia="Noto Sans" w:cs="Noto Sans"/>
          <w:b w:val="0"/>
          <w:bCs w:val="0"/>
          <w:i w:val="1"/>
          <w:iCs w:val="1"/>
          <w:caps w:val="0"/>
          <w:smallCaps w:val="0"/>
          <w:noProof w:val="0"/>
          <w:color w:val="181817"/>
          <w:sz w:val="20"/>
          <w:szCs w:val="20"/>
          <w:lang w:val="en-GB"/>
        </w:rPr>
        <w:t>Albion</w:t>
      </w:r>
      <w:r w:rsidRPr="2468606C" w:rsidR="2468606C">
        <w:rPr>
          <w:rFonts w:ascii="Noto Sans" w:hAnsi="Noto Sans" w:eastAsia="Noto Sans" w:cs="Noto Sans"/>
          <w:b w:val="0"/>
          <w:bCs w:val="0"/>
          <w:i w:val="1"/>
          <w:iCs w:val="1"/>
          <w:caps w:val="0"/>
          <w:smallCaps w:val="0"/>
          <w:noProof w:val="0"/>
          <w:color w:val="181817"/>
          <w:sz w:val="20"/>
          <w:szCs w:val="20"/>
          <w:lang w:val="en-GB"/>
        </w:rPr>
        <w:t>,</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10(</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1) (</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1978), p.</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16-17</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w:t>
      </w:r>
      <w:r w:rsidRPr="2468606C" w:rsidR="2468606C">
        <w:rPr>
          <w:rFonts w:ascii="Noto Sans" w:hAnsi="Noto Sans" w:eastAsia="Noto Sans" w:cs="Noto Sans"/>
          <w:b w:val="0"/>
          <w:bCs w:val="0"/>
          <w:i w:val="0"/>
          <w:iCs w:val="0"/>
          <w:caps w:val="0"/>
          <w:smallCaps w:val="0"/>
          <w:noProof w:val="0"/>
          <w:color w:val="181817"/>
          <w:sz w:val="20"/>
          <w:szCs w:val="20"/>
          <w:lang w:val="en-GB"/>
        </w:rPr>
        <w:t xml:space="preserve"> </w:t>
      </w:r>
    </w:p>
    <w:p w:rsidR="68E97E63" w:rsidP="68E97E63" w:rsidRDefault="68E97E63" w14:paraId="5393D57A" w14:textId="231702D2">
      <w:pPr>
        <w:pStyle w:val="FootnoteText"/>
        <w:bidi w:val="0"/>
      </w:pPr>
    </w:p>
  </w:footnote>
  <w:footnote w:id="13303">
    <w:p w:rsidR="68E97E63" w:rsidP="126877C5" w:rsidRDefault="68E97E63" w14:paraId="44CD8C49" w14:textId="5F68258D">
      <w:pPr>
        <w:pStyle w:val="FootnoteText"/>
        <w:bidi w:val="0"/>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pPr>
      <w:r w:rsidRPr="383AF2B7">
        <w:rPr>
          <w:rStyle w:val="FootnoteReference"/>
          <w:rFonts w:ascii="Open Sans" w:hAnsi="Open Sans" w:eastAsia="Open Sans" w:cs="Open Sans" w:asciiTheme="minorAscii" w:hAnsiTheme="minorAscii" w:eastAsiaTheme="minorAscii" w:cstheme="minorAscii"/>
          <w:sz w:val="20"/>
          <w:szCs w:val="20"/>
        </w:rPr>
        <w:footnoteRef/>
      </w:r>
      <w:r w:rsidRPr="383AF2B7" w:rsidR="126877C5">
        <w:rPr>
          <w:rFonts w:ascii="Open Sans" w:hAnsi="Open Sans" w:eastAsia="Open Sans" w:cs="Open Sans" w:asciiTheme="minorAscii" w:hAnsiTheme="minorAscii" w:eastAsiaTheme="minorAscii" w:cstheme="minorAscii"/>
          <w:sz w:val="20"/>
          <w:szCs w:val="20"/>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Frédéric Regard, ‘Sexual Politics and Ethics: Josephine Butler</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in </w:t>
      </w:r>
      <w:r w:rsidRPr="126877C5" w:rsidR="126877C5">
        <w:rPr>
          <w:rFonts w:ascii="Open Sans" w:hAnsi="Open Sans" w:eastAsia="Open Sans" w:cs="Open Sans" w:asciiTheme="minorAscii" w:hAnsiTheme="minorAscii" w:eastAsiaTheme="minorAscii" w:cstheme="minorAscii"/>
          <w:b w:val="0"/>
          <w:bCs w:val="0"/>
          <w:i w:val="1"/>
          <w:iCs w:val="1"/>
          <w:caps w:val="0"/>
          <w:smallCaps w:val="0"/>
          <w:noProof w:val="0"/>
          <w:color w:val="3A3A3A" w:themeColor="background2" w:themeTint="FF" w:themeShade="40"/>
          <w:sz w:val="20"/>
          <w:szCs w:val="20"/>
          <w:lang w:val="en-GB"/>
        </w:rPr>
        <w:t>The Oxford Handbook of American and British Women Philosophers in the Nineteenth Century</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ed. by Lydia Moland and Alison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Stone,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Oxford</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University Press</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2025</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Ch</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2</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3A3A3A" w:themeColor="background2" w:themeTint="FF" w:themeShade="40"/>
          <w:sz w:val="20"/>
          <w:szCs w:val="20"/>
          <w:lang w:val="en-GB"/>
        </w:rPr>
        <w:t xml:space="preserve">, p.768.</w:t>
      </w:r>
    </w:p>
    <w:p w:rsidR="68E97E63" w:rsidP="68E97E63" w:rsidRDefault="68E97E63" w14:paraId="67E50EB4" w14:textId="5E3666B9">
      <w:pPr>
        <w:pStyle w:val="FootnoteText"/>
        <w:bidi w:val="0"/>
      </w:pPr>
    </w:p>
  </w:footnote>
  <w:footnote w:id="24875">
    <w:p w:rsidR="68E97E63" w:rsidP="126877C5" w:rsidRDefault="68E97E63" w14:paraId="5B5E344F" w14:textId="0065100B">
      <w:pPr>
        <w:pStyle w:val="FootnoteText"/>
        <w:keepNext w:val="1"/>
        <w:keepLines w:val="1"/>
        <w:shd w:val="clear" w:color="auto" w:fill="FFFFFF" w:themeFill="background1"/>
        <w:bidi w:val="0"/>
        <w:spacing w:before="0" w:beforeAutospacing="off" w:after="0" w:afterAutospacing="off"/>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pPr>
      <w:r w:rsidRPr="383AF2B7">
        <w:rPr>
          <w:rStyle w:val="FootnoteReference"/>
          <w:rFonts w:ascii="Open Sans" w:hAnsi="Open Sans" w:eastAsia="Open Sans" w:cs="Open Sans" w:asciiTheme="minorAscii" w:hAnsiTheme="minorAscii" w:eastAsiaTheme="minorAscii" w:cstheme="minorAscii"/>
        </w:rPr>
        <w:footnoteRef/>
      </w:r>
      <w:r w:rsidRPr="383AF2B7" w:rsidR="126877C5">
        <w:rPr>
          <w:rFonts w:ascii="Open Sans" w:hAnsi="Open Sans" w:eastAsia="Open Sans" w:cs="Open Sans" w:asciiTheme="minorAscii" w:hAnsiTheme="minorAscii" w:eastAsiaTheme="minorAscii" w:cstheme="minorAscii"/>
          <w:sz w:val="20"/>
          <w:szCs w:val="20"/>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 xml:space="preserve">Helen Mathers, </w:t>
      </w:r>
      <w:r w:rsidRPr="126877C5" w:rsidR="126877C5">
        <w:rPr>
          <w:rFonts w:ascii="Open Sans" w:hAnsi="Open Sans" w:eastAsia="Open Sans" w:cs="Open Sans" w:asciiTheme="minorAscii" w:hAnsiTheme="minorAscii" w:eastAsiaTheme="minorAscii" w:cstheme="minorAscii"/>
          <w:b w:val="0"/>
          <w:bCs w:val="0"/>
          <w:i w:val="1"/>
          <w:iCs w:val="1"/>
          <w:caps w:val="0"/>
          <w:smallCaps w:val="0"/>
          <w:noProof w:val="0"/>
          <w:color w:val="2C2C2C"/>
          <w:sz w:val="20"/>
          <w:szCs w:val="20"/>
          <w:lang w:val="en-GB"/>
        </w:rPr>
        <w:t>Patron saint of prostitutes: Josephine Butler and a Victorian scandal</w:t>
      </w:r>
      <w:r w:rsidRPr="126877C5" w:rsidR="126877C5">
        <w:rPr>
          <w:rFonts w:ascii="Open Sans" w:hAnsi="Open Sans" w:eastAsia="Open Sans" w:cs="Open Sans" w:asciiTheme="minorAscii" w:hAnsiTheme="minorAscii" w:eastAsiaTheme="minorAscii" w:cstheme="minorAscii"/>
          <w:b w:val="0"/>
          <w:bCs w:val="0"/>
          <w:i w:val="1"/>
          <w:iCs w:val="1"/>
          <w:caps w:val="0"/>
          <w:smallCaps w:val="0"/>
          <w:noProof w:val="0"/>
          <w:color w:val="2C2C2C"/>
          <w:sz w:val="20"/>
          <w:szCs w:val="20"/>
          <w:lang w:val="en-GB"/>
        </w:rPr>
        <w:t>’,</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Stroud: The</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 xml:space="preserve"> History Press,2014) p.86</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C2C2C"/>
          <w:sz w:val="20"/>
          <w:szCs w:val="20"/>
          <w:lang w:val="en-GB"/>
        </w:rPr>
        <w:t xml:space="preserve">.</w:t>
      </w:r>
    </w:p>
    <w:p w:rsidR="68E97E63" w:rsidP="126877C5" w:rsidRDefault="68E97E63" w14:paraId="4A744FDE" w14:textId="526E1F4B">
      <w:pPr>
        <w:bidi w:val="0"/>
        <w:rPr>
          <w:rFonts w:ascii="Open Sans" w:hAnsi="Open Sans" w:eastAsia="Open Sans" w:cs="Open Sans" w:asciiTheme="minorAscii" w:hAnsiTheme="minorAscii" w:eastAsiaTheme="minorAscii" w:cstheme="minorAscii"/>
          <w:b w:val="0"/>
          <w:bCs w:val="0"/>
          <w:i w:val="0"/>
          <w:iCs w:val="0"/>
          <w:caps w:val="0"/>
          <w:smallCaps w:val="0"/>
          <w:strike w:val="0"/>
          <w:dstrike w:val="0"/>
          <w:noProof w:val="0"/>
          <w:sz w:val="20"/>
          <w:szCs w:val="20"/>
          <w:lang w:val="en-GB"/>
        </w:rPr>
      </w:pPr>
    </w:p>
    <w:p w:rsidR="68E97E63" w:rsidP="68E97E63" w:rsidRDefault="68E97E63" w14:paraId="1B05CE2B" w14:textId="3A6FB286">
      <w:pPr>
        <w:bidi w:val="0"/>
        <w:rPr>
          <w:rFonts w:ascii="Helvetica" w:hAnsi="Helvetica" w:eastAsia="Helvetica" w:cs="Helvetica"/>
          <w:b w:val="0"/>
          <w:bCs w:val="0"/>
          <w:i w:val="0"/>
          <w:iCs w:val="0"/>
          <w:caps w:val="0"/>
          <w:smallCaps w:val="0"/>
          <w:strike w:val="0"/>
          <w:dstrike w:val="0"/>
          <w:noProof w:val="0"/>
          <w:sz w:val="20"/>
          <w:szCs w:val="20"/>
          <w:lang w:val="en-GB"/>
        </w:rPr>
      </w:pPr>
    </w:p>
    <w:p w:rsidR="68E97E63" w:rsidP="68E97E63" w:rsidRDefault="68E97E63" w14:paraId="246DDCF8" w14:textId="0067978F">
      <w:pPr>
        <w:pStyle w:val="FootnoteText"/>
        <w:bidi w:val="0"/>
      </w:pPr>
    </w:p>
  </w:footnote>
  <w:footnote w:id="3619">
    <w:p w:rsidR="68E97E63" w:rsidP="126877C5" w:rsidRDefault="68E97E63" w14:paraId="4D0614AC" w14:textId="6F7C5A56">
      <w:pPr>
        <w:pStyle w:val="FootnoteText"/>
        <w:bidi w:val="0"/>
        <w:rPr>
          <w:rFonts w:ascii="Helvetica" w:hAnsi="Helvetica" w:eastAsia="Helvetica" w:cs="Helvetica"/>
          <w:b w:val="0"/>
          <w:bCs w:val="0"/>
          <w:i w:val="1"/>
          <w:iCs w:val="1"/>
          <w:caps w:val="0"/>
          <w:smallCaps w:val="0"/>
          <w:noProof w:val="0"/>
          <w:color w:val="000000" w:themeColor="text1" w:themeTint="FF" w:themeShade="FF"/>
          <w:sz w:val="20"/>
          <w:szCs w:val="20"/>
          <w:lang w:val="en-GB"/>
        </w:rPr>
      </w:pPr>
      <w:r w:rsidRPr="68E97E63">
        <w:rPr>
          <w:rStyle w:val="FootnoteReference"/>
        </w:rPr>
        <w:footnoteRef/>
      </w:r>
      <w:r w:rsidR="126877C5">
        <w:rPr/>
        <w:t xml:space="preserve"> </w:t>
      </w:r>
      <w:r w:rsidRPr="126877C5" w:rsidR="126877C5">
        <w:rPr>
          <w:rFonts w:ascii="Helvetica" w:hAnsi="Helvetica" w:eastAsia="Helvetica" w:cs="Helvetica"/>
          <w:b w:val="0"/>
          <w:bCs w:val="0"/>
          <w:i w:val="0"/>
          <w:iCs w:val="0"/>
          <w:caps w:val="0"/>
          <w:smallCaps w:val="0"/>
          <w:noProof w:val="0"/>
          <w:color w:val="000000" w:themeColor="text1" w:themeTint="FF" w:themeShade="FF"/>
          <w:sz w:val="20"/>
          <w:szCs w:val="20"/>
          <w:lang w:val="en-GB"/>
        </w:rPr>
        <w:t xml:space="preserve">“Mr. Stansfeld, M.P., And the Contagious Diseases Acts.” </w:t>
      </w:r>
      <w:r w:rsidRPr="126877C5" w:rsidR="126877C5">
        <w:rPr>
          <w:rFonts w:ascii="Helvetica" w:hAnsi="Helvetica" w:eastAsia="Helvetica" w:cs="Helvetica"/>
          <w:b w:val="0"/>
          <w:bCs w:val="0"/>
          <w:i w:val="1"/>
          <w:iCs w:val="1"/>
          <w:caps w:val="0"/>
          <w:smallCaps w:val="0"/>
          <w:noProof w:val="0"/>
          <w:color w:val="000000" w:themeColor="text1" w:themeTint="FF" w:themeShade="FF"/>
          <w:sz w:val="20"/>
          <w:szCs w:val="20"/>
          <w:lang w:val="en-GB"/>
        </w:rPr>
        <w:t>The British Medical Journal</w:t>
      </w:r>
      <w:r w:rsidRPr="126877C5" w:rsidR="126877C5">
        <w:rPr>
          <w:rFonts w:ascii="Helvetica" w:hAnsi="Helvetica" w:eastAsia="Helvetica" w:cs="Helvetica"/>
          <w:b w:val="0"/>
          <w:bCs w:val="0"/>
          <w:i w:val="0"/>
          <w:iCs w:val="0"/>
          <w:caps w:val="0"/>
          <w:smallCaps w:val="0"/>
          <w:noProof w:val="0"/>
          <w:color w:val="000000" w:themeColor="text1" w:themeTint="FF" w:themeShade="FF"/>
          <w:sz w:val="20"/>
          <w:szCs w:val="20"/>
          <w:lang w:val="en-GB"/>
        </w:rPr>
        <w:t xml:space="preserve">, vol. 2, no. 823, 1876, p. 476. </w:t>
      </w:r>
    </w:p>
    <w:p w:rsidR="68E97E63" w:rsidP="68E97E63" w:rsidRDefault="68E97E63" w14:paraId="60755CB7" w14:textId="6CDD48EB">
      <w:pPr>
        <w:pStyle w:val="FootnoteText"/>
        <w:bidi w:val="0"/>
      </w:pPr>
    </w:p>
  </w:footnote>
  <w:footnote w:id="25642">
    <w:p w:rsidR="68E97E63" w:rsidP="68E97E63" w:rsidRDefault="68E97E63" w14:paraId="0BA2632B" w14:textId="06AEA327">
      <w:pPr>
        <w:pStyle w:val="FootnoteText"/>
        <w:bidi w:val="0"/>
        <w:rPr>
          <w:noProof w:val="0"/>
          <w:lang w:val="en-GB"/>
        </w:rPr>
      </w:pPr>
      <w:r w:rsidRPr="68E97E63">
        <w:rPr>
          <w:rStyle w:val="FootnoteReference"/>
        </w:rPr>
        <w:footnoteRef/>
      </w:r>
      <w:r w:rsidR="2468606C">
        <w:rPr/>
        <w:t xml:space="preserve"> </w:t>
      </w:r>
      <w:r w:rsidR="2468606C">
        <w:rPr/>
        <w:t xml:space="preserve">Helen </w:t>
      </w:r>
      <w:r w:rsidRPr="2468606C" w:rsidR="2468606C">
        <w:rPr>
          <w:rFonts w:ascii="Helvetica" w:hAnsi="Helvetica" w:eastAsia="Helvetica" w:cs="Helvetica"/>
          <w:b w:val="0"/>
          <w:bCs w:val="0"/>
          <w:i w:val="0"/>
          <w:iCs w:val="0"/>
          <w:caps w:val="0"/>
          <w:smallCaps w:val="0"/>
          <w:noProof w:val="0"/>
          <w:color w:val="2C2C2C"/>
          <w:sz w:val="20"/>
          <w:szCs w:val="20"/>
          <w:lang w:val="en-GB"/>
        </w:rPr>
        <w:t>Mathers,</w:t>
      </w:r>
      <w:r w:rsidRPr="2468606C" w:rsidR="2468606C">
        <w:rPr>
          <w:rFonts w:ascii="Helvetica" w:hAnsi="Helvetica" w:eastAsia="Helvetica" w:cs="Helvetica"/>
          <w:b w:val="0"/>
          <w:bCs w:val="0"/>
          <w:i w:val="0"/>
          <w:iCs w:val="0"/>
          <w:caps w:val="0"/>
          <w:smallCaps w:val="0"/>
          <w:noProof w:val="0"/>
          <w:color w:val="2C2C2C"/>
          <w:sz w:val="20"/>
          <w:szCs w:val="20"/>
          <w:lang w:val="en-GB"/>
        </w:rPr>
        <w:t xml:space="preserve"> </w:t>
      </w:r>
      <w:r w:rsidRPr="2468606C" w:rsidR="2468606C">
        <w:rPr>
          <w:rFonts w:ascii="Helvetica" w:hAnsi="Helvetica" w:eastAsia="Helvetica" w:cs="Helvetica"/>
          <w:b w:val="0"/>
          <w:bCs w:val="0"/>
          <w:i w:val="1"/>
          <w:iCs w:val="1"/>
          <w:caps w:val="0"/>
          <w:smallCaps w:val="0"/>
          <w:noProof w:val="0"/>
          <w:color w:val="2C2C2C"/>
          <w:sz w:val="20"/>
          <w:szCs w:val="20"/>
          <w:lang w:val="en-GB"/>
        </w:rPr>
        <w:t>Patron saint of prostitutes</w:t>
      </w:r>
      <w:r w:rsidRPr="2468606C" w:rsidR="2468606C">
        <w:rPr>
          <w:rFonts w:ascii="Helvetica" w:hAnsi="Helvetica" w:eastAsia="Helvetica" w:cs="Helvetica"/>
          <w:b w:val="0"/>
          <w:bCs w:val="0"/>
          <w:i w:val="1"/>
          <w:iCs w:val="1"/>
          <w:caps w:val="0"/>
          <w:smallCaps w:val="0"/>
          <w:noProof w:val="0"/>
          <w:color w:val="2C2C2C"/>
          <w:sz w:val="20"/>
          <w:szCs w:val="20"/>
          <w:lang w:val="en-GB"/>
        </w:rPr>
        <w:t>,</w:t>
      </w:r>
      <w:r w:rsidRPr="2468606C" w:rsidR="2468606C">
        <w:rPr>
          <w:rFonts w:ascii="Helvetica" w:hAnsi="Helvetica" w:eastAsia="Helvetica" w:cs="Helvetica"/>
          <w:b w:val="0"/>
          <w:bCs w:val="0"/>
          <w:i w:val="0"/>
          <w:iCs w:val="0"/>
          <w:caps w:val="0"/>
          <w:smallCaps w:val="0"/>
          <w:noProof w:val="0"/>
          <w:color w:val="2C2C2C"/>
          <w:sz w:val="20"/>
          <w:szCs w:val="20"/>
          <w:lang w:val="en-GB"/>
        </w:rPr>
        <w:t xml:space="preserve"> p.</w:t>
      </w:r>
      <w:r w:rsidRPr="2468606C" w:rsidR="2468606C">
        <w:rPr>
          <w:rFonts w:ascii="Helvetica" w:hAnsi="Helvetica" w:eastAsia="Helvetica" w:cs="Helvetica"/>
          <w:b w:val="0"/>
          <w:bCs w:val="0"/>
          <w:i w:val="0"/>
          <w:iCs w:val="0"/>
          <w:caps w:val="0"/>
          <w:smallCaps w:val="0"/>
          <w:noProof w:val="0"/>
          <w:color w:val="2C2C2C"/>
          <w:sz w:val="20"/>
          <w:szCs w:val="20"/>
          <w:lang w:val="en-GB"/>
        </w:rPr>
        <w:t>80.</w:t>
      </w:r>
    </w:p>
  </w:footnote>
  <w:footnote w:id="14638">
    <w:p w:rsidR="68E97E63" w:rsidP="126877C5" w:rsidRDefault="68E97E63" w14:paraId="64DA0BF7" w14:textId="2BA0C5B2">
      <w:pPr>
        <w:pStyle w:val="FootnoteText"/>
        <w:bidi w:val="0"/>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68E97E63">
        <w:rPr>
          <w:rStyle w:val="FootnoteReference"/>
        </w:rPr>
        <w:footnoteRef/>
      </w:r>
      <w:r w:rsidR="126877C5">
        <w:rPr/>
        <w:t xml:space="preserv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Elizabeth. W. Andrew, and Katharine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C.Bushnell</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126877C5" w:rsidR="126877C5">
        <w:rPr>
          <w:rFonts w:ascii="Open Sans" w:hAnsi="Open Sans" w:eastAsia="Open Sans" w:cs="Open Sans"/>
          <w:b w:val="0"/>
          <w:bCs w:val="0"/>
          <w:i w:val="1"/>
          <w:iCs w:val="1"/>
          <w:caps w:val="0"/>
          <w:smallCaps w:val="0"/>
          <w:noProof w:val="0"/>
          <w:color w:val="000000" w:themeColor="text1" w:themeTint="FF" w:themeShade="FF"/>
          <w:sz w:val="20"/>
          <w:szCs w:val="20"/>
          <w:lang w:val="en-GB"/>
        </w:rPr>
        <w:t>The Queens Daughter’s in India, (</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London: Morgan and Scott, 1899)</w:t>
      </w:r>
      <w:r w:rsidRPr="126877C5" w:rsidR="126877C5">
        <w:rPr>
          <w:rFonts w:ascii="Open Sans" w:hAnsi="Open Sans" w:eastAsia="Open Sans" w:cs="Open Sans"/>
          <w:b w:val="0"/>
          <w:bCs w:val="0"/>
          <w:i w:val="0"/>
          <w:iCs w:val="0"/>
          <w:caps w:val="0"/>
          <w:smallCaps w:val="0"/>
          <w:noProof w:val="0"/>
          <w:color w:val="000000" w:themeColor="text1" w:themeTint="FF" w:themeShade="FF"/>
          <w:sz w:val="20"/>
          <w:szCs w:val="20"/>
          <w:lang w:val="en-GB"/>
        </w:rPr>
        <w:t>, p.12.</w:t>
      </w:r>
    </w:p>
    <w:p w:rsidR="68E97E63" w:rsidP="126877C5" w:rsidRDefault="68E97E63" w14:paraId="195EFF41" w14:textId="17DD384C">
      <w:pPr>
        <w:bidi w:val="0"/>
        <w:rPr>
          <w:rFonts w:ascii="Open Sans" w:hAnsi="Open Sans" w:eastAsia="Open Sans" w:cs="Open Sans"/>
          <w:b w:val="0"/>
          <w:bCs w:val="0"/>
          <w:i w:val="0"/>
          <w:iCs w:val="0"/>
          <w:caps w:val="0"/>
          <w:smallCaps w:val="0"/>
          <w:strike w:val="0"/>
          <w:dstrike w:val="0"/>
          <w:noProof w:val="0"/>
          <w:sz w:val="20"/>
          <w:szCs w:val="20"/>
          <w:lang w:val="en-GB"/>
        </w:rPr>
      </w:pPr>
    </w:p>
    <w:p w:rsidR="68E97E63" w:rsidP="68E97E63" w:rsidRDefault="68E97E63" w14:paraId="1832BE78" w14:textId="6A09FF65">
      <w:pPr>
        <w:pStyle w:val="FootnoteText"/>
        <w:bidi w:val="0"/>
      </w:pPr>
    </w:p>
  </w:footnote>
  <w:footnote w:id="28396">
    <w:p w:rsidR="68E97E63" w:rsidP="383AF2B7" w:rsidRDefault="68E97E63" w14:paraId="152092D0" w14:textId="1FE3F970">
      <w:pPr>
        <w:pStyle w:val="FootnoteText"/>
        <w:bidi w:val="0"/>
        <w:rPr>
          <w:noProof w:val="0"/>
          <w:sz w:val="20"/>
          <w:szCs w:val="20"/>
          <w:lang w:val="en-GB"/>
        </w:rPr>
      </w:pPr>
      <w:r w:rsidRPr="383AF2B7">
        <w:rPr>
          <w:rStyle w:val="FootnoteReference"/>
          <w:sz w:val="20"/>
          <w:szCs w:val="20"/>
        </w:rPr>
        <w:footnoteRef/>
      </w:r>
      <w:r w:rsidRPr="383AF2B7" w:rsidR="2468606C">
        <w:rPr>
          <w:sz w:val="20"/>
          <w:szCs w:val="20"/>
        </w:rPr>
        <w:t xml:space="preserve"> </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Mridula </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Ramanna</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,Control and Resistance</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w:t>
      </w:r>
      <w:r w:rsidRPr="2468606C" w:rsidR="2468606C">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p.1475.</w:t>
      </w:r>
    </w:p>
  </w:footnote>
  <w:footnote w:id="7658">
    <w:p w:rsidR="68E97E63" w:rsidP="2468606C" w:rsidRDefault="68E97E63" w14:paraId="6196942D" w14:textId="50D11727">
      <w:pPr>
        <w:pStyle w:val="FootnoteText"/>
        <w:bidi w:val="0"/>
        <w:ind w:firstLine="0"/>
        <w:rPr>
          <w:rFonts w:ascii="Source Sans Pro" w:hAnsi="Source Sans Pro" w:eastAsia="Source Sans Pro" w:cs="Source Sans Pro"/>
          <w:b w:val="0"/>
          <w:bCs w:val="0"/>
          <w:i w:val="0"/>
          <w:iCs w:val="0"/>
          <w:caps w:val="0"/>
          <w:smallCaps w:val="0"/>
          <w:noProof w:val="0"/>
          <w:color w:val="2A2A2A"/>
          <w:sz w:val="20"/>
          <w:szCs w:val="20"/>
          <w:lang w:val="en-GB"/>
        </w:rPr>
      </w:pPr>
      <w:r w:rsidRPr="126877C5">
        <w:rPr>
          <w:rStyle w:val="FootnoteReference"/>
          <w:rFonts w:ascii="Source Sans Pro" w:hAnsi="Source Sans Pro" w:eastAsia="Source Sans Pro" w:cs="Source Sans Pro"/>
          <w:sz w:val="20"/>
          <w:szCs w:val="20"/>
        </w:rPr>
        <w:footnoteRef/>
      </w:r>
      <w:r w:rsidRPr="126877C5" w:rsidR="2468606C">
        <w:rPr>
          <w:rFonts w:ascii="Source Sans Pro" w:hAnsi="Source Sans Pro" w:eastAsia="Source Sans Pro" w:cs="Source Sans Pro"/>
          <w:sz w:val="20"/>
          <w:szCs w:val="20"/>
        </w:rPr>
        <w:t xml:space="preserve"> </w:t>
      </w:r>
      <w:r w:rsidRPr="126877C5" w:rsidR="2468606C">
        <w:rPr>
          <w:rFonts w:ascii="Source Sans Pro" w:hAnsi="Source Sans Pro" w:eastAsia="Source Sans Pro" w:cs="Source Sans Pro"/>
          <w:sz w:val="20"/>
          <w:szCs w:val="20"/>
        </w:rPr>
        <w:t xml:space="preserve">Sujata </w:t>
      </w:r>
      <w:r w:rsidRPr="126877C5" w:rsidR="2468606C">
        <w:rPr>
          <w:rFonts w:ascii="Source Sans Pro" w:hAnsi="Source Sans Pro" w:eastAsia="Source Sans Pro" w:cs="Source Sans Pro"/>
          <w:sz w:val="20"/>
          <w:szCs w:val="20"/>
        </w:rPr>
        <w:t xml:space="preserve">Mukherjee, Gender, </w:t>
      </w:r>
      <w:r w:rsidRPr="2468606C" w:rsidR="2468606C">
        <w:rPr>
          <w:rFonts w:ascii="Source Sans Pro" w:hAnsi="Source Sans Pro" w:eastAsia="Source Sans Pro" w:cs="Source Sans Pro"/>
          <w:b w:val="0"/>
          <w:bCs w:val="0"/>
          <w:i w:val="0"/>
          <w:iCs w:val="0"/>
          <w:caps w:val="0"/>
          <w:smallCaps w:val="0"/>
          <w:noProof w:val="0"/>
          <w:color w:val="2A2A2A"/>
          <w:sz w:val="20"/>
          <w:szCs w:val="20"/>
          <w:lang w:val="en-GB"/>
        </w:rPr>
        <w:t>Medicine, and Society in Colonial India</w:t>
      </w:r>
      <w:r w:rsidRPr="2468606C" w:rsidR="2468606C">
        <w:rPr>
          <w:rFonts w:ascii="Source Sans Pro" w:hAnsi="Source Sans Pro" w:eastAsia="Source Sans Pro" w:cs="Source Sans Pro"/>
          <w:b w:val="0"/>
          <w:bCs w:val="0"/>
          <w:i w:val="0"/>
          <w:iCs w:val="0"/>
          <w:caps w:val="0"/>
          <w:smallCaps w:val="0"/>
          <w:noProof w:val="0"/>
          <w:color w:val="2A2A2A"/>
          <w:sz w:val="20"/>
          <w:szCs w:val="20"/>
          <w:lang w:val="en-GB"/>
        </w:rPr>
        <w:t xml:space="preserve">, </w:t>
      </w:r>
      <w:r w:rsidRPr="2468606C" w:rsidR="2468606C">
        <w:rPr>
          <w:rFonts w:ascii="Source Sans Pro" w:hAnsi="Source Sans Pro" w:eastAsia="Source Sans Pro" w:cs="Source Sans Pro"/>
          <w:b w:val="0"/>
          <w:bCs w:val="0"/>
          <w:i w:val="0"/>
          <w:iCs w:val="0"/>
          <w:caps w:val="0"/>
          <w:smallCaps w:val="0"/>
          <w:noProof w:val="0"/>
          <w:color w:val="2A2A2A"/>
          <w:sz w:val="20"/>
          <w:szCs w:val="20"/>
          <w:lang w:val="en-GB"/>
        </w:rPr>
        <w:t>p.</w:t>
      </w:r>
      <w:r w:rsidRPr="2468606C" w:rsidR="2468606C">
        <w:rPr>
          <w:rFonts w:ascii="Source Sans Pro" w:hAnsi="Source Sans Pro" w:eastAsia="Source Sans Pro" w:cs="Source Sans Pro"/>
          <w:b w:val="0"/>
          <w:bCs w:val="0"/>
          <w:i w:val="0"/>
          <w:iCs w:val="0"/>
          <w:caps w:val="0"/>
          <w:smallCaps w:val="0"/>
          <w:noProof w:val="0"/>
          <w:color w:val="2A2A2A"/>
          <w:sz w:val="20"/>
          <w:szCs w:val="20"/>
          <w:lang w:val="en-GB"/>
        </w:rPr>
        <w:t>28.</w:t>
      </w:r>
    </w:p>
  </w:footnote>
  <w:footnote w:id="25071">
    <w:p w:rsidR="68E97E63" w:rsidP="126877C5" w:rsidRDefault="68E97E63" w14:paraId="119F3943" w14:textId="73673177">
      <w:pPr>
        <w:pStyle w:val="FootnoteText"/>
        <w:bidi w:val="0"/>
        <w:rPr>
          <w:rFonts w:ascii="Open Sans" w:hAnsi="Open Sans" w:eastAsia="Open Sans" w:cs="Open Sans" w:asciiTheme="minorAscii" w:hAnsiTheme="minorAscii" w:eastAsiaTheme="minorAscii" w:cstheme="minorAscii"/>
          <w:b w:val="0"/>
          <w:bCs w:val="0"/>
          <w:i w:val="0"/>
          <w:iCs w:val="0"/>
          <w:caps w:val="0"/>
          <w:smallCaps w:val="0"/>
          <w:strike w:val="0"/>
          <w:dstrike w:val="0"/>
          <w:noProof w:val="0"/>
          <w:sz w:val="20"/>
          <w:szCs w:val="20"/>
          <w:lang w:val="en-GB"/>
        </w:rPr>
      </w:pPr>
      <w:r w:rsidRPr="383AF2B7">
        <w:rPr>
          <w:rStyle w:val="FootnoteReference"/>
          <w:rFonts w:ascii="Open Sans" w:hAnsi="Open Sans" w:eastAsia="Open Sans" w:cs="Open Sans" w:asciiTheme="minorAscii" w:hAnsiTheme="minorAscii" w:eastAsiaTheme="minorAscii" w:cstheme="minorAscii"/>
          <w:sz w:val="20"/>
          <w:szCs w:val="20"/>
        </w:rPr>
        <w:footnoteRef/>
      </w:r>
      <w:r w:rsidRPr="383AF2B7" w:rsidR="126877C5">
        <w:rPr>
          <w:rFonts w:ascii="Open Sans" w:hAnsi="Open Sans" w:eastAsia="Open Sans" w:cs="Open Sans" w:asciiTheme="minorAscii" w:hAnsiTheme="minorAscii" w:eastAsiaTheme="minorAscii" w:cstheme="minorAscii"/>
          <w:sz w:val="20"/>
          <w:szCs w:val="20"/>
        </w:rPr>
        <w:t xml:space="preserve">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A2A2A"/>
          <w:sz w:val="20"/>
          <w:szCs w:val="20"/>
          <w:lang w:val="en-GB"/>
        </w:rPr>
        <w:t xml:space="preserve"> Sujata Mukherjee, </w:t>
      </w:r>
      <w:r w:rsidRPr="126877C5" w:rsidR="126877C5">
        <w:rPr>
          <w:rFonts w:ascii="Open Sans" w:hAnsi="Open Sans" w:eastAsia="Open Sans" w:cs="Open Sans" w:asciiTheme="minorAscii" w:hAnsiTheme="minorAscii" w:eastAsiaTheme="minorAscii" w:cstheme="minorAscii"/>
          <w:b w:val="0"/>
          <w:bCs w:val="0"/>
          <w:i w:val="1"/>
          <w:iCs w:val="1"/>
          <w:caps w:val="0"/>
          <w:smallCaps w:val="0"/>
          <w:noProof w:val="0"/>
          <w:color w:val="2A2A2A"/>
          <w:sz w:val="20"/>
          <w:szCs w:val="20"/>
          <w:lang w:val="en-GB"/>
        </w:rPr>
        <w:t>Gender, Medicine, and Society in Colonial India: Women's Health Care in Nineteenth- and Early Twentieth-Century Bengal (</w:t>
      </w:r>
      <w:r w:rsidRPr="126877C5" w:rsidR="126877C5">
        <w:rPr>
          <w:rFonts w:ascii="Open Sans" w:hAnsi="Open Sans" w:eastAsia="Open Sans" w:cs="Open Sans" w:asciiTheme="minorAscii" w:hAnsiTheme="minorAscii" w:eastAsiaTheme="minorAscii" w:cstheme="minorAscii"/>
          <w:b w:val="0"/>
          <w:bCs w:val="0"/>
          <w:i w:val="0"/>
          <w:iCs w:val="0"/>
          <w:caps w:val="0"/>
          <w:smallCaps w:val="0"/>
          <w:noProof w:val="0"/>
          <w:color w:val="2A2A2A"/>
          <w:sz w:val="20"/>
          <w:szCs w:val="20"/>
          <w:lang w:val="en-GB"/>
        </w:rPr>
        <w:t xml:space="preserve">2017), p.5.</w:t>
      </w:r>
    </w:p>
    <w:p w:rsidR="68E97E63" w:rsidP="68E97E63" w:rsidRDefault="68E97E63" w14:paraId="0469CF77" w14:textId="0E76C3D9">
      <w:pPr>
        <w:pStyle w:val="FootnoteText"/>
        <w:bidi w:val="0"/>
      </w:pPr>
    </w:p>
  </w:footnote>
</w:footnotes>
</file>

<file path=word/header.xml><?xml version="1.0" encoding="utf-8"?>
<w:hd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005"/>
      <w:gridCol w:w="3005"/>
      <w:gridCol w:w="3005"/>
    </w:tblGrid>
    <w:tr w:rsidR="643709FB" w:rsidTr="643709FB" w14:paraId="708C2E6C">
      <w:trPr>
        <w:trHeight w:val="300"/>
      </w:trPr>
      <w:tc>
        <w:tcPr>
          <w:tcW w:w="3005" w:type="dxa"/>
          <w:tcMar/>
        </w:tcPr>
        <w:p w:rsidR="643709FB" w:rsidP="643709FB" w:rsidRDefault="643709FB" w14:paraId="4E0AD9E5" w14:textId="3FF49403">
          <w:pPr>
            <w:pStyle w:val="Header"/>
            <w:bidi w:val="0"/>
            <w:ind w:left="-115"/>
            <w:jc w:val="left"/>
          </w:pPr>
        </w:p>
      </w:tc>
      <w:tc>
        <w:tcPr>
          <w:tcW w:w="3005" w:type="dxa"/>
          <w:tcMar/>
        </w:tcPr>
        <w:p w:rsidR="643709FB" w:rsidP="643709FB" w:rsidRDefault="643709FB" w14:paraId="56FF5BEB" w14:textId="3A3D8EA7">
          <w:pPr>
            <w:pStyle w:val="Header"/>
            <w:bidi w:val="0"/>
            <w:jc w:val="center"/>
          </w:pPr>
        </w:p>
      </w:tc>
      <w:tc>
        <w:tcPr>
          <w:tcW w:w="3005" w:type="dxa"/>
          <w:tcMar/>
        </w:tcPr>
        <w:p w:rsidR="643709FB" w:rsidP="643709FB" w:rsidRDefault="643709FB" w14:paraId="5F177137" w14:textId="1D2D327A">
          <w:pPr>
            <w:pStyle w:val="Header"/>
            <w:bidi w:val="0"/>
            <w:ind w:right="-115"/>
            <w:jc w:val="right"/>
          </w:pPr>
        </w:p>
      </w:tc>
    </w:tr>
  </w:tbl>
  <w:p w:rsidR="643709FB" w:rsidP="643709FB" w:rsidRDefault="643709FB" w14:paraId="7AE53404" w14:textId="447E2CB7">
    <w:pPr>
      <w:pStyle w:val="Header"/>
      <w:bidi w:val="0"/>
    </w:pPr>
  </w:p>
</w:hdr>
</file>

<file path=word/intelligence2.xml><?xml version="1.0" encoding="utf-8"?>
<int2:intelligence xmlns:int2="http://schemas.microsoft.com/office/intelligence/2020/intelligence">
  <int2:observations>
    <int2:textHash int2:hashCode="T8LSS9VWViMejz" int2:id="0LE2i5ja">
      <int2:state int2:type="spell" int2:value="Rejected"/>
    </int2:textHash>
    <int2:bookmark int2:bookmarkName="_Int_lUVy4ZKp" int2:invalidationBookmarkName="" int2:hashCode="mnGTT5IVb/TNK1" int2:id="JN86PeHy">
      <int2:state int2:type="gram" int2:value="Rejected"/>
    </int2:bookmark>
    <int2:bookmark int2:bookmarkName="_Int_0ba1GhiU" int2:invalidationBookmarkName="" int2:hashCode="xMB9lKGeoqv4I/" int2:id="ue0YqGQ5">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2673C7"/>
    <w:rsid w:val="0066F253"/>
    <w:rsid w:val="018F26C1"/>
    <w:rsid w:val="01CC78B2"/>
    <w:rsid w:val="02A00307"/>
    <w:rsid w:val="02B6DFAE"/>
    <w:rsid w:val="036E2DAD"/>
    <w:rsid w:val="03F0DA67"/>
    <w:rsid w:val="0472CDBC"/>
    <w:rsid w:val="050B387B"/>
    <w:rsid w:val="055F5C6B"/>
    <w:rsid w:val="057AD8C1"/>
    <w:rsid w:val="058AD107"/>
    <w:rsid w:val="05B507BE"/>
    <w:rsid w:val="05BDCCB6"/>
    <w:rsid w:val="06176461"/>
    <w:rsid w:val="0633E5E7"/>
    <w:rsid w:val="0676EA54"/>
    <w:rsid w:val="06A1E93A"/>
    <w:rsid w:val="06C8BE81"/>
    <w:rsid w:val="0733D940"/>
    <w:rsid w:val="077E905E"/>
    <w:rsid w:val="0849C5FD"/>
    <w:rsid w:val="08579306"/>
    <w:rsid w:val="09388590"/>
    <w:rsid w:val="09894ADA"/>
    <w:rsid w:val="09B7B7A6"/>
    <w:rsid w:val="09DB3498"/>
    <w:rsid w:val="0A1110B7"/>
    <w:rsid w:val="0A3D318C"/>
    <w:rsid w:val="0A6BF517"/>
    <w:rsid w:val="0ABC11E8"/>
    <w:rsid w:val="0B03A761"/>
    <w:rsid w:val="0B180769"/>
    <w:rsid w:val="0B247695"/>
    <w:rsid w:val="0B9CAFF3"/>
    <w:rsid w:val="0BAE9499"/>
    <w:rsid w:val="0C85B2B6"/>
    <w:rsid w:val="0C998FEE"/>
    <w:rsid w:val="0CBCE014"/>
    <w:rsid w:val="0CC50FD6"/>
    <w:rsid w:val="0CCA3067"/>
    <w:rsid w:val="0CD251C9"/>
    <w:rsid w:val="0D541F5D"/>
    <w:rsid w:val="0D6CECBF"/>
    <w:rsid w:val="0DA55D4B"/>
    <w:rsid w:val="0E106D1A"/>
    <w:rsid w:val="0E882C36"/>
    <w:rsid w:val="0E8EC18E"/>
    <w:rsid w:val="0EE3316C"/>
    <w:rsid w:val="0EF569D0"/>
    <w:rsid w:val="0F7D04B3"/>
    <w:rsid w:val="0F867851"/>
    <w:rsid w:val="1017D3A9"/>
    <w:rsid w:val="106E0CFB"/>
    <w:rsid w:val="10BBBD57"/>
    <w:rsid w:val="10C36107"/>
    <w:rsid w:val="113092FD"/>
    <w:rsid w:val="1161B285"/>
    <w:rsid w:val="11B98124"/>
    <w:rsid w:val="126877C5"/>
    <w:rsid w:val="12C8E2A8"/>
    <w:rsid w:val="13502622"/>
    <w:rsid w:val="14FC27C8"/>
    <w:rsid w:val="15A74077"/>
    <w:rsid w:val="15CF794A"/>
    <w:rsid w:val="166179EA"/>
    <w:rsid w:val="16666775"/>
    <w:rsid w:val="16B29C82"/>
    <w:rsid w:val="16BC82A2"/>
    <w:rsid w:val="16C5C821"/>
    <w:rsid w:val="17D53B90"/>
    <w:rsid w:val="17F52996"/>
    <w:rsid w:val="187F6CB9"/>
    <w:rsid w:val="18B22CEE"/>
    <w:rsid w:val="1A342666"/>
    <w:rsid w:val="1AC26513"/>
    <w:rsid w:val="1AD34108"/>
    <w:rsid w:val="1B10E12F"/>
    <w:rsid w:val="1B21B96F"/>
    <w:rsid w:val="1B5BF766"/>
    <w:rsid w:val="1B8D70C4"/>
    <w:rsid w:val="1BA9DFBF"/>
    <w:rsid w:val="1CB8ABAE"/>
    <w:rsid w:val="1CFE1741"/>
    <w:rsid w:val="1D0011B1"/>
    <w:rsid w:val="1D8F0A7F"/>
    <w:rsid w:val="1DC3C9E3"/>
    <w:rsid w:val="1E152B95"/>
    <w:rsid w:val="1E206B0F"/>
    <w:rsid w:val="1F1FE0B8"/>
    <w:rsid w:val="204DA5DF"/>
    <w:rsid w:val="205ECE67"/>
    <w:rsid w:val="207FE05E"/>
    <w:rsid w:val="20810B0F"/>
    <w:rsid w:val="214A6FB4"/>
    <w:rsid w:val="21C43D9B"/>
    <w:rsid w:val="22572232"/>
    <w:rsid w:val="22AFBB89"/>
    <w:rsid w:val="22C0C11D"/>
    <w:rsid w:val="231E6726"/>
    <w:rsid w:val="233DD73B"/>
    <w:rsid w:val="23F66958"/>
    <w:rsid w:val="2421A367"/>
    <w:rsid w:val="244DC994"/>
    <w:rsid w:val="2468606C"/>
    <w:rsid w:val="2495D889"/>
    <w:rsid w:val="253A7983"/>
    <w:rsid w:val="25B05239"/>
    <w:rsid w:val="25C5D857"/>
    <w:rsid w:val="260A7928"/>
    <w:rsid w:val="266AEAB3"/>
    <w:rsid w:val="2678DC8C"/>
    <w:rsid w:val="267B1475"/>
    <w:rsid w:val="272244E8"/>
    <w:rsid w:val="275D4DAF"/>
    <w:rsid w:val="276F356E"/>
    <w:rsid w:val="27BFC3C0"/>
    <w:rsid w:val="27CA9B69"/>
    <w:rsid w:val="27D1CCF6"/>
    <w:rsid w:val="27DA00FB"/>
    <w:rsid w:val="282DDE61"/>
    <w:rsid w:val="28A55837"/>
    <w:rsid w:val="28BB90F6"/>
    <w:rsid w:val="2915A08A"/>
    <w:rsid w:val="294ABD27"/>
    <w:rsid w:val="2954ECB9"/>
    <w:rsid w:val="29A116C1"/>
    <w:rsid w:val="29A2F871"/>
    <w:rsid w:val="29C94B42"/>
    <w:rsid w:val="2B0FCAFB"/>
    <w:rsid w:val="2BD4F17E"/>
    <w:rsid w:val="2CADBA90"/>
    <w:rsid w:val="2CD539F4"/>
    <w:rsid w:val="2D351FF0"/>
    <w:rsid w:val="2DDA02DD"/>
    <w:rsid w:val="2DFFA0E4"/>
    <w:rsid w:val="2E5B7140"/>
    <w:rsid w:val="2E686FBD"/>
    <w:rsid w:val="2EC7CB9F"/>
    <w:rsid w:val="2F70A398"/>
    <w:rsid w:val="2FB1B142"/>
    <w:rsid w:val="2FD1A6E4"/>
    <w:rsid w:val="30C106CE"/>
    <w:rsid w:val="3117471E"/>
    <w:rsid w:val="31A3C366"/>
    <w:rsid w:val="31CA18BF"/>
    <w:rsid w:val="326730BE"/>
    <w:rsid w:val="328BD2A8"/>
    <w:rsid w:val="32ECC99B"/>
    <w:rsid w:val="32FD8FF9"/>
    <w:rsid w:val="336CA6CD"/>
    <w:rsid w:val="3396BEDE"/>
    <w:rsid w:val="33E10E59"/>
    <w:rsid w:val="3421024F"/>
    <w:rsid w:val="35310F09"/>
    <w:rsid w:val="3545E76B"/>
    <w:rsid w:val="357CD241"/>
    <w:rsid w:val="36BAC3B1"/>
    <w:rsid w:val="373D35C0"/>
    <w:rsid w:val="37A252A8"/>
    <w:rsid w:val="383114A9"/>
    <w:rsid w:val="383AF2B7"/>
    <w:rsid w:val="3915A851"/>
    <w:rsid w:val="393CBB25"/>
    <w:rsid w:val="3946CE28"/>
    <w:rsid w:val="39C714E2"/>
    <w:rsid w:val="39E666CE"/>
    <w:rsid w:val="3A15265C"/>
    <w:rsid w:val="3A51B337"/>
    <w:rsid w:val="3A921CC6"/>
    <w:rsid w:val="3ADCAA5A"/>
    <w:rsid w:val="3B30D7CB"/>
    <w:rsid w:val="3BAA1498"/>
    <w:rsid w:val="3BB73407"/>
    <w:rsid w:val="3BBC1DE8"/>
    <w:rsid w:val="3C297CEB"/>
    <w:rsid w:val="3C4AEC69"/>
    <w:rsid w:val="3C59C14E"/>
    <w:rsid w:val="3C66779D"/>
    <w:rsid w:val="3CD750ED"/>
    <w:rsid w:val="3CEB428B"/>
    <w:rsid w:val="3CF9A548"/>
    <w:rsid w:val="3D232456"/>
    <w:rsid w:val="3D57238D"/>
    <w:rsid w:val="3D959F83"/>
    <w:rsid w:val="3DC75139"/>
    <w:rsid w:val="3DE9D975"/>
    <w:rsid w:val="3E1B8B2A"/>
    <w:rsid w:val="3E445375"/>
    <w:rsid w:val="3E507B83"/>
    <w:rsid w:val="3E8CACD8"/>
    <w:rsid w:val="3F166662"/>
    <w:rsid w:val="3F2673C7"/>
    <w:rsid w:val="3F2D3B9D"/>
    <w:rsid w:val="3F4DD45B"/>
    <w:rsid w:val="3F7CA366"/>
    <w:rsid w:val="3F7F005D"/>
    <w:rsid w:val="3FD35926"/>
    <w:rsid w:val="4046FE59"/>
    <w:rsid w:val="40507666"/>
    <w:rsid w:val="406B2FCD"/>
    <w:rsid w:val="40F255EC"/>
    <w:rsid w:val="416C9421"/>
    <w:rsid w:val="41AB7292"/>
    <w:rsid w:val="41F54A82"/>
    <w:rsid w:val="4218ECBD"/>
    <w:rsid w:val="43CEA6A5"/>
    <w:rsid w:val="44037E9C"/>
    <w:rsid w:val="4522CCFC"/>
    <w:rsid w:val="4542F17B"/>
    <w:rsid w:val="454E7B0F"/>
    <w:rsid w:val="45BFB728"/>
    <w:rsid w:val="45D1054E"/>
    <w:rsid w:val="46344FE3"/>
    <w:rsid w:val="472A0FDE"/>
    <w:rsid w:val="4772BE75"/>
    <w:rsid w:val="4776919B"/>
    <w:rsid w:val="4814198D"/>
    <w:rsid w:val="48A504B9"/>
    <w:rsid w:val="490C06C1"/>
    <w:rsid w:val="490D6184"/>
    <w:rsid w:val="49129D25"/>
    <w:rsid w:val="49DDCE03"/>
    <w:rsid w:val="49EB929E"/>
    <w:rsid w:val="4AB0DB62"/>
    <w:rsid w:val="4B00BAC1"/>
    <w:rsid w:val="4B671E21"/>
    <w:rsid w:val="4BA4CB47"/>
    <w:rsid w:val="4BF9EFC4"/>
    <w:rsid w:val="4C16B922"/>
    <w:rsid w:val="4C7E7106"/>
    <w:rsid w:val="4D042DED"/>
    <w:rsid w:val="4D22B930"/>
    <w:rsid w:val="4D83ABC3"/>
    <w:rsid w:val="4E0AEEDB"/>
    <w:rsid w:val="4EEF06C2"/>
    <w:rsid w:val="4EF63D7A"/>
    <w:rsid w:val="4F889A94"/>
    <w:rsid w:val="50D3B1A5"/>
    <w:rsid w:val="510C053A"/>
    <w:rsid w:val="514BC984"/>
    <w:rsid w:val="51793EE0"/>
    <w:rsid w:val="517EF017"/>
    <w:rsid w:val="5208784C"/>
    <w:rsid w:val="523BC9FF"/>
    <w:rsid w:val="5255E18F"/>
    <w:rsid w:val="52570364"/>
    <w:rsid w:val="52652001"/>
    <w:rsid w:val="53408E08"/>
    <w:rsid w:val="54760A42"/>
    <w:rsid w:val="548CC4A7"/>
    <w:rsid w:val="54C5FD00"/>
    <w:rsid w:val="552A5BED"/>
    <w:rsid w:val="55BA5FA5"/>
    <w:rsid w:val="55BC2D58"/>
    <w:rsid w:val="56AA10B4"/>
    <w:rsid w:val="56FBE64A"/>
    <w:rsid w:val="578D7267"/>
    <w:rsid w:val="57E2C381"/>
    <w:rsid w:val="58090519"/>
    <w:rsid w:val="5854EA52"/>
    <w:rsid w:val="588C47A6"/>
    <w:rsid w:val="58A73979"/>
    <w:rsid w:val="5966E301"/>
    <w:rsid w:val="5981EB1D"/>
    <w:rsid w:val="5996B1EA"/>
    <w:rsid w:val="5A60C035"/>
    <w:rsid w:val="5B2E885F"/>
    <w:rsid w:val="5B446710"/>
    <w:rsid w:val="5BE07D42"/>
    <w:rsid w:val="5BE412B2"/>
    <w:rsid w:val="5BFBDD62"/>
    <w:rsid w:val="5C134ECF"/>
    <w:rsid w:val="5C9C27C2"/>
    <w:rsid w:val="5D848614"/>
    <w:rsid w:val="5DE91480"/>
    <w:rsid w:val="5E3E5054"/>
    <w:rsid w:val="5EC624F1"/>
    <w:rsid w:val="5ECCFEAF"/>
    <w:rsid w:val="5ED618FD"/>
    <w:rsid w:val="5FC59025"/>
    <w:rsid w:val="601F97E4"/>
    <w:rsid w:val="603C19AA"/>
    <w:rsid w:val="60AF3385"/>
    <w:rsid w:val="614480D1"/>
    <w:rsid w:val="61F6CB9B"/>
    <w:rsid w:val="62200EC4"/>
    <w:rsid w:val="628BD115"/>
    <w:rsid w:val="62D81355"/>
    <w:rsid w:val="62FC8C2E"/>
    <w:rsid w:val="631A1FE9"/>
    <w:rsid w:val="6400834E"/>
    <w:rsid w:val="641F90F4"/>
    <w:rsid w:val="643709FB"/>
    <w:rsid w:val="64381CF9"/>
    <w:rsid w:val="646CF2B4"/>
    <w:rsid w:val="6477ACB7"/>
    <w:rsid w:val="64D2BBCD"/>
    <w:rsid w:val="66052738"/>
    <w:rsid w:val="66EFE6EF"/>
    <w:rsid w:val="66FF0F74"/>
    <w:rsid w:val="67960529"/>
    <w:rsid w:val="68D09BC8"/>
    <w:rsid w:val="68E97E63"/>
    <w:rsid w:val="690B5372"/>
    <w:rsid w:val="693E1F1A"/>
    <w:rsid w:val="6A1056E0"/>
    <w:rsid w:val="6A3F2039"/>
    <w:rsid w:val="6A4DE41A"/>
    <w:rsid w:val="6A6891E5"/>
    <w:rsid w:val="6AE4531B"/>
    <w:rsid w:val="6B0C12F5"/>
    <w:rsid w:val="6B1CB2A6"/>
    <w:rsid w:val="6B3CA065"/>
    <w:rsid w:val="6B43DF4E"/>
    <w:rsid w:val="6B599C4C"/>
    <w:rsid w:val="6B7B0E38"/>
    <w:rsid w:val="6BB19499"/>
    <w:rsid w:val="6BF570F0"/>
    <w:rsid w:val="6C5BAD0C"/>
    <w:rsid w:val="6CE23E10"/>
    <w:rsid w:val="6D110B1F"/>
    <w:rsid w:val="6D1AEA9C"/>
    <w:rsid w:val="6DD55FA7"/>
    <w:rsid w:val="6E0E621E"/>
    <w:rsid w:val="6EAEDD74"/>
    <w:rsid w:val="6EB6E295"/>
    <w:rsid w:val="6F521962"/>
    <w:rsid w:val="6FEE8E7D"/>
    <w:rsid w:val="700F9B4B"/>
    <w:rsid w:val="709A09F6"/>
    <w:rsid w:val="7110F6BE"/>
    <w:rsid w:val="71DD6FF2"/>
    <w:rsid w:val="72C968BC"/>
    <w:rsid w:val="73553C8E"/>
    <w:rsid w:val="73B03312"/>
    <w:rsid w:val="73CE5568"/>
    <w:rsid w:val="73D38887"/>
    <w:rsid w:val="756BAD1A"/>
    <w:rsid w:val="7597651C"/>
    <w:rsid w:val="75F0953C"/>
    <w:rsid w:val="75FB8094"/>
    <w:rsid w:val="76D81E04"/>
    <w:rsid w:val="771A368F"/>
    <w:rsid w:val="7730C211"/>
    <w:rsid w:val="7760B9C3"/>
    <w:rsid w:val="777CAAB9"/>
    <w:rsid w:val="77989434"/>
    <w:rsid w:val="780DE849"/>
    <w:rsid w:val="78139B1C"/>
    <w:rsid w:val="78CB8B24"/>
    <w:rsid w:val="78F43307"/>
    <w:rsid w:val="795C291C"/>
    <w:rsid w:val="7964A89A"/>
    <w:rsid w:val="79F6E215"/>
    <w:rsid w:val="7A01A99C"/>
    <w:rsid w:val="7A3B6A13"/>
    <w:rsid w:val="7A55C71B"/>
    <w:rsid w:val="7A723646"/>
    <w:rsid w:val="7B64E732"/>
    <w:rsid w:val="7DB84220"/>
    <w:rsid w:val="7E65E3E4"/>
    <w:rsid w:val="7EBBAA28"/>
    <w:rsid w:val="7ED417F7"/>
    <w:rsid w:val="7F19C32E"/>
    <w:rsid w:val="7F5C2AAF"/>
    <w:rsid w:val="7F90BF73"/>
    <w:rsid w:val="7FF55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7D3A9"/>
  <w15:chartTrackingRefBased/>
  <w15:docId w15:val="{B8166A49-EC50-4735-8E5A-99BD96D921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43709FB"/>
    <w:pPr>
      <w:tabs>
        <w:tab w:val="center" w:leader="none" w:pos="4680"/>
        <w:tab w:val="right" w:leader="none" w:pos="9360"/>
      </w:tabs>
      <w:spacing w:after="0" w:line="240" w:lineRule="auto"/>
    </w:pPr>
  </w:style>
  <w:style w:type="paragraph" w:styleId="Footer">
    <w:uiPriority w:val="99"/>
    <w:name w:val="footer"/>
    <w:basedOn w:val="Normal"/>
    <w:unhideWhenUsed/>
    <w:rsid w:val="643709FB"/>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643709FB"/>
    <w:rPr>
      <w:sz w:val="20"/>
      <w:szCs w:val="20"/>
    </w:rPr>
    <w:pPr>
      <w:spacing w:after="0" w:line="240" w:lineRule="auto"/>
    </w:pPr>
  </w:style>
  <w:style w:type="character" w:styleId="FootnoteReference">
    <w:uiPriority w:val="99"/>
    <w:name w:val="footnote reference"/>
    <w:basedOn w:val="DefaultParagraphFont"/>
    <w:semiHidden/>
    <w:unhideWhenUsed/>
    <w:rsid w:val="643709FB"/>
    <w:rPr>
      <w:vertAlign w:val="superscript"/>
    </w:rPr>
  </w:style>
  <w:style w:type="character" w:styleId="Hyperlink">
    <w:uiPriority w:val="99"/>
    <w:name w:val="Hyperlink"/>
    <w:basedOn w:val="DefaultParagraphFont"/>
    <w:unhideWhenUsed/>
    <w:rsid w:val="643709F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383AF2B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8f6066c71bb40c7" /><Relationship Type="http://schemas.openxmlformats.org/officeDocument/2006/relationships/footer" Target="/word/footer.xml" Id="Ra2ef39e6204247b4" /><Relationship Type="http://schemas.openxmlformats.org/officeDocument/2006/relationships/footnotes" Target="/word/footnotes.xml" Id="R7e2fecab06a24809" /><Relationship Type="http://schemas.microsoft.com/office/2020/10/relationships/intelligence" Target="/word/intelligence2.xml" Id="R8695a77e47bc4125" /><Relationship Type="http://schemas.openxmlformats.org/officeDocument/2006/relationships/hyperlink" Target="https://www.indiacode.nic.in/repealedfileopen?rfilename=A1868-14.pdf" TargetMode="External" Id="R980a73be198b4d42" /><Relationship Type="http://schemas.openxmlformats.org/officeDocument/2006/relationships/hyperlink" Target="https://www.gutenberg.org/files/47288/47288-h/47288-h.htm" TargetMode="External" Id="R3bf96ad8e207493a" /><Relationship Type="http://schemas.openxmlformats.org/officeDocument/2006/relationships/hyperlink" Target="https://doi.org/10.14324/111.2052-1871.040" TargetMode="External" Id="Rd175afc8e9d5459d" /><Relationship Type="http://schemas.openxmlformats.org/officeDocument/2006/relationships/hyperlink" Target="https://archive.org/details/personalreminisc00butliala/page/n5/mode/2up" TargetMode="External" Id="R3cb0d421258743f6" /><Relationship Type="http://schemas.openxmlformats.org/officeDocument/2006/relationships/hyperlink" Target="https://doi.org/10.1007/s43576-024-00143-3" TargetMode="External" Id="R81c47d6a771d495e" /><Relationship Type="http://schemas.openxmlformats.org/officeDocument/2006/relationships/hyperlink" Target="https://www-jstor-org.ezproxy.uwtsd.ac.uk/stable/pdf/4048453.pdf?refreqid=fastly-default%3A8d7eaac1bd2cffc04e4ccff59bf41b60&amp;ab_segments=&amp;initiator=&amp;acceptTC=1" TargetMode="External" Id="Re251b8b61f584142" /><Relationship Type="http://schemas.openxmlformats.org/officeDocument/2006/relationships/hyperlink" Target="https://archive.org/details/patronsaintofpro0000math/page/80/mode/1up" TargetMode="External" Id="Rcff8172e17e54484" /><Relationship Type="http://schemas.openxmlformats.org/officeDocument/2006/relationships/hyperlink" Target="https://www.jstor.org/stable/pdf/25242989.pdf" TargetMode="External" Id="Rc46feda96e934984" /><Relationship Type="http://schemas.openxmlformats.org/officeDocument/2006/relationships/hyperlink" Target="http://www.jstor.org/stable/4409206" TargetMode="External" Id="Rcf545c5dedc74f33" /><Relationship Type="http://schemas.openxmlformats.org/officeDocument/2006/relationships/hyperlink" Target="https://www.academia.edu/114591042/Guarding_The_Female_Body_The_Contagious_Disease_Act_Of_19th_Century_British_India" TargetMode="External" Id="R9d965fa22f3b498b" /><Relationship Type="http://schemas.openxmlformats.org/officeDocument/2006/relationships/hyperlink" Target="https://journals.sagepub.com/doi/10.1177/00194646241241664" TargetMode="External" Id="R9b597370ecc24541" /><Relationship Type="http://schemas.openxmlformats.org/officeDocument/2006/relationships/hyperlink" Target="https://pu.edu.pk/images/journal/history/PDF-FILES/19_55_1_18.pdf" TargetMode="External" Id="R13d608380533431b" /><Relationship Type="http://schemas.openxmlformats.org/officeDocument/2006/relationships/hyperlink" Target="https://doi.org/10.1093/acprof:oso/9780199468225.001.0001" TargetMode="External" Id="R42b852cd347c4da6" /><Relationship Type="http://schemas.openxmlformats.org/officeDocument/2006/relationships/hyperlink" Target="https://www.cambridge.org/core/services/aop-cambridge-core/content/view/S0025727300063651?pdf" TargetMode="External" Id="Raa29c02510bb47dc" /><Relationship Type="http://schemas.openxmlformats.org/officeDocument/2006/relationships/hyperlink" Target="https://doi.org/10.1177/001946460804600102" TargetMode="External" Id="R6d542655931947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Open San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 Samuels (2410646)</dc:creator>
  <keywords/>
  <dc:description/>
  <lastModifiedBy>Steve Samuels (2410646)</lastModifiedBy>
  <revision>16</revision>
  <dcterms:created xsi:type="dcterms:W3CDTF">2025-11-24T15:56:42.4413215Z</dcterms:created>
  <dcterms:modified xsi:type="dcterms:W3CDTF">2026-05-09T14:41:32.7752054Z</dcterms:modified>
</coreProperties>
</file>