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7B94C" w14:textId="77A2C950" w:rsidR="00F26691" w:rsidRPr="00164712" w:rsidRDefault="00164712">
      <w:pPr>
        <w:rPr>
          <w:i/>
          <w:iCs/>
          <w:sz w:val="24"/>
          <w:szCs w:val="24"/>
          <w:u w:val="single"/>
        </w:rPr>
      </w:pPr>
      <w:r w:rsidRPr="00164712">
        <w:rPr>
          <w:i/>
          <w:iCs/>
          <w:sz w:val="24"/>
          <w:szCs w:val="24"/>
          <w:u w:val="single"/>
        </w:rPr>
        <w:t xml:space="preserve">The </w:t>
      </w:r>
      <w:r w:rsidR="00BF14ED">
        <w:rPr>
          <w:i/>
          <w:iCs/>
          <w:sz w:val="24"/>
          <w:szCs w:val="24"/>
          <w:u w:val="single"/>
        </w:rPr>
        <w:t xml:space="preserve">1916 </w:t>
      </w:r>
      <w:r w:rsidRPr="00164712">
        <w:rPr>
          <w:i/>
          <w:iCs/>
          <w:sz w:val="24"/>
          <w:szCs w:val="24"/>
          <w:u w:val="single"/>
        </w:rPr>
        <w:t>Irish Proclamation of Independence</w:t>
      </w:r>
      <w:r w:rsidR="00BF14ED">
        <w:rPr>
          <w:i/>
          <w:iCs/>
          <w:sz w:val="24"/>
          <w:szCs w:val="24"/>
          <w:u w:val="single"/>
        </w:rPr>
        <w:t xml:space="preserve"> </w:t>
      </w:r>
    </w:p>
    <w:p w14:paraId="260A4000" w14:textId="03022D93" w:rsidR="005B40FF" w:rsidRPr="00164712" w:rsidRDefault="005B40FF">
      <w:pPr>
        <w:rPr>
          <w:sz w:val="20"/>
          <w:szCs w:val="20"/>
        </w:rPr>
      </w:pPr>
      <w:r w:rsidRPr="00164712">
        <w:rPr>
          <w:sz w:val="20"/>
          <w:szCs w:val="20"/>
        </w:rPr>
        <w:t>The Proclamation of the Irish Republic is a document published by the Irish Republican Brotherhood (IRB)</w:t>
      </w:r>
      <w:r w:rsidR="00C937B3" w:rsidRPr="00164712">
        <w:rPr>
          <w:sz w:val="20"/>
          <w:szCs w:val="20"/>
        </w:rPr>
        <w:t>, intend</w:t>
      </w:r>
      <w:r w:rsidR="00E712EC">
        <w:rPr>
          <w:sz w:val="20"/>
          <w:szCs w:val="20"/>
        </w:rPr>
        <w:t>ing</w:t>
      </w:r>
      <w:r w:rsidR="00C937B3" w:rsidRPr="00164712">
        <w:rPr>
          <w:sz w:val="20"/>
          <w:szCs w:val="20"/>
        </w:rPr>
        <w:t xml:space="preserve"> to state the aims of the 1916 Easter Rising. </w:t>
      </w:r>
      <w:r w:rsidRPr="00164712">
        <w:rPr>
          <w:sz w:val="20"/>
          <w:szCs w:val="20"/>
        </w:rPr>
        <w:t xml:space="preserve">When analysing the </w:t>
      </w:r>
      <w:r w:rsidR="0024420A">
        <w:rPr>
          <w:sz w:val="20"/>
          <w:szCs w:val="20"/>
        </w:rPr>
        <w:t>proclamation</w:t>
      </w:r>
      <w:r w:rsidRPr="00164712">
        <w:rPr>
          <w:sz w:val="20"/>
          <w:szCs w:val="20"/>
        </w:rPr>
        <w:t xml:space="preserve">, it is crucial to take numerous factors into consideration. One such factor is the author, in order to have a strong insight into who they </w:t>
      </w:r>
      <w:r w:rsidR="0024420A">
        <w:rPr>
          <w:sz w:val="20"/>
          <w:szCs w:val="20"/>
        </w:rPr>
        <w:t>were</w:t>
      </w:r>
      <w:r w:rsidRPr="00164712">
        <w:rPr>
          <w:sz w:val="20"/>
          <w:szCs w:val="20"/>
        </w:rPr>
        <w:t xml:space="preserve"> and thus what their aims were when writing the proclamation. In this case the author is Patrick Pearse, and</w:t>
      </w:r>
      <w:r w:rsidR="009F7DDA" w:rsidRPr="00164712">
        <w:rPr>
          <w:sz w:val="20"/>
          <w:szCs w:val="20"/>
        </w:rPr>
        <w:t xml:space="preserve"> it is necessary to analyse </w:t>
      </w:r>
      <w:r w:rsidR="00FE02A2" w:rsidRPr="00164712">
        <w:rPr>
          <w:sz w:val="20"/>
          <w:szCs w:val="20"/>
        </w:rPr>
        <w:t>his political background in order to have a more detailed understanding of what he wanted the message of the proclamation</w:t>
      </w:r>
      <w:r w:rsidR="00725000" w:rsidRPr="00164712">
        <w:rPr>
          <w:sz w:val="20"/>
          <w:szCs w:val="20"/>
        </w:rPr>
        <w:t xml:space="preserve"> to portray. </w:t>
      </w:r>
      <w:r w:rsidRPr="00164712">
        <w:rPr>
          <w:sz w:val="20"/>
          <w:szCs w:val="20"/>
        </w:rPr>
        <w:t xml:space="preserve">A second factor </w:t>
      </w:r>
      <w:r w:rsidR="00725000" w:rsidRPr="00164712">
        <w:rPr>
          <w:sz w:val="20"/>
          <w:szCs w:val="20"/>
        </w:rPr>
        <w:t xml:space="preserve">to </w:t>
      </w:r>
      <w:r w:rsidR="002E5989" w:rsidRPr="002E5989">
        <w:rPr>
          <w:sz w:val="20"/>
          <w:szCs w:val="20"/>
        </w:rPr>
        <w:t>examine</w:t>
      </w:r>
      <w:r w:rsidR="00725000" w:rsidRPr="00164712">
        <w:rPr>
          <w:sz w:val="20"/>
          <w:szCs w:val="20"/>
        </w:rPr>
        <w:t xml:space="preserve"> is</w:t>
      </w:r>
      <w:r w:rsidRPr="00164712">
        <w:rPr>
          <w:sz w:val="20"/>
          <w:szCs w:val="20"/>
        </w:rPr>
        <w:t xml:space="preserve"> when it was that the proclamation was written, in order to have an understanding of</w:t>
      </w:r>
      <w:r w:rsidR="006C3670">
        <w:rPr>
          <w:sz w:val="20"/>
          <w:szCs w:val="20"/>
        </w:rPr>
        <w:t xml:space="preserve"> historical context</w:t>
      </w:r>
      <w:r w:rsidR="00B929C7">
        <w:rPr>
          <w:sz w:val="20"/>
          <w:szCs w:val="20"/>
        </w:rPr>
        <w:t>,</w:t>
      </w:r>
      <w:r w:rsidR="001D4D2F" w:rsidRPr="00164712">
        <w:rPr>
          <w:sz w:val="20"/>
          <w:szCs w:val="20"/>
        </w:rPr>
        <w:t xml:space="preserve"> which is crucial because this enables an understanding of how the proclamation was interpreted when it was produced.</w:t>
      </w:r>
      <w:r w:rsidRPr="00164712">
        <w:rPr>
          <w:sz w:val="20"/>
          <w:szCs w:val="20"/>
        </w:rPr>
        <w:t xml:space="preserve"> A third factor </w:t>
      </w:r>
      <w:r w:rsidR="00DA3416" w:rsidRPr="00164712">
        <w:rPr>
          <w:sz w:val="20"/>
          <w:szCs w:val="20"/>
        </w:rPr>
        <w:t>is</w:t>
      </w:r>
      <w:r w:rsidRPr="00164712">
        <w:rPr>
          <w:sz w:val="20"/>
          <w:szCs w:val="20"/>
        </w:rPr>
        <w:t xml:space="preserve"> to compare the Proclamation of the Irish Republic with another proclamation published by the same group, in this case the 1867 Fenian Proclamation, in order to have strong idea of what it is that the group has been </w:t>
      </w:r>
      <w:r w:rsidR="00DE48F8" w:rsidRPr="00164712">
        <w:rPr>
          <w:sz w:val="20"/>
          <w:szCs w:val="20"/>
        </w:rPr>
        <w:t xml:space="preserve">historically </w:t>
      </w:r>
      <w:r w:rsidRPr="00164712">
        <w:rPr>
          <w:sz w:val="20"/>
          <w:szCs w:val="20"/>
        </w:rPr>
        <w:t>trying to historically portray, and the message that they have been trying to get across to the Irish public for over half a century. This will enable a possibility to compare and contrast what the group is about, such as their aims, what they stand for, and what methods they attempt to use to get across to the Irish public.</w:t>
      </w:r>
    </w:p>
    <w:p w14:paraId="4936B737" w14:textId="1CD27320" w:rsidR="00E51D18" w:rsidRPr="00164712" w:rsidRDefault="009206FA">
      <w:pPr>
        <w:rPr>
          <w:sz w:val="20"/>
          <w:szCs w:val="20"/>
        </w:rPr>
      </w:pPr>
      <w:r w:rsidRPr="00164712">
        <w:rPr>
          <w:sz w:val="20"/>
          <w:szCs w:val="20"/>
        </w:rPr>
        <w:t>When focusing on Pearse, a strong source on his background is a book published by Joost Augusteijin</w:t>
      </w:r>
      <w:r w:rsidR="0064766B">
        <w:rPr>
          <w:sz w:val="20"/>
          <w:szCs w:val="20"/>
        </w:rPr>
        <w:t>,</w:t>
      </w:r>
      <w:r w:rsidRPr="00164712">
        <w:rPr>
          <w:sz w:val="20"/>
          <w:szCs w:val="20"/>
        </w:rPr>
        <w:t xml:space="preserve"> a historian and lecturer of modern Irish History at Trinity College Dublin and Queen’s University Belfast. His book, </w:t>
      </w:r>
      <w:r w:rsidRPr="004919C0">
        <w:rPr>
          <w:i/>
          <w:iCs/>
          <w:sz w:val="20"/>
          <w:szCs w:val="20"/>
        </w:rPr>
        <w:t>Patrick Pearse: The Making of a Revolutionary</w:t>
      </w:r>
      <w:r w:rsidRPr="00164712">
        <w:rPr>
          <w:sz w:val="20"/>
          <w:szCs w:val="20"/>
        </w:rPr>
        <w:t>, provides a strong insight into Patrick Pearse’s life and upbringing, and is a very strong source to use when examining Pearse’s political background. Augusteijn makes it clear that Pearse had not always been a political activist, instead supporting an Irish language revival rather than a full-blown rebellion. “To him the restoration of the language was the essence of being Irish, political nationalism should and could only come second.”</w:t>
      </w:r>
      <w:r w:rsidR="005F3EF2">
        <w:rPr>
          <w:rStyle w:val="FootnoteReference"/>
          <w:sz w:val="20"/>
          <w:szCs w:val="20"/>
        </w:rPr>
        <w:footnoteReference w:id="1"/>
      </w:r>
      <w:r w:rsidRPr="00164712">
        <w:rPr>
          <w:sz w:val="20"/>
          <w:szCs w:val="20"/>
        </w:rPr>
        <w:t xml:space="preserve">  This is because, he believed that, “in giving primacy to the language over independence he based himself on how he believed Hungarian and Flemish emancipation had come about.” … “He asserted: ‘The moral of the whole story is that the Hungarian language revival of 1825 laid the foundation of the great, strong and progressive Hungarian nation of 1904. And so it shall fall out in Ireland.’”</w:t>
      </w:r>
      <w:r w:rsidR="002D6D02">
        <w:rPr>
          <w:rStyle w:val="FootnoteReference"/>
          <w:sz w:val="20"/>
          <w:szCs w:val="20"/>
        </w:rPr>
        <w:footnoteReference w:id="2"/>
      </w:r>
      <w:r w:rsidRPr="00164712">
        <w:rPr>
          <w:sz w:val="20"/>
          <w:szCs w:val="20"/>
        </w:rPr>
        <w:t xml:space="preserve">  However, Pearse would ultimately realise that political action was needed for Ireland to become a nation, and by 1912 Pearse had become politically active. Augusteijn </w:t>
      </w:r>
      <w:r w:rsidR="00F0087A">
        <w:rPr>
          <w:sz w:val="20"/>
          <w:szCs w:val="20"/>
        </w:rPr>
        <w:t>states</w:t>
      </w:r>
      <w:r w:rsidRPr="00164712">
        <w:rPr>
          <w:sz w:val="20"/>
          <w:szCs w:val="20"/>
        </w:rPr>
        <w:t xml:space="preserve"> that during this time, “having taken the decision that political action was necessary he went for it wholeheartedly. Early in 1912 he initiated the establishment of an Irish-speaking political society, Cumann na Saoirse (The Freedom Association), and an associated newspaper An Barr Buadh (The Trumpet of Victory).”</w:t>
      </w:r>
      <w:r w:rsidR="00213E03">
        <w:rPr>
          <w:rStyle w:val="FootnoteReference"/>
          <w:sz w:val="20"/>
          <w:szCs w:val="20"/>
        </w:rPr>
        <w:footnoteReference w:id="3"/>
      </w:r>
      <w:r w:rsidRPr="00164712">
        <w:rPr>
          <w:sz w:val="20"/>
          <w:szCs w:val="20"/>
        </w:rPr>
        <w:t xml:space="preserve">  Therefore, Pearse had only become involved in Irish political affairs four years prior to writing the </w:t>
      </w:r>
      <w:r w:rsidR="006F542D">
        <w:rPr>
          <w:sz w:val="20"/>
          <w:szCs w:val="20"/>
        </w:rPr>
        <w:t>p</w:t>
      </w:r>
      <w:r w:rsidRPr="00164712">
        <w:rPr>
          <w:sz w:val="20"/>
          <w:szCs w:val="20"/>
        </w:rPr>
        <w:t xml:space="preserve">roclamation. </w:t>
      </w:r>
      <w:r w:rsidR="000041F5" w:rsidRPr="00164712">
        <w:rPr>
          <w:sz w:val="20"/>
          <w:szCs w:val="20"/>
        </w:rPr>
        <w:t xml:space="preserve"> </w:t>
      </w:r>
      <w:r w:rsidRPr="00164712">
        <w:rPr>
          <w:sz w:val="20"/>
          <w:szCs w:val="20"/>
        </w:rPr>
        <w:t xml:space="preserve">However, </w:t>
      </w:r>
      <w:r w:rsidR="0064766B">
        <w:rPr>
          <w:sz w:val="20"/>
          <w:szCs w:val="20"/>
        </w:rPr>
        <w:t>he</w:t>
      </w:r>
      <w:r w:rsidRPr="00164712">
        <w:rPr>
          <w:sz w:val="20"/>
          <w:szCs w:val="20"/>
        </w:rPr>
        <w:t xml:space="preserve"> was not as efficient as his peers in regards to physical preparation for the </w:t>
      </w:r>
      <w:r w:rsidR="00346C9A" w:rsidRPr="00164712">
        <w:rPr>
          <w:sz w:val="20"/>
          <w:szCs w:val="20"/>
        </w:rPr>
        <w:t>rebellion but</w:t>
      </w:r>
      <w:r w:rsidRPr="00164712">
        <w:rPr>
          <w:sz w:val="20"/>
          <w:szCs w:val="20"/>
        </w:rPr>
        <w:t xml:space="preserve"> was instead renowned in his political literature. Augusteijn makes this clear when he states that “Patrick did not excel in practical organisational work, but was instrumental in propagating their message right up to the outbreak of the Rising.”</w:t>
      </w:r>
      <w:r w:rsidR="00327A61">
        <w:rPr>
          <w:rStyle w:val="FootnoteReference"/>
          <w:sz w:val="20"/>
          <w:szCs w:val="20"/>
        </w:rPr>
        <w:footnoteReference w:id="4"/>
      </w:r>
      <w:r w:rsidRPr="00164712">
        <w:rPr>
          <w:sz w:val="20"/>
          <w:szCs w:val="20"/>
        </w:rPr>
        <w:t xml:space="preserve"> This explains why it was Pearse who wrote the </w:t>
      </w:r>
      <w:r w:rsidR="001E3972">
        <w:rPr>
          <w:sz w:val="20"/>
          <w:szCs w:val="20"/>
        </w:rPr>
        <w:t>p</w:t>
      </w:r>
      <w:r w:rsidRPr="00164712">
        <w:rPr>
          <w:sz w:val="20"/>
          <w:szCs w:val="20"/>
        </w:rPr>
        <w:t>roclamation and not his peers.</w:t>
      </w:r>
      <w:r w:rsidR="00D816B5" w:rsidRPr="00164712">
        <w:rPr>
          <w:sz w:val="20"/>
          <w:szCs w:val="20"/>
        </w:rPr>
        <w:t xml:space="preserve"> </w:t>
      </w:r>
      <w:r w:rsidRPr="00164712">
        <w:rPr>
          <w:sz w:val="20"/>
          <w:szCs w:val="20"/>
        </w:rPr>
        <w:t xml:space="preserve">Augusteijn </w:t>
      </w:r>
      <w:r w:rsidR="00A44AB7" w:rsidRPr="00164712">
        <w:rPr>
          <w:sz w:val="20"/>
          <w:szCs w:val="20"/>
        </w:rPr>
        <w:t>emphasises</w:t>
      </w:r>
      <w:r w:rsidRPr="00164712">
        <w:rPr>
          <w:sz w:val="20"/>
          <w:szCs w:val="20"/>
        </w:rPr>
        <w:t xml:space="preserve"> that crucial to Pearse playing a role in the rebellion was a feeling of historical shame; “To Patrick the chance to redeem what he called Dublin’s shame for their failure to come to Robert Emmet’s aid had been a motivating force for some time.”</w:t>
      </w:r>
      <w:r w:rsidR="002D4664">
        <w:rPr>
          <w:rStyle w:val="FootnoteReference"/>
          <w:sz w:val="20"/>
          <w:szCs w:val="20"/>
        </w:rPr>
        <w:footnoteReference w:id="5"/>
      </w:r>
      <w:r w:rsidRPr="00164712">
        <w:rPr>
          <w:sz w:val="20"/>
          <w:szCs w:val="20"/>
        </w:rPr>
        <w:t xml:space="preserve"> </w:t>
      </w:r>
      <w:r w:rsidR="00A44AB7" w:rsidRPr="00164712">
        <w:rPr>
          <w:sz w:val="20"/>
          <w:szCs w:val="20"/>
        </w:rPr>
        <w:t xml:space="preserve">In addition to this, </w:t>
      </w:r>
      <w:r w:rsidRPr="00164712">
        <w:rPr>
          <w:sz w:val="20"/>
          <w:szCs w:val="20"/>
        </w:rPr>
        <w:t>“</w:t>
      </w:r>
      <w:r w:rsidR="00FE3C49">
        <w:rPr>
          <w:sz w:val="20"/>
          <w:szCs w:val="20"/>
        </w:rPr>
        <w:t>r</w:t>
      </w:r>
      <w:r w:rsidRPr="00164712">
        <w:rPr>
          <w:sz w:val="20"/>
          <w:szCs w:val="20"/>
        </w:rPr>
        <w:t>evenge for past wrongs inflicted by an oppressor, a celebration of martyrs for the cause and a general militarisation in socialist thinking of all types from social democrats to anarchists had taken place in the late nineteenth and early twentieth centuries. The sacrifice of the leader and his redemption in the future revolution was also a standard trope of socialist literature.”</w:t>
      </w:r>
      <w:r w:rsidR="002D4664">
        <w:rPr>
          <w:rStyle w:val="FootnoteReference"/>
          <w:sz w:val="20"/>
          <w:szCs w:val="20"/>
        </w:rPr>
        <w:footnoteReference w:id="6"/>
      </w:r>
      <w:r w:rsidR="00C03006">
        <w:rPr>
          <w:sz w:val="20"/>
          <w:szCs w:val="20"/>
        </w:rPr>
        <w:t xml:space="preserve"> </w:t>
      </w:r>
      <w:r w:rsidR="008D6CF9" w:rsidRPr="00164712">
        <w:rPr>
          <w:sz w:val="20"/>
          <w:szCs w:val="20"/>
        </w:rPr>
        <w:t xml:space="preserve">Through this, it is clear that </w:t>
      </w:r>
      <w:r w:rsidR="00CA1D7B" w:rsidRPr="00164712">
        <w:rPr>
          <w:sz w:val="20"/>
          <w:szCs w:val="20"/>
        </w:rPr>
        <w:t>Pearse was motivated by a feeling of historical loss</w:t>
      </w:r>
      <w:r w:rsidR="00FE3C49">
        <w:rPr>
          <w:sz w:val="20"/>
          <w:szCs w:val="20"/>
        </w:rPr>
        <w:t xml:space="preserve"> believing</w:t>
      </w:r>
      <w:r w:rsidR="00FB0EBA" w:rsidRPr="00164712">
        <w:rPr>
          <w:sz w:val="20"/>
          <w:szCs w:val="20"/>
        </w:rPr>
        <w:t xml:space="preserve"> that the rebellion would bring back Irish pride, whilst simultaneously his death would make him a martyr, and would inspire </w:t>
      </w:r>
      <w:r w:rsidR="00A40FAE" w:rsidRPr="00164712">
        <w:rPr>
          <w:sz w:val="20"/>
          <w:szCs w:val="20"/>
        </w:rPr>
        <w:t xml:space="preserve">a more strong revolution if the rebellion which he was partaking in would fail. </w:t>
      </w:r>
    </w:p>
    <w:p w14:paraId="0D85BE00" w14:textId="1315E604" w:rsidR="009206FA" w:rsidRPr="00164712" w:rsidRDefault="00581422">
      <w:pPr>
        <w:rPr>
          <w:sz w:val="20"/>
          <w:szCs w:val="20"/>
        </w:rPr>
      </w:pPr>
      <w:r w:rsidRPr="00164712">
        <w:rPr>
          <w:sz w:val="20"/>
          <w:szCs w:val="20"/>
        </w:rPr>
        <w:lastRenderedPageBreak/>
        <w:t xml:space="preserve">As with any primary source, it is crucial to examine the Proclamation of the Irish Republic through the lenses of the time-period in which it was written. One way in which this is done is by examining why the proclamation was written when it was, and as such why the </w:t>
      </w:r>
      <w:r w:rsidR="003865C2">
        <w:rPr>
          <w:sz w:val="20"/>
          <w:szCs w:val="20"/>
        </w:rPr>
        <w:t>Easter R</w:t>
      </w:r>
      <w:r w:rsidRPr="00164712">
        <w:rPr>
          <w:sz w:val="20"/>
          <w:szCs w:val="20"/>
        </w:rPr>
        <w:t xml:space="preserve">ising occurred when it did. The Rising occurred in April of 1916 because the </w:t>
      </w:r>
      <w:r w:rsidR="00865F8B">
        <w:rPr>
          <w:sz w:val="20"/>
          <w:szCs w:val="20"/>
        </w:rPr>
        <w:t>IRB</w:t>
      </w:r>
      <w:r w:rsidRPr="00164712">
        <w:rPr>
          <w:sz w:val="20"/>
          <w:szCs w:val="20"/>
        </w:rPr>
        <w:t xml:space="preserve"> wanted to overthrow British rule whilst the British were occupied with their war with Germany. Britain had assured Ireland that they would receive Home Rule in 1914, however with the start of the Great War this had been postponed. </w:t>
      </w:r>
      <w:r w:rsidR="00FC1B62">
        <w:rPr>
          <w:sz w:val="20"/>
          <w:szCs w:val="20"/>
        </w:rPr>
        <w:t>By 1916 t</w:t>
      </w:r>
      <w:r w:rsidRPr="00164712">
        <w:rPr>
          <w:sz w:val="20"/>
          <w:szCs w:val="20"/>
        </w:rPr>
        <w:t xml:space="preserve">he IRB believed that Home Rule was long overdue and that the only way to secure it would be through an armed rebellion. The National Army Museum is an organization which specialises in the history of the British army. </w:t>
      </w:r>
      <w:r w:rsidR="00420F45">
        <w:rPr>
          <w:sz w:val="20"/>
          <w:szCs w:val="20"/>
        </w:rPr>
        <w:t xml:space="preserve">It </w:t>
      </w:r>
      <w:r w:rsidR="002F438E">
        <w:rPr>
          <w:sz w:val="20"/>
          <w:szCs w:val="20"/>
        </w:rPr>
        <w:t>i</w:t>
      </w:r>
      <w:r w:rsidRPr="00164712">
        <w:rPr>
          <w:sz w:val="20"/>
          <w:szCs w:val="20"/>
        </w:rPr>
        <w:t xml:space="preserve">s a very useful source </w:t>
      </w:r>
      <w:r w:rsidR="00420F45">
        <w:rPr>
          <w:sz w:val="20"/>
          <w:szCs w:val="20"/>
        </w:rPr>
        <w:t>when examining</w:t>
      </w:r>
      <w:r w:rsidRPr="00164712">
        <w:rPr>
          <w:sz w:val="20"/>
          <w:szCs w:val="20"/>
        </w:rPr>
        <w:t xml:space="preserve"> conflicts in which the British army fought in, such as the Easter Rising. They state in their article, </w:t>
      </w:r>
      <w:r w:rsidRPr="00865F8B">
        <w:rPr>
          <w:i/>
          <w:iCs/>
          <w:sz w:val="20"/>
          <w:szCs w:val="20"/>
        </w:rPr>
        <w:t>Easter Rising</w:t>
      </w:r>
      <w:r w:rsidRPr="00164712">
        <w:rPr>
          <w:sz w:val="20"/>
          <w:szCs w:val="20"/>
        </w:rPr>
        <w:t>, that the revolt “took place against a backdrop of increased political tension.” … “caused by British reluctance to implement Home Rule” … “and their assertion that it could only be done if military conscription was also introduced to Ireland.”</w:t>
      </w:r>
      <w:r w:rsidR="00771C01">
        <w:rPr>
          <w:rStyle w:val="FootnoteReference"/>
          <w:sz w:val="20"/>
          <w:szCs w:val="20"/>
        </w:rPr>
        <w:footnoteReference w:id="7"/>
      </w:r>
      <w:r w:rsidRPr="00164712">
        <w:rPr>
          <w:sz w:val="20"/>
          <w:szCs w:val="20"/>
        </w:rPr>
        <w:t xml:space="preserve"> The leadership of the IRB believed that an uprising was significantly more likely to be successful in 1916 rather than at any other time because unlike before Britain was now at war and thus preoccupied with a different country, thereby meaning that, the IRB believed, Britain would not be as concerned with Ireland securing independence because they had more server concerns, primarily </w:t>
      </w:r>
      <w:r w:rsidR="003D0505" w:rsidRPr="00164712">
        <w:rPr>
          <w:sz w:val="20"/>
          <w:szCs w:val="20"/>
        </w:rPr>
        <w:t>losing</w:t>
      </w:r>
      <w:r w:rsidRPr="00164712">
        <w:rPr>
          <w:sz w:val="20"/>
          <w:szCs w:val="20"/>
        </w:rPr>
        <w:t xml:space="preserve"> the war with Germany. By contrast to the IRB, the Easter Rising was not popular among Irish civilians at the time in which it occurred. Although the Home Rule Bill had been halted by World War 1, many within Irish society believed that Britain would ultimately grant Ireland Home Rule following the end of the war. The National Army Museum states that “many Dubliners had relatives fighting in the British Army and felt it was a betrayal of them; others objected to the violence used by some rebels and to the disruption to food supplies.”</w:t>
      </w:r>
      <w:r w:rsidR="00E15EEF">
        <w:rPr>
          <w:rStyle w:val="FootnoteReference"/>
          <w:sz w:val="20"/>
          <w:szCs w:val="20"/>
        </w:rPr>
        <w:footnoteReference w:id="8"/>
      </w:r>
      <w:r w:rsidRPr="00164712">
        <w:rPr>
          <w:sz w:val="20"/>
          <w:szCs w:val="20"/>
        </w:rPr>
        <w:t xml:space="preserve">  However, it was the British military’s response to the uprising which ultimately led to widespread support for armed rebellion; “The subsequent British military occupation of the city and the internment of over 1,400 Republicans - many of whom had little do with the rising - angered many and increased electoral support for Sinn Féin. Most importantly, the British reprisals against the revolt’s leaders, 16 of whom were executed, generated great sympathy for Republican ideas.”</w:t>
      </w:r>
      <w:r w:rsidR="0087146B">
        <w:rPr>
          <w:rStyle w:val="FootnoteReference"/>
          <w:sz w:val="20"/>
          <w:szCs w:val="20"/>
        </w:rPr>
        <w:footnoteReference w:id="9"/>
      </w:r>
      <w:r w:rsidRPr="00164712">
        <w:rPr>
          <w:sz w:val="20"/>
          <w:szCs w:val="20"/>
        </w:rPr>
        <w:t xml:space="preserve"> As a result of the Easter Rising, by 1918-19 Irish support for armed rebellion was at an all-time high, which explains why Irish support for the Anglo-Irish war was generally supported. The Proclamation of the Republic was central in attracting Irish citizens to ultimately support armed rebellion, because after the execution of the leaders of the Easter Rising this was all that was left of their ideas. Through analysing and examining the words within the </w:t>
      </w:r>
      <w:r w:rsidR="00F65756">
        <w:rPr>
          <w:sz w:val="20"/>
          <w:szCs w:val="20"/>
        </w:rPr>
        <w:t>p</w:t>
      </w:r>
      <w:r w:rsidRPr="00164712">
        <w:rPr>
          <w:sz w:val="20"/>
          <w:szCs w:val="20"/>
        </w:rPr>
        <w:t>roclamation, it can be more clearly understood why following the Easter Rising support for armed rebellion was at an all-time high. Therefore, through examining the historical context of the proclamation, there is more of an understanding as to why Irish people would ultimately be moved to support armed rebellion against the British.</w:t>
      </w:r>
    </w:p>
    <w:p w14:paraId="7867E62F" w14:textId="42613D33" w:rsidR="00C65400" w:rsidRPr="00164712" w:rsidRDefault="00C65400" w:rsidP="00C65400">
      <w:pPr>
        <w:rPr>
          <w:sz w:val="20"/>
          <w:szCs w:val="20"/>
        </w:rPr>
      </w:pPr>
      <w:r w:rsidRPr="00164712">
        <w:rPr>
          <w:sz w:val="20"/>
          <w:szCs w:val="20"/>
        </w:rPr>
        <w:t xml:space="preserve">When examining the Fenian Proclamation, as with the Proclamation of the Easter Rising, it is crucial to analyse the background to which the rebellion erupted. As a result of the suppression of the newspaper </w:t>
      </w:r>
      <w:r w:rsidR="00980C8C">
        <w:rPr>
          <w:sz w:val="20"/>
          <w:szCs w:val="20"/>
        </w:rPr>
        <w:t>‘</w:t>
      </w:r>
      <w:r w:rsidRPr="00164712">
        <w:rPr>
          <w:sz w:val="20"/>
          <w:szCs w:val="20"/>
        </w:rPr>
        <w:t>Irish People</w:t>
      </w:r>
      <w:r w:rsidR="00980C8C">
        <w:rPr>
          <w:sz w:val="20"/>
          <w:szCs w:val="20"/>
        </w:rPr>
        <w:t>’</w:t>
      </w:r>
      <w:r w:rsidRPr="00164712">
        <w:rPr>
          <w:sz w:val="20"/>
          <w:szCs w:val="20"/>
        </w:rPr>
        <w:t xml:space="preserve"> in 1865, the IRB became increasingly dissatisfied, and staged a revolution</w:t>
      </w:r>
      <w:r w:rsidR="00E54018">
        <w:rPr>
          <w:sz w:val="20"/>
          <w:szCs w:val="20"/>
        </w:rPr>
        <w:t xml:space="preserve"> in 1867</w:t>
      </w:r>
      <w:r w:rsidRPr="00164712">
        <w:rPr>
          <w:sz w:val="20"/>
          <w:szCs w:val="20"/>
        </w:rPr>
        <w:t>. The Fenian Rising was synonymous with the Easter Rising in regards to motive; both aimed to bringing an end to British Rule in Ireland. As such, through comparing the 1867 Fenian Proclamation with the 1916 Proclamation of the Irish Republic, we have a better understanding of how outlooks compared between these two periods, and how the IRB had used similar tactics over this period of fifty years.</w:t>
      </w:r>
      <w:r w:rsidR="00ED12CD">
        <w:rPr>
          <w:sz w:val="20"/>
          <w:szCs w:val="20"/>
        </w:rPr>
        <w:t xml:space="preserve"> </w:t>
      </w:r>
      <w:r w:rsidRPr="00164712">
        <w:rPr>
          <w:sz w:val="20"/>
          <w:szCs w:val="20"/>
        </w:rPr>
        <w:t xml:space="preserve">The first paragraph within </w:t>
      </w:r>
      <w:r w:rsidR="006069BA">
        <w:rPr>
          <w:sz w:val="20"/>
          <w:szCs w:val="20"/>
        </w:rPr>
        <w:t xml:space="preserve">the </w:t>
      </w:r>
      <w:r w:rsidRPr="00164712">
        <w:rPr>
          <w:sz w:val="20"/>
          <w:szCs w:val="20"/>
        </w:rPr>
        <w:t xml:space="preserve">1867 Proclamations starts </w:t>
      </w:r>
      <w:r w:rsidR="006069BA">
        <w:rPr>
          <w:sz w:val="20"/>
          <w:szCs w:val="20"/>
        </w:rPr>
        <w:t>by stating that</w:t>
      </w:r>
      <w:r w:rsidRPr="00164712">
        <w:rPr>
          <w:sz w:val="20"/>
          <w:szCs w:val="20"/>
        </w:rPr>
        <w:t>, “we have suffered centuries of outrage, enforced poverty, and bitter misery.”</w:t>
      </w:r>
      <w:r w:rsidR="00B90597">
        <w:rPr>
          <w:rStyle w:val="FootnoteReference"/>
          <w:sz w:val="20"/>
          <w:szCs w:val="20"/>
        </w:rPr>
        <w:footnoteReference w:id="10"/>
      </w:r>
      <w:r w:rsidRPr="00164712">
        <w:rPr>
          <w:sz w:val="20"/>
          <w:szCs w:val="20"/>
        </w:rPr>
        <w:t xml:space="preserve">  Through stating this, the writers are attempting to cause a thrust in national support for the Fenian Rising by producing a sense of historical defeat and oppression. The 1916 proclamation corresponds this through stating that “in every generation the Irish people have asserted their right to national freedom and sovereignty; six times during the past three hundred years they have asserted it in arms.”</w:t>
      </w:r>
      <w:r w:rsidR="001F401E">
        <w:rPr>
          <w:rStyle w:val="FootnoteReference"/>
          <w:sz w:val="20"/>
          <w:szCs w:val="20"/>
        </w:rPr>
        <w:footnoteReference w:id="11"/>
      </w:r>
      <w:r w:rsidRPr="00164712">
        <w:rPr>
          <w:sz w:val="20"/>
          <w:szCs w:val="20"/>
        </w:rPr>
        <w:t xml:space="preserve">  Through stating this, the IRB were attempting with both proclamations to drive public support for their respective uprisings by arguing that they </w:t>
      </w:r>
      <w:r w:rsidRPr="00164712">
        <w:rPr>
          <w:sz w:val="20"/>
          <w:szCs w:val="20"/>
        </w:rPr>
        <w:lastRenderedPageBreak/>
        <w:t xml:space="preserve">were continuing the revolts which their ancestors had also fought in. An article titled </w:t>
      </w:r>
      <w:r w:rsidRPr="009324F1">
        <w:rPr>
          <w:i/>
          <w:iCs/>
          <w:sz w:val="20"/>
          <w:szCs w:val="20"/>
        </w:rPr>
        <w:t>Why National Identities Matter</w:t>
      </w:r>
      <w:r w:rsidRPr="00164712">
        <w:rPr>
          <w:sz w:val="20"/>
          <w:szCs w:val="20"/>
        </w:rPr>
        <w:t xml:space="preserve"> by political scientist Francis Fukuyama explains how nationalism and national identities arise. Fukuyama states that crucial to nationalism is a feeling of historic defeat and embarrassment, </w:t>
      </w:r>
      <w:r w:rsidR="00F15314">
        <w:rPr>
          <w:sz w:val="20"/>
          <w:szCs w:val="20"/>
        </w:rPr>
        <w:t xml:space="preserve">and that when nationalist groups </w:t>
      </w:r>
      <w:r w:rsidR="008D72A6">
        <w:rPr>
          <w:sz w:val="20"/>
          <w:szCs w:val="20"/>
        </w:rPr>
        <w:t xml:space="preserve">emphasize historical national humiliations, they are </w:t>
      </w:r>
      <w:r w:rsidR="003A6346">
        <w:rPr>
          <w:sz w:val="20"/>
          <w:szCs w:val="20"/>
        </w:rPr>
        <w:t xml:space="preserve">intending for </w:t>
      </w:r>
      <w:r w:rsidRPr="00164712">
        <w:rPr>
          <w:sz w:val="20"/>
          <w:szCs w:val="20"/>
        </w:rPr>
        <w:t xml:space="preserve">the citizens of the nation in question </w:t>
      </w:r>
      <w:r w:rsidR="003A6346">
        <w:rPr>
          <w:sz w:val="20"/>
          <w:szCs w:val="20"/>
        </w:rPr>
        <w:t xml:space="preserve">to </w:t>
      </w:r>
      <w:r w:rsidRPr="00164712">
        <w:rPr>
          <w:sz w:val="20"/>
          <w:szCs w:val="20"/>
        </w:rPr>
        <w:t>support the particular nationalist group or political party in order to end this humiliation; “In a wide variety of cases, a political leader has mobilized followers around the perception that a group’s dignity has been affronted, disparaged, or otherwise disregarded. This resentment engenders demands for public recognition of the dignity of the group in question. A humiliated group seeking restitution of its dignity carries far more emotional weight than people simply pursuing their economic advantage.”</w:t>
      </w:r>
      <w:r w:rsidR="00017DF1">
        <w:rPr>
          <w:rStyle w:val="FootnoteReference"/>
          <w:sz w:val="20"/>
          <w:szCs w:val="20"/>
        </w:rPr>
        <w:footnoteReference w:id="12"/>
      </w:r>
      <w:r w:rsidRPr="00164712">
        <w:rPr>
          <w:sz w:val="20"/>
          <w:szCs w:val="20"/>
        </w:rPr>
        <w:t xml:space="preserve">  Fukuyama applies this to the nations of Russia and China, two very nationalistic nations who use history to produce strong support for their respective governments. He states that Putin “wants to see Russia treated not, as former U.S. president Barack Obama once said, as a weak regional player, but as a great power.”</w:t>
      </w:r>
      <w:r w:rsidR="00351C90">
        <w:rPr>
          <w:rStyle w:val="FootnoteReference"/>
          <w:sz w:val="20"/>
          <w:szCs w:val="20"/>
        </w:rPr>
        <w:footnoteReference w:id="13"/>
      </w:r>
      <w:r w:rsidRPr="00164712">
        <w:rPr>
          <w:sz w:val="20"/>
          <w:szCs w:val="20"/>
        </w:rPr>
        <w:t xml:space="preserve">  Additionally, “the Chinese government of Xi Jinping has talked at length about China’s “one-hundred years of humiliation,” …and… “how the United States, Japan, and other countries were trying to prevent its return to the great-power status it had enjoyed over millennia of history.”</w:t>
      </w:r>
      <w:r w:rsidR="007573E3">
        <w:rPr>
          <w:rStyle w:val="FootnoteReference"/>
          <w:sz w:val="20"/>
          <w:szCs w:val="20"/>
        </w:rPr>
        <w:footnoteReference w:id="14"/>
      </w:r>
      <w:r w:rsidRPr="00164712">
        <w:rPr>
          <w:sz w:val="20"/>
          <w:szCs w:val="20"/>
        </w:rPr>
        <w:t xml:space="preserve">  When applied to Ireland, it is clear that the leadership of the IRB was attempting to engulf a sense of national defeat through reminding Irish citizens of their historic defeats, thereby causing a rise in support for nationalist groups such as the IRB, and of armed rebellion. </w:t>
      </w:r>
    </w:p>
    <w:p w14:paraId="44F68858" w14:textId="6686336F" w:rsidR="00C65400" w:rsidRPr="00164712" w:rsidRDefault="00C65400" w:rsidP="00C65400">
      <w:pPr>
        <w:rPr>
          <w:sz w:val="20"/>
          <w:szCs w:val="20"/>
        </w:rPr>
      </w:pPr>
      <w:r w:rsidRPr="00164712">
        <w:rPr>
          <w:sz w:val="20"/>
          <w:szCs w:val="20"/>
        </w:rPr>
        <w:t>Additionally, when comparing the two documents it is clear that both were inspired by the US Declaration of Independence (1776) and the subsequent American War of Independence (1776-1783). In the Fenian Proclamation it states that “all men are born with equal rights, and in associating to protect one another and share public burdens, justice demands that such associations should rest upon a basis which maintains equality instead of destroying it.”</w:t>
      </w:r>
      <w:r w:rsidR="00D81C78">
        <w:rPr>
          <w:rStyle w:val="FootnoteReference"/>
          <w:sz w:val="20"/>
          <w:szCs w:val="20"/>
        </w:rPr>
        <w:footnoteReference w:id="15"/>
      </w:r>
      <w:r w:rsidRPr="00164712">
        <w:rPr>
          <w:sz w:val="20"/>
          <w:szCs w:val="20"/>
        </w:rPr>
        <w:t xml:space="preserve">  The Proclamation of the Republic similarly stated that “the Republic guarantees religious and civil liberty, equal rights and equal opportunities to all its citizens, and declares its resolve to pursue the happiness and prosperity of the whole nation and of all its parts.”</w:t>
      </w:r>
      <w:r w:rsidR="00A97188">
        <w:rPr>
          <w:rStyle w:val="FootnoteReference"/>
          <w:sz w:val="20"/>
          <w:szCs w:val="20"/>
        </w:rPr>
        <w:footnoteReference w:id="16"/>
      </w:r>
      <w:r w:rsidRPr="00164712">
        <w:rPr>
          <w:sz w:val="20"/>
          <w:szCs w:val="20"/>
        </w:rPr>
        <w:t xml:space="preserve"> This is in direct correspondence with the US Declaration of Independence, evident where it is written within the US Declaration that “we hold these truths to be self-evident, that all men are created equal, that they are endowed by their Creator with certain unalienable Rights, that among these are Life, Liberty and the pursuit of Happiness.”</w:t>
      </w:r>
      <w:r w:rsidR="00413FC6">
        <w:rPr>
          <w:rStyle w:val="FootnoteReference"/>
          <w:sz w:val="20"/>
          <w:szCs w:val="20"/>
        </w:rPr>
        <w:footnoteReference w:id="17"/>
      </w:r>
      <w:r w:rsidR="00413FC6">
        <w:rPr>
          <w:sz w:val="20"/>
          <w:szCs w:val="20"/>
        </w:rPr>
        <w:t xml:space="preserve"> </w:t>
      </w:r>
      <w:r w:rsidRPr="00164712">
        <w:rPr>
          <w:sz w:val="20"/>
          <w:szCs w:val="20"/>
        </w:rPr>
        <w:t xml:space="preserve">This proves that leaders of the IRB believed that, similar to the views held by the Continental Congress during the US War of Independence, the British government were not treating Irish people as equals, and were not giving Irish citizens the same basic rights that were being given to the citizens of Britain. Additionally, they held the view that the policies of British government on Ireland, similar to the policies applied to the former 13 colonies, interfered with the happiness and well-being of Irish citizens, and that thus it was the right of the IRB and of the Irish nation to stand up and take back control of Ireland. These similarities prove that the US Declaration of Independence had long been a strong inspiration to the IRB, and demonstrates that they had long considered the American victory against British Rule a </w:t>
      </w:r>
      <w:r w:rsidR="00A82F5B">
        <w:rPr>
          <w:sz w:val="20"/>
          <w:szCs w:val="20"/>
        </w:rPr>
        <w:t>powerful</w:t>
      </w:r>
      <w:r w:rsidRPr="00164712">
        <w:rPr>
          <w:sz w:val="20"/>
          <w:szCs w:val="20"/>
        </w:rPr>
        <w:t xml:space="preserve"> source of </w:t>
      </w:r>
      <w:r w:rsidR="00A82F5B">
        <w:rPr>
          <w:sz w:val="20"/>
          <w:szCs w:val="20"/>
        </w:rPr>
        <w:t>motivation</w:t>
      </w:r>
      <w:r w:rsidRPr="00164712">
        <w:rPr>
          <w:sz w:val="20"/>
          <w:szCs w:val="20"/>
        </w:rPr>
        <w:t xml:space="preserve">. It is thus clear that the IRB desired the same results for Ireland as the Continental Congress had acquired for America following the War of Independence; an independent, sovereign state. </w:t>
      </w:r>
    </w:p>
    <w:p w14:paraId="40D967C5" w14:textId="3789A8B6" w:rsidR="00C65400" w:rsidRPr="00164712" w:rsidRDefault="00C65400" w:rsidP="00C65400">
      <w:pPr>
        <w:rPr>
          <w:sz w:val="20"/>
          <w:szCs w:val="20"/>
        </w:rPr>
      </w:pPr>
      <w:r w:rsidRPr="00164712">
        <w:rPr>
          <w:sz w:val="20"/>
          <w:szCs w:val="20"/>
        </w:rPr>
        <w:t>Furthermore, both proclamations make reference to the huge Irish diaspora living abroad, especially towards Irish immigrants and Irish Americans living in the US. The 1867 proclamations states of them that “the real owners of the soil were removed to make room for cattle, and driven across the ocean to seek the means of living;”</w:t>
      </w:r>
      <w:r w:rsidR="005E7530">
        <w:rPr>
          <w:rStyle w:val="FootnoteReference"/>
          <w:sz w:val="20"/>
          <w:szCs w:val="20"/>
        </w:rPr>
        <w:footnoteReference w:id="18"/>
      </w:r>
      <w:r w:rsidRPr="00164712">
        <w:rPr>
          <w:sz w:val="20"/>
          <w:szCs w:val="20"/>
        </w:rPr>
        <w:t xml:space="preserve"> The 1916 proclamation follows up on this by stating that the “Irish Republican Brotherhood” … is … “supported by her exiled children in America and by gallant allies in Europe.”</w:t>
      </w:r>
      <w:r w:rsidR="006A732F">
        <w:rPr>
          <w:rStyle w:val="FootnoteReference"/>
          <w:sz w:val="20"/>
          <w:szCs w:val="20"/>
        </w:rPr>
        <w:footnoteReference w:id="19"/>
      </w:r>
      <w:r w:rsidRPr="00164712">
        <w:rPr>
          <w:sz w:val="20"/>
          <w:szCs w:val="20"/>
        </w:rPr>
        <w:t xml:space="preserve"> The history of Irish emigration </w:t>
      </w:r>
      <w:r w:rsidRPr="00164712">
        <w:rPr>
          <w:sz w:val="20"/>
          <w:szCs w:val="20"/>
        </w:rPr>
        <w:lastRenderedPageBreak/>
        <w:t xml:space="preserve">is crucial in helping us to understand why the Irish diaspora was mentioned within the proclamations. In a book titled </w:t>
      </w:r>
      <w:r w:rsidRPr="00164B27">
        <w:rPr>
          <w:i/>
          <w:iCs/>
          <w:sz w:val="20"/>
          <w:szCs w:val="20"/>
        </w:rPr>
        <w:t>The Age of Mass Migration Causes and Economic Impact</w:t>
      </w:r>
      <w:r w:rsidRPr="00164712">
        <w:rPr>
          <w:sz w:val="20"/>
          <w:szCs w:val="20"/>
        </w:rPr>
        <w:t>, Timothy J. Hatton and Jeffrey G. Williamson state that “over 4.5 million men and women left Ireland in the six decades after the famine in the late 1840s.”</w:t>
      </w:r>
      <w:r w:rsidR="00D54B9E">
        <w:rPr>
          <w:rStyle w:val="FootnoteReference"/>
          <w:sz w:val="20"/>
          <w:szCs w:val="20"/>
        </w:rPr>
        <w:footnoteReference w:id="20"/>
      </w:r>
      <w:r w:rsidRPr="00164712">
        <w:rPr>
          <w:sz w:val="20"/>
          <w:szCs w:val="20"/>
        </w:rPr>
        <w:t xml:space="preserve">  … “The rate of emigration from Ireland was more than double that of any other European country.”</w:t>
      </w:r>
      <w:r w:rsidR="001D5CF5">
        <w:rPr>
          <w:rStyle w:val="FootnoteReference"/>
          <w:sz w:val="20"/>
          <w:szCs w:val="20"/>
        </w:rPr>
        <w:footnoteReference w:id="21"/>
      </w:r>
      <w:r w:rsidRPr="00164712">
        <w:rPr>
          <w:sz w:val="20"/>
          <w:szCs w:val="20"/>
        </w:rPr>
        <w:t xml:space="preserve">  … “Largely as a consequence of this mass exodus, the Irish population fell from 6.5 million to 4.4 million between 1851 and 1911.”</w:t>
      </w:r>
      <w:r w:rsidR="000B4029">
        <w:rPr>
          <w:rStyle w:val="FootnoteReference"/>
          <w:sz w:val="20"/>
          <w:szCs w:val="20"/>
        </w:rPr>
        <w:footnoteReference w:id="22"/>
      </w:r>
      <w:r w:rsidRPr="00164712">
        <w:rPr>
          <w:sz w:val="20"/>
          <w:szCs w:val="20"/>
        </w:rPr>
        <w:t xml:space="preserve"> Irelands population had plummeted within this period of more than half a century, a large percentage of whom had immigrated to America due to its huge economic prosperity and, as well as this, its history of having fought British occupation. Through mentioning the Irish diaspora in both </w:t>
      </w:r>
      <w:r w:rsidR="00204654">
        <w:rPr>
          <w:sz w:val="20"/>
          <w:szCs w:val="20"/>
        </w:rPr>
        <w:t>p</w:t>
      </w:r>
      <w:r w:rsidRPr="00164712">
        <w:rPr>
          <w:sz w:val="20"/>
          <w:szCs w:val="20"/>
        </w:rPr>
        <w:t xml:space="preserve">roclamations, the citizens of Ireland realise that they are not alone in their struggle, and that Irish people from across the world support them and support the rebellion. In addition to this, Irish people who are born in America may feel inspired by the </w:t>
      </w:r>
      <w:r w:rsidR="00E06F2A">
        <w:rPr>
          <w:sz w:val="20"/>
          <w:szCs w:val="20"/>
        </w:rPr>
        <w:t>p</w:t>
      </w:r>
      <w:r w:rsidRPr="00164712">
        <w:rPr>
          <w:sz w:val="20"/>
          <w:szCs w:val="20"/>
        </w:rPr>
        <w:t xml:space="preserve">roclamations to return to Ireland and help the IRB in their armed rebellion. </w:t>
      </w:r>
    </w:p>
    <w:p w14:paraId="6D4BBDDD" w14:textId="647061A6" w:rsidR="009206FA" w:rsidRPr="00164712" w:rsidRDefault="00F26691">
      <w:pPr>
        <w:rPr>
          <w:sz w:val="20"/>
          <w:szCs w:val="20"/>
        </w:rPr>
      </w:pPr>
      <w:r w:rsidRPr="00164712">
        <w:rPr>
          <w:sz w:val="20"/>
          <w:szCs w:val="20"/>
        </w:rPr>
        <w:t xml:space="preserve">In conclusion, the author of the Proclamation of the Irish Republic, Patrick Pearse, used his literary expertise to produce a document which would play a key role in encouraging the Irish public to support armed rebellion, even though they did not support it at the time in which the proclamation was written. </w:t>
      </w:r>
      <w:r w:rsidR="00025FEE">
        <w:rPr>
          <w:sz w:val="20"/>
          <w:szCs w:val="20"/>
        </w:rPr>
        <w:t>A key technique which the IRB had historically</w:t>
      </w:r>
      <w:r w:rsidR="00F57F86">
        <w:rPr>
          <w:sz w:val="20"/>
          <w:szCs w:val="20"/>
        </w:rPr>
        <w:t xml:space="preserve"> employed was the use of a feeling of national humiliation to cause an upsurge in support of armed rebellion</w:t>
      </w:r>
      <w:r w:rsidR="0022753F">
        <w:rPr>
          <w:sz w:val="20"/>
          <w:szCs w:val="20"/>
        </w:rPr>
        <w:t xml:space="preserve">, something which Pearse too felt and had also incorporated into the 1916 proclamation. </w:t>
      </w:r>
      <w:r w:rsidRPr="00164712">
        <w:rPr>
          <w:sz w:val="20"/>
          <w:szCs w:val="20"/>
        </w:rPr>
        <w:t>Adding on to this, Pearse was strongly motivated by the example set by the American fight for independence and wanted Ireland to follow in the path of the United States, as too had the IRB for generations, thereby guaranteeing the rights of Irish citizens in Ireland from tyrannical British rule. Furthermore, through making mention of the Irish diaspora, the proclamation intended to instil a feeling of unity within Irish people that their fellow countrymen and women from across the globe were right behind them in their armed struggle for an independent Ireland. Finally, when examining Pearse and his background it becomes clear that he had not always been a political activist, but by the time he had entered political life, and wrote the proclamation using his literary talents, he was prepared to become a martyr for the cause of Irish independence, something which, with the help of the proclamation he wrote, did happen.</w:t>
      </w:r>
    </w:p>
    <w:p w14:paraId="0D8C23D1" w14:textId="5446D19B" w:rsidR="009206FA" w:rsidRDefault="009206FA"/>
    <w:p w14:paraId="5BD8E494" w14:textId="16561148" w:rsidR="00EA0138" w:rsidRDefault="00980C8C"/>
    <w:p w14:paraId="52D2ADA9" w14:textId="77777777" w:rsidR="00232794" w:rsidRDefault="00232794"/>
    <w:p w14:paraId="493D6104" w14:textId="77777777" w:rsidR="00232794" w:rsidRDefault="00232794"/>
    <w:p w14:paraId="20EBE720" w14:textId="77777777" w:rsidR="00232794" w:rsidRDefault="00232794"/>
    <w:p w14:paraId="6650EA5F" w14:textId="77777777" w:rsidR="00232794" w:rsidRDefault="00232794"/>
    <w:p w14:paraId="25C3553A" w14:textId="77777777" w:rsidR="00232794" w:rsidRDefault="00232794"/>
    <w:p w14:paraId="66D51268" w14:textId="77777777" w:rsidR="00232794" w:rsidRDefault="00232794"/>
    <w:p w14:paraId="2AD7E8C6" w14:textId="77777777" w:rsidR="00232794" w:rsidRDefault="00232794"/>
    <w:p w14:paraId="69A6A191" w14:textId="77777777" w:rsidR="00232794" w:rsidRDefault="00232794"/>
    <w:p w14:paraId="328D2D47" w14:textId="77777777" w:rsidR="00232794" w:rsidRDefault="00232794"/>
    <w:p w14:paraId="6CEB1AEB" w14:textId="77777777" w:rsidR="00232794" w:rsidRDefault="00232794"/>
    <w:p w14:paraId="3E9E91C6" w14:textId="77777777" w:rsidR="00232794" w:rsidRDefault="00232794"/>
    <w:p w14:paraId="0DC1221E" w14:textId="338D4818" w:rsidR="00232794" w:rsidRPr="00FA094B" w:rsidRDefault="00232794">
      <w:pPr>
        <w:rPr>
          <w:sz w:val="20"/>
          <w:szCs w:val="20"/>
        </w:rPr>
      </w:pPr>
      <w:r w:rsidRPr="00FA094B">
        <w:rPr>
          <w:sz w:val="20"/>
          <w:szCs w:val="20"/>
        </w:rPr>
        <w:t xml:space="preserve">Bibliography </w:t>
      </w:r>
    </w:p>
    <w:p w14:paraId="70FB0943" w14:textId="77777777" w:rsidR="00566418" w:rsidRPr="00FA094B" w:rsidRDefault="00566418" w:rsidP="00566418">
      <w:pPr>
        <w:rPr>
          <w:sz w:val="20"/>
          <w:szCs w:val="20"/>
        </w:rPr>
      </w:pPr>
      <w:r w:rsidRPr="00FA094B">
        <w:rPr>
          <w:sz w:val="20"/>
          <w:szCs w:val="20"/>
        </w:rPr>
        <w:t xml:space="preserve">Collins, Lorcan, </w:t>
      </w:r>
      <w:r w:rsidRPr="00FA094B">
        <w:rPr>
          <w:i/>
          <w:iCs/>
          <w:sz w:val="20"/>
          <w:szCs w:val="20"/>
        </w:rPr>
        <w:t>1916: The Rising Handbook</w:t>
      </w:r>
      <w:r w:rsidRPr="00FA094B">
        <w:rPr>
          <w:sz w:val="20"/>
          <w:szCs w:val="20"/>
        </w:rPr>
        <w:t xml:space="preserve"> (Dublin: The O’Brian Press, 2016).</w:t>
      </w:r>
    </w:p>
    <w:p w14:paraId="699F54B6" w14:textId="26DBAC8E" w:rsidR="00566418" w:rsidRPr="00FA094B" w:rsidRDefault="00566418" w:rsidP="00566418">
      <w:pPr>
        <w:rPr>
          <w:sz w:val="20"/>
          <w:szCs w:val="20"/>
        </w:rPr>
      </w:pPr>
      <w:r w:rsidRPr="00FA094B">
        <w:rPr>
          <w:sz w:val="20"/>
          <w:szCs w:val="20"/>
        </w:rPr>
        <w:t xml:space="preserve">Augusteijn, Joost, </w:t>
      </w:r>
      <w:r w:rsidRPr="00FA094B">
        <w:rPr>
          <w:i/>
          <w:iCs/>
          <w:sz w:val="20"/>
          <w:szCs w:val="20"/>
        </w:rPr>
        <w:t>Patrick Pearse: The Making of a Revolutionary</w:t>
      </w:r>
      <w:r w:rsidRPr="00FA094B">
        <w:rPr>
          <w:sz w:val="20"/>
          <w:szCs w:val="20"/>
        </w:rPr>
        <w:t xml:space="preserve"> (London: Palgrave Macmillan, 2010).</w:t>
      </w:r>
    </w:p>
    <w:p w14:paraId="2081B03F" w14:textId="77777777" w:rsidR="00566418" w:rsidRPr="00FA094B" w:rsidRDefault="00566418" w:rsidP="00566418">
      <w:pPr>
        <w:rPr>
          <w:sz w:val="20"/>
          <w:szCs w:val="20"/>
        </w:rPr>
      </w:pPr>
      <w:r w:rsidRPr="00FA094B">
        <w:rPr>
          <w:sz w:val="20"/>
          <w:szCs w:val="20"/>
        </w:rPr>
        <w:t xml:space="preserve">National Army Museum, </w:t>
      </w:r>
      <w:r w:rsidRPr="00FA094B">
        <w:rPr>
          <w:i/>
          <w:iCs/>
          <w:sz w:val="20"/>
          <w:szCs w:val="20"/>
        </w:rPr>
        <w:t>Easter Rising</w:t>
      </w:r>
      <w:r w:rsidRPr="00FA094B">
        <w:rPr>
          <w:sz w:val="20"/>
          <w:szCs w:val="20"/>
        </w:rPr>
        <w:t xml:space="preserve"> &lt; https://www.nam.ac.uk/explore/easter-rising &gt; [accessed 09/12/22].</w:t>
      </w:r>
    </w:p>
    <w:p w14:paraId="2A532A78" w14:textId="77777777" w:rsidR="00566418" w:rsidRPr="00FA094B" w:rsidRDefault="00566418" w:rsidP="00566418">
      <w:pPr>
        <w:rPr>
          <w:sz w:val="20"/>
          <w:szCs w:val="20"/>
        </w:rPr>
      </w:pPr>
      <w:r w:rsidRPr="00FA094B">
        <w:rPr>
          <w:sz w:val="20"/>
          <w:szCs w:val="20"/>
        </w:rPr>
        <w:t xml:space="preserve">Gov.ie, </w:t>
      </w:r>
      <w:r w:rsidRPr="00FA094B">
        <w:rPr>
          <w:i/>
          <w:iCs/>
          <w:sz w:val="20"/>
          <w:szCs w:val="20"/>
        </w:rPr>
        <w:t>Proclamation of Independence</w:t>
      </w:r>
      <w:r w:rsidRPr="00FA094B">
        <w:rPr>
          <w:sz w:val="20"/>
          <w:szCs w:val="20"/>
        </w:rPr>
        <w:t xml:space="preserve"> (2018) &lt; https://www.gov.ie/en/publication/bfa965-proclamation-of-independence/ &gt; [accessed 09/12/22].</w:t>
      </w:r>
    </w:p>
    <w:p w14:paraId="5390FF4E" w14:textId="77777777" w:rsidR="00566418" w:rsidRPr="00FA094B" w:rsidRDefault="00566418" w:rsidP="00566418">
      <w:pPr>
        <w:rPr>
          <w:sz w:val="20"/>
          <w:szCs w:val="20"/>
        </w:rPr>
      </w:pPr>
      <w:r w:rsidRPr="00FA094B">
        <w:rPr>
          <w:sz w:val="20"/>
          <w:szCs w:val="20"/>
        </w:rPr>
        <w:t xml:space="preserve">Fukuyama, Francis, </w:t>
      </w:r>
      <w:r w:rsidRPr="00FA094B">
        <w:rPr>
          <w:i/>
          <w:iCs/>
          <w:sz w:val="20"/>
          <w:szCs w:val="20"/>
        </w:rPr>
        <w:t>Why National Identity Matters</w:t>
      </w:r>
      <w:r w:rsidRPr="00FA094B">
        <w:rPr>
          <w:sz w:val="20"/>
          <w:szCs w:val="20"/>
        </w:rPr>
        <w:t xml:space="preserve">, (USA: Johns Hopkins University Press, 2018). </w:t>
      </w:r>
    </w:p>
    <w:p w14:paraId="7C9F38A3" w14:textId="77777777" w:rsidR="00566418" w:rsidRPr="00FA094B" w:rsidRDefault="00566418" w:rsidP="00566418">
      <w:pPr>
        <w:rPr>
          <w:sz w:val="20"/>
          <w:szCs w:val="20"/>
        </w:rPr>
      </w:pPr>
      <w:r w:rsidRPr="00FA094B">
        <w:rPr>
          <w:sz w:val="20"/>
          <w:szCs w:val="20"/>
        </w:rPr>
        <w:t xml:space="preserve">National Archives, </w:t>
      </w:r>
      <w:r w:rsidRPr="00FA094B">
        <w:rPr>
          <w:i/>
          <w:iCs/>
          <w:sz w:val="20"/>
          <w:szCs w:val="20"/>
        </w:rPr>
        <w:t>Declaration of Independence: A Transcription</w:t>
      </w:r>
      <w:r w:rsidRPr="00FA094B">
        <w:rPr>
          <w:sz w:val="20"/>
          <w:szCs w:val="20"/>
        </w:rPr>
        <w:t xml:space="preserve"> &lt; https://www.archives.gov/founding-docs/declaration-transcript &gt; [accessed 09/12/22].</w:t>
      </w:r>
    </w:p>
    <w:p w14:paraId="5F3A4759" w14:textId="034CB53D" w:rsidR="00232794" w:rsidRPr="00FA094B" w:rsidRDefault="00566418" w:rsidP="00566418">
      <w:pPr>
        <w:rPr>
          <w:sz w:val="20"/>
          <w:szCs w:val="20"/>
        </w:rPr>
      </w:pPr>
      <w:r w:rsidRPr="00FA094B">
        <w:rPr>
          <w:sz w:val="20"/>
          <w:szCs w:val="20"/>
        </w:rPr>
        <w:t xml:space="preserve">Hatton, Timothy J., and Williamson, Jeffery G., </w:t>
      </w:r>
      <w:r w:rsidRPr="00FA094B">
        <w:rPr>
          <w:i/>
          <w:iCs/>
          <w:sz w:val="20"/>
          <w:szCs w:val="20"/>
        </w:rPr>
        <w:t>The Age of Mass Migration Causes and Economic Impact</w:t>
      </w:r>
      <w:r w:rsidRPr="00FA094B">
        <w:rPr>
          <w:sz w:val="20"/>
          <w:szCs w:val="20"/>
        </w:rPr>
        <w:t xml:space="preserve"> (New York: Oxford University Press, 1998).</w:t>
      </w:r>
    </w:p>
    <w:sectPr w:rsidR="00232794" w:rsidRPr="00FA09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315E87" w14:textId="77777777" w:rsidR="005F3EF2" w:rsidRDefault="005F3EF2" w:rsidP="005F3EF2">
      <w:pPr>
        <w:spacing w:after="0" w:line="240" w:lineRule="auto"/>
      </w:pPr>
      <w:r>
        <w:separator/>
      </w:r>
    </w:p>
  </w:endnote>
  <w:endnote w:type="continuationSeparator" w:id="0">
    <w:p w14:paraId="592F973F" w14:textId="77777777" w:rsidR="005F3EF2" w:rsidRDefault="005F3EF2" w:rsidP="005F3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52584" w14:textId="77777777" w:rsidR="005F3EF2" w:rsidRDefault="005F3EF2" w:rsidP="005F3EF2">
      <w:pPr>
        <w:spacing w:after="0" w:line="240" w:lineRule="auto"/>
      </w:pPr>
      <w:r>
        <w:separator/>
      </w:r>
    </w:p>
  </w:footnote>
  <w:footnote w:type="continuationSeparator" w:id="0">
    <w:p w14:paraId="2868F37C" w14:textId="77777777" w:rsidR="005F3EF2" w:rsidRDefault="005F3EF2" w:rsidP="005F3EF2">
      <w:pPr>
        <w:spacing w:after="0" w:line="240" w:lineRule="auto"/>
      </w:pPr>
      <w:r>
        <w:continuationSeparator/>
      </w:r>
    </w:p>
  </w:footnote>
  <w:footnote w:id="1">
    <w:p w14:paraId="3CCB53EE" w14:textId="5E14773E" w:rsidR="005F3EF2" w:rsidRDefault="005F3EF2">
      <w:pPr>
        <w:pStyle w:val="FootnoteText"/>
      </w:pPr>
      <w:r>
        <w:rPr>
          <w:rStyle w:val="FootnoteReference"/>
        </w:rPr>
        <w:footnoteRef/>
      </w:r>
      <w:r>
        <w:t xml:space="preserve"> </w:t>
      </w:r>
      <w:r w:rsidRPr="005F3EF2">
        <w:t xml:space="preserve">Joost Augusteijn, </w:t>
      </w:r>
      <w:r w:rsidRPr="005F3EF2">
        <w:rPr>
          <w:i/>
          <w:iCs/>
        </w:rPr>
        <w:t>Patrick Pearse: The Making of a Revolutionary</w:t>
      </w:r>
      <w:r w:rsidRPr="005F3EF2">
        <w:t xml:space="preserve"> (London: Palgrave Macmillan, 2010), p.220.</w:t>
      </w:r>
    </w:p>
  </w:footnote>
  <w:footnote w:id="2">
    <w:p w14:paraId="77745A7E" w14:textId="09ECA362" w:rsidR="002D6D02" w:rsidRDefault="002D6D02">
      <w:pPr>
        <w:pStyle w:val="FootnoteText"/>
      </w:pPr>
      <w:r>
        <w:rPr>
          <w:rStyle w:val="FootnoteReference"/>
        </w:rPr>
        <w:footnoteRef/>
      </w:r>
      <w:r>
        <w:t xml:space="preserve"> </w:t>
      </w:r>
      <w:r w:rsidRPr="002D6D02">
        <w:t xml:space="preserve">Augusteijn, </w:t>
      </w:r>
      <w:r w:rsidRPr="002D6D02">
        <w:rPr>
          <w:i/>
          <w:iCs/>
        </w:rPr>
        <w:t>Patrick Pearse: The Making</w:t>
      </w:r>
      <w:r w:rsidRPr="002D6D02">
        <w:t>, p.221.</w:t>
      </w:r>
    </w:p>
  </w:footnote>
  <w:footnote w:id="3">
    <w:p w14:paraId="5E736403" w14:textId="0E7DE757" w:rsidR="00213E03" w:rsidRDefault="00213E03">
      <w:pPr>
        <w:pStyle w:val="FootnoteText"/>
      </w:pPr>
      <w:r>
        <w:rPr>
          <w:rStyle w:val="FootnoteReference"/>
        </w:rPr>
        <w:footnoteRef/>
      </w:r>
      <w:r>
        <w:t xml:space="preserve"> </w:t>
      </w:r>
      <w:r w:rsidRPr="00213E03">
        <w:t xml:space="preserve">Augusteijn, </w:t>
      </w:r>
      <w:r w:rsidRPr="00213E03">
        <w:rPr>
          <w:i/>
          <w:iCs/>
        </w:rPr>
        <w:t>Patrick Pearse: The Making</w:t>
      </w:r>
      <w:r w:rsidRPr="00213E03">
        <w:t>, p.229.</w:t>
      </w:r>
    </w:p>
  </w:footnote>
  <w:footnote w:id="4">
    <w:p w14:paraId="13C577B9" w14:textId="76E02013" w:rsidR="00327A61" w:rsidRDefault="00327A61">
      <w:pPr>
        <w:pStyle w:val="FootnoteText"/>
      </w:pPr>
      <w:r>
        <w:rPr>
          <w:rStyle w:val="FootnoteReference"/>
        </w:rPr>
        <w:footnoteRef/>
      </w:r>
      <w:r>
        <w:t xml:space="preserve"> </w:t>
      </w:r>
      <w:r w:rsidRPr="00327A61">
        <w:t xml:space="preserve">Augusteijn, </w:t>
      </w:r>
      <w:r w:rsidRPr="00327A61">
        <w:rPr>
          <w:i/>
          <w:iCs/>
        </w:rPr>
        <w:t>Patrick Pearse: The Making</w:t>
      </w:r>
      <w:r w:rsidRPr="00327A61">
        <w:t>, p.2</w:t>
      </w:r>
      <w:r>
        <w:t>97.</w:t>
      </w:r>
    </w:p>
  </w:footnote>
  <w:footnote w:id="5">
    <w:p w14:paraId="545CA125" w14:textId="49DB2A4D" w:rsidR="002D4664" w:rsidRDefault="002D4664">
      <w:pPr>
        <w:pStyle w:val="FootnoteText"/>
      </w:pPr>
      <w:r>
        <w:rPr>
          <w:rStyle w:val="FootnoteReference"/>
        </w:rPr>
        <w:footnoteRef/>
      </w:r>
      <w:r>
        <w:t xml:space="preserve"> </w:t>
      </w:r>
      <w:r w:rsidRPr="002D4664">
        <w:t>Augusteijn, Patrick Pearse: The Making, p.</w:t>
      </w:r>
      <w:r>
        <w:t>304</w:t>
      </w:r>
      <w:r w:rsidRPr="002D4664">
        <w:t>.</w:t>
      </w:r>
    </w:p>
  </w:footnote>
  <w:footnote w:id="6">
    <w:p w14:paraId="6B8FF4D8" w14:textId="1022D743" w:rsidR="002D4664" w:rsidRDefault="002D4664">
      <w:pPr>
        <w:pStyle w:val="FootnoteText"/>
      </w:pPr>
      <w:r>
        <w:rPr>
          <w:rStyle w:val="FootnoteReference"/>
        </w:rPr>
        <w:footnoteRef/>
      </w:r>
      <w:r>
        <w:t xml:space="preserve"> </w:t>
      </w:r>
      <w:r w:rsidRPr="002D4664">
        <w:t>Augusteijn, Patrick Pearse: The Making, p.30</w:t>
      </w:r>
      <w:r w:rsidR="00C03006">
        <w:t>5</w:t>
      </w:r>
      <w:r w:rsidRPr="002D4664">
        <w:t>.</w:t>
      </w:r>
    </w:p>
  </w:footnote>
  <w:footnote w:id="7">
    <w:p w14:paraId="40EAAC5E" w14:textId="4B7C7B70" w:rsidR="00771C01" w:rsidRDefault="00771C01">
      <w:pPr>
        <w:pStyle w:val="FootnoteText"/>
      </w:pPr>
      <w:r>
        <w:rPr>
          <w:rStyle w:val="FootnoteReference"/>
        </w:rPr>
        <w:footnoteRef/>
      </w:r>
      <w:r>
        <w:t xml:space="preserve"> </w:t>
      </w:r>
      <w:r w:rsidR="00FE60E0" w:rsidRPr="00FE60E0">
        <w:t xml:space="preserve">National Army Museum, </w:t>
      </w:r>
      <w:r w:rsidR="00FE60E0" w:rsidRPr="00FE60E0">
        <w:rPr>
          <w:i/>
          <w:iCs/>
        </w:rPr>
        <w:t>Easter Rising</w:t>
      </w:r>
      <w:r w:rsidR="00FE60E0" w:rsidRPr="00FE60E0">
        <w:t xml:space="preserve"> &lt; https://www.nam.ac.uk/explore/easter-rising &gt; [accessed 09/12/22].</w:t>
      </w:r>
    </w:p>
  </w:footnote>
  <w:footnote w:id="8">
    <w:p w14:paraId="6CF3054B" w14:textId="72225262" w:rsidR="00E15EEF" w:rsidRDefault="00E15EEF">
      <w:pPr>
        <w:pStyle w:val="FootnoteText"/>
      </w:pPr>
      <w:r>
        <w:rPr>
          <w:rStyle w:val="FootnoteReference"/>
        </w:rPr>
        <w:footnoteRef/>
      </w:r>
      <w:r>
        <w:t xml:space="preserve"> </w:t>
      </w:r>
      <w:r w:rsidRPr="00E15EEF">
        <w:t xml:space="preserve">National Army Museum, </w:t>
      </w:r>
      <w:r w:rsidRPr="00E15EEF">
        <w:rPr>
          <w:i/>
          <w:iCs/>
        </w:rPr>
        <w:t>Easter Rising</w:t>
      </w:r>
      <w:r w:rsidRPr="00E15EEF">
        <w:t xml:space="preserve"> &lt; https://www.nam.ac.uk/explore/easter-rising &gt; [accessed 09/12/22].</w:t>
      </w:r>
    </w:p>
  </w:footnote>
  <w:footnote w:id="9">
    <w:p w14:paraId="6B42FA4E" w14:textId="779986C4" w:rsidR="0087146B" w:rsidRDefault="0087146B">
      <w:pPr>
        <w:pStyle w:val="FootnoteText"/>
      </w:pPr>
      <w:r>
        <w:rPr>
          <w:rStyle w:val="FootnoteReference"/>
        </w:rPr>
        <w:footnoteRef/>
      </w:r>
      <w:r>
        <w:t xml:space="preserve"> </w:t>
      </w:r>
      <w:r w:rsidRPr="0087146B">
        <w:t xml:space="preserve">National Army Museum, </w:t>
      </w:r>
      <w:r w:rsidRPr="0087146B">
        <w:rPr>
          <w:i/>
          <w:iCs/>
        </w:rPr>
        <w:t>Easter Rising</w:t>
      </w:r>
      <w:r w:rsidRPr="0087146B">
        <w:t xml:space="preserve"> &lt; https://www.nam.ac.uk/explore/easter-rising &gt; [accessed 09/12/22].</w:t>
      </w:r>
    </w:p>
  </w:footnote>
  <w:footnote w:id="10">
    <w:p w14:paraId="2CC95DD0" w14:textId="310B4CE5" w:rsidR="00B90597" w:rsidRDefault="00B90597">
      <w:pPr>
        <w:pStyle w:val="FootnoteText"/>
      </w:pPr>
      <w:r>
        <w:rPr>
          <w:rStyle w:val="FootnoteReference"/>
        </w:rPr>
        <w:footnoteRef/>
      </w:r>
      <w:r>
        <w:t xml:space="preserve"> </w:t>
      </w:r>
      <w:r w:rsidR="001525F0" w:rsidRPr="001525F0">
        <w:t xml:space="preserve">Lorcan Collins, </w:t>
      </w:r>
      <w:r w:rsidR="001525F0" w:rsidRPr="001525F0">
        <w:rPr>
          <w:i/>
          <w:iCs/>
        </w:rPr>
        <w:t>1916: The Rising Handbook</w:t>
      </w:r>
      <w:r w:rsidR="001525F0" w:rsidRPr="001525F0">
        <w:t xml:space="preserve"> (Dublin: The O’Brian Press, 2016), p.</w:t>
      </w:r>
      <w:r w:rsidR="00CA7B78">
        <w:t>26.</w:t>
      </w:r>
    </w:p>
  </w:footnote>
  <w:footnote w:id="11">
    <w:p w14:paraId="31B43FE3" w14:textId="3E8E88C4" w:rsidR="001F401E" w:rsidRDefault="001F401E">
      <w:pPr>
        <w:pStyle w:val="FootnoteText"/>
      </w:pPr>
      <w:r>
        <w:rPr>
          <w:rStyle w:val="FootnoteReference"/>
        </w:rPr>
        <w:footnoteRef/>
      </w:r>
      <w:r>
        <w:t xml:space="preserve"> </w:t>
      </w:r>
      <w:r w:rsidR="00D00C37" w:rsidRPr="00D00C37">
        <w:t xml:space="preserve">Gov.ie, </w:t>
      </w:r>
      <w:r w:rsidR="00D00C37" w:rsidRPr="00D00C37">
        <w:rPr>
          <w:i/>
          <w:iCs/>
        </w:rPr>
        <w:t>Proclamation of Independence</w:t>
      </w:r>
      <w:r w:rsidR="00D00C37" w:rsidRPr="00D00C37">
        <w:t xml:space="preserve"> (2018) &lt; https://www.gov.ie/en/publication/bfa965-proclamation-of-independence/ &gt; [accessed 09/12/22].</w:t>
      </w:r>
    </w:p>
  </w:footnote>
  <w:footnote w:id="12">
    <w:p w14:paraId="14BCCCE2" w14:textId="2C28341D" w:rsidR="00017DF1" w:rsidRDefault="00017DF1">
      <w:pPr>
        <w:pStyle w:val="FootnoteText"/>
      </w:pPr>
      <w:r>
        <w:rPr>
          <w:rStyle w:val="FootnoteReference"/>
        </w:rPr>
        <w:footnoteRef/>
      </w:r>
      <w:r>
        <w:t xml:space="preserve"> </w:t>
      </w:r>
      <w:r w:rsidR="00916EC0" w:rsidRPr="00916EC0">
        <w:t xml:space="preserve">Francis Fukuyama, </w:t>
      </w:r>
      <w:r w:rsidR="00916EC0" w:rsidRPr="00916EC0">
        <w:rPr>
          <w:i/>
          <w:iCs/>
        </w:rPr>
        <w:t>Why National Identity Matters</w:t>
      </w:r>
      <w:r w:rsidR="00916EC0" w:rsidRPr="00916EC0">
        <w:t>, (USA: Johns Hopkins University Press, 2018), p.2 and p.3.</w:t>
      </w:r>
    </w:p>
  </w:footnote>
  <w:footnote w:id="13">
    <w:p w14:paraId="699CCD9A" w14:textId="5D0BC9BF" w:rsidR="00351C90" w:rsidRDefault="00351C90">
      <w:pPr>
        <w:pStyle w:val="FootnoteText"/>
      </w:pPr>
      <w:r>
        <w:rPr>
          <w:rStyle w:val="FootnoteReference"/>
        </w:rPr>
        <w:footnoteRef/>
      </w:r>
      <w:r>
        <w:t xml:space="preserve"> </w:t>
      </w:r>
      <w:r w:rsidRPr="00351C90">
        <w:t xml:space="preserve">Fukuyama, </w:t>
      </w:r>
      <w:r w:rsidRPr="00351C90">
        <w:rPr>
          <w:i/>
          <w:iCs/>
        </w:rPr>
        <w:t>Why National Identity</w:t>
      </w:r>
      <w:r w:rsidRPr="00351C90">
        <w:t>, p.3.</w:t>
      </w:r>
    </w:p>
  </w:footnote>
  <w:footnote w:id="14">
    <w:p w14:paraId="59F66DE7" w14:textId="15F5BC81" w:rsidR="007573E3" w:rsidRDefault="007573E3">
      <w:pPr>
        <w:pStyle w:val="FootnoteText"/>
      </w:pPr>
      <w:r>
        <w:rPr>
          <w:rStyle w:val="FootnoteReference"/>
        </w:rPr>
        <w:footnoteRef/>
      </w:r>
      <w:r>
        <w:t xml:space="preserve"> </w:t>
      </w:r>
      <w:r w:rsidR="00770D21" w:rsidRPr="00770D21">
        <w:t xml:space="preserve">Fukuyama, </w:t>
      </w:r>
      <w:r w:rsidR="00770D21" w:rsidRPr="00770D21">
        <w:rPr>
          <w:i/>
          <w:iCs/>
        </w:rPr>
        <w:t>Why National Identity</w:t>
      </w:r>
      <w:r w:rsidR="00770D21" w:rsidRPr="00770D21">
        <w:t>, p.3.</w:t>
      </w:r>
    </w:p>
  </w:footnote>
  <w:footnote w:id="15">
    <w:p w14:paraId="68A65752" w14:textId="08FD2386" w:rsidR="00D81C78" w:rsidRDefault="00D81C78">
      <w:pPr>
        <w:pStyle w:val="FootnoteText"/>
      </w:pPr>
      <w:r>
        <w:rPr>
          <w:rStyle w:val="FootnoteReference"/>
        </w:rPr>
        <w:footnoteRef/>
      </w:r>
      <w:r>
        <w:t xml:space="preserve"> </w:t>
      </w:r>
      <w:r w:rsidR="00697572" w:rsidRPr="00697572">
        <w:t xml:space="preserve">Collins, </w:t>
      </w:r>
      <w:r w:rsidR="00697572" w:rsidRPr="00697572">
        <w:rPr>
          <w:i/>
          <w:iCs/>
        </w:rPr>
        <w:t>1916: The Rising</w:t>
      </w:r>
      <w:r w:rsidR="00697572" w:rsidRPr="00697572">
        <w:t>, p.26.</w:t>
      </w:r>
    </w:p>
  </w:footnote>
  <w:footnote w:id="16">
    <w:p w14:paraId="56EC27BC" w14:textId="36484D7D" w:rsidR="00A97188" w:rsidRDefault="00A97188">
      <w:pPr>
        <w:pStyle w:val="FootnoteText"/>
      </w:pPr>
      <w:r>
        <w:rPr>
          <w:rStyle w:val="FootnoteReference"/>
        </w:rPr>
        <w:footnoteRef/>
      </w:r>
      <w:r>
        <w:t xml:space="preserve"> </w:t>
      </w:r>
      <w:r w:rsidR="00AA4126" w:rsidRPr="00AA4126">
        <w:rPr>
          <w:i/>
          <w:iCs/>
        </w:rPr>
        <w:t>Gov.ie</w:t>
      </w:r>
      <w:r w:rsidR="00AA4126" w:rsidRPr="00AA4126">
        <w:t>, (2018).</w:t>
      </w:r>
    </w:p>
  </w:footnote>
  <w:footnote w:id="17">
    <w:p w14:paraId="1484E1D2" w14:textId="788A5F85" w:rsidR="00413FC6" w:rsidRDefault="00413FC6">
      <w:pPr>
        <w:pStyle w:val="FootnoteText"/>
      </w:pPr>
      <w:r>
        <w:rPr>
          <w:rStyle w:val="FootnoteReference"/>
        </w:rPr>
        <w:footnoteRef/>
      </w:r>
      <w:r>
        <w:t xml:space="preserve"> </w:t>
      </w:r>
      <w:r w:rsidR="007F6A6C" w:rsidRPr="007F6A6C">
        <w:t xml:space="preserve">National Archives, </w:t>
      </w:r>
      <w:r w:rsidR="007F6A6C" w:rsidRPr="007F6A6C">
        <w:rPr>
          <w:i/>
          <w:iCs/>
        </w:rPr>
        <w:t>Declaration of Independence: A Transcription</w:t>
      </w:r>
      <w:r w:rsidR="007F6A6C" w:rsidRPr="007F6A6C">
        <w:t xml:space="preserve"> &lt; https://www.archives.gov/founding-docs/declaration-transcript &gt; [accessed 09/12/22].</w:t>
      </w:r>
    </w:p>
  </w:footnote>
  <w:footnote w:id="18">
    <w:p w14:paraId="6B75A3DD" w14:textId="54A53940" w:rsidR="005E7530" w:rsidRDefault="005E7530">
      <w:pPr>
        <w:pStyle w:val="FootnoteText"/>
      </w:pPr>
      <w:r>
        <w:rPr>
          <w:rStyle w:val="FootnoteReference"/>
        </w:rPr>
        <w:footnoteRef/>
      </w:r>
      <w:r>
        <w:t xml:space="preserve"> </w:t>
      </w:r>
      <w:r w:rsidR="001349A5" w:rsidRPr="001349A5">
        <w:t xml:space="preserve">Collins, </w:t>
      </w:r>
      <w:r w:rsidR="001349A5" w:rsidRPr="001349A5">
        <w:rPr>
          <w:i/>
          <w:iCs/>
        </w:rPr>
        <w:t>1916: The Rising</w:t>
      </w:r>
      <w:r w:rsidR="001349A5" w:rsidRPr="001349A5">
        <w:t>, p.26.</w:t>
      </w:r>
    </w:p>
  </w:footnote>
  <w:footnote w:id="19">
    <w:p w14:paraId="71058AB3" w14:textId="06BE2B7C" w:rsidR="006A732F" w:rsidRDefault="006A732F">
      <w:pPr>
        <w:pStyle w:val="FootnoteText"/>
      </w:pPr>
      <w:r>
        <w:rPr>
          <w:rStyle w:val="FootnoteReference"/>
        </w:rPr>
        <w:footnoteRef/>
      </w:r>
      <w:r>
        <w:t xml:space="preserve"> </w:t>
      </w:r>
      <w:r w:rsidR="007B63BF" w:rsidRPr="007B63BF">
        <w:t>Gov.ie, (2018).</w:t>
      </w:r>
    </w:p>
  </w:footnote>
  <w:footnote w:id="20">
    <w:p w14:paraId="3C6A9AD4" w14:textId="3F14A05B" w:rsidR="00D54B9E" w:rsidRDefault="00D54B9E">
      <w:pPr>
        <w:pStyle w:val="FootnoteText"/>
      </w:pPr>
      <w:r>
        <w:rPr>
          <w:rStyle w:val="FootnoteReference"/>
        </w:rPr>
        <w:footnoteRef/>
      </w:r>
      <w:r>
        <w:t xml:space="preserve"> </w:t>
      </w:r>
      <w:r w:rsidR="001D5CF5" w:rsidRPr="001D5CF5">
        <w:t>Timothy J. Hatton and Jeffery G. Williamson,</w:t>
      </w:r>
      <w:r w:rsidR="001D5CF5" w:rsidRPr="001D5CF5">
        <w:rPr>
          <w:i/>
          <w:iCs/>
        </w:rPr>
        <w:t xml:space="preserve"> The Age of Mass Migration Causes and Economic Impact </w:t>
      </w:r>
      <w:r w:rsidR="001D5CF5" w:rsidRPr="001D5CF5">
        <w:t>(New York: Oxford University Press, 1998) P.75.</w:t>
      </w:r>
    </w:p>
  </w:footnote>
  <w:footnote w:id="21">
    <w:p w14:paraId="29FCD2AD" w14:textId="41D068E3" w:rsidR="00114B60" w:rsidRDefault="001D5CF5">
      <w:pPr>
        <w:pStyle w:val="FootnoteText"/>
      </w:pPr>
      <w:r>
        <w:rPr>
          <w:rStyle w:val="FootnoteReference"/>
        </w:rPr>
        <w:footnoteRef/>
      </w:r>
      <w:r>
        <w:t xml:space="preserve"> </w:t>
      </w:r>
      <w:r w:rsidR="00114B60" w:rsidRPr="00114B60">
        <w:t xml:space="preserve">Hatton and Williamson, </w:t>
      </w:r>
      <w:r w:rsidR="00114B60" w:rsidRPr="00114B60">
        <w:rPr>
          <w:i/>
          <w:iCs/>
        </w:rPr>
        <w:t>The Age of Mass Migration</w:t>
      </w:r>
      <w:r w:rsidR="00114B60" w:rsidRPr="00114B60">
        <w:t>, P.75.</w:t>
      </w:r>
    </w:p>
  </w:footnote>
  <w:footnote w:id="22">
    <w:p w14:paraId="371A209D" w14:textId="2FC2939F" w:rsidR="000B4029" w:rsidRDefault="000B4029">
      <w:pPr>
        <w:pStyle w:val="FootnoteText"/>
      </w:pPr>
      <w:r>
        <w:rPr>
          <w:rStyle w:val="FootnoteReference"/>
        </w:rPr>
        <w:footnoteRef/>
      </w:r>
      <w:r>
        <w:t xml:space="preserve"> </w:t>
      </w:r>
      <w:r w:rsidRPr="000B4029">
        <w:t xml:space="preserve">Hatton and Williamson, </w:t>
      </w:r>
      <w:r w:rsidRPr="000B4029">
        <w:rPr>
          <w:i/>
          <w:iCs/>
        </w:rPr>
        <w:t>The Age of Mass Migration</w:t>
      </w:r>
      <w:r w:rsidRPr="000B4029">
        <w:t>, P.75.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6FA"/>
    <w:rsid w:val="000041F5"/>
    <w:rsid w:val="00017DF1"/>
    <w:rsid w:val="00025FEE"/>
    <w:rsid w:val="000B4029"/>
    <w:rsid w:val="000C19CA"/>
    <w:rsid w:val="00114B60"/>
    <w:rsid w:val="001349A5"/>
    <w:rsid w:val="001525F0"/>
    <w:rsid w:val="00164712"/>
    <w:rsid w:val="00164B27"/>
    <w:rsid w:val="00194438"/>
    <w:rsid w:val="001D4D2F"/>
    <w:rsid w:val="001D5CF5"/>
    <w:rsid w:val="001E3972"/>
    <w:rsid w:val="001F401E"/>
    <w:rsid w:val="00204654"/>
    <w:rsid w:val="00213E03"/>
    <w:rsid w:val="0022753F"/>
    <w:rsid w:val="00232794"/>
    <w:rsid w:val="0024420A"/>
    <w:rsid w:val="00262A9D"/>
    <w:rsid w:val="002D4664"/>
    <w:rsid w:val="002D6D02"/>
    <w:rsid w:val="002E5989"/>
    <w:rsid w:val="002F18EE"/>
    <w:rsid w:val="002F438E"/>
    <w:rsid w:val="00327A61"/>
    <w:rsid w:val="00346C9A"/>
    <w:rsid w:val="00351C90"/>
    <w:rsid w:val="003865C2"/>
    <w:rsid w:val="003A6346"/>
    <w:rsid w:val="003C584E"/>
    <w:rsid w:val="003D0505"/>
    <w:rsid w:val="00413FC6"/>
    <w:rsid w:val="00420F45"/>
    <w:rsid w:val="004919C0"/>
    <w:rsid w:val="00566418"/>
    <w:rsid w:val="00581422"/>
    <w:rsid w:val="005B40FF"/>
    <w:rsid w:val="005E7530"/>
    <w:rsid w:val="005F3EF2"/>
    <w:rsid w:val="005F620C"/>
    <w:rsid w:val="006069BA"/>
    <w:rsid w:val="00624039"/>
    <w:rsid w:val="0064766B"/>
    <w:rsid w:val="006655DA"/>
    <w:rsid w:val="00697572"/>
    <w:rsid w:val="006A5192"/>
    <w:rsid w:val="006A732F"/>
    <w:rsid w:val="006C3670"/>
    <w:rsid w:val="006F542D"/>
    <w:rsid w:val="00706DC7"/>
    <w:rsid w:val="00725000"/>
    <w:rsid w:val="00745259"/>
    <w:rsid w:val="007527FD"/>
    <w:rsid w:val="007573E3"/>
    <w:rsid w:val="00770D21"/>
    <w:rsid w:val="00771C01"/>
    <w:rsid w:val="007B63BF"/>
    <w:rsid w:val="007F6A6C"/>
    <w:rsid w:val="00865F8B"/>
    <w:rsid w:val="0087146B"/>
    <w:rsid w:val="008D6CF9"/>
    <w:rsid w:val="008D72A6"/>
    <w:rsid w:val="00916EC0"/>
    <w:rsid w:val="009206FA"/>
    <w:rsid w:val="009324F1"/>
    <w:rsid w:val="00980C8C"/>
    <w:rsid w:val="009F7DDA"/>
    <w:rsid w:val="00A22D64"/>
    <w:rsid w:val="00A40FAE"/>
    <w:rsid w:val="00A44AB7"/>
    <w:rsid w:val="00A82F5B"/>
    <w:rsid w:val="00A97188"/>
    <w:rsid w:val="00AA4126"/>
    <w:rsid w:val="00B90597"/>
    <w:rsid w:val="00B929C7"/>
    <w:rsid w:val="00BC3779"/>
    <w:rsid w:val="00BF14ED"/>
    <w:rsid w:val="00C03006"/>
    <w:rsid w:val="00C33F40"/>
    <w:rsid w:val="00C65400"/>
    <w:rsid w:val="00C937B3"/>
    <w:rsid w:val="00CA1D7B"/>
    <w:rsid w:val="00CA7B78"/>
    <w:rsid w:val="00D00C37"/>
    <w:rsid w:val="00D54B9E"/>
    <w:rsid w:val="00D816B5"/>
    <w:rsid w:val="00D81C78"/>
    <w:rsid w:val="00DA3416"/>
    <w:rsid w:val="00DE48F8"/>
    <w:rsid w:val="00DE5091"/>
    <w:rsid w:val="00E06F2A"/>
    <w:rsid w:val="00E15EEF"/>
    <w:rsid w:val="00E51D18"/>
    <w:rsid w:val="00E54018"/>
    <w:rsid w:val="00E712EC"/>
    <w:rsid w:val="00E75619"/>
    <w:rsid w:val="00EB3ABE"/>
    <w:rsid w:val="00ED12CD"/>
    <w:rsid w:val="00F0087A"/>
    <w:rsid w:val="00F15314"/>
    <w:rsid w:val="00F26691"/>
    <w:rsid w:val="00F57F86"/>
    <w:rsid w:val="00F65756"/>
    <w:rsid w:val="00FA094B"/>
    <w:rsid w:val="00FB0EBA"/>
    <w:rsid w:val="00FC1B62"/>
    <w:rsid w:val="00FE02A2"/>
    <w:rsid w:val="00FE3C49"/>
    <w:rsid w:val="00FE6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260EF"/>
  <w15:chartTrackingRefBased/>
  <w15:docId w15:val="{C64F2669-9818-468D-9EFC-1F8930388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F3EF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3EF2"/>
    <w:rPr>
      <w:sz w:val="20"/>
      <w:szCs w:val="20"/>
    </w:rPr>
  </w:style>
  <w:style w:type="character" w:styleId="FootnoteReference">
    <w:name w:val="footnote reference"/>
    <w:basedOn w:val="DefaultParagraphFont"/>
    <w:uiPriority w:val="99"/>
    <w:semiHidden/>
    <w:unhideWhenUsed/>
    <w:rsid w:val="005F3EF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2BBBF2-5E04-40D0-96DF-1A46252A7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5</Pages>
  <Words>2606</Words>
  <Characters>14859</Characters>
  <Application>Microsoft Office Word</Application>
  <DocSecurity>0</DocSecurity>
  <Lines>123</Lines>
  <Paragraphs>34</Paragraphs>
  <ScaleCrop>false</ScaleCrop>
  <Company/>
  <LinksUpToDate>false</LinksUpToDate>
  <CharactersWithSpaces>17431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Ain Maties</dc:creator>
  <cp:keywords/>
  <dc:description/>
  <cp:lastModifiedBy>Ain Maties</cp:lastModifiedBy>
  <cp:revision>612</cp:revision>
  <dcterms:created xsi:type="dcterms:W3CDTF">2022-12-09T22:44:00Z</dcterms:created>
  <dcterms:modified xsi:type="dcterms:W3CDTF">2022-12-10T23:07:00Z</dcterms:modified>
</cp:coreProperties>
</file>