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9DC73" w14:textId="77777777" w:rsidR="003313B3" w:rsidRDefault="003313B3" w:rsidP="358A51BC">
      <w:pPr>
        <w:jc w:val="center"/>
        <w:rPr>
          <w:b/>
          <w:bCs/>
          <w:sz w:val="28"/>
          <w:szCs w:val="28"/>
        </w:rPr>
      </w:pPr>
    </w:p>
    <w:p w14:paraId="115B1186" w14:textId="6D350E13" w:rsidR="358A51BC" w:rsidRPr="003313B3" w:rsidRDefault="003313B3" w:rsidP="358A51BC">
      <w:pPr>
        <w:jc w:val="center"/>
        <w:rPr>
          <w:b/>
          <w:bCs/>
          <w:sz w:val="28"/>
          <w:szCs w:val="28"/>
        </w:rPr>
      </w:pPr>
      <w:r w:rsidRPr="003313B3">
        <w:rPr>
          <w:b/>
          <w:bCs/>
          <w:sz w:val="28"/>
          <w:szCs w:val="28"/>
        </w:rPr>
        <w:t>A Report Focussing On:</w:t>
      </w:r>
    </w:p>
    <w:p w14:paraId="5C3C76B7" w14:textId="7F518440" w:rsidR="358A51BC" w:rsidRDefault="358A51BC" w:rsidP="358A51BC">
      <w:pPr>
        <w:jc w:val="center"/>
        <w:rPr>
          <w:b/>
          <w:bCs/>
          <w:sz w:val="28"/>
          <w:szCs w:val="28"/>
          <w:u w:val="single"/>
        </w:rPr>
      </w:pPr>
    </w:p>
    <w:p w14:paraId="0A09B42F" w14:textId="411361B9" w:rsidR="00BA3743" w:rsidRPr="003313B3" w:rsidRDefault="0034107F" w:rsidP="002A08AD">
      <w:pPr>
        <w:jc w:val="center"/>
        <w:rPr>
          <w:b/>
          <w:sz w:val="36"/>
        </w:rPr>
      </w:pPr>
      <w:r>
        <w:rPr>
          <w:b/>
          <w:sz w:val="36"/>
        </w:rPr>
        <w:t>Negligence in Construction</w:t>
      </w:r>
    </w:p>
    <w:p w14:paraId="4092A59F" w14:textId="54E8A1BF" w:rsidR="003313B3" w:rsidRDefault="003313B3" w:rsidP="002A08AD">
      <w:pPr>
        <w:jc w:val="center"/>
        <w:rPr>
          <w:b/>
          <w:sz w:val="32"/>
          <w:u w:val="single"/>
        </w:rPr>
      </w:pPr>
    </w:p>
    <w:p w14:paraId="7B92062F" w14:textId="19E40BBE" w:rsidR="003313B3" w:rsidRPr="00366731" w:rsidRDefault="0034107F" w:rsidP="002A08AD">
      <w:pPr>
        <w:jc w:val="center"/>
        <w:rPr>
          <w:b/>
          <w:sz w:val="28"/>
        </w:rPr>
      </w:pPr>
      <w:r>
        <w:rPr>
          <w:b/>
          <w:sz w:val="28"/>
        </w:rPr>
        <w:t>Module Code – ACBA4004</w:t>
      </w:r>
    </w:p>
    <w:p w14:paraId="40395D97" w14:textId="77777777" w:rsidR="003313B3" w:rsidRPr="00366731" w:rsidRDefault="003313B3" w:rsidP="002A08AD">
      <w:pPr>
        <w:jc w:val="center"/>
        <w:rPr>
          <w:b/>
          <w:sz w:val="28"/>
        </w:rPr>
      </w:pPr>
    </w:p>
    <w:p w14:paraId="3BB3E532" w14:textId="4AB17E64" w:rsidR="003313B3" w:rsidRPr="00366731" w:rsidRDefault="0034107F" w:rsidP="002A08AD">
      <w:pPr>
        <w:jc w:val="center"/>
        <w:rPr>
          <w:b/>
          <w:sz w:val="28"/>
        </w:rPr>
      </w:pPr>
      <w:r>
        <w:rPr>
          <w:b/>
          <w:sz w:val="28"/>
        </w:rPr>
        <w:t>Word Count Required – 2</w:t>
      </w:r>
      <w:r w:rsidR="003313B3" w:rsidRPr="00366731">
        <w:rPr>
          <w:b/>
          <w:sz w:val="28"/>
        </w:rPr>
        <w:t>000 Words +/- 10%</w:t>
      </w:r>
    </w:p>
    <w:p w14:paraId="056D31D3" w14:textId="3C139C6E" w:rsidR="003313B3" w:rsidRPr="00366731" w:rsidRDefault="003313B3" w:rsidP="002A08AD">
      <w:pPr>
        <w:jc w:val="center"/>
        <w:rPr>
          <w:b/>
          <w:sz w:val="28"/>
        </w:rPr>
      </w:pPr>
      <w:r w:rsidRPr="00366731">
        <w:rPr>
          <w:b/>
          <w:sz w:val="28"/>
        </w:rPr>
        <w:t>Word Count:</w:t>
      </w:r>
      <w:r w:rsidRPr="00CA58E3">
        <w:rPr>
          <w:b/>
          <w:color w:val="767171" w:themeColor="background2" w:themeShade="80"/>
          <w:sz w:val="28"/>
        </w:rPr>
        <w:t xml:space="preserve"> </w:t>
      </w:r>
      <w:r w:rsidR="000D7C4A">
        <w:rPr>
          <w:b/>
          <w:color w:val="767171" w:themeColor="background2" w:themeShade="80"/>
          <w:sz w:val="28"/>
        </w:rPr>
        <w:t>2200</w:t>
      </w:r>
    </w:p>
    <w:p w14:paraId="62EADF38" w14:textId="678265F8" w:rsidR="003313B3" w:rsidRPr="00366731" w:rsidRDefault="003313B3" w:rsidP="002A08AD">
      <w:pPr>
        <w:jc w:val="center"/>
        <w:rPr>
          <w:b/>
          <w:sz w:val="28"/>
        </w:rPr>
      </w:pPr>
    </w:p>
    <w:p w14:paraId="108EDA40" w14:textId="6CD752B5" w:rsidR="003313B3" w:rsidRPr="00366731" w:rsidRDefault="003313B3" w:rsidP="002A08AD">
      <w:pPr>
        <w:jc w:val="center"/>
        <w:rPr>
          <w:b/>
          <w:sz w:val="28"/>
        </w:rPr>
      </w:pPr>
      <w:r w:rsidRPr="00366731">
        <w:rPr>
          <w:b/>
          <w:sz w:val="28"/>
        </w:rPr>
        <w:t>Prepared for:</w:t>
      </w:r>
    </w:p>
    <w:p w14:paraId="1B8CCA0A" w14:textId="5282BB5C" w:rsidR="003313B3" w:rsidRPr="00366731" w:rsidRDefault="0034107F" w:rsidP="002A08AD">
      <w:pPr>
        <w:jc w:val="center"/>
        <w:rPr>
          <w:b/>
          <w:sz w:val="28"/>
        </w:rPr>
      </w:pPr>
      <w:r>
        <w:rPr>
          <w:b/>
          <w:sz w:val="28"/>
        </w:rPr>
        <w:t>L. Hopkinson</w:t>
      </w:r>
    </w:p>
    <w:p w14:paraId="7A46EE99" w14:textId="0E3C6A02" w:rsidR="003313B3" w:rsidRPr="00366731" w:rsidRDefault="003313B3" w:rsidP="002A08AD">
      <w:pPr>
        <w:jc w:val="center"/>
        <w:rPr>
          <w:b/>
          <w:sz w:val="28"/>
        </w:rPr>
      </w:pPr>
    </w:p>
    <w:p w14:paraId="3EBB7D1C" w14:textId="1570620B" w:rsidR="003313B3" w:rsidRPr="00366731" w:rsidRDefault="003313B3" w:rsidP="002A08AD">
      <w:pPr>
        <w:jc w:val="center"/>
        <w:rPr>
          <w:b/>
          <w:sz w:val="28"/>
        </w:rPr>
      </w:pPr>
      <w:r w:rsidRPr="00366731">
        <w:rPr>
          <w:b/>
          <w:sz w:val="28"/>
        </w:rPr>
        <w:t>Created By:</w:t>
      </w:r>
    </w:p>
    <w:p w14:paraId="136DF5A6" w14:textId="2735F90B" w:rsidR="003313B3" w:rsidRPr="00366731" w:rsidRDefault="003313B3" w:rsidP="002A08AD">
      <w:pPr>
        <w:jc w:val="center"/>
        <w:rPr>
          <w:b/>
          <w:sz w:val="28"/>
        </w:rPr>
      </w:pPr>
      <w:r w:rsidRPr="00366731">
        <w:rPr>
          <w:b/>
          <w:sz w:val="28"/>
        </w:rPr>
        <w:t>E. Evans (2211009)</w:t>
      </w:r>
    </w:p>
    <w:p w14:paraId="7D96D4BB" w14:textId="1E6BF42F" w:rsidR="003313B3" w:rsidRPr="00366731" w:rsidRDefault="003313B3" w:rsidP="002A08AD">
      <w:pPr>
        <w:jc w:val="center"/>
        <w:rPr>
          <w:b/>
          <w:sz w:val="28"/>
        </w:rPr>
      </w:pPr>
    </w:p>
    <w:p w14:paraId="2E83786E" w14:textId="28305AA3" w:rsidR="003313B3" w:rsidRPr="00366731" w:rsidRDefault="003313B3" w:rsidP="002A08AD">
      <w:pPr>
        <w:jc w:val="center"/>
        <w:rPr>
          <w:b/>
          <w:sz w:val="28"/>
        </w:rPr>
      </w:pPr>
      <w:r w:rsidRPr="00366731">
        <w:rPr>
          <w:b/>
          <w:sz w:val="28"/>
        </w:rPr>
        <w:t xml:space="preserve">Submission Deadline – </w:t>
      </w:r>
      <w:r w:rsidR="0034107F">
        <w:rPr>
          <w:b/>
          <w:sz w:val="28"/>
        </w:rPr>
        <w:t>1</w:t>
      </w:r>
      <w:r w:rsidR="0034107F" w:rsidRPr="0034107F">
        <w:rPr>
          <w:b/>
          <w:sz w:val="28"/>
          <w:vertAlign w:val="superscript"/>
        </w:rPr>
        <w:t>st</w:t>
      </w:r>
      <w:r w:rsidR="0034107F">
        <w:rPr>
          <w:b/>
          <w:sz w:val="28"/>
        </w:rPr>
        <w:t xml:space="preserve"> December</w:t>
      </w:r>
      <w:r w:rsidRPr="00366731">
        <w:rPr>
          <w:b/>
          <w:sz w:val="28"/>
        </w:rPr>
        <w:t xml:space="preserve"> 2022</w:t>
      </w:r>
    </w:p>
    <w:p w14:paraId="64E554D1" w14:textId="4CF3C558" w:rsidR="003313B3" w:rsidRDefault="003313B3" w:rsidP="002A08AD">
      <w:pPr>
        <w:jc w:val="center"/>
        <w:rPr>
          <w:b/>
          <w:sz w:val="32"/>
        </w:rPr>
      </w:pPr>
    </w:p>
    <w:p w14:paraId="3EE69EA1" w14:textId="30606247" w:rsidR="003313B3" w:rsidRDefault="003313B3" w:rsidP="002A08AD">
      <w:pPr>
        <w:jc w:val="center"/>
        <w:rPr>
          <w:b/>
          <w:sz w:val="32"/>
        </w:rPr>
      </w:pPr>
    </w:p>
    <w:p w14:paraId="7CA704D2" w14:textId="2E70F3FC" w:rsidR="003313B3" w:rsidRDefault="003313B3" w:rsidP="002A08AD">
      <w:pPr>
        <w:jc w:val="center"/>
        <w:rPr>
          <w:b/>
          <w:sz w:val="32"/>
        </w:rPr>
      </w:pPr>
    </w:p>
    <w:p w14:paraId="3E4CE297" w14:textId="269D7EBE" w:rsidR="003313B3" w:rsidRDefault="003313B3" w:rsidP="002A08AD">
      <w:pPr>
        <w:jc w:val="center"/>
        <w:rPr>
          <w:b/>
          <w:sz w:val="32"/>
        </w:rPr>
      </w:pPr>
    </w:p>
    <w:p w14:paraId="0314083C" w14:textId="328C84AB" w:rsidR="003313B3" w:rsidRDefault="003313B3" w:rsidP="002A08AD">
      <w:pPr>
        <w:jc w:val="center"/>
        <w:rPr>
          <w:b/>
          <w:sz w:val="32"/>
        </w:rPr>
      </w:pPr>
    </w:p>
    <w:p w14:paraId="53CA67AB" w14:textId="16F7E9E9" w:rsidR="003313B3" w:rsidRDefault="003313B3" w:rsidP="002A08AD">
      <w:pPr>
        <w:jc w:val="center"/>
        <w:rPr>
          <w:b/>
          <w:sz w:val="32"/>
        </w:rPr>
      </w:pPr>
    </w:p>
    <w:p w14:paraId="3FD53A81" w14:textId="72323CCE" w:rsidR="003313B3" w:rsidRDefault="003313B3" w:rsidP="002A08AD">
      <w:pPr>
        <w:jc w:val="center"/>
        <w:rPr>
          <w:b/>
          <w:sz w:val="32"/>
        </w:rPr>
      </w:pPr>
    </w:p>
    <w:p w14:paraId="60864E91" w14:textId="44A1DBD2" w:rsidR="00934E1B" w:rsidRDefault="00934E1B" w:rsidP="00AA0D75">
      <w:pPr>
        <w:rPr>
          <w:b/>
          <w:color w:val="0070C0"/>
          <w:sz w:val="32"/>
          <w:u w:val="single"/>
        </w:rPr>
      </w:pPr>
    </w:p>
    <w:p w14:paraId="1A20B964" w14:textId="610535D1" w:rsidR="00366731" w:rsidRPr="00D12796" w:rsidRDefault="00366731" w:rsidP="00D12796">
      <w:pPr>
        <w:jc w:val="center"/>
        <w:rPr>
          <w:b/>
          <w:color w:val="0070C0"/>
          <w:sz w:val="32"/>
          <w:u w:val="single"/>
        </w:rPr>
      </w:pPr>
      <w:r w:rsidRPr="00934E1B">
        <w:rPr>
          <w:b/>
          <w:color w:val="0070C0"/>
          <w:sz w:val="32"/>
          <w:u w:val="single"/>
        </w:rPr>
        <w:lastRenderedPageBreak/>
        <w:t>Table of Contents</w:t>
      </w:r>
    </w:p>
    <w:tbl>
      <w:tblPr>
        <w:tblStyle w:val="TableGrid"/>
        <w:tblpPr w:leftFromText="180" w:rightFromText="180" w:vertAnchor="text" w:horzAnchor="margin" w:tblpXSpec="center" w:tblpY="82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2835"/>
        <w:gridCol w:w="1417"/>
      </w:tblGrid>
      <w:tr w:rsidR="00366731" w14:paraId="5B986133" w14:textId="77777777" w:rsidTr="00CA58E3">
        <w:trPr>
          <w:trHeight w:val="532"/>
        </w:trPr>
        <w:tc>
          <w:tcPr>
            <w:tcW w:w="988" w:type="dxa"/>
            <w:shd w:val="clear" w:color="auto" w:fill="E7E6E6" w:themeFill="background2"/>
          </w:tcPr>
          <w:p w14:paraId="5A10A908" w14:textId="6A46E812" w:rsidR="00366731" w:rsidRDefault="00366731" w:rsidP="00934E1B">
            <w:pPr>
              <w:jc w:val="center"/>
              <w:rPr>
                <w:b/>
                <w:sz w:val="32"/>
              </w:rPr>
            </w:pPr>
            <w:r>
              <w:rPr>
                <w:b/>
                <w:sz w:val="32"/>
              </w:rPr>
              <w:t>No.</w:t>
            </w:r>
          </w:p>
        </w:tc>
        <w:tc>
          <w:tcPr>
            <w:tcW w:w="2835" w:type="dxa"/>
            <w:shd w:val="clear" w:color="auto" w:fill="E7E6E6" w:themeFill="background2"/>
          </w:tcPr>
          <w:p w14:paraId="6C611314" w14:textId="273E16C6" w:rsidR="00366731" w:rsidRDefault="00366731" w:rsidP="00934E1B">
            <w:pPr>
              <w:jc w:val="center"/>
              <w:rPr>
                <w:b/>
                <w:sz w:val="32"/>
              </w:rPr>
            </w:pPr>
            <w:r>
              <w:rPr>
                <w:b/>
                <w:sz w:val="32"/>
              </w:rPr>
              <w:t>Content</w:t>
            </w:r>
          </w:p>
        </w:tc>
        <w:tc>
          <w:tcPr>
            <w:tcW w:w="1417" w:type="dxa"/>
            <w:shd w:val="clear" w:color="auto" w:fill="E7E6E6" w:themeFill="background2"/>
          </w:tcPr>
          <w:p w14:paraId="15E05E8F" w14:textId="52E3131D" w:rsidR="00366731" w:rsidRDefault="00366731" w:rsidP="00934E1B">
            <w:pPr>
              <w:jc w:val="center"/>
              <w:rPr>
                <w:b/>
                <w:sz w:val="32"/>
              </w:rPr>
            </w:pPr>
            <w:r>
              <w:rPr>
                <w:b/>
                <w:sz w:val="32"/>
              </w:rPr>
              <w:t>Page</w:t>
            </w:r>
          </w:p>
        </w:tc>
      </w:tr>
      <w:tr w:rsidR="003138E8" w14:paraId="3EC4EB8D" w14:textId="77777777" w:rsidTr="00CA58E3">
        <w:trPr>
          <w:trHeight w:val="626"/>
        </w:trPr>
        <w:tc>
          <w:tcPr>
            <w:tcW w:w="988" w:type="dxa"/>
          </w:tcPr>
          <w:p w14:paraId="240A2E57" w14:textId="1D2A1FE7" w:rsidR="003138E8" w:rsidRPr="00952279" w:rsidRDefault="00E630F8" w:rsidP="003138E8">
            <w:pPr>
              <w:jc w:val="center"/>
              <w:rPr>
                <w:color w:val="767171" w:themeColor="background2" w:themeShade="80"/>
                <w:sz w:val="28"/>
              </w:rPr>
            </w:pPr>
            <w:r>
              <w:rPr>
                <w:color w:val="767171" w:themeColor="background2" w:themeShade="80"/>
                <w:sz w:val="28"/>
              </w:rPr>
              <w:t>1.0</w:t>
            </w:r>
          </w:p>
        </w:tc>
        <w:tc>
          <w:tcPr>
            <w:tcW w:w="2835" w:type="dxa"/>
          </w:tcPr>
          <w:p w14:paraId="3D529A95" w14:textId="2B44AD25" w:rsidR="003138E8" w:rsidRPr="00366731" w:rsidRDefault="003138E8" w:rsidP="003138E8">
            <w:pPr>
              <w:rPr>
                <w:sz w:val="28"/>
              </w:rPr>
            </w:pPr>
            <w:r>
              <w:rPr>
                <w:sz w:val="28"/>
              </w:rPr>
              <w:t>Terms Of Reference</w:t>
            </w:r>
          </w:p>
        </w:tc>
        <w:tc>
          <w:tcPr>
            <w:tcW w:w="1417" w:type="dxa"/>
          </w:tcPr>
          <w:p w14:paraId="3A5089D8" w14:textId="3DBEE935" w:rsidR="003138E8" w:rsidRPr="00366731" w:rsidRDefault="00E630F8" w:rsidP="003138E8">
            <w:pPr>
              <w:jc w:val="center"/>
              <w:rPr>
                <w:sz w:val="28"/>
              </w:rPr>
            </w:pPr>
            <w:r>
              <w:rPr>
                <w:sz w:val="28"/>
              </w:rPr>
              <w:t>2</w:t>
            </w:r>
          </w:p>
        </w:tc>
      </w:tr>
      <w:tr w:rsidR="003138E8" w14:paraId="2834B343" w14:textId="77777777" w:rsidTr="00CA58E3">
        <w:trPr>
          <w:trHeight w:val="626"/>
        </w:trPr>
        <w:tc>
          <w:tcPr>
            <w:tcW w:w="988" w:type="dxa"/>
          </w:tcPr>
          <w:p w14:paraId="66211A6D" w14:textId="4DC3F16A" w:rsidR="003138E8" w:rsidRPr="00952279" w:rsidRDefault="00E630F8" w:rsidP="003138E8">
            <w:pPr>
              <w:jc w:val="center"/>
              <w:rPr>
                <w:color w:val="767171" w:themeColor="background2" w:themeShade="80"/>
                <w:sz w:val="28"/>
              </w:rPr>
            </w:pPr>
            <w:r>
              <w:rPr>
                <w:color w:val="767171" w:themeColor="background2" w:themeShade="80"/>
                <w:sz w:val="28"/>
              </w:rPr>
              <w:t>2.0</w:t>
            </w:r>
          </w:p>
        </w:tc>
        <w:tc>
          <w:tcPr>
            <w:tcW w:w="2835" w:type="dxa"/>
          </w:tcPr>
          <w:p w14:paraId="1EFFB91E" w14:textId="04B3240F" w:rsidR="003138E8" w:rsidRDefault="003138E8" w:rsidP="003138E8">
            <w:pPr>
              <w:jc w:val="center"/>
              <w:rPr>
                <w:sz w:val="28"/>
              </w:rPr>
            </w:pPr>
            <w:r>
              <w:rPr>
                <w:sz w:val="28"/>
              </w:rPr>
              <w:t>Procedure</w:t>
            </w:r>
          </w:p>
        </w:tc>
        <w:tc>
          <w:tcPr>
            <w:tcW w:w="1417" w:type="dxa"/>
          </w:tcPr>
          <w:p w14:paraId="536D6E7E" w14:textId="0AEBE708" w:rsidR="003138E8" w:rsidRDefault="00E630F8" w:rsidP="003138E8">
            <w:pPr>
              <w:jc w:val="center"/>
              <w:rPr>
                <w:sz w:val="28"/>
              </w:rPr>
            </w:pPr>
            <w:r>
              <w:rPr>
                <w:sz w:val="28"/>
              </w:rPr>
              <w:t>2</w:t>
            </w:r>
          </w:p>
        </w:tc>
      </w:tr>
      <w:tr w:rsidR="003138E8" w14:paraId="7006A25F" w14:textId="77777777" w:rsidTr="00CA58E3">
        <w:trPr>
          <w:trHeight w:val="626"/>
        </w:trPr>
        <w:tc>
          <w:tcPr>
            <w:tcW w:w="988" w:type="dxa"/>
          </w:tcPr>
          <w:p w14:paraId="5BB388F9" w14:textId="47AED8FE" w:rsidR="003138E8" w:rsidRPr="00952279" w:rsidRDefault="00E630F8" w:rsidP="003138E8">
            <w:pPr>
              <w:jc w:val="center"/>
              <w:rPr>
                <w:color w:val="767171" w:themeColor="background2" w:themeShade="80"/>
                <w:sz w:val="28"/>
              </w:rPr>
            </w:pPr>
            <w:r>
              <w:rPr>
                <w:color w:val="767171" w:themeColor="background2" w:themeShade="80"/>
                <w:sz w:val="28"/>
              </w:rPr>
              <w:t>3-5.6</w:t>
            </w:r>
          </w:p>
        </w:tc>
        <w:tc>
          <w:tcPr>
            <w:tcW w:w="2835" w:type="dxa"/>
          </w:tcPr>
          <w:p w14:paraId="119AB092" w14:textId="677B0F17" w:rsidR="003138E8" w:rsidRDefault="003138E8" w:rsidP="003138E8">
            <w:pPr>
              <w:jc w:val="center"/>
              <w:rPr>
                <w:sz w:val="28"/>
              </w:rPr>
            </w:pPr>
            <w:r w:rsidRPr="00366731">
              <w:rPr>
                <w:sz w:val="28"/>
              </w:rPr>
              <w:t>Findings</w:t>
            </w:r>
          </w:p>
        </w:tc>
        <w:tc>
          <w:tcPr>
            <w:tcW w:w="1417" w:type="dxa"/>
          </w:tcPr>
          <w:p w14:paraId="76748B08" w14:textId="4AF3EE53" w:rsidR="003138E8" w:rsidRDefault="00E630F8" w:rsidP="003138E8">
            <w:pPr>
              <w:jc w:val="center"/>
              <w:rPr>
                <w:sz w:val="28"/>
              </w:rPr>
            </w:pPr>
            <w:r>
              <w:rPr>
                <w:sz w:val="28"/>
              </w:rPr>
              <w:t>3-9</w:t>
            </w:r>
          </w:p>
        </w:tc>
      </w:tr>
      <w:tr w:rsidR="003138E8" w14:paraId="368A22D7" w14:textId="77777777" w:rsidTr="00CA58E3">
        <w:trPr>
          <w:trHeight w:val="644"/>
        </w:trPr>
        <w:tc>
          <w:tcPr>
            <w:tcW w:w="988" w:type="dxa"/>
          </w:tcPr>
          <w:p w14:paraId="60E2F74E" w14:textId="26A7CDD5" w:rsidR="003138E8" w:rsidRPr="00952279" w:rsidRDefault="00E630F8" w:rsidP="003138E8">
            <w:pPr>
              <w:jc w:val="center"/>
              <w:rPr>
                <w:color w:val="767171" w:themeColor="background2" w:themeShade="80"/>
                <w:sz w:val="28"/>
              </w:rPr>
            </w:pPr>
            <w:r>
              <w:rPr>
                <w:color w:val="767171" w:themeColor="background2" w:themeShade="80"/>
                <w:sz w:val="28"/>
              </w:rPr>
              <w:t>6.0</w:t>
            </w:r>
          </w:p>
        </w:tc>
        <w:tc>
          <w:tcPr>
            <w:tcW w:w="2835" w:type="dxa"/>
          </w:tcPr>
          <w:p w14:paraId="7F3F2461" w14:textId="3C8556A8" w:rsidR="003138E8" w:rsidRPr="00366731" w:rsidRDefault="003138E8" w:rsidP="003138E8">
            <w:pPr>
              <w:jc w:val="center"/>
              <w:rPr>
                <w:sz w:val="28"/>
              </w:rPr>
            </w:pPr>
            <w:r w:rsidRPr="00366731">
              <w:rPr>
                <w:sz w:val="28"/>
              </w:rPr>
              <w:t>References</w:t>
            </w:r>
          </w:p>
        </w:tc>
        <w:tc>
          <w:tcPr>
            <w:tcW w:w="1417" w:type="dxa"/>
          </w:tcPr>
          <w:p w14:paraId="6E90729F" w14:textId="79E8F467" w:rsidR="003138E8" w:rsidRPr="00366731" w:rsidRDefault="00E630F8" w:rsidP="003138E8">
            <w:pPr>
              <w:jc w:val="center"/>
              <w:rPr>
                <w:sz w:val="28"/>
              </w:rPr>
            </w:pPr>
            <w:r>
              <w:rPr>
                <w:sz w:val="28"/>
              </w:rPr>
              <w:t>10-12</w:t>
            </w:r>
          </w:p>
        </w:tc>
      </w:tr>
      <w:tr w:rsidR="003138E8" w14:paraId="523B69EA" w14:textId="77777777" w:rsidTr="00CA58E3">
        <w:trPr>
          <w:trHeight w:val="626"/>
        </w:trPr>
        <w:tc>
          <w:tcPr>
            <w:tcW w:w="988" w:type="dxa"/>
          </w:tcPr>
          <w:p w14:paraId="0430B3B4" w14:textId="3D3E2CC8" w:rsidR="003138E8" w:rsidRPr="00952279" w:rsidRDefault="003138E8" w:rsidP="003138E8">
            <w:pPr>
              <w:jc w:val="center"/>
              <w:rPr>
                <w:color w:val="767171" w:themeColor="background2" w:themeShade="80"/>
                <w:sz w:val="28"/>
              </w:rPr>
            </w:pPr>
          </w:p>
        </w:tc>
        <w:tc>
          <w:tcPr>
            <w:tcW w:w="2835" w:type="dxa"/>
          </w:tcPr>
          <w:p w14:paraId="6E92D33D" w14:textId="4207B3B1" w:rsidR="003138E8" w:rsidRPr="00366731" w:rsidRDefault="003138E8" w:rsidP="003138E8">
            <w:pPr>
              <w:rPr>
                <w:sz w:val="28"/>
              </w:rPr>
            </w:pPr>
          </w:p>
        </w:tc>
        <w:tc>
          <w:tcPr>
            <w:tcW w:w="1417" w:type="dxa"/>
          </w:tcPr>
          <w:p w14:paraId="56D8B242" w14:textId="338702D8" w:rsidR="003138E8" w:rsidRPr="00366731" w:rsidRDefault="003138E8" w:rsidP="003138E8">
            <w:pPr>
              <w:jc w:val="center"/>
              <w:rPr>
                <w:sz w:val="28"/>
              </w:rPr>
            </w:pPr>
          </w:p>
        </w:tc>
      </w:tr>
      <w:tr w:rsidR="003138E8" w14:paraId="140D505D" w14:textId="77777777" w:rsidTr="00CA58E3">
        <w:trPr>
          <w:trHeight w:val="626"/>
        </w:trPr>
        <w:tc>
          <w:tcPr>
            <w:tcW w:w="988" w:type="dxa"/>
          </w:tcPr>
          <w:p w14:paraId="2715E23D" w14:textId="1548D072" w:rsidR="003138E8" w:rsidRPr="00952279" w:rsidRDefault="003138E8" w:rsidP="003138E8">
            <w:pPr>
              <w:jc w:val="center"/>
              <w:rPr>
                <w:color w:val="767171" w:themeColor="background2" w:themeShade="80"/>
                <w:sz w:val="28"/>
              </w:rPr>
            </w:pPr>
          </w:p>
        </w:tc>
        <w:tc>
          <w:tcPr>
            <w:tcW w:w="2835" w:type="dxa"/>
          </w:tcPr>
          <w:p w14:paraId="5CFA3E39" w14:textId="157F016E" w:rsidR="003138E8" w:rsidRPr="00366731" w:rsidRDefault="003138E8" w:rsidP="003138E8">
            <w:pPr>
              <w:jc w:val="center"/>
              <w:rPr>
                <w:sz w:val="28"/>
              </w:rPr>
            </w:pPr>
          </w:p>
        </w:tc>
        <w:tc>
          <w:tcPr>
            <w:tcW w:w="1417" w:type="dxa"/>
          </w:tcPr>
          <w:p w14:paraId="5BC0F1E9" w14:textId="5D84F082" w:rsidR="003138E8" w:rsidRPr="00366731" w:rsidRDefault="003138E8" w:rsidP="003138E8">
            <w:pPr>
              <w:jc w:val="center"/>
              <w:rPr>
                <w:sz w:val="28"/>
              </w:rPr>
            </w:pPr>
          </w:p>
        </w:tc>
      </w:tr>
    </w:tbl>
    <w:p w14:paraId="6C598993" w14:textId="77777777" w:rsidR="00934E1B" w:rsidRDefault="00934E1B">
      <w:pPr>
        <w:rPr>
          <w:b/>
          <w:sz w:val="32"/>
        </w:rPr>
      </w:pPr>
      <w:r>
        <w:rPr>
          <w:b/>
          <w:sz w:val="32"/>
        </w:rPr>
        <w:br w:type="textWrapping" w:clear="all"/>
      </w:r>
    </w:p>
    <w:p w14:paraId="087C8022" w14:textId="77777777" w:rsidR="00934E1B" w:rsidRDefault="00934E1B">
      <w:pPr>
        <w:rPr>
          <w:b/>
          <w:sz w:val="32"/>
        </w:rPr>
      </w:pPr>
    </w:p>
    <w:p w14:paraId="283F7E9D" w14:textId="77777777" w:rsidR="00934E1B" w:rsidRDefault="00934E1B">
      <w:pPr>
        <w:rPr>
          <w:b/>
          <w:sz w:val="32"/>
        </w:rPr>
      </w:pPr>
    </w:p>
    <w:p w14:paraId="5612B8C0" w14:textId="77777777" w:rsidR="00934E1B" w:rsidRDefault="00934E1B">
      <w:pPr>
        <w:rPr>
          <w:b/>
          <w:sz w:val="32"/>
        </w:rPr>
      </w:pPr>
    </w:p>
    <w:p w14:paraId="5535CFBA" w14:textId="77777777" w:rsidR="00934E1B" w:rsidRDefault="00934E1B">
      <w:pPr>
        <w:rPr>
          <w:b/>
          <w:sz w:val="32"/>
        </w:rPr>
      </w:pPr>
    </w:p>
    <w:p w14:paraId="155F361B" w14:textId="77777777" w:rsidR="00934E1B" w:rsidRDefault="00934E1B">
      <w:pPr>
        <w:rPr>
          <w:b/>
          <w:sz w:val="32"/>
        </w:rPr>
      </w:pPr>
    </w:p>
    <w:p w14:paraId="4A431E63" w14:textId="77777777" w:rsidR="00934E1B" w:rsidRDefault="00934E1B">
      <w:pPr>
        <w:rPr>
          <w:b/>
          <w:sz w:val="32"/>
        </w:rPr>
      </w:pPr>
    </w:p>
    <w:p w14:paraId="7204544D" w14:textId="1EE13504" w:rsidR="00D12796" w:rsidRPr="003138E8" w:rsidRDefault="00D12796" w:rsidP="003138E8">
      <w:pPr>
        <w:rPr>
          <w:b/>
          <w:sz w:val="28"/>
        </w:rPr>
      </w:pPr>
    </w:p>
    <w:p w14:paraId="3BA1727D" w14:textId="77777777" w:rsidR="00D12796" w:rsidRDefault="00D12796" w:rsidP="00D12796">
      <w:pPr>
        <w:pStyle w:val="ListParagraph"/>
        <w:ind w:left="420"/>
        <w:rPr>
          <w:sz w:val="24"/>
        </w:rPr>
      </w:pPr>
    </w:p>
    <w:p w14:paraId="0A793A4A" w14:textId="77777777" w:rsidR="00D12796" w:rsidRPr="00985D34" w:rsidRDefault="00D12796" w:rsidP="00DA5067">
      <w:pPr>
        <w:pStyle w:val="ListParagraph"/>
        <w:numPr>
          <w:ilvl w:val="0"/>
          <w:numId w:val="13"/>
        </w:numPr>
        <w:spacing w:line="360" w:lineRule="auto"/>
        <w:rPr>
          <w:b/>
          <w:sz w:val="24"/>
        </w:rPr>
      </w:pPr>
      <w:r w:rsidRPr="00985D34">
        <w:rPr>
          <w:b/>
          <w:sz w:val="24"/>
        </w:rPr>
        <w:t>Terms of Reference</w:t>
      </w:r>
    </w:p>
    <w:p w14:paraId="2264314F" w14:textId="1B0DD59C" w:rsidR="00E518D8" w:rsidRPr="00DA5067" w:rsidRDefault="003138E8" w:rsidP="00DA5067">
      <w:pPr>
        <w:pStyle w:val="ListParagraph"/>
        <w:numPr>
          <w:ilvl w:val="0"/>
          <w:numId w:val="7"/>
        </w:numPr>
        <w:spacing w:line="360" w:lineRule="auto"/>
      </w:pPr>
      <w:r w:rsidRPr="00DA5067">
        <w:t>Case Law</w:t>
      </w:r>
    </w:p>
    <w:p w14:paraId="7CC87C43" w14:textId="1C74BF6F" w:rsidR="003138E8" w:rsidRPr="00DA5067" w:rsidRDefault="003138E8" w:rsidP="00DA5067">
      <w:pPr>
        <w:pStyle w:val="ListParagraph"/>
        <w:numPr>
          <w:ilvl w:val="0"/>
          <w:numId w:val="7"/>
        </w:numPr>
        <w:spacing w:line="360" w:lineRule="auto"/>
      </w:pPr>
      <w:r w:rsidRPr="00DA5067">
        <w:t>Internet research</w:t>
      </w:r>
    </w:p>
    <w:p w14:paraId="45E0BFEB" w14:textId="3C379881" w:rsidR="003138E8" w:rsidRPr="00DA5067" w:rsidRDefault="003138E8" w:rsidP="00DA5067">
      <w:pPr>
        <w:pStyle w:val="ListParagraph"/>
        <w:numPr>
          <w:ilvl w:val="0"/>
          <w:numId w:val="7"/>
        </w:numPr>
        <w:spacing w:line="360" w:lineRule="auto"/>
      </w:pPr>
      <w:r w:rsidRPr="00DA5067">
        <w:t>Class materials</w:t>
      </w:r>
    </w:p>
    <w:p w14:paraId="51F95C2F" w14:textId="77777777" w:rsidR="00E518D8" w:rsidRPr="00DA5067" w:rsidRDefault="00E518D8" w:rsidP="00DA5067">
      <w:pPr>
        <w:pStyle w:val="ListParagraph"/>
        <w:spacing w:line="360" w:lineRule="auto"/>
        <w:ind w:left="1140"/>
      </w:pPr>
    </w:p>
    <w:p w14:paraId="08E7585E" w14:textId="196AF139" w:rsidR="003138E8" w:rsidRPr="00985D34" w:rsidRDefault="00E518D8" w:rsidP="00DA5067">
      <w:pPr>
        <w:pStyle w:val="ListParagraph"/>
        <w:numPr>
          <w:ilvl w:val="0"/>
          <w:numId w:val="13"/>
        </w:numPr>
        <w:spacing w:line="360" w:lineRule="auto"/>
        <w:rPr>
          <w:b/>
          <w:sz w:val="24"/>
        </w:rPr>
      </w:pPr>
      <w:r w:rsidRPr="00985D34">
        <w:rPr>
          <w:b/>
          <w:sz w:val="24"/>
        </w:rPr>
        <w:t>Procedure</w:t>
      </w:r>
    </w:p>
    <w:p w14:paraId="2A817D37" w14:textId="7477283D" w:rsidR="009F12B1" w:rsidRPr="00DA5067" w:rsidRDefault="003138E8" w:rsidP="00DA5067">
      <w:pPr>
        <w:pStyle w:val="ListParagraph"/>
        <w:numPr>
          <w:ilvl w:val="0"/>
          <w:numId w:val="7"/>
        </w:numPr>
        <w:spacing w:line="360" w:lineRule="auto"/>
      </w:pPr>
      <w:r w:rsidRPr="00DA5067">
        <w:t>Describe</w:t>
      </w:r>
      <w:r w:rsidR="009F12B1" w:rsidRPr="00DA5067">
        <w:t xml:space="preserve"> the tort of negligence and its essential elements</w:t>
      </w:r>
    </w:p>
    <w:p w14:paraId="44AD75A8" w14:textId="7329E835" w:rsidR="009F12B1" w:rsidRPr="00DA5067" w:rsidRDefault="003138E8" w:rsidP="00DA5067">
      <w:pPr>
        <w:pStyle w:val="ListParagraph"/>
        <w:numPr>
          <w:ilvl w:val="0"/>
          <w:numId w:val="7"/>
        </w:numPr>
        <w:spacing w:line="360" w:lineRule="auto"/>
      </w:pPr>
      <w:r w:rsidRPr="00DA5067">
        <w:t xml:space="preserve">Use case law to </w:t>
      </w:r>
      <w:r w:rsidR="009F12B1" w:rsidRPr="00DA5067">
        <w:t xml:space="preserve">outline the importance </w:t>
      </w:r>
      <w:r w:rsidRPr="00DA5067">
        <w:t xml:space="preserve">for </w:t>
      </w:r>
      <w:r w:rsidR="009F12B1" w:rsidRPr="00DA5067">
        <w:t>constr</w:t>
      </w:r>
      <w:r w:rsidRPr="00DA5067">
        <w:t xml:space="preserve">uction, and how it impacts </w:t>
      </w:r>
      <w:r w:rsidR="009F12B1" w:rsidRPr="00DA5067">
        <w:t>project regression</w:t>
      </w:r>
    </w:p>
    <w:p w14:paraId="4D877D3B" w14:textId="77777777" w:rsidR="009F12B1" w:rsidRPr="00DA5067" w:rsidRDefault="009F12B1" w:rsidP="00DA5067">
      <w:pPr>
        <w:pStyle w:val="ListParagraph"/>
        <w:numPr>
          <w:ilvl w:val="0"/>
          <w:numId w:val="7"/>
        </w:numPr>
        <w:spacing w:line="360" w:lineRule="auto"/>
      </w:pPr>
      <w:r w:rsidRPr="00DA5067">
        <w:t>Use the case of Vinci Construction UK Ltd v Beumer Group UK Ltd [2018] to outline the impact of adjudication upon deciding such a dispute</w:t>
      </w:r>
    </w:p>
    <w:p w14:paraId="05425720" w14:textId="77777777" w:rsidR="00E518D8" w:rsidRDefault="00E518D8" w:rsidP="00D12796">
      <w:pPr>
        <w:pStyle w:val="ListParagraph"/>
        <w:ind w:left="420"/>
        <w:rPr>
          <w:b/>
          <w:sz w:val="32"/>
        </w:rPr>
      </w:pPr>
    </w:p>
    <w:p w14:paraId="0681A7EB" w14:textId="125EB233" w:rsidR="00934E1B" w:rsidRPr="00E518D8" w:rsidRDefault="00366731" w:rsidP="00E518D8">
      <w:pPr>
        <w:pStyle w:val="ListParagraph"/>
        <w:numPr>
          <w:ilvl w:val="1"/>
          <w:numId w:val="1"/>
        </w:numPr>
        <w:rPr>
          <w:sz w:val="28"/>
        </w:rPr>
      </w:pPr>
      <w:r w:rsidRPr="00E518D8">
        <w:rPr>
          <w:sz w:val="32"/>
        </w:rPr>
        <w:br w:type="page"/>
      </w:r>
    </w:p>
    <w:p w14:paraId="44454AD7" w14:textId="77777777" w:rsidR="00E63790" w:rsidRPr="00985D34" w:rsidRDefault="00AA0D75" w:rsidP="00985D34">
      <w:pPr>
        <w:pStyle w:val="ListParagraph"/>
        <w:numPr>
          <w:ilvl w:val="0"/>
          <w:numId w:val="14"/>
        </w:numPr>
        <w:spacing w:line="360" w:lineRule="auto"/>
        <w:rPr>
          <w:b/>
          <w:sz w:val="24"/>
        </w:rPr>
      </w:pPr>
      <w:r w:rsidRPr="00985D34">
        <w:rPr>
          <w:b/>
          <w:sz w:val="24"/>
        </w:rPr>
        <w:lastRenderedPageBreak/>
        <w:t>Findings</w:t>
      </w:r>
    </w:p>
    <w:p w14:paraId="34F96645" w14:textId="578A8502" w:rsidR="00985D34" w:rsidRPr="002025BB" w:rsidRDefault="007F5EFF" w:rsidP="002025BB">
      <w:pPr>
        <w:pStyle w:val="ListParagraph"/>
        <w:numPr>
          <w:ilvl w:val="1"/>
          <w:numId w:val="14"/>
        </w:numPr>
        <w:spacing w:line="360" w:lineRule="auto"/>
        <w:rPr>
          <w:b/>
        </w:rPr>
      </w:pPr>
      <w:bookmarkStart w:id="0" w:name="_GoBack"/>
      <w:r w:rsidRPr="00985D34">
        <w:rPr>
          <w:b/>
        </w:rPr>
        <w:t>Tort</w:t>
      </w:r>
      <w:r w:rsidR="00471CA5" w:rsidRPr="00985D34">
        <w:rPr>
          <w:b/>
        </w:rPr>
        <w:t xml:space="preserve"> </w:t>
      </w:r>
      <w:r w:rsidR="00C1049E" w:rsidRPr="00985D34">
        <w:rPr>
          <w:b/>
        </w:rPr>
        <w:t>Law and negligence</w:t>
      </w:r>
      <w:r w:rsidR="00E9715C" w:rsidRPr="00985D34">
        <w:rPr>
          <w:b/>
        </w:rPr>
        <w:t>–</w:t>
      </w:r>
      <w:r w:rsidRPr="00985D34">
        <w:rPr>
          <w:b/>
        </w:rPr>
        <w:t xml:space="preserve"> </w:t>
      </w:r>
      <w:r w:rsidR="00E9715C" w:rsidRPr="00DA5067">
        <w:t xml:space="preserve">A tort happens when someone commits a wrong against another individual. </w:t>
      </w:r>
      <w:r w:rsidR="00B113EB" w:rsidRPr="00DA5067">
        <w:t>This area of law</w:t>
      </w:r>
      <w:r w:rsidR="00C1049E" w:rsidRPr="00DA5067">
        <w:t xml:space="preserve"> covers the majority of civil lawsuits that </w:t>
      </w:r>
      <w:r w:rsidR="00AE0D00" w:rsidRPr="00DA5067">
        <w:t>appear</w:t>
      </w:r>
      <w:r w:rsidR="00C1049E" w:rsidRPr="00DA5067">
        <w:t xml:space="preserve"> in civil court, with the exception of contractual conflicts. The idea of tort law is to right a wrong that has been done to a person and protect from the wrongdo</w:t>
      </w:r>
      <w:r w:rsidR="00FA6C97" w:rsidRPr="00DA5067">
        <w:t xml:space="preserve">ings of others. This is </w:t>
      </w:r>
      <w:r w:rsidR="00C1049E" w:rsidRPr="00DA5067">
        <w:t xml:space="preserve">accomplished by compensating the victim with </w:t>
      </w:r>
      <w:r w:rsidR="002025BB">
        <w:t>monetary damages. Tort law requires</w:t>
      </w:r>
      <w:r w:rsidR="00C1049E" w:rsidRPr="00DA5067">
        <w:t xml:space="preserve"> the party that are found </w:t>
      </w:r>
      <w:r w:rsidR="00AE0D00" w:rsidRPr="00DA5067">
        <w:t xml:space="preserve">responsible for causing </w:t>
      </w:r>
      <w:r w:rsidR="00AE0D00" w:rsidRPr="00725F79">
        <w:t xml:space="preserve">damage </w:t>
      </w:r>
      <w:r w:rsidR="0050540B" w:rsidRPr="00725F79">
        <w:t>to</w:t>
      </w:r>
      <w:r w:rsidR="00C1049E" w:rsidRPr="00725F79">
        <w:t xml:space="preserve"> compensate for</w:t>
      </w:r>
      <w:r w:rsidR="0050540B" w:rsidRPr="00725F79">
        <w:t xml:space="preserve"> harms such as, loss of past/</w:t>
      </w:r>
      <w:r w:rsidR="00C1049E" w:rsidRPr="00725F79">
        <w:t>future income</w:t>
      </w:r>
      <w:r w:rsidR="00947D63" w:rsidRPr="00725F79">
        <w:t>, medical expenses and payment for pain and suffering.</w:t>
      </w:r>
      <w:r w:rsidR="002025BB" w:rsidRPr="00725F79">
        <w:t xml:space="preserve"> </w:t>
      </w:r>
      <w:r w:rsidR="00947D63" w:rsidRPr="00725F79">
        <w:t>T</w:t>
      </w:r>
      <w:r w:rsidR="002025BB" w:rsidRPr="00725F79">
        <w:t>ort law is split into</w:t>
      </w:r>
      <w:r w:rsidR="002025BB">
        <w:t xml:space="preserve"> three </w:t>
      </w:r>
      <w:r w:rsidR="008A2DF4" w:rsidRPr="00DA5067">
        <w:t>categories, this includes allegations of negligence, intentional harm and strict liability.</w:t>
      </w:r>
    </w:p>
    <w:p w14:paraId="69E681F6" w14:textId="77777777" w:rsidR="00985D34" w:rsidRPr="00985D34" w:rsidRDefault="00985D34" w:rsidP="00985D34">
      <w:pPr>
        <w:pStyle w:val="ListParagraph"/>
        <w:spacing w:line="360" w:lineRule="auto"/>
        <w:ind w:left="561"/>
        <w:rPr>
          <w:b/>
          <w:sz w:val="14"/>
        </w:rPr>
      </w:pPr>
    </w:p>
    <w:p w14:paraId="51D1C035" w14:textId="67E11B1E" w:rsidR="00985D34" w:rsidRPr="00985D34" w:rsidRDefault="00A03788" w:rsidP="00837A42">
      <w:pPr>
        <w:pStyle w:val="ListParagraph"/>
        <w:numPr>
          <w:ilvl w:val="1"/>
          <w:numId w:val="14"/>
        </w:numPr>
        <w:spacing w:line="360" w:lineRule="auto"/>
        <w:rPr>
          <w:b/>
        </w:rPr>
      </w:pPr>
      <w:r w:rsidRPr="00985D34">
        <w:rPr>
          <w:b/>
        </w:rPr>
        <w:t>Negligent</w:t>
      </w:r>
      <w:r w:rsidRPr="00DA5067">
        <w:t xml:space="preserve"> torts are a legal wrong that is suffered when someone else neglects to take reasonable care to avoid what would be considered a foreseeable risk</w:t>
      </w:r>
      <w:r w:rsidR="009707A7" w:rsidRPr="00DA5067">
        <w:t xml:space="preserve">. In most cases there will be an implied contractual relationship between the two parties, </w:t>
      </w:r>
      <w:r w:rsidR="0050540B" w:rsidRPr="00725F79">
        <w:t xml:space="preserve">however </w:t>
      </w:r>
      <w:r w:rsidR="0047796D" w:rsidRPr="00725F79">
        <w:t>civil</w:t>
      </w:r>
      <w:r w:rsidR="0047796D" w:rsidRPr="00DA5067">
        <w:t xml:space="preserve"> law that governs negligence has developed and expanded to deal with circumstances that include two or more parties when there is no written or inferred contract between them. </w:t>
      </w:r>
    </w:p>
    <w:p w14:paraId="47DF455B" w14:textId="77777777" w:rsidR="00985D34" w:rsidRPr="00985D34" w:rsidRDefault="00985D34" w:rsidP="00985D34">
      <w:pPr>
        <w:pStyle w:val="ListParagraph"/>
        <w:spacing w:line="360" w:lineRule="auto"/>
        <w:ind w:left="561"/>
        <w:rPr>
          <w:b/>
          <w:sz w:val="14"/>
        </w:rPr>
      </w:pPr>
    </w:p>
    <w:p w14:paraId="1B09B2CE" w14:textId="71502C70" w:rsidR="00985D34" w:rsidRPr="00985D34" w:rsidRDefault="00D43C3F" w:rsidP="00837A42">
      <w:pPr>
        <w:pStyle w:val="ListParagraph"/>
        <w:numPr>
          <w:ilvl w:val="1"/>
          <w:numId w:val="14"/>
        </w:numPr>
        <w:spacing w:line="360" w:lineRule="auto"/>
        <w:rPr>
          <w:b/>
        </w:rPr>
      </w:pPr>
      <w:r>
        <w:t>Members of the public can file negligent tort claims to the local authority for</w:t>
      </w:r>
      <w:r w:rsidR="007B5040" w:rsidRPr="00DA5067">
        <w:t xml:space="preserve"> negligence and breach of duty of care</w:t>
      </w:r>
      <w:r>
        <w:t>.</w:t>
      </w:r>
      <w:r w:rsidR="007B5040" w:rsidRPr="00DA5067">
        <w:t xml:space="preserve"> </w:t>
      </w:r>
      <w:r w:rsidR="00FA6C97" w:rsidRPr="00DA5067">
        <w:t xml:space="preserve">Examples could be the </w:t>
      </w:r>
      <w:r w:rsidR="007B5040" w:rsidRPr="00DA5067">
        <w:t>claimant has tripped in the</w:t>
      </w:r>
      <w:r w:rsidR="00B113EB" w:rsidRPr="00DA5067">
        <w:t xml:space="preserve"> footway due to a broken </w:t>
      </w:r>
      <w:r w:rsidR="00E4292B" w:rsidRPr="00DA5067">
        <w:t>kerb</w:t>
      </w:r>
      <w:r w:rsidR="007B5040" w:rsidRPr="00DA5067">
        <w:t xml:space="preserve"> and </w:t>
      </w:r>
      <w:r w:rsidR="00FA6C97" w:rsidRPr="00DA5067">
        <w:t xml:space="preserve">seeks damages </w:t>
      </w:r>
      <w:r w:rsidR="0050540B">
        <w:t xml:space="preserve">for their </w:t>
      </w:r>
      <w:r w:rsidR="00725F79">
        <w:t>losses</w:t>
      </w:r>
      <w:r w:rsidR="007B5040" w:rsidRPr="00DA5067">
        <w:t xml:space="preserve">. This claim comes under </w:t>
      </w:r>
      <w:r w:rsidR="002C6928" w:rsidRPr="00DA5067">
        <w:t xml:space="preserve">section 41 of </w:t>
      </w:r>
      <w:r w:rsidR="007B5040" w:rsidRPr="00DA5067">
        <w:t xml:space="preserve">the Highways Act 1980 </w:t>
      </w:r>
      <w:r w:rsidR="002C6928" w:rsidRPr="00DA5067">
        <w:t>‘Failure of duty to maintain and repair the highway’.</w:t>
      </w:r>
      <w:r w:rsidR="00A642C7" w:rsidRPr="00DA5067">
        <w:t xml:space="preserve"> The authority will then need to provide inspection and repair reports to </w:t>
      </w:r>
      <w:r w:rsidR="00161E4E" w:rsidRPr="00DA5067">
        <w:t xml:space="preserve">help support </w:t>
      </w:r>
      <w:r w:rsidR="00FA6C97" w:rsidRPr="00DA5067">
        <w:t>against</w:t>
      </w:r>
      <w:r w:rsidR="00161E4E" w:rsidRPr="00DA5067">
        <w:t xml:space="preserve"> the claim.</w:t>
      </w:r>
    </w:p>
    <w:p w14:paraId="4BF77A00" w14:textId="77777777" w:rsidR="00985D34" w:rsidRPr="00985D34" w:rsidRDefault="00985D34" w:rsidP="00985D34">
      <w:pPr>
        <w:pStyle w:val="ListParagraph"/>
        <w:spacing w:line="360" w:lineRule="auto"/>
        <w:ind w:left="561"/>
        <w:rPr>
          <w:b/>
          <w:sz w:val="14"/>
        </w:rPr>
      </w:pPr>
    </w:p>
    <w:p w14:paraId="6E4C706D" w14:textId="45977962" w:rsidR="00985D34" w:rsidRPr="00C07658" w:rsidRDefault="00A310B5" w:rsidP="00C07658">
      <w:pPr>
        <w:pStyle w:val="ListParagraph"/>
        <w:numPr>
          <w:ilvl w:val="1"/>
          <w:numId w:val="14"/>
        </w:numPr>
        <w:spacing w:line="360" w:lineRule="auto"/>
        <w:rPr>
          <w:b/>
        </w:rPr>
      </w:pPr>
      <w:r w:rsidRPr="00DA5067">
        <w:t>The court decision that</w:t>
      </w:r>
      <w:r w:rsidR="00C07658">
        <w:t xml:space="preserve"> is frequently cited as </w:t>
      </w:r>
      <w:r w:rsidRPr="00DA5067">
        <w:t xml:space="preserve">the foundation of current law is the Donoghue v Stevenson (1932) </w:t>
      </w:r>
      <w:r w:rsidR="00E72234" w:rsidRPr="00DA5067">
        <w:t>case. This involved the claimant (Donoghue) consuming a contaminated drink purchased by her friend and</w:t>
      </w:r>
      <w:r w:rsidR="00A00D63" w:rsidRPr="00DA5067">
        <w:t xml:space="preserve"> despite lack of</w:t>
      </w:r>
      <w:r w:rsidR="00E72234" w:rsidRPr="00DA5067">
        <w:t xml:space="preserve"> written or implied contract in place, there was </w:t>
      </w:r>
      <w:r w:rsidR="00A00D63" w:rsidRPr="00DA5067">
        <w:t>still action to pursue a negligence claim. The claimant was successful in arguing that she was entitled to a duty of care despite the contaminated drink not being purchased by herself, but by her friend. Therefore there was no formal agreement between the manufacturer and the person harmed.</w:t>
      </w:r>
      <w:r w:rsidR="004B74E0" w:rsidRPr="00DA5067">
        <w:t xml:space="preserve"> From this case evolved the idea that each of us has the duty of care </w:t>
      </w:r>
      <w:r w:rsidR="003D2C59" w:rsidRPr="00DA5067">
        <w:t xml:space="preserve">to our ‘neighbours’ or anybody that could be harmed by our actions or negligence. </w:t>
      </w:r>
    </w:p>
    <w:p w14:paraId="5F187BAB" w14:textId="13C544D2" w:rsidR="00C07658" w:rsidRDefault="00C07658" w:rsidP="00C07658">
      <w:pPr>
        <w:spacing w:line="360" w:lineRule="auto"/>
        <w:rPr>
          <w:b/>
        </w:rPr>
      </w:pPr>
    </w:p>
    <w:p w14:paraId="11EDF319" w14:textId="77777777" w:rsidR="00C07658" w:rsidRPr="00C07658" w:rsidRDefault="00C07658" w:rsidP="00C07658">
      <w:pPr>
        <w:spacing w:line="360" w:lineRule="auto"/>
        <w:rPr>
          <w:b/>
        </w:rPr>
      </w:pPr>
    </w:p>
    <w:p w14:paraId="020A4617" w14:textId="7E3FE333" w:rsidR="00985D34" w:rsidRDefault="00985D34" w:rsidP="00985D34">
      <w:pPr>
        <w:pStyle w:val="ListParagraph"/>
        <w:spacing w:line="360" w:lineRule="auto"/>
        <w:ind w:left="561"/>
        <w:rPr>
          <w:b/>
          <w:sz w:val="14"/>
        </w:rPr>
      </w:pPr>
    </w:p>
    <w:p w14:paraId="73FC0D7E" w14:textId="77777777" w:rsidR="0050540B" w:rsidRPr="00985D34" w:rsidRDefault="0050540B" w:rsidP="00985D34">
      <w:pPr>
        <w:pStyle w:val="ListParagraph"/>
        <w:spacing w:line="360" w:lineRule="auto"/>
        <w:ind w:left="561"/>
        <w:rPr>
          <w:b/>
          <w:sz w:val="14"/>
        </w:rPr>
      </w:pPr>
    </w:p>
    <w:p w14:paraId="6C9369BF" w14:textId="0F81DD91" w:rsidR="008B0A87" w:rsidRPr="00985D34" w:rsidRDefault="00E4292B" w:rsidP="00837A42">
      <w:pPr>
        <w:pStyle w:val="ListParagraph"/>
        <w:numPr>
          <w:ilvl w:val="1"/>
          <w:numId w:val="14"/>
        </w:numPr>
        <w:spacing w:line="360" w:lineRule="auto"/>
        <w:rPr>
          <w:b/>
        </w:rPr>
      </w:pPr>
      <w:r w:rsidRPr="00DA5067">
        <w:lastRenderedPageBreak/>
        <w:t>There are three</w:t>
      </w:r>
      <w:r w:rsidR="00BF7B1B" w:rsidRPr="00DA5067">
        <w:t xml:space="preserve"> elements in the tort of negligence, </w:t>
      </w:r>
      <w:r w:rsidR="00FE3FFC" w:rsidRPr="00DA5067">
        <w:t>the</w:t>
      </w:r>
      <w:r w:rsidR="00875431" w:rsidRPr="00DA5067">
        <w:t xml:space="preserve"> </w:t>
      </w:r>
      <w:r w:rsidR="00875431" w:rsidRPr="00985D34">
        <w:rPr>
          <w:b/>
        </w:rPr>
        <w:t>first element</w:t>
      </w:r>
      <w:r w:rsidR="00875431" w:rsidRPr="00DA5067">
        <w:t xml:space="preserve"> that must </w:t>
      </w:r>
      <w:r w:rsidR="00875431" w:rsidRPr="00725F79">
        <w:t>be</w:t>
      </w:r>
      <w:r w:rsidR="00047D62" w:rsidRPr="00725F79">
        <w:t xml:space="preserve"> establ</w:t>
      </w:r>
      <w:r w:rsidR="0050540B" w:rsidRPr="00725F79">
        <w:t xml:space="preserve">ished </w:t>
      </w:r>
      <w:r w:rsidR="00047D62" w:rsidRPr="00725F79">
        <w:t>to pursue a claim</w:t>
      </w:r>
      <w:r w:rsidR="00875431" w:rsidRPr="00725F79">
        <w:t xml:space="preserve"> is the </w:t>
      </w:r>
      <w:r w:rsidR="00875431" w:rsidRPr="00725F79">
        <w:rPr>
          <w:b/>
        </w:rPr>
        <w:t xml:space="preserve">Duty of Care. </w:t>
      </w:r>
      <w:r w:rsidR="00275228" w:rsidRPr="00725F79">
        <w:t>While there are various circumstances when someone may have acted carelessly, no</w:t>
      </w:r>
      <w:r w:rsidR="00275228" w:rsidRPr="00DA5067">
        <w:t xml:space="preserve"> claim will be valid unless there is a duty of care owed to the person who was harmed as a result of their carelessness. </w:t>
      </w:r>
      <w:r w:rsidR="00C15953" w:rsidRPr="00DA5067">
        <w:t xml:space="preserve">There is a test to establish if there is a </w:t>
      </w:r>
      <w:r w:rsidR="008B0A87" w:rsidRPr="00DA5067">
        <w:t xml:space="preserve">sufficient </w:t>
      </w:r>
      <w:r w:rsidR="006F78EE" w:rsidRPr="00DA5067">
        <w:t>proximity relationship</w:t>
      </w:r>
      <w:r w:rsidR="00383FD8" w:rsidRPr="00DA5067">
        <w:t xml:space="preserve"> based on</w:t>
      </w:r>
      <w:r w:rsidR="00C15953" w:rsidRPr="00DA5067">
        <w:t xml:space="preserve"> foreseeability and if so, whether</w:t>
      </w:r>
      <w:r w:rsidR="00F240E6">
        <w:t xml:space="preserve"> it</w:t>
      </w:r>
      <w:r w:rsidR="00C15953" w:rsidRPr="00DA5067">
        <w:t xml:space="preserve"> is</w:t>
      </w:r>
      <w:r w:rsidR="00F240E6">
        <w:t xml:space="preserve"> a</w:t>
      </w:r>
      <w:r w:rsidR="00C15953" w:rsidRPr="00DA5067">
        <w:t xml:space="preserve"> </w:t>
      </w:r>
      <w:r w:rsidR="00F240E6">
        <w:t>valid defence</w:t>
      </w:r>
      <w:r w:rsidR="00383FD8" w:rsidRPr="00DA5067">
        <w:t xml:space="preserve"> against a duty of care. The test requir</w:t>
      </w:r>
      <w:r w:rsidR="00C15953" w:rsidRPr="00DA5067">
        <w:t>e</w:t>
      </w:r>
      <w:r w:rsidR="0050540B">
        <w:t>s</w:t>
      </w:r>
      <w:r w:rsidR="00C15953" w:rsidRPr="00DA5067">
        <w:t xml:space="preserve"> three stages</w:t>
      </w:r>
      <w:r w:rsidR="00383FD8" w:rsidRPr="00DA5067">
        <w:t>;</w:t>
      </w:r>
    </w:p>
    <w:p w14:paraId="68BACD40" w14:textId="70088669" w:rsidR="00383FD8" w:rsidRPr="00DA5067" w:rsidRDefault="00383FD8" w:rsidP="00837A42">
      <w:pPr>
        <w:pStyle w:val="ListParagraph"/>
        <w:numPr>
          <w:ilvl w:val="0"/>
          <w:numId w:val="3"/>
        </w:numPr>
        <w:spacing w:line="360" w:lineRule="auto"/>
      </w:pPr>
      <w:r w:rsidRPr="00DA5067">
        <w:t>Harm must be a reasonably foreseeable result of the defendant’s</w:t>
      </w:r>
      <w:r w:rsidR="00863F92" w:rsidRPr="00DA5067">
        <w:t xml:space="preserve"> actions</w:t>
      </w:r>
    </w:p>
    <w:p w14:paraId="7A561F00" w14:textId="7CA86446" w:rsidR="00383FD8" w:rsidRPr="00DA5067" w:rsidRDefault="00383FD8" w:rsidP="00837A42">
      <w:pPr>
        <w:pStyle w:val="ListParagraph"/>
        <w:numPr>
          <w:ilvl w:val="0"/>
          <w:numId w:val="3"/>
        </w:numPr>
        <w:spacing w:line="360" w:lineRule="auto"/>
      </w:pPr>
      <w:r w:rsidRPr="00DA5067">
        <w:t>A relationship of proximity must exist</w:t>
      </w:r>
    </w:p>
    <w:p w14:paraId="0170514F" w14:textId="4BC410A7" w:rsidR="00783C28" w:rsidRDefault="00863F92" w:rsidP="00837A42">
      <w:pPr>
        <w:pStyle w:val="ListParagraph"/>
        <w:numPr>
          <w:ilvl w:val="0"/>
          <w:numId w:val="3"/>
        </w:numPr>
        <w:spacing w:line="360" w:lineRule="auto"/>
      </w:pPr>
      <w:r w:rsidRPr="00DA5067">
        <w:t>Must be fair and reasonable to impose liability</w:t>
      </w:r>
      <w:r w:rsidR="00E4292B" w:rsidRPr="00DA5067">
        <w:t xml:space="preserve"> </w:t>
      </w:r>
    </w:p>
    <w:p w14:paraId="3BBFBF58" w14:textId="7A65241A" w:rsidR="00F240E6" w:rsidRPr="001D7282" w:rsidRDefault="0099505A" w:rsidP="00F240E6">
      <w:pPr>
        <w:pStyle w:val="ListParagraph"/>
        <w:spacing w:line="360" w:lineRule="auto"/>
        <w:rPr>
          <w:b/>
        </w:rPr>
      </w:pPr>
      <w:sdt>
        <w:sdtPr>
          <w:id w:val="344755041"/>
          <w:citation/>
        </w:sdtPr>
        <w:sdtEndPr>
          <w:rPr>
            <w:b/>
          </w:rPr>
        </w:sdtEndPr>
        <w:sdtContent>
          <w:r w:rsidR="00F240E6" w:rsidRPr="001D7282">
            <w:rPr>
              <w:b/>
            </w:rPr>
            <w:fldChar w:fldCharType="begin"/>
          </w:r>
          <w:r w:rsidR="00F240E6" w:rsidRPr="001D7282">
            <w:rPr>
              <w:b/>
            </w:rPr>
            <w:instrText xml:space="preserve">CITATION Law18 \l 2057 </w:instrText>
          </w:r>
          <w:r w:rsidR="00F240E6" w:rsidRPr="001D7282">
            <w:rPr>
              <w:b/>
            </w:rPr>
            <w:fldChar w:fldCharType="separate"/>
          </w:r>
          <w:r w:rsidR="008651A5" w:rsidRPr="008651A5">
            <w:rPr>
              <w:noProof/>
            </w:rPr>
            <w:t>(Law Teacher, 2018)</w:t>
          </w:r>
          <w:r w:rsidR="00F240E6" w:rsidRPr="001D7282">
            <w:rPr>
              <w:b/>
            </w:rPr>
            <w:fldChar w:fldCharType="end"/>
          </w:r>
        </w:sdtContent>
      </w:sdt>
    </w:p>
    <w:p w14:paraId="40FA354B" w14:textId="77777777" w:rsidR="00783C28" w:rsidRPr="00783C28" w:rsidRDefault="00783C28" w:rsidP="00783C28">
      <w:pPr>
        <w:pStyle w:val="ListParagraph"/>
        <w:spacing w:line="360" w:lineRule="auto"/>
        <w:rPr>
          <w:sz w:val="14"/>
        </w:rPr>
      </w:pPr>
    </w:p>
    <w:p w14:paraId="4B5058C7" w14:textId="412BC341" w:rsidR="00783C28" w:rsidRDefault="00C15953" w:rsidP="00837A42">
      <w:pPr>
        <w:pStyle w:val="ListParagraph"/>
        <w:numPr>
          <w:ilvl w:val="1"/>
          <w:numId w:val="14"/>
        </w:numPr>
        <w:spacing w:line="360" w:lineRule="auto"/>
      </w:pPr>
      <w:r w:rsidRPr="00DA5067">
        <w:t>T</w:t>
      </w:r>
      <w:r w:rsidR="00275228" w:rsidRPr="00DA5067">
        <w:t xml:space="preserve">he case will fall short if a duty of care is not present at the </w:t>
      </w:r>
      <w:r w:rsidR="00863F92" w:rsidRPr="00DA5067">
        <w:t xml:space="preserve">time of </w:t>
      </w:r>
      <w:r w:rsidR="00275228" w:rsidRPr="00DA5067">
        <w:t>the breach</w:t>
      </w:r>
      <w:r w:rsidRPr="00DA5067">
        <w:t xml:space="preserve"> even if evidence of a violation is present</w:t>
      </w:r>
      <w:r w:rsidR="00275228" w:rsidRPr="00DA5067">
        <w:t>.</w:t>
      </w:r>
      <w:r w:rsidR="00863F92" w:rsidRPr="00DA5067">
        <w:t xml:space="preserve"> For example,</w:t>
      </w:r>
      <w:r w:rsidRPr="00DA5067">
        <w:t xml:space="preserve"> a</w:t>
      </w:r>
      <w:r w:rsidR="00B724C8" w:rsidRPr="00DA5067">
        <w:t xml:space="preserve"> member of public claiming against the authority</w:t>
      </w:r>
      <w:r w:rsidRPr="00DA5067">
        <w:t xml:space="preserve"> </w:t>
      </w:r>
      <w:r w:rsidR="00B724C8" w:rsidRPr="00DA5067">
        <w:t>will need to prove</w:t>
      </w:r>
      <w:r w:rsidR="00863F92" w:rsidRPr="00DA5067">
        <w:t xml:space="preserve"> that the authority has a </w:t>
      </w:r>
      <w:r w:rsidR="00B724C8" w:rsidRPr="00DA5067">
        <w:t>duty of care to</w:t>
      </w:r>
      <w:r w:rsidR="00863F92" w:rsidRPr="00DA5067">
        <w:t xml:space="preserve"> prevent such scenarios from happening</w:t>
      </w:r>
      <w:r w:rsidR="009455FB" w:rsidRPr="00DA5067">
        <w:t>. Due to its power to make or break a case, duty of care is viewed as a control mechanism in the law which allows the courts to choose between cases that are legally significant and worth pursuing and those that do not.</w:t>
      </w:r>
      <w:r w:rsidR="008B0A87" w:rsidRPr="00DA5067">
        <w:t xml:space="preserve"> </w:t>
      </w:r>
    </w:p>
    <w:p w14:paraId="46EE7904" w14:textId="77777777" w:rsidR="00783C28" w:rsidRPr="00783C28" w:rsidRDefault="00783C28" w:rsidP="00783C28">
      <w:pPr>
        <w:pStyle w:val="ListParagraph"/>
        <w:spacing w:line="360" w:lineRule="auto"/>
        <w:ind w:left="561"/>
        <w:rPr>
          <w:sz w:val="14"/>
        </w:rPr>
      </w:pPr>
    </w:p>
    <w:p w14:paraId="2A49B94B" w14:textId="77777777" w:rsidR="00783C28" w:rsidRDefault="00BE3CBC" w:rsidP="00837A42">
      <w:pPr>
        <w:pStyle w:val="ListParagraph"/>
        <w:numPr>
          <w:ilvl w:val="1"/>
          <w:numId w:val="14"/>
        </w:numPr>
        <w:spacing w:line="360" w:lineRule="auto"/>
      </w:pPr>
      <w:r w:rsidRPr="00DA5067">
        <w:t xml:space="preserve">The </w:t>
      </w:r>
      <w:r w:rsidRPr="00783C28">
        <w:rPr>
          <w:b/>
        </w:rPr>
        <w:t>second</w:t>
      </w:r>
      <w:r w:rsidRPr="00DA5067">
        <w:t xml:space="preserve"> </w:t>
      </w:r>
      <w:r w:rsidRPr="00783C28">
        <w:rPr>
          <w:b/>
        </w:rPr>
        <w:t>element</w:t>
      </w:r>
      <w:r w:rsidRPr="00DA5067">
        <w:t xml:space="preserve"> </w:t>
      </w:r>
      <w:r w:rsidR="00A12487" w:rsidRPr="00DA5067">
        <w:t xml:space="preserve">required is to identify if there has been a </w:t>
      </w:r>
      <w:r w:rsidR="00A12487" w:rsidRPr="00783C28">
        <w:rPr>
          <w:b/>
        </w:rPr>
        <w:t>breach of the duty of care</w:t>
      </w:r>
      <w:r w:rsidR="00A12487" w:rsidRPr="00DA5067">
        <w:t xml:space="preserve">. The court will </w:t>
      </w:r>
      <w:r w:rsidR="003B25F1" w:rsidRPr="00DA5067">
        <w:t>evaluate what the standard of care that a reasonable person would have exercised and will then be taken into account in court to further evaluate.</w:t>
      </w:r>
      <w:r w:rsidR="00C879FD" w:rsidRPr="00DA5067">
        <w:t xml:space="preserve"> It is also crucial to evaluate the need fo</w:t>
      </w:r>
      <w:r w:rsidR="00C15953" w:rsidRPr="00DA5067">
        <w:t xml:space="preserve">r increased standard of </w:t>
      </w:r>
      <w:r w:rsidR="00C879FD" w:rsidRPr="00DA5067">
        <w:t>care for disabled people, children etc. An example of this could be that there is trip hazards or obstacle</w:t>
      </w:r>
      <w:r w:rsidR="00C15953" w:rsidRPr="00DA5067">
        <w:t>s that a fit person could</w:t>
      </w:r>
      <w:r w:rsidR="00C879FD" w:rsidRPr="00DA5067">
        <w:t xml:space="preserve"> navigate, but for a disabled person it could be </w:t>
      </w:r>
      <w:r w:rsidR="00FA6C97" w:rsidRPr="00DA5067">
        <w:t xml:space="preserve">increasingly </w:t>
      </w:r>
      <w:r w:rsidR="00C879FD" w:rsidRPr="00DA5067">
        <w:t>dangerous.</w:t>
      </w:r>
      <w:r w:rsidR="003B25F1" w:rsidRPr="00DA5067">
        <w:t xml:space="preserve"> If the defendant did not achieve the standard level of care, then the court will need to assess whether the standard needs to be altered for any reason given the details of the case. </w:t>
      </w:r>
    </w:p>
    <w:p w14:paraId="254B0F40" w14:textId="77777777" w:rsidR="00783C28" w:rsidRDefault="00783C28" w:rsidP="00783C28">
      <w:pPr>
        <w:pStyle w:val="ListParagraph"/>
        <w:spacing w:line="360" w:lineRule="auto"/>
        <w:ind w:left="561"/>
      </w:pPr>
    </w:p>
    <w:p w14:paraId="69B5050A" w14:textId="77777777" w:rsidR="00783C28" w:rsidRDefault="00783C28" w:rsidP="00783C28">
      <w:pPr>
        <w:pStyle w:val="ListParagraph"/>
        <w:spacing w:line="360" w:lineRule="auto"/>
        <w:ind w:left="561"/>
      </w:pPr>
    </w:p>
    <w:p w14:paraId="20D8E939" w14:textId="77777777" w:rsidR="00783C28" w:rsidRDefault="00783C28" w:rsidP="00783C28">
      <w:pPr>
        <w:pStyle w:val="ListParagraph"/>
        <w:spacing w:line="360" w:lineRule="auto"/>
        <w:ind w:left="561"/>
      </w:pPr>
    </w:p>
    <w:p w14:paraId="23D6CE8D" w14:textId="77777777" w:rsidR="00783C28" w:rsidRDefault="00783C28" w:rsidP="00783C28">
      <w:pPr>
        <w:pStyle w:val="ListParagraph"/>
        <w:spacing w:line="360" w:lineRule="auto"/>
        <w:ind w:left="561"/>
      </w:pPr>
    </w:p>
    <w:p w14:paraId="324ECD02" w14:textId="58034BBF" w:rsidR="00783C28" w:rsidRDefault="00783C28" w:rsidP="00783C28">
      <w:pPr>
        <w:pStyle w:val="ListParagraph"/>
        <w:spacing w:line="360" w:lineRule="auto"/>
        <w:ind w:left="561"/>
      </w:pPr>
    </w:p>
    <w:p w14:paraId="117DD620" w14:textId="276744B8" w:rsidR="00D44848" w:rsidRDefault="00D44848" w:rsidP="00783C28">
      <w:pPr>
        <w:pStyle w:val="ListParagraph"/>
        <w:spacing w:line="360" w:lineRule="auto"/>
        <w:ind w:left="561"/>
      </w:pPr>
    </w:p>
    <w:p w14:paraId="3FC41BBD" w14:textId="77777777" w:rsidR="00D44848" w:rsidRDefault="00D44848" w:rsidP="00783C28">
      <w:pPr>
        <w:pStyle w:val="ListParagraph"/>
        <w:spacing w:line="360" w:lineRule="auto"/>
        <w:ind w:left="561"/>
      </w:pPr>
    </w:p>
    <w:p w14:paraId="6D9F9AE7" w14:textId="77777777" w:rsidR="00783C28" w:rsidRDefault="00783C28" w:rsidP="00783C28">
      <w:pPr>
        <w:pStyle w:val="ListParagraph"/>
        <w:spacing w:line="360" w:lineRule="auto"/>
        <w:ind w:left="561"/>
      </w:pPr>
    </w:p>
    <w:p w14:paraId="0888CA54" w14:textId="77777777" w:rsidR="00783C28" w:rsidRDefault="00783C28" w:rsidP="00783C28">
      <w:pPr>
        <w:pStyle w:val="ListParagraph"/>
        <w:spacing w:line="360" w:lineRule="auto"/>
        <w:ind w:left="561"/>
      </w:pPr>
    </w:p>
    <w:p w14:paraId="4C96FAEE" w14:textId="42BC8947" w:rsidR="00CA58E3" w:rsidRPr="00DA5067" w:rsidRDefault="00826669" w:rsidP="00783C28">
      <w:pPr>
        <w:pStyle w:val="ListParagraph"/>
        <w:numPr>
          <w:ilvl w:val="1"/>
          <w:numId w:val="14"/>
        </w:numPr>
        <w:spacing w:line="360" w:lineRule="auto"/>
      </w:pPr>
      <w:r>
        <w:lastRenderedPageBreak/>
        <w:t xml:space="preserve"> </w:t>
      </w:r>
      <w:r w:rsidR="003B25F1" w:rsidRPr="00DA5067">
        <w:t>Reasons for changes could include;</w:t>
      </w:r>
    </w:p>
    <w:p w14:paraId="3EFACD82" w14:textId="3B6A8500" w:rsidR="00435FC8" w:rsidRPr="00DA5067" w:rsidRDefault="00435FC8" w:rsidP="00837A42">
      <w:pPr>
        <w:pStyle w:val="ListParagraph"/>
        <w:numPr>
          <w:ilvl w:val="0"/>
          <w:numId w:val="6"/>
        </w:numPr>
        <w:spacing w:line="360" w:lineRule="auto"/>
      </w:pPr>
      <w:r w:rsidRPr="00793956">
        <w:rPr>
          <w:b/>
        </w:rPr>
        <w:t>“</w:t>
      </w:r>
      <w:r w:rsidRPr="00DA5067">
        <w:t>Professional standards which a reasonable professional may be expected to follow, in which case those standards may be used.</w:t>
      </w:r>
      <w:r w:rsidR="00793956">
        <w:t>”</w:t>
      </w:r>
    </w:p>
    <w:p w14:paraId="1DF93284" w14:textId="75CBD307" w:rsidR="00435FC8" w:rsidRPr="00DA5067" w:rsidRDefault="00793956" w:rsidP="00837A42">
      <w:pPr>
        <w:pStyle w:val="ListParagraph"/>
        <w:numPr>
          <w:ilvl w:val="0"/>
          <w:numId w:val="6"/>
        </w:numPr>
        <w:spacing w:line="360" w:lineRule="auto"/>
      </w:pPr>
      <w:r>
        <w:t>“</w:t>
      </w:r>
      <w:r w:rsidR="00435FC8" w:rsidRPr="00DA5067">
        <w:t>Common practice or industry guidelines, in which case those standards may be used unless it is considered that the common practice itself is considered negligent.</w:t>
      </w:r>
      <w:r>
        <w:t>”</w:t>
      </w:r>
    </w:p>
    <w:p w14:paraId="5B5AA8D9" w14:textId="17454FFA" w:rsidR="00435FC8" w:rsidRPr="00DA5067" w:rsidRDefault="00793956" w:rsidP="00837A42">
      <w:pPr>
        <w:pStyle w:val="ListParagraph"/>
        <w:numPr>
          <w:ilvl w:val="0"/>
          <w:numId w:val="6"/>
        </w:numPr>
        <w:spacing w:line="360" w:lineRule="auto"/>
      </w:pPr>
      <w:r>
        <w:t>“</w:t>
      </w:r>
      <w:r w:rsidR="00435FC8" w:rsidRPr="00DA5067">
        <w:t>If it was reasonable to expect more than usual care because of a disability or frailty of the plaintiff compared to a fit or healthy person.</w:t>
      </w:r>
      <w:r>
        <w:t>”</w:t>
      </w:r>
    </w:p>
    <w:p w14:paraId="6800545C" w14:textId="33D061CE" w:rsidR="00435FC8" w:rsidRPr="00DA5067" w:rsidRDefault="00435FC8" w:rsidP="00837A42">
      <w:pPr>
        <w:pStyle w:val="ListParagraph"/>
        <w:numPr>
          <w:ilvl w:val="0"/>
          <w:numId w:val="6"/>
        </w:numPr>
        <w:spacing w:line="360" w:lineRule="auto"/>
      </w:pPr>
      <w:r w:rsidRPr="00DA5067">
        <w:t>If there was a high degree of risk in the defendant’s action then the court would expect that extra precautions were taken.</w:t>
      </w:r>
    </w:p>
    <w:p w14:paraId="5C44DE5F" w14:textId="0E38B553" w:rsidR="00435FC8" w:rsidRPr="00DA5067" w:rsidRDefault="00793956" w:rsidP="00837A42">
      <w:pPr>
        <w:pStyle w:val="ListParagraph"/>
        <w:numPr>
          <w:ilvl w:val="0"/>
          <w:numId w:val="6"/>
        </w:numPr>
        <w:spacing w:line="360" w:lineRule="auto"/>
      </w:pPr>
      <w:r>
        <w:t>“</w:t>
      </w:r>
      <w:r w:rsidR="00435FC8" w:rsidRPr="00DA5067">
        <w:t>If, for practical reasons, reasonable precautions could not be taken, or they would have been too expensive, the court may decide the defendant had still met the duty of care.</w:t>
      </w:r>
      <w:r>
        <w:t>”</w:t>
      </w:r>
    </w:p>
    <w:p w14:paraId="4152F5D5" w14:textId="3BD09F6C" w:rsidR="00435FC8" w:rsidRPr="00DA5067" w:rsidRDefault="00793956" w:rsidP="00837A42">
      <w:pPr>
        <w:pStyle w:val="ListParagraph"/>
        <w:numPr>
          <w:ilvl w:val="0"/>
          <w:numId w:val="6"/>
        </w:numPr>
        <w:spacing w:line="360" w:lineRule="auto"/>
      </w:pPr>
      <w:r>
        <w:t>“</w:t>
      </w:r>
      <w:r w:rsidR="00435FC8" w:rsidRPr="00DA5067">
        <w:t>If there was a social benefit to the defendant’s action the court may decide they had not breached their duty of care.</w:t>
      </w:r>
      <w:r w:rsidR="00435FC8" w:rsidRPr="00793956">
        <w:rPr>
          <w:b/>
        </w:rPr>
        <w:t>”</w:t>
      </w:r>
    </w:p>
    <w:p w14:paraId="61A7CFDB" w14:textId="25C29B68" w:rsidR="000332A4" w:rsidRPr="00D44848" w:rsidRDefault="0099505A" w:rsidP="000332A4">
      <w:pPr>
        <w:pStyle w:val="ListParagraph"/>
        <w:spacing w:line="360" w:lineRule="auto"/>
        <w:rPr>
          <w:b/>
        </w:rPr>
      </w:pPr>
      <w:sdt>
        <w:sdtPr>
          <w:rPr>
            <w:b/>
          </w:rPr>
          <w:id w:val="-46080062"/>
          <w:citation/>
        </w:sdtPr>
        <w:sdtEndPr/>
        <w:sdtContent>
          <w:r w:rsidR="002F11D2" w:rsidRPr="00D44848">
            <w:rPr>
              <w:b/>
            </w:rPr>
            <w:fldChar w:fldCharType="begin"/>
          </w:r>
          <w:r w:rsidR="00826669" w:rsidRPr="00D44848">
            <w:rPr>
              <w:b/>
            </w:rPr>
            <w:instrText xml:space="preserve">CITATION Law21 \l 2057 </w:instrText>
          </w:r>
          <w:r w:rsidR="002F11D2" w:rsidRPr="00D44848">
            <w:rPr>
              <w:b/>
            </w:rPr>
            <w:fldChar w:fldCharType="separate"/>
          </w:r>
          <w:r w:rsidR="008651A5" w:rsidRPr="008651A5">
            <w:rPr>
              <w:noProof/>
            </w:rPr>
            <w:t>(Law Teacher, 2021)</w:t>
          </w:r>
          <w:r w:rsidR="002F11D2" w:rsidRPr="00D44848">
            <w:rPr>
              <w:b/>
            </w:rPr>
            <w:fldChar w:fldCharType="end"/>
          </w:r>
        </w:sdtContent>
      </w:sdt>
    </w:p>
    <w:p w14:paraId="7B0AFA19" w14:textId="77777777" w:rsidR="000332A4" w:rsidRPr="000332A4" w:rsidRDefault="000332A4" w:rsidP="000332A4">
      <w:pPr>
        <w:pStyle w:val="ListParagraph"/>
        <w:spacing w:line="360" w:lineRule="auto"/>
        <w:rPr>
          <w:sz w:val="14"/>
        </w:rPr>
      </w:pPr>
    </w:p>
    <w:p w14:paraId="49D2678D" w14:textId="15CBF242" w:rsidR="000332A4" w:rsidRDefault="009F12B1" w:rsidP="00837A42">
      <w:pPr>
        <w:pStyle w:val="ListParagraph"/>
        <w:numPr>
          <w:ilvl w:val="1"/>
          <w:numId w:val="14"/>
        </w:numPr>
        <w:spacing w:line="360" w:lineRule="auto"/>
      </w:pPr>
      <w:r w:rsidRPr="00DA5067">
        <w:t>The local authority can often breach the duty of care by not having enough time and resources to repair defects in the highway, further exposing the public to harm.</w:t>
      </w:r>
    </w:p>
    <w:p w14:paraId="240879C8" w14:textId="77777777" w:rsidR="000332A4" w:rsidRPr="000332A4" w:rsidRDefault="000332A4" w:rsidP="000332A4">
      <w:pPr>
        <w:pStyle w:val="ListParagraph"/>
        <w:spacing w:line="360" w:lineRule="auto"/>
        <w:ind w:left="561"/>
        <w:rPr>
          <w:sz w:val="14"/>
        </w:rPr>
      </w:pPr>
    </w:p>
    <w:p w14:paraId="0A33BE06" w14:textId="5743EA83" w:rsidR="005E4FA6" w:rsidRDefault="0022119E" w:rsidP="00837A42">
      <w:pPr>
        <w:pStyle w:val="ListParagraph"/>
        <w:numPr>
          <w:ilvl w:val="1"/>
          <w:numId w:val="14"/>
        </w:numPr>
        <w:spacing w:line="360" w:lineRule="auto"/>
      </w:pPr>
      <w:r w:rsidRPr="00DA5067">
        <w:t xml:space="preserve">The </w:t>
      </w:r>
      <w:r w:rsidRPr="00725F79">
        <w:rPr>
          <w:b/>
        </w:rPr>
        <w:t>third</w:t>
      </w:r>
      <w:r w:rsidRPr="00725F79">
        <w:t xml:space="preserve"> </w:t>
      </w:r>
      <w:r w:rsidRPr="00725F79">
        <w:rPr>
          <w:b/>
        </w:rPr>
        <w:t>element</w:t>
      </w:r>
      <w:r w:rsidRPr="00725F79">
        <w:t xml:space="preserve"> </w:t>
      </w:r>
      <w:r w:rsidR="00725F79" w:rsidRPr="00725F79">
        <w:t>requires the</w:t>
      </w:r>
      <w:r w:rsidR="001D5823" w:rsidRPr="00DA5067">
        <w:t xml:space="preserve"> claimant to demonstrate that the defendant’s negligence was the direct cause</w:t>
      </w:r>
      <w:r w:rsidR="009F12B1" w:rsidRPr="00DA5067">
        <w:t xml:space="preserve"> of the loss or injury and evaluate the</w:t>
      </w:r>
      <w:r w:rsidR="009F12B1" w:rsidRPr="000332A4">
        <w:rPr>
          <w:b/>
        </w:rPr>
        <w:t xml:space="preserve"> damages</w:t>
      </w:r>
      <w:r w:rsidR="009F12B1" w:rsidRPr="00DA5067">
        <w:t xml:space="preserve"> to be awarded.</w:t>
      </w:r>
      <w:r w:rsidR="001D5823" w:rsidRPr="00DA5067">
        <w:t xml:space="preserve"> The claimant will only be able to pursue the claim if the negligence directly routes to the </w:t>
      </w:r>
      <w:r w:rsidR="008424F9" w:rsidRPr="00DA5067">
        <w:t>loss or injury. T</w:t>
      </w:r>
      <w:r w:rsidR="001D5823" w:rsidRPr="00DA5067">
        <w:t xml:space="preserve">he claimant will need to prove that if it had not been for the </w:t>
      </w:r>
      <w:r w:rsidR="005E4FA6" w:rsidRPr="00DA5067">
        <w:t>defendant’s</w:t>
      </w:r>
      <w:r w:rsidR="001D5823" w:rsidRPr="00DA5067">
        <w:t xml:space="preserve"> actions, they would have not suffe</w:t>
      </w:r>
      <w:r w:rsidR="008424F9" w:rsidRPr="00DA5067">
        <w:t>red loss or harm. For example a person trips on a path</w:t>
      </w:r>
      <w:r w:rsidR="001D5823" w:rsidRPr="00DA5067">
        <w:t xml:space="preserve"> and injures themselves </w:t>
      </w:r>
      <w:r w:rsidR="008424F9" w:rsidRPr="00DA5067">
        <w:t xml:space="preserve">will have to </w:t>
      </w:r>
      <w:r w:rsidR="001D5823" w:rsidRPr="00DA5067">
        <w:t xml:space="preserve">take time off work to seek medical help and recover, they will need to prove </w:t>
      </w:r>
      <w:r w:rsidR="008424F9" w:rsidRPr="00DA5067">
        <w:t>that if it wasn’t for the defective path</w:t>
      </w:r>
      <w:r w:rsidR="001D5823" w:rsidRPr="00DA5067">
        <w:t xml:space="preserve"> they would not have suffered the loss and injury.</w:t>
      </w:r>
      <w:r w:rsidR="009F12B1" w:rsidRPr="00DA5067">
        <w:t xml:space="preserve"> </w:t>
      </w:r>
      <w:r w:rsidR="00037D2B" w:rsidRPr="00DA5067">
        <w:t>This is the final stage of the case in which the court will award compensation to the victim through the defen</w:t>
      </w:r>
      <w:r w:rsidR="00DA6687" w:rsidRPr="00DA5067">
        <w:t>dant, usually by financial gain. The amount awarded will depe</w:t>
      </w:r>
      <w:r w:rsidR="00D92B23" w:rsidRPr="00DA5067">
        <w:t xml:space="preserve">nd on the severity of the claim and any </w:t>
      </w:r>
      <w:r w:rsidR="00C93755" w:rsidRPr="00DA5067">
        <w:t>information provi</w:t>
      </w:r>
      <w:r w:rsidR="002A5B3F">
        <w:t xml:space="preserve">ded by the claimant, this </w:t>
      </w:r>
      <w:r w:rsidR="00C93755" w:rsidRPr="00725F79">
        <w:t>include</w:t>
      </w:r>
      <w:r w:rsidR="002A5B3F" w:rsidRPr="00725F79">
        <w:t>s</w:t>
      </w:r>
      <w:r w:rsidR="00C93755" w:rsidRPr="00DA5067">
        <w:t xml:space="preserve"> loss of earnings both past and future, medical costs and any costs associated with repairing or replacing property.</w:t>
      </w:r>
    </w:p>
    <w:p w14:paraId="4F190F97" w14:textId="57211037" w:rsidR="00826669" w:rsidRDefault="00826669" w:rsidP="00826669">
      <w:pPr>
        <w:spacing w:line="360" w:lineRule="auto"/>
      </w:pPr>
    </w:p>
    <w:p w14:paraId="2A77E5B9" w14:textId="6D9F98DB" w:rsidR="00826669" w:rsidRDefault="00826669" w:rsidP="00826669">
      <w:pPr>
        <w:spacing w:line="360" w:lineRule="auto"/>
      </w:pPr>
    </w:p>
    <w:p w14:paraId="1EB7F755" w14:textId="77777777" w:rsidR="00826669" w:rsidRPr="00DA5067" w:rsidRDefault="00826669" w:rsidP="00826669">
      <w:pPr>
        <w:spacing w:line="360" w:lineRule="auto"/>
      </w:pPr>
    </w:p>
    <w:p w14:paraId="16BAA904" w14:textId="01D1C23E" w:rsidR="00826669" w:rsidRDefault="005A4B1D" w:rsidP="00826669">
      <w:pPr>
        <w:pStyle w:val="ListParagraph"/>
        <w:numPr>
          <w:ilvl w:val="0"/>
          <w:numId w:val="14"/>
        </w:numPr>
        <w:spacing w:line="360" w:lineRule="auto"/>
        <w:rPr>
          <w:b/>
          <w:color w:val="000000" w:themeColor="text1"/>
          <w:sz w:val="24"/>
        </w:rPr>
      </w:pPr>
      <w:r w:rsidRPr="00826669">
        <w:rPr>
          <w:b/>
          <w:color w:val="000000" w:themeColor="text1"/>
          <w:sz w:val="24"/>
        </w:rPr>
        <w:lastRenderedPageBreak/>
        <w:t>Using the case law of Macob Civil Engineering v Morris Construction Ltd [1999] to outline the importance for construction and how it impacted a project regression</w:t>
      </w:r>
    </w:p>
    <w:p w14:paraId="671570F4" w14:textId="77777777" w:rsidR="00826669" w:rsidRPr="00826669" w:rsidRDefault="00826669" w:rsidP="00826669">
      <w:pPr>
        <w:pStyle w:val="ListParagraph"/>
        <w:spacing w:line="360" w:lineRule="auto"/>
        <w:ind w:left="420"/>
        <w:rPr>
          <w:b/>
          <w:color w:val="000000" w:themeColor="text1"/>
          <w:sz w:val="14"/>
        </w:rPr>
      </w:pPr>
    </w:p>
    <w:p w14:paraId="6AA44E9A" w14:textId="0C3ACF9C" w:rsidR="00826669" w:rsidRPr="00826669" w:rsidRDefault="005A4B1D" w:rsidP="00826669">
      <w:pPr>
        <w:pStyle w:val="ListParagraph"/>
        <w:numPr>
          <w:ilvl w:val="1"/>
          <w:numId w:val="14"/>
        </w:numPr>
        <w:spacing w:line="360" w:lineRule="auto"/>
        <w:rPr>
          <w:b/>
          <w:color w:val="000000" w:themeColor="text1"/>
          <w:sz w:val="24"/>
        </w:rPr>
      </w:pPr>
      <w:r w:rsidRPr="00DA5067">
        <w:t>T</w:t>
      </w:r>
      <w:r w:rsidR="00A80ECE" w:rsidRPr="00DA5067">
        <w:t xml:space="preserve">his was the first time a judgement in the Technology and Construction court concerning the enforcement of an adjudicator’s decision </w:t>
      </w:r>
      <w:r w:rsidR="00397138" w:rsidRPr="00DA5067">
        <w:t xml:space="preserve">emerged from the statutory adjudication process that was introduced by the </w:t>
      </w:r>
      <w:r w:rsidR="00BA4A6C" w:rsidRPr="00DA5067">
        <w:t>HGRA.</w:t>
      </w:r>
    </w:p>
    <w:p w14:paraId="473B3D8F" w14:textId="77777777" w:rsidR="00826669" w:rsidRPr="00826669" w:rsidRDefault="00826669" w:rsidP="00826669">
      <w:pPr>
        <w:pStyle w:val="ListParagraph"/>
        <w:spacing w:line="360" w:lineRule="auto"/>
        <w:ind w:left="561"/>
        <w:rPr>
          <w:b/>
          <w:color w:val="000000" w:themeColor="text1"/>
          <w:sz w:val="14"/>
        </w:rPr>
      </w:pPr>
    </w:p>
    <w:p w14:paraId="000041F3" w14:textId="03F917EC" w:rsidR="00826669" w:rsidRPr="00826669" w:rsidRDefault="00397138" w:rsidP="00826669">
      <w:pPr>
        <w:pStyle w:val="ListParagraph"/>
        <w:numPr>
          <w:ilvl w:val="1"/>
          <w:numId w:val="14"/>
        </w:numPr>
        <w:spacing w:line="360" w:lineRule="auto"/>
        <w:rPr>
          <w:b/>
          <w:color w:val="000000" w:themeColor="text1"/>
          <w:sz w:val="24"/>
        </w:rPr>
      </w:pPr>
      <w:r w:rsidRPr="00DA5067">
        <w:t xml:space="preserve">Macob </w:t>
      </w:r>
      <w:r w:rsidR="00BA4A6C" w:rsidRPr="00DA5067">
        <w:t>sub-contracted</w:t>
      </w:r>
      <w:r w:rsidRPr="00DA5067">
        <w:t xml:space="preserve"> Morrison to carry out groundworks at a retail development </w:t>
      </w:r>
      <w:r w:rsidR="00435FC8" w:rsidRPr="00DA5067">
        <w:t xml:space="preserve">in </w:t>
      </w:r>
      <w:r w:rsidRPr="00DA5067">
        <w:t xml:space="preserve">South Wales. The claimant alleged that the defendant failed to make payment in </w:t>
      </w:r>
      <w:r w:rsidR="00435FC8" w:rsidRPr="00DA5067">
        <w:t>accordance to application</w:t>
      </w:r>
      <w:r w:rsidRPr="00DA5067">
        <w:t xml:space="preserve"> 6 in their contract and referred the dispute to an adjudicator. The </w:t>
      </w:r>
      <w:r w:rsidR="009C5B76" w:rsidRPr="00DA5067">
        <w:t>adjudicator’s</w:t>
      </w:r>
      <w:r w:rsidRPr="00DA5067">
        <w:t xml:space="preserve"> decision was for </w:t>
      </w:r>
      <w:r w:rsidR="009C5B76" w:rsidRPr="00DA5067">
        <w:t xml:space="preserve">the defendant to pay the </w:t>
      </w:r>
      <w:r w:rsidR="00BA4A6C" w:rsidRPr="00DA5067">
        <w:t>required sum plus interest</w:t>
      </w:r>
      <w:r w:rsidR="009C5B76" w:rsidRPr="00DA5067">
        <w:t>, the defendant did no</w:t>
      </w:r>
      <w:r w:rsidR="002F521D" w:rsidRPr="00DA5067">
        <w:t xml:space="preserve">t comply with the </w:t>
      </w:r>
      <w:r w:rsidR="009C5B76" w:rsidRPr="00DA5067">
        <w:t xml:space="preserve">decision and suggested that the adjudicator was guilty of procedural error and breached two areas of natural justice. </w:t>
      </w:r>
    </w:p>
    <w:p w14:paraId="06175A9B" w14:textId="77777777" w:rsidR="00826669" w:rsidRPr="00826669" w:rsidRDefault="00826669" w:rsidP="00826669">
      <w:pPr>
        <w:pStyle w:val="ListParagraph"/>
        <w:spacing w:line="360" w:lineRule="auto"/>
        <w:ind w:left="561"/>
        <w:rPr>
          <w:b/>
          <w:color w:val="000000" w:themeColor="text1"/>
          <w:sz w:val="14"/>
        </w:rPr>
      </w:pPr>
    </w:p>
    <w:p w14:paraId="056D894C" w14:textId="7F87540D" w:rsidR="00826669" w:rsidRPr="00826669" w:rsidRDefault="00900223" w:rsidP="00837A42">
      <w:pPr>
        <w:pStyle w:val="ListParagraph"/>
        <w:numPr>
          <w:ilvl w:val="1"/>
          <w:numId w:val="14"/>
        </w:numPr>
        <w:spacing w:line="360" w:lineRule="auto"/>
        <w:rPr>
          <w:b/>
          <w:color w:val="000000" w:themeColor="text1"/>
          <w:sz w:val="24"/>
        </w:rPr>
      </w:pPr>
      <w:r w:rsidRPr="00DA5067">
        <w:t>These claims by the defendant were that the adjudicator should have given both parties the opportunity to make rep</w:t>
      </w:r>
      <w:r w:rsidR="00DC3972" w:rsidRPr="00DA5067">
        <w:t xml:space="preserve">resentations and following </w:t>
      </w:r>
      <w:r w:rsidRPr="00DA5067">
        <w:t>that the adjudicator invoked section 42 of the Arbitration Act 1996 without the opportunity to make representations. The defendant stated that the adjudicator had no power to make that decision. It was decided by the court that breach of natural justice did</w:t>
      </w:r>
      <w:r w:rsidR="002A5B3F">
        <w:t xml:space="preserve"> not occur and the adjudicator c</w:t>
      </w:r>
      <w:r w:rsidRPr="00DA5067">
        <w:t xml:space="preserve">ited relevant clauses in the contract between the two parties to back up their claim and the judge referred the case to arbitration as stated in their contract. This case </w:t>
      </w:r>
      <w:r w:rsidR="00484A68" w:rsidRPr="00DA5067">
        <w:t xml:space="preserve">displayed how easy it was to challenge the decision of an adjudicator for alleged breach of justice but the </w:t>
      </w:r>
      <w:r w:rsidR="00484A68" w:rsidRPr="00725F79">
        <w:t>challenge</w:t>
      </w:r>
      <w:r w:rsidR="00DC3972" w:rsidRPr="00725F79">
        <w:t xml:space="preserve"> was</w:t>
      </w:r>
      <w:r w:rsidR="00DC3972" w:rsidRPr="00DA5067">
        <w:t xml:space="preserve"> deemed hopeless, although</w:t>
      </w:r>
      <w:r w:rsidR="00484A68" w:rsidRPr="00DA5067">
        <w:t xml:space="preserve"> the dispute had to be resolved.</w:t>
      </w:r>
    </w:p>
    <w:p w14:paraId="725CCD04" w14:textId="77777777" w:rsidR="00826669" w:rsidRPr="00826669" w:rsidRDefault="00826669" w:rsidP="00826669">
      <w:pPr>
        <w:pStyle w:val="ListParagraph"/>
        <w:spacing w:line="360" w:lineRule="auto"/>
        <w:ind w:left="561"/>
        <w:rPr>
          <w:b/>
          <w:color w:val="000000" w:themeColor="text1"/>
          <w:sz w:val="14"/>
        </w:rPr>
      </w:pPr>
    </w:p>
    <w:p w14:paraId="655841BE" w14:textId="53E9B959" w:rsidR="00826669" w:rsidRPr="00826669" w:rsidRDefault="00484A68" w:rsidP="00837A42">
      <w:pPr>
        <w:pStyle w:val="ListParagraph"/>
        <w:numPr>
          <w:ilvl w:val="1"/>
          <w:numId w:val="14"/>
        </w:numPr>
        <w:spacing w:line="360" w:lineRule="auto"/>
        <w:rPr>
          <w:b/>
          <w:color w:val="000000" w:themeColor="text1"/>
          <w:sz w:val="24"/>
        </w:rPr>
      </w:pPr>
      <w:r w:rsidRPr="00DA5067">
        <w:t>The claimant pursued mandatory injunction for full payment, although the judge refused and ordered to issue proceedings claiming the sum due</w:t>
      </w:r>
      <w:r w:rsidR="00DC3972" w:rsidRPr="00DA5067">
        <w:t>,</w:t>
      </w:r>
      <w:r w:rsidRPr="00DA5067">
        <w:t xml:space="preserve"> followed by a summary judgment. The case </w:t>
      </w:r>
      <w:r w:rsidRPr="00725F79">
        <w:t>was then referred to</w:t>
      </w:r>
      <w:r w:rsidRPr="00DA5067">
        <w:t xml:space="preserve"> arbitration, further delaying the project and decreasing cash flow. </w:t>
      </w:r>
    </w:p>
    <w:p w14:paraId="350BA0D4" w14:textId="77777777" w:rsidR="00826669" w:rsidRPr="00826669" w:rsidRDefault="00826669" w:rsidP="00826669">
      <w:pPr>
        <w:pStyle w:val="ListParagraph"/>
        <w:spacing w:line="360" w:lineRule="auto"/>
        <w:ind w:left="561"/>
        <w:rPr>
          <w:b/>
          <w:color w:val="000000" w:themeColor="text1"/>
          <w:sz w:val="14"/>
        </w:rPr>
      </w:pPr>
    </w:p>
    <w:p w14:paraId="3C20A216" w14:textId="3B57DCC9" w:rsidR="00826669" w:rsidRPr="00826669" w:rsidRDefault="00484A68" w:rsidP="00837A42">
      <w:pPr>
        <w:pStyle w:val="ListParagraph"/>
        <w:numPr>
          <w:ilvl w:val="1"/>
          <w:numId w:val="14"/>
        </w:numPr>
        <w:spacing w:line="360" w:lineRule="auto"/>
        <w:rPr>
          <w:b/>
          <w:color w:val="000000" w:themeColor="text1"/>
          <w:sz w:val="24"/>
        </w:rPr>
      </w:pPr>
      <w:r w:rsidRPr="00DA5067">
        <w:t xml:space="preserve">It </w:t>
      </w:r>
      <w:r w:rsidR="002F521D" w:rsidRPr="00DA5067">
        <w:t>was</w:t>
      </w:r>
      <w:r w:rsidRPr="00DA5067">
        <w:t xml:space="preserve"> noted that if a different decision had been made on this case, it is likely that </w:t>
      </w:r>
      <w:r w:rsidR="00741EC6" w:rsidRPr="00DA5067">
        <w:t xml:space="preserve">the use of adjudication </w:t>
      </w:r>
      <w:r w:rsidR="002F521D" w:rsidRPr="00DA5067">
        <w:t>wouldn’t have</w:t>
      </w:r>
      <w:r w:rsidR="00741EC6" w:rsidRPr="00DA5067">
        <w:t xml:space="preserve"> become the most common form of dispute resolution and following the success of the adjudication and payment provisions within the act led to other common law countries to adopt and change into their own construction industries. It is also noted that had the counsel for the defendant succeeded </w:t>
      </w:r>
      <w:r w:rsidR="00F274D9" w:rsidRPr="00DA5067">
        <w:t xml:space="preserve">in the argument that enforcement should not have been given to a disputed decision of an adjudicator, </w:t>
      </w:r>
      <w:r w:rsidR="00F274D9" w:rsidRPr="008651A5">
        <w:t>but must be</w:t>
      </w:r>
      <w:r w:rsidR="00F274D9" w:rsidRPr="00DA5067">
        <w:t xml:space="preserve"> referred to arbitration under the contract, the use of the adjudication </w:t>
      </w:r>
      <w:r w:rsidR="005309E3" w:rsidRPr="00DA5067">
        <w:t>as a quick,</w:t>
      </w:r>
      <w:r w:rsidR="00F274D9" w:rsidRPr="00DA5067">
        <w:t xml:space="preserve"> temporary means to solve a dispute and maintain cash flow would have been</w:t>
      </w:r>
      <w:r w:rsidR="005309E3" w:rsidRPr="00DA5067">
        <w:t xml:space="preserve"> impractical. The decision of </w:t>
      </w:r>
      <w:r w:rsidR="002F521D" w:rsidRPr="00DA5067">
        <w:t>this case</w:t>
      </w:r>
      <w:r w:rsidR="005309E3" w:rsidRPr="00DA5067">
        <w:t xml:space="preserve"> </w:t>
      </w:r>
      <w:r w:rsidR="005309E3" w:rsidRPr="008651A5">
        <w:lastRenderedPageBreak/>
        <w:t>played a</w:t>
      </w:r>
      <w:r w:rsidR="00C12DBE" w:rsidRPr="008651A5">
        <w:t>n</w:t>
      </w:r>
      <w:r w:rsidR="005309E3" w:rsidRPr="008651A5">
        <w:t xml:space="preserve"> important role in bringing</w:t>
      </w:r>
      <w:r w:rsidR="005309E3" w:rsidRPr="00DA5067">
        <w:t xml:space="preserve"> statutory construction adjudication to the international trade and </w:t>
      </w:r>
      <w:r w:rsidR="002F521D" w:rsidRPr="00DA5067">
        <w:t xml:space="preserve">had there been a different conclusion, </w:t>
      </w:r>
      <w:r w:rsidR="005309E3" w:rsidRPr="00DA5067">
        <w:t xml:space="preserve">adjudication </w:t>
      </w:r>
      <w:r w:rsidR="002F521D" w:rsidRPr="00DA5067">
        <w:t>might not have succeeded around the world.</w:t>
      </w:r>
    </w:p>
    <w:p w14:paraId="393B881D" w14:textId="77777777" w:rsidR="00826669" w:rsidRPr="00826669" w:rsidRDefault="00826669" w:rsidP="00826669">
      <w:pPr>
        <w:pStyle w:val="ListParagraph"/>
        <w:spacing w:line="360" w:lineRule="auto"/>
        <w:ind w:left="561"/>
        <w:rPr>
          <w:b/>
          <w:color w:val="000000" w:themeColor="text1"/>
          <w:sz w:val="14"/>
        </w:rPr>
      </w:pPr>
    </w:p>
    <w:p w14:paraId="3DD22D6D" w14:textId="3AA770D0" w:rsidR="005309E3" w:rsidRPr="00826669" w:rsidRDefault="005309E3" w:rsidP="00837A42">
      <w:pPr>
        <w:pStyle w:val="ListParagraph"/>
        <w:numPr>
          <w:ilvl w:val="1"/>
          <w:numId w:val="14"/>
        </w:numPr>
        <w:spacing w:line="360" w:lineRule="auto"/>
        <w:rPr>
          <w:b/>
          <w:color w:val="000000" w:themeColor="text1"/>
          <w:sz w:val="24"/>
        </w:rPr>
      </w:pPr>
      <w:r w:rsidRPr="00DA5067">
        <w:t xml:space="preserve">Given </w:t>
      </w:r>
      <w:r w:rsidR="00ED7584" w:rsidRPr="00DA5067">
        <w:t xml:space="preserve">the </w:t>
      </w:r>
      <w:r w:rsidRPr="00DA5067">
        <w:t>outcome of this case, it wo</w:t>
      </w:r>
      <w:r w:rsidR="00ED7584" w:rsidRPr="00DA5067">
        <w:t>uld have been detrimental</w:t>
      </w:r>
      <w:r w:rsidRPr="00DA5067">
        <w:t xml:space="preserve"> for the defendant as it was prolonged through the adjudication process which is meant for protecting cash flow and a quick turnaround, </w:t>
      </w:r>
      <w:r w:rsidR="00ED7584" w:rsidRPr="00DA5067">
        <w:t xml:space="preserve">and </w:t>
      </w:r>
      <w:r w:rsidRPr="00DA5067">
        <w:t xml:space="preserve">has now snow balled into an arbitration case which has more time and cost infringements for both parties </w:t>
      </w:r>
      <w:r w:rsidR="009F4A5D" w:rsidRPr="00DA5067">
        <w:t>as well</w:t>
      </w:r>
      <w:r w:rsidRPr="00DA5067">
        <w:t xml:space="preserve"> as the project </w:t>
      </w:r>
      <w:r w:rsidR="00ED7584" w:rsidRPr="00DA5067">
        <w:t>coming to a halt</w:t>
      </w:r>
      <w:r w:rsidRPr="00DA5067">
        <w:t xml:space="preserve"> where no works are carried</w:t>
      </w:r>
      <w:r w:rsidR="00ED7584" w:rsidRPr="00DA5067">
        <w:t xml:space="preserve"> out and cash flow being stopped</w:t>
      </w:r>
      <w:r w:rsidRPr="00DA5067">
        <w:t>. This serves a lesson to the defendant as they had lost t</w:t>
      </w:r>
      <w:r w:rsidR="00ED7584" w:rsidRPr="00DA5067">
        <w:t>he dispute, time, money and trust.</w:t>
      </w:r>
    </w:p>
    <w:p w14:paraId="1243DD31" w14:textId="77777777" w:rsidR="003138E8" w:rsidRPr="00DA5067" w:rsidRDefault="003138E8" w:rsidP="00837A42">
      <w:pPr>
        <w:spacing w:line="360" w:lineRule="auto"/>
        <w:rPr>
          <w:b/>
          <w:color w:val="000000" w:themeColor="text1"/>
        </w:rPr>
      </w:pPr>
    </w:p>
    <w:p w14:paraId="35E6A68E" w14:textId="3ECC213B" w:rsidR="00464221" w:rsidRDefault="00783288" w:rsidP="00837A42">
      <w:pPr>
        <w:pStyle w:val="ListParagraph"/>
        <w:numPr>
          <w:ilvl w:val="0"/>
          <w:numId w:val="14"/>
        </w:numPr>
        <w:spacing w:line="360" w:lineRule="auto"/>
        <w:rPr>
          <w:b/>
          <w:color w:val="000000" w:themeColor="text1"/>
        </w:rPr>
      </w:pPr>
      <w:r w:rsidRPr="00DA5067">
        <w:rPr>
          <w:b/>
          <w:color w:val="000000" w:themeColor="text1"/>
        </w:rPr>
        <w:t>Impact of adjudication in the case of Vinci Construction UK Ltd v Beumer Group UK Ltd</w:t>
      </w:r>
    </w:p>
    <w:p w14:paraId="3823A907" w14:textId="77777777" w:rsidR="00464221" w:rsidRPr="00464221" w:rsidRDefault="00464221" w:rsidP="00464221">
      <w:pPr>
        <w:pStyle w:val="ListParagraph"/>
        <w:spacing w:line="360" w:lineRule="auto"/>
        <w:ind w:left="420"/>
        <w:rPr>
          <w:b/>
          <w:color w:val="000000" w:themeColor="text1"/>
          <w:sz w:val="14"/>
        </w:rPr>
      </w:pPr>
    </w:p>
    <w:p w14:paraId="33B752B4" w14:textId="3A876CE1" w:rsidR="00464221" w:rsidRPr="00464221" w:rsidRDefault="00DC3972" w:rsidP="00837A42">
      <w:pPr>
        <w:pStyle w:val="ListParagraph"/>
        <w:numPr>
          <w:ilvl w:val="1"/>
          <w:numId w:val="14"/>
        </w:numPr>
        <w:spacing w:line="360" w:lineRule="auto"/>
        <w:rPr>
          <w:b/>
          <w:color w:val="000000" w:themeColor="text1"/>
        </w:rPr>
      </w:pPr>
      <w:r w:rsidRPr="00DA5067">
        <w:t>Vinci</w:t>
      </w:r>
      <w:r w:rsidR="00ED7584" w:rsidRPr="00DA5067">
        <w:t xml:space="preserve"> sub-contracted Beumer </w:t>
      </w:r>
      <w:r w:rsidR="00783288" w:rsidRPr="00DA5067">
        <w:t>to complete work on the baggage handling system on the south terminal</w:t>
      </w:r>
      <w:r w:rsidR="00ED7584" w:rsidRPr="00DA5067">
        <w:t xml:space="preserve"> of Gatwick Airport</w:t>
      </w:r>
      <w:r w:rsidR="00783288" w:rsidRPr="00DA5067">
        <w:t xml:space="preserve">. </w:t>
      </w:r>
      <w:r w:rsidR="004160B4" w:rsidRPr="00DA5067">
        <w:t xml:space="preserve">The sub-contract stated a different completion date and agreed liquidated damages figure for each section of Beumer’s works. </w:t>
      </w:r>
      <w:r w:rsidR="00B91D95" w:rsidRPr="00DA5067">
        <w:t>W</w:t>
      </w:r>
      <w:r w:rsidR="004160B4" w:rsidRPr="00DA5067">
        <w:t>hen two sections of the sub-contract works</w:t>
      </w:r>
      <w:r w:rsidR="0091324A" w:rsidRPr="00DA5067">
        <w:t xml:space="preserve"> (section 5 &amp; 6)</w:t>
      </w:r>
      <w:r w:rsidR="004160B4" w:rsidRPr="00DA5067">
        <w:t xml:space="preserve"> fell behind </w:t>
      </w:r>
      <w:r w:rsidR="00B91D95" w:rsidRPr="00DA5067">
        <w:t xml:space="preserve">schedule in Oct 14, </w:t>
      </w:r>
      <w:r w:rsidR="00D44848">
        <w:t>Vinci</w:t>
      </w:r>
      <w:r w:rsidR="004160B4" w:rsidRPr="00DA5067">
        <w:t xml:space="preserve"> looked to obtain liquidated damages under the subcontract in relation to the sections that fell into delay. Beumer claimed that it was unclear from the technical documents which aspects </w:t>
      </w:r>
      <w:r w:rsidR="0091324A" w:rsidRPr="00DA5067">
        <w:t xml:space="preserve">of the delayed work fell into the different sections and as a result they claimed the liquidated damages clause should be deemed void for uncertainty. </w:t>
      </w:r>
    </w:p>
    <w:p w14:paraId="4951F4C4" w14:textId="77777777" w:rsidR="00464221" w:rsidRPr="00464221" w:rsidRDefault="00464221" w:rsidP="00464221">
      <w:pPr>
        <w:pStyle w:val="ListParagraph"/>
        <w:spacing w:line="360" w:lineRule="auto"/>
        <w:ind w:left="561"/>
        <w:rPr>
          <w:b/>
          <w:color w:val="000000" w:themeColor="text1"/>
          <w:sz w:val="14"/>
        </w:rPr>
      </w:pPr>
    </w:p>
    <w:p w14:paraId="5EC91456" w14:textId="0D8C807D" w:rsidR="002C2964" w:rsidRPr="00464221" w:rsidRDefault="00DE1895" w:rsidP="00837A42">
      <w:pPr>
        <w:pStyle w:val="ListParagraph"/>
        <w:numPr>
          <w:ilvl w:val="1"/>
          <w:numId w:val="14"/>
        </w:numPr>
        <w:spacing w:line="360" w:lineRule="auto"/>
        <w:rPr>
          <w:b/>
          <w:color w:val="000000" w:themeColor="text1"/>
        </w:rPr>
      </w:pPr>
      <w:r w:rsidRPr="00DA5067">
        <w:t>Beumer decided to seek adjudication to settle the case which is the legal process for reso</w:t>
      </w:r>
      <w:r w:rsidR="00EC46F4" w:rsidRPr="00DA5067">
        <w:t>lving a dispute between parties.</w:t>
      </w:r>
      <w:r w:rsidRPr="00DA5067">
        <w:t xml:space="preserve"> </w:t>
      </w:r>
      <w:r w:rsidR="00EC46F4" w:rsidRPr="00DA5067">
        <w:t xml:space="preserve">Construction </w:t>
      </w:r>
      <w:r w:rsidRPr="00DA5067">
        <w:t xml:space="preserve">adjudication was </w:t>
      </w:r>
      <w:r w:rsidR="00EC46F4" w:rsidRPr="00DA5067">
        <w:t xml:space="preserve">first applied in May 1998 with the Housing Grants, Construction and Regeneration Act 1996 and applies to a construction contract who cannot contract out of it. This is a 28 day procedure </w:t>
      </w:r>
      <w:r w:rsidR="0024297F" w:rsidRPr="00DA5067">
        <w:t xml:space="preserve">that can be extended if both parties agree, and is the quickest way to resolve disputes and is designed to protect cash-flow during construction. This is vital for </w:t>
      </w:r>
      <w:r w:rsidR="00C12DBE">
        <w:t xml:space="preserve">any project as delays can </w:t>
      </w:r>
      <w:r w:rsidR="00C12DBE" w:rsidRPr="008651A5">
        <w:t xml:space="preserve">cause </w:t>
      </w:r>
      <w:r w:rsidR="0024297F" w:rsidRPr="008651A5">
        <w:t>financial</w:t>
      </w:r>
      <w:r w:rsidR="00C12DBE" w:rsidRPr="008651A5">
        <w:t xml:space="preserve"> burdens and</w:t>
      </w:r>
      <w:r w:rsidR="0024297F" w:rsidRPr="008651A5">
        <w:t xml:space="preserve"> even</w:t>
      </w:r>
      <w:r w:rsidR="0024297F" w:rsidRPr="00DA5067">
        <w:t xml:space="preserve"> bankrupt the companies involved.</w:t>
      </w:r>
    </w:p>
    <w:p w14:paraId="7B666FD1" w14:textId="77777777" w:rsidR="00464221" w:rsidRDefault="00464221" w:rsidP="00837A42">
      <w:pPr>
        <w:spacing w:line="360" w:lineRule="auto"/>
      </w:pPr>
    </w:p>
    <w:p w14:paraId="3E9F72F1" w14:textId="77777777" w:rsidR="00464221" w:rsidRDefault="00464221" w:rsidP="00837A42">
      <w:pPr>
        <w:spacing w:line="360" w:lineRule="auto"/>
      </w:pPr>
    </w:p>
    <w:p w14:paraId="64E22450" w14:textId="77777777" w:rsidR="00464221" w:rsidRDefault="00464221" w:rsidP="00837A42">
      <w:pPr>
        <w:spacing w:line="360" w:lineRule="auto"/>
      </w:pPr>
    </w:p>
    <w:p w14:paraId="5651B563" w14:textId="79381544" w:rsidR="00322BC4" w:rsidRPr="008651A5" w:rsidRDefault="00D4196B" w:rsidP="00464221">
      <w:pPr>
        <w:pStyle w:val="ListParagraph"/>
        <w:numPr>
          <w:ilvl w:val="1"/>
          <w:numId w:val="14"/>
        </w:numPr>
        <w:spacing w:line="360" w:lineRule="auto"/>
      </w:pPr>
      <w:r w:rsidRPr="00DA5067">
        <w:lastRenderedPageBreak/>
        <w:t xml:space="preserve">Both parties engaged </w:t>
      </w:r>
      <w:r w:rsidR="00B77881" w:rsidRPr="00DA5067">
        <w:t>in a total of seven adjudications and three</w:t>
      </w:r>
      <w:r w:rsidRPr="00DA5067">
        <w:t xml:space="preserve"> went to the Technology and Construction Court (TCC)</w:t>
      </w:r>
      <w:r w:rsidR="00B77881" w:rsidRPr="00DA5067">
        <w:t xml:space="preserve">, </w:t>
      </w:r>
      <w:r w:rsidR="00B77881" w:rsidRPr="008651A5">
        <w:t>six</w:t>
      </w:r>
      <w:r w:rsidRPr="008651A5">
        <w:t xml:space="preserve"> were initiated by Beumer </w:t>
      </w:r>
      <w:r w:rsidR="00B77881" w:rsidRPr="008651A5">
        <w:t xml:space="preserve">but in the seventh the adjudicator dismissed Beumers extension of time claims and awarded Vinci the full amount in liquidated and </w:t>
      </w:r>
      <w:r w:rsidR="00332750" w:rsidRPr="008651A5">
        <w:t>ascertained</w:t>
      </w:r>
      <w:r w:rsidR="00B77881" w:rsidRPr="008651A5">
        <w:t xml:space="preserve"> damages plus interest.</w:t>
      </w:r>
      <w:r w:rsidR="0006173E" w:rsidRPr="008651A5">
        <w:t xml:space="preserve"> Beumer failed to pay and held out against enforcement for breach of natural justice on three grounds, these were;</w:t>
      </w:r>
    </w:p>
    <w:p w14:paraId="713B9A07" w14:textId="2E27EED8" w:rsidR="0006173E" w:rsidRPr="008651A5" w:rsidRDefault="00F1140A" w:rsidP="00837A42">
      <w:pPr>
        <w:pStyle w:val="ListParagraph"/>
        <w:numPr>
          <w:ilvl w:val="0"/>
          <w:numId w:val="5"/>
        </w:numPr>
        <w:spacing w:line="360" w:lineRule="auto"/>
      </w:pPr>
      <w:r w:rsidRPr="008651A5">
        <w:t>The adjudicators decisions were inconsistent</w:t>
      </w:r>
    </w:p>
    <w:p w14:paraId="4D02AA7C" w14:textId="31A132B6" w:rsidR="00F1140A" w:rsidRPr="00DA5067" w:rsidRDefault="00C12DBE" w:rsidP="00837A42">
      <w:pPr>
        <w:pStyle w:val="ListParagraph"/>
        <w:numPr>
          <w:ilvl w:val="0"/>
          <w:numId w:val="5"/>
        </w:numPr>
        <w:spacing w:line="360" w:lineRule="auto"/>
      </w:pPr>
      <w:r w:rsidRPr="008651A5">
        <w:t>The adjudicator did not give</w:t>
      </w:r>
      <w:r w:rsidR="00F1140A" w:rsidRPr="008651A5">
        <w:t xml:space="preserve"> adequate</w:t>
      </w:r>
      <w:r w:rsidR="00F1140A" w:rsidRPr="00DA5067">
        <w:t xml:space="preserve"> reasons for his decision</w:t>
      </w:r>
    </w:p>
    <w:p w14:paraId="24EB8155" w14:textId="7DEF9252" w:rsidR="00F1140A" w:rsidRPr="00DA5067" w:rsidRDefault="00F1140A" w:rsidP="00837A42">
      <w:pPr>
        <w:pStyle w:val="ListParagraph"/>
        <w:numPr>
          <w:ilvl w:val="0"/>
          <w:numId w:val="5"/>
        </w:numPr>
        <w:spacing w:line="360" w:lineRule="auto"/>
      </w:pPr>
      <w:r w:rsidRPr="00DA5067">
        <w:t xml:space="preserve">The adjudicator did not disclose or order Vinci to disclose material from a previous adjudication between Vinci and </w:t>
      </w:r>
      <w:r w:rsidR="00EB63A8" w:rsidRPr="00DA5067">
        <w:t>Balfour Beatty in Sept 16</w:t>
      </w:r>
    </w:p>
    <w:p w14:paraId="6ACD46CE" w14:textId="1361CDE2" w:rsidR="004E013F" w:rsidRPr="00464221" w:rsidRDefault="0099505A" w:rsidP="00837A42">
      <w:pPr>
        <w:pStyle w:val="ListParagraph"/>
        <w:spacing w:line="360" w:lineRule="auto"/>
        <w:rPr>
          <w:b/>
        </w:rPr>
      </w:pPr>
      <w:sdt>
        <w:sdtPr>
          <w:rPr>
            <w:b/>
          </w:rPr>
          <w:id w:val="498934039"/>
          <w:citation/>
        </w:sdtPr>
        <w:sdtEndPr/>
        <w:sdtContent>
          <w:r w:rsidR="004E013F" w:rsidRPr="00464221">
            <w:rPr>
              <w:b/>
            </w:rPr>
            <w:fldChar w:fldCharType="begin"/>
          </w:r>
          <w:r w:rsidR="0013078E" w:rsidRPr="00464221">
            <w:rPr>
              <w:b/>
            </w:rPr>
            <w:instrText xml:space="preserve">CITATION Jon18 \l 2057 </w:instrText>
          </w:r>
          <w:r w:rsidR="004E013F" w:rsidRPr="00464221">
            <w:rPr>
              <w:b/>
            </w:rPr>
            <w:fldChar w:fldCharType="separate"/>
          </w:r>
          <w:r w:rsidR="008651A5" w:rsidRPr="008651A5">
            <w:rPr>
              <w:noProof/>
            </w:rPr>
            <w:t>(Cope, 2018)</w:t>
          </w:r>
          <w:r w:rsidR="004E013F" w:rsidRPr="00464221">
            <w:rPr>
              <w:b/>
            </w:rPr>
            <w:fldChar w:fldCharType="end"/>
          </w:r>
        </w:sdtContent>
      </w:sdt>
    </w:p>
    <w:p w14:paraId="45F3CC92" w14:textId="54B2C6A9" w:rsidR="00043C8A" w:rsidRDefault="00B95B6E" w:rsidP="00464221">
      <w:pPr>
        <w:pStyle w:val="ListParagraph"/>
        <w:numPr>
          <w:ilvl w:val="1"/>
          <w:numId w:val="14"/>
        </w:numPr>
        <w:spacing w:line="360" w:lineRule="auto"/>
      </w:pPr>
      <w:r w:rsidRPr="00DA5067">
        <w:t xml:space="preserve">The </w:t>
      </w:r>
      <w:r w:rsidR="000A7C1F" w:rsidRPr="00DA5067">
        <w:t xml:space="preserve">TCC rejected the </w:t>
      </w:r>
      <w:r w:rsidRPr="00DA5067">
        <w:t>claims and reiterated that whet</w:t>
      </w:r>
      <w:r w:rsidR="00D44848">
        <w:t xml:space="preserve">her the </w:t>
      </w:r>
      <w:r w:rsidR="009F4A5D">
        <w:t>adjudicator’s</w:t>
      </w:r>
      <w:r w:rsidR="00D44848">
        <w:t xml:space="preserve"> decisions were</w:t>
      </w:r>
      <w:r w:rsidRPr="00DA5067">
        <w:t xml:space="preserve"> right or wrong, it is of no concern to the c</w:t>
      </w:r>
      <w:r w:rsidR="00B1721C" w:rsidRPr="00DA5067">
        <w:t xml:space="preserve">ourt in enforcement proceedings, this is difficult for the party that thinks that the adjudicator is wrong. The TCC found that there was no inconsistency </w:t>
      </w:r>
      <w:r w:rsidR="00D44848">
        <w:t>in</w:t>
      </w:r>
      <w:r w:rsidR="00C12DBE">
        <w:t xml:space="preserve"> the decisions </w:t>
      </w:r>
      <w:r w:rsidR="00C12DBE" w:rsidRPr="008651A5">
        <w:t xml:space="preserve">made and </w:t>
      </w:r>
      <w:r w:rsidR="00D44848" w:rsidRPr="008651A5">
        <w:t>validated</w:t>
      </w:r>
      <w:r w:rsidR="00B1721C" w:rsidRPr="008651A5">
        <w:t xml:space="preserve"> the</w:t>
      </w:r>
      <w:r w:rsidR="00B1721C" w:rsidRPr="00DA5067">
        <w:t xml:space="preserve"> </w:t>
      </w:r>
      <w:r w:rsidR="0094382C" w:rsidRPr="00DA5067">
        <w:t>adjudicator’s</w:t>
      </w:r>
      <w:r w:rsidR="00B1721C" w:rsidRPr="00DA5067">
        <w:t xml:space="preserve"> decision. </w:t>
      </w:r>
      <w:r w:rsidR="008651A5">
        <w:t xml:space="preserve">The accusations for lack of reasoning were easily rejected by the court </w:t>
      </w:r>
      <w:r w:rsidR="00B1721C" w:rsidRPr="00DA5067">
        <w:t xml:space="preserve">due to claims for extensions of time </w:t>
      </w:r>
      <w:r w:rsidR="0094382C">
        <w:t xml:space="preserve">that </w:t>
      </w:r>
      <w:r w:rsidR="00B1721C" w:rsidRPr="00DA5067">
        <w:t xml:space="preserve">were made too late and were therefore time barred </w:t>
      </w:r>
      <w:r w:rsidR="0094382C">
        <w:t xml:space="preserve">and </w:t>
      </w:r>
      <w:r w:rsidR="00B1721C" w:rsidRPr="00DA5067">
        <w:t xml:space="preserve">claims for extensions fell short of the basic requirements for supporting evidence and delay analysis. Whether this decision was right or wrong, it was noted that it is of no concern to the court in enforcement proceedings. </w:t>
      </w:r>
      <w:r w:rsidR="00F55DE1" w:rsidRPr="00DA5067">
        <w:t xml:space="preserve">This further reinforced the trust and responsibility in the adjudication </w:t>
      </w:r>
      <w:r w:rsidR="00043C8A" w:rsidRPr="00DA5067">
        <w:t>process.</w:t>
      </w:r>
    </w:p>
    <w:p w14:paraId="226ED0A3" w14:textId="77777777" w:rsidR="00464221" w:rsidRPr="00464221" w:rsidRDefault="00464221" w:rsidP="00464221">
      <w:pPr>
        <w:pStyle w:val="ListParagraph"/>
        <w:spacing w:line="360" w:lineRule="auto"/>
        <w:ind w:left="561"/>
        <w:rPr>
          <w:sz w:val="14"/>
        </w:rPr>
      </w:pPr>
    </w:p>
    <w:p w14:paraId="317C5DD3" w14:textId="7FD29391" w:rsidR="00994E30" w:rsidRPr="00DA5067" w:rsidRDefault="0094382C" w:rsidP="00464221">
      <w:pPr>
        <w:pStyle w:val="ListParagraph"/>
        <w:numPr>
          <w:ilvl w:val="1"/>
          <w:numId w:val="14"/>
        </w:numPr>
        <w:spacing w:line="360" w:lineRule="auto"/>
      </w:pPr>
      <w:r>
        <w:t>While the claim of</w:t>
      </w:r>
      <w:r w:rsidR="00F55DE1" w:rsidRPr="00DA5067">
        <w:t xml:space="preserve"> non-disclosure of materials from a pr</w:t>
      </w:r>
      <w:r>
        <w:t xml:space="preserve">evious adjudication </w:t>
      </w:r>
      <w:r w:rsidR="00F55DE1" w:rsidRPr="00DA5067">
        <w:t>raised concerns it was not a requirement to disclose any previous dealings with adjudicators and they remained impartial to make sure the dispute</w:t>
      </w:r>
      <w:r w:rsidR="00E630F8">
        <w:t>s did not overlap. This was</w:t>
      </w:r>
      <w:r w:rsidR="00F55DE1" w:rsidRPr="00DA5067">
        <w:t xml:space="preserve"> known to Beumer in the past but proceeded three adjudications without mentioning.</w:t>
      </w:r>
      <w:r w:rsidR="00D13DE9" w:rsidRPr="00DA5067">
        <w:t xml:space="preserve"> From this it was noted that adjudicators must disclose any previous dealings with the parties before nomination, to prevent loss of time and potential for overlap.</w:t>
      </w:r>
    </w:p>
    <w:p w14:paraId="68BCCEE3" w14:textId="77777777" w:rsidR="00464221" w:rsidRDefault="00464221" w:rsidP="00837A42">
      <w:pPr>
        <w:spacing w:line="360" w:lineRule="auto"/>
      </w:pPr>
    </w:p>
    <w:p w14:paraId="32E440F2" w14:textId="77777777" w:rsidR="00464221" w:rsidRDefault="00464221" w:rsidP="00837A42">
      <w:pPr>
        <w:spacing w:line="360" w:lineRule="auto"/>
      </w:pPr>
    </w:p>
    <w:p w14:paraId="69E02767" w14:textId="77777777" w:rsidR="00464221" w:rsidRDefault="00464221" w:rsidP="00837A42">
      <w:pPr>
        <w:spacing w:line="360" w:lineRule="auto"/>
      </w:pPr>
    </w:p>
    <w:p w14:paraId="0EF18CA0" w14:textId="1E6A6310" w:rsidR="00464221" w:rsidRDefault="00464221" w:rsidP="00837A42">
      <w:pPr>
        <w:spacing w:line="360" w:lineRule="auto"/>
      </w:pPr>
    </w:p>
    <w:p w14:paraId="72672664" w14:textId="77777777" w:rsidR="00E630F8" w:rsidRDefault="00E630F8" w:rsidP="00837A42">
      <w:pPr>
        <w:spacing w:line="360" w:lineRule="auto"/>
      </w:pPr>
    </w:p>
    <w:p w14:paraId="08C528B1" w14:textId="44F48FF1" w:rsidR="004757D2" w:rsidRPr="002B7020" w:rsidRDefault="00D13DE9" w:rsidP="00464221">
      <w:pPr>
        <w:pStyle w:val="ListParagraph"/>
        <w:numPr>
          <w:ilvl w:val="1"/>
          <w:numId w:val="14"/>
        </w:numPr>
        <w:spacing w:line="360" w:lineRule="auto"/>
        <w:rPr>
          <w:sz w:val="28"/>
        </w:rPr>
      </w:pPr>
      <w:r w:rsidRPr="00DA5067">
        <w:lastRenderedPageBreak/>
        <w:t xml:space="preserve">These claims of natural </w:t>
      </w:r>
      <w:r w:rsidRPr="008651A5">
        <w:t>justice delayed</w:t>
      </w:r>
      <w:r w:rsidRPr="00DA5067">
        <w:t xml:space="preserve"> the dispute and project and further reinforced that the adjudication process was robust enough to deal with major disputes in a timely manner far quicker than the traditional court system, this made it so the claimant could recover their rightful costs and proceed with their project without major loss of time an</w:t>
      </w:r>
      <w:r w:rsidRPr="008651A5">
        <w:t>d earnings.</w:t>
      </w:r>
      <w:r w:rsidR="00725F79" w:rsidRPr="008651A5">
        <w:t xml:space="preserve"> If this went</w:t>
      </w:r>
      <w:r w:rsidR="002B7020" w:rsidRPr="008651A5">
        <w:t xml:space="preserve"> through the tradi</w:t>
      </w:r>
      <w:r w:rsidR="00D942A0" w:rsidRPr="008651A5">
        <w:t>ti</w:t>
      </w:r>
      <w:r w:rsidR="002B7020" w:rsidRPr="008651A5">
        <w:t>onal court system, it would</w:t>
      </w:r>
      <w:r w:rsidR="002B7020" w:rsidRPr="00DA5067">
        <w:t xml:space="preserve"> have t</w:t>
      </w:r>
      <w:r w:rsidR="00725F79">
        <w:t>aken weeks to</w:t>
      </w:r>
      <w:r w:rsidR="002B7020" w:rsidRPr="00DA5067">
        <w:t xml:space="preserve"> years to be heard and the outcome could have taken years to reach, by this time both parties could be tied up time wise and financially and could have bankrupted either</w:t>
      </w:r>
      <w:r w:rsidR="002B7020" w:rsidRPr="008651A5">
        <w:t xml:space="preserve">, </w:t>
      </w:r>
      <w:r w:rsidR="008651A5" w:rsidRPr="008651A5">
        <w:t>as well</w:t>
      </w:r>
      <w:r w:rsidR="00725F79" w:rsidRPr="008651A5">
        <w:t xml:space="preserve"> as received</w:t>
      </w:r>
      <w:r w:rsidR="002B7020" w:rsidRPr="008651A5">
        <w:t xml:space="preserve"> press</w:t>
      </w:r>
      <w:r w:rsidR="002B7020" w:rsidRPr="00DA5067">
        <w:t xml:space="preserve"> backlash etc. The adjudication, despite the defendant not agreeing with the outcome as expected, was still a viable option for both parties to come to an agreement on the dispute</w:t>
      </w:r>
      <w:r w:rsidR="002B7020" w:rsidRPr="003138E8">
        <w:t>.</w:t>
      </w:r>
    </w:p>
    <w:bookmarkEnd w:id="0"/>
    <w:p w14:paraId="28E1F2E1" w14:textId="4B0DCAAB" w:rsidR="00CA58E3" w:rsidRPr="009F12B1" w:rsidRDefault="00CA58E3" w:rsidP="009F12B1">
      <w:pPr>
        <w:rPr>
          <w:b/>
          <w:sz w:val="28"/>
        </w:rPr>
      </w:pPr>
    </w:p>
    <w:p w14:paraId="29EA5B70" w14:textId="77777777" w:rsidR="00CA58E3" w:rsidRDefault="00CA58E3" w:rsidP="00CA58E3">
      <w:pPr>
        <w:pStyle w:val="ListParagraph"/>
        <w:ind w:left="420"/>
        <w:rPr>
          <w:sz w:val="24"/>
          <w:szCs w:val="24"/>
        </w:rPr>
      </w:pPr>
    </w:p>
    <w:p w14:paraId="0A37501D" w14:textId="77777777" w:rsidR="00EC4252" w:rsidRDefault="00EC4252"/>
    <w:p w14:paraId="5DAB6C7B" w14:textId="77777777" w:rsidR="00B86E99" w:rsidRDefault="00B86E99"/>
    <w:p w14:paraId="02EB378F" w14:textId="77777777" w:rsidR="00B86E99" w:rsidRDefault="00B86E99"/>
    <w:p w14:paraId="6A05A809" w14:textId="77777777" w:rsidR="00B86E99" w:rsidRDefault="00B86E99"/>
    <w:p w14:paraId="5A39BBE3" w14:textId="77777777" w:rsidR="00B86E99" w:rsidRDefault="00B86E99"/>
    <w:p w14:paraId="41C8F396" w14:textId="77777777" w:rsidR="00B86E99" w:rsidRDefault="00B86E99"/>
    <w:p w14:paraId="72A3D3EC" w14:textId="77777777" w:rsidR="00B86E99" w:rsidRDefault="00B86E99"/>
    <w:p w14:paraId="0D0B940D" w14:textId="10BA18BA" w:rsidR="00B86E99" w:rsidRDefault="00B86E99"/>
    <w:p w14:paraId="4E534E6B" w14:textId="22B0A584" w:rsidR="00CA58E3" w:rsidRDefault="00CA58E3"/>
    <w:p w14:paraId="6DCA78F0" w14:textId="2302A6B5" w:rsidR="00CA58E3" w:rsidRDefault="00CA58E3"/>
    <w:p w14:paraId="37C223C7" w14:textId="6BA37E63" w:rsidR="00CA58E3" w:rsidRDefault="00CA58E3"/>
    <w:p w14:paraId="7A349306" w14:textId="3C2B61CD" w:rsidR="00CA58E3" w:rsidRDefault="00CA58E3"/>
    <w:p w14:paraId="6753C006" w14:textId="0D03BE2A" w:rsidR="00CA58E3" w:rsidRDefault="00CA58E3"/>
    <w:p w14:paraId="63A30422" w14:textId="15D588DD" w:rsidR="00CA58E3" w:rsidRDefault="00CA58E3"/>
    <w:p w14:paraId="6770E068" w14:textId="38C5AA67" w:rsidR="003138E8" w:rsidRDefault="003138E8"/>
    <w:p w14:paraId="43871CBB" w14:textId="7310D34B" w:rsidR="00CA58E3" w:rsidRDefault="00CA58E3"/>
    <w:p w14:paraId="6786C98D" w14:textId="77777777" w:rsidR="003138E8" w:rsidRDefault="003138E8"/>
    <w:p w14:paraId="3624D9DA" w14:textId="77777777" w:rsidR="00464221" w:rsidRDefault="00464221" w:rsidP="00897FB3">
      <w:pPr>
        <w:rPr>
          <w:b/>
          <w:sz w:val="24"/>
        </w:rPr>
      </w:pPr>
    </w:p>
    <w:p w14:paraId="2BA76AF7" w14:textId="09D0CE60" w:rsidR="00464221" w:rsidRDefault="00464221" w:rsidP="00897FB3">
      <w:pPr>
        <w:rPr>
          <w:b/>
          <w:sz w:val="24"/>
        </w:rPr>
      </w:pPr>
    </w:p>
    <w:p w14:paraId="68C603A3" w14:textId="4819159A" w:rsidR="00725F79" w:rsidRDefault="00725F79" w:rsidP="00897FB3">
      <w:pPr>
        <w:rPr>
          <w:b/>
          <w:sz w:val="24"/>
        </w:rPr>
      </w:pPr>
    </w:p>
    <w:p w14:paraId="43C3FEA8" w14:textId="5B1765C0" w:rsidR="00717A75" w:rsidRPr="00E630F8" w:rsidRDefault="00717A75" w:rsidP="00E630F8">
      <w:pPr>
        <w:pStyle w:val="ListParagraph"/>
        <w:numPr>
          <w:ilvl w:val="0"/>
          <w:numId w:val="14"/>
        </w:numPr>
        <w:spacing w:line="360" w:lineRule="auto"/>
        <w:rPr>
          <w:b/>
          <w:sz w:val="24"/>
        </w:rPr>
      </w:pPr>
      <w:r w:rsidRPr="00E630F8">
        <w:rPr>
          <w:b/>
          <w:sz w:val="24"/>
        </w:rPr>
        <w:lastRenderedPageBreak/>
        <w:t>References</w:t>
      </w:r>
    </w:p>
    <w:sdt>
      <w:sdtPr>
        <w:rPr>
          <w:rFonts w:asciiTheme="minorHAnsi" w:eastAsiaTheme="minorHAnsi" w:hAnsiTheme="minorHAnsi" w:cstheme="minorBidi"/>
          <w:color w:val="auto"/>
          <w:sz w:val="22"/>
          <w:szCs w:val="22"/>
        </w:rPr>
        <w:id w:val="-318880851"/>
        <w:docPartObj>
          <w:docPartGallery w:val="Bibliographies"/>
          <w:docPartUnique/>
        </w:docPartObj>
      </w:sdtPr>
      <w:sdtEndPr/>
      <w:sdtContent>
        <w:p w14:paraId="00D5EC1A" w14:textId="22CD3544" w:rsidR="00CB0C3A" w:rsidRDefault="00CB0C3A">
          <w:pPr>
            <w:pStyle w:val="Heading1"/>
          </w:pPr>
        </w:p>
        <w:sdt>
          <w:sdtPr>
            <w:id w:val="-573587230"/>
            <w:bibliography/>
          </w:sdtPr>
          <w:sdtEndPr/>
          <w:sdtContent>
            <w:p w14:paraId="103E99CA" w14:textId="77777777" w:rsidR="008651A5" w:rsidRDefault="00CB0C3A" w:rsidP="008651A5">
              <w:pPr>
                <w:pStyle w:val="Bibliography"/>
                <w:rPr>
                  <w:noProof/>
                  <w:sz w:val="24"/>
                  <w:szCs w:val="24"/>
                </w:rPr>
              </w:pPr>
              <w:r>
                <w:fldChar w:fldCharType="begin"/>
              </w:r>
              <w:r>
                <w:instrText xml:space="preserve"> BIBLIOGRAPHY </w:instrText>
              </w:r>
              <w:r>
                <w:fldChar w:fldCharType="separate"/>
              </w:r>
              <w:r w:rsidR="008651A5">
                <w:rPr>
                  <w:noProof/>
                </w:rPr>
                <w:t xml:space="preserve">Academy, T. L., 2022. </w:t>
              </w:r>
              <w:r w:rsidR="008651A5">
                <w:rPr>
                  <w:i/>
                  <w:iCs/>
                  <w:noProof/>
                </w:rPr>
                <w:t xml:space="preserve">The Law Academy, Damages in Tort [video]. </w:t>
              </w:r>
              <w:r w:rsidR="008651A5">
                <w:rPr>
                  <w:noProof/>
                </w:rPr>
                <w:t xml:space="preserve">[Online] </w:t>
              </w:r>
              <w:r w:rsidR="008651A5">
                <w:rPr>
                  <w:noProof/>
                </w:rPr>
                <w:br/>
                <w:t xml:space="preserve">Available at: </w:t>
              </w:r>
              <w:r w:rsidR="008651A5">
                <w:rPr>
                  <w:noProof/>
                  <w:u w:val="single"/>
                </w:rPr>
                <w:t>https://www.youtube.com/watch?v=YU5IXiiKfKQ&amp;ab_channel=TheLawAcademy</w:t>
              </w:r>
              <w:r w:rsidR="008651A5">
                <w:rPr>
                  <w:noProof/>
                </w:rPr>
                <w:br/>
                <w:t>[Accessed 18 November 2022].</w:t>
              </w:r>
            </w:p>
            <w:p w14:paraId="4C9E90A1" w14:textId="77777777" w:rsidR="008651A5" w:rsidRDefault="008651A5" w:rsidP="008651A5">
              <w:pPr>
                <w:pStyle w:val="Bibliography"/>
                <w:rPr>
                  <w:noProof/>
                </w:rPr>
              </w:pPr>
              <w:r>
                <w:rPr>
                  <w:noProof/>
                </w:rPr>
                <w:t xml:space="preserve">Anon., 2013. </w:t>
              </w:r>
              <w:r>
                <w:rPr>
                  <w:i/>
                  <w:iCs/>
                  <w:noProof/>
                </w:rPr>
                <w:t xml:space="preserve">Law Teacher, The Tort of Negligence. </w:t>
              </w:r>
              <w:r>
                <w:rPr>
                  <w:noProof/>
                </w:rPr>
                <w:t xml:space="preserve">[Online] </w:t>
              </w:r>
              <w:r>
                <w:rPr>
                  <w:noProof/>
                </w:rPr>
                <w:br/>
                <w:t xml:space="preserve">Available at: </w:t>
              </w:r>
              <w:r>
                <w:rPr>
                  <w:noProof/>
                  <w:u w:val="single"/>
                </w:rPr>
                <w:t>https://www.lawteacher.net/free-law-essays/tort-law/tort-of-negligence.php</w:t>
              </w:r>
              <w:r>
                <w:rPr>
                  <w:noProof/>
                </w:rPr>
                <w:br/>
                <w:t>[Accessed 9 November 2022].</w:t>
              </w:r>
            </w:p>
            <w:p w14:paraId="7A1F5DCE" w14:textId="77777777" w:rsidR="008651A5" w:rsidRDefault="008651A5" w:rsidP="008651A5">
              <w:pPr>
                <w:pStyle w:val="Bibliography"/>
                <w:rPr>
                  <w:noProof/>
                </w:rPr>
              </w:pPr>
              <w:r>
                <w:rPr>
                  <w:noProof/>
                </w:rPr>
                <w:t xml:space="preserve">Anon., 2016. </w:t>
              </w:r>
              <w:r>
                <w:rPr>
                  <w:i/>
                  <w:iCs/>
                  <w:noProof/>
                </w:rPr>
                <w:t xml:space="preserve">Adjudication.co.uk, Beumber v Vinci case. </w:t>
              </w:r>
              <w:r>
                <w:rPr>
                  <w:noProof/>
                </w:rPr>
                <w:t xml:space="preserve">[Online] </w:t>
              </w:r>
              <w:r>
                <w:rPr>
                  <w:noProof/>
                </w:rPr>
                <w:br/>
                <w:t xml:space="preserve">Available at: </w:t>
              </w:r>
              <w:r>
                <w:rPr>
                  <w:noProof/>
                  <w:u w:val="single"/>
                </w:rPr>
                <w:t>http://www.adjudication.co.uk/archive/view/case/1768/beumer_group_uk_ltd_v_vinci_construction_uk_ltd_[2016]_ewhc_2283_(tcc)/</w:t>
              </w:r>
              <w:r>
                <w:rPr>
                  <w:noProof/>
                </w:rPr>
                <w:br/>
                <w:t>[Accessed 21 November 2022].</w:t>
              </w:r>
            </w:p>
            <w:p w14:paraId="205EA891" w14:textId="77777777" w:rsidR="008651A5" w:rsidRDefault="008651A5" w:rsidP="008651A5">
              <w:pPr>
                <w:pStyle w:val="Bibliography"/>
                <w:rPr>
                  <w:noProof/>
                </w:rPr>
              </w:pPr>
              <w:r>
                <w:rPr>
                  <w:noProof/>
                </w:rPr>
                <w:t xml:space="preserve">Anon., 2016. </w:t>
              </w:r>
              <w:r>
                <w:rPr>
                  <w:i/>
                  <w:iCs/>
                  <w:noProof/>
                </w:rPr>
                <w:t xml:space="preserve">CMS Law Now, Beumer Group UK Ltd v Vinci Construction UK Ltd [2016] EWHC 2283 (TCC). </w:t>
              </w:r>
              <w:r>
                <w:rPr>
                  <w:noProof/>
                </w:rPr>
                <w:t xml:space="preserve">[Online] </w:t>
              </w:r>
              <w:r>
                <w:rPr>
                  <w:noProof/>
                </w:rPr>
                <w:br/>
                <w:t xml:space="preserve">Available at: </w:t>
              </w:r>
              <w:r>
                <w:rPr>
                  <w:noProof/>
                  <w:u w:val="single"/>
                </w:rPr>
                <w:t>Beumer Group UK Ltd v Vinci Construction UK Ltd [2016] EWHC 2283 (TCC)</w:t>
              </w:r>
              <w:r>
                <w:rPr>
                  <w:noProof/>
                </w:rPr>
                <w:br/>
                <w:t>[Accessed 21 November 2022].</w:t>
              </w:r>
            </w:p>
            <w:p w14:paraId="6A75788C" w14:textId="77777777" w:rsidR="008651A5" w:rsidRDefault="008651A5" w:rsidP="008651A5">
              <w:pPr>
                <w:pStyle w:val="Bibliography"/>
                <w:rPr>
                  <w:noProof/>
                </w:rPr>
              </w:pPr>
              <w:r>
                <w:rPr>
                  <w:noProof/>
                </w:rPr>
                <w:t xml:space="preserve">Anon., 2017. </w:t>
              </w:r>
              <w:r>
                <w:rPr>
                  <w:i/>
                  <w:iCs/>
                  <w:noProof/>
                </w:rPr>
                <w:t xml:space="preserve">Expert Evidence, Adjudication Advantages and Disadvantages. </w:t>
              </w:r>
              <w:r>
                <w:rPr>
                  <w:noProof/>
                </w:rPr>
                <w:t xml:space="preserve">[Online] </w:t>
              </w:r>
              <w:r>
                <w:rPr>
                  <w:noProof/>
                </w:rPr>
                <w:br/>
                <w:t xml:space="preserve">Available at: </w:t>
              </w:r>
              <w:r>
                <w:rPr>
                  <w:noProof/>
                  <w:u w:val="single"/>
                </w:rPr>
                <w:t xml:space="preserve">https://expert-evidence.com/adjudication-advantages-and-disadvantages/#:~:text=Adjudication%20allows%20disputing%20parties%20to,have%20ground%20to%20a%20halt. </w:t>
              </w:r>
              <w:r>
                <w:rPr>
                  <w:noProof/>
                </w:rPr>
                <w:br/>
                <w:t>[Accessed 21 November 2022].</w:t>
              </w:r>
            </w:p>
            <w:p w14:paraId="379E83B4" w14:textId="77777777" w:rsidR="008651A5" w:rsidRDefault="008651A5" w:rsidP="008651A5">
              <w:pPr>
                <w:pStyle w:val="Bibliography"/>
                <w:rPr>
                  <w:noProof/>
                </w:rPr>
              </w:pPr>
              <w:r>
                <w:rPr>
                  <w:noProof/>
                </w:rPr>
                <w:t xml:space="preserve">Anon., 2018. </w:t>
              </w:r>
              <w:r>
                <w:rPr>
                  <w:i/>
                  <w:iCs/>
                  <w:noProof/>
                </w:rPr>
                <w:t xml:space="preserve">Bailii, England and Wales High Court decisions. </w:t>
              </w:r>
              <w:r>
                <w:rPr>
                  <w:noProof/>
                </w:rPr>
                <w:t xml:space="preserve">[Online] </w:t>
              </w:r>
              <w:r>
                <w:rPr>
                  <w:noProof/>
                </w:rPr>
                <w:br/>
                <w:t xml:space="preserve">Available at: </w:t>
              </w:r>
              <w:r>
                <w:rPr>
                  <w:noProof/>
                  <w:u w:val="single"/>
                </w:rPr>
                <w:t>http://www.bailii.org/ew/cases/EWHC/TCC/2018/1874.html</w:t>
              </w:r>
              <w:r>
                <w:rPr>
                  <w:noProof/>
                </w:rPr>
                <w:br/>
                <w:t>[Accessed 21 November 2022].</w:t>
              </w:r>
            </w:p>
            <w:p w14:paraId="572F58FF" w14:textId="77777777" w:rsidR="008651A5" w:rsidRDefault="008651A5" w:rsidP="008651A5">
              <w:pPr>
                <w:pStyle w:val="Bibliography"/>
                <w:rPr>
                  <w:noProof/>
                </w:rPr>
              </w:pPr>
              <w:r>
                <w:rPr>
                  <w:noProof/>
                </w:rPr>
                <w:t xml:space="preserve">Anon., 2019. </w:t>
              </w:r>
              <w:r>
                <w:rPr>
                  <w:i/>
                  <w:iCs/>
                  <w:noProof/>
                </w:rPr>
                <w:t xml:space="preserve">Find Law, What is negligence. </w:t>
              </w:r>
              <w:r>
                <w:rPr>
                  <w:noProof/>
                </w:rPr>
                <w:t xml:space="preserve">[Online] </w:t>
              </w:r>
              <w:r>
                <w:rPr>
                  <w:noProof/>
                </w:rPr>
                <w:br/>
                <w:t xml:space="preserve">Available at: </w:t>
              </w:r>
              <w:r>
                <w:rPr>
                  <w:noProof/>
                  <w:u w:val="single"/>
                </w:rPr>
                <w:t>https://www.findlaw.com/injury/accident-injury-law/proving-fault-what-is-negligence.html</w:t>
              </w:r>
              <w:r>
                <w:rPr>
                  <w:noProof/>
                </w:rPr>
                <w:br/>
                <w:t>[Accessed 16 November 2022].</w:t>
              </w:r>
            </w:p>
            <w:p w14:paraId="4E7608DA" w14:textId="77777777" w:rsidR="008651A5" w:rsidRDefault="008651A5" w:rsidP="008651A5">
              <w:pPr>
                <w:pStyle w:val="Bibliography"/>
                <w:rPr>
                  <w:noProof/>
                </w:rPr>
              </w:pPr>
              <w:r>
                <w:rPr>
                  <w:noProof/>
                </w:rPr>
                <w:t xml:space="preserve">Anon., 2020. </w:t>
              </w:r>
              <w:r>
                <w:rPr>
                  <w:i/>
                  <w:iCs/>
                  <w:noProof/>
                </w:rPr>
                <w:t xml:space="preserve">LexForti, Damages Under Tort Law. </w:t>
              </w:r>
              <w:r>
                <w:rPr>
                  <w:noProof/>
                </w:rPr>
                <w:t xml:space="preserve">[Online] </w:t>
              </w:r>
              <w:r>
                <w:rPr>
                  <w:noProof/>
                </w:rPr>
                <w:br/>
                <w:t xml:space="preserve">Available at: </w:t>
              </w:r>
              <w:r>
                <w:rPr>
                  <w:noProof/>
                  <w:u w:val="single"/>
                </w:rPr>
                <w:t>https://lexforti.com/legal-news/damages-under-tort-law/</w:t>
              </w:r>
              <w:r>
                <w:rPr>
                  <w:noProof/>
                </w:rPr>
                <w:br/>
                <w:t>[Accessed 18 November 2022].</w:t>
              </w:r>
            </w:p>
            <w:p w14:paraId="213E6159" w14:textId="77777777" w:rsidR="008651A5" w:rsidRDefault="008651A5" w:rsidP="008651A5">
              <w:pPr>
                <w:pStyle w:val="Bibliography"/>
                <w:rPr>
                  <w:noProof/>
                </w:rPr>
              </w:pPr>
              <w:r>
                <w:rPr>
                  <w:noProof/>
                </w:rPr>
                <w:t xml:space="preserve">Anon., n.d. </w:t>
              </w:r>
              <w:r>
                <w:rPr>
                  <w:i/>
                  <w:iCs/>
                  <w:noProof/>
                </w:rPr>
                <w:t xml:space="preserve">Humphreys, Negligence Claims: Proceedings. </w:t>
              </w:r>
              <w:r>
                <w:rPr>
                  <w:noProof/>
                </w:rPr>
                <w:t xml:space="preserve">[Online] </w:t>
              </w:r>
              <w:r>
                <w:rPr>
                  <w:noProof/>
                </w:rPr>
                <w:br/>
                <w:t xml:space="preserve">Available at: </w:t>
              </w:r>
              <w:r>
                <w:rPr>
                  <w:noProof/>
                  <w:u w:val="single"/>
                </w:rPr>
                <w:t>https://www.humphreys.co.uk/commercial/negligence-general-2/</w:t>
              </w:r>
              <w:r>
                <w:rPr>
                  <w:noProof/>
                </w:rPr>
                <w:br/>
                <w:t>[Accessed 18 November 2022].</w:t>
              </w:r>
            </w:p>
            <w:p w14:paraId="7129581D" w14:textId="77777777" w:rsidR="008651A5" w:rsidRDefault="008651A5" w:rsidP="008651A5">
              <w:pPr>
                <w:pStyle w:val="Bibliography"/>
                <w:rPr>
                  <w:noProof/>
                </w:rPr>
              </w:pPr>
              <w:r>
                <w:rPr>
                  <w:noProof/>
                </w:rPr>
                <w:t xml:space="preserve">Anon., n.d. </w:t>
              </w:r>
              <w:r>
                <w:rPr>
                  <w:i/>
                  <w:iCs/>
                  <w:noProof/>
                </w:rPr>
                <w:t xml:space="preserve">Up Counsel, Damages for Negligence. </w:t>
              </w:r>
              <w:r>
                <w:rPr>
                  <w:noProof/>
                </w:rPr>
                <w:t xml:space="preserve">[Online] </w:t>
              </w:r>
              <w:r>
                <w:rPr>
                  <w:noProof/>
                </w:rPr>
                <w:br/>
                <w:t xml:space="preserve">Available at: </w:t>
              </w:r>
              <w:r>
                <w:rPr>
                  <w:noProof/>
                  <w:u w:val="single"/>
                </w:rPr>
                <w:t>https://www.upcounsel.com/damages-for-negligence</w:t>
              </w:r>
              <w:r>
                <w:rPr>
                  <w:noProof/>
                </w:rPr>
                <w:br/>
                <w:t>[Accessed 18 November 2022].</w:t>
              </w:r>
            </w:p>
            <w:p w14:paraId="5A2646FF" w14:textId="77777777" w:rsidR="008651A5" w:rsidRDefault="008651A5" w:rsidP="008651A5">
              <w:pPr>
                <w:pStyle w:val="Bibliography"/>
                <w:rPr>
                  <w:noProof/>
                </w:rPr>
              </w:pPr>
              <w:r>
                <w:rPr>
                  <w:noProof/>
                </w:rPr>
                <w:t xml:space="preserve">Anon, Unk. </w:t>
              </w:r>
              <w:r>
                <w:rPr>
                  <w:i/>
                  <w:iCs/>
                  <w:noProof/>
                </w:rPr>
                <w:t xml:space="preserve">The Lawyer Portal, Tort Law Guide. </w:t>
              </w:r>
              <w:r>
                <w:rPr>
                  <w:noProof/>
                </w:rPr>
                <w:t xml:space="preserve">[Online] </w:t>
              </w:r>
              <w:r>
                <w:rPr>
                  <w:noProof/>
                </w:rPr>
                <w:br/>
                <w:t xml:space="preserve">Available at: </w:t>
              </w:r>
              <w:r>
                <w:rPr>
                  <w:noProof/>
                  <w:u w:val="single"/>
                </w:rPr>
                <w:t>https://www.thelawyerportal.com/careers/areas-of-law/areas-legal-practice/tort-law-</w:t>
              </w:r>
              <w:r>
                <w:rPr>
                  <w:noProof/>
                  <w:u w:val="single"/>
                </w:rPr>
                <w:lastRenderedPageBreak/>
                <w:t>guide/</w:t>
              </w:r>
              <w:r>
                <w:rPr>
                  <w:noProof/>
                </w:rPr>
                <w:br/>
                <w:t>[Accessed 11 November 2022].</w:t>
              </w:r>
            </w:p>
            <w:p w14:paraId="097E8539" w14:textId="77777777" w:rsidR="008651A5" w:rsidRDefault="008651A5" w:rsidP="008651A5">
              <w:pPr>
                <w:pStyle w:val="Bibliography"/>
                <w:rPr>
                  <w:noProof/>
                </w:rPr>
              </w:pPr>
              <w:r>
                <w:rPr>
                  <w:noProof/>
                </w:rPr>
                <w:t xml:space="preserve">Breezer, T., 2014. </w:t>
              </w:r>
              <w:r>
                <w:rPr>
                  <w:i/>
                  <w:iCs/>
                  <w:noProof/>
                </w:rPr>
                <w:t xml:space="preserve">Womble Bond Dickinson, Civil Procedure Rules Part 8 claims. </w:t>
              </w:r>
              <w:r>
                <w:rPr>
                  <w:noProof/>
                </w:rPr>
                <w:t xml:space="preserve">[Online] </w:t>
              </w:r>
              <w:r>
                <w:rPr>
                  <w:noProof/>
                </w:rPr>
                <w:br/>
                <w:t xml:space="preserve">Available at: </w:t>
              </w:r>
              <w:r>
                <w:rPr>
                  <w:noProof/>
                  <w:u w:val="single"/>
                </w:rPr>
                <w:t xml:space="preserve">https://www.womblebonddickinson.com/uk/insights/articles-and-briefings/civil-procedure-rules-cpr-part-8-claims-update#:~:text=What%20is%20Part%208%3F,a%20substantial%20dispute%20of%20fact. </w:t>
              </w:r>
              <w:r>
                <w:rPr>
                  <w:noProof/>
                </w:rPr>
                <w:br/>
                <w:t>[Accessed 20 November 2022].</w:t>
              </w:r>
            </w:p>
            <w:p w14:paraId="55C9945A" w14:textId="77777777" w:rsidR="008651A5" w:rsidRDefault="008651A5" w:rsidP="008651A5">
              <w:pPr>
                <w:pStyle w:val="Bibliography"/>
                <w:rPr>
                  <w:noProof/>
                </w:rPr>
              </w:pPr>
              <w:r>
                <w:rPr>
                  <w:noProof/>
                </w:rPr>
                <w:t xml:space="preserve">Buckley, R., n.d. </w:t>
              </w:r>
              <w:r>
                <w:rPr>
                  <w:i/>
                  <w:iCs/>
                  <w:noProof/>
                </w:rPr>
                <w:t xml:space="preserve">Lexis Nexis, Key elements to establish a negligence claim. </w:t>
              </w:r>
              <w:r>
                <w:rPr>
                  <w:noProof/>
                </w:rPr>
                <w:t xml:space="preserve">[Online] </w:t>
              </w:r>
              <w:r>
                <w:rPr>
                  <w:noProof/>
                </w:rPr>
                <w:br/>
                <w:t xml:space="preserve">Available at: </w:t>
              </w:r>
              <w:r>
                <w:rPr>
                  <w:noProof/>
                  <w:u w:val="single"/>
                </w:rPr>
                <w:t>https://www.lexisnexis.co.uk/legal/guidance/negligence-key-elements-to-establish-a-negligence-claim</w:t>
              </w:r>
              <w:r>
                <w:rPr>
                  <w:noProof/>
                </w:rPr>
                <w:br/>
                <w:t>[Accessed 16 November 2022].</w:t>
              </w:r>
            </w:p>
            <w:p w14:paraId="314D26D3" w14:textId="77777777" w:rsidR="008651A5" w:rsidRDefault="008651A5" w:rsidP="008651A5">
              <w:pPr>
                <w:pStyle w:val="Bibliography"/>
                <w:rPr>
                  <w:noProof/>
                </w:rPr>
              </w:pPr>
              <w:r>
                <w:rPr>
                  <w:noProof/>
                </w:rPr>
                <w:t xml:space="preserve">Cope, J., 2018. </w:t>
              </w:r>
              <w:r>
                <w:rPr>
                  <w:i/>
                  <w:iCs/>
                  <w:noProof/>
                </w:rPr>
                <w:t xml:space="preserve">Construction Blog, The case that keeps on giving. </w:t>
              </w:r>
              <w:r>
                <w:rPr>
                  <w:noProof/>
                </w:rPr>
                <w:t xml:space="preserve">[Online] </w:t>
              </w:r>
              <w:r>
                <w:rPr>
                  <w:noProof/>
                </w:rPr>
                <w:br/>
                <w:t xml:space="preserve">Available at: </w:t>
              </w:r>
              <w:r>
                <w:rPr>
                  <w:noProof/>
                  <w:u w:val="single"/>
                </w:rPr>
                <w:t>http://constructionblog.practicallaw.com/vinci-v-beumer-the-case-that-keeps-on-giving-and-giving/</w:t>
              </w:r>
              <w:r>
                <w:rPr>
                  <w:noProof/>
                </w:rPr>
                <w:br/>
                <w:t>[Accessed 20 November 2022].</w:t>
              </w:r>
            </w:p>
            <w:p w14:paraId="77D7363B" w14:textId="77777777" w:rsidR="008651A5" w:rsidRDefault="008651A5" w:rsidP="008651A5">
              <w:pPr>
                <w:pStyle w:val="Bibliography"/>
                <w:rPr>
                  <w:noProof/>
                </w:rPr>
              </w:pPr>
              <w:r>
                <w:rPr>
                  <w:noProof/>
                </w:rPr>
                <w:t xml:space="preserve">Finn, M., 2018. </w:t>
              </w:r>
              <w:r>
                <w:rPr>
                  <w:i/>
                  <w:iCs/>
                  <w:noProof/>
                </w:rPr>
                <w:t xml:space="preserve">Ankura, The level of Adjudication in the UK. </w:t>
              </w:r>
              <w:r>
                <w:rPr>
                  <w:noProof/>
                </w:rPr>
                <w:t xml:space="preserve">[Online] </w:t>
              </w:r>
              <w:r>
                <w:rPr>
                  <w:noProof/>
                </w:rPr>
                <w:br/>
                <w:t xml:space="preserve">Available at: </w:t>
              </w:r>
              <w:r>
                <w:rPr>
                  <w:noProof/>
                  <w:u w:val="single"/>
                </w:rPr>
                <w:t>https://angle.ankura.com/post/102hb4r/the-evolution-of-adjudication-in-the-uk</w:t>
              </w:r>
              <w:r>
                <w:rPr>
                  <w:noProof/>
                </w:rPr>
                <w:br/>
                <w:t>[Accessed 20 November 2022].</w:t>
              </w:r>
            </w:p>
            <w:p w14:paraId="16485D83" w14:textId="77777777" w:rsidR="008651A5" w:rsidRDefault="008651A5" w:rsidP="008651A5">
              <w:pPr>
                <w:pStyle w:val="Bibliography"/>
                <w:rPr>
                  <w:noProof/>
                </w:rPr>
              </w:pPr>
              <w:r>
                <w:rPr>
                  <w:noProof/>
                </w:rPr>
                <w:t xml:space="preserve">Gibb, S., 2019. </w:t>
              </w:r>
              <w:r>
                <w:rPr>
                  <w:i/>
                  <w:iCs/>
                  <w:noProof/>
                </w:rPr>
                <w:t xml:space="preserve">Slideshare.net, Macob: 20 years on. </w:t>
              </w:r>
              <w:r>
                <w:rPr>
                  <w:noProof/>
                </w:rPr>
                <w:t xml:space="preserve">[Online] </w:t>
              </w:r>
              <w:r>
                <w:rPr>
                  <w:noProof/>
                </w:rPr>
                <w:br/>
                <w:t xml:space="preserve">Available at: </w:t>
              </w:r>
              <w:r>
                <w:rPr>
                  <w:noProof/>
                  <w:u w:val="single"/>
                </w:rPr>
                <w:t>https://www.slideshare.net/SeanGibbsDipArbFCIAR/macob-20-years-on</w:t>
              </w:r>
              <w:r>
                <w:rPr>
                  <w:noProof/>
                </w:rPr>
                <w:br/>
                <w:t>[Accessed 23 November 2022].</w:t>
              </w:r>
            </w:p>
            <w:p w14:paraId="7138299A" w14:textId="77777777" w:rsidR="008651A5" w:rsidRDefault="008651A5" w:rsidP="008651A5">
              <w:pPr>
                <w:pStyle w:val="Bibliography"/>
                <w:rPr>
                  <w:noProof/>
                </w:rPr>
              </w:pPr>
              <w:r>
                <w:rPr>
                  <w:noProof/>
                </w:rPr>
                <w:t xml:space="preserve">Hayes, A., 2022. </w:t>
              </w:r>
              <w:r>
                <w:rPr>
                  <w:i/>
                  <w:iCs/>
                  <w:noProof/>
                </w:rPr>
                <w:t xml:space="preserve">Investopedia, Tort Law. </w:t>
              </w:r>
              <w:r>
                <w:rPr>
                  <w:noProof/>
                </w:rPr>
                <w:t xml:space="preserve">[Online] </w:t>
              </w:r>
              <w:r>
                <w:rPr>
                  <w:noProof/>
                </w:rPr>
                <w:br/>
                <w:t xml:space="preserve">Available at: </w:t>
              </w:r>
              <w:r>
                <w:rPr>
                  <w:noProof/>
                  <w:u w:val="single"/>
                </w:rPr>
                <w:t>https://www.investopedia.com/terms/t/tort-law.asp</w:t>
              </w:r>
              <w:r>
                <w:rPr>
                  <w:noProof/>
                </w:rPr>
                <w:br/>
                <w:t>[Accessed 16 November 2022].</w:t>
              </w:r>
            </w:p>
            <w:p w14:paraId="12A0EFEF" w14:textId="77777777" w:rsidR="008651A5" w:rsidRDefault="008651A5" w:rsidP="008651A5">
              <w:pPr>
                <w:pStyle w:val="Bibliography"/>
                <w:rPr>
                  <w:noProof/>
                </w:rPr>
              </w:pPr>
              <w:r>
                <w:rPr>
                  <w:noProof/>
                </w:rPr>
                <w:t xml:space="preserve">Law Teacher, 2018. </w:t>
              </w:r>
              <w:r>
                <w:rPr>
                  <w:i/>
                  <w:iCs/>
                  <w:noProof/>
                </w:rPr>
                <w:t xml:space="preserve">Law Teacher, Duty of Care. </w:t>
              </w:r>
              <w:r>
                <w:rPr>
                  <w:noProof/>
                </w:rPr>
                <w:t xml:space="preserve">[Online] </w:t>
              </w:r>
              <w:r>
                <w:rPr>
                  <w:noProof/>
                </w:rPr>
                <w:br/>
                <w:t xml:space="preserve">Available at: </w:t>
              </w:r>
              <w:r>
                <w:rPr>
                  <w:noProof/>
                  <w:u w:val="single"/>
                </w:rPr>
                <w:t>https://www.lawteacher.net/lectures/tort-law/negligence/duty-of-care/</w:t>
              </w:r>
              <w:r>
                <w:rPr>
                  <w:noProof/>
                </w:rPr>
                <w:br/>
                <w:t>[Accessed 16 November 2022].</w:t>
              </w:r>
            </w:p>
            <w:p w14:paraId="43216862" w14:textId="77777777" w:rsidR="008651A5" w:rsidRDefault="008651A5" w:rsidP="008651A5">
              <w:pPr>
                <w:pStyle w:val="Bibliography"/>
                <w:rPr>
                  <w:noProof/>
                </w:rPr>
              </w:pPr>
              <w:r>
                <w:rPr>
                  <w:noProof/>
                </w:rPr>
                <w:t xml:space="preserve">Law Teacher, 2021. </w:t>
              </w:r>
              <w:r>
                <w:rPr>
                  <w:i/>
                  <w:iCs/>
                  <w:noProof/>
                </w:rPr>
                <w:t xml:space="preserve">Law Teacher. </w:t>
              </w:r>
              <w:r>
                <w:rPr>
                  <w:noProof/>
                </w:rPr>
                <w:t xml:space="preserve">[Online] </w:t>
              </w:r>
              <w:r>
                <w:rPr>
                  <w:noProof/>
                </w:rPr>
                <w:br/>
                <w:t xml:space="preserve">Available at: </w:t>
              </w:r>
              <w:r>
                <w:rPr>
                  <w:noProof/>
                  <w:u w:val="single"/>
                </w:rPr>
                <w:t>https://www.lawteacher.net/free-law-essays/tort-law/tort-of-negligence.php#citethis</w:t>
              </w:r>
              <w:r>
                <w:rPr>
                  <w:noProof/>
                </w:rPr>
                <w:br/>
                <w:t>[Accessed 09 November 2022].</w:t>
              </w:r>
            </w:p>
            <w:p w14:paraId="73AE5928" w14:textId="77777777" w:rsidR="008651A5" w:rsidRDefault="008651A5" w:rsidP="008651A5">
              <w:pPr>
                <w:pStyle w:val="Bibliography"/>
                <w:rPr>
                  <w:noProof/>
                </w:rPr>
              </w:pPr>
              <w:r>
                <w:rPr>
                  <w:noProof/>
                </w:rPr>
                <w:t xml:space="preserve">Mckenna, C., 1999. </w:t>
              </w:r>
              <w:r>
                <w:rPr>
                  <w:i/>
                  <w:iCs/>
                  <w:noProof/>
                </w:rPr>
                <w:t xml:space="preserve">Adjudication.co.uk, Macob v Morrison. </w:t>
              </w:r>
              <w:r>
                <w:rPr>
                  <w:noProof/>
                </w:rPr>
                <w:t xml:space="preserve">[Online] </w:t>
              </w:r>
              <w:r>
                <w:rPr>
                  <w:noProof/>
                </w:rPr>
                <w:br/>
                <w:t xml:space="preserve">Available at: </w:t>
              </w:r>
              <w:r>
                <w:rPr>
                  <w:noProof/>
                  <w:u w:val="single"/>
                </w:rPr>
                <w:t>http://www.adjudication.co.uk/archive/view/case/252/macob_civil_eng._ltd_v_morrison_construction_ltd_[1999]_ewhc_technology_254/</w:t>
              </w:r>
              <w:r>
                <w:rPr>
                  <w:noProof/>
                </w:rPr>
                <w:br/>
                <w:t>[Accessed 23 November 2022].</w:t>
              </w:r>
            </w:p>
            <w:p w14:paraId="029F4068" w14:textId="77777777" w:rsidR="008651A5" w:rsidRDefault="008651A5" w:rsidP="008651A5">
              <w:pPr>
                <w:pStyle w:val="Bibliography"/>
                <w:rPr>
                  <w:noProof/>
                </w:rPr>
              </w:pPr>
              <w:r>
                <w:rPr>
                  <w:noProof/>
                </w:rPr>
                <w:t xml:space="preserve">McMeeken, R., 2006. </w:t>
              </w:r>
              <w:r>
                <w:rPr>
                  <w:i/>
                  <w:iCs/>
                  <w:noProof/>
                </w:rPr>
                <w:t xml:space="preserve">Building.co.uk, 5 legal cases that changed your world. </w:t>
              </w:r>
              <w:r>
                <w:rPr>
                  <w:noProof/>
                </w:rPr>
                <w:t xml:space="preserve">[Online] </w:t>
              </w:r>
              <w:r>
                <w:rPr>
                  <w:noProof/>
                </w:rPr>
                <w:br/>
                <w:t xml:space="preserve">Available at: </w:t>
              </w:r>
              <w:r>
                <w:rPr>
                  <w:noProof/>
                  <w:u w:val="single"/>
                </w:rPr>
                <w:t>https://www.building.co.uk/five-legal-cases-that-changed-your-world/3075562.article</w:t>
              </w:r>
              <w:r>
                <w:rPr>
                  <w:noProof/>
                </w:rPr>
                <w:br/>
                <w:t>[Accessed 20 November 2022].</w:t>
              </w:r>
            </w:p>
            <w:p w14:paraId="32768669" w14:textId="77777777" w:rsidR="008651A5" w:rsidRDefault="008651A5" w:rsidP="008651A5">
              <w:pPr>
                <w:pStyle w:val="Bibliography"/>
                <w:rPr>
                  <w:noProof/>
                </w:rPr>
              </w:pPr>
              <w:r>
                <w:rPr>
                  <w:noProof/>
                </w:rPr>
                <w:t xml:space="preserve">Nicholas, G., 2017. </w:t>
              </w:r>
              <w:r>
                <w:rPr>
                  <w:i/>
                  <w:iCs/>
                  <w:noProof/>
                </w:rPr>
                <w:t xml:space="preserve">Fenwick Elliott, Adjudication case notes. </w:t>
              </w:r>
              <w:r>
                <w:rPr>
                  <w:noProof/>
                </w:rPr>
                <w:t xml:space="preserve">[Online] </w:t>
              </w:r>
              <w:r>
                <w:rPr>
                  <w:noProof/>
                </w:rPr>
                <w:br/>
                <w:t xml:space="preserve">Available at: </w:t>
              </w:r>
              <w:r>
                <w:rPr>
                  <w:noProof/>
                  <w:u w:val="single"/>
                </w:rPr>
                <w:t>https://www.fenwickelliott.com/research-insight/adjudication-case-notes/vinci-construction-uk-ltd-v-beumer-group-uk-ltd</w:t>
              </w:r>
              <w:r>
                <w:rPr>
                  <w:noProof/>
                </w:rPr>
                <w:br/>
                <w:t>[Accessed 20 November 2022].</w:t>
              </w:r>
            </w:p>
            <w:p w14:paraId="080F3F92" w14:textId="77777777" w:rsidR="008651A5" w:rsidRDefault="008651A5" w:rsidP="008651A5">
              <w:pPr>
                <w:pStyle w:val="Bibliography"/>
                <w:rPr>
                  <w:noProof/>
                </w:rPr>
              </w:pPr>
              <w:r>
                <w:rPr>
                  <w:noProof/>
                </w:rPr>
                <w:lastRenderedPageBreak/>
                <w:t xml:space="preserve">Osborne, S., n.d. </w:t>
              </w:r>
              <w:r>
                <w:rPr>
                  <w:i/>
                  <w:iCs/>
                  <w:noProof/>
                </w:rPr>
                <w:t xml:space="preserve">Acca Global, The tort of Negligence. </w:t>
              </w:r>
              <w:r>
                <w:rPr>
                  <w:noProof/>
                </w:rPr>
                <w:t xml:space="preserve">[Online] </w:t>
              </w:r>
              <w:r>
                <w:rPr>
                  <w:noProof/>
                </w:rPr>
                <w:br/>
                <w:t xml:space="preserve">Available at: </w:t>
              </w:r>
              <w:r>
                <w:rPr>
                  <w:noProof/>
                  <w:u w:val="single"/>
                </w:rPr>
                <w:t>https://www.accaglobal.com/gb/en/student/exam-support-resources/fundamentals-exams-study-resources/f4/technical-articles/tort-negligence.html</w:t>
              </w:r>
              <w:r>
                <w:rPr>
                  <w:noProof/>
                </w:rPr>
                <w:br/>
                <w:t>[Accessed 18 November 2022].</w:t>
              </w:r>
            </w:p>
            <w:p w14:paraId="6B7B0A9D" w14:textId="16DBCD0E" w:rsidR="00B9781C" w:rsidRPr="00B91D95" w:rsidRDefault="00CB0C3A" w:rsidP="008651A5">
              <w:r>
                <w:rPr>
                  <w:b/>
                  <w:bCs/>
                  <w:noProof/>
                </w:rPr>
                <w:fldChar w:fldCharType="end"/>
              </w:r>
              <w:r w:rsidR="003B0CE5" w:rsidRPr="003B0CE5">
                <w:rPr>
                  <w:noProof/>
                </w:rPr>
                <w:t xml:space="preserve"> </w:t>
              </w:r>
              <w:r w:rsidR="003B0CE5" w:rsidRPr="003B0CE5">
                <w:rPr>
                  <w:noProof/>
                  <w:color w:val="0563C1" w:themeColor="hyperlink"/>
                </w:rPr>
                <w:t>(Gibb, 2019)</w:t>
              </w:r>
            </w:p>
          </w:sdtContent>
        </w:sdt>
      </w:sdtContent>
    </w:sdt>
    <w:sectPr w:rsidR="00B9781C" w:rsidRPr="00B91D95" w:rsidSect="00897FB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8AC6AC" w14:textId="77777777" w:rsidR="0099505A" w:rsidRDefault="0099505A" w:rsidP="002A08AD">
      <w:pPr>
        <w:spacing w:after="0" w:line="240" w:lineRule="auto"/>
      </w:pPr>
      <w:r>
        <w:separator/>
      </w:r>
    </w:p>
  </w:endnote>
  <w:endnote w:type="continuationSeparator" w:id="0">
    <w:p w14:paraId="21A0BEE2" w14:textId="77777777" w:rsidR="0099505A" w:rsidRDefault="0099505A" w:rsidP="002A0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1709346"/>
      <w:docPartObj>
        <w:docPartGallery w:val="Page Numbers (Bottom of Page)"/>
        <w:docPartUnique/>
      </w:docPartObj>
    </w:sdtPr>
    <w:sdtEndPr>
      <w:rPr>
        <w:noProof/>
      </w:rPr>
    </w:sdtEndPr>
    <w:sdtContent>
      <w:p w14:paraId="0A1BD156" w14:textId="218A46DD" w:rsidR="00F97338" w:rsidRDefault="00F97338">
        <w:pPr>
          <w:pStyle w:val="Footer"/>
        </w:pPr>
        <w:r>
          <w:fldChar w:fldCharType="begin"/>
        </w:r>
        <w:r>
          <w:instrText xml:space="preserve"> PAGE   \* MERGEFORMAT </w:instrText>
        </w:r>
        <w:r>
          <w:fldChar w:fldCharType="separate"/>
        </w:r>
        <w:r w:rsidR="009F4A5D">
          <w:rPr>
            <w:noProof/>
          </w:rPr>
          <w:t>12</w:t>
        </w:r>
        <w:r>
          <w:rPr>
            <w:noProof/>
          </w:rPr>
          <w:fldChar w:fldCharType="end"/>
        </w:r>
      </w:p>
    </w:sdtContent>
  </w:sdt>
  <w:p w14:paraId="2B01CD8E" w14:textId="77777777" w:rsidR="00F97338" w:rsidRDefault="00F973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C4FFD8" w14:textId="77777777" w:rsidR="0099505A" w:rsidRDefault="0099505A" w:rsidP="002A08AD">
      <w:pPr>
        <w:spacing w:after="0" w:line="240" w:lineRule="auto"/>
      </w:pPr>
      <w:r>
        <w:separator/>
      </w:r>
    </w:p>
  </w:footnote>
  <w:footnote w:type="continuationSeparator" w:id="0">
    <w:p w14:paraId="01779ADE" w14:textId="77777777" w:rsidR="0099505A" w:rsidRDefault="0099505A" w:rsidP="002A08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6E1AD" w14:textId="073B7E8F" w:rsidR="00F97338" w:rsidRDefault="00F97338">
    <w:pPr>
      <w:pStyle w:val="Header"/>
    </w:pPr>
    <w:r>
      <w:t>Ethan Evans (2211009)</w:t>
    </w:r>
  </w:p>
  <w:p w14:paraId="53128261" w14:textId="77777777" w:rsidR="00F97338" w:rsidRDefault="00F973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C18E3"/>
    <w:multiLevelType w:val="hybridMultilevel"/>
    <w:tmpl w:val="C42C7AD4"/>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26A303AF"/>
    <w:multiLevelType w:val="multilevel"/>
    <w:tmpl w:val="AD8A12B8"/>
    <w:lvl w:ilvl="0">
      <w:start w:val="1"/>
      <w:numFmt w:val="decimal"/>
      <w:lvlText w:val="%1.0"/>
      <w:lvlJc w:val="left"/>
      <w:pPr>
        <w:ind w:left="420" w:hanging="420"/>
      </w:pPr>
      <w:rPr>
        <w:rFonts w:hint="default"/>
        <w:color w:val="767171" w:themeColor="background2" w:themeShade="80"/>
        <w:sz w:val="24"/>
      </w:rPr>
    </w:lvl>
    <w:lvl w:ilvl="1">
      <w:start w:val="1"/>
      <w:numFmt w:val="decimal"/>
      <w:lvlText w:val="%1.%2"/>
      <w:lvlJc w:val="left"/>
      <w:pPr>
        <w:ind w:left="1129" w:hanging="420"/>
      </w:pPr>
      <w:rPr>
        <w:rFonts w:hint="default"/>
        <w:color w:val="767171" w:themeColor="background2" w:themeShade="80"/>
        <w:sz w:val="22"/>
      </w:rPr>
    </w:lvl>
    <w:lvl w:ilvl="2">
      <w:start w:val="1"/>
      <w:numFmt w:val="decimal"/>
      <w:lvlText w:val="%1.%2.%3"/>
      <w:lvlJc w:val="left"/>
      <w:pPr>
        <w:ind w:left="2160" w:hanging="720"/>
      </w:pPr>
      <w:rPr>
        <w:rFonts w:hint="default"/>
        <w:color w:val="E7E6E6" w:themeColor="background2"/>
      </w:rPr>
    </w:lvl>
    <w:lvl w:ilvl="3">
      <w:start w:val="1"/>
      <w:numFmt w:val="decimal"/>
      <w:lvlText w:val="%1.%2.%3.%4"/>
      <w:lvlJc w:val="left"/>
      <w:pPr>
        <w:ind w:left="3240" w:hanging="1080"/>
      </w:pPr>
      <w:rPr>
        <w:rFonts w:hint="default"/>
        <w:color w:val="E7E6E6" w:themeColor="background2"/>
      </w:rPr>
    </w:lvl>
    <w:lvl w:ilvl="4">
      <w:start w:val="1"/>
      <w:numFmt w:val="decimal"/>
      <w:lvlText w:val="%1.%2.%3.%4.%5"/>
      <w:lvlJc w:val="left"/>
      <w:pPr>
        <w:ind w:left="3960" w:hanging="1080"/>
      </w:pPr>
      <w:rPr>
        <w:rFonts w:hint="default"/>
        <w:color w:val="E7E6E6" w:themeColor="background2"/>
      </w:rPr>
    </w:lvl>
    <w:lvl w:ilvl="5">
      <w:start w:val="1"/>
      <w:numFmt w:val="decimal"/>
      <w:lvlText w:val="%1.%2.%3.%4.%5.%6"/>
      <w:lvlJc w:val="left"/>
      <w:pPr>
        <w:ind w:left="5040" w:hanging="1440"/>
      </w:pPr>
      <w:rPr>
        <w:rFonts w:hint="default"/>
        <w:color w:val="E7E6E6" w:themeColor="background2"/>
      </w:rPr>
    </w:lvl>
    <w:lvl w:ilvl="6">
      <w:start w:val="1"/>
      <w:numFmt w:val="decimal"/>
      <w:lvlText w:val="%1.%2.%3.%4.%5.%6.%7"/>
      <w:lvlJc w:val="left"/>
      <w:pPr>
        <w:ind w:left="5760" w:hanging="1440"/>
      </w:pPr>
      <w:rPr>
        <w:rFonts w:hint="default"/>
        <w:color w:val="E7E6E6" w:themeColor="background2"/>
      </w:rPr>
    </w:lvl>
    <w:lvl w:ilvl="7">
      <w:start w:val="1"/>
      <w:numFmt w:val="decimal"/>
      <w:lvlText w:val="%1.%2.%3.%4.%5.%6.%7.%8"/>
      <w:lvlJc w:val="left"/>
      <w:pPr>
        <w:ind w:left="6840" w:hanging="1800"/>
      </w:pPr>
      <w:rPr>
        <w:rFonts w:hint="default"/>
        <w:color w:val="E7E6E6" w:themeColor="background2"/>
      </w:rPr>
    </w:lvl>
    <w:lvl w:ilvl="8">
      <w:start w:val="1"/>
      <w:numFmt w:val="decimal"/>
      <w:lvlText w:val="%1.%2.%3.%4.%5.%6.%7.%8.%9"/>
      <w:lvlJc w:val="left"/>
      <w:pPr>
        <w:ind w:left="7920" w:hanging="2160"/>
      </w:pPr>
      <w:rPr>
        <w:rFonts w:hint="default"/>
        <w:color w:val="E7E6E6" w:themeColor="background2"/>
      </w:rPr>
    </w:lvl>
  </w:abstractNum>
  <w:abstractNum w:abstractNumId="2" w15:restartNumberingAfterBreak="0">
    <w:nsid w:val="298B7B1A"/>
    <w:multiLevelType w:val="hybridMultilevel"/>
    <w:tmpl w:val="D54A2148"/>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 w15:restartNumberingAfterBreak="0">
    <w:nsid w:val="2BFD4A8A"/>
    <w:multiLevelType w:val="hybridMultilevel"/>
    <w:tmpl w:val="BF629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F42E8A"/>
    <w:multiLevelType w:val="hybridMultilevel"/>
    <w:tmpl w:val="41AE3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5517DD"/>
    <w:multiLevelType w:val="hybridMultilevel"/>
    <w:tmpl w:val="67B402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19032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6A58F9"/>
    <w:multiLevelType w:val="multilevel"/>
    <w:tmpl w:val="4A308FA0"/>
    <w:lvl w:ilvl="0">
      <w:start w:val="1"/>
      <w:numFmt w:val="decimal"/>
      <w:lvlText w:val="%1.0"/>
      <w:lvlJc w:val="left"/>
      <w:pPr>
        <w:ind w:left="420" w:hanging="420"/>
      </w:pPr>
      <w:rPr>
        <w:rFonts w:hint="default"/>
        <w:color w:val="767171" w:themeColor="background2" w:themeShade="80"/>
      </w:rPr>
    </w:lvl>
    <w:lvl w:ilvl="1">
      <w:start w:val="1"/>
      <w:numFmt w:val="decimal"/>
      <w:lvlRestart w:val="0"/>
      <w:lvlText w:val="%1.%2"/>
      <w:lvlJc w:val="left"/>
      <w:pPr>
        <w:ind w:left="1129" w:hanging="420"/>
      </w:pPr>
      <w:rPr>
        <w:rFonts w:hint="default"/>
        <w:color w:val="767171" w:themeColor="background2" w:themeShade="80"/>
        <w:sz w:val="22"/>
      </w:rPr>
    </w:lvl>
    <w:lvl w:ilvl="2">
      <w:start w:val="1"/>
      <w:numFmt w:val="decimal"/>
      <w:lvlText w:val="%1.%2.%3"/>
      <w:lvlJc w:val="left"/>
      <w:pPr>
        <w:ind w:left="2160" w:hanging="720"/>
      </w:pPr>
      <w:rPr>
        <w:rFonts w:hint="default"/>
        <w:color w:val="E7E6E6" w:themeColor="background2"/>
      </w:rPr>
    </w:lvl>
    <w:lvl w:ilvl="3">
      <w:start w:val="1"/>
      <w:numFmt w:val="decimal"/>
      <w:lvlText w:val="%1.%2.%3.%4"/>
      <w:lvlJc w:val="left"/>
      <w:pPr>
        <w:ind w:left="3240" w:hanging="1080"/>
      </w:pPr>
      <w:rPr>
        <w:rFonts w:hint="default"/>
        <w:color w:val="E7E6E6" w:themeColor="background2"/>
      </w:rPr>
    </w:lvl>
    <w:lvl w:ilvl="4">
      <w:start w:val="1"/>
      <w:numFmt w:val="decimal"/>
      <w:lvlText w:val="%1.%2.%3.%4.%5"/>
      <w:lvlJc w:val="left"/>
      <w:pPr>
        <w:ind w:left="3960" w:hanging="1080"/>
      </w:pPr>
      <w:rPr>
        <w:rFonts w:hint="default"/>
        <w:color w:val="E7E6E6" w:themeColor="background2"/>
      </w:rPr>
    </w:lvl>
    <w:lvl w:ilvl="5">
      <w:start w:val="1"/>
      <w:numFmt w:val="decimal"/>
      <w:lvlText w:val="%1.%2.%3.%4.%5.%6"/>
      <w:lvlJc w:val="left"/>
      <w:pPr>
        <w:ind w:left="5040" w:hanging="1440"/>
      </w:pPr>
      <w:rPr>
        <w:rFonts w:hint="default"/>
        <w:color w:val="E7E6E6" w:themeColor="background2"/>
      </w:rPr>
    </w:lvl>
    <w:lvl w:ilvl="6">
      <w:start w:val="1"/>
      <w:numFmt w:val="decimal"/>
      <w:lvlText w:val="%1.%2.%3.%4.%5.%6.%7"/>
      <w:lvlJc w:val="left"/>
      <w:pPr>
        <w:ind w:left="5760" w:hanging="1440"/>
      </w:pPr>
      <w:rPr>
        <w:rFonts w:hint="default"/>
        <w:color w:val="E7E6E6" w:themeColor="background2"/>
      </w:rPr>
    </w:lvl>
    <w:lvl w:ilvl="7">
      <w:start w:val="1"/>
      <w:numFmt w:val="decimal"/>
      <w:lvlText w:val="%1.%2.%3.%4.%5.%6.%7.%8"/>
      <w:lvlJc w:val="left"/>
      <w:pPr>
        <w:ind w:left="6840" w:hanging="1800"/>
      </w:pPr>
      <w:rPr>
        <w:rFonts w:hint="default"/>
        <w:color w:val="E7E6E6" w:themeColor="background2"/>
      </w:rPr>
    </w:lvl>
    <w:lvl w:ilvl="8">
      <w:start w:val="1"/>
      <w:numFmt w:val="decimal"/>
      <w:lvlText w:val="%1.%2.%3.%4.%5.%6.%7.%8.%9"/>
      <w:lvlJc w:val="left"/>
      <w:pPr>
        <w:ind w:left="7920" w:hanging="2160"/>
      </w:pPr>
      <w:rPr>
        <w:rFonts w:hint="default"/>
        <w:color w:val="E7E6E6" w:themeColor="background2"/>
      </w:rPr>
    </w:lvl>
  </w:abstractNum>
  <w:abstractNum w:abstractNumId="8" w15:restartNumberingAfterBreak="0">
    <w:nsid w:val="57B5122C"/>
    <w:multiLevelType w:val="hybridMultilevel"/>
    <w:tmpl w:val="8F60BA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A524A20"/>
    <w:multiLevelType w:val="multilevel"/>
    <w:tmpl w:val="68CCE05C"/>
    <w:lvl w:ilvl="0">
      <w:start w:val="1"/>
      <w:numFmt w:val="decimal"/>
      <w:lvlText w:val="%1.0"/>
      <w:lvlJc w:val="left"/>
      <w:pPr>
        <w:ind w:left="420" w:hanging="420"/>
      </w:pPr>
      <w:rPr>
        <w:rFonts w:hint="default"/>
        <w:color w:val="767171" w:themeColor="background2" w:themeShade="80"/>
        <w:sz w:val="22"/>
      </w:rPr>
    </w:lvl>
    <w:lvl w:ilvl="1">
      <w:start w:val="3"/>
      <w:numFmt w:val="none"/>
      <w:lvlText w:val="3.1"/>
      <w:lvlJc w:val="left"/>
      <w:pPr>
        <w:ind w:left="1129" w:hanging="420"/>
      </w:pPr>
      <w:rPr>
        <w:rFonts w:hint="default"/>
        <w:color w:val="767171" w:themeColor="background2" w:themeShade="80"/>
        <w:sz w:val="22"/>
      </w:rPr>
    </w:lvl>
    <w:lvl w:ilvl="2">
      <w:start w:val="1"/>
      <w:numFmt w:val="decimal"/>
      <w:lvlText w:val="%1.%2.%3"/>
      <w:lvlJc w:val="left"/>
      <w:pPr>
        <w:ind w:left="2160" w:hanging="720"/>
      </w:pPr>
      <w:rPr>
        <w:rFonts w:hint="default"/>
        <w:color w:val="E7E6E6" w:themeColor="background2"/>
      </w:rPr>
    </w:lvl>
    <w:lvl w:ilvl="3">
      <w:start w:val="1"/>
      <w:numFmt w:val="decimal"/>
      <w:lvlText w:val="%1.%2.%3.%4"/>
      <w:lvlJc w:val="left"/>
      <w:pPr>
        <w:ind w:left="3240" w:hanging="1080"/>
      </w:pPr>
      <w:rPr>
        <w:rFonts w:hint="default"/>
        <w:color w:val="E7E6E6" w:themeColor="background2"/>
      </w:rPr>
    </w:lvl>
    <w:lvl w:ilvl="4">
      <w:start w:val="1"/>
      <w:numFmt w:val="decimal"/>
      <w:lvlText w:val="%1.%2.%3.%4.%5"/>
      <w:lvlJc w:val="left"/>
      <w:pPr>
        <w:ind w:left="3960" w:hanging="1080"/>
      </w:pPr>
      <w:rPr>
        <w:rFonts w:hint="default"/>
        <w:color w:val="E7E6E6" w:themeColor="background2"/>
      </w:rPr>
    </w:lvl>
    <w:lvl w:ilvl="5">
      <w:start w:val="1"/>
      <w:numFmt w:val="decimal"/>
      <w:lvlText w:val="%1.%2.%3.%4.%5.%6"/>
      <w:lvlJc w:val="left"/>
      <w:pPr>
        <w:ind w:left="5040" w:hanging="1440"/>
      </w:pPr>
      <w:rPr>
        <w:rFonts w:hint="default"/>
        <w:color w:val="E7E6E6" w:themeColor="background2"/>
      </w:rPr>
    </w:lvl>
    <w:lvl w:ilvl="6">
      <w:start w:val="1"/>
      <w:numFmt w:val="decimal"/>
      <w:lvlText w:val="%1.%2.%3.%4.%5.%6.%7"/>
      <w:lvlJc w:val="left"/>
      <w:pPr>
        <w:ind w:left="5760" w:hanging="1440"/>
      </w:pPr>
      <w:rPr>
        <w:rFonts w:hint="default"/>
        <w:color w:val="E7E6E6" w:themeColor="background2"/>
      </w:rPr>
    </w:lvl>
    <w:lvl w:ilvl="7">
      <w:start w:val="1"/>
      <w:numFmt w:val="decimal"/>
      <w:lvlText w:val="%1.%2.%3.%4.%5.%6.%7.%8"/>
      <w:lvlJc w:val="left"/>
      <w:pPr>
        <w:ind w:left="6840" w:hanging="1800"/>
      </w:pPr>
      <w:rPr>
        <w:rFonts w:hint="default"/>
        <w:color w:val="E7E6E6" w:themeColor="background2"/>
      </w:rPr>
    </w:lvl>
    <w:lvl w:ilvl="8">
      <w:start w:val="1"/>
      <w:numFmt w:val="decimal"/>
      <w:lvlText w:val="%1.%2.%3.%4.%5.%6.%7.%8.%9"/>
      <w:lvlJc w:val="left"/>
      <w:pPr>
        <w:ind w:left="7920" w:hanging="2160"/>
      </w:pPr>
      <w:rPr>
        <w:rFonts w:hint="default"/>
        <w:color w:val="E7E6E6" w:themeColor="background2"/>
      </w:rPr>
    </w:lvl>
  </w:abstractNum>
  <w:abstractNum w:abstractNumId="10" w15:restartNumberingAfterBreak="0">
    <w:nsid w:val="5F7D0EEC"/>
    <w:multiLevelType w:val="multilevel"/>
    <w:tmpl w:val="976EDF50"/>
    <w:lvl w:ilvl="0">
      <w:start w:val="3"/>
      <w:numFmt w:val="decimal"/>
      <w:lvlText w:val="%1.0"/>
      <w:lvlJc w:val="left"/>
      <w:pPr>
        <w:ind w:left="420" w:hanging="420"/>
      </w:pPr>
      <w:rPr>
        <w:rFonts w:hint="default"/>
        <w:color w:val="767171" w:themeColor="background2" w:themeShade="80"/>
      </w:rPr>
    </w:lvl>
    <w:lvl w:ilvl="1">
      <w:start w:val="1"/>
      <w:numFmt w:val="decimal"/>
      <w:lvlText w:val="%1.%2"/>
      <w:lvlJc w:val="left"/>
      <w:pPr>
        <w:ind w:left="561" w:hanging="420"/>
      </w:pPr>
      <w:rPr>
        <w:rFonts w:hint="default"/>
        <w:color w:val="767171" w:themeColor="background2" w:themeShade="80"/>
        <w:sz w:val="22"/>
      </w:rPr>
    </w:lvl>
    <w:lvl w:ilvl="2">
      <w:start w:val="1"/>
      <w:numFmt w:val="decimal"/>
      <w:lvlText w:val="%1.%2.%3"/>
      <w:lvlJc w:val="left"/>
      <w:pPr>
        <w:ind w:left="2160" w:hanging="720"/>
      </w:pPr>
      <w:rPr>
        <w:rFonts w:hint="default"/>
        <w:color w:val="E7E6E6" w:themeColor="background2"/>
      </w:rPr>
    </w:lvl>
    <w:lvl w:ilvl="3">
      <w:start w:val="1"/>
      <w:numFmt w:val="decimal"/>
      <w:lvlText w:val="%1.%2.%3.%4"/>
      <w:lvlJc w:val="left"/>
      <w:pPr>
        <w:ind w:left="3240" w:hanging="1080"/>
      </w:pPr>
      <w:rPr>
        <w:rFonts w:hint="default"/>
        <w:color w:val="E7E6E6" w:themeColor="background2"/>
      </w:rPr>
    </w:lvl>
    <w:lvl w:ilvl="4">
      <w:start w:val="1"/>
      <w:numFmt w:val="decimal"/>
      <w:lvlText w:val="%1.%2.%3.%4.%5"/>
      <w:lvlJc w:val="left"/>
      <w:pPr>
        <w:ind w:left="3960" w:hanging="1080"/>
      </w:pPr>
      <w:rPr>
        <w:rFonts w:hint="default"/>
        <w:color w:val="E7E6E6" w:themeColor="background2"/>
      </w:rPr>
    </w:lvl>
    <w:lvl w:ilvl="5">
      <w:start w:val="1"/>
      <w:numFmt w:val="decimal"/>
      <w:lvlText w:val="%1.%2.%3.%4.%5.%6"/>
      <w:lvlJc w:val="left"/>
      <w:pPr>
        <w:ind w:left="5040" w:hanging="1440"/>
      </w:pPr>
      <w:rPr>
        <w:rFonts w:hint="default"/>
        <w:color w:val="E7E6E6" w:themeColor="background2"/>
      </w:rPr>
    </w:lvl>
    <w:lvl w:ilvl="6">
      <w:start w:val="1"/>
      <w:numFmt w:val="decimal"/>
      <w:lvlText w:val="%1.%2.%3.%4.%5.%6.%7"/>
      <w:lvlJc w:val="left"/>
      <w:pPr>
        <w:ind w:left="5760" w:hanging="1440"/>
      </w:pPr>
      <w:rPr>
        <w:rFonts w:hint="default"/>
        <w:color w:val="E7E6E6" w:themeColor="background2"/>
      </w:rPr>
    </w:lvl>
    <w:lvl w:ilvl="7">
      <w:start w:val="1"/>
      <w:numFmt w:val="decimal"/>
      <w:lvlText w:val="%1.%2.%3.%4.%5.%6.%7.%8"/>
      <w:lvlJc w:val="left"/>
      <w:pPr>
        <w:ind w:left="6840" w:hanging="1800"/>
      </w:pPr>
      <w:rPr>
        <w:rFonts w:hint="default"/>
        <w:color w:val="E7E6E6" w:themeColor="background2"/>
      </w:rPr>
    </w:lvl>
    <w:lvl w:ilvl="8">
      <w:start w:val="1"/>
      <w:numFmt w:val="decimal"/>
      <w:lvlText w:val="%1.%2.%3.%4.%5.%6.%7.%8.%9"/>
      <w:lvlJc w:val="left"/>
      <w:pPr>
        <w:ind w:left="7920" w:hanging="2160"/>
      </w:pPr>
      <w:rPr>
        <w:rFonts w:hint="default"/>
        <w:color w:val="E7E6E6" w:themeColor="background2"/>
      </w:rPr>
    </w:lvl>
  </w:abstractNum>
  <w:abstractNum w:abstractNumId="11" w15:restartNumberingAfterBreak="0">
    <w:nsid w:val="613B4D7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BC77324"/>
    <w:multiLevelType w:val="hybridMultilevel"/>
    <w:tmpl w:val="07EE6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121B9D"/>
    <w:multiLevelType w:val="multilevel"/>
    <w:tmpl w:val="531E3FCC"/>
    <w:lvl w:ilvl="0">
      <w:start w:val="1"/>
      <w:numFmt w:val="decimal"/>
      <w:lvlText w:val="%1.1"/>
      <w:lvlJc w:val="left"/>
      <w:pPr>
        <w:ind w:left="420" w:hanging="420"/>
      </w:pPr>
      <w:rPr>
        <w:rFonts w:hint="default"/>
        <w:color w:val="767171" w:themeColor="background2" w:themeShade="80"/>
      </w:rPr>
    </w:lvl>
    <w:lvl w:ilvl="1">
      <w:start w:val="1"/>
      <w:numFmt w:val="decimal"/>
      <w:lvlText w:val="%1.%2"/>
      <w:lvlJc w:val="left"/>
      <w:pPr>
        <w:ind w:left="1129" w:hanging="420"/>
      </w:pPr>
      <w:rPr>
        <w:rFonts w:hint="default"/>
        <w:color w:val="767171" w:themeColor="background2" w:themeShade="80"/>
        <w:sz w:val="22"/>
      </w:rPr>
    </w:lvl>
    <w:lvl w:ilvl="2">
      <w:start w:val="1"/>
      <w:numFmt w:val="decimal"/>
      <w:lvlText w:val="%1.%2.%3"/>
      <w:lvlJc w:val="left"/>
      <w:pPr>
        <w:ind w:left="2160" w:hanging="720"/>
      </w:pPr>
      <w:rPr>
        <w:rFonts w:hint="default"/>
        <w:color w:val="E7E6E6" w:themeColor="background2"/>
      </w:rPr>
    </w:lvl>
    <w:lvl w:ilvl="3">
      <w:start w:val="1"/>
      <w:numFmt w:val="decimal"/>
      <w:lvlText w:val="%1.%2.%3.%4"/>
      <w:lvlJc w:val="left"/>
      <w:pPr>
        <w:ind w:left="3240" w:hanging="1080"/>
      </w:pPr>
      <w:rPr>
        <w:rFonts w:hint="default"/>
        <w:color w:val="E7E6E6" w:themeColor="background2"/>
      </w:rPr>
    </w:lvl>
    <w:lvl w:ilvl="4">
      <w:start w:val="1"/>
      <w:numFmt w:val="decimal"/>
      <w:lvlText w:val="%1.%2.%3.%4.%5"/>
      <w:lvlJc w:val="left"/>
      <w:pPr>
        <w:ind w:left="3960" w:hanging="1080"/>
      </w:pPr>
      <w:rPr>
        <w:rFonts w:hint="default"/>
        <w:color w:val="E7E6E6" w:themeColor="background2"/>
      </w:rPr>
    </w:lvl>
    <w:lvl w:ilvl="5">
      <w:start w:val="1"/>
      <w:numFmt w:val="decimal"/>
      <w:lvlText w:val="%1.%2.%3.%4.%5.%6"/>
      <w:lvlJc w:val="left"/>
      <w:pPr>
        <w:ind w:left="5040" w:hanging="1440"/>
      </w:pPr>
      <w:rPr>
        <w:rFonts w:hint="default"/>
        <w:color w:val="E7E6E6" w:themeColor="background2"/>
      </w:rPr>
    </w:lvl>
    <w:lvl w:ilvl="6">
      <w:start w:val="1"/>
      <w:numFmt w:val="decimal"/>
      <w:lvlText w:val="%1.%2.%3.%4.%5.%6.%7"/>
      <w:lvlJc w:val="left"/>
      <w:pPr>
        <w:ind w:left="5760" w:hanging="1440"/>
      </w:pPr>
      <w:rPr>
        <w:rFonts w:hint="default"/>
        <w:color w:val="E7E6E6" w:themeColor="background2"/>
      </w:rPr>
    </w:lvl>
    <w:lvl w:ilvl="7">
      <w:start w:val="1"/>
      <w:numFmt w:val="decimal"/>
      <w:lvlText w:val="%1.%2.%3.%4.%5.%6.%7.%8"/>
      <w:lvlJc w:val="left"/>
      <w:pPr>
        <w:ind w:left="6840" w:hanging="1800"/>
      </w:pPr>
      <w:rPr>
        <w:rFonts w:hint="default"/>
        <w:color w:val="E7E6E6" w:themeColor="background2"/>
      </w:rPr>
    </w:lvl>
    <w:lvl w:ilvl="8">
      <w:start w:val="1"/>
      <w:numFmt w:val="decimal"/>
      <w:lvlText w:val="%1.%2.%3.%4.%5.%6.%7.%8.%9"/>
      <w:lvlJc w:val="left"/>
      <w:pPr>
        <w:ind w:left="7920" w:hanging="2160"/>
      </w:pPr>
      <w:rPr>
        <w:rFonts w:hint="default"/>
        <w:color w:val="E7E6E6" w:themeColor="background2"/>
      </w:rPr>
    </w:lvl>
  </w:abstractNum>
  <w:abstractNum w:abstractNumId="14" w15:restartNumberingAfterBreak="0">
    <w:nsid w:val="7CE6662D"/>
    <w:multiLevelType w:val="hybridMultilevel"/>
    <w:tmpl w:val="3D98835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5" w15:restartNumberingAfterBreak="0">
    <w:nsid w:val="7FD72014"/>
    <w:multiLevelType w:val="hybridMultilevel"/>
    <w:tmpl w:val="898C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4"/>
  </w:num>
  <w:num w:numId="4">
    <w:abstractNumId w:val="12"/>
  </w:num>
  <w:num w:numId="5">
    <w:abstractNumId w:val="15"/>
  </w:num>
  <w:num w:numId="6">
    <w:abstractNumId w:val="2"/>
  </w:num>
  <w:num w:numId="7">
    <w:abstractNumId w:val="14"/>
  </w:num>
  <w:num w:numId="8">
    <w:abstractNumId w:val="0"/>
  </w:num>
  <w:num w:numId="9">
    <w:abstractNumId w:val="6"/>
  </w:num>
  <w:num w:numId="10">
    <w:abstractNumId w:val="7"/>
  </w:num>
  <w:num w:numId="11">
    <w:abstractNumId w:val="9"/>
  </w:num>
  <w:num w:numId="12">
    <w:abstractNumId w:val="11"/>
  </w:num>
  <w:num w:numId="13">
    <w:abstractNumId w:val="1"/>
  </w:num>
  <w:num w:numId="14">
    <w:abstractNumId w:val="10"/>
  </w:num>
  <w:num w:numId="15">
    <w:abstractNumId w:val="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743"/>
    <w:rsid w:val="00006FD3"/>
    <w:rsid w:val="00013A24"/>
    <w:rsid w:val="000332A4"/>
    <w:rsid w:val="00037D2B"/>
    <w:rsid w:val="00043C8A"/>
    <w:rsid w:val="00047D62"/>
    <w:rsid w:val="0006173E"/>
    <w:rsid w:val="00063EF6"/>
    <w:rsid w:val="00072789"/>
    <w:rsid w:val="000A09A1"/>
    <w:rsid w:val="000A7C1F"/>
    <w:rsid w:val="000D46F2"/>
    <w:rsid w:val="000D7C4A"/>
    <w:rsid w:val="000F5F21"/>
    <w:rsid w:val="00110410"/>
    <w:rsid w:val="00113B55"/>
    <w:rsid w:val="00114924"/>
    <w:rsid w:val="001165C6"/>
    <w:rsid w:val="00126AA8"/>
    <w:rsid w:val="0013078E"/>
    <w:rsid w:val="00136103"/>
    <w:rsid w:val="00136C1D"/>
    <w:rsid w:val="0014046F"/>
    <w:rsid w:val="00153C80"/>
    <w:rsid w:val="00161E4E"/>
    <w:rsid w:val="001676E7"/>
    <w:rsid w:val="00192C93"/>
    <w:rsid w:val="001A217F"/>
    <w:rsid w:val="001C2B18"/>
    <w:rsid w:val="001D5823"/>
    <w:rsid w:val="001D7282"/>
    <w:rsid w:val="001F24B3"/>
    <w:rsid w:val="002025BB"/>
    <w:rsid w:val="00210CB3"/>
    <w:rsid w:val="0021724B"/>
    <w:rsid w:val="0022119E"/>
    <w:rsid w:val="002239D6"/>
    <w:rsid w:val="0024297F"/>
    <w:rsid w:val="002446E9"/>
    <w:rsid w:val="00244D5E"/>
    <w:rsid w:val="00255C1E"/>
    <w:rsid w:val="00261890"/>
    <w:rsid w:val="00275228"/>
    <w:rsid w:val="00275AE3"/>
    <w:rsid w:val="002A08AD"/>
    <w:rsid w:val="002A5B3F"/>
    <w:rsid w:val="002B7020"/>
    <w:rsid w:val="002C20BD"/>
    <w:rsid w:val="002C2964"/>
    <w:rsid w:val="002C6928"/>
    <w:rsid w:val="002F11D2"/>
    <w:rsid w:val="002F3E9C"/>
    <w:rsid w:val="002F457E"/>
    <w:rsid w:val="002F521D"/>
    <w:rsid w:val="00310D24"/>
    <w:rsid w:val="003138E8"/>
    <w:rsid w:val="0031795D"/>
    <w:rsid w:val="00322BC4"/>
    <w:rsid w:val="003313B3"/>
    <w:rsid w:val="00332750"/>
    <w:rsid w:val="0034107F"/>
    <w:rsid w:val="00351B43"/>
    <w:rsid w:val="00366731"/>
    <w:rsid w:val="00366826"/>
    <w:rsid w:val="00383FD8"/>
    <w:rsid w:val="00397138"/>
    <w:rsid w:val="003B0CE5"/>
    <w:rsid w:val="003B25F1"/>
    <w:rsid w:val="003B4149"/>
    <w:rsid w:val="003C36CC"/>
    <w:rsid w:val="003D2C59"/>
    <w:rsid w:val="003D79B2"/>
    <w:rsid w:val="003F3616"/>
    <w:rsid w:val="00413B0C"/>
    <w:rsid w:val="004160B4"/>
    <w:rsid w:val="00427A2C"/>
    <w:rsid w:val="00435FC8"/>
    <w:rsid w:val="004557E4"/>
    <w:rsid w:val="00460A12"/>
    <w:rsid w:val="00464221"/>
    <w:rsid w:val="00471CA5"/>
    <w:rsid w:val="00472261"/>
    <w:rsid w:val="004757D2"/>
    <w:rsid w:val="0047796D"/>
    <w:rsid w:val="00484A68"/>
    <w:rsid w:val="004A3CE5"/>
    <w:rsid w:val="004B74E0"/>
    <w:rsid w:val="004C5A3D"/>
    <w:rsid w:val="004C77AB"/>
    <w:rsid w:val="004D28B0"/>
    <w:rsid w:val="004E013F"/>
    <w:rsid w:val="004E746C"/>
    <w:rsid w:val="004F1C2B"/>
    <w:rsid w:val="0050540B"/>
    <w:rsid w:val="005309E3"/>
    <w:rsid w:val="0053745C"/>
    <w:rsid w:val="005472DD"/>
    <w:rsid w:val="0056790E"/>
    <w:rsid w:val="00583171"/>
    <w:rsid w:val="00586500"/>
    <w:rsid w:val="005A4B1D"/>
    <w:rsid w:val="005D152D"/>
    <w:rsid w:val="005D3BC7"/>
    <w:rsid w:val="005E4FA6"/>
    <w:rsid w:val="006124FC"/>
    <w:rsid w:val="00612E41"/>
    <w:rsid w:val="00625A0A"/>
    <w:rsid w:val="006279C7"/>
    <w:rsid w:val="00646C09"/>
    <w:rsid w:val="00671A14"/>
    <w:rsid w:val="006A2D27"/>
    <w:rsid w:val="006B22E5"/>
    <w:rsid w:val="006C6D7C"/>
    <w:rsid w:val="006D10BA"/>
    <w:rsid w:val="006F4213"/>
    <w:rsid w:val="006F4D66"/>
    <w:rsid w:val="006F78EE"/>
    <w:rsid w:val="007016BD"/>
    <w:rsid w:val="00717A75"/>
    <w:rsid w:val="00725F79"/>
    <w:rsid w:val="0072666F"/>
    <w:rsid w:val="00736699"/>
    <w:rsid w:val="00740CB2"/>
    <w:rsid w:val="00741EC6"/>
    <w:rsid w:val="007609C0"/>
    <w:rsid w:val="00780CD2"/>
    <w:rsid w:val="00783288"/>
    <w:rsid w:val="00783C28"/>
    <w:rsid w:val="00786BFF"/>
    <w:rsid w:val="0079249C"/>
    <w:rsid w:val="00793956"/>
    <w:rsid w:val="007B5040"/>
    <w:rsid w:val="007B68C0"/>
    <w:rsid w:val="007C2DE4"/>
    <w:rsid w:val="007F36F3"/>
    <w:rsid w:val="007F5EFF"/>
    <w:rsid w:val="00805CA1"/>
    <w:rsid w:val="0080625E"/>
    <w:rsid w:val="00810D33"/>
    <w:rsid w:val="008136DB"/>
    <w:rsid w:val="00826669"/>
    <w:rsid w:val="00830ABF"/>
    <w:rsid w:val="008345F1"/>
    <w:rsid w:val="00837A42"/>
    <w:rsid w:val="008424F9"/>
    <w:rsid w:val="00863F92"/>
    <w:rsid w:val="008651A5"/>
    <w:rsid w:val="00875431"/>
    <w:rsid w:val="0088102A"/>
    <w:rsid w:val="00897FB3"/>
    <w:rsid w:val="008A2DF4"/>
    <w:rsid w:val="008B0A87"/>
    <w:rsid w:val="008C2C1A"/>
    <w:rsid w:val="008C527D"/>
    <w:rsid w:val="008D68B7"/>
    <w:rsid w:val="008D76B1"/>
    <w:rsid w:val="008F258C"/>
    <w:rsid w:val="00900223"/>
    <w:rsid w:val="0091324A"/>
    <w:rsid w:val="0091572C"/>
    <w:rsid w:val="00934E1B"/>
    <w:rsid w:val="0094382C"/>
    <w:rsid w:val="009455FB"/>
    <w:rsid w:val="0094690E"/>
    <w:rsid w:val="00947D63"/>
    <w:rsid w:val="00950E4E"/>
    <w:rsid w:val="00952279"/>
    <w:rsid w:val="009707A7"/>
    <w:rsid w:val="00985D34"/>
    <w:rsid w:val="00994E30"/>
    <w:rsid w:val="0099505A"/>
    <w:rsid w:val="009C45A0"/>
    <w:rsid w:val="009C5B76"/>
    <w:rsid w:val="009E109B"/>
    <w:rsid w:val="009F12B1"/>
    <w:rsid w:val="009F4A5D"/>
    <w:rsid w:val="00A00D63"/>
    <w:rsid w:val="00A03788"/>
    <w:rsid w:val="00A12487"/>
    <w:rsid w:val="00A310B5"/>
    <w:rsid w:val="00A63ED7"/>
    <w:rsid w:val="00A642C7"/>
    <w:rsid w:val="00A70FD5"/>
    <w:rsid w:val="00A80ECE"/>
    <w:rsid w:val="00A833BE"/>
    <w:rsid w:val="00A95341"/>
    <w:rsid w:val="00AA0D75"/>
    <w:rsid w:val="00AA6AEB"/>
    <w:rsid w:val="00AB4C36"/>
    <w:rsid w:val="00AB7384"/>
    <w:rsid w:val="00AE0D00"/>
    <w:rsid w:val="00AE0FDF"/>
    <w:rsid w:val="00B07C49"/>
    <w:rsid w:val="00B113EB"/>
    <w:rsid w:val="00B13108"/>
    <w:rsid w:val="00B1721C"/>
    <w:rsid w:val="00B724C8"/>
    <w:rsid w:val="00B77881"/>
    <w:rsid w:val="00B812F5"/>
    <w:rsid w:val="00B86E99"/>
    <w:rsid w:val="00B915D3"/>
    <w:rsid w:val="00B91AF9"/>
    <w:rsid w:val="00B91D95"/>
    <w:rsid w:val="00B95B6E"/>
    <w:rsid w:val="00B9781C"/>
    <w:rsid w:val="00BA3743"/>
    <w:rsid w:val="00BA4A6C"/>
    <w:rsid w:val="00BB0636"/>
    <w:rsid w:val="00BE3CBC"/>
    <w:rsid w:val="00BF315F"/>
    <w:rsid w:val="00BF7B1B"/>
    <w:rsid w:val="00C07658"/>
    <w:rsid w:val="00C1049E"/>
    <w:rsid w:val="00C12DBE"/>
    <w:rsid w:val="00C15953"/>
    <w:rsid w:val="00C528A8"/>
    <w:rsid w:val="00C75B4E"/>
    <w:rsid w:val="00C77924"/>
    <w:rsid w:val="00C879FD"/>
    <w:rsid w:val="00C93755"/>
    <w:rsid w:val="00C969EA"/>
    <w:rsid w:val="00CA58E3"/>
    <w:rsid w:val="00CB0C3A"/>
    <w:rsid w:val="00CC3B3A"/>
    <w:rsid w:val="00CD367A"/>
    <w:rsid w:val="00D10AA9"/>
    <w:rsid w:val="00D10FBD"/>
    <w:rsid w:val="00D11A5F"/>
    <w:rsid w:val="00D12796"/>
    <w:rsid w:val="00D13DE9"/>
    <w:rsid w:val="00D178F5"/>
    <w:rsid w:val="00D23151"/>
    <w:rsid w:val="00D4196B"/>
    <w:rsid w:val="00D42B60"/>
    <w:rsid w:val="00D43C3F"/>
    <w:rsid w:val="00D44848"/>
    <w:rsid w:val="00D61C15"/>
    <w:rsid w:val="00D92B23"/>
    <w:rsid w:val="00D942A0"/>
    <w:rsid w:val="00DA5067"/>
    <w:rsid w:val="00DA6687"/>
    <w:rsid w:val="00DC3972"/>
    <w:rsid w:val="00DC48EA"/>
    <w:rsid w:val="00DC4E63"/>
    <w:rsid w:val="00DD0982"/>
    <w:rsid w:val="00DE1895"/>
    <w:rsid w:val="00E00C4B"/>
    <w:rsid w:val="00E0536C"/>
    <w:rsid w:val="00E14846"/>
    <w:rsid w:val="00E4292B"/>
    <w:rsid w:val="00E518D8"/>
    <w:rsid w:val="00E51DFC"/>
    <w:rsid w:val="00E630F8"/>
    <w:rsid w:val="00E63790"/>
    <w:rsid w:val="00E72234"/>
    <w:rsid w:val="00E763A0"/>
    <w:rsid w:val="00E8080E"/>
    <w:rsid w:val="00E9715C"/>
    <w:rsid w:val="00EB41CB"/>
    <w:rsid w:val="00EB5746"/>
    <w:rsid w:val="00EB63A8"/>
    <w:rsid w:val="00EC4252"/>
    <w:rsid w:val="00EC46F4"/>
    <w:rsid w:val="00ED147F"/>
    <w:rsid w:val="00ED1828"/>
    <w:rsid w:val="00ED2CB3"/>
    <w:rsid w:val="00ED7584"/>
    <w:rsid w:val="00EE4BFD"/>
    <w:rsid w:val="00EF5B72"/>
    <w:rsid w:val="00F01901"/>
    <w:rsid w:val="00F1140A"/>
    <w:rsid w:val="00F240E6"/>
    <w:rsid w:val="00F25700"/>
    <w:rsid w:val="00F261EF"/>
    <w:rsid w:val="00F274D9"/>
    <w:rsid w:val="00F55DE1"/>
    <w:rsid w:val="00F57F2A"/>
    <w:rsid w:val="00F82285"/>
    <w:rsid w:val="00F875F3"/>
    <w:rsid w:val="00F97338"/>
    <w:rsid w:val="00FA6C97"/>
    <w:rsid w:val="00FE3FFC"/>
    <w:rsid w:val="00FF6174"/>
    <w:rsid w:val="00FF6945"/>
    <w:rsid w:val="358A5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54191D"/>
  <w15:chartTrackingRefBased/>
  <w15:docId w15:val="{A6D7DB8E-FC6C-43F7-9F70-A84B25B8E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22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3A24"/>
    <w:rPr>
      <w:color w:val="0563C1" w:themeColor="hyperlink"/>
      <w:u w:val="single"/>
    </w:rPr>
  </w:style>
  <w:style w:type="paragraph" w:styleId="Header">
    <w:name w:val="header"/>
    <w:basedOn w:val="Normal"/>
    <w:link w:val="HeaderChar"/>
    <w:uiPriority w:val="99"/>
    <w:unhideWhenUsed/>
    <w:rsid w:val="002A08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8AD"/>
  </w:style>
  <w:style w:type="paragraph" w:styleId="Footer">
    <w:name w:val="footer"/>
    <w:basedOn w:val="Normal"/>
    <w:link w:val="FooterChar"/>
    <w:uiPriority w:val="99"/>
    <w:unhideWhenUsed/>
    <w:rsid w:val="002A08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8AD"/>
  </w:style>
  <w:style w:type="table" w:styleId="TableGrid">
    <w:name w:val="Table Grid"/>
    <w:basedOn w:val="TableNormal"/>
    <w:uiPriority w:val="39"/>
    <w:rsid w:val="00366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5227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52279"/>
    <w:pPr>
      <w:outlineLvl w:val="9"/>
    </w:pPr>
    <w:rPr>
      <w:lang w:val="en-US"/>
    </w:rPr>
  </w:style>
  <w:style w:type="paragraph" w:styleId="TOC1">
    <w:name w:val="toc 1"/>
    <w:basedOn w:val="Normal"/>
    <w:next w:val="Normal"/>
    <w:autoRedefine/>
    <w:uiPriority w:val="39"/>
    <w:unhideWhenUsed/>
    <w:rsid w:val="00952279"/>
    <w:pPr>
      <w:spacing w:after="100"/>
    </w:pPr>
  </w:style>
  <w:style w:type="paragraph" w:styleId="ListParagraph">
    <w:name w:val="List Paragraph"/>
    <w:basedOn w:val="Normal"/>
    <w:uiPriority w:val="34"/>
    <w:qFormat/>
    <w:rsid w:val="00D12796"/>
    <w:pPr>
      <w:ind w:left="720"/>
      <w:contextualSpacing/>
    </w:pPr>
  </w:style>
  <w:style w:type="character" w:styleId="FollowedHyperlink">
    <w:name w:val="FollowedHyperlink"/>
    <w:basedOn w:val="DefaultParagraphFont"/>
    <w:uiPriority w:val="99"/>
    <w:semiHidden/>
    <w:unhideWhenUsed/>
    <w:rsid w:val="0021724B"/>
    <w:rPr>
      <w:color w:val="954F72" w:themeColor="followedHyperlink"/>
      <w:u w:val="single"/>
    </w:rPr>
  </w:style>
  <w:style w:type="character" w:customStyle="1" w:styleId="anchor-text">
    <w:name w:val="anchor-text"/>
    <w:basedOn w:val="DefaultParagraphFont"/>
    <w:rsid w:val="00C528A8"/>
  </w:style>
  <w:style w:type="character" w:styleId="CommentReference">
    <w:name w:val="annotation reference"/>
    <w:basedOn w:val="DefaultParagraphFont"/>
    <w:uiPriority w:val="99"/>
    <w:semiHidden/>
    <w:unhideWhenUsed/>
    <w:rsid w:val="00BA4A6C"/>
    <w:rPr>
      <w:sz w:val="16"/>
      <w:szCs w:val="16"/>
    </w:rPr>
  </w:style>
  <w:style w:type="paragraph" w:styleId="CommentText">
    <w:name w:val="annotation text"/>
    <w:basedOn w:val="Normal"/>
    <w:link w:val="CommentTextChar"/>
    <w:uiPriority w:val="99"/>
    <w:semiHidden/>
    <w:unhideWhenUsed/>
    <w:rsid w:val="00BA4A6C"/>
    <w:pPr>
      <w:spacing w:line="240" w:lineRule="auto"/>
    </w:pPr>
    <w:rPr>
      <w:sz w:val="20"/>
      <w:szCs w:val="20"/>
    </w:rPr>
  </w:style>
  <w:style w:type="character" w:customStyle="1" w:styleId="CommentTextChar">
    <w:name w:val="Comment Text Char"/>
    <w:basedOn w:val="DefaultParagraphFont"/>
    <w:link w:val="CommentText"/>
    <w:uiPriority w:val="99"/>
    <w:semiHidden/>
    <w:rsid w:val="00BA4A6C"/>
    <w:rPr>
      <w:sz w:val="20"/>
      <w:szCs w:val="20"/>
    </w:rPr>
  </w:style>
  <w:style w:type="paragraph" w:styleId="CommentSubject">
    <w:name w:val="annotation subject"/>
    <w:basedOn w:val="CommentText"/>
    <w:next w:val="CommentText"/>
    <w:link w:val="CommentSubjectChar"/>
    <w:uiPriority w:val="99"/>
    <w:semiHidden/>
    <w:unhideWhenUsed/>
    <w:rsid w:val="00BA4A6C"/>
    <w:rPr>
      <w:b/>
      <w:bCs/>
    </w:rPr>
  </w:style>
  <w:style w:type="character" w:customStyle="1" w:styleId="CommentSubjectChar">
    <w:name w:val="Comment Subject Char"/>
    <w:basedOn w:val="CommentTextChar"/>
    <w:link w:val="CommentSubject"/>
    <w:uiPriority w:val="99"/>
    <w:semiHidden/>
    <w:rsid w:val="00BA4A6C"/>
    <w:rPr>
      <w:b/>
      <w:bCs/>
      <w:sz w:val="20"/>
      <w:szCs w:val="20"/>
    </w:rPr>
  </w:style>
  <w:style w:type="paragraph" w:styleId="BalloonText">
    <w:name w:val="Balloon Text"/>
    <w:basedOn w:val="Normal"/>
    <w:link w:val="BalloonTextChar"/>
    <w:uiPriority w:val="99"/>
    <w:semiHidden/>
    <w:unhideWhenUsed/>
    <w:rsid w:val="00BA4A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4A6C"/>
    <w:rPr>
      <w:rFonts w:ascii="Segoe UI" w:hAnsi="Segoe UI" w:cs="Segoe UI"/>
      <w:sz w:val="18"/>
      <w:szCs w:val="18"/>
    </w:rPr>
  </w:style>
  <w:style w:type="paragraph" w:styleId="EndnoteText">
    <w:name w:val="endnote text"/>
    <w:basedOn w:val="Normal"/>
    <w:link w:val="EndnoteTextChar"/>
    <w:uiPriority w:val="99"/>
    <w:semiHidden/>
    <w:unhideWhenUsed/>
    <w:rsid w:val="00F9733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97338"/>
    <w:rPr>
      <w:sz w:val="20"/>
      <w:szCs w:val="20"/>
    </w:rPr>
  </w:style>
  <w:style w:type="character" w:styleId="EndnoteReference">
    <w:name w:val="endnote reference"/>
    <w:basedOn w:val="DefaultParagraphFont"/>
    <w:uiPriority w:val="99"/>
    <w:semiHidden/>
    <w:unhideWhenUsed/>
    <w:rsid w:val="00F97338"/>
    <w:rPr>
      <w:vertAlign w:val="superscript"/>
    </w:rPr>
  </w:style>
  <w:style w:type="paragraph" w:styleId="Bibliography">
    <w:name w:val="Bibliography"/>
    <w:basedOn w:val="Normal"/>
    <w:next w:val="Normal"/>
    <w:uiPriority w:val="37"/>
    <w:unhideWhenUsed/>
    <w:rsid w:val="00CB0C3A"/>
  </w:style>
  <w:style w:type="character" w:styleId="LineNumber">
    <w:name w:val="line number"/>
    <w:basedOn w:val="DefaultParagraphFont"/>
    <w:uiPriority w:val="99"/>
    <w:semiHidden/>
    <w:unhideWhenUsed/>
    <w:rsid w:val="00897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8346">
      <w:bodyDiv w:val="1"/>
      <w:marLeft w:val="0"/>
      <w:marRight w:val="0"/>
      <w:marTop w:val="0"/>
      <w:marBottom w:val="0"/>
      <w:divBdr>
        <w:top w:val="none" w:sz="0" w:space="0" w:color="auto"/>
        <w:left w:val="none" w:sz="0" w:space="0" w:color="auto"/>
        <w:bottom w:val="none" w:sz="0" w:space="0" w:color="auto"/>
        <w:right w:val="none" w:sz="0" w:space="0" w:color="auto"/>
      </w:divBdr>
    </w:div>
    <w:div w:id="70205721">
      <w:bodyDiv w:val="1"/>
      <w:marLeft w:val="0"/>
      <w:marRight w:val="0"/>
      <w:marTop w:val="0"/>
      <w:marBottom w:val="0"/>
      <w:divBdr>
        <w:top w:val="none" w:sz="0" w:space="0" w:color="auto"/>
        <w:left w:val="none" w:sz="0" w:space="0" w:color="auto"/>
        <w:bottom w:val="none" w:sz="0" w:space="0" w:color="auto"/>
        <w:right w:val="none" w:sz="0" w:space="0" w:color="auto"/>
      </w:divBdr>
    </w:div>
    <w:div w:id="114368635">
      <w:bodyDiv w:val="1"/>
      <w:marLeft w:val="0"/>
      <w:marRight w:val="0"/>
      <w:marTop w:val="0"/>
      <w:marBottom w:val="0"/>
      <w:divBdr>
        <w:top w:val="none" w:sz="0" w:space="0" w:color="auto"/>
        <w:left w:val="none" w:sz="0" w:space="0" w:color="auto"/>
        <w:bottom w:val="none" w:sz="0" w:space="0" w:color="auto"/>
        <w:right w:val="none" w:sz="0" w:space="0" w:color="auto"/>
      </w:divBdr>
    </w:div>
    <w:div w:id="129128683">
      <w:bodyDiv w:val="1"/>
      <w:marLeft w:val="0"/>
      <w:marRight w:val="0"/>
      <w:marTop w:val="0"/>
      <w:marBottom w:val="0"/>
      <w:divBdr>
        <w:top w:val="none" w:sz="0" w:space="0" w:color="auto"/>
        <w:left w:val="none" w:sz="0" w:space="0" w:color="auto"/>
        <w:bottom w:val="none" w:sz="0" w:space="0" w:color="auto"/>
        <w:right w:val="none" w:sz="0" w:space="0" w:color="auto"/>
      </w:divBdr>
    </w:div>
    <w:div w:id="169027018">
      <w:bodyDiv w:val="1"/>
      <w:marLeft w:val="0"/>
      <w:marRight w:val="0"/>
      <w:marTop w:val="0"/>
      <w:marBottom w:val="0"/>
      <w:divBdr>
        <w:top w:val="none" w:sz="0" w:space="0" w:color="auto"/>
        <w:left w:val="none" w:sz="0" w:space="0" w:color="auto"/>
        <w:bottom w:val="none" w:sz="0" w:space="0" w:color="auto"/>
        <w:right w:val="none" w:sz="0" w:space="0" w:color="auto"/>
      </w:divBdr>
    </w:div>
    <w:div w:id="173228481">
      <w:bodyDiv w:val="1"/>
      <w:marLeft w:val="0"/>
      <w:marRight w:val="0"/>
      <w:marTop w:val="0"/>
      <w:marBottom w:val="0"/>
      <w:divBdr>
        <w:top w:val="none" w:sz="0" w:space="0" w:color="auto"/>
        <w:left w:val="none" w:sz="0" w:space="0" w:color="auto"/>
        <w:bottom w:val="none" w:sz="0" w:space="0" w:color="auto"/>
        <w:right w:val="none" w:sz="0" w:space="0" w:color="auto"/>
      </w:divBdr>
    </w:div>
    <w:div w:id="175507058">
      <w:bodyDiv w:val="1"/>
      <w:marLeft w:val="0"/>
      <w:marRight w:val="0"/>
      <w:marTop w:val="0"/>
      <w:marBottom w:val="0"/>
      <w:divBdr>
        <w:top w:val="none" w:sz="0" w:space="0" w:color="auto"/>
        <w:left w:val="none" w:sz="0" w:space="0" w:color="auto"/>
        <w:bottom w:val="none" w:sz="0" w:space="0" w:color="auto"/>
        <w:right w:val="none" w:sz="0" w:space="0" w:color="auto"/>
      </w:divBdr>
    </w:div>
    <w:div w:id="178933214">
      <w:bodyDiv w:val="1"/>
      <w:marLeft w:val="0"/>
      <w:marRight w:val="0"/>
      <w:marTop w:val="0"/>
      <w:marBottom w:val="0"/>
      <w:divBdr>
        <w:top w:val="none" w:sz="0" w:space="0" w:color="auto"/>
        <w:left w:val="none" w:sz="0" w:space="0" w:color="auto"/>
        <w:bottom w:val="none" w:sz="0" w:space="0" w:color="auto"/>
        <w:right w:val="none" w:sz="0" w:space="0" w:color="auto"/>
      </w:divBdr>
    </w:div>
    <w:div w:id="189297197">
      <w:bodyDiv w:val="1"/>
      <w:marLeft w:val="0"/>
      <w:marRight w:val="0"/>
      <w:marTop w:val="0"/>
      <w:marBottom w:val="0"/>
      <w:divBdr>
        <w:top w:val="none" w:sz="0" w:space="0" w:color="auto"/>
        <w:left w:val="none" w:sz="0" w:space="0" w:color="auto"/>
        <w:bottom w:val="none" w:sz="0" w:space="0" w:color="auto"/>
        <w:right w:val="none" w:sz="0" w:space="0" w:color="auto"/>
      </w:divBdr>
    </w:div>
    <w:div w:id="213321130">
      <w:bodyDiv w:val="1"/>
      <w:marLeft w:val="0"/>
      <w:marRight w:val="0"/>
      <w:marTop w:val="0"/>
      <w:marBottom w:val="0"/>
      <w:divBdr>
        <w:top w:val="none" w:sz="0" w:space="0" w:color="auto"/>
        <w:left w:val="none" w:sz="0" w:space="0" w:color="auto"/>
        <w:bottom w:val="none" w:sz="0" w:space="0" w:color="auto"/>
        <w:right w:val="none" w:sz="0" w:space="0" w:color="auto"/>
      </w:divBdr>
    </w:div>
    <w:div w:id="233973600">
      <w:bodyDiv w:val="1"/>
      <w:marLeft w:val="0"/>
      <w:marRight w:val="0"/>
      <w:marTop w:val="0"/>
      <w:marBottom w:val="0"/>
      <w:divBdr>
        <w:top w:val="none" w:sz="0" w:space="0" w:color="auto"/>
        <w:left w:val="none" w:sz="0" w:space="0" w:color="auto"/>
        <w:bottom w:val="none" w:sz="0" w:space="0" w:color="auto"/>
        <w:right w:val="none" w:sz="0" w:space="0" w:color="auto"/>
      </w:divBdr>
    </w:div>
    <w:div w:id="234558002">
      <w:bodyDiv w:val="1"/>
      <w:marLeft w:val="0"/>
      <w:marRight w:val="0"/>
      <w:marTop w:val="0"/>
      <w:marBottom w:val="0"/>
      <w:divBdr>
        <w:top w:val="none" w:sz="0" w:space="0" w:color="auto"/>
        <w:left w:val="none" w:sz="0" w:space="0" w:color="auto"/>
        <w:bottom w:val="none" w:sz="0" w:space="0" w:color="auto"/>
        <w:right w:val="none" w:sz="0" w:space="0" w:color="auto"/>
      </w:divBdr>
    </w:div>
    <w:div w:id="262611321">
      <w:bodyDiv w:val="1"/>
      <w:marLeft w:val="0"/>
      <w:marRight w:val="0"/>
      <w:marTop w:val="0"/>
      <w:marBottom w:val="0"/>
      <w:divBdr>
        <w:top w:val="none" w:sz="0" w:space="0" w:color="auto"/>
        <w:left w:val="none" w:sz="0" w:space="0" w:color="auto"/>
        <w:bottom w:val="none" w:sz="0" w:space="0" w:color="auto"/>
        <w:right w:val="none" w:sz="0" w:space="0" w:color="auto"/>
      </w:divBdr>
    </w:div>
    <w:div w:id="300379890">
      <w:bodyDiv w:val="1"/>
      <w:marLeft w:val="0"/>
      <w:marRight w:val="0"/>
      <w:marTop w:val="0"/>
      <w:marBottom w:val="0"/>
      <w:divBdr>
        <w:top w:val="none" w:sz="0" w:space="0" w:color="auto"/>
        <w:left w:val="none" w:sz="0" w:space="0" w:color="auto"/>
        <w:bottom w:val="none" w:sz="0" w:space="0" w:color="auto"/>
        <w:right w:val="none" w:sz="0" w:space="0" w:color="auto"/>
      </w:divBdr>
    </w:div>
    <w:div w:id="300616709">
      <w:bodyDiv w:val="1"/>
      <w:marLeft w:val="0"/>
      <w:marRight w:val="0"/>
      <w:marTop w:val="0"/>
      <w:marBottom w:val="0"/>
      <w:divBdr>
        <w:top w:val="none" w:sz="0" w:space="0" w:color="auto"/>
        <w:left w:val="none" w:sz="0" w:space="0" w:color="auto"/>
        <w:bottom w:val="none" w:sz="0" w:space="0" w:color="auto"/>
        <w:right w:val="none" w:sz="0" w:space="0" w:color="auto"/>
      </w:divBdr>
    </w:div>
    <w:div w:id="320157285">
      <w:bodyDiv w:val="1"/>
      <w:marLeft w:val="0"/>
      <w:marRight w:val="0"/>
      <w:marTop w:val="0"/>
      <w:marBottom w:val="0"/>
      <w:divBdr>
        <w:top w:val="none" w:sz="0" w:space="0" w:color="auto"/>
        <w:left w:val="none" w:sz="0" w:space="0" w:color="auto"/>
        <w:bottom w:val="none" w:sz="0" w:space="0" w:color="auto"/>
        <w:right w:val="none" w:sz="0" w:space="0" w:color="auto"/>
      </w:divBdr>
    </w:div>
    <w:div w:id="342782995">
      <w:bodyDiv w:val="1"/>
      <w:marLeft w:val="0"/>
      <w:marRight w:val="0"/>
      <w:marTop w:val="0"/>
      <w:marBottom w:val="0"/>
      <w:divBdr>
        <w:top w:val="none" w:sz="0" w:space="0" w:color="auto"/>
        <w:left w:val="none" w:sz="0" w:space="0" w:color="auto"/>
        <w:bottom w:val="none" w:sz="0" w:space="0" w:color="auto"/>
        <w:right w:val="none" w:sz="0" w:space="0" w:color="auto"/>
      </w:divBdr>
    </w:div>
    <w:div w:id="344400628">
      <w:bodyDiv w:val="1"/>
      <w:marLeft w:val="0"/>
      <w:marRight w:val="0"/>
      <w:marTop w:val="0"/>
      <w:marBottom w:val="0"/>
      <w:divBdr>
        <w:top w:val="none" w:sz="0" w:space="0" w:color="auto"/>
        <w:left w:val="none" w:sz="0" w:space="0" w:color="auto"/>
        <w:bottom w:val="none" w:sz="0" w:space="0" w:color="auto"/>
        <w:right w:val="none" w:sz="0" w:space="0" w:color="auto"/>
      </w:divBdr>
    </w:div>
    <w:div w:id="345979852">
      <w:bodyDiv w:val="1"/>
      <w:marLeft w:val="0"/>
      <w:marRight w:val="0"/>
      <w:marTop w:val="0"/>
      <w:marBottom w:val="0"/>
      <w:divBdr>
        <w:top w:val="none" w:sz="0" w:space="0" w:color="auto"/>
        <w:left w:val="none" w:sz="0" w:space="0" w:color="auto"/>
        <w:bottom w:val="none" w:sz="0" w:space="0" w:color="auto"/>
        <w:right w:val="none" w:sz="0" w:space="0" w:color="auto"/>
      </w:divBdr>
    </w:div>
    <w:div w:id="351341623">
      <w:bodyDiv w:val="1"/>
      <w:marLeft w:val="0"/>
      <w:marRight w:val="0"/>
      <w:marTop w:val="0"/>
      <w:marBottom w:val="0"/>
      <w:divBdr>
        <w:top w:val="none" w:sz="0" w:space="0" w:color="auto"/>
        <w:left w:val="none" w:sz="0" w:space="0" w:color="auto"/>
        <w:bottom w:val="none" w:sz="0" w:space="0" w:color="auto"/>
        <w:right w:val="none" w:sz="0" w:space="0" w:color="auto"/>
      </w:divBdr>
    </w:div>
    <w:div w:id="379129573">
      <w:bodyDiv w:val="1"/>
      <w:marLeft w:val="0"/>
      <w:marRight w:val="0"/>
      <w:marTop w:val="0"/>
      <w:marBottom w:val="0"/>
      <w:divBdr>
        <w:top w:val="none" w:sz="0" w:space="0" w:color="auto"/>
        <w:left w:val="none" w:sz="0" w:space="0" w:color="auto"/>
        <w:bottom w:val="none" w:sz="0" w:space="0" w:color="auto"/>
        <w:right w:val="none" w:sz="0" w:space="0" w:color="auto"/>
      </w:divBdr>
    </w:div>
    <w:div w:id="415978317">
      <w:bodyDiv w:val="1"/>
      <w:marLeft w:val="0"/>
      <w:marRight w:val="0"/>
      <w:marTop w:val="0"/>
      <w:marBottom w:val="0"/>
      <w:divBdr>
        <w:top w:val="none" w:sz="0" w:space="0" w:color="auto"/>
        <w:left w:val="none" w:sz="0" w:space="0" w:color="auto"/>
        <w:bottom w:val="none" w:sz="0" w:space="0" w:color="auto"/>
        <w:right w:val="none" w:sz="0" w:space="0" w:color="auto"/>
      </w:divBdr>
    </w:div>
    <w:div w:id="425349870">
      <w:bodyDiv w:val="1"/>
      <w:marLeft w:val="0"/>
      <w:marRight w:val="0"/>
      <w:marTop w:val="0"/>
      <w:marBottom w:val="0"/>
      <w:divBdr>
        <w:top w:val="none" w:sz="0" w:space="0" w:color="auto"/>
        <w:left w:val="none" w:sz="0" w:space="0" w:color="auto"/>
        <w:bottom w:val="none" w:sz="0" w:space="0" w:color="auto"/>
        <w:right w:val="none" w:sz="0" w:space="0" w:color="auto"/>
      </w:divBdr>
    </w:div>
    <w:div w:id="425732309">
      <w:bodyDiv w:val="1"/>
      <w:marLeft w:val="0"/>
      <w:marRight w:val="0"/>
      <w:marTop w:val="0"/>
      <w:marBottom w:val="0"/>
      <w:divBdr>
        <w:top w:val="none" w:sz="0" w:space="0" w:color="auto"/>
        <w:left w:val="none" w:sz="0" w:space="0" w:color="auto"/>
        <w:bottom w:val="none" w:sz="0" w:space="0" w:color="auto"/>
        <w:right w:val="none" w:sz="0" w:space="0" w:color="auto"/>
      </w:divBdr>
    </w:div>
    <w:div w:id="439103564">
      <w:bodyDiv w:val="1"/>
      <w:marLeft w:val="0"/>
      <w:marRight w:val="0"/>
      <w:marTop w:val="0"/>
      <w:marBottom w:val="0"/>
      <w:divBdr>
        <w:top w:val="none" w:sz="0" w:space="0" w:color="auto"/>
        <w:left w:val="none" w:sz="0" w:space="0" w:color="auto"/>
        <w:bottom w:val="none" w:sz="0" w:space="0" w:color="auto"/>
        <w:right w:val="none" w:sz="0" w:space="0" w:color="auto"/>
      </w:divBdr>
    </w:div>
    <w:div w:id="465465689">
      <w:bodyDiv w:val="1"/>
      <w:marLeft w:val="0"/>
      <w:marRight w:val="0"/>
      <w:marTop w:val="0"/>
      <w:marBottom w:val="0"/>
      <w:divBdr>
        <w:top w:val="none" w:sz="0" w:space="0" w:color="auto"/>
        <w:left w:val="none" w:sz="0" w:space="0" w:color="auto"/>
        <w:bottom w:val="none" w:sz="0" w:space="0" w:color="auto"/>
        <w:right w:val="none" w:sz="0" w:space="0" w:color="auto"/>
      </w:divBdr>
    </w:div>
    <w:div w:id="498277064">
      <w:bodyDiv w:val="1"/>
      <w:marLeft w:val="0"/>
      <w:marRight w:val="0"/>
      <w:marTop w:val="0"/>
      <w:marBottom w:val="0"/>
      <w:divBdr>
        <w:top w:val="none" w:sz="0" w:space="0" w:color="auto"/>
        <w:left w:val="none" w:sz="0" w:space="0" w:color="auto"/>
        <w:bottom w:val="none" w:sz="0" w:space="0" w:color="auto"/>
        <w:right w:val="none" w:sz="0" w:space="0" w:color="auto"/>
      </w:divBdr>
    </w:div>
    <w:div w:id="523710919">
      <w:bodyDiv w:val="1"/>
      <w:marLeft w:val="0"/>
      <w:marRight w:val="0"/>
      <w:marTop w:val="0"/>
      <w:marBottom w:val="0"/>
      <w:divBdr>
        <w:top w:val="none" w:sz="0" w:space="0" w:color="auto"/>
        <w:left w:val="none" w:sz="0" w:space="0" w:color="auto"/>
        <w:bottom w:val="none" w:sz="0" w:space="0" w:color="auto"/>
        <w:right w:val="none" w:sz="0" w:space="0" w:color="auto"/>
      </w:divBdr>
    </w:div>
    <w:div w:id="549806786">
      <w:bodyDiv w:val="1"/>
      <w:marLeft w:val="0"/>
      <w:marRight w:val="0"/>
      <w:marTop w:val="0"/>
      <w:marBottom w:val="0"/>
      <w:divBdr>
        <w:top w:val="none" w:sz="0" w:space="0" w:color="auto"/>
        <w:left w:val="none" w:sz="0" w:space="0" w:color="auto"/>
        <w:bottom w:val="none" w:sz="0" w:space="0" w:color="auto"/>
        <w:right w:val="none" w:sz="0" w:space="0" w:color="auto"/>
      </w:divBdr>
    </w:div>
    <w:div w:id="560869324">
      <w:bodyDiv w:val="1"/>
      <w:marLeft w:val="0"/>
      <w:marRight w:val="0"/>
      <w:marTop w:val="0"/>
      <w:marBottom w:val="0"/>
      <w:divBdr>
        <w:top w:val="none" w:sz="0" w:space="0" w:color="auto"/>
        <w:left w:val="none" w:sz="0" w:space="0" w:color="auto"/>
        <w:bottom w:val="none" w:sz="0" w:space="0" w:color="auto"/>
        <w:right w:val="none" w:sz="0" w:space="0" w:color="auto"/>
      </w:divBdr>
    </w:div>
    <w:div w:id="566569774">
      <w:bodyDiv w:val="1"/>
      <w:marLeft w:val="0"/>
      <w:marRight w:val="0"/>
      <w:marTop w:val="0"/>
      <w:marBottom w:val="0"/>
      <w:divBdr>
        <w:top w:val="none" w:sz="0" w:space="0" w:color="auto"/>
        <w:left w:val="none" w:sz="0" w:space="0" w:color="auto"/>
        <w:bottom w:val="none" w:sz="0" w:space="0" w:color="auto"/>
        <w:right w:val="none" w:sz="0" w:space="0" w:color="auto"/>
      </w:divBdr>
    </w:div>
    <w:div w:id="597366540">
      <w:bodyDiv w:val="1"/>
      <w:marLeft w:val="0"/>
      <w:marRight w:val="0"/>
      <w:marTop w:val="0"/>
      <w:marBottom w:val="0"/>
      <w:divBdr>
        <w:top w:val="none" w:sz="0" w:space="0" w:color="auto"/>
        <w:left w:val="none" w:sz="0" w:space="0" w:color="auto"/>
        <w:bottom w:val="none" w:sz="0" w:space="0" w:color="auto"/>
        <w:right w:val="none" w:sz="0" w:space="0" w:color="auto"/>
      </w:divBdr>
    </w:div>
    <w:div w:id="613168429">
      <w:bodyDiv w:val="1"/>
      <w:marLeft w:val="0"/>
      <w:marRight w:val="0"/>
      <w:marTop w:val="0"/>
      <w:marBottom w:val="0"/>
      <w:divBdr>
        <w:top w:val="none" w:sz="0" w:space="0" w:color="auto"/>
        <w:left w:val="none" w:sz="0" w:space="0" w:color="auto"/>
        <w:bottom w:val="none" w:sz="0" w:space="0" w:color="auto"/>
        <w:right w:val="none" w:sz="0" w:space="0" w:color="auto"/>
      </w:divBdr>
    </w:div>
    <w:div w:id="657538729">
      <w:bodyDiv w:val="1"/>
      <w:marLeft w:val="0"/>
      <w:marRight w:val="0"/>
      <w:marTop w:val="0"/>
      <w:marBottom w:val="0"/>
      <w:divBdr>
        <w:top w:val="none" w:sz="0" w:space="0" w:color="auto"/>
        <w:left w:val="none" w:sz="0" w:space="0" w:color="auto"/>
        <w:bottom w:val="none" w:sz="0" w:space="0" w:color="auto"/>
        <w:right w:val="none" w:sz="0" w:space="0" w:color="auto"/>
      </w:divBdr>
    </w:div>
    <w:div w:id="657997327">
      <w:bodyDiv w:val="1"/>
      <w:marLeft w:val="0"/>
      <w:marRight w:val="0"/>
      <w:marTop w:val="0"/>
      <w:marBottom w:val="0"/>
      <w:divBdr>
        <w:top w:val="none" w:sz="0" w:space="0" w:color="auto"/>
        <w:left w:val="none" w:sz="0" w:space="0" w:color="auto"/>
        <w:bottom w:val="none" w:sz="0" w:space="0" w:color="auto"/>
        <w:right w:val="none" w:sz="0" w:space="0" w:color="auto"/>
      </w:divBdr>
    </w:div>
    <w:div w:id="700741355">
      <w:bodyDiv w:val="1"/>
      <w:marLeft w:val="0"/>
      <w:marRight w:val="0"/>
      <w:marTop w:val="0"/>
      <w:marBottom w:val="0"/>
      <w:divBdr>
        <w:top w:val="none" w:sz="0" w:space="0" w:color="auto"/>
        <w:left w:val="none" w:sz="0" w:space="0" w:color="auto"/>
        <w:bottom w:val="none" w:sz="0" w:space="0" w:color="auto"/>
        <w:right w:val="none" w:sz="0" w:space="0" w:color="auto"/>
      </w:divBdr>
    </w:div>
    <w:div w:id="709187711">
      <w:bodyDiv w:val="1"/>
      <w:marLeft w:val="0"/>
      <w:marRight w:val="0"/>
      <w:marTop w:val="0"/>
      <w:marBottom w:val="0"/>
      <w:divBdr>
        <w:top w:val="none" w:sz="0" w:space="0" w:color="auto"/>
        <w:left w:val="none" w:sz="0" w:space="0" w:color="auto"/>
        <w:bottom w:val="none" w:sz="0" w:space="0" w:color="auto"/>
        <w:right w:val="none" w:sz="0" w:space="0" w:color="auto"/>
      </w:divBdr>
    </w:div>
    <w:div w:id="721640967">
      <w:bodyDiv w:val="1"/>
      <w:marLeft w:val="0"/>
      <w:marRight w:val="0"/>
      <w:marTop w:val="0"/>
      <w:marBottom w:val="0"/>
      <w:divBdr>
        <w:top w:val="none" w:sz="0" w:space="0" w:color="auto"/>
        <w:left w:val="none" w:sz="0" w:space="0" w:color="auto"/>
        <w:bottom w:val="none" w:sz="0" w:space="0" w:color="auto"/>
        <w:right w:val="none" w:sz="0" w:space="0" w:color="auto"/>
      </w:divBdr>
    </w:div>
    <w:div w:id="762533345">
      <w:bodyDiv w:val="1"/>
      <w:marLeft w:val="0"/>
      <w:marRight w:val="0"/>
      <w:marTop w:val="0"/>
      <w:marBottom w:val="0"/>
      <w:divBdr>
        <w:top w:val="none" w:sz="0" w:space="0" w:color="auto"/>
        <w:left w:val="none" w:sz="0" w:space="0" w:color="auto"/>
        <w:bottom w:val="none" w:sz="0" w:space="0" w:color="auto"/>
        <w:right w:val="none" w:sz="0" w:space="0" w:color="auto"/>
      </w:divBdr>
    </w:div>
    <w:div w:id="765081797">
      <w:bodyDiv w:val="1"/>
      <w:marLeft w:val="0"/>
      <w:marRight w:val="0"/>
      <w:marTop w:val="0"/>
      <w:marBottom w:val="0"/>
      <w:divBdr>
        <w:top w:val="none" w:sz="0" w:space="0" w:color="auto"/>
        <w:left w:val="none" w:sz="0" w:space="0" w:color="auto"/>
        <w:bottom w:val="none" w:sz="0" w:space="0" w:color="auto"/>
        <w:right w:val="none" w:sz="0" w:space="0" w:color="auto"/>
      </w:divBdr>
    </w:div>
    <w:div w:id="816647815">
      <w:bodyDiv w:val="1"/>
      <w:marLeft w:val="0"/>
      <w:marRight w:val="0"/>
      <w:marTop w:val="0"/>
      <w:marBottom w:val="0"/>
      <w:divBdr>
        <w:top w:val="none" w:sz="0" w:space="0" w:color="auto"/>
        <w:left w:val="none" w:sz="0" w:space="0" w:color="auto"/>
        <w:bottom w:val="none" w:sz="0" w:space="0" w:color="auto"/>
        <w:right w:val="none" w:sz="0" w:space="0" w:color="auto"/>
      </w:divBdr>
    </w:div>
    <w:div w:id="834614318">
      <w:bodyDiv w:val="1"/>
      <w:marLeft w:val="0"/>
      <w:marRight w:val="0"/>
      <w:marTop w:val="0"/>
      <w:marBottom w:val="0"/>
      <w:divBdr>
        <w:top w:val="none" w:sz="0" w:space="0" w:color="auto"/>
        <w:left w:val="none" w:sz="0" w:space="0" w:color="auto"/>
        <w:bottom w:val="none" w:sz="0" w:space="0" w:color="auto"/>
        <w:right w:val="none" w:sz="0" w:space="0" w:color="auto"/>
      </w:divBdr>
    </w:div>
    <w:div w:id="842286279">
      <w:bodyDiv w:val="1"/>
      <w:marLeft w:val="0"/>
      <w:marRight w:val="0"/>
      <w:marTop w:val="0"/>
      <w:marBottom w:val="0"/>
      <w:divBdr>
        <w:top w:val="none" w:sz="0" w:space="0" w:color="auto"/>
        <w:left w:val="none" w:sz="0" w:space="0" w:color="auto"/>
        <w:bottom w:val="none" w:sz="0" w:space="0" w:color="auto"/>
        <w:right w:val="none" w:sz="0" w:space="0" w:color="auto"/>
      </w:divBdr>
    </w:div>
    <w:div w:id="847252076">
      <w:bodyDiv w:val="1"/>
      <w:marLeft w:val="0"/>
      <w:marRight w:val="0"/>
      <w:marTop w:val="0"/>
      <w:marBottom w:val="0"/>
      <w:divBdr>
        <w:top w:val="none" w:sz="0" w:space="0" w:color="auto"/>
        <w:left w:val="none" w:sz="0" w:space="0" w:color="auto"/>
        <w:bottom w:val="none" w:sz="0" w:space="0" w:color="auto"/>
        <w:right w:val="none" w:sz="0" w:space="0" w:color="auto"/>
      </w:divBdr>
    </w:div>
    <w:div w:id="847522957">
      <w:bodyDiv w:val="1"/>
      <w:marLeft w:val="0"/>
      <w:marRight w:val="0"/>
      <w:marTop w:val="0"/>
      <w:marBottom w:val="0"/>
      <w:divBdr>
        <w:top w:val="none" w:sz="0" w:space="0" w:color="auto"/>
        <w:left w:val="none" w:sz="0" w:space="0" w:color="auto"/>
        <w:bottom w:val="none" w:sz="0" w:space="0" w:color="auto"/>
        <w:right w:val="none" w:sz="0" w:space="0" w:color="auto"/>
      </w:divBdr>
    </w:div>
    <w:div w:id="863711814">
      <w:bodyDiv w:val="1"/>
      <w:marLeft w:val="0"/>
      <w:marRight w:val="0"/>
      <w:marTop w:val="0"/>
      <w:marBottom w:val="0"/>
      <w:divBdr>
        <w:top w:val="none" w:sz="0" w:space="0" w:color="auto"/>
        <w:left w:val="none" w:sz="0" w:space="0" w:color="auto"/>
        <w:bottom w:val="none" w:sz="0" w:space="0" w:color="auto"/>
        <w:right w:val="none" w:sz="0" w:space="0" w:color="auto"/>
      </w:divBdr>
    </w:div>
    <w:div w:id="867528958">
      <w:bodyDiv w:val="1"/>
      <w:marLeft w:val="0"/>
      <w:marRight w:val="0"/>
      <w:marTop w:val="0"/>
      <w:marBottom w:val="0"/>
      <w:divBdr>
        <w:top w:val="none" w:sz="0" w:space="0" w:color="auto"/>
        <w:left w:val="none" w:sz="0" w:space="0" w:color="auto"/>
        <w:bottom w:val="none" w:sz="0" w:space="0" w:color="auto"/>
        <w:right w:val="none" w:sz="0" w:space="0" w:color="auto"/>
      </w:divBdr>
    </w:div>
    <w:div w:id="873543735">
      <w:bodyDiv w:val="1"/>
      <w:marLeft w:val="0"/>
      <w:marRight w:val="0"/>
      <w:marTop w:val="0"/>
      <w:marBottom w:val="0"/>
      <w:divBdr>
        <w:top w:val="none" w:sz="0" w:space="0" w:color="auto"/>
        <w:left w:val="none" w:sz="0" w:space="0" w:color="auto"/>
        <w:bottom w:val="none" w:sz="0" w:space="0" w:color="auto"/>
        <w:right w:val="none" w:sz="0" w:space="0" w:color="auto"/>
      </w:divBdr>
    </w:div>
    <w:div w:id="876818167">
      <w:bodyDiv w:val="1"/>
      <w:marLeft w:val="0"/>
      <w:marRight w:val="0"/>
      <w:marTop w:val="0"/>
      <w:marBottom w:val="0"/>
      <w:divBdr>
        <w:top w:val="none" w:sz="0" w:space="0" w:color="auto"/>
        <w:left w:val="none" w:sz="0" w:space="0" w:color="auto"/>
        <w:bottom w:val="none" w:sz="0" w:space="0" w:color="auto"/>
        <w:right w:val="none" w:sz="0" w:space="0" w:color="auto"/>
      </w:divBdr>
    </w:div>
    <w:div w:id="881944503">
      <w:bodyDiv w:val="1"/>
      <w:marLeft w:val="0"/>
      <w:marRight w:val="0"/>
      <w:marTop w:val="0"/>
      <w:marBottom w:val="0"/>
      <w:divBdr>
        <w:top w:val="none" w:sz="0" w:space="0" w:color="auto"/>
        <w:left w:val="none" w:sz="0" w:space="0" w:color="auto"/>
        <w:bottom w:val="none" w:sz="0" w:space="0" w:color="auto"/>
        <w:right w:val="none" w:sz="0" w:space="0" w:color="auto"/>
      </w:divBdr>
    </w:div>
    <w:div w:id="896279562">
      <w:bodyDiv w:val="1"/>
      <w:marLeft w:val="0"/>
      <w:marRight w:val="0"/>
      <w:marTop w:val="0"/>
      <w:marBottom w:val="0"/>
      <w:divBdr>
        <w:top w:val="none" w:sz="0" w:space="0" w:color="auto"/>
        <w:left w:val="none" w:sz="0" w:space="0" w:color="auto"/>
        <w:bottom w:val="none" w:sz="0" w:space="0" w:color="auto"/>
        <w:right w:val="none" w:sz="0" w:space="0" w:color="auto"/>
      </w:divBdr>
    </w:div>
    <w:div w:id="897400911">
      <w:bodyDiv w:val="1"/>
      <w:marLeft w:val="0"/>
      <w:marRight w:val="0"/>
      <w:marTop w:val="0"/>
      <w:marBottom w:val="0"/>
      <w:divBdr>
        <w:top w:val="none" w:sz="0" w:space="0" w:color="auto"/>
        <w:left w:val="none" w:sz="0" w:space="0" w:color="auto"/>
        <w:bottom w:val="none" w:sz="0" w:space="0" w:color="auto"/>
        <w:right w:val="none" w:sz="0" w:space="0" w:color="auto"/>
      </w:divBdr>
    </w:div>
    <w:div w:id="916748571">
      <w:bodyDiv w:val="1"/>
      <w:marLeft w:val="0"/>
      <w:marRight w:val="0"/>
      <w:marTop w:val="0"/>
      <w:marBottom w:val="0"/>
      <w:divBdr>
        <w:top w:val="none" w:sz="0" w:space="0" w:color="auto"/>
        <w:left w:val="none" w:sz="0" w:space="0" w:color="auto"/>
        <w:bottom w:val="none" w:sz="0" w:space="0" w:color="auto"/>
        <w:right w:val="none" w:sz="0" w:space="0" w:color="auto"/>
      </w:divBdr>
    </w:div>
    <w:div w:id="929309682">
      <w:bodyDiv w:val="1"/>
      <w:marLeft w:val="0"/>
      <w:marRight w:val="0"/>
      <w:marTop w:val="0"/>
      <w:marBottom w:val="0"/>
      <w:divBdr>
        <w:top w:val="none" w:sz="0" w:space="0" w:color="auto"/>
        <w:left w:val="none" w:sz="0" w:space="0" w:color="auto"/>
        <w:bottom w:val="none" w:sz="0" w:space="0" w:color="auto"/>
        <w:right w:val="none" w:sz="0" w:space="0" w:color="auto"/>
      </w:divBdr>
    </w:div>
    <w:div w:id="933974836">
      <w:bodyDiv w:val="1"/>
      <w:marLeft w:val="0"/>
      <w:marRight w:val="0"/>
      <w:marTop w:val="0"/>
      <w:marBottom w:val="0"/>
      <w:divBdr>
        <w:top w:val="none" w:sz="0" w:space="0" w:color="auto"/>
        <w:left w:val="none" w:sz="0" w:space="0" w:color="auto"/>
        <w:bottom w:val="none" w:sz="0" w:space="0" w:color="auto"/>
        <w:right w:val="none" w:sz="0" w:space="0" w:color="auto"/>
      </w:divBdr>
    </w:div>
    <w:div w:id="939294005">
      <w:bodyDiv w:val="1"/>
      <w:marLeft w:val="0"/>
      <w:marRight w:val="0"/>
      <w:marTop w:val="0"/>
      <w:marBottom w:val="0"/>
      <w:divBdr>
        <w:top w:val="none" w:sz="0" w:space="0" w:color="auto"/>
        <w:left w:val="none" w:sz="0" w:space="0" w:color="auto"/>
        <w:bottom w:val="none" w:sz="0" w:space="0" w:color="auto"/>
        <w:right w:val="none" w:sz="0" w:space="0" w:color="auto"/>
      </w:divBdr>
    </w:div>
    <w:div w:id="947927098">
      <w:bodyDiv w:val="1"/>
      <w:marLeft w:val="0"/>
      <w:marRight w:val="0"/>
      <w:marTop w:val="0"/>
      <w:marBottom w:val="0"/>
      <w:divBdr>
        <w:top w:val="none" w:sz="0" w:space="0" w:color="auto"/>
        <w:left w:val="none" w:sz="0" w:space="0" w:color="auto"/>
        <w:bottom w:val="none" w:sz="0" w:space="0" w:color="auto"/>
        <w:right w:val="none" w:sz="0" w:space="0" w:color="auto"/>
      </w:divBdr>
    </w:div>
    <w:div w:id="978994712">
      <w:bodyDiv w:val="1"/>
      <w:marLeft w:val="0"/>
      <w:marRight w:val="0"/>
      <w:marTop w:val="0"/>
      <w:marBottom w:val="0"/>
      <w:divBdr>
        <w:top w:val="none" w:sz="0" w:space="0" w:color="auto"/>
        <w:left w:val="none" w:sz="0" w:space="0" w:color="auto"/>
        <w:bottom w:val="none" w:sz="0" w:space="0" w:color="auto"/>
        <w:right w:val="none" w:sz="0" w:space="0" w:color="auto"/>
      </w:divBdr>
    </w:div>
    <w:div w:id="1007438337">
      <w:bodyDiv w:val="1"/>
      <w:marLeft w:val="0"/>
      <w:marRight w:val="0"/>
      <w:marTop w:val="0"/>
      <w:marBottom w:val="0"/>
      <w:divBdr>
        <w:top w:val="none" w:sz="0" w:space="0" w:color="auto"/>
        <w:left w:val="none" w:sz="0" w:space="0" w:color="auto"/>
        <w:bottom w:val="none" w:sz="0" w:space="0" w:color="auto"/>
        <w:right w:val="none" w:sz="0" w:space="0" w:color="auto"/>
      </w:divBdr>
    </w:div>
    <w:div w:id="1009136514">
      <w:bodyDiv w:val="1"/>
      <w:marLeft w:val="0"/>
      <w:marRight w:val="0"/>
      <w:marTop w:val="0"/>
      <w:marBottom w:val="0"/>
      <w:divBdr>
        <w:top w:val="none" w:sz="0" w:space="0" w:color="auto"/>
        <w:left w:val="none" w:sz="0" w:space="0" w:color="auto"/>
        <w:bottom w:val="none" w:sz="0" w:space="0" w:color="auto"/>
        <w:right w:val="none" w:sz="0" w:space="0" w:color="auto"/>
      </w:divBdr>
    </w:div>
    <w:div w:id="1011371322">
      <w:bodyDiv w:val="1"/>
      <w:marLeft w:val="0"/>
      <w:marRight w:val="0"/>
      <w:marTop w:val="0"/>
      <w:marBottom w:val="0"/>
      <w:divBdr>
        <w:top w:val="none" w:sz="0" w:space="0" w:color="auto"/>
        <w:left w:val="none" w:sz="0" w:space="0" w:color="auto"/>
        <w:bottom w:val="none" w:sz="0" w:space="0" w:color="auto"/>
        <w:right w:val="none" w:sz="0" w:space="0" w:color="auto"/>
      </w:divBdr>
    </w:div>
    <w:div w:id="1032806509">
      <w:bodyDiv w:val="1"/>
      <w:marLeft w:val="0"/>
      <w:marRight w:val="0"/>
      <w:marTop w:val="0"/>
      <w:marBottom w:val="0"/>
      <w:divBdr>
        <w:top w:val="none" w:sz="0" w:space="0" w:color="auto"/>
        <w:left w:val="none" w:sz="0" w:space="0" w:color="auto"/>
        <w:bottom w:val="none" w:sz="0" w:space="0" w:color="auto"/>
        <w:right w:val="none" w:sz="0" w:space="0" w:color="auto"/>
      </w:divBdr>
    </w:div>
    <w:div w:id="1098478233">
      <w:bodyDiv w:val="1"/>
      <w:marLeft w:val="0"/>
      <w:marRight w:val="0"/>
      <w:marTop w:val="0"/>
      <w:marBottom w:val="0"/>
      <w:divBdr>
        <w:top w:val="none" w:sz="0" w:space="0" w:color="auto"/>
        <w:left w:val="none" w:sz="0" w:space="0" w:color="auto"/>
        <w:bottom w:val="none" w:sz="0" w:space="0" w:color="auto"/>
        <w:right w:val="none" w:sz="0" w:space="0" w:color="auto"/>
      </w:divBdr>
    </w:div>
    <w:div w:id="1099523884">
      <w:bodyDiv w:val="1"/>
      <w:marLeft w:val="0"/>
      <w:marRight w:val="0"/>
      <w:marTop w:val="0"/>
      <w:marBottom w:val="0"/>
      <w:divBdr>
        <w:top w:val="none" w:sz="0" w:space="0" w:color="auto"/>
        <w:left w:val="none" w:sz="0" w:space="0" w:color="auto"/>
        <w:bottom w:val="none" w:sz="0" w:space="0" w:color="auto"/>
        <w:right w:val="none" w:sz="0" w:space="0" w:color="auto"/>
      </w:divBdr>
    </w:div>
    <w:div w:id="1108240252">
      <w:bodyDiv w:val="1"/>
      <w:marLeft w:val="0"/>
      <w:marRight w:val="0"/>
      <w:marTop w:val="0"/>
      <w:marBottom w:val="0"/>
      <w:divBdr>
        <w:top w:val="none" w:sz="0" w:space="0" w:color="auto"/>
        <w:left w:val="none" w:sz="0" w:space="0" w:color="auto"/>
        <w:bottom w:val="none" w:sz="0" w:space="0" w:color="auto"/>
        <w:right w:val="none" w:sz="0" w:space="0" w:color="auto"/>
      </w:divBdr>
    </w:div>
    <w:div w:id="1108348817">
      <w:bodyDiv w:val="1"/>
      <w:marLeft w:val="0"/>
      <w:marRight w:val="0"/>
      <w:marTop w:val="0"/>
      <w:marBottom w:val="0"/>
      <w:divBdr>
        <w:top w:val="none" w:sz="0" w:space="0" w:color="auto"/>
        <w:left w:val="none" w:sz="0" w:space="0" w:color="auto"/>
        <w:bottom w:val="none" w:sz="0" w:space="0" w:color="auto"/>
        <w:right w:val="none" w:sz="0" w:space="0" w:color="auto"/>
      </w:divBdr>
    </w:div>
    <w:div w:id="1115950651">
      <w:bodyDiv w:val="1"/>
      <w:marLeft w:val="0"/>
      <w:marRight w:val="0"/>
      <w:marTop w:val="0"/>
      <w:marBottom w:val="0"/>
      <w:divBdr>
        <w:top w:val="none" w:sz="0" w:space="0" w:color="auto"/>
        <w:left w:val="none" w:sz="0" w:space="0" w:color="auto"/>
        <w:bottom w:val="none" w:sz="0" w:space="0" w:color="auto"/>
        <w:right w:val="none" w:sz="0" w:space="0" w:color="auto"/>
      </w:divBdr>
    </w:div>
    <w:div w:id="1121533308">
      <w:bodyDiv w:val="1"/>
      <w:marLeft w:val="0"/>
      <w:marRight w:val="0"/>
      <w:marTop w:val="0"/>
      <w:marBottom w:val="0"/>
      <w:divBdr>
        <w:top w:val="none" w:sz="0" w:space="0" w:color="auto"/>
        <w:left w:val="none" w:sz="0" w:space="0" w:color="auto"/>
        <w:bottom w:val="none" w:sz="0" w:space="0" w:color="auto"/>
        <w:right w:val="none" w:sz="0" w:space="0" w:color="auto"/>
      </w:divBdr>
    </w:div>
    <w:div w:id="1125543586">
      <w:bodyDiv w:val="1"/>
      <w:marLeft w:val="0"/>
      <w:marRight w:val="0"/>
      <w:marTop w:val="0"/>
      <w:marBottom w:val="0"/>
      <w:divBdr>
        <w:top w:val="none" w:sz="0" w:space="0" w:color="auto"/>
        <w:left w:val="none" w:sz="0" w:space="0" w:color="auto"/>
        <w:bottom w:val="none" w:sz="0" w:space="0" w:color="auto"/>
        <w:right w:val="none" w:sz="0" w:space="0" w:color="auto"/>
      </w:divBdr>
    </w:div>
    <w:div w:id="1139304544">
      <w:bodyDiv w:val="1"/>
      <w:marLeft w:val="0"/>
      <w:marRight w:val="0"/>
      <w:marTop w:val="0"/>
      <w:marBottom w:val="0"/>
      <w:divBdr>
        <w:top w:val="none" w:sz="0" w:space="0" w:color="auto"/>
        <w:left w:val="none" w:sz="0" w:space="0" w:color="auto"/>
        <w:bottom w:val="none" w:sz="0" w:space="0" w:color="auto"/>
        <w:right w:val="none" w:sz="0" w:space="0" w:color="auto"/>
      </w:divBdr>
    </w:div>
    <w:div w:id="1163006849">
      <w:bodyDiv w:val="1"/>
      <w:marLeft w:val="0"/>
      <w:marRight w:val="0"/>
      <w:marTop w:val="0"/>
      <w:marBottom w:val="0"/>
      <w:divBdr>
        <w:top w:val="none" w:sz="0" w:space="0" w:color="auto"/>
        <w:left w:val="none" w:sz="0" w:space="0" w:color="auto"/>
        <w:bottom w:val="none" w:sz="0" w:space="0" w:color="auto"/>
        <w:right w:val="none" w:sz="0" w:space="0" w:color="auto"/>
      </w:divBdr>
    </w:div>
    <w:div w:id="1183779972">
      <w:bodyDiv w:val="1"/>
      <w:marLeft w:val="0"/>
      <w:marRight w:val="0"/>
      <w:marTop w:val="0"/>
      <w:marBottom w:val="0"/>
      <w:divBdr>
        <w:top w:val="none" w:sz="0" w:space="0" w:color="auto"/>
        <w:left w:val="none" w:sz="0" w:space="0" w:color="auto"/>
        <w:bottom w:val="none" w:sz="0" w:space="0" w:color="auto"/>
        <w:right w:val="none" w:sz="0" w:space="0" w:color="auto"/>
      </w:divBdr>
    </w:div>
    <w:div w:id="1238858574">
      <w:bodyDiv w:val="1"/>
      <w:marLeft w:val="0"/>
      <w:marRight w:val="0"/>
      <w:marTop w:val="0"/>
      <w:marBottom w:val="0"/>
      <w:divBdr>
        <w:top w:val="none" w:sz="0" w:space="0" w:color="auto"/>
        <w:left w:val="none" w:sz="0" w:space="0" w:color="auto"/>
        <w:bottom w:val="none" w:sz="0" w:space="0" w:color="auto"/>
        <w:right w:val="none" w:sz="0" w:space="0" w:color="auto"/>
      </w:divBdr>
    </w:div>
    <w:div w:id="1258443730">
      <w:bodyDiv w:val="1"/>
      <w:marLeft w:val="0"/>
      <w:marRight w:val="0"/>
      <w:marTop w:val="0"/>
      <w:marBottom w:val="0"/>
      <w:divBdr>
        <w:top w:val="none" w:sz="0" w:space="0" w:color="auto"/>
        <w:left w:val="none" w:sz="0" w:space="0" w:color="auto"/>
        <w:bottom w:val="none" w:sz="0" w:space="0" w:color="auto"/>
        <w:right w:val="none" w:sz="0" w:space="0" w:color="auto"/>
      </w:divBdr>
    </w:div>
    <w:div w:id="1261334215">
      <w:bodyDiv w:val="1"/>
      <w:marLeft w:val="0"/>
      <w:marRight w:val="0"/>
      <w:marTop w:val="0"/>
      <w:marBottom w:val="0"/>
      <w:divBdr>
        <w:top w:val="none" w:sz="0" w:space="0" w:color="auto"/>
        <w:left w:val="none" w:sz="0" w:space="0" w:color="auto"/>
        <w:bottom w:val="none" w:sz="0" w:space="0" w:color="auto"/>
        <w:right w:val="none" w:sz="0" w:space="0" w:color="auto"/>
      </w:divBdr>
    </w:div>
    <w:div w:id="1270964727">
      <w:bodyDiv w:val="1"/>
      <w:marLeft w:val="0"/>
      <w:marRight w:val="0"/>
      <w:marTop w:val="0"/>
      <w:marBottom w:val="0"/>
      <w:divBdr>
        <w:top w:val="none" w:sz="0" w:space="0" w:color="auto"/>
        <w:left w:val="none" w:sz="0" w:space="0" w:color="auto"/>
        <w:bottom w:val="none" w:sz="0" w:space="0" w:color="auto"/>
        <w:right w:val="none" w:sz="0" w:space="0" w:color="auto"/>
      </w:divBdr>
    </w:div>
    <w:div w:id="1272199684">
      <w:bodyDiv w:val="1"/>
      <w:marLeft w:val="0"/>
      <w:marRight w:val="0"/>
      <w:marTop w:val="0"/>
      <w:marBottom w:val="0"/>
      <w:divBdr>
        <w:top w:val="none" w:sz="0" w:space="0" w:color="auto"/>
        <w:left w:val="none" w:sz="0" w:space="0" w:color="auto"/>
        <w:bottom w:val="none" w:sz="0" w:space="0" w:color="auto"/>
        <w:right w:val="none" w:sz="0" w:space="0" w:color="auto"/>
      </w:divBdr>
    </w:div>
    <w:div w:id="1337266850">
      <w:bodyDiv w:val="1"/>
      <w:marLeft w:val="0"/>
      <w:marRight w:val="0"/>
      <w:marTop w:val="0"/>
      <w:marBottom w:val="0"/>
      <w:divBdr>
        <w:top w:val="none" w:sz="0" w:space="0" w:color="auto"/>
        <w:left w:val="none" w:sz="0" w:space="0" w:color="auto"/>
        <w:bottom w:val="none" w:sz="0" w:space="0" w:color="auto"/>
        <w:right w:val="none" w:sz="0" w:space="0" w:color="auto"/>
      </w:divBdr>
    </w:div>
    <w:div w:id="1347752284">
      <w:bodyDiv w:val="1"/>
      <w:marLeft w:val="0"/>
      <w:marRight w:val="0"/>
      <w:marTop w:val="0"/>
      <w:marBottom w:val="0"/>
      <w:divBdr>
        <w:top w:val="none" w:sz="0" w:space="0" w:color="auto"/>
        <w:left w:val="none" w:sz="0" w:space="0" w:color="auto"/>
        <w:bottom w:val="none" w:sz="0" w:space="0" w:color="auto"/>
        <w:right w:val="none" w:sz="0" w:space="0" w:color="auto"/>
      </w:divBdr>
    </w:div>
    <w:div w:id="1349910704">
      <w:bodyDiv w:val="1"/>
      <w:marLeft w:val="0"/>
      <w:marRight w:val="0"/>
      <w:marTop w:val="0"/>
      <w:marBottom w:val="0"/>
      <w:divBdr>
        <w:top w:val="none" w:sz="0" w:space="0" w:color="auto"/>
        <w:left w:val="none" w:sz="0" w:space="0" w:color="auto"/>
        <w:bottom w:val="none" w:sz="0" w:space="0" w:color="auto"/>
        <w:right w:val="none" w:sz="0" w:space="0" w:color="auto"/>
      </w:divBdr>
    </w:div>
    <w:div w:id="1366902559">
      <w:bodyDiv w:val="1"/>
      <w:marLeft w:val="0"/>
      <w:marRight w:val="0"/>
      <w:marTop w:val="0"/>
      <w:marBottom w:val="0"/>
      <w:divBdr>
        <w:top w:val="none" w:sz="0" w:space="0" w:color="auto"/>
        <w:left w:val="none" w:sz="0" w:space="0" w:color="auto"/>
        <w:bottom w:val="none" w:sz="0" w:space="0" w:color="auto"/>
        <w:right w:val="none" w:sz="0" w:space="0" w:color="auto"/>
      </w:divBdr>
    </w:div>
    <w:div w:id="1376542332">
      <w:bodyDiv w:val="1"/>
      <w:marLeft w:val="0"/>
      <w:marRight w:val="0"/>
      <w:marTop w:val="0"/>
      <w:marBottom w:val="0"/>
      <w:divBdr>
        <w:top w:val="none" w:sz="0" w:space="0" w:color="auto"/>
        <w:left w:val="none" w:sz="0" w:space="0" w:color="auto"/>
        <w:bottom w:val="none" w:sz="0" w:space="0" w:color="auto"/>
        <w:right w:val="none" w:sz="0" w:space="0" w:color="auto"/>
      </w:divBdr>
    </w:div>
    <w:div w:id="1426226479">
      <w:bodyDiv w:val="1"/>
      <w:marLeft w:val="0"/>
      <w:marRight w:val="0"/>
      <w:marTop w:val="0"/>
      <w:marBottom w:val="0"/>
      <w:divBdr>
        <w:top w:val="none" w:sz="0" w:space="0" w:color="auto"/>
        <w:left w:val="none" w:sz="0" w:space="0" w:color="auto"/>
        <w:bottom w:val="none" w:sz="0" w:space="0" w:color="auto"/>
        <w:right w:val="none" w:sz="0" w:space="0" w:color="auto"/>
      </w:divBdr>
    </w:div>
    <w:div w:id="1435251044">
      <w:bodyDiv w:val="1"/>
      <w:marLeft w:val="0"/>
      <w:marRight w:val="0"/>
      <w:marTop w:val="0"/>
      <w:marBottom w:val="0"/>
      <w:divBdr>
        <w:top w:val="none" w:sz="0" w:space="0" w:color="auto"/>
        <w:left w:val="none" w:sz="0" w:space="0" w:color="auto"/>
        <w:bottom w:val="none" w:sz="0" w:space="0" w:color="auto"/>
        <w:right w:val="none" w:sz="0" w:space="0" w:color="auto"/>
      </w:divBdr>
    </w:div>
    <w:div w:id="1477529122">
      <w:bodyDiv w:val="1"/>
      <w:marLeft w:val="0"/>
      <w:marRight w:val="0"/>
      <w:marTop w:val="0"/>
      <w:marBottom w:val="0"/>
      <w:divBdr>
        <w:top w:val="none" w:sz="0" w:space="0" w:color="auto"/>
        <w:left w:val="none" w:sz="0" w:space="0" w:color="auto"/>
        <w:bottom w:val="none" w:sz="0" w:space="0" w:color="auto"/>
        <w:right w:val="none" w:sz="0" w:space="0" w:color="auto"/>
      </w:divBdr>
    </w:div>
    <w:div w:id="1495488888">
      <w:bodyDiv w:val="1"/>
      <w:marLeft w:val="0"/>
      <w:marRight w:val="0"/>
      <w:marTop w:val="0"/>
      <w:marBottom w:val="0"/>
      <w:divBdr>
        <w:top w:val="none" w:sz="0" w:space="0" w:color="auto"/>
        <w:left w:val="none" w:sz="0" w:space="0" w:color="auto"/>
        <w:bottom w:val="none" w:sz="0" w:space="0" w:color="auto"/>
        <w:right w:val="none" w:sz="0" w:space="0" w:color="auto"/>
      </w:divBdr>
    </w:div>
    <w:div w:id="1511527777">
      <w:bodyDiv w:val="1"/>
      <w:marLeft w:val="0"/>
      <w:marRight w:val="0"/>
      <w:marTop w:val="0"/>
      <w:marBottom w:val="0"/>
      <w:divBdr>
        <w:top w:val="none" w:sz="0" w:space="0" w:color="auto"/>
        <w:left w:val="none" w:sz="0" w:space="0" w:color="auto"/>
        <w:bottom w:val="none" w:sz="0" w:space="0" w:color="auto"/>
        <w:right w:val="none" w:sz="0" w:space="0" w:color="auto"/>
      </w:divBdr>
    </w:div>
    <w:div w:id="1537160594">
      <w:bodyDiv w:val="1"/>
      <w:marLeft w:val="0"/>
      <w:marRight w:val="0"/>
      <w:marTop w:val="0"/>
      <w:marBottom w:val="0"/>
      <w:divBdr>
        <w:top w:val="none" w:sz="0" w:space="0" w:color="auto"/>
        <w:left w:val="none" w:sz="0" w:space="0" w:color="auto"/>
        <w:bottom w:val="none" w:sz="0" w:space="0" w:color="auto"/>
        <w:right w:val="none" w:sz="0" w:space="0" w:color="auto"/>
      </w:divBdr>
    </w:div>
    <w:div w:id="1540127237">
      <w:bodyDiv w:val="1"/>
      <w:marLeft w:val="0"/>
      <w:marRight w:val="0"/>
      <w:marTop w:val="0"/>
      <w:marBottom w:val="0"/>
      <w:divBdr>
        <w:top w:val="none" w:sz="0" w:space="0" w:color="auto"/>
        <w:left w:val="none" w:sz="0" w:space="0" w:color="auto"/>
        <w:bottom w:val="none" w:sz="0" w:space="0" w:color="auto"/>
        <w:right w:val="none" w:sz="0" w:space="0" w:color="auto"/>
      </w:divBdr>
    </w:div>
    <w:div w:id="1563447016">
      <w:bodyDiv w:val="1"/>
      <w:marLeft w:val="0"/>
      <w:marRight w:val="0"/>
      <w:marTop w:val="0"/>
      <w:marBottom w:val="0"/>
      <w:divBdr>
        <w:top w:val="none" w:sz="0" w:space="0" w:color="auto"/>
        <w:left w:val="none" w:sz="0" w:space="0" w:color="auto"/>
        <w:bottom w:val="none" w:sz="0" w:space="0" w:color="auto"/>
        <w:right w:val="none" w:sz="0" w:space="0" w:color="auto"/>
      </w:divBdr>
    </w:div>
    <w:div w:id="1586062815">
      <w:bodyDiv w:val="1"/>
      <w:marLeft w:val="0"/>
      <w:marRight w:val="0"/>
      <w:marTop w:val="0"/>
      <w:marBottom w:val="0"/>
      <w:divBdr>
        <w:top w:val="none" w:sz="0" w:space="0" w:color="auto"/>
        <w:left w:val="none" w:sz="0" w:space="0" w:color="auto"/>
        <w:bottom w:val="none" w:sz="0" w:space="0" w:color="auto"/>
        <w:right w:val="none" w:sz="0" w:space="0" w:color="auto"/>
      </w:divBdr>
    </w:div>
    <w:div w:id="1586187547">
      <w:bodyDiv w:val="1"/>
      <w:marLeft w:val="0"/>
      <w:marRight w:val="0"/>
      <w:marTop w:val="0"/>
      <w:marBottom w:val="0"/>
      <w:divBdr>
        <w:top w:val="none" w:sz="0" w:space="0" w:color="auto"/>
        <w:left w:val="none" w:sz="0" w:space="0" w:color="auto"/>
        <w:bottom w:val="none" w:sz="0" w:space="0" w:color="auto"/>
        <w:right w:val="none" w:sz="0" w:space="0" w:color="auto"/>
      </w:divBdr>
    </w:div>
    <w:div w:id="1599485049">
      <w:bodyDiv w:val="1"/>
      <w:marLeft w:val="0"/>
      <w:marRight w:val="0"/>
      <w:marTop w:val="0"/>
      <w:marBottom w:val="0"/>
      <w:divBdr>
        <w:top w:val="none" w:sz="0" w:space="0" w:color="auto"/>
        <w:left w:val="none" w:sz="0" w:space="0" w:color="auto"/>
        <w:bottom w:val="none" w:sz="0" w:space="0" w:color="auto"/>
        <w:right w:val="none" w:sz="0" w:space="0" w:color="auto"/>
      </w:divBdr>
    </w:div>
    <w:div w:id="1600945814">
      <w:bodyDiv w:val="1"/>
      <w:marLeft w:val="0"/>
      <w:marRight w:val="0"/>
      <w:marTop w:val="0"/>
      <w:marBottom w:val="0"/>
      <w:divBdr>
        <w:top w:val="none" w:sz="0" w:space="0" w:color="auto"/>
        <w:left w:val="none" w:sz="0" w:space="0" w:color="auto"/>
        <w:bottom w:val="none" w:sz="0" w:space="0" w:color="auto"/>
        <w:right w:val="none" w:sz="0" w:space="0" w:color="auto"/>
      </w:divBdr>
    </w:div>
    <w:div w:id="1606964955">
      <w:bodyDiv w:val="1"/>
      <w:marLeft w:val="0"/>
      <w:marRight w:val="0"/>
      <w:marTop w:val="0"/>
      <w:marBottom w:val="0"/>
      <w:divBdr>
        <w:top w:val="none" w:sz="0" w:space="0" w:color="auto"/>
        <w:left w:val="none" w:sz="0" w:space="0" w:color="auto"/>
        <w:bottom w:val="none" w:sz="0" w:space="0" w:color="auto"/>
        <w:right w:val="none" w:sz="0" w:space="0" w:color="auto"/>
      </w:divBdr>
    </w:div>
    <w:div w:id="1617980931">
      <w:bodyDiv w:val="1"/>
      <w:marLeft w:val="0"/>
      <w:marRight w:val="0"/>
      <w:marTop w:val="0"/>
      <w:marBottom w:val="0"/>
      <w:divBdr>
        <w:top w:val="none" w:sz="0" w:space="0" w:color="auto"/>
        <w:left w:val="none" w:sz="0" w:space="0" w:color="auto"/>
        <w:bottom w:val="none" w:sz="0" w:space="0" w:color="auto"/>
        <w:right w:val="none" w:sz="0" w:space="0" w:color="auto"/>
      </w:divBdr>
    </w:div>
    <w:div w:id="1619798566">
      <w:bodyDiv w:val="1"/>
      <w:marLeft w:val="0"/>
      <w:marRight w:val="0"/>
      <w:marTop w:val="0"/>
      <w:marBottom w:val="0"/>
      <w:divBdr>
        <w:top w:val="none" w:sz="0" w:space="0" w:color="auto"/>
        <w:left w:val="none" w:sz="0" w:space="0" w:color="auto"/>
        <w:bottom w:val="none" w:sz="0" w:space="0" w:color="auto"/>
        <w:right w:val="none" w:sz="0" w:space="0" w:color="auto"/>
      </w:divBdr>
    </w:div>
    <w:div w:id="1624924821">
      <w:bodyDiv w:val="1"/>
      <w:marLeft w:val="0"/>
      <w:marRight w:val="0"/>
      <w:marTop w:val="0"/>
      <w:marBottom w:val="0"/>
      <w:divBdr>
        <w:top w:val="none" w:sz="0" w:space="0" w:color="auto"/>
        <w:left w:val="none" w:sz="0" w:space="0" w:color="auto"/>
        <w:bottom w:val="none" w:sz="0" w:space="0" w:color="auto"/>
        <w:right w:val="none" w:sz="0" w:space="0" w:color="auto"/>
      </w:divBdr>
    </w:div>
    <w:div w:id="1662780423">
      <w:bodyDiv w:val="1"/>
      <w:marLeft w:val="0"/>
      <w:marRight w:val="0"/>
      <w:marTop w:val="0"/>
      <w:marBottom w:val="0"/>
      <w:divBdr>
        <w:top w:val="none" w:sz="0" w:space="0" w:color="auto"/>
        <w:left w:val="none" w:sz="0" w:space="0" w:color="auto"/>
        <w:bottom w:val="none" w:sz="0" w:space="0" w:color="auto"/>
        <w:right w:val="none" w:sz="0" w:space="0" w:color="auto"/>
      </w:divBdr>
    </w:div>
    <w:div w:id="1681931126">
      <w:bodyDiv w:val="1"/>
      <w:marLeft w:val="0"/>
      <w:marRight w:val="0"/>
      <w:marTop w:val="0"/>
      <w:marBottom w:val="0"/>
      <w:divBdr>
        <w:top w:val="none" w:sz="0" w:space="0" w:color="auto"/>
        <w:left w:val="none" w:sz="0" w:space="0" w:color="auto"/>
        <w:bottom w:val="none" w:sz="0" w:space="0" w:color="auto"/>
        <w:right w:val="none" w:sz="0" w:space="0" w:color="auto"/>
      </w:divBdr>
    </w:div>
    <w:div w:id="1707871440">
      <w:bodyDiv w:val="1"/>
      <w:marLeft w:val="0"/>
      <w:marRight w:val="0"/>
      <w:marTop w:val="0"/>
      <w:marBottom w:val="0"/>
      <w:divBdr>
        <w:top w:val="none" w:sz="0" w:space="0" w:color="auto"/>
        <w:left w:val="none" w:sz="0" w:space="0" w:color="auto"/>
        <w:bottom w:val="none" w:sz="0" w:space="0" w:color="auto"/>
        <w:right w:val="none" w:sz="0" w:space="0" w:color="auto"/>
      </w:divBdr>
    </w:div>
    <w:div w:id="1708603575">
      <w:bodyDiv w:val="1"/>
      <w:marLeft w:val="0"/>
      <w:marRight w:val="0"/>
      <w:marTop w:val="0"/>
      <w:marBottom w:val="0"/>
      <w:divBdr>
        <w:top w:val="none" w:sz="0" w:space="0" w:color="auto"/>
        <w:left w:val="none" w:sz="0" w:space="0" w:color="auto"/>
        <w:bottom w:val="none" w:sz="0" w:space="0" w:color="auto"/>
        <w:right w:val="none" w:sz="0" w:space="0" w:color="auto"/>
      </w:divBdr>
    </w:div>
    <w:div w:id="1713536888">
      <w:bodyDiv w:val="1"/>
      <w:marLeft w:val="0"/>
      <w:marRight w:val="0"/>
      <w:marTop w:val="0"/>
      <w:marBottom w:val="0"/>
      <w:divBdr>
        <w:top w:val="none" w:sz="0" w:space="0" w:color="auto"/>
        <w:left w:val="none" w:sz="0" w:space="0" w:color="auto"/>
        <w:bottom w:val="none" w:sz="0" w:space="0" w:color="auto"/>
        <w:right w:val="none" w:sz="0" w:space="0" w:color="auto"/>
      </w:divBdr>
    </w:div>
    <w:div w:id="1733237324">
      <w:bodyDiv w:val="1"/>
      <w:marLeft w:val="0"/>
      <w:marRight w:val="0"/>
      <w:marTop w:val="0"/>
      <w:marBottom w:val="0"/>
      <w:divBdr>
        <w:top w:val="none" w:sz="0" w:space="0" w:color="auto"/>
        <w:left w:val="none" w:sz="0" w:space="0" w:color="auto"/>
        <w:bottom w:val="none" w:sz="0" w:space="0" w:color="auto"/>
        <w:right w:val="none" w:sz="0" w:space="0" w:color="auto"/>
      </w:divBdr>
    </w:div>
    <w:div w:id="1755660598">
      <w:bodyDiv w:val="1"/>
      <w:marLeft w:val="0"/>
      <w:marRight w:val="0"/>
      <w:marTop w:val="0"/>
      <w:marBottom w:val="0"/>
      <w:divBdr>
        <w:top w:val="none" w:sz="0" w:space="0" w:color="auto"/>
        <w:left w:val="none" w:sz="0" w:space="0" w:color="auto"/>
        <w:bottom w:val="none" w:sz="0" w:space="0" w:color="auto"/>
        <w:right w:val="none" w:sz="0" w:space="0" w:color="auto"/>
      </w:divBdr>
    </w:div>
    <w:div w:id="1756659668">
      <w:bodyDiv w:val="1"/>
      <w:marLeft w:val="0"/>
      <w:marRight w:val="0"/>
      <w:marTop w:val="0"/>
      <w:marBottom w:val="0"/>
      <w:divBdr>
        <w:top w:val="none" w:sz="0" w:space="0" w:color="auto"/>
        <w:left w:val="none" w:sz="0" w:space="0" w:color="auto"/>
        <w:bottom w:val="none" w:sz="0" w:space="0" w:color="auto"/>
        <w:right w:val="none" w:sz="0" w:space="0" w:color="auto"/>
      </w:divBdr>
    </w:div>
    <w:div w:id="1756977099">
      <w:bodyDiv w:val="1"/>
      <w:marLeft w:val="0"/>
      <w:marRight w:val="0"/>
      <w:marTop w:val="0"/>
      <w:marBottom w:val="0"/>
      <w:divBdr>
        <w:top w:val="none" w:sz="0" w:space="0" w:color="auto"/>
        <w:left w:val="none" w:sz="0" w:space="0" w:color="auto"/>
        <w:bottom w:val="none" w:sz="0" w:space="0" w:color="auto"/>
        <w:right w:val="none" w:sz="0" w:space="0" w:color="auto"/>
      </w:divBdr>
    </w:div>
    <w:div w:id="1787045195">
      <w:bodyDiv w:val="1"/>
      <w:marLeft w:val="0"/>
      <w:marRight w:val="0"/>
      <w:marTop w:val="0"/>
      <w:marBottom w:val="0"/>
      <w:divBdr>
        <w:top w:val="none" w:sz="0" w:space="0" w:color="auto"/>
        <w:left w:val="none" w:sz="0" w:space="0" w:color="auto"/>
        <w:bottom w:val="none" w:sz="0" w:space="0" w:color="auto"/>
        <w:right w:val="none" w:sz="0" w:space="0" w:color="auto"/>
      </w:divBdr>
    </w:div>
    <w:div w:id="1858231367">
      <w:bodyDiv w:val="1"/>
      <w:marLeft w:val="0"/>
      <w:marRight w:val="0"/>
      <w:marTop w:val="0"/>
      <w:marBottom w:val="0"/>
      <w:divBdr>
        <w:top w:val="none" w:sz="0" w:space="0" w:color="auto"/>
        <w:left w:val="none" w:sz="0" w:space="0" w:color="auto"/>
        <w:bottom w:val="none" w:sz="0" w:space="0" w:color="auto"/>
        <w:right w:val="none" w:sz="0" w:space="0" w:color="auto"/>
      </w:divBdr>
    </w:div>
    <w:div w:id="1870290230">
      <w:bodyDiv w:val="1"/>
      <w:marLeft w:val="0"/>
      <w:marRight w:val="0"/>
      <w:marTop w:val="0"/>
      <w:marBottom w:val="0"/>
      <w:divBdr>
        <w:top w:val="none" w:sz="0" w:space="0" w:color="auto"/>
        <w:left w:val="none" w:sz="0" w:space="0" w:color="auto"/>
        <w:bottom w:val="none" w:sz="0" w:space="0" w:color="auto"/>
        <w:right w:val="none" w:sz="0" w:space="0" w:color="auto"/>
      </w:divBdr>
    </w:div>
    <w:div w:id="1890650114">
      <w:bodyDiv w:val="1"/>
      <w:marLeft w:val="0"/>
      <w:marRight w:val="0"/>
      <w:marTop w:val="0"/>
      <w:marBottom w:val="0"/>
      <w:divBdr>
        <w:top w:val="none" w:sz="0" w:space="0" w:color="auto"/>
        <w:left w:val="none" w:sz="0" w:space="0" w:color="auto"/>
        <w:bottom w:val="none" w:sz="0" w:space="0" w:color="auto"/>
        <w:right w:val="none" w:sz="0" w:space="0" w:color="auto"/>
      </w:divBdr>
    </w:div>
    <w:div w:id="1936938395">
      <w:bodyDiv w:val="1"/>
      <w:marLeft w:val="0"/>
      <w:marRight w:val="0"/>
      <w:marTop w:val="0"/>
      <w:marBottom w:val="0"/>
      <w:divBdr>
        <w:top w:val="none" w:sz="0" w:space="0" w:color="auto"/>
        <w:left w:val="none" w:sz="0" w:space="0" w:color="auto"/>
        <w:bottom w:val="none" w:sz="0" w:space="0" w:color="auto"/>
        <w:right w:val="none" w:sz="0" w:space="0" w:color="auto"/>
      </w:divBdr>
    </w:div>
    <w:div w:id="1948467851">
      <w:bodyDiv w:val="1"/>
      <w:marLeft w:val="0"/>
      <w:marRight w:val="0"/>
      <w:marTop w:val="0"/>
      <w:marBottom w:val="0"/>
      <w:divBdr>
        <w:top w:val="none" w:sz="0" w:space="0" w:color="auto"/>
        <w:left w:val="none" w:sz="0" w:space="0" w:color="auto"/>
        <w:bottom w:val="none" w:sz="0" w:space="0" w:color="auto"/>
        <w:right w:val="none" w:sz="0" w:space="0" w:color="auto"/>
      </w:divBdr>
    </w:div>
    <w:div w:id="1951203393">
      <w:bodyDiv w:val="1"/>
      <w:marLeft w:val="0"/>
      <w:marRight w:val="0"/>
      <w:marTop w:val="0"/>
      <w:marBottom w:val="0"/>
      <w:divBdr>
        <w:top w:val="none" w:sz="0" w:space="0" w:color="auto"/>
        <w:left w:val="none" w:sz="0" w:space="0" w:color="auto"/>
        <w:bottom w:val="none" w:sz="0" w:space="0" w:color="auto"/>
        <w:right w:val="none" w:sz="0" w:space="0" w:color="auto"/>
      </w:divBdr>
    </w:div>
    <w:div w:id="1980963075">
      <w:bodyDiv w:val="1"/>
      <w:marLeft w:val="0"/>
      <w:marRight w:val="0"/>
      <w:marTop w:val="0"/>
      <w:marBottom w:val="0"/>
      <w:divBdr>
        <w:top w:val="none" w:sz="0" w:space="0" w:color="auto"/>
        <w:left w:val="none" w:sz="0" w:space="0" w:color="auto"/>
        <w:bottom w:val="none" w:sz="0" w:space="0" w:color="auto"/>
        <w:right w:val="none" w:sz="0" w:space="0" w:color="auto"/>
      </w:divBdr>
    </w:div>
    <w:div w:id="1982346316">
      <w:bodyDiv w:val="1"/>
      <w:marLeft w:val="0"/>
      <w:marRight w:val="0"/>
      <w:marTop w:val="0"/>
      <w:marBottom w:val="0"/>
      <w:divBdr>
        <w:top w:val="none" w:sz="0" w:space="0" w:color="auto"/>
        <w:left w:val="none" w:sz="0" w:space="0" w:color="auto"/>
        <w:bottom w:val="none" w:sz="0" w:space="0" w:color="auto"/>
        <w:right w:val="none" w:sz="0" w:space="0" w:color="auto"/>
      </w:divBdr>
    </w:div>
    <w:div w:id="1983580172">
      <w:bodyDiv w:val="1"/>
      <w:marLeft w:val="0"/>
      <w:marRight w:val="0"/>
      <w:marTop w:val="0"/>
      <w:marBottom w:val="0"/>
      <w:divBdr>
        <w:top w:val="none" w:sz="0" w:space="0" w:color="auto"/>
        <w:left w:val="none" w:sz="0" w:space="0" w:color="auto"/>
        <w:bottom w:val="none" w:sz="0" w:space="0" w:color="auto"/>
        <w:right w:val="none" w:sz="0" w:space="0" w:color="auto"/>
      </w:divBdr>
    </w:div>
    <w:div w:id="1990788336">
      <w:bodyDiv w:val="1"/>
      <w:marLeft w:val="0"/>
      <w:marRight w:val="0"/>
      <w:marTop w:val="0"/>
      <w:marBottom w:val="0"/>
      <w:divBdr>
        <w:top w:val="none" w:sz="0" w:space="0" w:color="auto"/>
        <w:left w:val="none" w:sz="0" w:space="0" w:color="auto"/>
        <w:bottom w:val="none" w:sz="0" w:space="0" w:color="auto"/>
        <w:right w:val="none" w:sz="0" w:space="0" w:color="auto"/>
      </w:divBdr>
    </w:div>
    <w:div w:id="2000575150">
      <w:bodyDiv w:val="1"/>
      <w:marLeft w:val="0"/>
      <w:marRight w:val="0"/>
      <w:marTop w:val="0"/>
      <w:marBottom w:val="0"/>
      <w:divBdr>
        <w:top w:val="none" w:sz="0" w:space="0" w:color="auto"/>
        <w:left w:val="none" w:sz="0" w:space="0" w:color="auto"/>
        <w:bottom w:val="none" w:sz="0" w:space="0" w:color="auto"/>
        <w:right w:val="none" w:sz="0" w:space="0" w:color="auto"/>
      </w:divBdr>
    </w:div>
    <w:div w:id="2002346707">
      <w:bodyDiv w:val="1"/>
      <w:marLeft w:val="0"/>
      <w:marRight w:val="0"/>
      <w:marTop w:val="0"/>
      <w:marBottom w:val="0"/>
      <w:divBdr>
        <w:top w:val="none" w:sz="0" w:space="0" w:color="auto"/>
        <w:left w:val="none" w:sz="0" w:space="0" w:color="auto"/>
        <w:bottom w:val="none" w:sz="0" w:space="0" w:color="auto"/>
        <w:right w:val="none" w:sz="0" w:space="0" w:color="auto"/>
      </w:divBdr>
    </w:div>
    <w:div w:id="2019114990">
      <w:bodyDiv w:val="1"/>
      <w:marLeft w:val="0"/>
      <w:marRight w:val="0"/>
      <w:marTop w:val="0"/>
      <w:marBottom w:val="0"/>
      <w:divBdr>
        <w:top w:val="none" w:sz="0" w:space="0" w:color="auto"/>
        <w:left w:val="none" w:sz="0" w:space="0" w:color="auto"/>
        <w:bottom w:val="none" w:sz="0" w:space="0" w:color="auto"/>
        <w:right w:val="none" w:sz="0" w:space="0" w:color="auto"/>
      </w:divBdr>
    </w:div>
    <w:div w:id="2041854258">
      <w:bodyDiv w:val="1"/>
      <w:marLeft w:val="0"/>
      <w:marRight w:val="0"/>
      <w:marTop w:val="0"/>
      <w:marBottom w:val="0"/>
      <w:divBdr>
        <w:top w:val="none" w:sz="0" w:space="0" w:color="auto"/>
        <w:left w:val="none" w:sz="0" w:space="0" w:color="auto"/>
        <w:bottom w:val="none" w:sz="0" w:space="0" w:color="auto"/>
        <w:right w:val="none" w:sz="0" w:space="0" w:color="auto"/>
      </w:divBdr>
    </w:div>
    <w:div w:id="2052461091">
      <w:bodyDiv w:val="1"/>
      <w:marLeft w:val="0"/>
      <w:marRight w:val="0"/>
      <w:marTop w:val="0"/>
      <w:marBottom w:val="0"/>
      <w:divBdr>
        <w:top w:val="none" w:sz="0" w:space="0" w:color="auto"/>
        <w:left w:val="none" w:sz="0" w:space="0" w:color="auto"/>
        <w:bottom w:val="none" w:sz="0" w:space="0" w:color="auto"/>
        <w:right w:val="none" w:sz="0" w:space="0" w:color="auto"/>
      </w:divBdr>
    </w:div>
    <w:div w:id="2066289845">
      <w:bodyDiv w:val="1"/>
      <w:marLeft w:val="0"/>
      <w:marRight w:val="0"/>
      <w:marTop w:val="0"/>
      <w:marBottom w:val="0"/>
      <w:divBdr>
        <w:top w:val="none" w:sz="0" w:space="0" w:color="auto"/>
        <w:left w:val="none" w:sz="0" w:space="0" w:color="auto"/>
        <w:bottom w:val="none" w:sz="0" w:space="0" w:color="auto"/>
        <w:right w:val="none" w:sz="0" w:space="0" w:color="auto"/>
      </w:divBdr>
    </w:div>
    <w:div w:id="2118476579">
      <w:bodyDiv w:val="1"/>
      <w:marLeft w:val="0"/>
      <w:marRight w:val="0"/>
      <w:marTop w:val="0"/>
      <w:marBottom w:val="0"/>
      <w:divBdr>
        <w:top w:val="none" w:sz="0" w:space="0" w:color="auto"/>
        <w:left w:val="none" w:sz="0" w:space="0" w:color="auto"/>
        <w:bottom w:val="none" w:sz="0" w:space="0" w:color="auto"/>
        <w:right w:val="none" w:sz="0" w:space="0" w:color="auto"/>
      </w:divBdr>
    </w:div>
    <w:div w:id="212877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Lex20</b:Tag>
    <b:SourceType>InternetSite</b:SourceType>
    <b:Guid>{30B044DA-A88C-4B8A-BC66-5A31443791B2}</b:Guid>
    <b:Title>LexForti, Damages Under Tort Law</b:Title>
    <b:Year>2020</b:Year>
    <b:YearAccessed>2022</b:YearAccessed>
    <b:MonthAccessed>November</b:MonthAccessed>
    <b:DayAccessed>18</b:DayAccessed>
    <b:URL>https://lexforti.com/legal-news/damages-under-tort-law/</b:URL>
    <b:RefOrder>4</b:RefOrder>
  </b:Source>
  <b:Source>
    <b:Tag>Law13</b:Tag>
    <b:SourceType>InternetSite</b:SourceType>
    <b:Guid>{A8A718B6-C4F5-4790-9211-51D9A2AA3A28}</b:Guid>
    <b:Title>Law Teacher, The Tort of Negligence</b:Title>
    <b:Year>2013</b:Year>
    <b:YearAccessed>2022</b:YearAccessed>
    <b:MonthAccessed>November</b:MonthAccessed>
    <b:DayAccessed>9</b:DayAccessed>
    <b:URL>https://www.lawteacher.net/free-law-essays/tort-law/tort-of-negligence.php</b:URL>
    <b:RefOrder>5</b:RefOrder>
  </b:Source>
  <b:Source>
    <b:Tag>Fin19</b:Tag>
    <b:SourceType>InternetSite</b:SourceType>
    <b:Guid>{423B7B3F-4E2D-4B4F-A90F-69E1ADBC391C}</b:Guid>
    <b:Title>Find Law, What is negligence</b:Title>
    <b:Year>2019</b:Year>
    <b:YearAccessed>2022</b:YearAccessed>
    <b:MonthAccessed>November</b:MonthAccessed>
    <b:DayAccessed>16</b:DayAccessed>
    <b:URL>https://www.findlaw.com/injury/accident-injury-law/proving-fault-what-is-negligence.html</b:URL>
    <b:RefOrder>6</b:RefOrder>
  </b:Source>
  <b:Source>
    <b:Tag>Anonk</b:Tag>
    <b:SourceType>InternetSite</b:SourceType>
    <b:Guid>{9F9F7122-B69D-4ADF-B52F-E3B3EA83A1FB}</b:Guid>
    <b:Author>
      <b:Author>
        <b:NameList>
          <b:Person>
            <b:Last>Anon</b:Last>
          </b:Person>
        </b:NameList>
      </b:Author>
    </b:Author>
    <b:Title>The Lawyer Portal, Tort Law Guide</b:Title>
    <b:Year>Unk</b:Year>
    <b:YearAccessed>2022</b:YearAccessed>
    <b:MonthAccessed>November</b:MonthAccessed>
    <b:DayAccessed>11</b:DayAccessed>
    <b:URL>https://www.thelawyerportal.com/careers/areas-of-law/areas-legal-practice/tort-law-guide/</b:URL>
    <b:RefOrder>7</b:RefOrder>
  </b:Source>
  <b:Source>
    <b:Tag>Buc22</b:Tag>
    <b:SourceType>InternetSite</b:SourceType>
    <b:Guid>{CCED4803-BB91-4350-B8FF-4E091B07449E}</b:Guid>
    <b:Author>
      <b:Author>
        <b:NameList>
          <b:Person>
            <b:Last>Buckley</b:Last>
            <b:First>R</b:First>
          </b:Person>
        </b:NameList>
      </b:Author>
    </b:Author>
    <b:Title>Lexis Nexis, Key elements to establish a negligence claim</b:Title>
    <b:YearAccessed>2022</b:YearAccessed>
    <b:MonthAccessed>November</b:MonthAccessed>
    <b:DayAccessed>16</b:DayAccessed>
    <b:URL>https://www.lexisnexis.co.uk/legal/guidance/negligence-key-elements-to-establish-a-negligence-claim</b:URL>
    <b:RefOrder>8</b:RefOrder>
  </b:Source>
  <b:Source>
    <b:Tag>Jon18</b:Tag>
    <b:SourceType>InternetSite</b:SourceType>
    <b:Guid>{0CD2ECAD-6422-4BAC-A326-686F1D1C9E42}</b:Guid>
    <b:Author>
      <b:Author>
        <b:NameList>
          <b:Person>
            <b:Last>Cope</b:Last>
            <b:First>Jonathan</b:First>
          </b:Person>
        </b:NameList>
      </b:Author>
    </b:Author>
    <b:Title>Construction Blog, The case that keeps on giving</b:Title>
    <b:Year>2018</b:Year>
    <b:URL>http://constructionblog.practicallaw.com/vinci-v-beumer-the-case-that-keeps-on-giving-and-giving/</b:URL>
    <b:YearAccessed>2022</b:YearAccessed>
    <b:MonthAccessed>November</b:MonthAccessed>
    <b:DayAccessed>20</b:DayAccessed>
    <b:RefOrder>3</b:RefOrder>
  </b:Source>
  <b:Source>
    <b:Tag>Hay22</b:Tag>
    <b:SourceType>InternetSite</b:SourceType>
    <b:Guid>{12DE7EE5-89CF-4E88-8638-A351B345C636}</b:Guid>
    <b:Author>
      <b:Author>
        <b:NameList>
          <b:Person>
            <b:Last>Hayes</b:Last>
            <b:First>A</b:First>
          </b:Person>
        </b:NameList>
      </b:Author>
    </b:Author>
    <b:Title>Investopedia, Tort Law</b:Title>
    <b:Year>2022</b:Year>
    <b:YearAccessed>2022</b:YearAccessed>
    <b:MonthAccessed>November</b:MonthAccessed>
    <b:DayAccessed>16</b:DayAccessed>
    <b:URL>https://www.investopedia.com/terms/t/tort-law.asp</b:URL>
    <b:RefOrder>9</b:RefOrder>
  </b:Source>
  <b:Source>
    <b:Tag>Osb22</b:Tag>
    <b:SourceType>InternetSite</b:SourceType>
    <b:Guid>{5689C760-B510-4ED0-94B8-1D9302647835}</b:Guid>
    <b:Author>
      <b:Author>
        <b:NameList>
          <b:Person>
            <b:Last>Osborne</b:Last>
            <b:First>S</b:First>
          </b:Person>
        </b:NameList>
      </b:Author>
    </b:Author>
    <b:Title>Acca Global, The tort of Negligence</b:Title>
    <b:YearAccessed>2022</b:YearAccessed>
    <b:MonthAccessed>November</b:MonthAccessed>
    <b:DayAccessed>18</b:DayAccessed>
    <b:URL>https://www.accaglobal.com/gb/en/student/exam-support-resources/fundamentals-exams-study-resources/f4/technical-articles/tort-negligence.html</b:URL>
    <b:RefOrder>10</b:RefOrder>
  </b:Source>
  <b:Source>
    <b:Tag>Hum22</b:Tag>
    <b:SourceType>InternetSite</b:SourceType>
    <b:Guid>{FBCBBF25-213F-4C7B-9A96-FB7AF936DD5B}</b:Guid>
    <b:Title>Humphreys, Negligence Claims: Proceedings</b:Title>
    <b:YearAccessed>2022</b:YearAccessed>
    <b:MonthAccessed>November</b:MonthAccessed>
    <b:DayAccessed>18</b:DayAccessed>
    <b:URL>https://www.humphreys.co.uk/commercial/negligence-general-2/</b:URL>
    <b:RefOrder>11</b:RefOrder>
  </b:Source>
  <b:Source>
    <b:Tag>UpC22</b:Tag>
    <b:SourceType>InternetSite</b:SourceType>
    <b:Guid>{A33E2FDE-9D62-4A06-8084-9530E541E94F}</b:Guid>
    <b:Title>Up Counsel, Damages for Negligence</b:Title>
    <b:YearAccessed>2022</b:YearAccessed>
    <b:MonthAccessed>November</b:MonthAccessed>
    <b:DayAccessed>18</b:DayAccessed>
    <b:URL>https://www.upcounsel.com/damages-for-negligence</b:URL>
    <b:RefOrder>12</b:RefOrder>
  </b:Source>
  <b:Source>
    <b:Tag>The22</b:Tag>
    <b:SourceType>InternetSite</b:SourceType>
    <b:Guid>{740B421E-70EB-4576-AAED-C82EC67CF867}</b:Guid>
    <b:Author>
      <b:Author>
        <b:NameList>
          <b:Person>
            <b:Last>Academy</b:Last>
            <b:First>The</b:First>
            <b:Middle>Law</b:Middle>
          </b:Person>
        </b:NameList>
      </b:Author>
    </b:Author>
    <b:Title>The Law Academy, Damages in Tort [video]</b:Title>
    <b:Year>2022</b:Year>
    <b:YearAccessed>2022</b:YearAccessed>
    <b:MonthAccessed>November</b:MonthAccessed>
    <b:DayAccessed>18</b:DayAccessed>
    <b:URL>https://www.youtube.com/watch?v=YU5IXiiKfKQ&amp;ab_channel=TheLawAcademy</b:URL>
    <b:RefOrder>13</b:RefOrder>
  </b:Source>
  <b:Source>
    <b:Tag>McM06</b:Tag>
    <b:SourceType>InternetSite</b:SourceType>
    <b:Guid>{B481FB44-67E3-4934-9939-22565FA6A524}</b:Guid>
    <b:Title>Building.co.uk, 5 legal cases that changed your world</b:Title>
    <b:Year>2006</b:Year>
    <b:Author>
      <b:Author>
        <b:NameList>
          <b:Person>
            <b:Last>McMeeken</b:Last>
            <b:First>R</b:First>
          </b:Person>
        </b:NameList>
      </b:Author>
    </b:Author>
    <b:YearAccessed>2022</b:YearAccessed>
    <b:MonthAccessed>November</b:MonthAccessed>
    <b:DayAccessed>20</b:DayAccessed>
    <b:URL>https://www.building.co.uk/five-legal-cases-that-changed-your-world/3075562.article</b:URL>
    <b:RefOrder>14</b:RefOrder>
  </b:Source>
  <b:Source>
    <b:Tag>Nic17</b:Tag>
    <b:SourceType>InternetSite</b:SourceType>
    <b:Guid>{FB9146E4-0F4E-44B4-A498-7B67FDBD139C}</b:Guid>
    <b:Author>
      <b:Author>
        <b:NameList>
          <b:Person>
            <b:Last>Nicholas</b:Last>
            <b:First>G</b:First>
          </b:Person>
        </b:NameList>
      </b:Author>
    </b:Author>
    <b:Title>Fenwick Elliott, Adjudication case notes </b:Title>
    <b:Year>2017</b:Year>
    <b:YearAccessed>2022</b:YearAccessed>
    <b:MonthAccessed>November</b:MonthAccessed>
    <b:DayAccessed>20</b:DayAccessed>
    <b:URL>https://www.fenwickelliott.com/research-insight/adjudication-case-notes/vinci-construction-uk-ltd-v-beumer-group-uk-ltd</b:URL>
    <b:RefOrder>15</b:RefOrder>
  </b:Source>
  <b:Source>
    <b:Tag>Fin18</b:Tag>
    <b:SourceType>InternetSite</b:SourceType>
    <b:Guid>{224C205B-4DA6-4221-9271-CB0ABE37077F}</b:Guid>
    <b:Author>
      <b:Author>
        <b:NameList>
          <b:Person>
            <b:Last>Finn</b:Last>
            <b:First>M</b:First>
          </b:Person>
        </b:NameList>
      </b:Author>
    </b:Author>
    <b:Title>Ankura, The level of Adjudication in the UK</b:Title>
    <b:Year>2018</b:Year>
    <b:YearAccessed>2022</b:YearAccessed>
    <b:MonthAccessed>November</b:MonthAccessed>
    <b:DayAccessed>20</b:DayAccessed>
    <b:URL>https://angle.ankura.com/post/102hb4r/the-evolution-of-adjudication-in-the-uk</b:URL>
    <b:RefOrder>16</b:RefOrder>
  </b:Source>
  <b:Source>
    <b:Tag>Bre14</b:Tag>
    <b:SourceType>InternetSite</b:SourceType>
    <b:Guid>{C9CA28A7-2B54-4FF4-9D3E-F5DB594DE8CF}</b:Guid>
    <b:Author>
      <b:Author>
        <b:NameList>
          <b:Person>
            <b:Last>Breezer</b:Last>
            <b:First>T</b:First>
          </b:Person>
        </b:NameList>
      </b:Author>
    </b:Author>
    <b:Title>Womble Bond Dickinson, Civil Procedure Rules Part 8 claims</b:Title>
    <b:Year>2014</b:Year>
    <b:YearAccessed>2022</b:YearAccessed>
    <b:MonthAccessed>November</b:MonthAccessed>
    <b:DayAccessed>20</b:DayAccessed>
    <b:URL>https://www.womblebonddickinson.com/uk/insights/articles-and-briefings/civil-procedure-rules-cpr-part-8-claims-update#:~:text=What%20is%20Part%208%3F,a%20substantial%20dispute%20of%20fact. </b:URL>
    <b:RefOrder>17</b:RefOrder>
  </b:Source>
  <b:Source>
    <b:Tag>Exp17</b:Tag>
    <b:SourceType>InternetSite</b:SourceType>
    <b:Guid>{D09A01BD-722F-4C1E-9211-61E732A8A6A2}</b:Guid>
    <b:Title>Expert Evidence, Adjudication Advantages and Disadvantages</b:Title>
    <b:Year>2017</b:Year>
    <b:YearAccessed>2022</b:YearAccessed>
    <b:MonthAccessed>November</b:MonthAccessed>
    <b:DayAccessed>21</b:DayAccessed>
    <b:URL>https://expert-evidence.com/adjudication-advantages-and-disadvantages/#:~:text=Adjudication%20allows%20disputing%20parties%20to,have%20ground%20to%20a%20halt. </b:URL>
    <b:RefOrder>18</b:RefOrder>
  </b:Source>
  <b:Source>
    <b:Tag>Bai18</b:Tag>
    <b:SourceType>InternetSite</b:SourceType>
    <b:Guid>{C02B7785-BA96-4AA6-86A9-3CEA09EC9D16}</b:Guid>
    <b:Title>Bailii, England and Wales High Court decisions</b:Title>
    <b:Year>2018</b:Year>
    <b:YearAccessed>2022</b:YearAccessed>
    <b:MonthAccessed>November</b:MonthAccessed>
    <b:DayAccessed>21</b:DayAccessed>
    <b:URL>http://www.bailii.org/ew/cases/EWHC/TCC/2018/1874.html</b:URL>
    <b:RefOrder>19</b:RefOrder>
  </b:Source>
  <b:Source>
    <b:Tag>CMS16</b:Tag>
    <b:SourceType>InternetSite</b:SourceType>
    <b:Guid>{C7F487E1-0E88-4464-8355-31FA71AFBB8F}</b:Guid>
    <b:Title>CMS Law Now, Beumer Group UK Ltd v Vinci Construction UK Ltd [2016] EWHC 2283 (TCC)</b:Title>
    <b:Year>2016</b:Year>
    <b:YearAccessed>2022</b:YearAccessed>
    <b:MonthAccessed>November</b:MonthAccessed>
    <b:DayAccessed>21</b:DayAccessed>
    <b:URL>Beumer Group UK Ltd v Vinci Construction UK Ltd [2016] EWHC 2283 (TCC)</b:URL>
    <b:RefOrder>20</b:RefOrder>
  </b:Source>
  <b:Source>
    <b:Tag>Adj16</b:Tag>
    <b:SourceType>InternetSite</b:SourceType>
    <b:Guid>{73EDA1BC-27A5-413B-BB14-AE7941844E2A}</b:Guid>
    <b:Title>Adjudication.co.uk, Beumber v Vinci case</b:Title>
    <b:Year>2016</b:Year>
    <b:YearAccessed>2022</b:YearAccessed>
    <b:MonthAccessed>November</b:MonthAccessed>
    <b:DayAccessed>21</b:DayAccessed>
    <b:URL>http://www.adjudication.co.uk/archive/view/case/1768/beumer_group_uk_ltd_v_vinci_construction_uk_ltd_[2016]_ewhc_2283_(tcc)/</b:URL>
    <b:RefOrder>21</b:RefOrder>
  </b:Source>
  <b:Source>
    <b:Tag>Mck99</b:Tag>
    <b:SourceType>InternetSite</b:SourceType>
    <b:Guid>{A09D4295-3104-452C-AB60-0090921941A8}</b:Guid>
    <b:Author>
      <b:Author>
        <b:NameList>
          <b:Person>
            <b:Last>Mckenna</b:Last>
            <b:First>C</b:First>
          </b:Person>
        </b:NameList>
      </b:Author>
    </b:Author>
    <b:Title>Adjudication.co.uk, Macob v Morrison</b:Title>
    <b:Year>1999</b:Year>
    <b:YearAccessed>2022</b:YearAccessed>
    <b:MonthAccessed>November</b:MonthAccessed>
    <b:DayAccessed>23</b:DayAccessed>
    <b:URL>http://www.adjudication.co.uk/archive/view/case/252/macob_civil_eng._ltd_v_morrison_construction_ltd_[1999]_ewhc_technology_254/</b:URL>
    <b:RefOrder>22</b:RefOrder>
  </b:Source>
  <b:Source>
    <b:Tag>Gib19</b:Tag>
    <b:SourceType>DocumentFromInternetSite</b:SourceType>
    <b:Guid>{8813E29B-D3F1-4C33-BDBA-FCBD300FB64A}</b:Guid>
    <b:Title>Slideshare.net, Macob: 20 years on</b:Title>
    <b:Year>2019</b:Year>
    <b:YearAccessed>2022</b:YearAccessed>
    <b:MonthAccessed>November</b:MonthAccessed>
    <b:DayAccessed>23</b:DayAccessed>
    <b:URL>https://www.slideshare.net/SeanGibbsDipArbFCIAR/macob-20-years-on</b:URL>
    <b:Author>
      <b:Author>
        <b:NameList>
          <b:Person>
            <b:Last>Gibb</b:Last>
            <b:First>S</b:First>
          </b:Person>
        </b:NameList>
      </b:Author>
    </b:Author>
    <b:RefOrder>23</b:RefOrder>
  </b:Source>
  <b:Source>
    <b:Tag>Law21</b:Tag>
    <b:SourceType>InternetSite</b:SourceType>
    <b:Guid>{D4CB666E-0C4B-44EC-91D1-E0B2E46E2E2F}</b:Guid>
    <b:Title>Law Teacher</b:Title>
    <b:Year>2021</b:Year>
    <b:InternetSiteTitle>LawTeacher.net</b:InternetSiteTitle>
    <b:URL>https://www.lawteacher.net/free-law-essays/tort-law/tort-of-negligence.php#citethis</b:URL>
    <b:YearAccessed>2022</b:YearAccessed>
    <b:MonthAccessed>November</b:MonthAccessed>
    <b:DayAccessed>09</b:DayAccessed>
    <b:Author>
      <b:Author>
        <b:Corporate>Law Teacher</b:Corporate>
      </b:Author>
    </b:Author>
    <b:RefOrder>2</b:RefOrder>
  </b:Source>
  <b:Source>
    <b:Tag>Law18</b:Tag>
    <b:SourceType>InternetSite</b:SourceType>
    <b:Guid>{431C5069-6EDF-4754-ACCD-3BF019DB4DD0}</b:Guid>
    <b:Title>Law Teacher, Duty of Care</b:Title>
    <b:Year>2018</b:Year>
    <b:YearAccessed>2022</b:YearAccessed>
    <b:MonthAccessed>November</b:MonthAccessed>
    <b:DayAccessed>16</b:DayAccessed>
    <b:URL>https://www.lawteacher.net/lectures/tort-law/negligence/duty-of-care/</b:URL>
    <b:Author>
      <b:Author>
        <b:Corporate>Law Teacher</b:Corporate>
      </b:Author>
    </b:Author>
    <b:RefOrder>1</b:RefOrder>
  </b:Source>
</b:Sources>
</file>

<file path=customXml/itemProps1.xml><?xml version="1.0" encoding="utf-8"?>
<ds:datastoreItem xmlns:ds="http://schemas.openxmlformats.org/officeDocument/2006/customXml" ds:itemID="{9E7A8A4A-9172-494F-A81C-7A5F88DEB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12</Pages>
  <Words>2915</Words>
  <Characters>16622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19499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Ethan</dc:creator>
  <cp:keywords/>
  <dc:description/>
  <cp:lastModifiedBy>Evans, Ethan</cp:lastModifiedBy>
  <cp:revision>7</cp:revision>
  <dcterms:created xsi:type="dcterms:W3CDTF">2022-11-28T19:26:00Z</dcterms:created>
  <dcterms:modified xsi:type="dcterms:W3CDTF">2022-12-01T21:30:00Z</dcterms:modified>
</cp:coreProperties>
</file>