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A8EED" w14:textId="77777777" w:rsidR="00A713BB" w:rsidRDefault="00A713BB" w:rsidP="00A713BB">
      <w:pPr>
        <w:spacing w:line="360" w:lineRule="auto"/>
        <w:rPr>
          <w:rFonts w:ascii="Times New Roman" w:hAnsi="Times New Roman"/>
          <w:color w:val="000000" w:themeColor="text1"/>
          <w:sz w:val="24"/>
          <w:szCs w:val="24"/>
        </w:rPr>
      </w:pPr>
    </w:p>
    <w:p w14:paraId="12B9BEAA" w14:textId="77777777" w:rsidR="00A713BB" w:rsidRDefault="00A713BB" w:rsidP="00A713BB">
      <w:pPr>
        <w:spacing w:line="360" w:lineRule="auto"/>
        <w:rPr>
          <w:rFonts w:ascii="Times New Roman" w:hAnsi="Times New Roman"/>
          <w:color w:val="000000" w:themeColor="text1"/>
          <w:sz w:val="24"/>
          <w:szCs w:val="24"/>
        </w:rPr>
      </w:pPr>
    </w:p>
    <w:p w14:paraId="7AD44BCF" w14:textId="77777777" w:rsidR="00A713BB" w:rsidRPr="00A713BB" w:rsidRDefault="00A713BB" w:rsidP="00A713BB">
      <w:pPr>
        <w:spacing w:line="360" w:lineRule="auto"/>
        <w:jc w:val="center"/>
        <w:rPr>
          <w:rFonts w:cstheme="minorHAnsi"/>
          <w:b/>
          <w:bCs/>
          <w:sz w:val="28"/>
          <w:szCs w:val="28"/>
          <w:lang w:val="it-IT"/>
        </w:rPr>
      </w:pPr>
      <w:r w:rsidRPr="00A713BB">
        <w:rPr>
          <w:rFonts w:cstheme="minorHAnsi"/>
          <w:b/>
          <w:bCs/>
          <w:sz w:val="28"/>
          <w:szCs w:val="28"/>
          <w:lang w:val="it-IT"/>
        </w:rPr>
        <w:t>Student name: Iuliana Violeta Vlasceanu</w:t>
      </w:r>
    </w:p>
    <w:p w14:paraId="3D6D430E" w14:textId="77777777" w:rsidR="00A713BB" w:rsidRPr="00A713BB" w:rsidRDefault="00A713BB" w:rsidP="00A713BB">
      <w:pPr>
        <w:spacing w:line="360" w:lineRule="auto"/>
        <w:jc w:val="center"/>
        <w:rPr>
          <w:rFonts w:cstheme="minorHAnsi"/>
          <w:b/>
          <w:bCs/>
          <w:sz w:val="28"/>
          <w:szCs w:val="28"/>
          <w:lang w:val="it-IT"/>
        </w:rPr>
      </w:pPr>
      <w:r w:rsidRPr="00A713BB">
        <w:rPr>
          <w:rFonts w:cstheme="minorHAnsi"/>
          <w:b/>
          <w:bCs/>
          <w:sz w:val="28"/>
          <w:szCs w:val="28"/>
          <w:lang w:val="it-IT"/>
        </w:rPr>
        <w:t>Student ID: 2214468</w:t>
      </w:r>
    </w:p>
    <w:p w14:paraId="23B2377F" w14:textId="127CB878" w:rsidR="00A713BB" w:rsidRDefault="00A713BB" w:rsidP="00D6034C">
      <w:pPr>
        <w:spacing w:line="360" w:lineRule="auto"/>
        <w:rPr>
          <w:rFonts w:cstheme="minorHAnsi"/>
          <w:b/>
          <w:bCs/>
          <w:sz w:val="28"/>
          <w:szCs w:val="28"/>
        </w:rPr>
      </w:pPr>
    </w:p>
    <w:p w14:paraId="0707BA96" w14:textId="77777777" w:rsidR="00A713BB" w:rsidRDefault="00A713BB" w:rsidP="00A713BB">
      <w:pPr>
        <w:spacing w:line="360" w:lineRule="auto"/>
        <w:jc w:val="center"/>
        <w:rPr>
          <w:rFonts w:cstheme="minorHAnsi"/>
          <w:b/>
          <w:bCs/>
          <w:sz w:val="28"/>
          <w:szCs w:val="28"/>
        </w:rPr>
      </w:pPr>
      <w:r>
        <w:rPr>
          <w:rFonts w:cstheme="minorHAnsi"/>
          <w:b/>
          <w:bCs/>
          <w:sz w:val="28"/>
          <w:szCs w:val="28"/>
        </w:rPr>
        <w:t>Module: Legal Process</w:t>
      </w:r>
    </w:p>
    <w:p w14:paraId="4E8DCFDA" w14:textId="54D277E4" w:rsidR="00A713BB" w:rsidRDefault="00A713BB" w:rsidP="00A713BB">
      <w:pPr>
        <w:spacing w:line="360" w:lineRule="auto"/>
        <w:jc w:val="center"/>
        <w:rPr>
          <w:rFonts w:cstheme="minorHAnsi"/>
          <w:b/>
          <w:bCs/>
          <w:sz w:val="28"/>
          <w:szCs w:val="28"/>
        </w:rPr>
      </w:pPr>
      <w:r>
        <w:rPr>
          <w:rFonts w:cstheme="minorHAnsi"/>
          <w:b/>
          <w:bCs/>
          <w:sz w:val="28"/>
          <w:szCs w:val="28"/>
        </w:rPr>
        <w:t>Lecturer:</w:t>
      </w:r>
      <w:r w:rsidR="00D6034C">
        <w:rPr>
          <w:rFonts w:cstheme="minorHAnsi"/>
          <w:b/>
          <w:bCs/>
          <w:sz w:val="28"/>
          <w:szCs w:val="28"/>
        </w:rPr>
        <w:t xml:space="preserve"> </w:t>
      </w:r>
      <w:r>
        <w:rPr>
          <w:rFonts w:cstheme="minorHAnsi"/>
          <w:b/>
          <w:bCs/>
          <w:sz w:val="28"/>
          <w:szCs w:val="28"/>
        </w:rPr>
        <w:t>Sian Turvey</w:t>
      </w:r>
    </w:p>
    <w:p w14:paraId="316BC35A" w14:textId="77777777" w:rsidR="00A713BB" w:rsidRDefault="00A713BB" w:rsidP="00A713BB">
      <w:pPr>
        <w:spacing w:line="360" w:lineRule="auto"/>
        <w:jc w:val="center"/>
        <w:rPr>
          <w:rFonts w:cstheme="minorHAnsi"/>
          <w:b/>
          <w:bCs/>
          <w:sz w:val="28"/>
          <w:szCs w:val="28"/>
        </w:rPr>
      </w:pPr>
    </w:p>
    <w:p w14:paraId="0E320F6B" w14:textId="77777777" w:rsidR="00A713BB" w:rsidRDefault="00A713BB" w:rsidP="00A713BB">
      <w:pPr>
        <w:spacing w:line="360" w:lineRule="auto"/>
        <w:jc w:val="center"/>
        <w:rPr>
          <w:rFonts w:cstheme="minorHAnsi"/>
          <w:b/>
          <w:bCs/>
          <w:sz w:val="28"/>
          <w:szCs w:val="28"/>
        </w:rPr>
      </w:pPr>
    </w:p>
    <w:p w14:paraId="4D41BC45" w14:textId="77777777" w:rsidR="00D73937" w:rsidRDefault="00D73937" w:rsidP="00A713BB">
      <w:pPr>
        <w:spacing w:line="360" w:lineRule="auto"/>
        <w:jc w:val="center"/>
        <w:rPr>
          <w:rFonts w:cstheme="minorHAnsi"/>
          <w:b/>
          <w:bCs/>
          <w:sz w:val="28"/>
          <w:szCs w:val="28"/>
        </w:rPr>
      </w:pPr>
    </w:p>
    <w:p w14:paraId="59F92CDF" w14:textId="77777777" w:rsidR="00D73937" w:rsidRDefault="00D73937" w:rsidP="00A713BB">
      <w:pPr>
        <w:spacing w:line="360" w:lineRule="auto"/>
        <w:jc w:val="center"/>
        <w:rPr>
          <w:rFonts w:cstheme="minorHAnsi"/>
          <w:b/>
          <w:bCs/>
          <w:sz w:val="28"/>
          <w:szCs w:val="28"/>
        </w:rPr>
      </w:pPr>
    </w:p>
    <w:p w14:paraId="5336AB35" w14:textId="77777777" w:rsidR="009861A1" w:rsidRDefault="00A713BB" w:rsidP="00A713BB">
      <w:pPr>
        <w:ind w:left="720"/>
        <w:rPr>
          <w:rFonts w:cstheme="minorHAnsi"/>
          <w:b/>
          <w:bCs/>
          <w:sz w:val="28"/>
          <w:szCs w:val="28"/>
        </w:rPr>
      </w:pPr>
      <w:r>
        <w:rPr>
          <w:rFonts w:cstheme="minorHAnsi"/>
          <w:b/>
          <w:bCs/>
          <w:sz w:val="28"/>
          <w:szCs w:val="28"/>
        </w:rPr>
        <w:t>Assignment Title:</w:t>
      </w:r>
    </w:p>
    <w:p w14:paraId="3186266E" w14:textId="2CE473AE" w:rsidR="00A713BB" w:rsidRPr="001F45FF" w:rsidRDefault="00A713BB" w:rsidP="00A713BB">
      <w:pPr>
        <w:ind w:left="720"/>
        <w:rPr>
          <w:rFonts w:ascii="Arial" w:hAnsi="Arial" w:cs="Arial"/>
          <w:b/>
          <w:bCs/>
          <w:sz w:val="28"/>
          <w:szCs w:val="28"/>
        </w:rPr>
      </w:pPr>
      <w:r>
        <w:rPr>
          <w:rFonts w:cstheme="minorHAnsi"/>
          <w:b/>
          <w:bCs/>
          <w:sz w:val="28"/>
          <w:szCs w:val="28"/>
        </w:rPr>
        <w:t xml:space="preserve"> </w:t>
      </w:r>
      <w:r w:rsidRPr="001F45FF">
        <w:rPr>
          <w:rFonts w:ascii="Arial" w:hAnsi="Arial" w:cs="Arial"/>
          <w:b/>
          <w:bCs/>
          <w:sz w:val="28"/>
          <w:szCs w:val="28"/>
        </w:rPr>
        <w:t xml:space="preserve">The English Legal System is based upon common law principles. Explain what this means. </w:t>
      </w:r>
    </w:p>
    <w:p w14:paraId="027D2A66" w14:textId="77777777" w:rsidR="00A713BB" w:rsidRDefault="00A713BB" w:rsidP="00A713BB">
      <w:pPr>
        <w:spacing w:line="360" w:lineRule="auto"/>
        <w:jc w:val="center"/>
        <w:rPr>
          <w:rFonts w:cstheme="minorHAnsi"/>
          <w:b/>
          <w:bCs/>
          <w:sz w:val="28"/>
          <w:szCs w:val="28"/>
        </w:rPr>
      </w:pPr>
    </w:p>
    <w:p w14:paraId="16D035C4" w14:textId="3EFB5CBB" w:rsidR="00A713BB" w:rsidRPr="00AA5CEA" w:rsidRDefault="00A713BB" w:rsidP="003E574F">
      <w:pPr>
        <w:spacing w:line="360" w:lineRule="auto"/>
        <w:rPr>
          <w:rFonts w:cstheme="minorHAnsi"/>
          <w:b/>
          <w:bCs/>
          <w:sz w:val="28"/>
          <w:szCs w:val="28"/>
        </w:rPr>
      </w:pPr>
    </w:p>
    <w:p w14:paraId="4CAB6836" w14:textId="77777777" w:rsidR="00A713BB" w:rsidRDefault="00A713BB" w:rsidP="00A713BB">
      <w:pPr>
        <w:spacing w:line="360" w:lineRule="auto"/>
        <w:rPr>
          <w:rFonts w:ascii="Times New Roman" w:hAnsi="Times New Roman"/>
          <w:color w:val="000000" w:themeColor="text1"/>
          <w:sz w:val="24"/>
          <w:szCs w:val="24"/>
        </w:rPr>
      </w:pPr>
    </w:p>
    <w:p w14:paraId="66C9BF73" w14:textId="77777777" w:rsidR="00A713BB" w:rsidRDefault="00A713BB" w:rsidP="00A713BB">
      <w:pPr>
        <w:spacing w:line="360" w:lineRule="auto"/>
        <w:rPr>
          <w:rFonts w:ascii="Times New Roman" w:hAnsi="Times New Roman"/>
          <w:color w:val="000000" w:themeColor="text1"/>
          <w:sz w:val="24"/>
          <w:szCs w:val="24"/>
        </w:rPr>
      </w:pPr>
    </w:p>
    <w:p w14:paraId="64C284D4" w14:textId="77777777" w:rsidR="00A713BB" w:rsidRDefault="00A713BB" w:rsidP="00A713BB">
      <w:pPr>
        <w:spacing w:line="360" w:lineRule="auto"/>
        <w:rPr>
          <w:rFonts w:ascii="Times New Roman" w:hAnsi="Times New Roman"/>
          <w:color w:val="000000" w:themeColor="text1"/>
          <w:sz w:val="24"/>
          <w:szCs w:val="24"/>
        </w:rPr>
      </w:pPr>
    </w:p>
    <w:p w14:paraId="156EA1FE" w14:textId="77777777" w:rsidR="00A713BB" w:rsidRDefault="00A713BB" w:rsidP="00A713BB">
      <w:pPr>
        <w:spacing w:line="360" w:lineRule="auto"/>
        <w:rPr>
          <w:rFonts w:ascii="Times New Roman" w:hAnsi="Times New Roman"/>
          <w:color w:val="000000" w:themeColor="text1"/>
          <w:sz w:val="24"/>
          <w:szCs w:val="24"/>
        </w:rPr>
      </w:pPr>
    </w:p>
    <w:p w14:paraId="5049531B" w14:textId="77777777" w:rsidR="00A713BB" w:rsidRDefault="00A713BB" w:rsidP="00A713BB">
      <w:pPr>
        <w:spacing w:line="360" w:lineRule="auto"/>
        <w:rPr>
          <w:rFonts w:ascii="Times New Roman" w:hAnsi="Times New Roman"/>
          <w:color w:val="000000" w:themeColor="text1"/>
          <w:sz w:val="24"/>
          <w:szCs w:val="24"/>
        </w:rPr>
      </w:pPr>
    </w:p>
    <w:p w14:paraId="280617BD" w14:textId="77777777" w:rsidR="00A713BB" w:rsidRDefault="00A713BB" w:rsidP="00A713BB">
      <w:pPr>
        <w:spacing w:line="360" w:lineRule="auto"/>
        <w:rPr>
          <w:rFonts w:ascii="Times New Roman" w:hAnsi="Times New Roman"/>
          <w:color w:val="000000" w:themeColor="text1"/>
          <w:sz w:val="24"/>
          <w:szCs w:val="24"/>
        </w:rPr>
      </w:pPr>
    </w:p>
    <w:p w14:paraId="0CC97AD7" w14:textId="77777777" w:rsidR="00A713BB" w:rsidRDefault="00A713BB" w:rsidP="00A713BB">
      <w:pPr>
        <w:spacing w:line="360" w:lineRule="auto"/>
        <w:rPr>
          <w:rFonts w:ascii="Times New Roman" w:hAnsi="Times New Roman"/>
          <w:color w:val="000000" w:themeColor="text1"/>
          <w:sz w:val="24"/>
          <w:szCs w:val="24"/>
        </w:rPr>
      </w:pPr>
    </w:p>
    <w:p w14:paraId="287A4108" w14:textId="77777777" w:rsidR="00A713BB" w:rsidRDefault="00A713BB" w:rsidP="00A713BB">
      <w:pPr>
        <w:spacing w:line="360" w:lineRule="auto"/>
        <w:rPr>
          <w:rFonts w:ascii="Times New Roman" w:hAnsi="Times New Roman"/>
          <w:color w:val="000000" w:themeColor="text1"/>
          <w:sz w:val="24"/>
          <w:szCs w:val="24"/>
        </w:rPr>
      </w:pPr>
    </w:p>
    <w:p w14:paraId="751D88D9" w14:textId="77777777" w:rsidR="00A713BB" w:rsidRDefault="00A713BB" w:rsidP="00A713BB">
      <w:pPr>
        <w:spacing w:line="360" w:lineRule="auto"/>
        <w:rPr>
          <w:rFonts w:ascii="Times New Roman" w:hAnsi="Times New Roman"/>
          <w:color w:val="000000" w:themeColor="text1"/>
          <w:sz w:val="24"/>
          <w:szCs w:val="24"/>
        </w:rPr>
      </w:pPr>
    </w:p>
    <w:p w14:paraId="0917EED6"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Britain uses common law as its primary legal code. Common law dictates that while making their own conclusions, judges must take into account the rulings of prior courts (precedents) regarding similar issues. Common law is also referred to as "customary law" since judges take into account national conventions (common customs) while rendering rulings. The legal system in many nations includes parts of common law, which originated in England, with civil law, which was passed down from Roman legislature (</w:t>
      </w:r>
      <w:proofErr w:type="spellStart"/>
      <w:r w:rsidRPr="00EA7539">
        <w:rPr>
          <w:rFonts w:ascii="Times New Roman" w:hAnsi="Times New Roman"/>
          <w:color w:val="000000" w:themeColor="text1"/>
          <w:sz w:val="24"/>
          <w:szCs w:val="24"/>
        </w:rPr>
        <w:t>Malleson</w:t>
      </w:r>
      <w:proofErr w:type="spellEnd"/>
      <w:r w:rsidRPr="00EA7539">
        <w:rPr>
          <w:rFonts w:ascii="Times New Roman" w:hAnsi="Times New Roman"/>
          <w:color w:val="000000" w:themeColor="text1"/>
          <w:sz w:val="24"/>
          <w:szCs w:val="24"/>
        </w:rPr>
        <w:t xml:space="preserve"> and Moules, 2010).</w:t>
      </w:r>
    </w:p>
    <w:p w14:paraId="763240E9" w14:textId="77777777" w:rsidR="00A713BB" w:rsidRPr="00EA7539" w:rsidRDefault="00A713BB" w:rsidP="00A713BB">
      <w:pPr>
        <w:pStyle w:val="NormalWeb"/>
        <w:shd w:val="clear" w:color="auto" w:fill="FFFFFF"/>
        <w:spacing w:line="360" w:lineRule="auto"/>
        <w:rPr>
          <w:color w:val="000000" w:themeColor="text1"/>
          <w:spacing w:val="4"/>
        </w:rPr>
      </w:pPr>
      <w:r w:rsidRPr="00EA7539">
        <w:rPr>
          <w:color w:val="000000" w:themeColor="text1"/>
        </w:rPr>
        <w:t xml:space="preserve">It is believed that the English Common Law gives judges more leeway since they can adjust the law to the shifting circumstances brought on by social evolution. </w:t>
      </w:r>
    </w:p>
    <w:p w14:paraId="00F11B31"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There are two main categories of precedent: persuasive precedent, where some rules are deemed "persuasive" but are not legally enforceable, and binding precedent, which is formed through the ratio decidendi, the essential elements of a decision that must be followed by lower courts when deciding a case (Harris and Cross, 1991).</w:t>
      </w:r>
    </w:p>
    <w:p w14:paraId="3CACD3AF"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Judges used to make the laws as they were coming up with remedies for the cases they were hearing. Judges have a say in whether laws are changed and are bound by precedent as well as by legislation. As legislatures enact new bodies of legislation, the court may amend the rules through interpretations and may add to the codes with newly created rules imposed by judges. Case law is the justification used by the judges in these proceedings, and barristers and attorneys will </w:t>
      </w:r>
      <w:proofErr w:type="spellStart"/>
      <w:r w:rsidRPr="00EA7539">
        <w:rPr>
          <w:rFonts w:ascii="Times New Roman" w:hAnsi="Times New Roman"/>
          <w:color w:val="000000" w:themeColor="text1"/>
          <w:sz w:val="24"/>
          <w:szCs w:val="24"/>
        </w:rPr>
        <w:t>utilise</w:t>
      </w:r>
      <w:proofErr w:type="spellEnd"/>
      <w:r w:rsidRPr="00EA7539">
        <w:rPr>
          <w:rFonts w:ascii="Times New Roman" w:hAnsi="Times New Roman"/>
          <w:color w:val="000000" w:themeColor="text1"/>
          <w:sz w:val="24"/>
          <w:szCs w:val="24"/>
        </w:rPr>
        <w:t xml:space="preserve"> it to defend their clients' arguments in similar proceedings in the future. The judge's job is to interpret existing statutes or case law in light of the circumstances of the case, according to theory</w:t>
      </w:r>
      <w:r>
        <w:rPr>
          <w:rFonts w:ascii="Times New Roman" w:hAnsi="Times New Roman"/>
          <w:color w:val="000000" w:themeColor="text1"/>
          <w:sz w:val="24"/>
          <w:szCs w:val="24"/>
        </w:rPr>
        <w:t>.</w:t>
      </w:r>
    </w:p>
    <w:p w14:paraId="4D41B2D9"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It is necessary for there to be a distinct hierarchy of tribunals for this to function properly. Magistrates, Crown, and County courts are located at the bottom of the British legal system's hierarchy. The precedent established by earlier decisions cannot be established by these courts or overturned by them. The appeal courts are located at the top of the hierarchy, starting with the </w:t>
      </w:r>
      <w:r w:rsidRPr="00EA7539">
        <w:rPr>
          <w:rFonts w:ascii="Times New Roman" w:hAnsi="Times New Roman"/>
          <w:color w:val="000000" w:themeColor="text1"/>
          <w:sz w:val="24"/>
          <w:szCs w:val="24"/>
        </w:rPr>
        <w:lastRenderedPageBreak/>
        <w:t>UK Supreme Court and moving down to the High Court and Court of Appeal. Such tribunals do have the authority to establish precedent and occasionally deviate from it (Hudson, 2017).</w:t>
      </w:r>
    </w:p>
    <w:p w14:paraId="6C76FEB4"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The basic distinction between the two legal systems is that common law nations </w:t>
      </w:r>
      <w:proofErr w:type="spellStart"/>
      <w:r w:rsidRPr="00EA7539">
        <w:rPr>
          <w:rFonts w:ascii="Times New Roman" w:hAnsi="Times New Roman"/>
          <w:color w:val="000000" w:themeColor="text1"/>
          <w:sz w:val="24"/>
          <w:szCs w:val="24"/>
        </w:rPr>
        <w:t>prioritise</w:t>
      </w:r>
      <w:proofErr w:type="spellEnd"/>
      <w:r w:rsidRPr="00EA7539">
        <w:rPr>
          <w:rFonts w:ascii="Times New Roman" w:hAnsi="Times New Roman"/>
          <w:color w:val="000000" w:themeColor="text1"/>
          <w:sz w:val="24"/>
          <w:szCs w:val="24"/>
        </w:rPr>
        <w:t xml:space="preserve"> published judicial decisions as case law, whereas civil law regimes </w:t>
      </w:r>
      <w:proofErr w:type="spellStart"/>
      <w:r w:rsidRPr="00EA7539">
        <w:rPr>
          <w:rFonts w:ascii="Times New Roman" w:hAnsi="Times New Roman"/>
          <w:color w:val="000000" w:themeColor="text1"/>
          <w:sz w:val="24"/>
          <w:szCs w:val="24"/>
        </w:rPr>
        <w:t>prioritise</w:t>
      </w:r>
      <w:proofErr w:type="spellEnd"/>
      <w:r w:rsidRPr="00EA7539">
        <w:rPr>
          <w:rFonts w:ascii="Times New Roman" w:hAnsi="Times New Roman"/>
          <w:color w:val="000000" w:themeColor="text1"/>
          <w:sz w:val="24"/>
          <w:szCs w:val="24"/>
        </w:rPr>
        <w:t xml:space="preserve"> codified legislation.</w:t>
      </w:r>
    </w:p>
    <w:p w14:paraId="2C16315C"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Due to how the Civil Legal Tradition and English common law handle the notion differently, the doctrine of stare decisis is crucial when contrasting the two systems. The theory establishes a hierarchy of importance, with the higher court's rulings controlling the lesser courts as well as the one that made them. Civil law matters are exempt from the use of the theory of stare decisis, hence these courts frequently issue divergent decisions in instances that under common law rarely ever do. So, under civil law, the courts simply interpret and implement the already-existing laws. However, in real-world situations, the higher courts in civil cases have a significant impact on lower courts because judges in such lower courts will do everything in their power to </w:t>
      </w:r>
      <w:proofErr w:type="spellStart"/>
      <w:r w:rsidRPr="00EA7539">
        <w:rPr>
          <w:rFonts w:ascii="Times New Roman" w:hAnsi="Times New Roman"/>
          <w:color w:val="000000" w:themeColor="text1"/>
          <w:sz w:val="24"/>
          <w:szCs w:val="24"/>
        </w:rPr>
        <w:t>minimise</w:t>
      </w:r>
      <w:proofErr w:type="spellEnd"/>
      <w:r w:rsidRPr="00EA7539">
        <w:rPr>
          <w:rFonts w:ascii="Times New Roman" w:hAnsi="Times New Roman"/>
          <w:color w:val="000000" w:themeColor="text1"/>
          <w:sz w:val="24"/>
          <w:szCs w:val="24"/>
        </w:rPr>
        <w:t xml:space="preserve"> the chance that their decisions will be overturned by the higher courts because it could harm their careers. So, even if technically the civil law frameworks have no binding authority, in </w:t>
      </w:r>
      <w:proofErr w:type="spellStart"/>
      <w:r w:rsidRPr="00EA7539">
        <w:rPr>
          <w:rFonts w:ascii="Times New Roman" w:hAnsi="Times New Roman"/>
          <w:color w:val="000000" w:themeColor="text1"/>
          <w:sz w:val="24"/>
          <w:szCs w:val="24"/>
        </w:rPr>
        <w:t>practise</w:t>
      </w:r>
      <w:proofErr w:type="spellEnd"/>
      <w:r w:rsidRPr="00EA7539">
        <w:rPr>
          <w:rFonts w:ascii="Times New Roman" w:hAnsi="Times New Roman"/>
          <w:color w:val="000000" w:themeColor="text1"/>
          <w:sz w:val="24"/>
          <w:szCs w:val="24"/>
        </w:rPr>
        <w:t xml:space="preserve"> the courts take earlier decisions into account (Hale, 2000).</w:t>
      </w:r>
    </w:p>
    <w:p w14:paraId="6A705489"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The two different legal systems' definitions are where they ultimately diverge. The term "civil law" means the legal system in which the law that governs a specific society is deduced from the civil government or the state, as opposed to the common law, which refers to the legal system that grows over time through </w:t>
      </w:r>
      <w:proofErr w:type="spellStart"/>
      <w:r w:rsidRPr="00EA7539">
        <w:rPr>
          <w:rFonts w:ascii="Times New Roman" w:hAnsi="Times New Roman"/>
          <w:color w:val="000000" w:themeColor="text1"/>
          <w:sz w:val="24"/>
          <w:szCs w:val="24"/>
        </w:rPr>
        <w:t>courts</w:t>
      </w:r>
      <w:proofErr w:type="spellEnd"/>
      <w:r w:rsidRPr="00EA7539">
        <w:rPr>
          <w:rFonts w:ascii="Times New Roman" w:hAnsi="Times New Roman"/>
          <w:color w:val="000000" w:themeColor="text1"/>
          <w:sz w:val="24"/>
          <w:szCs w:val="24"/>
        </w:rPr>
        <w:t xml:space="preserve"> decision over cases based on previous court decisions, otherwise known as judicial precedent instead of statutes or the constitution. Civil law is written legislation that does not target any particular current disputes but was instead created to foresee potential future conflicts and offer instructions on how to resolve them should they arise in the future. </w:t>
      </w:r>
    </w:p>
    <w:p w14:paraId="7267FBDC" w14:textId="3BBADDA3"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In each legal systems, the lawmaker plays a different function. It is founded on the separation of powers principle in civil law. Yet in common law, it</w:t>
      </w:r>
      <w:r w:rsidR="003F13B3">
        <w:rPr>
          <w:rFonts w:ascii="Times New Roman" w:hAnsi="Times New Roman"/>
          <w:color w:val="000000" w:themeColor="text1"/>
          <w:sz w:val="24"/>
          <w:szCs w:val="24"/>
        </w:rPr>
        <w:t xml:space="preserve"> is</w:t>
      </w:r>
      <w:r w:rsidRPr="00EA7539">
        <w:rPr>
          <w:rFonts w:ascii="Times New Roman" w:hAnsi="Times New Roman"/>
          <w:color w:val="000000" w:themeColor="text1"/>
          <w:sz w:val="24"/>
          <w:szCs w:val="24"/>
        </w:rPr>
        <w:t xml:space="preserve"> up to the courts to make the rules.  The two legal systems approaches to the courtroom differ greatly as well. While common law systems derive their rules from court decisions, the foundations of civil law are established in codes and legislation, which are frequently cited in case decisions (</w:t>
      </w:r>
      <w:proofErr w:type="spellStart"/>
      <w:r w:rsidRPr="00EA7539">
        <w:rPr>
          <w:rFonts w:ascii="Times New Roman" w:hAnsi="Times New Roman"/>
          <w:color w:val="000000" w:themeColor="text1"/>
          <w:sz w:val="24"/>
          <w:szCs w:val="24"/>
        </w:rPr>
        <w:t>Bersier</w:t>
      </w:r>
      <w:proofErr w:type="spellEnd"/>
      <w:r w:rsidRPr="00EA7539">
        <w:rPr>
          <w:rFonts w:ascii="Times New Roman" w:hAnsi="Times New Roman"/>
          <w:color w:val="000000" w:themeColor="text1"/>
          <w:sz w:val="24"/>
          <w:szCs w:val="24"/>
        </w:rPr>
        <w:t xml:space="preserve">, </w:t>
      </w:r>
      <w:proofErr w:type="spellStart"/>
      <w:r w:rsidRPr="00EA7539">
        <w:rPr>
          <w:rFonts w:ascii="Times New Roman" w:hAnsi="Times New Roman"/>
          <w:color w:val="000000" w:themeColor="text1"/>
          <w:sz w:val="24"/>
          <w:szCs w:val="24"/>
        </w:rPr>
        <w:t>Bezemek</w:t>
      </w:r>
      <w:proofErr w:type="spellEnd"/>
      <w:r w:rsidRPr="00EA7539">
        <w:rPr>
          <w:rFonts w:ascii="Times New Roman" w:hAnsi="Times New Roman"/>
          <w:color w:val="000000" w:themeColor="text1"/>
          <w:sz w:val="24"/>
          <w:szCs w:val="24"/>
        </w:rPr>
        <w:t xml:space="preserve"> &amp; Schauer, 2022).</w:t>
      </w:r>
    </w:p>
    <w:p w14:paraId="1A361CF0"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lastRenderedPageBreak/>
        <w:t xml:space="preserve">Ratio Decidendi and Obiter Dictum are two key concepts to keep in mind while discussing the judicial precedent procedure. Ratio </w:t>
      </w:r>
      <w:proofErr w:type="spellStart"/>
      <w:r w:rsidRPr="00EA7539">
        <w:rPr>
          <w:rFonts w:ascii="Times New Roman" w:hAnsi="Times New Roman"/>
          <w:color w:val="000000" w:themeColor="text1"/>
          <w:sz w:val="24"/>
          <w:szCs w:val="24"/>
        </w:rPr>
        <w:t>Decindi</w:t>
      </w:r>
      <w:proofErr w:type="spellEnd"/>
      <w:r w:rsidRPr="00EA7539">
        <w:rPr>
          <w:rFonts w:ascii="Times New Roman" w:hAnsi="Times New Roman"/>
          <w:color w:val="000000" w:themeColor="text1"/>
          <w:sz w:val="24"/>
          <w:szCs w:val="24"/>
        </w:rPr>
        <w:t xml:space="preserve"> is the portion of a court ruling that is legally binding. Since it wasn't specifically relevant to the issue at hand in the initial case, an obiter dictum is not conclusive in subsequent instances. Yet, in subsequent situations, an obiter dictum can have persuasive (as contrasted to binding) power.</w:t>
      </w:r>
    </w:p>
    <w:p w14:paraId="2900D9F6"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In the English legal system, a higher court can overturn a lower court's judgement, and then the higher court's decision will supersede the earlier, binding ruling. For instance, Jersey v. Holley overrules Smith, R. v. (Morgan).  Morgan Smith murdered James V, who was his roommate, after they argued about some stolen equipment. The accused claimed that he murdered his roommate out of anger and not out of malice. He was still facing manslaughter charges, though.  Nonetheless, Jersey v. Holley </w:t>
      </w:r>
      <w:r>
        <w:rPr>
          <w:rFonts w:ascii="Times New Roman" w:hAnsi="Times New Roman"/>
          <w:color w:val="000000" w:themeColor="text1"/>
          <w:sz w:val="24"/>
          <w:szCs w:val="24"/>
        </w:rPr>
        <w:t>(</w:t>
      </w:r>
      <w:r w:rsidRPr="00EA7539">
        <w:rPr>
          <w:rFonts w:ascii="Times New Roman" w:hAnsi="Times New Roman"/>
          <w:color w:val="000000" w:themeColor="text1"/>
          <w:sz w:val="24"/>
          <w:szCs w:val="24"/>
        </w:rPr>
        <w:t>2005</w:t>
      </w:r>
      <w:r>
        <w:rPr>
          <w:rFonts w:ascii="Times New Roman" w:hAnsi="Times New Roman"/>
          <w:color w:val="000000" w:themeColor="text1"/>
          <w:sz w:val="24"/>
          <w:szCs w:val="24"/>
        </w:rPr>
        <w:t>]</w:t>
      </w:r>
      <w:r w:rsidRPr="00EA7539">
        <w:rPr>
          <w:rFonts w:ascii="Times New Roman" w:hAnsi="Times New Roman"/>
          <w:color w:val="000000" w:themeColor="text1"/>
          <w:sz w:val="24"/>
          <w:szCs w:val="24"/>
        </w:rPr>
        <w:t xml:space="preserve"> has found that this case is invalid. The defendant killed his girlfriend. Both of them had drinking problems, and the defendant claimed he was triggered. The jury considered the defendant's personality before concluding that he had lost all control of himself and exonerated him of all charges.</w:t>
      </w:r>
    </w:p>
    <w:p w14:paraId="20B683BE"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Professor Dworkin asserts that English law is viewed as a "seamless web," that it has no bounds and is always developing and changing, and that it will continue to evolve until the parliament fully codifies the whole common law. The justices have the ability to expand their legal concepts when more cases are heard in court. For instance, the statutes on battering and assault could not have anticipated the notion of continuous act in Fagan v. Metropolitan Police Commissioner 1969. This demonstrates that the law was there even if it was not immediately apparent. The idea is there, but the courts will only </w:t>
      </w:r>
      <w:proofErr w:type="spellStart"/>
      <w:r w:rsidRPr="00EA7539">
        <w:rPr>
          <w:rFonts w:ascii="Times New Roman" w:hAnsi="Times New Roman"/>
          <w:color w:val="000000" w:themeColor="text1"/>
          <w:sz w:val="24"/>
          <w:szCs w:val="24"/>
        </w:rPr>
        <w:t>recognise</w:t>
      </w:r>
      <w:proofErr w:type="spellEnd"/>
      <w:r w:rsidRPr="00EA7539">
        <w:rPr>
          <w:rFonts w:ascii="Times New Roman" w:hAnsi="Times New Roman"/>
          <w:color w:val="000000" w:themeColor="text1"/>
          <w:sz w:val="24"/>
          <w:szCs w:val="24"/>
        </w:rPr>
        <w:t xml:space="preserve"> it once more cases are submitted. The presence of jury trials in common law cultures is another unique feature of the English legal system. They include common men taking part in a judicial trial to determine the defendant. The jury's role is to decide on factual issues after being informed of the law; they do not make legal decisions (Nalbandian, 2009).</w:t>
      </w:r>
    </w:p>
    <w:p w14:paraId="14E8CD8B"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 xml:space="preserve">As English common law evolved over a long period of time, it may be linked to Anglo-Saxon rulers and even Roman law. The Anglo-Saxon kings and their Norman successors both produced "writs" during the Middle Ages. Writs were court-issued legal directives that addressed a variety of different circumstances, including righting wrongs. Some writs required defendants to show up to answer allegations, while others mandated that property be returned to those who had been </w:t>
      </w:r>
      <w:r w:rsidRPr="00EA7539">
        <w:rPr>
          <w:rFonts w:ascii="Times New Roman" w:hAnsi="Times New Roman"/>
          <w:color w:val="000000" w:themeColor="text1"/>
          <w:sz w:val="24"/>
          <w:szCs w:val="24"/>
        </w:rPr>
        <w:lastRenderedPageBreak/>
        <w:t>unlawfully deprived of it. Yet because the monarch issued specific writs rather than establishing a comprehensive legal system, judges frequently had to interpret these writs in the context of particular court cases (</w:t>
      </w:r>
      <w:proofErr w:type="spellStart"/>
      <w:r w:rsidRPr="00EA7539">
        <w:rPr>
          <w:rFonts w:ascii="Times New Roman" w:hAnsi="Times New Roman"/>
          <w:color w:val="000000" w:themeColor="text1"/>
          <w:sz w:val="24"/>
          <w:szCs w:val="24"/>
        </w:rPr>
        <w:t>Plucknett</w:t>
      </w:r>
      <w:proofErr w:type="spellEnd"/>
      <w:r w:rsidRPr="00EA7539">
        <w:rPr>
          <w:rFonts w:ascii="Times New Roman" w:hAnsi="Times New Roman"/>
          <w:color w:val="000000" w:themeColor="text1"/>
          <w:sz w:val="24"/>
          <w:szCs w:val="24"/>
        </w:rPr>
        <w:t>, 2001). Because of its dependence on court decisions to establish unwritten legal principles and conventions, this contributed to the development of the English common law system. King Henry, although not the first monarch to issue writs, is occasionally referred to as the "Father of Common Law" due to his legal achievements, which included building robust judicial structures and extending access to courts.</w:t>
      </w:r>
    </w:p>
    <w:p w14:paraId="422205D8" w14:textId="77777777" w:rsidR="00A713BB" w:rsidRPr="00EA7539" w:rsidRDefault="00A713BB" w:rsidP="00A713BB">
      <w:pPr>
        <w:spacing w:line="360" w:lineRule="auto"/>
        <w:rPr>
          <w:rFonts w:ascii="Times New Roman" w:hAnsi="Times New Roman"/>
          <w:color w:val="000000" w:themeColor="text1"/>
          <w:sz w:val="24"/>
          <w:szCs w:val="24"/>
        </w:rPr>
      </w:pPr>
      <w:r w:rsidRPr="00EA7539">
        <w:rPr>
          <w:rFonts w:ascii="Times New Roman" w:hAnsi="Times New Roman"/>
          <w:color w:val="000000" w:themeColor="text1"/>
          <w:sz w:val="24"/>
          <w:szCs w:val="24"/>
        </w:rPr>
        <w:t>To sum up, if a court reaches a certain decision according to a specific set of circumstances, then the court must abide by that judgment if they ever have to make a decision on the same or a similarly important matter. Similar to this, rulings made by higher courts are frequently enforceable against subordinate courts within the same jurisdiction. English people take great pride in their common law legal system. The common law encompasses custom, tradition, guiding ideals, ways of thinking, and the rules' actual content. The common law system as it stands is an indication of the unique ability of the English to value justice, liberty, and clarity.</w:t>
      </w:r>
    </w:p>
    <w:p w14:paraId="2E46F9B9" w14:textId="77777777" w:rsidR="00A713BB" w:rsidRDefault="00A713BB" w:rsidP="00A713BB">
      <w:pPr>
        <w:spacing w:line="360" w:lineRule="auto"/>
      </w:pPr>
    </w:p>
    <w:p w14:paraId="73E70845" w14:textId="77777777" w:rsidR="00A713BB" w:rsidRDefault="00A713BB" w:rsidP="00A713BB">
      <w:pPr>
        <w:spacing w:line="360" w:lineRule="auto"/>
      </w:pPr>
    </w:p>
    <w:p w14:paraId="013525A6" w14:textId="77777777" w:rsidR="00A713BB" w:rsidRDefault="00A713BB" w:rsidP="00A713BB">
      <w:pPr>
        <w:spacing w:line="360" w:lineRule="auto"/>
      </w:pPr>
    </w:p>
    <w:p w14:paraId="6EF1F80A" w14:textId="77777777" w:rsidR="00A713BB" w:rsidRDefault="00A713BB" w:rsidP="00A713BB">
      <w:pPr>
        <w:spacing w:line="360" w:lineRule="auto"/>
      </w:pPr>
    </w:p>
    <w:p w14:paraId="53C59450" w14:textId="77777777" w:rsidR="00A713BB" w:rsidRDefault="00A713BB" w:rsidP="00A713BB"/>
    <w:p w14:paraId="5DD7B008" w14:textId="77777777" w:rsidR="00A713BB" w:rsidRDefault="00A713BB" w:rsidP="00A713BB"/>
    <w:p w14:paraId="3688FD1F" w14:textId="77777777" w:rsidR="00A713BB" w:rsidRDefault="00A713BB" w:rsidP="00A713BB"/>
    <w:p w14:paraId="40635C6A" w14:textId="77777777" w:rsidR="00A713BB" w:rsidRDefault="00A713BB" w:rsidP="00A713BB"/>
    <w:p w14:paraId="3EDD134B" w14:textId="77777777" w:rsidR="00A713BB" w:rsidRDefault="00A713BB" w:rsidP="00A713BB"/>
    <w:p w14:paraId="4239F458" w14:textId="77777777" w:rsidR="00A713BB" w:rsidRDefault="00A713BB" w:rsidP="00A713BB"/>
    <w:p w14:paraId="445FB47A" w14:textId="77777777" w:rsidR="00A713BB" w:rsidRDefault="00A713BB" w:rsidP="00A713BB"/>
    <w:p w14:paraId="269B845D" w14:textId="77777777" w:rsidR="00A713BB" w:rsidRDefault="00A713BB" w:rsidP="00A713BB"/>
    <w:p w14:paraId="3731A7AC" w14:textId="77777777" w:rsidR="00A713BB" w:rsidRDefault="00A713BB" w:rsidP="00A713BB"/>
    <w:p w14:paraId="06FA3AB1" w14:textId="77777777" w:rsidR="00A713BB" w:rsidRDefault="00A713BB" w:rsidP="00A713BB"/>
    <w:p w14:paraId="48AA5D89" w14:textId="77777777" w:rsidR="00A713BB" w:rsidRDefault="00A713BB" w:rsidP="00A713BB"/>
    <w:p w14:paraId="4AD32450" w14:textId="77777777" w:rsidR="00A713BB" w:rsidRDefault="00A713BB" w:rsidP="00A713BB"/>
    <w:p w14:paraId="2124FF36" w14:textId="77777777" w:rsidR="00A713BB" w:rsidRDefault="00A713BB" w:rsidP="00A713BB"/>
    <w:p w14:paraId="235F6E8B" w14:textId="77777777" w:rsidR="00A713BB" w:rsidRDefault="00A713BB" w:rsidP="00A713BB"/>
    <w:p w14:paraId="2413E1D3" w14:textId="77777777" w:rsidR="00E363A8" w:rsidRDefault="00E363A8" w:rsidP="00A713BB"/>
    <w:p w14:paraId="1D4DE482" w14:textId="0A66C803" w:rsidR="00A713BB" w:rsidRPr="00A22B7C" w:rsidRDefault="000365B4" w:rsidP="00A713BB">
      <w:pPr>
        <w:rPr>
          <w:rFonts w:ascii="Times New Roman" w:hAnsi="Times New Roman"/>
          <w:b/>
          <w:bCs/>
          <w:color w:val="000000" w:themeColor="text1"/>
          <w:sz w:val="24"/>
          <w:szCs w:val="24"/>
        </w:rPr>
      </w:pPr>
      <w:r>
        <w:rPr>
          <w:rFonts w:ascii="Times New Roman" w:hAnsi="Times New Roman"/>
          <w:b/>
          <w:bCs/>
          <w:color w:val="000000" w:themeColor="text1"/>
          <w:sz w:val="24"/>
          <w:szCs w:val="24"/>
        </w:rPr>
        <w:t>References</w:t>
      </w:r>
    </w:p>
    <w:p w14:paraId="504412A9" w14:textId="77777777" w:rsidR="00A713BB" w:rsidRPr="00A22B7C" w:rsidRDefault="00A713BB" w:rsidP="00A713BB">
      <w:pPr>
        <w:rPr>
          <w:rFonts w:ascii="Times New Roman" w:hAnsi="Times New Roman"/>
          <w:i/>
          <w:iCs/>
          <w:color w:val="000000" w:themeColor="text1"/>
          <w:sz w:val="24"/>
          <w:szCs w:val="24"/>
          <w:u w:val="single"/>
        </w:rPr>
      </w:pPr>
      <w:r w:rsidRPr="00A22B7C">
        <w:rPr>
          <w:rFonts w:ascii="Times New Roman" w:hAnsi="Times New Roman"/>
          <w:i/>
          <w:iCs/>
          <w:color w:val="000000" w:themeColor="text1"/>
          <w:sz w:val="24"/>
          <w:szCs w:val="24"/>
          <w:u w:val="single"/>
        </w:rPr>
        <w:t>Primary Sources</w:t>
      </w:r>
    </w:p>
    <w:p w14:paraId="5E8CC984" w14:textId="77777777" w:rsidR="00A713BB" w:rsidRPr="00A22B7C" w:rsidRDefault="00A713BB" w:rsidP="00A713BB">
      <w:pPr>
        <w:rPr>
          <w:rFonts w:ascii="Times New Roman" w:hAnsi="Times New Roman"/>
          <w:color w:val="000000" w:themeColor="text1"/>
          <w:sz w:val="24"/>
          <w:szCs w:val="24"/>
          <w:u w:val="single"/>
        </w:rPr>
      </w:pPr>
      <w:r w:rsidRPr="00A22B7C">
        <w:rPr>
          <w:rFonts w:ascii="Times New Roman" w:hAnsi="Times New Roman"/>
          <w:color w:val="000000" w:themeColor="text1"/>
          <w:sz w:val="24"/>
          <w:szCs w:val="24"/>
          <w:u w:val="single"/>
        </w:rPr>
        <w:t>Cases</w:t>
      </w:r>
    </w:p>
    <w:p w14:paraId="5A1BAAE9" w14:textId="77777777" w:rsidR="00A713BB" w:rsidRPr="00B710F6" w:rsidRDefault="00A713BB" w:rsidP="00A713BB">
      <w:pPr>
        <w:pStyle w:val="ListParagraph"/>
        <w:numPr>
          <w:ilvl w:val="0"/>
          <w:numId w:val="1"/>
        </w:numPr>
        <w:suppressAutoHyphens w:val="0"/>
        <w:autoSpaceDN/>
        <w:spacing w:after="0" w:line="360" w:lineRule="auto"/>
        <w:rPr>
          <w:rFonts w:ascii="Times New Roman" w:hAnsi="Times New Roman"/>
          <w:color w:val="000000" w:themeColor="text1"/>
          <w:sz w:val="24"/>
          <w:szCs w:val="24"/>
        </w:rPr>
      </w:pPr>
      <w:r w:rsidRPr="00B710F6">
        <w:rPr>
          <w:rStyle w:val="Emphasis"/>
          <w:rFonts w:ascii="Times New Roman" w:hAnsi="Times New Roman"/>
          <w:color w:val="000000" w:themeColor="text1"/>
          <w:sz w:val="24"/>
          <w:szCs w:val="24"/>
          <w:shd w:val="clear" w:color="auto" w:fill="FFFFFF"/>
        </w:rPr>
        <w:t>Jersey v Holley</w:t>
      </w:r>
      <w:r w:rsidRPr="00B710F6">
        <w:rPr>
          <w:rFonts w:ascii="Times New Roman" w:hAnsi="Times New Roman"/>
          <w:color w:val="000000" w:themeColor="text1"/>
          <w:sz w:val="24"/>
          <w:szCs w:val="24"/>
          <w:shd w:val="clear" w:color="auto" w:fill="FFFFFF"/>
        </w:rPr>
        <w:t> [2005] 3 WLR 29.</w:t>
      </w:r>
    </w:p>
    <w:p w14:paraId="7278A44D" w14:textId="77777777" w:rsidR="00A713BB" w:rsidRPr="00B710F6" w:rsidRDefault="00A713BB" w:rsidP="00A713BB">
      <w:pPr>
        <w:pStyle w:val="ListParagraph"/>
        <w:numPr>
          <w:ilvl w:val="0"/>
          <w:numId w:val="1"/>
        </w:numPr>
        <w:suppressAutoHyphens w:val="0"/>
        <w:autoSpaceDN/>
        <w:spacing w:after="0" w:line="360" w:lineRule="auto"/>
        <w:rPr>
          <w:rFonts w:ascii="Times New Roman" w:hAnsi="Times New Roman"/>
          <w:color w:val="000000" w:themeColor="text1"/>
          <w:sz w:val="24"/>
          <w:szCs w:val="24"/>
        </w:rPr>
      </w:pPr>
      <w:r w:rsidRPr="00B710F6">
        <w:rPr>
          <w:rFonts w:ascii="Times New Roman" w:hAnsi="Times New Roman"/>
          <w:color w:val="000000" w:themeColor="text1"/>
          <w:sz w:val="24"/>
          <w:szCs w:val="24"/>
          <w:shd w:val="clear" w:color="auto" w:fill="FFFFFF"/>
        </w:rPr>
        <w:t>R </w:t>
      </w:r>
      <w:r w:rsidRPr="00B710F6">
        <w:rPr>
          <w:rStyle w:val="Emphasis"/>
          <w:rFonts w:ascii="Times New Roman" w:hAnsi="Times New Roman"/>
          <w:color w:val="000000" w:themeColor="text1"/>
          <w:sz w:val="24"/>
          <w:szCs w:val="24"/>
          <w:shd w:val="clear" w:color="auto" w:fill="FFFFFF"/>
        </w:rPr>
        <w:t>v Smith</w:t>
      </w:r>
      <w:r w:rsidRPr="00B710F6">
        <w:rPr>
          <w:rFonts w:ascii="Times New Roman" w:hAnsi="Times New Roman"/>
          <w:color w:val="000000" w:themeColor="text1"/>
          <w:sz w:val="24"/>
          <w:szCs w:val="24"/>
          <w:shd w:val="clear" w:color="auto" w:fill="FFFFFF"/>
        </w:rPr>
        <w:t> (</w:t>
      </w:r>
      <w:r w:rsidRPr="00B710F6">
        <w:rPr>
          <w:rStyle w:val="Emphasis"/>
          <w:rFonts w:ascii="Times New Roman" w:hAnsi="Times New Roman"/>
          <w:color w:val="000000" w:themeColor="text1"/>
          <w:sz w:val="24"/>
          <w:szCs w:val="24"/>
          <w:shd w:val="clear" w:color="auto" w:fill="FFFFFF"/>
        </w:rPr>
        <w:t>Morgan</w:t>
      </w:r>
      <w:r w:rsidRPr="00B710F6">
        <w:rPr>
          <w:rFonts w:ascii="Times New Roman" w:hAnsi="Times New Roman"/>
          <w:color w:val="000000" w:themeColor="text1"/>
          <w:sz w:val="24"/>
          <w:szCs w:val="24"/>
          <w:shd w:val="clear" w:color="auto" w:fill="FFFFFF"/>
        </w:rPr>
        <w:t>) [2000] 3 WLR 654.</w:t>
      </w:r>
    </w:p>
    <w:p w14:paraId="19442140" w14:textId="77777777" w:rsidR="00A713BB" w:rsidRPr="00A713BB" w:rsidRDefault="00A713BB" w:rsidP="00A713BB">
      <w:pPr>
        <w:pStyle w:val="ListParagraph"/>
        <w:numPr>
          <w:ilvl w:val="0"/>
          <w:numId w:val="1"/>
        </w:numPr>
        <w:suppressAutoHyphens w:val="0"/>
        <w:autoSpaceDN/>
        <w:spacing w:after="0" w:line="360" w:lineRule="auto"/>
        <w:rPr>
          <w:rFonts w:ascii="Times New Roman" w:hAnsi="Times New Roman"/>
          <w:color w:val="000000" w:themeColor="text1"/>
          <w:sz w:val="24"/>
          <w:szCs w:val="24"/>
          <w:lang w:val="it-IT"/>
        </w:rPr>
      </w:pPr>
      <w:r w:rsidRPr="00A713BB">
        <w:rPr>
          <w:rFonts w:ascii="Times New Roman" w:hAnsi="Times New Roman"/>
          <w:color w:val="000000" w:themeColor="text1"/>
          <w:sz w:val="24"/>
          <w:szCs w:val="24"/>
          <w:lang w:val="it-IT"/>
        </w:rPr>
        <w:t>Fagan v. Metropolitan Police Commissioner 1969.</w:t>
      </w:r>
    </w:p>
    <w:p w14:paraId="65BC50B7" w14:textId="77777777" w:rsidR="00A713BB" w:rsidRPr="00A713BB" w:rsidRDefault="00A713BB" w:rsidP="00A713BB">
      <w:pPr>
        <w:rPr>
          <w:rFonts w:ascii="Times New Roman" w:hAnsi="Times New Roman"/>
          <w:color w:val="000000" w:themeColor="text1"/>
          <w:sz w:val="24"/>
          <w:szCs w:val="24"/>
          <w:lang w:val="it-IT"/>
        </w:rPr>
      </w:pPr>
    </w:p>
    <w:p w14:paraId="04716CBA" w14:textId="77777777" w:rsidR="00A713BB" w:rsidRPr="00A22B7C" w:rsidRDefault="00A713BB" w:rsidP="00A713BB">
      <w:pPr>
        <w:rPr>
          <w:rFonts w:ascii="Times New Roman" w:hAnsi="Times New Roman"/>
          <w:i/>
          <w:iCs/>
          <w:color w:val="000000" w:themeColor="text1"/>
          <w:sz w:val="24"/>
          <w:szCs w:val="24"/>
          <w:u w:val="single"/>
        </w:rPr>
      </w:pPr>
      <w:r w:rsidRPr="00A22B7C">
        <w:rPr>
          <w:rFonts w:ascii="Times New Roman" w:hAnsi="Times New Roman"/>
          <w:i/>
          <w:iCs/>
          <w:color w:val="000000" w:themeColor="text1"/>
          <w:sz w:val="24"/>
          <w:szCs w:val="24"/>
          <w:u w:val="single"/>
        </w:rPr>
        <w:t>Secondary Sources</w:t>
      </w:r>
    </w:p>
    <w:p w14:paraId="0E64D2CC" w14:textId="77777777" w:rsidR="00A713BB" w:rsidRPr="00A22B7C" w:rsidRDefault="00A713BB" w:rsidP="00A713BB">
      <w:pPr>
        <w:rPr>
          <w:rFonts w:ascii="Times New Roman" w:hAnsi="Times New Roman"/>
          <w:color w:val="000000" w:themeColor="text1"/>
          <w:sz w:val="24"/>
          <w:szCs w:val="24"/>
          <w:u w:val="single"/>
        </w:rPr>
      </w:pPr>
      <w:r w:rsidRPr="00A22B7C">
        <w:rPr>
          <w:rFonts w:ascii="Times New Roman" w:hAnsi="Times New Roman"/>
          <w:color w:val="000000" w:themeColor="text1"/>
          <w:sz w:val="24"/>
          <w:szCs w:val="24"/>
          <w:u w:val="single"/>
        </w:rPr>
        <w:t>Books</w:t>
      </w:r>
    </w:p>
    <w:p w14:paraId="4CF78A91" w14:textId="77777777" w:rsidR="00A713BB" w:rsidRPr="00A22B7C" w:rsidRDefault="00A713BB" w:rsidP="00A713BB">
      <w:pPr>
        <w:pStyle w:val="ListParagraph"/>
        <w:numPr>
          <w:ilvl w:val="0"/>
          <w:numId w:val="1"/>
        </w:numPr>
        <w:spacing w:line="360" w:lineRule="auto"/>
        <w:rPr>
          <w:rFonts w:ascii="Times New Roman" w:hAnsi="Times New Roman"/>
          <w:color w:val="000000" w:themeColor="text1"/>
          <w:sz w:val="24"/>
          <w:szCs w:val="24"/>
        </w:rPr>
      </w:pPr>
      <w:proofErr w:type="spellStart"/>
      <w:r w:rsidRPr="00A22B7C">
        <w:rPr>
          <w:rFonts w:ascii="Times New Roman" w:hAnsi="Times New Roman"/>
          <w:color w:val="000000" w:themeColor="text1"/>
          <w:sz w:val="24"/>
          <w:szCs w:val="24"/>
        </w:rPr>
        <w:t>Malleson</w:t>
      </w:r>
      <w:proofErr w:type="spellEnd"/>
      <w:r w:rsidRPr="00A22B7C">
        <w:rPr>
          <w:rFonts w:ascii="Times New Roman" w:hAnsi="Times New Roman"/>
          <w:color w:val="000000" w:themeColor="text1"/>
          <w:sz w:val="24"/>
          <w:szCs w:val="24"/>
        </w:rPr>
        <w:t>, K., Moules, R., ‘The Legal System’, (1</w:t>
      </w:r>
      <w:r w:rsidRPr="00A22B7C">
        <w:rPr>
          <w:rFonts w:ascii="Times New Roman" w:hAnsi="Times New Roman"/>
          <w:color w:val="000000" w:themeColor="text1"/>
          <w:sz w:val="24"/>
          <w:szCs w:val="24"/>
          <w:vertAlign w:val="superscript"/>
        </w:rPr>
        <w:t>st</w:t>
      </w:r>
      <w:r w:rsidRPr="00A22B7C">
        <w:rPr>
          <w:rFonts w:ascii="Times New Roman" w:hAnsi="Times New Roman"/>
          <w:color w:val="000000" w:themeColor="text1"/>
          <w:sz w:val="24"/>
          <w:szCs w:val="24"/>
        </w:rPr>
        <w:t xml:space="preserve"> </w:t>
      </w:r>
      <w:proofErr w:type="spellStart"/>
      <w:r w:rsidRPr="00A22B7C">
        <w:rPr>
          <w:rFonts w:ascii="Times New Roman" w:hAnsi="Times New Roman"/>
          <w:color w:val="000000" w:themeColor="text1"/>
          <w:sz w:val="24"/>
          <w:szCs w:val="24"/>
        </w:rPr>
        <w:t>edn</w:t>
      </w:r>
      <w:proofErr w:type="spellEnd"/>
      <w:r w:rsidRPr="00A22B7C">
        <w:rPr>
          <w:rFonts w:ascii="Times New Roman" w:hAnsi="Times New Roman"/>
          <w:color w:val="000000" w:themeColor="text1"/>
          <w:sz w:val="24"/>
          <w:szCs w:val="24"/>
        </w:rPr>
        <w:t>, OUP Oxford, 2010).</w:t>
      </w:r>
    </w:p>
    <w:p w14:paraId="4F8BA7D4" w14:textId="77777777" w:rsidR="00A713BB" w:rsidRPr="00A22B7C" w:rsidRDefault="00A713BB" w:rsidP="00A713BB">
      <w:pPr>
        <w:pStyle w:val="ListParagraph"/>
        <w:numPr>
          <w:ilvl w:val="0"/>
          <w:numId w:val="1"/>
        </w:numPr>
        <w:spacing w:line="360" w:lineRule="auto"/>
        <w:rPr>
          <w:rFonts w:ascii="Times New Roman" w:hAnsi="Times New Roman"/>
          <w:color w:val="000000" w:themeColor="text1"/>
          <w:sz w:val="24"/>
          <w:szCs w:val="24"/>
        </w:rPr>
      </w:pPr>
      <w:r w:rsidRPr="00A22B7C">
        <w:rPr>
          <w:rFonts w:ascii="Times New Roman" w:hAnsi="Times New Roman"/>
          <w:color w:val="000000" w:themeColor="text1"/>
          <w:sz w:val="24"/>
          <w:szCs w:val="24"/>
        </w:rPr>
        <w:t>Cross, R., Harris, J., ‘Precedent in English Law’, (1</w:t>
      </w:r>
      <w:r w:rsidRPr="00A22B7C">
        <w:rPr>
          <w:rFonts w:ascii="Times New Roman" w:hAnsi="Times New Roman"/>
          <w:color w:val="000000" w:themeColor="text1"/>
          <w:sz w:val="24"/>
          <w:szCs w:val="24"/>
          <w:vertAlign w:val="superscript"/>
        </w:rPr>
        <w:t>st</w:t>
      </w:r>
      <w:r w:rsidRPr="00A22B7C">
        <w:rPr>
          <w:rFonts w:ascii="Times New Roman" w:hAnsi="Times New Roman"/>
          <w:color w:val="000000" w:themeColor="text1"/>
          <w:sz w:val="24"/>
          <w:szCs w:val="24"/>
        </w:rPr>
        <w:t xml:space="preserve"> </w:t>
      </w:r>
      <w:proofErr w:type="spellStart"/>
      <w:r w:rsidRPr="00A22B7C">
        <w:rPr>
          <w:rFonts w:ascii="Times New Roman" w:hAnsi="Times New Roman"/>
          <w:color w:val="000000" w:themeColor="text1"/>
          <w:sz w:val="24"/>
          <w:szCs w:val="24"/>
        </w:rPr>
        <w:t>edn</w:t>
      </w:r>
      <w:proofErr w:type="spellEnd"/>
      <w:r w:rsidRPr="00A22B7C">
        <w:rPr>
          <w:rFonts w:ascii="Times New Roman" w:hAnsi="Times New Roman"/>
          <w:color w:val="000000" w:themeColor="text1"/>
          <w:sz w:val="24"/>
          <w:szCs w:val="24"/>
        </w:rPr>
        <w:t>, Clarendon Press, 1991).</w:t>
      </w:r>
    </w:p>
    <w:p w14:paraId="3BB250F9" w14:textId="77777777" w:rsidR="00A713BB" w:rsidRPr="00A22B7C" w:rsidRDefault="00A713BB" w:rsidP="00A713BB">
      <w:pPr>
        <w:pStyle w:val="ListParagraph"/>
        <w:numPr>
          <w:ilvl w:val="0"/>
          <w:numId w:val="1"/>
        </w:numPr>
        <w:spacing w:line="360" w:lineRule="auto"/>
        <w:rPr>
          <w:rFonts w:ascii="Times New Roman" w:hAnsi="Times New Roman"/>
          <w:color w:val="000000" w:themeColor="text1"/>
          <w:sz w:val="24"/>
          <w:szCs w:val="24"/>
        </w:rPr>
      </w:pPr>
      <w:r w:rsidRPr="00A22B7C">
        <w:rPr>
          <w:rFonts w:ascii="Times New Roman" w:hAnsi="Times New Roman"/>
          <w:color w:val="000000" w:themeColor="text1"/>
          <w:sz w:val="24"/>
          <w:szCs w:val="24"/>
        </w:rPr>
        <w:t>Hudson, J., ‘The Formation of the English Common Law’, (1</w:t>
      </w:r>
      <w:r w:rsidRPr="00A22B7C">
        <w:rPr>
          <w:rFonts w:ascii="Times New Roman" w:hAnsi="Times New Roman"/>
          <w:color w:val="000000" w:themeColor="text1"/>
          <w:sz w:val="24"/>
          <w:szCs w:val="24"/>
          <w:vertAlign w:val="superscript"/>
        </w:rPr>
        <w:t>st</w:t>
      </w:r>
      <w:r w:rsidRPr="00A22B7C">
        <w:rPr>
          <w:rFonts w:ascii="Times New Roman" w:hAnsi="Times New Roman"/>
          <w:color w:val="000000" w:themeColor="text1"/>
          <w:sz w:val="24"/>
          <w:szCs w:val="24"/>
        </w:rPr>
        <w:t xml:space="preserve"> </w:t>
      </w:r>
      <w:proofErr w:type="spellStart"/>
      <w:r w:rsidRPr="00A22B7C">
        <w:rPr>
          <w:rFonts w:ascii="Times New Roman" w:hAnsi="Times New Roman"/>
          <w:color w:val="000000" w:themeColor="text1"/>
          <w:sz w:val="24"/>
          <w:szCs w:val="24"/>
        </w:rPr>
        <w:t>edn</w:t>
      </w:r>
      <w:proofErr w:type="spellEnd"/>
      <w:r w:rsidRPr="00A22B7C">
        <w:rPr>
          <w:rFonts w:ascii="Times New Roman" w:hAnsi="Times New Roman"/>
          <w:color w:val="000000" w:themeColor="text1"/>
          <w:sz w:val="24"/>
          <w:szCs w:val="24"/>
        </w:rPr>
        <w:t>, Taylor &amp; Francis, 2017).</w:t>
      </w:r>
    </w:p>
    <w:p w14:paraId="42D93BF2" w14:textId="77777777" w:rsidR="00A713BB" w:rsidRPr="00A22B7C" w:rsidRDefault="00A713BB" w:rsidP="00A713BB">
      <w:pPr>
        <w:pStyle w:val="ListParagraph"/>
        <w:numPr>
          <w:ilvl w:val="0"/>
          <w:numId w:val="1"/>
        </w:numPr>
        <w:spacing w:line="360" w:lineRule="auto"/>
        <w:rPr>
          <w:rFonts w:ascii="Times New Roman" w:hAnsi="Times New Roman"/>
          <w:color w:val="000000" w:themeColor="text1"/>
          <w:sz w:val="24"/>
          <w:szCs w:val="24"/>
        </w:rPr>
      </w:pPr>
      <w:r w:rsidRPr="00A22B7C">
        <w:rPr>
          <w:rFonts w:ascii="Times New Roman" w:hAnsi="Times New Roman"/>
          <w:color w:val="000000" w:themeColor="text1"/>
          <w:sz w:val="24"/>
          <w:szCs w:val="24"/>
        </w:rPr>
        <w:t>Hale, M., ‘The History and Analysis of the Common Law of England’, (1</w:t>
      </w:r>
      <w:r w:rsidRPr="00A22B7C">
        <w:rPr>
          <w:rFonts w:ascii="Times New Roman" w:hAnsi="Times New Roman"/>
          <w:color w:val="000000" w:themeColor="text1"/>
          <w:sz w:val="24"/>
          <w:szCs w:val="24"/>
          <w:vertAlign w:val="superscript"/>
        </w:rPr>
        <w:t>st</w:t>
      </w:r>
      <w:r w:rsidRPr="00A22B7C">
        <w:rPr>
          <w:rFonts w:ascii="Times New Roman" w:hAnsi="Times New Roman"/>
          <w:color w:val="000000" w:themeColor="text1"/>
          <w:sz w:val="24"/>
          <w:szCs w:val="24"/>
        </w:rPr>
        <w:t xml:space="preserve"> </w:t>
      </w:r>
      <w:proofErr w:type="spellStart"/>
      <w:r w:rsidRPr="00A22B7C">
        <w:rPr>
          <w:rFonts w:ascii="Times New Roman" w:hAnsi="Times New Roman"/>
          <w:color w:val="000000" w:themeColor="text1"/>
          <w:sz w:val="24"/>
          <w:szCs w:val="24"/>
        </w:rPr>
        <w:t>edn</w:t>
      </w:r>
      <w:proofErr w:type="spellEnd"/>
      <w:r w:rsidRPr="00A22B7C">
        <w:rPr>
          <w:rFonts w:ascii="Times New Roman" w:hAnsi="Times New Roman"/>
          <w:color w:val="000000" w:themeColor="text1"/>
          <w:sz w:val="24"/>
          <w:szCs w:val="24"/>
        </w:rPr>
        <w:t>, The Lawbook Exchange, 2007).</w:t>
      </w:r>
    </w:p>
    <w:p w14:paraId="22DD8470" w14:textId="77777777" w:rsidR="00A713BB" w:rsidRPr="00A22B7C" w:rsidRDefault="00A713BB" w:rsidP="00A713BB">
      <w:pPr>
        <w:pStyle w:val="ListParagraph"/>
        <w:numPr>
          <w:ilvl w:val="0"/>
          <w:numId w:val="1"/>
        </w:numPr>
        <w:suppressAutoHyphens w:val="0"/>
        <w:autoSpaceDN/>
        <w:spacing w:after="0" w:line="360" w:lineRule="auto"/>
        <w:rPr>
          <w:rFonts w:ascii="Times New Roman" w:hAnsi="Times New Roman"/>
          <w:color w:val="000000" w:themeColor="text1"/>
          <w:sz w:val="24"/>
          <w:szCs w:val="24"/>
        </w:rPr>
      </w:pPr>
      <w:proofErr w:type="spellStart"/>
      <w:r w:rsidRPr="00A22B7C">
        <w:rPr>
          <w:rFonts w:ascii="Times New Roman" w:hAnsi="Times New Roman"/>
          <w:color w:val="000000" w:themeColor="text1"/>
          <w:sz w:val="24"/>
          <w:szCs w:val="24"/>
        </w:rPr>
        <w:t>Bersier</w:t>
      </w:r>
      <w:proofErr w:type="spellEnd"/>
      <w:r w:rsidRPr="00A22B7C">
        <w:rPr>
          <w:rFonts w:ascii="Times New Roman" w:hAnsi="Times New Roman"/>
          <w:color w:val="000000" w:themeColor="text1"/>
          <w:sz w:val="24"/>
          <w:szCs w:val="24"/>
        </w:rPr>
        <w:t xml:space="preserve">, N., </w:t>
      </w:r>
      <w:proofErr w:type="spellStart"/>
      <w:r w:rsidRPr="00A22B7C">
        <w:rPr>
          <w:rFonts w:ascii="Times New Roman" w:hAnsi="Times New Roman"/>
          <w:color w:val="000000" w:themeColor="text1"/>
          <w:sz w:val="24"/>
          <w:szCs w:val="24"/>
        </w:rPr>
        <w:t>Bezemek</w:t>
      </w:r>
      <w:proofErr w:type="spellEnd"/>
      <w:r w:rsidRPr="00A22B7C">
        <w:rPr>
          <w:rFonts w:ascii="Times New Roman" w:hAnsi="Times New Roman"/>
          <w:color w:val="000000" w:themeColor="text1"/>
          <w:sz w:val="24"/>
          <w:szCs w:val="24"/>
        </w:rPr>
        <w:t>, C., Schauer, F. ‘Common Law – Civil Law: The Great Divide?’, (1</w:t>
      </w:r>
      <w:r w:rsidRPr="00A22B7C">
        <w:rPr>
          <w:rFonts w:ascii="Times New Roman" w:hAnsi="Times New Roman"/>
          <w:color w:val="000000" w:themeColor="text1"/>
          <w:sz w:val="24"/>
          <w:szCs w:val="24"/>
          <w:vertAlign w:val="superscript"/>
        </w:rPr>
        <w:t>st</w:t>
      </w:r>
      <w:r w:rsidRPr="00A22B7C">
        <w:rPr>
          <w:rFonts w:ascii="Times New Roman" w:hAnsi="Times New Roman"/>
          <w:color w:val="000000" w:themeColor="text1"/>
          <w:sz w:val="24"/>
          <w:szCs w:val="24"/>
        </w:rPr>
        <w:t xml:space="preserve"> </w:t>
      </w:r>
      <w:proofErr w:type="spellStart"/>
      <w:r w:rsidRPr="00A22B7C">
        <w:rPr>
          <w:rFonts w:ascii="Times New Roman" w:hAnsi="Times New Roman"/>
          <w:color w:val="000000" w:themeColor="text1"/>
          <w:sz w:val="24"/>
          <w:szCs w:val="24"/>
        </w:rPr>
        <w:t>edn</w:t>
      </w:r>
      <w:proofErr w:type="spellEnd"/>
      <w:r w:rsidRPr="00A22B7C">
        <w:rPr>
          <w:rFonts w:ascii="Times New Roman" w:hAnsi="Times New Roman"/>
          <w:color w:val="000000" w:themeColor="text1"/>
          <w:sz w:val="24"/>
          <w:szCs w:val="24"/>
        </w:rPr>
        <w:t>, Springer International Publishing, 2022).</w:t>
      </w:r>
    </w:p>
    <w:p w14:paraId="272E8824" w14:textId="77777777" w:rsidR="00A713BB" w:rsidRPr="00F86764" w:rsidRDefault="00A713BB" w:rsidP="00A713BB">
      <w:pPr>
        <w:pStyle w:val="ListParagraph"/>
        <w:numPr>
          <w:ilvl w:val="0"/>
          <w:numId w:val="1"/>
        </w:numPr>
        <w:suppressAutoHyphens w:val="0"/>
        <w:autoSpaceDN/>
        <w:spacing w:after="0" w:line="360" w:lineRule="auto"/>
        <w:rPr>
          <w:rFonts w:ascii="Times New Roman" w:hAnsi="Times New Roman"/>
          <w:i/>
          <w:iCs/>
          <w:color w:val="000000" w:themeColor="text1"/>
          <w:sz w:val="24"/>
          <w:szCs w:val="24"/>
        </w:rPr>
      </w:pPr>
      <w:proofErr w:type="spellStart"/>
      <w:r w:rsidRPr="00A22B7C">
        <w:rPr>
          <w:rStyle w:val="Emphasis"/>
          <w:rFonts w:ascii="Times New Roman" w:hAnsi="Times New Roman"/>
          <w:color w:val="000000" w:themeColor="text1"/>
          <w:sz w:val="24"/>
          <w:szCs w:val="24"/>
          <w:shd w:val="clear" w:color="auto" w:fill="FFFFFF"/>
        </w:rPr>
        <w:t>Plucknett</w:t>
      </w:r>
      <w:proofErr w:type="spellEnd"/>
      <w:r w:rsidRPr="00A22B7C">
        <w:rPr>
          <w:rStyle w:val="Emphasis"/>
          <w:rFonts w:ascii="Times New Roman" w:hAnsi="Times New Roman"/>
          <w:color w:val="000000" w:themeColor="text1"/>
          <w:sz w:val="24"/>
          <w:szCs w:val="24"/>
          <w:shd w:val="clear" w:color="auto" w:fill="FFFFFF"/>
        </w:rPr>
        <w:t xml:space="preserve">, T., ‘A concise history of the common law’, </w:t>
      </w:r>
      <w:r w:rsidRPr="00F86764">
        <w:rPr>
          <w:rStyle w:val="Emphasis"/>
          <w:rFonts w:ascii="Times New Roman" w:hAnsi="Times New Roman"/>
          <w:color w:val="000000" w:themeColor="text1"/>
          <w:sz w:val="24"/>
          <w:szCs w:val="24"/>
          <w:shd w:val="clear" w:color="auto" w:fill="FFFFFF"/>
        </w:rPr>
        <w:t>(5</w:t>
      </w:r>
      <w:r w:rsidRPr="00F86764">
        <w:rPr>
          <w:rStyle w:val="Emphasis"/>
          <w:rFonts w:ascii="Times New Roman" w:hAnsi="Times New Roman"/>
          <w:color w:val="000000" w:themeColor="text1"/>
          <w:sz w:val="24"/>
          <w:szCs w:val="24"/>
          <w:shd w:val="clear" w:color="auto" w:fill="FFFFFF"/>
          <w:vertAlign w:val="superscript"/>
        </w:rPr>
        <w:t>th</w:t>
      </w:r>
      <w:r w:rsidRPr="00F86764">
        <w:rPr>
          <w:rStyle w:val="Emphasis"/>
          <w:rFonts w:ascii="Times New Roman" w:hAnsi="Times New Roman"/>
          <w:color w:val="000000" w:themeColor="text1"/>
          <w:sz w:val="24"/>
          <w:szCs w:val="24"/>
          <w:shd w:val="clear" w:color="auto" w:fill="FFFFFF"/>
        </w:rPr>
        <w:t xml:space="preserve"> </w:t>
      </w:r>
      <w:proofErr w:type="spellStart"/>
      <w:r w:rsidRPr="00F86764">
        <w:rPr>
          <w:rStyle w:val="Emphasis"/>
          <w:rFonts w:ascii="Times New Roman" w:hAnsi="Times New Roman"/>
          <w:color w:val="000000" w:themeColor="text1"/>
          <w:sz w:val="24"/>
          <w:szCs w:val="24"/>
          <w:shd w:val="clear" w:color="auto" w:fill="FFFFFF"/>
        </w:rPr>
        <w:t>edn</w:t>
      </w:r>
      <w:proofErr w:type="spellEnd"/>
      <w:r w:rsidRPr="00F86764">
        <w:rPr>
          <w:rStyle w:val="Emphasis"/>
          <w:rFonts w:ascii="Times New Roman" w:hAnsi="Times New Roman"/>
          <w:color w:val="000000" w:themeColor="text1"/>
          <w:sz w:val="24"/>
          <w:szCs w:val="24"/>
          <w:shd w:val="clear" w:color="auto" w:fill="FFFFFF"/>
        </w:rPr>
        <w:t>, Little, Brown and Company, 1956).</w:t>
      </w:r>
    </w:p>
    <w:p w14:paraId="3F29A38C" w14:textId="77777777" w:rsidR="00A713BB" w:rsidRPr="00BE1CF7" w:rsidRDefault="00A713BB" w:rsidP="00A713BB">
      <w:pPr>
        <w:suppressAutoHyphens w:val="0"/>
        <w:autoSpaceDN/>
        <w:spacing w:after="0" w:line="360" w:lineRule="auto"/>
        <w:rPr>
          <w:rFonts w:ascii="Times New Roman" w:hAnsi="Times New Roman"/>
          <w:color w:val="000000" w:themeColor="text1"/>
          <w:sz w:val="24"/>
          <w:szCs w:val="24"/>
          <w:u w:val="single"/>
        </w:rPr>
      </w:pPr>
      <w:r w:rsidRPr="00BE1CF7">
        <w:rPr>
          <w:rFonts w:ascii="Times New Roman" w:hAnsi="Times New Roman"/>
          <w:color w:val="000000" w:themeColor="text1"/>
          <w:sz w:val="24"/>
          <w:szCs w:val="24"/>
          <w:u w:val="single"/>
        </w:rPr>
        <w:t>Articles</w:t>
      </w:r>
    </w:p>
    <w:p w14:paraId="3B73FCDD" w14:textId="77777777" w:rsidR="00A713BB" w:rsidRPr="00A22B7C" w:rsidRDefault="00A713BB" w:rsidP="00A713BB">
      <w:pPr>
        <w:pStyle w:val="ListParagraph"/>
        <w:numPr>
          <w:ilvl w:val="0"/>
          <w:numId w:val="1"/>
        </w:numPr>
        <w:suppressAutoHyphens w:val="0"/>
        <w:autoSpaceDN/>
        <w:spacing w:after="0" w:line="360" w:lineRule="auto"/>
        <w:rPr>
          <w:rFonts w:ascii="Times New Roman" w:hAnsi="Times New Roman"/>
          <w:color w:val="000000" w:themeColor="text1"/>
          <w:sz w:val="24"/>
          <w:szCs w:val="24"/>
        </w:rPr>
      </w:pPr>
      <w:r w:rsidRPr="00A22B7C">
        <w:rPr>
          <w:rFonts w:ascii="Times New Roman" w:hAnsi="Times New Roman"/>
          <w:color w:val="000000" w:themeColor="text1"/>
          <w:sz w:val="24"/>
          <w:szCs w:val="24"/>
        </w:rPr>
        <w:t xml:space="preserve">Nalbandian, E., (2009). </w:t>
      </w:r>
      <w:r w:rsidRPr="00A22B7C">
        <w:rPr>
          <w:rFonts w:ascii="Times New Roman" w:hAnsi="Times New Roman"/>
          <w:i/>
          <w:iCs/>
          <w:color w:val="000000" w:themeColor="text1"/>
          <w:sz w:val="24"/>
          <w:szCs w:val="24"/>
        </w:rPr>
        <w:t xml:space="preserve">Notes of Ronal Dworkin’s Theory of Law: </w:t>
      </w:r>
      <w:proofErr w:type="spellStart"/>
      <w:r w:rsidRPr="00A22B7C">
        <w:rPr>
          <w:rFonts w:ascii="Times New Roman" w:hAnsi="Times New Roman"/>
          <w:i/>
          <w:iCs/>
          <w:color w:val="000000" w:themeColor="text1"/>
          <w:sz w:val="24"/>
          <w:szCs w:val="24"/>
        </w:rPr>
        <w:t>Mizan</w:t>
      </w:r>
      <w:proofErr w:type="spellEnd"/>
      <w:r w:rsidRPr="00A22B7C">
        <w:rPr>
          <w:rFonts w:ascii="Times New Roman" w:hAnsi="Times New Roman"/>
          <w:i/>
          <w:iCs/>
          <w:color w:val="000000" w:themeColor="text1"/>
          <w:sz w:val="24"/>
          <w:szCs w:val="24"/>
        </w:rPr>
        <w:t xml:space="preserve"> Law Review.</w:t>
      </w:r>
    </w:p>
    <w:p w14:paraId="6BB87D4E" w14:textId="77777777" w:rsidR="00A713BB" w:rsidRPr="00A22B7C" w:rsidRDefault="00A713BB" w:rsidP="00A713BB">
      <w:pPr>
        <w:pStyle w:val="ListParagraph"/>
        <w:suppressAutoHyphens w:val="0"/>
        <w:autoSpaceDN/>
        <w:spacing w:after="0" w:line="360" w:lineRule="auto"/>
        <w:rPr>
          <w:color w:val="000000" w:themeColor="text1"/>
          <w:sz w:val="24"/>
          <w:szCs w:val="24"/>
        </w:rPr>
      </w:pPr>
    </w:p>
    <w:p w14:paraId="1FABFD11" w14:textId="77777777" w:rsidR="00A713BB" w:rsidRDefault="00A713BB" w:rsidP="00A713BB">
      <w:pPr>
        <w:pStyle w:val="ListParagraph"/>
      </w:pPr>
    </w:p>
    <w:p w14:paraId="17C09669" w14:textId="77777777" w:rsidR="00194AFD" w:rsidRDefault="00194AFD"/>
    <w:sectPr w:rsidR="00194AFD">
      <w:footerReference w:type="default" r:id="rId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8F39C" w14:textId="77777777" w:rsidR="007F72DF" w:rsidRDefault="007F72DF">
      <w:pPr>
        <w:spacing w:after="0" w:line="240" w:lineRule="auto"/>
      </w:pPr>
      <w:r>
        <w:separator/>
      </w:r>
    </w:p>
  </w:endnote>
  <w:endnote w:type="continuationSeparator" w:id="0">
    <w:p w14:paraId="02985DB7" w14:textId="77777777" w:rsidR="007F72DF" w:rsidRDefault="007F7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7977558"/>
      <w:docPartObj>
        <w:docPartGallery w:val="Page Numbers (Bottom of Page)"/>
        <w:docPartUnique/>
      </w:docPartObj>
    </w:sdtPr>
    <w:sdtEndPr>
      <w:rPr>
        <w:noProof/>
      </w:rPr>
    </w:sdtEndPr>
    <w:sdtContent>
      <w:p w14:paraId="24184607" w14:textId="77777777" w:rsidR="00F617E6" w:rsidRDefault="00A713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432DA5" w14:textId="77777777" w:rsidR="00F617E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54FF2" w14:textId="77777777" w:rsidR="007F72DF" w:rsidRDefault="007F72DF">
      <w:pPr>
        <w:spacing w:after="0" w:line="240" w:lineRule="auto"/>
      </w:pPr>
      <w:r>
        <w:separator/>
      </w:r>
    </w:p>
  </w:footnote>
  <w:footnote w:type="continuationSeparator" w:id="0">
    <w:p w14:paraId="31D70D6A" w14:textId="77777777" w:rsidR="007F72DF" w:rsidRDefault="007F7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B81CB8"/>
    <w:multiLevelType w:val="hybridMultilevel"/>
    <w:tmpl w:val="5B9853FC"/>
    <w:lvl w:ilvl="0" w:tplc="299A7816">
      <w:numFmt w:val="bullet"/>
      <w:lvlText w:val=""/>
      <w:lvlJc w:val="left"/>
      <w:pPr>
        <w:ind w:left="720" w:hanging="360"/>
      </w:pPr>
      <w:rPr>
        <w:rFonts w:ascii="Symbol" w:eastAsia="DengXi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0209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AFD"/>
    <w:rsid w:val="000365B4"/>
    <w:rsid w:val="00194AFD"/>
    <w:rsid w:val="003E574F"/>
    <w:rsid w:val="003F13B3"/>
    <w:rsid w:val="007F72DF"/>
    <w:rsid w:val="009861A1"/>
    <w:rsid w:val="00A713BB"/>
    <w:rsid w:val="00D6034C"/>
    <w:rsid w:val="00D73937"/>
    <w:rsid w:val="00E36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7CBFE"/>
  <w15:chartTrackingRefBased/>
  <w15:docId w15:val="{AB100091-84A9-4489-9A39-182F1F058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3BB"/>
    <w:pPr>
      <w:suppressAutoHyphens/>
      <w:autoSpaceDN w:val="0"/>
      <w:spacing w:line="251" w:lineRule="auto"/>
    </w:pPr>
    <w:rPr>
      <w:rFonts w:ascii="Calibri" w:eastAsia="DengXian" w:hAnsi="Calibri" w:cs="Times New Roman"/>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713BB"/>
    <w:pPr>
      <w:suppressAutoHyphens w:val="0"/>
      <w:spacing w:before="100" w:after="100" w:line="240" w:lineRule="auto"/>
    </w:pPr>
    <w:rPr>
      <w:rFonts w:ascii="Times New Roman" w:eastAsia="Times New Roman" w:hAnsi="Times New Roman"/>
      <w:sz w:val="24"/>
      <w:szCs w:val="24"/>
    </w:rPr>
  </w:style>
  <w:style w:type="paragraph" w:styleId="ListParagraph">
    <w:name w:val="List Paragraph"/>
    <w:basedOn w:val="Normal"/>
    <w:uiPriority w:val="34"/>
    <w:qFormat/>
    <w:rsid w:val="00A713BB"/>
    <w:pPr>
      <w:ind w:left="720"/>
      <w:contextualSpacing/>
    </w:pPr>
  </w:style>
  <w:style w:type="character" w:styleId="Emphasis">
    <w:name w:val="Emphasis"/>
    <w:basedOn w:val="DefaultParagraphFont"/>
    <w:uiPriority w:val="20"/>
    <w:qFormat/>
    <w:rsid w:val="00A713BB"/>
    <w:rPr>
      <w:i/>
      <w:iCs/>
    </w:rPr>
  </w:style>
  <w:style w:type="paragraph" w:styleId="Footer">
    <w:name w:val="footer"/>
    <w:basedOn w:val="Normal"/>
    <w:link w:val="FooterChar"/>
    <w:uiPriority w:val="99"/>
    <w:unhideWhenUsed/>
    <w:rsid w:val="00A713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13BB"/>
    <w:rPr>
      <w:rFonts w:ascii="Calibri" w:eastAsia="DengXian" w:hAnsi="Calibri" w:cs="Times New Roman"/>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1456</Words>
  <Characters>8302</Characters>
  <Application>Microsoft Office Word</Application>
  <DocSecurity>0</DocSecurity>
  <Lines>69</Lines>
  <Paragraphs>19</Paragraphs>
  <ScaleCrop>false</ScaleCrop>
  <Company/>
  <LinksUpToDate>false</LinksUpToDate>
  <CharactersWithSpaces>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Vlasceanu</dc:creator>
  <cp:keywords/>
  <dc:description/>
  <cp:lastModifiedBy>Iuliana Vlasceanu</cp:lastModifiedBy>
  <cp:revision>9</cp:revision>
  <dcterms:created xsi:type="dcterms:W3CDTF">2023-03-10T22:43:00Z</dcterms:created>
  <dcterms:modified xsi:type="dcterms:W3CDTF">2023-03-10T22:58:00Z</dcterms:modified>
</cp:coreProperties>
</file>