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03092" w14:textId="6203C0FD" w:rsidR="00CD4E8B" w:rsidRDefault="00CD4E8B" w:rsidP="19B848D2">
      <w:pPr>
        <w:rPr>
          <w:rFonts w:ascii="Arial" w:eastAsia="Arial" w:hAnsi="Arial" w:cs="Arial"/>
          <w:b/>
          <w:bCs/>
          <w:sz w:val="40"/>
          <w:szCs w:val="40"/>
        </w:rPr>
      </w:pPr>
    </w:p>
    <w:p w14:paraId="4A5A9E71" w14:textId="31B4A5FF" w:rsidR="00CD4E8B" w:rsidRDefault="00CD4E8B" w:rsidP="19B848D2">
      <w:pPr>
        <w:rPr>
          <w:rFonts w:ascii="Arial" w:eastAsia="Arial" w:hAnsi="Arial" w:cs="Arial"/>
          <w:b/>
          <w:bCs/>
          <w:sz w:val="40"/>
          <w:szCs w:val="40"/>
        </w:rPr>
      </w:pPr>
    </w:p>
    <w:p w14:paraId="6DB04C4C" w14:textId="06386626" w:rsidR="00CD4E8B" w:rsidRDefault="00CD4E8B" w:rsidP="19B848D2">
      <w:pPr>
        <w:rPr>
          <w:rFonts w:ascii="Arial" w:eastAsia="Arial" w:hAnsi="Arial" w:cs="Arial"/>
          <w:b/>
          <w:bCs/>
          <w:sz w:val="40"/>
          <w:szCs w:val="40"/>
        </w:rPr>
      </w:pPr>
    </w:p>
    <w:p w14:paraId="4FE89D6C" w14:textId="079D7F10" w:rsidR="00CD4E8B" w:rsidRDefault="773DECAD" w:rsidP="19B848D2">
      <w:pPr>
        <w:rPr>
          <w:rFonts w:ascii="Arial" w:eastAsia="Arial" w:hAnsi="Arial" w:cs="Arial"/>
          <w:b/>
          <w:bCs/>
          <w:sz w:val="40"/>
          <w:szCs w:val="40"/>
        </w:rPr>
      </w:pPr>
      <w:r w:rsidRPr="46BFBF93">
        <w:rPr>
          <w:rFonts w:ascii="Arial" w:eastAsia="Arial" w:hAnsi="Arial" w:cs="Arial"/>
          <w:b/>
          <w:bCs/>
          <w:sz w:val="40"/>
          <w:szCs w:val="40"/>
        </w:rPr>
        <w:t xml:space="preserve">             </w:t>
      </w:r>
    </w:p>
    <w:p w14:paraId="307C7FBD" w14:textId="5E9BAE36" w:rsidR="00CD4E8B" w:rsidRDefault="00CD4E8B" w:rsidP="19B848D2">
      <w:pPr>
        <w:rPr>
          <w:rFonts w:ascii="Arial" w:eastAsia="Arial" w:hAnsi="Arial" w:cs="Arial"/>
          <w:b/>
          <w:bCs/>
          <w:sz w:val="40"/>
          <w:szCs w:val="40"/>
        </w:rPr>
      </w:pPr>
    </w:p>
    <w:p w14:paraId="2C078E63" w14:textId="33B538B6" w:rsidR="00CD4E8B" w:rsidRDefault="773DECAD" w:rsidP="19B848D2">
      <w:pPr>
        <w:rPr>
          <w:rFonts w:ascii="Arial" w:eastAsia="Arial" w:hAnsi="Arial" w:cs="Arial"/>
          <w:b/>
          <w:bCs/>
          <w:sz w:val="40"/>
          <w:szCs w:val="40"/>
        </w:rPr>
      </w:pPr>
      <w:r w:rsidRPr="46BFBF93">
        <w:rPr>
          <w:rFonts w:ascii="Arial" w:eastAsia="Arial" w:hAnsi="Arial" w:cs="Arial"/>
          <w:b/>
          <w:bCs/>
          <w:sz w:val="40"/>
          <w:szCs w:val="40"/>
        </w:rPr>
        <w:t xml:space="preserve">     Destination Management:</w:t>
      </w:r>
      <w:r w:rsidRPr="46BFBF93">
        <w:rPr>
          <w:rFonts w:ascii="Arial" w:eastAsia="Arial" w:hAnsi="Arial" w:cs="Arial"/>
          <w:sz w:val="40"/>
          <w:szCs w:val="40"/>
        </w:rPr>
        <w:t xml:space="preserve"> </w:t>
      </w:r>
      <w:r w:rsidRPr="46BFBF93">
        <w:rPr>
          <w:rFonts w:ascii="Arial" w:eastAsia="Arial" w:hAnsi="Arial" w:cs="Arial"/>
          <w:b/>
          <w:bCs/>
          <w:sz w:val="40"/>
          <w:szCs w:val="40"/>
        </w:rPr>
        <w:t>English Riviera</w:t>
      </w:r>
    </w:p>
    <w:p w14:paraId="6A34F684" w14:textId="0B3FD322" w:rsidR="57E0F52B" w:rsidRDefault="57E0F52B" w:rsidP="57E0F52B">
      <w:pPr>
        <w:rPr>
          <w:rFonts w:ascii="Arial" w:eastAsia="Arial" w:hAnsi="Arial" w:cs="Arial"/>
          <w:b/>
          <w:bCs/>
          <w:sz w:val="40"/>
          <w:szCs w:val="40"/>
        </w:rPr>
      </w:pPr>
    </w:p>
    <w:p w14:paraId="618ACE16" w14:textId="20191BB7" w:rsidR="57E0F52B" w:rsidRDefault="57E0F52B" w:rsidP="57E0F52B">
      <w:pPr>
        <w:rPr>
          <w:rFonts w:ascii="Arial" w:eastAsia="Arial" w:hAnsi="Arial" w:cs="Arial"/>
          <w:b/>
          <w:bCs/>
          <w:sz w:val="40"/>
          <w:szCs w:val="40"/>
        </w:rPr>
      </w:pPr>
    </w:p>
    <w:p w14:paraId="4B6BE264" w14:textId="1DE4A7BE" w:rsidR="57E0F52B" w:rsidRDefault="57E0F52B" w:rsidP="57E0F52B">
      <w:pPr>
        <w:rPr>
          <w:rFonts w:ascii="Arial" w:eastAsia="Arial" w:hAnsi="Arial" w:cs="Arial"/>
          <w:b/>
          <w:bCs/>
          <w:sz w:val="40"/>
          <w:szCs w:val="40"/>
        </w:rPr>
      </w:pPr>
    </w:p>
    <w:p w14:paraId="1D1703D8" w14:textId="0852F754" w:rsidR="57E0F52B" w:rsidRDefault="57E0F52B" w:rsidP="57E0F52B">
      <w:pPr>
        <w:rPr>
          <w:rFonts w:ascii="Arial" w:eastAsia="Arial" w:hAnsi="Arial" w:cs="Arial"/>
          <w:b/>
          <w:bCs/>
          <w:sz w:val="40"/>
          <w:szCs w:val="40"/>
        </w:rPr>
      </w:pPr>
    </w:p>
    <w:p w14:paraId="3D5FF8B8" w14:textId="0C203785" w:rsidR="65B3BFC6" w:rsidRDefault="65B3BFC6" w:rsidP="57E0F52B">
      <w:pPr>
        <w:rPr>
          <w:rFonts w:ascii="Arial" w:eastAsia="Arial" w:hAnsi="Arial" w:cs="Arial"/>
          <w:sz w:val="24"/>
          <w:szCs w:val="24"/>
        </w:rPr>
      </w:pPr>
      <w:r w:rsidRPr="57E0F52B">
        <w:rPr>
          <w:rFonts w:ascii="Arial" w:eastAsia="Arial" w:hAnsi="Arial" w:cs="Arial"/>
          <w:sz w:val="24"/>
          <w:szCs w:val="24"/>
        </w:rPr>
        <w:t>Student Name: Alexandra Craescu</w:t>
      </w:r>
    </w:p>
    <w:p w14:paraId="774B6AFE" w14:textId="4CED5865" w:rsidR="65B3BFC6" w:rsidRDefault="65B3BFC6" w:rsidP="57E0F52B">
      <w:pPr>
        <w:rPr>
          <w:rFonts w:ascii="Arial" w:eastAsia="Arial" w:hAnsi="Arial" w:cs="Arial"/>
          <w:sz w:val="24"/>
          <w:szCs w:val="24"/>
        </w:rPr>
      </w:pPr>
      <w:r w:rsidRPr="57E0F52B">
        <w:rPr>
          <w:rFonts w:ascii="Arial" w:eastAsia="Arial" w:hAnsi="Arial" w:cs="Arial"/>
          <w:sz w:val="24"/>
          <w:szCs w:val="24"/>
        </w:rPr>
        <w:t>Student ID: 2111926</w:t>
      </w:r>
    </w:p>
    <w:p w14:paraId="4EB42209" w14:textId="67ECD291" w:rsidR="65B3BFC6" w:rsidRDefault="65B3BFC6" w:rsidP="57E0F52B">
      <w:pPr>
        <w:rPr>
          <w:rFonts w:ascii="Arial" w:eastAsia="Arial" w:hAnsi="Arial" w:cs="Arial"/>
          <w:sz w:val="24"/>
          <w:szCs w:val="24"/>
        </w:rPr>
      </w:pPr>
      <w:r w:rsidRPr="57E0F52B">
        <w:rPr>
          <w:rFonts w:ascii="Arial" w:eastAsia="Arial" w:hAnsi="Arial" w:cs="Arial"/>
          <w:sz w:val="24"/>
          <w:szCs w:val="24"/>
        </w:rPr>
        <w:t>Module Title name:Sustainable Hospitality &amp; Tourism Management (BMIH5006)</w:t>
      </w:r>
    </w:p>
    <w:p w14:paraId="036839F5" w14:textId="036FCE58" w:rsidR="65B3BFC6" w:rsidRDefault="65B3BFC6" w:rsidP="57E0F52B">
      <w:pPr>
        <w:rPr>
          <w:rFonts w:ascii="Arial" w:eastAsia="Arial" w:hAnsi="Arial" w:cs="Arial"/>
          <w:sz w:val="24"/>
          <w:szCs w:val="24"/>
        </w:rPr>
      </w:pPr>
      <w:r w:rsidRPr="57E0F52B">
        <w:rPr>
          <w:rFonts w:ascii="Arial" w:eastAsia="Arial" w:hAnsi="Arial" w:cs="Arial"/>
          <w:sz w:val="24"/>
          <w:szCs w:val="24"/>
        </w:rPr>
        <w:t>Lecturer’s Name:Ruth Tailor-Davies</w:t>
      </w:r>
    </w:p>
    <w:p w14:paraId="0844B68A" w14:textId="06DA7AC2" w:rsidR="57E0F52B" w:rsidRDefault="57E0F52B" w:rsidP="57E0F52B">
      <w:pPr>
        <w:rPr>
          <w:rFonts w:ascii="Arial" w:eastAsia="Arial" w:hAnsi="Arial" w:cs="Arial"/>
          <w:sz w:val="24"/>
          <w:szCs w:val="24"/>
        </w:rPr>
      </w:pPr>
    </w:p>
    <w:p w14:paraId="5C359B1E" w14:textId="113D4B97" w:rsidR="57E0F52B" w:rsidRDefault="57E0F52B" w:rsidP="57E0F52B">
      <w:pPr>
        <w:rPr>
          <w:rFonts w:ascii="Arial" w:eastAsia="Arial" w:hAnsi="Arial" w:cs="Arial"/>
          <w:sz w:val="24"/>
          <w:szCs w:val="24"/>
        </w:rPr>
      </w:pPr>
    </w:p>
    <w:p w14:paraId="7BB6E633" w14:textId="3D5EA902" w:rsidR="57E0F52B" w:rsidRDefault="57E0F52B" w:rsidP="57E0F52B">
      <w:pPr>
        <w:rPr>
          <w:rFonts w:ascii="Arial" w:eastAsia="Arial" w:hAnsi="Arial" w:cs="Arial"/>
          <w:sz w:val="24"/>
          <w:szCs w:val="24"/>
        </w:rPr>
      </w:pPr>
    </w:p>
    <w:p w14:paraId="5C4F5AAA" w14:textId="2083B63A" w:rsidR="57E0F52B" w:rsidRDefault="57E0F52B" w:rsidP="57E0F52B">
      <w:pPr>
        <w:rPr>
          <w:rFonts w:ascii="Arial" w:eastAsia="Arial" w:hAnsi="Arial" w:cs="Arial"/>
          <w:sz w:val="24"/>
          <w:szCs w:val="24"/>
        </w:rPr>
      </w:pPr>
    </w:p>
    <w:p w14:paraId="3B2C2640" w14:textId="11076DE2" w:rsidR="57E0F52B" w:rsidRDefault="57E0F52B" w:rsidP="57E0F52B">
      <w:pPr>
        <w:rPr>
          <w:rFonts w:ascii="Arial" w:eastAsia="Arial" w:hAnsi="Arial" w:cs="Arial"/>
          <w:sz w:val="24"/>
          <w:szCs w:val="24"/>
        </w:rPr>
      </w:pPr>
    </w:p>
    <w:p w14:paraId="4DE7A61C" w14:textId="02C2112B" w:rsidR="57E0F52B" w:rsidRDefault="57E0F52B" w:rsidP="57E0F52B">
      <w:pPr>
        <w:rPr>
          <w:rFonts w:ascii="Arial" w:eastAsia="Arial" w:hAnsi="Arial" w:cs="Arial"/>
          <w:sz w:val="24"/>
          <w:szCs w:val="24"/>
        </w:rPr>
      </w:pPr>
    </w:p>
    <w:p w14:paraId="27C69A9B" w14:textId="1905D443" w:rsidR="57E0F52B" w:rsidRDefault="57E0F52B" w:rsidP="57E0F52B">
      <w:pPr>
        <w:rPr>
          <w:rFonts w:ascii="Arial" w:eastAsia="Arial" w:hAnsi="Arial" w:cs="Arial"/>
          <w:sz w:val="24"/>
          <w:szCs w:val="24"/>
        </w:rPr>
      </w:pPr>
    </w:p>
    <w:p w14:paraId="53DEF911" w14:textId="0596C021" w:rsidR="57E0F52B" w:rsidRDefault="57E0F52B" w:rsidP="57E0F52B">
      <w:pPr>
        <w:rPr>
          <w:rFonts w:ascii="Arial" w:eastAsia="Arial" w:hAnsi="Arial" w:cs="Arial"/>
          <w:sz w:val="24"/>
          <w:szCs w:val="24"/>
        </w:rPr>
      </w:pPr>
    </w:p>
    <w:p w14:paraId="62F43D32" w14:textId="3E488231" w:rsidR="57E0F52B" w:rsidRDefault="57E0F52B" w:rsidP="57E0F52B">
      <w:pPr>
        <w:rPr>
          <w:rFonts w:ascii="Arial" w:eastAsia="Arial" w:hAnsi="Arial" w:cs="Arial"/>
          <w:sz w:val="24"/>
          <w:szCs w:val="24"/>
        </w:rPr>
      </w:pPr>
    </w:p>
    <w:p w14:paraId="6C10C812" w14:textId="229D9999" w:rsidR="57E0F52B" w:rsidRDefault="57E0F52B" w:rsidP="57E0F52B">
      <w:pPr>
        <w:rPr>
          <w:rFonts w:ascii="Arial" w:eastAsia="Arial" w:hAnsi="Arial" w:cs="Arial"/>
          <w:sz w:val="24"/>
          <w:szCs w:val="24"/>
        </w:rPr>
      </w:pPr>
    </w:p>
    <w:p w14:paraId="7CE93DD8" w14:textId="338CF8D5" w:rsidR="57E0F52B" w:rsidRDefault="57E0F52B" w:rsidP="57E0F52B">
      <w:pPr>
        <w:rPr>
          <w:rFonts w:ascii="Arial" w:eastAsia="Arial" w:hAnsi="Arial" w:cs="Arial"/>
          <w:sz w:val="24"/>
          <w:szCs w:val="24"/>
        </w:rPr>
      </w:pPr>
    </w:p>
    <w:p w14:paraId="309669C4" w14:textId="4CC079AF" w:rsidR="27814F3F" w:rsidRDefault="27814F3F" w:rsidP="46BFBF93">
      <w:pPr>
        <w:jc w:val="both"/>
        <w:rPr>
          <w:rFonts w:ascii="Arial" w:eastAsia="Arial" w:hAnsi="Arial" w:cs="Arial"/>
          <w:sz w:val="24"/>
          <w:szCs w:val="24"/>
        </w:rPr>
      </w:pPr>
      <w:r w:rsidRPr="46BFBF93">
        <w:rPr>
          <w:rFonts w:ascii="Arial" w:eastAsia="Arial" w:hAnsi="Arial" w:cs="Arial"/>
          <w:sz w:val="24"/>
          <w:szCs w:val="24"/>
        </w:rPr>
        <w:t xml:space="preserve"> </w:t>
      </w:r>
      <w:r w:rsidRPr="46BFBF93">
        <w:rPr>
          <w:rFonts w:ascii="Arial" w:eastAsia="Arial" w:hAnsi="Arial" w:cs="Arial"/>
          <w:b/>
          <w:bCs/>
          <w:sz w:val="24"/>
          <w:szCs w:val="24"/>
        </w:rPr>
        <w:t>Introduction</w:t>
      </w:r>
    </w:p>
    <w:p w14:paraId="25FB97F0" w14:textId="1183924C" w:rsidR="57E0F52B" w:rsidRDefault="14192EE9"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 xml:space="preserve">This report will </w:t>
      </w:r>
      <w:r w:rsidR="27E2CDAA" w:rsidRPr="46BFBF93">
        <w:rPr>
          <w:rFonts w:ascii="Arial" w:eastAsia="Arial" w:hAnsi="Arial" w:cs="Arial"/>
          <w:color w:val="000000" w:themeColor="text1"/>
          <w:sz w:val="24"/>
          <w:szCs w:val="24"/>
        </w:rPr>
        <w:t>analyze</w:t>
      </w:r>
      <w:r w:rsidRPr="46BFBF93">
        <w:rPr>
          <w:rFonts w:ascii="Arial" w:eastAsia="Arial" w:hAnsi="Arial" w:cs="Arial"/>
          <w:color w:val="000000" w:themeColor="text1"/>
          <w:sz w:val="24"/>
          <w:szCs w:val="24"/>
        </w:rPr>
        <w:t xml:space="preserve"> English Riviera</w:t>
      </w:r>
      <w:r w:rsidR="7859AA90" w:rsidRPr="46BFBF93">
        <w:rPr>
          <w:rFonts w:ascii="Arial" w:eastAsia="Arial" w:hAnsi="Arial" w:cs="Arial"/>
          <w:color w:val="000000" w:themeColor="text1"/>
          <w:sz w:val="24"/>
          <w:szCs w:val="24"/>
        </w:rPr>
        <w:t>,</w:t>
      </w:r>
      <w:r w:rsidR="5C9E2247" w:rsidRPr="46BFBF93">
        <w:rPr>
          <w:rFonts w:ascii="Arial" w:eastAsia="Arial" w:hAnsi="Arial" w:cs="Arial"/>
          <w:color w:val="000000" w:themeColor="text1"/>
          <w:sz w:val="24"/>
          <w:szCs w:val="24"/>
        </w:rPr>
        <w:t>the principles of sustainable tourism in the development management plan</w:t>
      </w:r>
      <w:r w:rsidR="0DC315C2" w:rsidRPr="46BFBF93">
        <w:rPr>
          <w:rFonts w:ascii="Arial" w:eastAsia="Arial" w:hAnsi="Arial" w:cs="Arial"/>
          <w:color w:val="000000" w:themeColor="text1"/>
          <w:sz w:val="24"/>
          <w:szCs w:val="24"/>
        </w:rPr>
        <w:t>.It will evaluate principles of sustainable tourism, using the three pillars of sustainability (economic, socio-cultural and environmental).</w:t>
      </w:r>
      <w:r w:rsidR="0B9E8673" w:rsidRPr="46BFBF93">
        <w:rPr>
          <w:rFonts w:ascii="Arial" w:eastAsia="Arial" w:hAnsi="Arial" w:cs="Arial"/>
          <w:color w:val="000000" w:themeColor="text1"/>
          <w:sz w:val="24"/>
          <w:szCs w:val="24"/>
        </w:rPr>
        <w:t>Evaluate and analyze the relationship between hospitality and tourism principles, using case studies and identifying practices. Analyze the travel aspect, using Butler's life cycle model and Doxey's irridex model, and provide recommendations for future development, emphasizing sustainability. Utilize data and statistics to support evidence.</w:t>
      </w:r>
    </w:p>
    <w:p w14:paraId="19DE4A5F" w14:textId="6AB3405C" w:rsidR="3B369294" w:rsidRDefault="3B369294"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Economic sustainability occurs when a financial or non-financial activity or practise contributes to long-term financial growth while keeping the environment, community, and social aspects in mind. The primary goal of economic sustainability is to achieve a balance between economic growth and positive change for the environment and people.</w:t>
      </w:r>
    </w:p>
    <w:p w14:paraId="4D38795F" w14:textId="0BBD7F0D" w:rsidR="3B369294" w:rsidRDefault="3B369294"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The 2021 ,,De Bois Review'' recommended a new tiering system for Destination Management Organisations (DMOs) in England, focusing on the South West. The review acknowledges the benefits of longer-term marketing with funding models from Business Improvement Districts (BIDs) and Tourism Business Improvement Districts (TBIDS). The English Riviera has the highest return on investment, with the government supporting reduced fragmentation and better coordination. The English Riviera should continue working in partnership with Devon and the Great South West Tourism Partnership to strengthen collaborate.</w:t>
      </w:r>
    </w:p>
    <w:p w14:paraId="17F4443C" w14:textId="471BDDA1" w:rsidR="649E1B73" w:rsidRDefault="649E1B73" w:rsidP="46BFBF93">
      <w:pPr>
        <w:jc w:val="both"/>
        <w:rPr>
          <w:rFonts w:ascii="Arial" w:eastAsia="Arial" w:hAnsi="Arial" w:cs="Arial"/>
          <w:color w:val="000000" w:themeColor="text1"/>
          <w:sz w:val="24"/>
          <w:szCs w:val="24"/>
        </w:rPr>
      </w:pPr>
      <w:bookmarkStart w:id="0" w:name="_Int_jjzDv83l"/>
      <w:r w:rsidRPr="46BFBF93">
        <w:rPr>
          <w:rFonts w:ascii="Arial" w:eastAsia="Arial" w:hAnsi="Arial" w:cs="Arial"/>
          <w:color w:val="000000" w:themeColor="text1"/>
          <w:sz w:val="24"/>
          <w:szCs w:val="24"/>
        </w:rPr>
        <w:t>Tourism should be an attractive career choice for young people, promoting sustainable employment and reviving the visitor economy. Connecting businesses with educational establishments for work experience, career talks, and local green jobs can help relaunch the sector and recover from Covid-19 impacts. The visitor economy includes accommodation, culture, heritage, attractions, activities, events, hospitality, and tour operators. South Devon College, located in the English Riviera, can lead skills development and engagement with schools, businesses, and young people. The College's reputation for working with businesses to develop curriculum and improving links with local schools is also crucial.</w:t>
      </w:r>
      <w:bookmarkEnd w:id="0"/>
    </w:p>
    <w:p w14:paraId="542BDE85" w14:textId="67A019DE" w:rsidR="3BD4D5A0" w:rsidRDefault="3BD4D5A0"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Environmental sustainability focuses on conserving natural resources and protecting global ecosystems for health and wellbeing. It is forward-looking, meeting today's needs without compromising future generations' ability to meet their needs.</w:t>
      </w:r>
    </w:p>
    <w:p w14:paraId="5379DEC1" w14:textId="5CBB1B79" w:rsidR="3786E450" w:rsidRDefault="3786E450"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The English Riviera has been designated a UNESCO Global Geopark, boasting a unique landscape with geological features and protected wildlife. It is one of only 8 geoparks in the UK and 140 globally. The area offers nature watching, responsible outdoor activities like wild swimming and kayaking, and offers yoga sessions. Visitors can also participate in coastal clean-up events organized by Torbay Cleaner Coasts Initiative and local organizations.</w:t>
      </w:r>
    </w:p>
    <w:p w14:paraId="6E7791D6" w14:textId="2804E466" w:rsidR="0A905C43" w:rsidRDefault="0A905C43"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In 2021, consider reducing your carbon footprint by booking your next holiday or short getaway by public transport to the English Riviera. This UK seaside destination offers well-established links to national rail and coach networks, making it easy to get around Torquay, Paignton, and Brixham. The 22-mile coastline offers winding roads, flat promenades, cycling opportunities, and the famous South West Coast Path for ramblers.</w:t>
      </w:r>
    </w:p>
    <w:p w14:paraId="473C1D2F" w14:textId="20F39984" w:rsidR="5A7C5C63" w:rsidRDefault="5A7C5C63"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Berry Head Nature Reserve, a UNESCO Global Geopark and Special Area of Conservation, offers stunning natural beauty and a 400 million-year history. Its guillemot colony is protected, and visitors are prohibited from entering during breeding season. Paignton Zoo Environmental Park, part of Wild Planet Trust, supports wildlife conservation and breeding programs for rare and endangered species. With over 2,500 animals and numerous awards, the park uses waste reduction and energy-saving initiatives, including solar panels.</w:t>
      </w:r>
    </w:p>
    <w:p w14:paraId="6162A3F4" w14:textId="6FAAAB17" w:rsidR="0CEED9D0" w:rsidRDefault="0CEED9D0" w:rsidP="46BFBF93">
      <w:pPr>
        <w:jc w:val="both"/>
        <w:rPr>
          <w:rFonts w:ascii="Arial" w:eastAsia="Arial" w:hAnsi="Arial" w:cs="Arial"/>
          <w:color w:val="252525"/>
          <w:sz w:val="24"/>
          <w:szCs w:val="24"/>
        </w:rPr>
      </w:pPr>
      <w:r w:rsidRPr="46BFBF93">
        <w:rPr>
          <w:rFonts w:ascii="Arial" w:eastAsia="Arial" w:hAnsi="Arial" w:cs="Arial"/>
          <w:color w:val="252525"/>
          <w:sz w:val="24"/>
          <w:szCs w:val="24"/>
        </w:rPr>
        <w:t>The sociocultural environment encompasses trends in attitudes, behavior, and values in society, influenced by population, lifestyle, culture, tastes, customs, and traditions, and often passed down through generations.</w:t>
      </w:r>
    </w:p>
    <w:p w14:paraId="0C43D530" w14:textId="71CE17EA" w:rsidR="353BB6E4" w:rsidRDefault="353BB6E4" w:rsidP="46BFBF93">
      <w:pPr>
        <w:jc w:val="both"/>
        <w:rPr>
          <w:rFonts w:ascii="Arial" w:eastAsia="Arial" w:hAnsi="Arial" w:cs="Arial"/>
          <w:color w:val="252525"/>
          <w:sz w:val="24"/>
          <w:szCs w:val="24"/>
        </w:rPr>
      </w:pPr>
      <w:bookmarkStart w:id="1" w:name="_Int_KlYnbrA8"/>
      <w:r w:rsidRPr="46BFBF93">
        <w:rPr>
          <w:rFonts w:ascii="Arial" w:eastAsia="Arial" w:hAnsi="Arial" w:cs="Arial"/>
          <w:color w:val="252525"/>
          <w:sz w:val="24"/>
          <w:szCs w:val="24"/>
        </w:rPr>
        <w:t>To avoid low-quality visitor accommodation, it is crucial to manage accommodation change of use with Council planning policies. This includes providing temporary, emergency, and short-term residential accommodation in tourism areas, which could damage the destination's reputation and conflict with neighboring visitor-focused businesses. Supporting the transition to alternative uses complements the ambitions for remaining visitor accommodation and the visitor economy objectives. Torbay has 31,000 bedspaces, but 15,000 spaces still represent an over-supply.</w:t>
      </w:r>
      <w:bookmarkEnd w:id="1"/>
    </w:p>
    <w:p w14:paraId="7B617258" w14:textId="53B2A93E" w:rsidR="7149CB56" w:rsidRDefault="7149CB56" w:rsidP="46BFBF93">
      <w:pPr>
        <w:jc w:val="both"/>
        <w:rPr>
          <w:rFonts w:ascii="Arial" w:eastAsia="Arial" w:hAnsi="Arial" w:cs="Arial"/>
          <w:color w:val="252525"/>
          <w:sz w:val="24"/>
          <w:szCs w:val="24"/>
        </w:rPr>
      </w:pPr>
      <w:bookmarkStart w:id="2" w:name="_Int_HfHkTiC5"/>
      <w:r w:rsidRPr="46BFBF93">
        <w:rPr>
          <w:rFonts w:ascii="Arial" w:eastAsia="Arial" w:hAnsi="Arial" w:cs="Arial"/>
          <w:color w:val="252525"/>
          <w:sz w:val="24"/>
          <w:szCs w:val="24"/>
        </w:rPr>
        <w:t>Public services and open spaces contribute to visitor welcome, experience, enjoyment, and satisfaction in a destination. To grow the visitor economy year-round, service providers like Torbay Council should welcome visitor surveys and engage with relevant services to improve these "Brilliant Basics." The DMG should ensure these services are proactively engaged and improved.</w:t>
      </w:r>
      <w:bookmarkEnd w:id="2"/>
    </w:p>
    <w:p w14:paraId="74DE1BA8" w14:textId="688E872A" w:rsidR="4E92F5DB" w:rsidRDefault="4E92F5DB"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The English Riviera, with a strong history as a premier coastal resort, has a tourism sector that supports regional businesses, creates jobs, and contributes to a sense of pride and quality of life. However, the region faces challenges like Covid-19, climate crisis, and cost-of-living crises. The Destination Management Plan (DMP) aims to address these challenges by prioritizing actions and delivery tasks driven by local voices and visitor needs.</w:t>
      </w:r>
    </w:p>
    <w:p w14:paraId="7086089B" w14:textId="7C29A9B1" w:rsidR="4E92F5DB" w:rsidRDefault="4E92F5DB"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Butler's Tourism Area Life Cycle Model offers a fundamental underpinning for travel and tourism management of destinations. This linear model, using a graph, demonstrates six stages of tourism development, based on tourist number growth and time.</w:t>
      </w:r>
    </w:p>
    <w:p w14:paraId="59F9621F" w14:textId="6736CBF3" w:rsidR="4E92F5DB" w:rsidRDefault="4E92F5DB"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Butler's Tourism Area Life Cycle Model's advantages it offers tourism stakeholders straightforward theoretical direction.</w:t>
      </w:r>
    </w:p>
    <w:p w14:paraId="5FDD32A4" w14:textId="2671CD67" w:rsidR="4E92F5DB" w:rsidRDefault="4E92F5DB"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This model can be used to design the infrastructure and growth of tourism for those who are just getting started. It promotes long-term planning and critical thinking.</w:t>
      </w:r>
    </w:p>
    <w:p w14:paraId="5612112B" w14:textId="2C43C7AB" w:rsidR="4E92F5DB" w:rsidRDefault="4E92F5DB"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The English Riviera, a UK domestic leisure destination, attracts over three-quarters of visitors on holiday, with 29% of visits occurring in July and August. With a high return visitor rate of 89%, visitors stay longer but spend less than typical visitors elsewhere in England. However, the destination faces challenges due to Torbay's older visitor profile (71% aged over 55) and lower satisfaction rates for first-time visitors. To survive and grow, the English Riviera must target a broader range of market segments, focusing on first-time visitors and addressing their needs and wants.The English Riviera's growth potential is identified in three leisure segments, based on research by ERBIDCo, VisitEngland, and UK National Tourist Boards. Building on these segments over time is crucial.UK primary focus on English Riviera's domestic market for growth potential, increased marketing investment, and four-hour travel time.</w:t>
      </w:r>
    </w:p>
    <w:p w14:paraId="6DCEA25A" w14:textId="0BAD2B82" w:rsidR="4E92F5DB" w:rsidRDefault="4E92F5DB"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The following vision statement encapsulates the goals for the English Riviera:</w:t>
      </w:r>
    </w:p>
    <w:p w14:paraId="78E843FD" w14:textId="134AF169" w:rsidR="4E92F5DB" w:rsidRDefault="4E92F5DB"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It's time to revamp and relaunch the English Riviera as the top vacation destination in the UK going forward. The English Riviera is so much more than the sum of its parts. It has a distinctive history, encompasses three towns, each of which offers a distinctive beach experience, and is situated in an extraordinary natural setting.</w:t>
      </w:r>
    </w:p>
    <w:p w14:paraId="75154659" w14:textId="23348CF9" w:rsidR="4E92F5DB" w:rsidRDefault="4E92F5DB"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With the fusion of traditional and modern, future is promising. The English Riviera has to offer the best of the seashore, superb seafood, thrilling activities on and off the water, genuine cultural events and experiences, and an internationally renowned UNESCO Global Geopark status that permeates the entire visitor experience like a golden thread.</w:t>
      </w:r>
    </w:p>
    <w:p w14:paraId="79B5781E" w14:textId="59BC771B" w:rsidR="4E92F5DB" w:rsidRDefault="4E92F5DB"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This DMP is valid from 2022 to 2030 and is a policy framework document that sits under the Torbay Economic Growth Strategy 2022-2030, outlining the interventions that can assist propel the visitor destination forward. It may not encompass all that can and will happen, but it does include proposals.</w:t>
      </w:r>
    </w:p>
    <w:p w14:paraId="037BC4AE" w14:textId="705D2935" w:rsidR="4E92F5DB" w:rsidRDefault="4E92F5DB"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Will propel the destination forward by capitalising on its natural strengths, reflecting market trends and possibilities, and assisting in the creation of a more sustainable and resilient destination.</w:t>
      </w:r>
    </w:p>
    <w:p w14:paraId="59D3461D" w14:textId="4D14E2DE" w:rsidR="4E92F5DB" w:rsidRDefault="4E92F5DB"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Butler's Tourism Area Life Cycle Model, on the other hand, might be faulted for its simplicity.Without suitable knowledge and training, tourism stakeholders may not grasp this concept and, as a result, may not use it effectively.This module's linear approach does not account for unique and unaccounted for occurrences. In other words, not every destination or attraction will adhere to these stages in the same manner.</w:t>
      </w:r>
    </w:p>
    <w:p w14:paraId="3C223267" w14:textId="34B6ECC0" w:rsidR="4E92F5DB" w:rsidRDefault="4E92F5DB"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Finally, Butler's model, which was developed in 1980, fails to account for many of the intricacies of today's travel and tourist business. The most significant flaw is the repetition of allusions to sustainability.The English Riviera is an established coastal destination, but intense competition and changing</w:t>
      </w:r>
      <w:r w:rsidR="39CECEFC" w:rsidRPr="46BFBF93">
        <w:rPr>
          <w:rFonts w:ascii="Arial" w:eastAsia="Arial" w:hAnsi="Arial" w:cs="Arial"/>
          <w:color w:val="000000" w:themeColor="text1"/>
          <w:sz w:val="24"/>
          <w:szCs w:val="24"/>
        </w:rPr>
        <w:t xml:space="preserve"> </w:t>
      </w:r>
      <w:r w:rsidRPr="46BFBF93">
        <w:rPr>
          <w:rFonts w:ascii="Arial" w:eastAsia="Arial" w:hAnsi="Arial" w:cs="Arial"/>
          <w:color w:val="000000" w:themeColor="text1"/>
          <w:sz w:val="24"/>
          <w:szCs w:val="24"/>
        </w:rPr>
        <w:t>visitor markets mean there is a continual need to develop new and better experiences to drive</w:t>
      </w:r>
      <w:r w:rsidR="5EEB6493" w:rsidRPr="46BFBF93">
        <w:rPr>
          <w:rFonts w:ascii="Arial" w:eastAsia="Arial" w:hAnsi="Arial" w:cs="Arial"/>
          <w:color w:val="000000" w:themeColor="text1"/>
          <w:sz w:val="24"/>
          <w:szCs w:val="24"/>
        </w:rPr>
        <w:t xml:space="preserve"> </w:t>
      </w:r>
      <w:r w:rsidRPr="46BFBF93">
        <w:rPr>
          <w:rFonts w:ascii="Arial" w:eastAsia="Arial" w:hAnsi="Arial" w:cs="Arial"/>
          <w:color w:val="000000" w:themeColor="text1"/>
          <w:sz w:val="24"/>
          <w:szCs w:val="24"/>
        </w:rPr>
        <w:t>more visits, tackle the seasonal imbalance and increase spending and benefits for local</w:t>
      </w:r>
      <w:r w:rsidR="38E0D840" w:rsidRPr="46BFBF93">
        <w:rPr>
          <w:rFonts w:ascii="Arial" w:eastAsia="Arial" w:hAnsi="Arial" w:cs="Arial"/>
          <w:color w:val="000000" w:themeColor="text1"/>
          <w:sz w:val="24"/>
          <w:szCs w:val="24"/>
        </w:rPr>
        <w:t xml:space="preserve"> </w:t>
      </w:r>
      <w:r w:rsidRPr="46BFBF93">
        <w:rPr>
          <w:rFonts w:ascii="Arial" w:eastAsia="Arial" w:hAnsi="Arial" w:cs="Arial"/>
          <w:color w:val="000000" w:themeColor="text1"/>
          <w:sz w:val="24"/>
          <w:szCs w:val="24"/>
        </w:rPr>
        <w:t>communities and businesses.</w:t>
      </w:r>
    </w:p>
    <w:p w14:paraId="1350F750" w14:textId="7C6A41BA" w:rsidR="4E92F5DB" w:rsidRDefault="4E92F5DB"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The English Riviera faces intense competition and changing visitor markets, necessitating the development of new and better experiences to drive more visits, tackle seasonal imbalance, and increase spending for local communities and businesses. Tourism faces challenges such as sustainable development, climate crisis response, and low carbon impact. New developments should aim for zero carbon, minimized impacts, and align with Torbay's carbon neutral 2030 target. Evaluating these developments as part of business case and feasibility assessments is crucial. To emerge stronger from the pandemic, the destination must manage expectations and focus on pragmatic, deliverable, and catalytic development. The four growth priority themes are Food and Drink, On and in the Water, UNESCO Global Geopark, and Culture and Events.The DMP aims to align with Torbay's Cultural Development, Torbay Heritage Strategy, Torbay Council Outdoor Events Strategy, and the Heritage Interpretation Framework. These strategies support the delivery of cultural development, the English Riviera UNESCO Global Geopark designation, and the Torbay Story. Opportunities include focusing on thematic interventions with a single theme in each town, using the Framework and assets from previous cultural tourism development work like 'Writers on the Riviera'.Culture and events offer economic and indirect benefits to destinations, enhancing their distinctiveness and attracting new visitors. The English Riviera Cultural Tourism Strategy highlights the benefits and opportunities of these activities, aligning with the ERBID2 Business Plan and Torbay Council Outdoor Events Strategy. To strengthen the cultural offer, the Council plans significant investment over the next three years, including a critical appraisal of current programming against the DMP and thematic framework.</w:t>
      </w:r>
    </w:p>
    <w:p w14:paraId="37A93A63" w14:textId="59502ED4" w:rsidR="06964E11" w:rsidRDefault="06964E11" w:rsidP="46BFBF93">
      <w:pPr>
        <w:jc w:val="both"/>
        <w:rPr>
          <w:rFonts w:ascii="Arial" w:eastAsia="Arial" w:hAnsi="Arial" w:cs="Arial"/>
          <w:color w:val="000000" w:themeColor="text1"/>
          <w:sz w:val="24"/>
          <w:szCs w:val="24"/>
        </w:rPr>
      </w:pPr>
      <w:bookmarkStart w:id="3" w:name="_Int_uVH9ZL2L"/>
      <w:r w:rsidRPr="46BFBF93">
        <w:rPr>
          <w:rFonts w:ascii="Arial" w:eastAsia="Arial" w:hAnsi="Arial" w:cs="Arial"/>
          <w:color w:val="252525"/>
          <w:sz w:val="24"/>
          <w:szCs w:val="24"/>
        </w:rPr>
        <w:t>Doxey's 1975 Index of Tourist Irritation, also known as the Irridex model, is a four-stage theoretical model that explains host community responses to tourism development. The model suggests that unfavorable impacts of tourism can lead to irritation in the community, determined by the degree of incompatibility between residents and tourists. As tourists increase, residents' perceptions of tourism development range from euphoria to apathy, annoyance, and finally antagonism.</w:t>
      </w:r>
      <w:bookmarkEnd w:id="3"/>
    </w:p>
    <w:p w14:paraId="7F5DD781" w14:textId="32F2256E" w:rsidR="3BA81822" w:rsidRDefault="3BA81822" w:rsidP="46BFBF93">
      <w:pPr>
        <w:jc w:val="both"/>
        <w:rPr>
          <w:rFonts w:ascii="Arial" w:eastAsia="Arial" w:hAnsi="Arial" w:cs="Arial"/>
          <w:color w:val="000000" w:themeColor="text1"/>
          <w:sz w:val="24"/>
          <w:szCs w:val="24"/>
        </w:rPr>
      </w:pPr>
      <w:bookmarkStart w:id="4" w:name="_Int_JWRDY9Rn"/>
      <w:r w:rsidRPr="46BFBF93">
        <w:rPr>
          <w:rFonts w:ascii="Arial" w:eastAsia="Arial" w:hAnsi="Arial" w:cs="Arial"/>
          <w:color w:val="252525"/>
          <w:sz w:val="24"/>
          <w:szCs w:val="24"/>
        </w:rPr>
        <w:t>Fun by the Sea Families are ideal for UK families with younger children (&lt;13), multi-generational groups, and a strong affinity for England breaks. They enjoy beaches, small towns, outdoor leisure, theme parks, and family attractions. Affordable accommodation, child-friendly attractions, and fun activities are essential. Detailed information is needed to reassure and inspire these families.</w:t>
      </w:r>
      <w:bookmarkEnd w:id="4"/>
    </w:p>
    <w:p w14:paraId="6CEB1483" w14:textId="46432E40" w:rsidR="37F2CD79" w:rsidRDefault="37F2CD79"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Young Actives seek value in activities, with a short-medium term focusing on socialising and sharing experiences. They value good infrastructure, essential facilities, and affordable accommodation, making it easy to access and book.</w:t>
      </w:r>
    </w:p>
    <w:p w14:paraId="46F090AD" w14:textId="3ED3DD4D" w:rsidR="37F2CD79" w:rsidRDefault="37F2CD79" w:rsidP="46BFBF93">
      <w:pPr>
        <w:jc w:val="both"/>
        <w:rPr>
          <w:rFonts w:ascii="Arial" w:eastAsia="Arial" w:hAnsi="Arial" w:cs="Arial"/>
          <w:color w:val="000000" w:themeColor="text1"/>
          <w:sz w:val="24"/>
          <w:szCs w:val="24"/>
        </w:rPr>
      </w:pPr>
      <w:bookmarkStart w:id="5" w:name="_Int_VdTeomzX"/>
      <w:r w:rsidRPr="46BFBF93">
        <w:rPr>
          <w:rFonts w:ascii="Arial" w:eastAsia="Arial" w:hAnsi="Arial" w:cs="Arial"/>
          <w:color w:val="252525"/>
          <w:sz w:val="24"/>
          <w:szCs w:val="24"/>
        </w:rPr>
        <w:t>Cultural Explorers are UK, international, and cruise visitors aged 35+, working, and retired, seeking authentic, interesting places to explore. They enjoy year-round breaks, mid-week, and weekend trips, focusing on heritage, culture, and natural environments. They value quality local food, drink, and accommodation.</w:t>
      </w:r>
      <w:bookmarkEnd w:id="5"/>
    </w:p>
    <w:p w14:paraId="002583AD" w14:textId="537E6E03" w:rsidR="37F2CD79" w:rsidRDefault="37F2CD79"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Long term business tourism and events include regional/national association conferences and corporate meetings, including international delegates. These events offer easy access, value, quality, and flexible spaces, post-Covid-19 team building opportunities, and complement leisure tourism with a wider leisure offer and social programs.</w:t>
      </w:r>
    </w:p>
    <w:p w14:paraId="760D415D" w14:textId="54127FBB" w:rsidR="03DC65A1" w:rsidRDefault="03DC65A1"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Ovar all the Destination Mana</w:t>
      </w:r>
      <w:r w:rsidR="339053A9" w:rsidRPr="46BFBF93">
        <w:rPr>
          <w:rFonts w:ascii="Arial" w:eastAsia="Arial" w:hAnsi="Arial" w:cs="Arial"/>
          <w:color w:val="000000" w:themeColor="text1"/>
          <w:sz w:val="24"/>
          <w:szCs w:val="24"/>
        </w:rPr>
        <w:t xml:space="preserve">gement of the English Riviera </w:t>
      </w:r>
      <w:r w:rsidR="282D2A22" w:rsidRPr="46BFBF93">
        <w:rPr>
          <w:rFonts w:ascii="Arial" w:eastAsia="Arial" w:hAnsi="Arial" w:cs="Arial"/>
          <w:color w:val="000000" w:themeColor="text1"/>
          <w:sz w:val="24"/>
          <w:szCs w:val="24"/>
        </w:rPr>
        <w:t>it is one of the most beautiful destinations not only for what it offers to people but also for what it offers. It embraces both the communion with nature and the guest requirements,it's a sustainable hospitality.</w:t>
      </w:r>
      <w:r w:rsidR="2BC044E5" w:rsidRPr="46BFBF93">
        <w:rPr>
          <w:rFonts w:ascii="Arial" w:eastAsia="Arial" w:hAnsi="Arial" w:cs="Arial"/>
          <w:color w:val="000000" w:themeColor="text1"/>
          <w:sz w:val="24"/>
          <w:szCs w:val="24"/>
        </w:rPr>
        <w:t xml:space="preserve"> </w:t>
      </w:r>
      <w:r w:rsidR="36746209" w:rsidRPr="46BFBF93">
        <w:rPr>
          <w:rFonts w:ascii="Arial" w:eastAsia="Arial" w:hAnsi="Arial" w:cs="Arial"/>
          <w:color w:val="000000" w:themeColor="text1"/>
          <w:sz w:val="24"/>
          <w:szCs w:val="24"/>
        </w:rPr>
        <w:t>UNESCO Global Geopark in UK offers unique landscape, geological features, protected wildlife, nature watching, responsible outdoor activities, yoga, and coastal clean-up events.</w:t>
      </w:r>
      <w:r w:rsidR="02E6353D" w:rsidRPr="46BFBF93">
        <w:rPr>
          <w:rFonts w:ascii="Arial" w:eastAsia="Arial" w:hAnsi="Arial" w:cs="Arial"/>
          <w:color w:val="000000" w:themeColor="text1"/>
          <w:sz w:val="24"/>
          <w:szCs w:val="24"/>
        </w:rPr>
        <w:t>Focus on thematic interventions with a single theme in each town, using framework and assets from cultural tourism development work like 'Writers on the Riviera'. Culture and events enhance destinations' distinctiveness and attract new visitors, offering economic and indirect benefits.</w:t>
      </w:r>
      <w:r w:rsidR="47367706" w:rsidRPr="46BFBF93">
        <w:rPr>
          <w:rFonts w:ascii="Arial" w:eastAsia="Arial" w:hAnsi="Arial" w:cs="Arial"/>
          <w:color w:val="000000" w:themeColor="text1"/>
          <w:sz w:val="24"/>
          <w:szCs w:val="24"/>
        </w:rPr>
        <w:t xml:space="preserve"> The English Riviera boasts a unique history, three towns with distinct beach experiences, and an extraordinary natural setting, making it a multifaceted destination.</w:t>
      </w:r>
      <w:r w:rsidR="0A7F0DE2" w:rsidRPr="46BFBF93">
        <w:rPr>
          <w:rFonts w:ascii="Arial" w:eastAsia="Arial" w:hAnsi="Arial" w:cs="Arial"/>
          <w:color w:val="000000" w:themeColor="text1"/>
          <w:sz w:val="24"/>
          <w:szCs w:val="24"/>
        </w:rPr>
        <w:t xml:space="preserve"> The English Riviera is a top UK vacation destination.</w:t>
      </w:r>
    </w:p>
    <w:p w14:paraId="09C62B49" w14:textId="2DDDC26F" w:rsidR="46BFBF93" w:rsidRDefault="46BFBF93" w:rsidP="46BFBF93">
      <w:pPr>
        <w:jc w:val="both"/>
        <w:rPr>
          <w:rFonts w:ascii="Arial" w:eastAsia="Arial" w:hAnsi="Arial" w:cs="Arial"/>
          <w:color w:val="000000" w:themeColor="text1"/>
          <w:sz w:val="24"/>
          <w:szCs w:val="24"/>
        </w:rPr>
      </w:pPr>
    </w:p>
    <w:p w14:paraId="2A96DFCF" w14:textId="5C73C60A" w:rsidR="46BFBF93" w:rsidRDefault="46BFBF93" w:rsidP="46BFBF93">
      <w:pPr>
        <w:jc w:val="both"/>
        <w:rPr>
          <w:rFonts w:ascii="Arial" w:eastAsia="Arial" w:hAnsi="Arial" w:cs="Arial"/>
          <w:color w:val="000000" w:themeColor="text1"/>
          <w:sz w:val="24"/>
          <w:szCs w:val="24"/>
        </w:rPr>
      </w:pPr>
    </w:p>
    <w:p w14:paraId="37B38234" w14:textId="7299EB5B" w:rsidR="46BFBF93" w:rsidRDefault="46BFBF93" w:rsidP="46BFBF93">
      <w:pPr>
        <w:jc w:val="both"/>
        <w:rPr>
          <w:rFonts w:ascii="Arial" w:eastAsia="Arial" w:hAnsi="Arial" w:cs="Arial"/>
          <w:color w:val="000000" w:themeColor="text1"/>
          <w:sz w:val="24"/>
          <w:szCs w:val="24"/>
        </w:rPr>
      </w:pPr>
    </w:p>
    <w:p w14:paraId="03AE3187" w14:textId="1CAC9E96" w:rsidR="46BFBF93" w:rsidRDefault="46BFBF93" w:rsidP="46BFBF93">
      <w:pPr>
        <w:jc w:val="both"/>
        <w:rPr>
          <w:rFonts w:ascii="Arial" w:eastAsia="Arial" w:hAnsi="Arial" w:cs="Arial"/>
          <w:color w:val="000000" w:themeColor="text1"/>
          <w:sz w:val="24"/>
          <w:szCs w:val="24"/>
        </w:rPr>
      </w:pPr>
    </w:p>
    <w:p w14:paraId="56E64A77" w14:textId="51147439" w:rsidR="46BFBF93" w:rsidRDefault="46BFBF93" w:rsidP="46BFBF93">
      <w:pPr>
        <w:jc w:val="both"/>
        <w:rPr>
          <w:rFonts w:ascii="Arial" w:eastAsia="Arial" w:hAnsi="Arial" w:cs="Arial"/>
          <w:color w:val="000000" w:themeColor="text1"/>
          <w:sz w:val="24"/>
          <w:szCs w:val="24"/>
        </w:rPr>
      </w:pPr>
    </w:p>
    <w:p w14:paraId="1DA14A4D" w14:textId="5051A355" w:rsidR="46BFBF93" w:rsidRDefault="46BFBF93" w:rsidP="46BFBF93">
      <w:pPr>
        <w:jc w:val="both"/>
        <w:rPr>
          <w:rFonts w:ascii="Arial" w:eastAsia="Arial" w:hAnsi="Arial" w:cs="Arial"/>
          <w:color w:val="000000" w:themeColor="text1"/>
          <w:sz w:val="24"/>
          <w:szCs w:val="24"/>
        </w:rPr>
      </w:pPr>
    </w:p>
    <w:p w14:paraId="2BBE4553" w14:textId="3DFC1874" w:rsidR="46BFBF93" w:rsidRDefault="46BFBF93" w:rsidP="46BFBF93">
      <w:pPr>
        <w:jc w:val="both"/>
        <w:rPr>
          <w:rFonts w:ascii="Arial" w:eastAsia="Arial" w:hAnsi="Arial" w:cs="Arial"/>
          <w:color w:val="000000" w:themeColor="text1"/>
          <w:sz w:val="24"/>
          <w:szCs w:val="24"/>
        </w:rPr>
      </w:pPr>
    </w:p>
    <w:p w14:paraId="5A4E537F" w14:textId="2BC6481B" w:rsidR="46BFBF93" w:rsidRDefault="46BFBF93" w:rsidP="46BFBF93">
      <w:pPr>
        <w:jc w:val="both"/>
        <w:rPr>
          <w:rFonts w:ascii="Arial" w:eastAsia="Arial" w:hAnsi="Arial" w:cs="Arial"/>
          <w:color w:val="000000" w:themeColor="text1"/>
          <w:sz w:val="24"/>
          <w:szCs w:val="24"/>
        </w:rPr>
      </w:pPr>
    </w:p>
    <w:p w14:paraId="2F138F3B" w14:textId="04E35B64" w:rsidR="46BFBF93" w:rsidRDefault="46BFBF93" w:rsidP="46BFBF93">
      <w:pPr>
        <w:jc w:val="both"/>
        <w:rPr>
          <w:rFonts w:ascii="Arial" w:eastAsia="Arial" w:hAnsi="Arial" w:cs="Arial"/>
          <w:color w:val="000000" w:themeColor="text1"/>
          <w:sz w:val="24"/>
          <w:szCs w:val="24"/>
        </w:rPr>
      </w:pPr>
    </w:p>
    <w:p w14:paraId="2F9EE57D" w14:textId="46B01629" w:rsidR="46BFBF93" w:rsidRDefault="46BFBF93" w:rsidP="46BFBF93">
      <w:pPr>
        <w:jc w:val="both"/>
        <w:rPr>
          <w:rFonts w:ascii="Arial" w:eastAsia="Arial" w:hAnsi="Arial" w:cs="Arial"/>
          <w:color w:val="000000" w:themeColor="text1"/>
          <w:sz w:val="24"/>
          <w:szCs w:val="24"/>
        </w:rPr>
      </w:pPr>
    </w:p>
    <w:p w14:paraId="23CD70A7" w14:textId="7CA1F668" w:rsidR="46BFBF93" w:rsidRDefault="46BFBF93" w:rsidP="46BFBF93">
      <w:pPr>
        <w:jc w:val="both"/>
        <w:rPr>
          <w:rFonts w:ascii="Arial" w:eastAsia="Arial" w:hAnsi="Arial" w:cs="Arial"/>
          <w:color w:val="000000" w:themeColor="text1"/>
          <w:sz w:val="24"/>
          <w:szCs w:val="24"/>
        </w:rPr>
      </w:pPr>
    </w:p>
    <w:p w14:paraId="6B327477" w14:textId="51460541" w:rsidR="46BFBF93" w:rsidRDefault="46BFBF93" w:rsidP="46BFBF93">
      <w:pPr>
        <w:jc w:val="both"/>
        <w:rPr>
          <w:rFonts w:ascii="Arial" w:eastAsia="Arial" w:hAnsi="Arial" w:cs="Arial"/>
          <w:color w:val="000000" w:themeColor="text1"/>
          <w:sz w:val="24"/>
          <w:szCs w:val="24"/>
        </w:rPr>
      </w:pPr>
    </w:p>
    <w:p w14:paraId="4746C2B6" w14:textId="3D238200" w:rsidR="46BFBF93" w:rsidRDefault="46BFBF93" w:rsidP="46BFBF93">
      <w:pPr>
        <w:jc w:val="both"/>
        <w:rPr>
          <w:rFonts w:ascii="Arial" w:eastAsia="Arial" w:hAnsi="Arial" w:cs="Arial"/>
          <w:color w:val="000000" w:themeColor="text1"/>
          <w:sz w:val="24"/>
          <w:szCs w:val="24"/>
        </w:rPr>
      </w:pPr>
    </w:p>
    <w:p w14:paraId="451F3703" w14:textId="4C18DD26" w:rsidR="46BFBF93" w:rsidRDefault="46BFBF93" w:rsidP="46BFBF93">
      <w:pPr>
        <w:jc w:val="both"/>
        <w:rPr>
          <w:rFonts w:ascii="Arial" w:eastAsia="Arial" w:hAnsi="Arial" w:cs="Arial"/>
          <w:color w:val="000000" w:themeColor="text1"/>
          <w:sz w:val="24"/>
          <w:szCs w:val="24"/>
        </w:rPr>
      </w:pPr>
    </w:p>
    <w:p w14:paraId="68ACE9C7" w14:textId="69CAC452" w:rsidR="46BFBF93" w:rsidRDefault="46BFBF93" w:rsidP="46BFBF93">
      <w:pPr>
        <w:jc w:val="both"/>
        <w:rPr>
          <w:rFonts w:ascii="Arial" w:eastAsia="Arial" w:hAnsi="Arial" w:cs="Arial"/>
          <w:color w:val="000000" w:themeColor="text1"/>
          <w:sz w:val="24"/>
          <w:szCs w:val="24"/>
        </w:rPr>
      </w:pPr>
    </w:p>
    <w:p w14:paraId="190D5322" w14:textId="7363D1BD" w:rsidR="3109D489" w:rsidRDefault="3109D489"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Reference</w:t>
      </w:r>
    </w:p>
    <w:p w14:paraId="0D845B78" w14:textId="38121EC7" w:rsidR="46BFBF93" w:rsidRDefault="46BFBF93" w:rsidP="46BFBF93">
      <w:pPr>
        <w:jc w:val="both"/>
        <w:rPr>
          <w:rFonts w:ascii="Arial" w:eastAsia="Arial" w:hAnsi="Arial" w:cs="Arial"/>
          <w:color w:val="000000" w:themeColor="text1"/>
          <w:sz w:val="24"/>
          <w:szCs w:val="24"/>
        </w:rPr>
      </w:pPr>
    </w:p>
    <w:p w14:paraId="0A6FE501" w14:textId="679118CC" w:rsidR="3109D489" w:rsidRDefault="00AD0CB5" w:rsidP="46BFBF93">
      <w:pPr>
        <w:jc w:val="both"/>
        <w:rPr>
          <w:rFonts w:ascii="Arial" w:eastAsia="Arial" w:hAnsi="Arial" w:cs="Arial"/>
          <w:color w:val="000000" w:themeColor="text1"/>
          <w:sz w:val="24"/>
          <w:szCs w:val="24"/>
        </w:rPr>
      </w:pPr>
      <w:hyperlink r:id="rId5">
        <w:r w:rsidR="3109D489" w:rsidRPr="46BFBF93">
          <w:rPr>
            <w:rStyle w:val="Hyperlink"/>
            <w:rFonts w:ascii="Arial" w:eastAsia="Arial" w:hAnsi="Arial" w:cs="Arial"/>
            <w:sz w:val="24"/>
            <w:szCs w:val="24"/>
          </w:rPr>
          <w:t>https://www.englishriviera.co.uk/dbimgs/Destination%20Management%20Plan%2022-30_Final.pdf</w:t>
        </w:r>
      </w:hyperlink>
    </w:p>
    <w:p w14:paraId="67BB020C" w14:textId="355ACE3A" w:rsidR="3109D489" w:rsidRDefault="00AD0CB5" w:rsidP="46BFBF93">
      <w:pPr>
        <w:pStyle w:val="ListParagraph"/>
        <w:numPr>
          <w:ilvl w:val="0"/>
          <w:numId w:val="1"/>
        </w:numPr>
        <w:jc w:val="both"/>
      </w:pPr>
      <w:hyperlink r:id="rId6">
        <w:r w:rsidR="3109D489" w:rsidRPr="46BFBF93">
          <w:rPr>
            <w:rStyle w:val="Hyperlink"/>
            <w:rFonts w:ascii="Arial" w:eastAsia="Arial" w:hAnsi="Arial" w:cs="Arial"/>
            <w:sz w:val="24"/>
            <w:szCs w:val="24"/>
          </w:rPr>
          <w:t>https://www.englishriviera.co.uk/blog/read/2021/01/sustainable-travel-ideas-on-the-english-riviera-b63</w:t>
        </w:r>
      </w:hyperlink>
    </w:p>
    <w:bookmarkStart w:id="6" w:name="_Int_mbAZfICT"/>
    <w:p w14:paraId="026DAB03" w14:textId="3FB34027" w:rsidR="04DE4C88" w:rsidRDefault="00AD0CB5" w:rsidP="46BFBF93">
      <w:pPr>
        <w:pStyle w:val="ListParagraph"/>
        <w:numPr>
          <w:ilvl w:val="0"/>
          <w:numId w:val="1"/>
        </w:numPr>
        <w:jc w:val="both"/>
      </w:pPr>
      <w:r>
        <w:fldChar w:fldCharType="begin"/>
      </w:r>
      <w:r>
        <w:instrText>HYPERLINK "https://inv</w:instrText>
      </w:r>
      <w:r>
        <w:instrText>estintorbay.com/sectors/tourism-leisure/destination-management/" \h</w:instrText>
      </w:r>
      <w:r>
        <w:fldChar w:fldCharType="separate"/>
      </w:r>
      <w:r w:rsidR="04DE4C88" w:rsidRPr="46BFBF93">
        <w:rPr>
          <w:rStyle w:val="Hyperlink"/>
          <w:rFonts w:ascii="Arial" w:eastAsia="Arial" w:hAnsi="Arial" w:cs="Arial"/>
          <w:sz w:val="24"/>
          <w:szCs w:val="24"/>
        </w:rPr>
        <w:t>https://investintorbay.com/sectors/tourism-leisure/destination-management/</w:t>
      </w:r>
      <w:r>
        <w:rPr>
          <w:rStyle w:val="Hyperlink"/>
          <w:rFonts w:ascii="Arial" w:eastAsia="Arial" w:hAnsi="Arial" w:cs="Arial"/>
          <w:sz w:val="24"/>
          <w:szCs w:val="24"/>
        </w:rPr>
        <w:fldChar w:fldCharType="end"/>
      </w:r>
      <w:bookmarkEnd w:id="6"/>
    </w:p>
    <w:bookmarkStart w:id="7" w:name="_Int_FLSiXGva"/>
    <w:p w14:paraId="57432705" w14:textId="0D024918" w:rsidR="15A59AAB" w:rsidRDefault="00AD0CB5" w:rsidP="46BFBF93">
      <w:pPr>
        <w:pStyle w:val="ListParagraph"/>
        <w:numPr>
          <w:ilvl w:val="0"/>
          <w:numId w:val="1"/>
        </w:numPr>
        <w:jc w:val="both"/>
        <w:rPr>
          <w:rFonts w:ascii="Arial" w:eastAsia="Arial" w:hAnsi="Arial" w:cs="Arial"/>
          <w:color w:val="000000" w:themeColor="text1"/>
          <w:sz w:val="24"/>
          <w:szCs w:val="24"/>
        </w:rPr>
      </w:pPr>
      <w:r>
        <w:fldChar w:fldCharType="begin"/>
      </w:r>
      <w:r>
        <w:instrText>HYPERLINK "https://www.prysmiangroup.com/en/insight/sustainability/economic-</w:instrText>
      </w:r>
      <w:r>
        <w:instrText>sustainability-what-is-it" \l ":~:text=Economic%20sustainability%20refers%20to%20practices,on%20the%20environment%20and%20people" \h</w:instrText>
      </w:r>
      <w:r>
        <w:fldChar w:fldCharType="separate"/>
      </w:r>
      <w:r w:rsidR="15A59AAB" w:rsidRPr="46BFBF93">
        <w:rPr>
          <w:rStyle w:val="Hyperlink"/>
          <w:rFonts w:ascii="Arial" w:eastAsia="Arial" w:hAnsi="Arial" w:cs="Arial"/>
          <w:sz w:val="24"/>
          <w:szCs w:val="24"/>
        </w:rPr>
        <w:t>https://www.prysmiangroup.com/en/insight/sustainability/economic-sustainability-what-is-it#:~:text=Economic%20sustainability%20refers%20to%20practices,on%20the%20environment%20and%20people</w:t>
      </w:r>
      <w:r>
        <w:rPr>
          <w:rStyle w:val="Hyperlink"/>
          <w:rFonts w:ascii="Arial" w:eastAsia="Arial" w:hAnsi="Arial" w:cs="Arial"/>
          <w:sz w:val="24"/>
          <w:szCs w:val="24"/>
        </w:rPr>
        <w:fldChar w:fldCharType="end"/>
      </w:r>
      <w:r w:rsidR="15A59AAB" w:rsidRPr="46BFBF93">
        <w:rPr>
          <w:rFonts w:ascii="Arial" w:eastAsia="Arial" w:hAnsi="Arial" w:cs="Arial"/>
          <w:sz w:val="24"/>
          <w:szCs w:val="24"/>
        </w:rPr>
        <w:t xml:space="preserve">. </w:t>
      </w:r>
      <w:bookmarkEnd w:id="7"/>
    </w:p>
    <w:p w14:paraId="1F63602C" w14:textId="5E90FD5F" w:rsidR="366F3707" w:rsidRDefault="00AD0CB5" w:rsidP="46BFBF93">
      <w:pPr>
        <w:pStyle w:val="ListParagraph"/>
        <w:numPr>
          <w:ilvl w:val="0"/>
          <w:numId w:val="1"/>
        </w:numPr>
        <w:jc w:val="both"/>
      </w:pPr>
      <w:hyperlink r:id="rId7">
        <w:r w:rsidR="366F3707" w:rsidRPr="46BFBF93">
          <w:rPr>
            <w:rStyle w:val="Hyperlink"/>
            <w:rFonts w:ascii="Arial" w:eastAsia="Arial" w:hAnsi="Arial" w:cs="Arial"/>
            <w:sz w:val="24"/>
            <w:szCs w:val="24"/>
          </w:rPr>
          <w:t>https://sphera.com/glossary/what-is-environmental-sustainability/</w:t>
        </w:r>
      </w:hyperlink>
    </w:p>
    <w:bookmarkStart w:id="8" w:name="_Int_EkE8q450"/>
    <w:p w14:paraId="58733208" w14:textId="4E201578" w:rsidR="13557034" w:rsidRDefault="00AD0CB5" w:rsidP="46BFBF93">
      <w:pPr>
        <w:pStyle w:val="ListParagraph"/>
        <w:numPr>
          <w:ilvl w:val="0"/>
          <w:numId w:val="1"/>
        </w:numPr>
        <w:jc w:val="both"/>
      </w:pPr>
      <w:r>
        <w:fldChar w:fldCharType="begin"/>
      </w:r>
      <w:r>
        <w:instrText>HYPERLINK "https://penpoin.com/sociocultural-environment/" \h</w:instrText>
      </w:r>
      <w:r>
        <w:fldChar w:fldCharType="separate"/>
      </w:r>
      <w:r w:rsidR="13557034" w:rsidRPr="46BFBF93">
        <w:rPr>
          <w:rStyle w:val="Hyperlink"/>
          <w:rFonts w:ascii="Arial" w:eastAsia="Arial" w:hAnsi="Arial" w:cs="Arial"/>
          <w:sz w:val="24"/>
          <w:szCs w:val="24"/>
        </w:rPr>
        <w:t>https://penpoin.com/sociocultural-environment/</w:t>
      </w:r>
      <w:r>
        <w:rPr>
          <w:rStyle w:val="Hyperlink"/>
          <w:rFonts w:ascii="Arial" w:eastAsia="Arial" w:hAnsi="Arial" w:cs="Arial"/>
          <w:sz w:val="24"/>
          <w:szCs w:val="24"/>
        </w:rPr>
        <w:fldChar w:fldCharType="end"/>
      </w:r>
      <w:bookmarkEnd w:id="8"/>
    </w:p>
    <w:p w14:paraId="2A3643A0" w14:textId="72869D10" w:rsidR="4B62A9D3" w:rsidRDefault="4B62A9D3" w:rsidP="46BFBF93">
      <w:pPr>
        <w:pStyle w:val="ListParagraph"/>
        <w:numPr>
          <w:ilvl w:val="0"/>
          <w:numId w:val="1"/>
        </w:numPr>
        <w:jc w:val="both"/>
      </w:pPr>
      <w:r w:rsidRPr="46BFBF93">
        <w:rPr>
          <w:rFonts w:ascii="Arial" w:eastAsia="Arial" w:hAnsi="Arial" w:cs="Arial"/>
        </w:rPr>
        <w:t>Residents’ Perception of Tourism: A Critical Theoretical and Methodological Review</w:t>
      </w:r>
      <w:r w:rsidRPr="46BFBF93">
        <w:rPr>
          <w:rFonts w:ascii="Arial" w:eastAsia="Arial" w:hAnsi="Arial" w:cs="Arial"/>
          <w:sz w:val="24"/>
          <w:szCs w:val="24"/>
        </w:rPr>
        <w:t>,2.1 Doxey’s Irridex :</w:t>
      </w:r>
      <w:hyperlink r:id="rId8">
        <w:r w:rsidRPr="46BFBF93">
          <w:rPr>
            <w:rStyle w:val="Hyperlink"/>
            <w:rFonts w:ascii="Arial" w:eastAsia="Arial" w:hAnsi="Arial" w:cs="Arial"/>
            <w:sz w:val="24"/>
            <w:szCs w:val="24"/>
          </w:rPr>
          <w:t>https://www.redalyc.org/pdf/104/10415104.pdf</w:t>
        </w:r>
      </w:hyperlink>
    </w:p>
    <w:p w14:paraId="5FF69F32" w14:textId="3E23E0E9" w:rsidR="46BFBF93" w:rsidRDefault="46BFBF93" w:rsidP="46BFBF93">
      <w:pPr>
        <w:jc w:val="both"/>
        <w:rPr>
          <w:rFonts w:ascii="Arial" w:eastAsia="Arial" w:hAnsi="Arial" w:cs="Arial"/>
          <w:sz w:val="24"/>
          <w:szCs w:val="24"/>
        </w:rPr>
      </w:pPr>
    </w:p>
    <w:p w14:paraId="431EA0DB" w14:textId="103B22BC" w:rsidR="46BFBF93" w:rsidRDefault="46BFBF93" w:rsidP="46BFBF93">
      <w:pPr>
        <w:jc w:val="both"/>
        <w:rPr>
          <w:rFonts w:ascii="Arial" w:eastAsia="Arial" w:hAnsi="Arial" w:cs="Arial"/>
          <w:sz w:val="24"/>
          <w:szCs w:val="24"/>
        </w:rPr>
      </w:pPr>
    </w:p>
    <w:p w14:paraId="7AD2594D" w14:textId="28122885" w:rsidR="46BFBF93" w:rsidRDefault="46BFBF93" w:rsidP="46BFBF93">
      <w:pPr>
        <w:jc w:val="both"/>
        <w:rPr>
          <w:rFonts w:ascii="Arial" w:eastAsia="Arial" w:hAnsi="Arial" w:cs="Arial"/>
          <w:sz w:val="24"/>
          <w:szCs w:val="24"/>
        </w:rPr>
      </w:pPr>
    </w:p>
    <w:p w14:paraId="4227B7D4" w14:textId="164977DD" w:rsidR="46BFBF93" w:rsidRDefault="46BFBF93" w:rsidP="46BFBF93">
      <w:pPr>
        <w:jc w:val="both"/>
        <w:rPr>
          <w:rFonts w:ascii="Arial" w:eastAsia="Arial" w:hAnsi="Arial" w:cs="Arial"/>
          <w:sz w:val="24"/>
          <w:szCs w:val="24"/>
        </w:rPr>
      </w:pPr>
    </w:p>
    <w:p w14:paraId="578A933C" w14:textId="542B2A3A" w:rsidR="46BFBF93" w:rsidRDefault="46BFBF93" w:rsidP="46BFBF93">
      <w:pPr>
        <w:jc w:val="both"/>
        <w:rPr>
          <w:rFonts w:ascii="Arial" w:eastAsia="Arial" w:hAnsi="Arial" w:cs="Arial"/>
          <w:sz w:val="24"/>
          <w:szCs w:val="24"/>
        </w:rPr>
      </w:pPr>
    </w:p>
    <w:p w14:paraId="4DCC88FE" w14:textId="3FB9765F" w:rsidR="46BFBF93" w:rsidRDefault="46BFBF93" w:rsidP="46BFBF93">
      <w:pPr>
        <w:jc w:val="both"/>
        <w:rPr>
          <w:rFonts w:ascii="Arial" w:eastAsia="Arial" w:hAnsi="Arial" w:cs="Arial"/>
          <w:sz w:val="24"/>
          <w:szCs w:val="24"/>
        </w:rPr>
      </w:pPr>
    </w:p>
    <w:p w14:paraId="6B72B53F" w14:textId="0DA5759D" w:rsidR="46BFBF93" w:rsidRDefault="46BFBF93" w:rsidP="46BFBF93">
      <w:pPr>
        <w:jc w:val="both"/>
        <w:rPr>
          <w:rFonts w:ascii="Arial" w:eastAsia="Arial" w:hAnsi="Arial" w:cs="Arial"/>
          <w:color w:val="000000" w:themeColor="text1"/>
          <w:sz w:val="24"/>
          <w:szCs w:val="24"/>
        </w:rPr>
      </w:pPr>
    </w:p>
    <w:p w14:paraId="4EB6E7B9" w14:textId="0DF73E1F" w:rsidR="19B848D2" w:rsidRDefault="64B11600" w:rsidP="46BFBF93">
      <w:pPr>
        <w:jc w:val="both"/>
        <w:rPr>
          <w:rFonts w:ascii="Arial" w:eastAsia="Arial" w:hAnsi="Arial" w:cs="Arial"/>
          <w:color w:val="000000" w:themeColor="text1"/>
          <w:sz w:val="24"/>
          <w:szCs w:val="24"/>
        </w:rPr>
      </w:pPr>
      <w:r w:rsidRPr="46BFBF93">
        <w:rPr>
          <w:rFonts w:ascii="Arial" w:eastAsia="Arial" w:hAnsi="Arial" w:cs="Arial"/>
          <w:color w:val="000000" w:themeColor="text1"/>
          <w:sz w:val="24"/>
          <w:szCs w:val="24"/>
        </w:rPr>
        <w:t xml:space="preserve"> </w:t>
      </w:r>
    </w:p>
    <w:p w14:paraId="5DA18B54" w14:textId="3882A74D" w:rsidR="19B848D2" w:rsidRDefault="19B848D2" w:rsidP="46BFBF93">
      <w:pPr>
        <w:rPr>
          <w:rFonts w:ascii="Arial" w:eastAsia="Arial" w:hAnsi="Arial" w:cs="Arial"/>
          <w:color w:val="000000" w:themeColor="text1"/>
          <w:sz w:val="24"/>
          <w:szCs w:val="24"/>
        </w:rPr>
      </w:pPr>
    </w:p>
    <w:sectPr w:rsidR="19B848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mbAZfICT" int2:invalidationBookmarkName="" int2:hashCode="ABVLoEA5GAK35W" int2:id="w2wW2trW">
      <int2:state int2:value="Rejected" int2:type="WordDesignerDefaultAnnotation"/>
    </int2:bookmark>
    <int2:bookmark int2:bookmarkName="_Int_EkE8q450" int2:invalidationBookmarkName="" int2:hashCode="YzXku/K4gl82AP" int2:id="NPNfN36M">
      <int2:state int2:value="Rejected" int2:type="WordDesignerDefaultAnnotation"/>
    </int2:bookmark>
    <int2:bookmark int2:bookmarkName="_Int_jjzDv83l" int2:invalidationBookmarkName="" int2:hashCode="Mx/Hm5IRoxYORX" int2:id="QUTJMtbe">
      <int2:state int2:value="Rejected" int2:type="WordDesignerDefaultAnnotation"/>
    </int2:bookmark>
    <int2:bookmark int2:bookmarkName="_Int_FLSiXGva" int2:invalidationBookmarkName="" int2:hashCode="I6zoMC+ynGvk3n" int2:id="j4VrzBMu">
      <int2:state int2:value="Rejected" int2:type="WordDesignerDefaultAnnotation"/>
    </int2:bookmark>
    <int2:bookmark int2:bookmarkName="_Int_VdTeomzX" int2:invalidationBookmarkName="" int2:hashCode="FESxxVw+05G0dK" int2:id="sD4AAhVO">
      <int2:state int2:value="Rejected" int2:type="WordDesignerDefaultAnnotation"/>
    </int2:bookmark>
    <int2:bookmark int2:bookmarkName="_Int_KlYnbrA8" int2:invalidationBookmarkName="" int2:hashCode="JnNQGw4xr0Gumm" int2:id="eY3Mzvft">
      <int2:state int2:value="Rejected" int2:type="WordDesignerDefaultAnnotation"/>
    </int2:bookmark>
    <int2:bookmark int2:bookmarkName="_Int_uVH9ZL2L" int2:invalidationBookmarkName="" int2:hashCode="+haiWY0K1t/nnS" int2:id="xDoq9efY">
      <int2:state int2:value="Rejected" int2:type="WordDesignerDefaultAnnotation"/>
    </int2:bookmark>
    <int2:bookmark int2:bookmarkName="_Int_JWRDY9Rn" int2:invalidationBookmarkName="" int2:hashCode="mi/kcKj5MrMVAS" int2:id="PPu0P1DM">
      <int2:state int2:value="Rejected" int2:type="WordDesignerDefaultAnnotation"/>
    </int2:bookmark>
    <int2:bookmark int2:bookmarkName="_Int_HfHkTiC5" int2:invalidationBookmarkName="" int2:hashCode="jtdUmTNE9l0JwX" int2:id="0Q5K8OZE">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B1345"/>
    <w:multiLevelType w:val="hybridMultilevel"/>
    <w:tmpl w:val="FFFFFFFF"/>
    <w:lvl w:ilvl="0" w:tplc="7E76D7CA">
      <w:start w:val="1"/>
      <w:numFmt w:val="bullet"/>
      <w:lvlText w:val=""/>
      <w:lvlJc w:val="left"/>
      <w:pPr>
        <w:ind w:left="720" w:hanging="360"/>
      </w:pPr>
      <w:rPr>
        <w:rFonts w:ascii="Symbol" w:hAnsi="Symbol" w:hint="default"/>
      </w:rPr>
    </w:lvl>
    <w:lvl w:ilvl="1" w:tplc="DFBEF972">
      <w:start w:val="1"/>
      <w:numFmt w:val="bullet"/>
      <w:lvlText w:val="o"/>
      <w:lvlJc w:val="left"/>
      <w:pPr>
        <w:ind w:left="1440" w:hanging="360"/>
      </w:pPr>
      <w:rPr>
        <w:rFonts w:ascii="Courier New" w:hAnsi="Courier New" w:hint="default"/>
      </w:rPr>
    </w:lvl>
    <w:lvl w:ilvl="2" w:tplc="0B586A54">
      <w:start w:val="1"/>
      <w:numFmt w:val="bullet"/>
      <w:lvlText w:val=""/>
      <w:lvlJc w:val="left"/>
      <w:pPr>
        <w:ind w:left="2160" w:hanging="360"/>
      </w:pPr>
      <w:rPr>
        <w:rFonts w:ascii="Wingdings" w:hAnsi="Wingdings" w:hint="default"/>
      </w:rPr>
    </w:lvl>
    <w:lvl w:ilvl="3" w:tplc="A7BC47F2">
      <w:start w:val="1"/>
      <w:numFmt w:val="bullet"/>
      <w:lvlText w:val=""/>
      <w:lvlJc w:val="left"/>
      <w:pPr>
        <w:ind w:left="2880" w:hanging="360"/>
      </w:pPr>
      <w:rPr>
        <w:rFonts w:ascii="Symbol" w:hAnsi="Symbol" w:hint="default"/>
      </w:rPr>
    </w:lvl>
    <w:lvl w:ilvl="4" w:tplc="A44EE2CA">
      <w:start w:val="1"/>
      <w:numFmt w:val="bullet"/>
      <w:lvlText w:val="o"/>
      <w:lvlJc w:val="left"/>
      <w:pPr>
        <w:ind w:left="3600" w:hanging="360"/>
      </w:pPr>
      <w:rPr>
        <w:rFonts w:ascii="Courier New" w:hAnsi="Courier New" w:hint="default"/>
      </w:rPr>
    </w:lvl>
    <w:lvl w:ilvl="5" w:tplc="02D8644E">
      <w:start w:val="1"/>
      <w:numFmt w:val="bullet"/>
      <w:lvlText w:val=""/>
      <w:lvlJc w:val="left"/>
      <w:pPr>
        <w:ind w:left="4320" w:hanging="360"/>
      </w:pPr>
      <w:rPr>
        <w:rFonts w:ascii="Wingdings" w:hAnsi="Wingdings" w:hint="default"/>
      </w:rPr>
    </w:lvl>
    <w:lvl w:ilvl="6" w:tplc="620E361A">
      <w:start w:val="1"/>
      <w:numFmt w:val="bullet"/>
      <w:lvlText w:val=""/>
      <w:lvlJc w:val="left"/>
      <w:pPr>
        <w:ind w:left="5040" w:hanging="360"/>
      </w:pPr>
      <w:rPr>
        <w:rFonts w:ascii="Symbol" w:hAnsi="Symbol" w:hint="default"/>
      </w:rPr>
    </w:lvl>
    <w:lvl w:ilvl="7" w:tplc="0896BCE8">
      <w:start w:val="1"/>
      <w:numFmt w:val="bullet"/>
      <w:lvlText w:val="o"/>
      <w:lvlJc w:val="left"/>
      <w:pPr>
        <w:ind w:left="5760" w:hanging="360"/>
      </w:pPr>
      <w:rPr>
        <w:rFonts w:ascii="Courier New" w:hAnsi="Courier New" w:hint="default"/>
      </w:rPr>
    </w:lvl>
    <w:lvl w:ilvl="8" w:tplc="AD16B648">
      <w:start w:val="1"/>
      <w:numFmt w:val="bullet"/>
      <w:lvlText w:val=""/>
      <w:lvlJc w:val="left"/>
      <w:pPr>
        <w:ind w:left="6480" w:hanging="360"/>
      </w:pPr>
      <w:rPr>
        <w:rFonts w:ascii="Wingdings" w:hAnsi="Wingdings" w:hint="default"/>
      </w:rPr>
    </w:lvl>
  </w:abstractNum>
  <w:abstractNum w:abstractNumId="1" w15:restartNumberingAfterBreak="0">
    <w:nsid w:val="3369CC76"/>
    <w:multiLevelType w:val="hybridMultilevel"/>
    <w:tmpl w:val="FFFFFFFF"/>
    <w:lvl w:ilvl="0" w:tplc="067629E0">
      <w:start w:val="1"/>
      <w:numFmt w:val="bullet"/>
      <w:lvlText w:val=""/>
      <w:lvlJc w:val="left"/>
      <w:pPr>
        <w:ind w:left="720" w:hanging="360"/>
      </w:pPr>
      <w:rPr>
        <w:rFonts w:ascii="Symbol" w:hAnsi="Symbol" w:hint="default"/>
      </w:rPr>
    </w:lvl>
    <w:lvl w:ilvl="1" w:tplc="EE3AE49A">
      <w:start w:val="1"/>
      <w:numFmt w:val="bullet"/>
      <w:lvlText w:val="o"/>
      <w:lvlJc w:val="left"/>
      <w:pPr>
        <w:ind w:left="1440" w:hanging="360"/>
      </w:pPr>
      <w:rPr>
        <w:rFonts w:ascii="Courier New" w:hAnsi="Courier New" w:hint="default"/>
      </w:rPr>
    </w:lvl>
    <w:lvl w:ilvl="2" w:tplc="954C2824">
      <w:start w:val="1"/>
      <w:numFmt w:val="bullet"/>
      <w:lvlText w:val=""/>
      <w:lvlJc w:val="left"/>
      <w:pPr>
        <w:ind w:left="2160" w:hanging="360"/>
      </w:pPr>
      <w:rPr>
        <w:rFonts w:ascii="Wingdings" w:hAnsi="Wingdings" w:hint="default"/>
      </w:rPr>
    </w:lvl>
    <w:lvl w:ilvl="3" w:tplc="3AE23E3C">
      <w:start w:val="1"/>
      <w:numFmt w:val="bullet"/>
      <w:lvlText w:val=""/>
      <w:lvlJc w:val="left"/>
      <w:pPr>
        <w:ind w:left="2880" w:hanging="360"/>
      </w:pPr>
      <w:rPr>
        <w:rFonts w:ascii="Symbol" w:hAnsi="Symbol" w:hint="default"/>
      </w:rPr>
    </w:lvl>
    <w:lvl w:ilvl="4" w:tplc="CF2E986A">
      <w:start w:val="1"/>
      <w:numFmt w:val="bullet"/>
      <w:lvlText w:val="o"/>
      <w:lvlJc w:val="left"/>
      <w:pPr>
        <w:ind w:left="3600" w:hanging="360"/>
      </w:pPr>
      <w:rPr>
        <w:rFonts w:ascii="Courier New" w:hAnsi="Courier New" w:hint="default"/>
      </w:rPr>
    </w:lvl>
    <w:lvl w:ilvl="5" w:tplc="995CF058">
      <w:start w:val="1"/>
      <w:numFmt w:val="bullet"/>
      <w:lvlText w:val=""/>
      <w:lvlJc w:val="left"/>
      <w:pPr>
        <w:ind w:left="4320" w:hanging="360"/>
      </w:pPr>
      <w:rPr>
        <w:rFonts w:ascii="Wingdings" w:hAnsi="Wingdings" w:hint="default"/>
      </w:rPr>
    </w:lvl>
    <w:lvl w:ilvl="6" w:tplc="059A664C">
      <w:start w:val="1"/>
      <w:numFmt w:val="bullet"/>
      <w:lvlText w:val=""/>
      <w:lvlJc w:val="left"/>
      <w:pPr>
        <w:ind w:left="5040" w:hanging="360"/>
      </w:pPr>
      <w:rPr>
        <w:rFonts w:ascii="Symbol" w:hAnsi="Symbol" w:hint="default"/>
      </w:rPr>
    </w:lvl>
    <w:lvl w:ilvl="7" w:tplc="E0281F32">
      <w:start w:val="1"/>
      <w:numFmt w:val="bullet"/>
      <w:lvlText w:val="o"/>
      <w:lvlJc w:val="left"/>
      <w:pPr>
        <w:ind w:left="5760" w:hanging="360"/>
      </w:pPr>
      <w:rPr>
        <w:rFonts w:ascii="Courier New" w:hAnsi="Courier New" w:hint="default"/>
      </w:rPr>
    </w:lvl>
    <w:lvl w:ilvl="8" w:tplc="025AA538">
      <w:start w:val="1"/>
      <w:numFmt w:val="bullet"/>
      <w:lvlText w:val=""/>
      <w:lvlJc w:val="left"/>
      <w:pPr>
        <w:ind w:left="6480" w:hanging="360"/>
      </w:pPr>
      <w:rPr>
        <w:rFonts w:ascii="Wingdings" w:hAnsi="Wingdings" w:hint="default"/>
      </w:rPr>
    </w:lvl>
  </w:abstractNum>
  <w:abstractNum w:abstractNumId="2" w15:restartNumberingAfterBreak="0">
    <w:nsid w:val="3C321C44"/>
    <w:multiLevelType w:val="hybridMultilevel"/>
    <w:tmpl w:val="FFFFFFFF"/>
    <w:lvl w:ilvl="0" w:tplc="893C3474">
      <w:start w:val="1"/>
      <w:numFmt w:val="bullet"/>
      <w:lvlText w:val=""/>
      <w:lvlJc w:val="left"/>
      <w:pPr>
        <w:ind w:left="720" w:hanging="360"/>
      </w:pPr>
      <w:rPr>
        <w:rFonts w:ascii="Symbol" w:hAnsi="Symbol" w:hint="default"/>
      </w:rPr>
    </w:lvl>
    <w:lvl w:ilvl="1" w:tplc="C0D2D2B6">
      <w:start w:val="1"/>
      <w:numFmt w:val="bullet"/>
      <w:lvlText w:val="o"/>
      <w:lvlJc w:val="left"/>
      <w:pPr>
        <w:ind w:left="1440" w:hanging="360"/>
      </w:pPr>
      <w:rPr>
        <w:rFonts w:ascii="Courier New" w:hAnsi="Courier New" w:hint="default"/>
      </w:rPr>
    </w:lvl>
    <w:lvl w:ilvl="2" w:tplc="4830B0C6">
      <w:start w:val="1"/>
      <w:numFmt w:val="bullet"/>
      <w:lvlText w:val=""/>
      <w:lvlJc w:val="left"/>
      <w:pPr>
        <w:ind w:left="2160" w:hanging="360"/>
      </w:pPr>
      <w:rPr>
        <w:rFonts w:ascii="Wingdings" w:hAnsi="Wingdings" w:hint="default"/>
      </w:rPr>
    </w:lvl>
    <w:lvl w:ilvl="3" w:tplc="250C8F2C">
      <w:start w:val="1"/>
      <w:numFmt w:val="bullet"/>
      <w:lvlText w:val=""/>
      <w:lvlJc w:val="left"/>
      <w:pPr>
        <w:ind w:left="2880" w:hanging="360"/>
      </w:pPr>
      <w:rPr>
        <w:rFonts w:ascii="Symbol" w:hAnsi="Symbol" w:hint="default"/>
      </w:rPr>
    </w:lvl>
    <w:lvl w:ilvl="4" w:tplc="1C3EBC7C">
      <w:start w:val="1"/>
      <w:numFmt w:val="bullet"/>
      <w:lvlText w:val="o"/>
      <w:lvlJc w:val="left"/>
      <w:pPr>
        <w:ind w:left="3600" w:hanging="360"/>
      </w:pPr>
      <w:rPr>
        <w:rFonts w:ascii="Courier New" w:hAnsi="Courier New" w:hint="default"/>
      </w:rPr>
    </w:lvl>
    <w:lvl w:ilvl="5" w:tplc="9AEAA2D6">
      <w:start w:val="1"/>
      <w:numFmt w:val="bullet"/>
      <w:lvlText w:val=""/>
      <w:lvlJc w:val="left"/>
      <w:pPr>
        <w:ind w:left="4320" w:hanging="360"/>
      </w:pPr>
      <w:rPr>
        <w:rFonts w:ascii="Wingdings" w:hAnsi="Wingdings" w:hint="default"/>
      </w:rPr>
    </w:lvl>
    <w:lvl w:ilvl="6" w:tplc="5944F326">
      <w:start w:val="1"/>
      <w:numFmt w:val="bullet"/>
      <w:lvlText w:val=""/>
      <w:lvlJc w:val="left"/>
      <w:pPr>
        <w:ind w:left="5040" w:hanging="360"/>
      </w:pPr>
      <w:rPr>
        <w:rFonts w:ascii="Symbol" w:hAnsi="Symbol" w:hint="default"/>
      </w:rPr>
    </w:lvl>
    <w:lvl w:ilvl="7" w:tplc="7E143EF4">
      <w:start w:val="1"/>
      <w:numFmt w:val="bullet"/>
      <w:lvlText w:val="o"/>
      <w:lvlJc w:val="left"/>
      <w:pPr>
        <w:ind w:left="5760" w:hanging="360"/>
      </w:pPr>
      <w:rPr>
        <w:rFonts w:ascii="Courier New" w:hAnsi="Courier New" w:hint="default"/>
      </w:rPr>
    </w:lvl>
    <w:lvl w:ilvl="8" w:tplc="71A2D2A2">
      <w:start w:val="1"/>
      <w:numFmt w:val="bullet"/>
      <w:lvlText w:val=""/>
      <w:lvlJc w:val="left"/>
      <w:pPr>
        <w:ind w:left="6480" w:hanging="360"/>
      </w:pPr>
      <w:rPr>
        <w:rFonts w:ascii="Wingdings" w:hAnsi="Wingdings" w:hint="default"/>
      </w:rPr>
    </w:lvl>
  </w:abstractNum>
  <w:abstractNum w:abstractNumId="3" w15:restartNumberingAfterBreak="0">
    <w:nsid w:val="646C6DAB"/>
    <w:multiLevelType w:val="hybridMultilevel"/>
    <w:tmpl w:val="FFFFFFFF"/>
    <w:lvl w:ilvl="0" w:tplc="E576827C">
      <w:start w:val="1"/>
      <w:numFmt w:val="bullet"/>
      <w:lvlText w:val=""/>
      <w:lvlJc w:val="left"/>
      <w:pPr>
        <w:ind w:left="720" w:hanging="360"/>
      </w:pPr>
      <w:rPr>
        <w:rFonts w:ascii="Symbol" w:hAnsi="Symbol" w:hint="default"/>
      </w:rPr>
    </w:lvl>
    <w:lvl w:ilvl="1" w:tplc="5A2A570E">
      <w:start w:val="1"/>
      <w:numFmt w:val="bullet"/>
      <w:lvlText w:val="o"/>
      <w:lvlJc w:val="left"/>
      <w:pPr>
        <w:ind w:left="1440" w:hanging="360"/>
      </w:pPr>
      <w:rPr>
        <w:rFonts w:ascii="Courier New" w:hAnsi="Courier New" w:hint="default"/>
      </w:rPr>
    </w:lvl>
    <w:lvl w:ilvl="2" w:tplc="12C2E5F2">
      <w:start w:val="1"/>
      <w:numFmt w:val="bullet"/>
      <w:lvlText w:val=""/>
      <w:lvlJc w:val="left"/>
      <w:pPr>
        <w:ind w:left="2160" w:hanging="360"/>
      </w:pPr>
      <w:rPr>
        <w:rFonts w:ascii="Wingdings" w:hAnsi="Wingdings" w:hint="default"/>
      </w:rPr>
    </w:lvl>
    <w:lvl w:ilvl="3" w:tplc="37AAFDD2">
      <w:start w:val="1"/>
      <w:numFmt w:val="bullet"/>
      <w:lvlText w:val=""/>
      <w:lvlJc w:val="left"/>
      <w:pPr>
        <w:ind w:left="2880" w:hanging="360"/>
      </w:pPr>
      <w:rPr>
        <w:rFonts w:ascii="Symbol" w:hAnsi="Symbol" w:hint="default"/>
      </w:rPr>
    </w:lvl>
    <w:lvl w:ilvl="4" w:tplc="EFDA1662">
      <w:start w:val="1"/>
      <w:numFmt w:val="bullet"/>
      <w:lvlText w:val="o"/>
      <w:lvlJc w:val="left"/>
      <w:pPr>
        <w:ind w:left="3600" w:hanging="360"/>
      </w:pPr>
      <w:rPr>
        <w:rFonts w:ascii="Courier New" w:hAnsi="Courier New" w:hint="default"/>
      </w:rPr>
    </w:lvl>
    <w:lvl w:ilvl="5" w:tplc="10B08ADC">
      <w:start w:val="1"/>
      <w:numFmt w:val="bullet"/>
      <w:lvlText w:val=""/>
      <w:lvlJc w:val="left"/>
      <w:pPr>
        <w:ind w:left="4320" w:hanging="360"/>
      </w:pPr>
      <w:rPr>
        <w:rFonts w:ascii="Wingdings" w:hAnsi="Wingdings" w:hint="default"/>
      </w:rPr>
    </w:lvl>
    <w:lvl w:ilvl="6" w:tplc="89D4EBF6">
      <w:start w:val="1"/>
      <w:numFmt w:val="bullet"/>
      <w:lvlText w:val=""/>
      <w:lvlJc w:val="left"/>
      <w:pPr>
        <w:ind w:left="5040" w:hanging="360"/>
      </w:pPr>
      <w:rPr>
        <w:rFonts w:ascii="Symbol" w:hAnsi="Symbol" w:hint="default"/>
      </w:rPr>
    </w:lvl>
    <w:lvl w:ilvl="7" w:tplc="BE321A0E">
      <w:start w:val="1"/>
      <w:numFmt w:val="bullet"/>
      <w:lvlText w:val="o"/>
      <w:lvlJc w:val="left"/>
      <w:pPr>
        <w:ind w:left="5760" w:hanging="360"/>
      </w:pPr>
      <w:rPr>
        <w:rFonts w:ascii="Courier New" w:hAnsi="Courier New" w:hint="default"/>
      </w:rPr>
    </w:lvl>
    <w:lvl w:ilvl="8" w:tplc="CB981864">
      <w:start w:val="1"/>
      <w:numFmt w:val="bullet"/>
      <w:lvlText w:val=""/>
      <w:lvlJc w:val="left"/>
      <w:pPr>
        <w:ind w:left="6480" w:hanging="360"/>
      </w:pPr>
      <w:rPr>
        <w:rFonts w:ascii="Wingdings" w:hAnsi="Wingdings" w:hint="default"/>
      </w:rPr>
    </w:lvl>
  </w:abstractNum>
  <w:abstractNum w:abstractNumId="4" w15:restartNumberingAfterBreak="0">
    <w:nsid w:val="7E58F1D7"/>
    <w:multiLevelType w:val="hybridMultilevel"/>
    <w:tmpl w:val="FFFFFFFF"/>
    <w:lvl w:ilvl="0" w:tplc="DE2A88F6">
      <w:start w:val="1"/>
      <w:numFmt w:val="bullet"/>
      <w:lvlText w:val=""/>
      <w:lvlJc w:val="left"/>
      <w:pPr>
        <w:ind w:left="720" w:hanging="360"/>
      </w:pPr>
      <w:rPr>
        <w:rFonts w:ascii="Symbol" w:hAnsi="Symbol" w:hint="default"/>
      </w:rPr>
    </w:lvl>
    <w:lvl w:ilvl="1" w:tplc="AD42539C">
      <w:start w:val="1"/>
      <w:numFmt w:val="bullet"/>
      <w:lvlText w:val="o"/>
      <w:lvlJc w:val="left"/>
      <w:pPr>
        <w:ind w:left="1440" w:hanging="360"/>
      </w:pPr>
      <w:rPr>
        <w:rFonts w:ascii="Courier New" w:hAnsi="Courier New" w:hint="default"/>
      </w:rPr>
    </w:lvl>
    <w:lvl w:ilvl="2" w:tplc="DE3A1BD6">
      <w:start w:val="1"/>
      <w:numFmt w:val="bullet"/>
      <w:lvlText w:val=""/>
      <w:lvlJc w:val="left"/>
      <w:pPr>
        <w:ind w:left="2160" w:hanging="360"/>
      </w:pPr>
      <w:rPr>
        <w:rFonts w:ascii="Wingdings" w:hAnsi="Wingdings" w:hint="default"/>
      </w:rPr>
    </w:lvl>
    <w:lvl w:ilvl="3" w:tplc="1FFAFA08">
      <w:start w:val="1"/>
      <w:numFmt w:val="bullet"/>
      <w:lvlText w:val=""/>
      <w:lvlJc w:val="left"/>
      <w:pPr>
        <w:ind w:left="2880" w:hanging="360"/>
      </w:pPr>
      <w:rPr>
        <w:rFonts w:ascii="Symbol" w:hAnsi="Symbol" w:hint="default"/>
      </w:rPr>
    </w:lvl>
    <w:lvl w:ilvl="4" w:tplc="D05AC476">
      <w:start w:val="1"/>
      <w:numFmt w:val="bullet"/>
      <w:lvlText w:val="o"/>
      <w:lvlJc w:val="left"/>
      <w:pPr>
        <w:ind w:left="3600" w:hanging="360"/>
      </w:pPr>
      <w:rPr>
        <w:rFonts w:ascii="Courier New" w:hAnsi="Courier New" w:hint="default"/>
      </w:rPr>
    </w:lvl>
    <w:lvl w:ilvl="5" w:tplc="916430B8">
      <w:start w:val="1"/>
      <w:numFmt w:val="bullet"/>
      <w:lvlText w:val=""/>
      <w:lvlJc w:val="left"/>
      <w:pPr>
        <w:ind w:left="4320" w:hanging="360"/>
      </w:pPr>
      <w:rPr>
        <w:rFonts w:ascii="Wingdings" w:hAnsi="Wingdings" w:hint="default"/>
      </w:rPr>
    </w:lvl>
    <w:lvl w:ilvl="6" w:tplc="58F6648E">
      <w:start w:val="1"/>
      <w:numFmt w:val="bullet"/>
      <w:lvlText w:val=""/>
      <w:lvlJc w:val="left"/>
      <w:pPr>
        <w:ind w:left="5040" w:hanging="360"/>
      </w:pPr>
      <w:rPr>
        <w:rFonts w:ascii="Symbol" w:hAnsi="Symbol" w:hint="default"/>
      </w:rPr>
    </w:lvl>
    <w:lvl w:ilvl="7" w:tplc="39A26B7C">
      <w:start w:val="1"/>
      <w:numFmt w:val="bullet"/>
      <w:lvlText w:val="o"/>
      <w:lvlJc w:val="left"/>
      <w:pPr>
        <w:ind w:left="5760" w:hanging="360"/>
      </w:pPr>
      <w:rPr>
        <w:rFonts w:ascii="Courier New" w:hAnsi="Courier New" w:hint="default"/>
      </w:rPr>
    </w:lvl>
    <w:lvl w:ilvl="8" w:tplc="D654E206">
      <w:start w:val="1"/>
      <w:numFmt w:val="bullet"/>
      <w:lvlText w:val=""/>
      <w:lvlJc w:val="left"/>
      <w:pPr>
        <w:ind w:left="6480" w:hanging="360"/>
      </w:pPr>
      <w:rPr>
        <w:rFonts w:ascii="Wingdings" w:hAnsi="Wingdings" w:hint="default"/>
      </w:rPr>
    </w:lvl>
  </w:abstractNum>
  <w:num w:numId="1" w16cid:durableId="1838106540">
    <w:abstractNumId w:val="4"/>
  </w:num>
  <w:num w:numId="2" w16cid:durableId="1936016995">
    <w:abstractNumId w:val="1"/>
  </w:num>
  <w:num w:numId="3" w16cid:durableId="851919361">
    <w:abstractNumId w:val="3"/>
  </w:num>
  <w:num w:numId="4" w16cid:durableId="1066493591">
    <w:abstractNumId w:val="2"/>
  </w:num>
  <w:num w:numId="5" w16cid:durableId="674579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167B29"/>
    <w:rsid w:val="00AD0CB5"/>
    <w:rsid w:val="00CD4E8B"/>
    <w:rsid w:val="01091D4C"/>
    <w:rsid w:val="02E6353D"/>
    <w:rsid w:val="035CA356"/>
    <w:rsid w:val="03DC65A1"/>
    <w:rsid w:val="04DE4C88"/>
    <w:rsid w:val="06964E11"/>
    <w:rsid w:val="086087A5"/>
    <w:rsid w:val="0A7F0DE2"/>
    <w:rsid w:val="0A905C43"/>
    <w:rsid w:val="0B9E8673"/>
    <w:rsid w:val="0C274561"/>
    <w:rsid w:val="0CEED9D0"/>
    <w:rsid w:val="0CF6BC8E"/>
    <w:rsid w:val="0DC315C2"/>
    <w:rsid w:val="0E6BB010"/>
    <w:rsid w:val="13557034"/>
    <w:rsid w:val="14192EE9"/>
    <w:rsid w:val="15A59AAB"/>
    <w:rsid w:val="161D42F8"/>
    <w:rsid w:val="1920D2D9"/>
    <w:rsid w:val="19B848D2"/>
    <w:rsid w:val="1A77865F"/>
    <w:rsid w:val="1BADF61F"/>
    <w:rsid w:val="1C362FC3"/>
    <w:rsid w:val="22BA602C"/>
    <w:rsid w:val="23002BFC"/>
    <w:rsid w:val="273C97B7"/>
    <w:rsid w:val="27814F3F"/>
    <w:rsid w:val="27E2CDAA"/>
    <w:rsid w:val="282D2A22"/>
    <w:rsid w:val="285AB668"/>
    <w:rsid w:val="29564523"/>
    <w:rsid w:val="29C14928"/>
    <w:rsid w:val="2AF21584"/>
    <w:rsid w:val="2BC044E5"/>
    <w:rsid w:val="2C8DE5E5"/>
    <w:rsid w:val="2DAE045E"/>
    <w:rsid w:val="2E5F1C20"/>
    <w:rsid w:val="2F44B53F"/>
    <w:rsid w:val="2F74E487"/>
    <w:rsid w:val="30326CBF"/>
    <w:rsid w:val="3109D489"/>
    <w:rsid w:val="339053A9"/>
    <w:rsid w:val="353BB6E4"/>
    <w:rsid w:val="366F3707"/>
    <w:rsid w:val="36746209"/>
    <w:rsid w:val="36860C4A"/>
    <w:rsid w:val="3786E450"/>
    <w:rsid w:val="37F2CD79"/>
    <w:rsid w:val="38E0D840"/>
    <w:rsid w:val="39CECEFC"/>
    <w:rsid w:val="3A284C7B"/>
    <w:rsid w:val="3B369294"/>
    <w:rsid w:val="3BA81822"/>
    <w:rsid w:val="3BD4D5A0"/>
    <w:rsid w:val="3F88DD42"/>
    <w:rsid w:val="3FC4DFF4"/>
    <w:rsid w:val="444AEC50"/>
    <w:rsid w:val="45E6BCB1"/>
    <w:rsid w:val="4691B3E4"/>
    <w:rsid w:val="46BFBF93"/>
    <w:rsid w:val="47367706"/>
    <w:rsid w:val="473EFD64"/>
    <w:rsid w:val="491E5D73"/>
    <w:rsid w:val="4ABA2DD4"/>
    <w:rsid w:val="4AE0AA29"/>
    <w:rsid w:val="4B62A9D3"/>
    <w:rsid w:val="4B9105A7"/>
    <w:rsid w:val="4E92F5DB"/>
    <w:rsid w:val="4F32F650"/>
    <w:rsid w:val="5195F984"/>
    <w:rsid w:val="529C701C"/>
    <w:rsid w:val="536E331B"/>
    <w:rsid w:val="53EC44EC"/>
    <w:rsid w:val="56E8DD26"/>
    <w:rsid w:val="57E0F52B"/>
    <w:rsid w:val="58167B29"/>
    <w:rsid w:val="590F9678"/>
    <w:rsid w:val="59F4AE4A"/>
    <w:rsid w:val="5A204552"/>
    <w:rsid w:val="5A7C5C63"/>
    <w:rsid w:val="5C9E2247"/>
    <w:rsid w:val="5DCC5038"/>
    <w:rsid w:val="5EEB6493"/>
    <w:rsid w:val="5FBF9CA1"/>
    <w:rsid w:val="649E1B73"/>
    <w:rsid w:val="64B11600"/>
    <w:rsid w:val="64B35DD4"/>
    <w:rsid w:val="65B3BFC6"/>
    <w:rsid w:val="690C5683"/>
    <w:rsid w:val="69FC7000"/>
    <w:rsid w:val="6A13BCC5"/>
    <w:rsid w:val="6AA826E4"/>
    <w:rsid w:val="6CCF5081"/>
    <w:rsid w:val="6D818CAF"/>
    <w:rsid w:val="6F12005B"/>
    <w:rsid w:val="6FC1D468"/>
    <w:rsid w:val="7149CB56"/>
    <w:rsid w:val="72E3363B"/>
    <w:rsid w:val="742A7D9D"/>
    <w:rsid w:val="773DECAD"/>
    <w:rsid w:val="7859AA90"/>
    <w:rsid w:val="7A163D40"/>
    <w:rsid w:val="7A28B19F"/>
    <w:rsid w:val="7BF84A02"/>
    <w:rsid w:val="7C135DB8"/>
    <w:rsid w:val="7E1FC1C4"/>
    <w:rsid w:val="7FBB9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67B29"/>
  <w15:chartTrackingRefBased/>
  <w15:docId w15:val="{00C38952-F832-4315-BCBF-5A7CF9B16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dalyc.org/pdf/104/10415104.pdf" TargetMode="External"/><Relationship Id="rId3" Type="http://schemas.openxmlformats.org/officeDocument/2006/relationships/settings" Target="settings.xml"/><Relationship Id="rId7" Type="http://schemas.openxmlformats.org/officeDocument/2006/relationships/hyperlink" Target="https://sphera.com/glossary/what-is-environmental-sustainabili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nglishriviera.co.uk/blog/read/2021/01/sustainable-travel-ideas-on-the-english-riviera-b63" TargetMode="External"/><Relationship Id="rId11" Type="http://schemas.microsoft.com/office/2020/10/relationships/intelligence" Target="intelligence2.xml"/><Relationship Id="rId5" Type="http://schemas.openxmlformats.org/officeDocument/2006/relationships/hyperlink" Target="https://www.englishriviera.co.uk/dbimgs/Destination%20Management%20Plan%2022-30_Final.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2312</Words>
  <Characters>13185</Characters>
  <Application>Microsoft Office Word</Application>
  <DocSecurity>0</DocSecurity>
  <Lines>109</Lines>
  <Paragraphs>30</Paragraphs>
  <ScaleCrop>false</ScaleCrop>
  <Company/>
  <LinksUpToDate>false</LinksUpToDate>
  <CharactersWithSpaces>15467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Craescu (2111926)</dc:creator>
  <cp:keywords/>
  <dc:description/>
  <cp:lastModifiedBy>Alexandra Craescu (2111926)</cp:lastModifiedBy>
  <cp:revision>2</cp:revision>
  <dcterms:created xsi:type="dcterms:W3CDTF">2023-06-14T15:27:00Z</dcterms:created>
  <dcterms:modified xsi:type="dcterms:W3CDTF">2023-06-14T15:27:00Z</dcterms:modified>
</cp:coreProperties>
</file>