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B46BF1" w14:textId="4A0B5BB8" w:rsidR="00065B63" w:rsidRDefault="00065B63">
      <w:pPr>
        <w:spacing w:after="100"/>
        <w:rPr>
          <w:b/>
        </w:rPr>
      </w:pPr>
    </w:p>
    <w:p w14:paraId="30CA8B7E" w14:textId="65563EF5" w:rsidR="001D6886" w:rsidRDefault="001D6886">
      <w:pPr>
        <w:spacing w:after="100"/>
        <w:rPr>
          <w:b/>
        </w:rPr>
      </w:pPr>
    </w:p>
    <w:p w14:paraId="38BA2335" w14:textId="57E578CD" w:rsidR="001D6886" w:rsidRDefault="001D6886">
      <w:pPr>
        <w:spacing w:after="100"/>
        <w:rPr>
          <w:b/>
        </w:rPr>
      </w:pPr>
    </w:p>
    <w:p w14:paraId="1958346E" w14:textId="67E01F46" w:rsidR="001D6886" w:rsidRDefault="001D6886">
      <w:pPr>
        <w:spacing w:after="100"/>
        <w:rPr>
          <w:b/>
        </w:rPr>
      </w:pPr>
    </w:p>
    <w:p w14:paraId="1C1CACEE" w14:textId="77777777" w:rsidR="001D6886" w:rsidRDefault="001D6886">
      <w:pPr>
        <w:spacing w:after="100"/>
      </w:pPr>
    </w:p>
    <w:tbl>
      <w:tblPr>
        <w:tblStyle w:val="TableGrid"/>
        <w:tblW w:w="0" w:type="auto"/>
        <w:jc w:val="center"/>
        <w:tblBorders>
          <w:top w:val="none" w:sz="0" w:space="0" w:color="auto"/>
          <w:left w:val="none" w:sz="0" w:space="0" w:color="auto"/>
          <w:bottom w:val="none" w:sz="0" w:space="0" w:color="auto"/>
          <w:right w:val="none" w:sz="0" w:space="0" w:color="auto"/>
          <w:insideH w:val="none" w:sz="0" w:space="0" w:color="auto"/>
          <w:insideV w:val="none" w:sz="0" w:space="0" w:color="auto"/>
        </w:tblBorders>
        <w:shd w:val="clear" w:color="auto" w:fill="FFFFFF" w:themeFill="background1"/>
        <w:tblLook w:val="04A0" w:firstRow="1" w:lastRow="0" w:firstColumn="1" w:lastColumn="0" w:noHBand="0" w:noVBand="1"/>
      </w:tblPr>
      <w:tblGrid>
        <w:gridCol w:w="4896"/>
        <w:gridCol w:w="4896"/>
      </w:tblGrid>
      <w:tr w:rsidR="00065B63" w14:paraId="466AC237" w14:textId="77777777" w:rsidTr="001D6886">
        <w:trPr>
          <w:cantSplit/>
          <w:trHeight w:val="362"/>
          <w:jc w:val="center"/>
        </w:trPr>
        <w:tc>
          <w:tcPr>
            <w:tcW w:w="4896" w:type="dxa"/>
            <w:shd w:val="clear" w:color="auto" w:fill="FFFFFF" w:themeFill="background1"/>
            <w:tcMar>
              <w:top w:w="100" w:type="dxa"/>
              <w:left w:w="120" w:type="dxa"/>
              <w:bottom w:w="100" w:type="dxa"/>
              <w:right w:w="120" w:type="dxa"/>
            </w:tcMar>
            <w:vAlign w:val="center"/>
          </w:tcPr>
          <w:p w14:paraId="5A9DCEF8" w14:textId="1322DA8A" w:rsidR="00065B63" w:rsidRDefault="00000000">
            <w:pPr>
              <w:pStyle w:val="TableText"/>
              <w:spacing w:after="100"/>
            </w:pPr>
            <w:r>
              <w:rPr>
                <w:b/>
              </w:rPr>
              <w:t>Student name</w:t>
            </w:r>
            <w:r w:rsidR="001D6886">
              <w:rPr>
                <w:b/>
              </w:rPr>
              <w:t>:</w:t>
            </w:r>
          </w:p>
        </w:tc>
        <w:tc>
          <w:tcPr>
            <w:tcW w:w="4896" w:type="dxa"/>
            <w:shd w:val="clear" w:color="auto" w:fill="FFFFFF" w:themeFill="background1"/>
            <w:tcMar>
              <w:top w:w="100" w:type="dxa"/>
              <w:left w:w="120" w:type="dxa"/>
              <w:bottom w:w="100" w:type="dxa"/>
              <w:right w:w="120" w:type="dxa"/>
            </w:tcMar>
            <w:vAlign w:val="center"/>
          </w:tcPr>
          <w:p w14:paraId="7319F8CD" w14:textId="6235E2AF" w:rsidR="00065B63" w:rsidRPr="001D6886" w:rsidRDefault="001D6886">
            <w:pPr>
              <w:pStyle w:val="TableText"/>
              <w:spacing w:after="100"/>
              <w:rPr>
                <w:b/>
                <w:bCs/>
              </w:rPr>
            </w:pPr>
            <w:r w:rsidRPr="001D6886">
              <w:rPr>
                <w:b/>
                <w:bCs/>
              </w:rPr>
              <w:t>Gabriela Alina Barza</w:t>
            </w:r>
          </w:p>
        </w:tc>
      </w:tr>
      <w:tr w:rsidR="00065B63" w14:paraId="23E5D3A1" w14:textId="77777777" w:rsidTr="001D6886">
        <w:trPr>
          <w:cantSplit/>
          <w:jc w:val="center"/>
        </w:trPr>
        <w:tc>
          <w:tcPr>
            <w:tcW w:w="4896" w:type="dxa"/>
            <w:shd w:val="clear" w:color="auto" w:fill="FFFFFF" w:themeFill="background1"/>
            <w:tcMar>
              <w:top w:w="100" w:type="dxa"/>
              <w:left w:w="120" w:type="dxa"/>
              <w:bottom w:w="100" w:type="dxa"/>
              <w:right w:w="120" w:type="dxa"/>
            </w:tcMar>
            <w:vAlign w:val="center"/>
          </w:tcPr>
          <w:p w14:paraId="08A987A2" w14:textId="3B269CD3" w:rsidR="00065B63" w:rsidRDefault="00000000">
            <w:pPr>
              <w:pStyle w:val="TableText"/>
              <w:spacing w:after="100"/>
            </w:pPr>
            <w:r>
              <w:rPr>
                <w:b/>
              </w:rPr>
              <w:t>Student ID</w:t>
            </w:r>
            <w:r w:rsidR="001D6886">
              <w:rPr>
                <w:b/>
              </w:rPr>
              <w:t>:</w:t>
            </w:r>
          </w:p>
        </w:tc>
        <w:tc>
          <w:tcPr>
            <w:tcW w:w="4896" w:type="dxa"/>
            <w:shd w:val="clear" w:color="auto" w:fill="FFFFFF" w:themeFill="background1"/>
            <w:tcMar>
              <w:top w:w="100" w:type="dxa"/>
              <w:left w:w="120" w:type="dxa"/>
              <w:bottom w:w="100" w:type="dxa"/>
              <w:right w:w="120" w:type="dxa"/>
            </w:tcMar>
            <w:vAlign w:val="center"/>
          </w:tcPr>
          <w:p w14:paraId="6AC5088C" w14:textId="67AE082C" w:rsidR="00065B63" w:rsidRPr="001D6886" w:rsidRDefault="001D6886">
            <w:pPr>
              <w:pStyle w:val="TableText"/>
              <w:spacing w:after="100"/>
              <w:rPr>
                <w:b/>
                <w:bCs/>
              </w:rPr>
            </w:pPr>
            <w:r w:rsidRPr="001D6886">
              <w:rPr>
                <w:b/>
                <w:bCs/>
              </w:rPr>
              <w:t>233246</w:t>
            </w:r>
          </w:p>
        </w:tc>
      </w:tr>
      <w:tr w:rsidR="00065B63" w14:paraId="501D0B08" w14:textId="77777777" w:rsidTr="001D6886">
        <w:trPr>
          <w:cantSplit/>
          <w:jc w:val="center"/>
        </w:trPr>
        <w:tc>
          <w:tcPr>
            <w:tcW w:w="4896" w:type="dxa"/>
            <w:shd w:val="clear" w:color="auto" w:fill="FFFFFF" w:themeFill="background1"/>
            <w:tcMar>
              <w:top w:w="100" w:type="dxa"/>
              <w:left w:w="120" w:type="dxa"/>
              <w:bottom w:w="100" w:type="dxa"/>
              <w:right w:w="120" w:type="dxa"/>
            </w:tcMar>
            <w:vAlign w:val="center"/>
          </w:tcPr>
          <w:p w14:paraId="42F48933" w14:textId="2FD52518" w:rsidR="00065B63" w:rsidRDefault="00000000">
            <w:pPr>
              <w:pStyle w:val="TableText"/>
              <w:spacing w:after="100"/>
            </w:pPr>
            <w:r>
              <w:rPr>
                <w:b/>
              </w:rPr>
              <w:t>Lecturer</w:t>
            </w:r>
            <w:r w:rsidR="00D14AD6">
              <w:rPr>
                <w:b/>
              </w:rPr>
              <w:t>’s name:</w:t>
            </w:r>
          </w:p>
        </w:tc>
        <w:tc>
          <w:tcPr>
            <w:tcW w:w="4896" w:type="dxa"/>
            <w:shd w:val="clear" w:color="auto" w:fill="FFFFFF" w:themeFill="background1"/>
            <w:tcMar>
              <w:top w:w="100" w:type="dxa"/>
              <w:left w:w="120" w:type="dxa"/>
              <w:bottom w:w="100" w:type="dxa"/>
              <w:right w:w="120" w:type="dxa"/>
            </w:tcMar>
            <w:vAlign w:val="center"/>
          </w:tcPr>
          <w:p w14:paraId="3A404ED5" w14:textId="53B9E9FF" w:rsidR="00065B63" w:rsidRPr="001D6886" w:rsidRDefault="001D6886">
            <w:pPr>
              <w:pStyle w:val="TableText"/>
              <w:spacing w:after="100"/>
              <w:rPr>
                <w:b/>
                <w:bCs/>
              </w:rPr>
            </w:pPr>
            <w:r w:rsidRPr="001D6886">
              <w:rPr>
                <w:b/>
                <w:bCs/>
              </w:rPr>
              <w:t xml:space="preserve">Muno </w:t>
            </w:r>
            <w:proofErr w:type="spellStart"/>
            <w:r w:rsidRPr="001D6886">
              <w:rPr>
                <w:b/>
                <w:bCs/>
              </w:rPr>
              <w:t>Zuwirai</w:t>
            </w:r>
            <w:proofErr w:type="spellEnd"/>
          </w:p>
        </w:tc>
      </w:tr>
      <w:tr w:rsidR="00065B63" w14:paraId="6AC6D7E5" w14:textId="77777777" w:rsidTr="001D6886">
        <w:trPr>
          <w:cantSplit/>
          <w:jc w:val="center"/>
        </w:trPr>
        <w:tc>
          <w:tcPr>
            <w:tcW w:w="4896" w:type="dxa"/>
            <w:shd w:val="clear" w:color="auto" w:fill="FFFFFF" w:themeFill="background1"/>
            <w:tcMar>
              <w:top w:w="100" w:type="dxa"/>
              <w:left w:w="120" w:type="dxa"/>
              <w:bottom w:w="100" w:type="dxa"/>
              <w:right w:w="120" w:type="dxa"/>
            </w:tcMar>
            <w:vAlign w:val="center"/>
          </w:tcPr>
          <w:p w14:paraId="053D20F4" w14:textId="305D2447" w:rsidR="00065B63" w:rsidRDefault="001D6886">
            <w:pPr>
              <w:pStyle w:val="TableText"/>
              <w:spacing w:after="100"/>
            </w:pPr>
            <w:r>
              <w:rPr>
                <w:b/>
              </w:rPr>
              <w:t>Module</w:t>
            </w:r>
            <w:r w:rsidR="00D14AD6">
              <w:rPr>
                <w:b/>
              </w:rPr>
              <w:t>’s</w:t>
            </w:r>
            <w:r>
              <w:rPr>
                <w:b/>
              </w:rPr>
              <w:t xml:space="preserve"> name:</w:t>
            </w:r>
          </w:p>
        </w:tc>
        <w:tc>
          <w:tcPr>
            <w:tcW w:w="4896" w:type="dxa"/>
            <w:shd w:val="clear" w:color="auto" w:fill="FFFFFF" w:themeFill="background1"/>
            <w:tcMar>
              <w:top w:w="100" w:type="dxa"/>
              <w:left w:w="120" w:type="dxa"/>
              <w:bottom w:w="100" w:type="dxa"/>
              <w:right w:w="120" w:type="dxa"/>
            </w:tcMar>
            <w:vAlign w:val="center"/>
          </w:tcPr>
          <w:p w14:paraId="1525EB76" w14:textId="39F365D0" w:rsidR="00065B63" w:rsidRPr="001D6886" w:rsidRDefault="001D6886">
            <w:pPr>
              <w:pStyle w:val="TableText"/>
              <w:spacing w:after="100"/>
              <w:rPr>
                <w:b/>
                <w:bCs/>
              </w:rPr>
            </w:pPr>
            <w:r w:rsidRPr="001D6886">
              <w:rPr>
                <w:b/>
                <w:bCs/>
              </w:rPr>
              <w:t>Strategic Management for Business LCLM6001</w:t>
            </w:r>
          </w:p>
        </w:tc>
      </w:tr>
      <w:tr w:rsidR="00065B63" w14:paraId="0F60EF3A" w14:textId="77777777" w:rsidTr="001D6886">
        <w:trPr>
          <w:cantSplit/>
          <w:jc w:val="center"/>
        </w:trPr>
        <w:tc>
          <w:tcPr>
            <w:tcW w:w="4896" w:type="dxa"/>
            <w:shd w:val="clear" w:color="auto" w:fill="FFFFFF" w:themeFill="background1"/>
            <w:tcMar>
              <w:top w:w="100" w:type="dxa"/>
              <w:left w:w="120" w:type="dxa"/>
              <w:bottom w:w="100" w:type="dxa"/>
              <w:right w:w="120" w:type="dxa"/>
            </w:tcMar>
            <w:vAlign w:val="center"/>
          </w:tcPr>
          <w:p w14:paraId="695557B6" w14:textId="797BDE72" w:rsidR="00065B63" w:rsidRDefault="001D6886">
            <w:pPr>
              <w:pStyle w:val="TableText"/>
              <w:spacing w:after="100"/>
            </w:pPr>
            <w:r>
              <w:rPr>
                <w:b/>
              </w:rPr>
              <w:t>Assignment title:</w:t>
            </w:r>
          </w:p>
        </w:tc>
        <w:tc>
          <w:tcPr>
            <w:tcW w:w="4896" w:type="dxa"/>
            <w:shd w:val="clear" w:color="auto" w:fill="FFFFFF" w:themeFill="background1"/>
            <w:tcMar>
              <w:top w:w="100" w:type="dxa"/>
              <w:left w:w="120" w:type="dxa"/>
              <w:bottom w:w="100" w:type="dxa"/>
              <w:right w:w="120" w:type="dxa"/>
            </w:tcMar>
            <w:vAlign w:val="center"/>
          </w:tcPr>
          <w:p w14:paraId="0A12D423" w14:textId="3DDFB40E" w:rsidR="00065B63" w:rsidRPr="001D6886" w:rsidRDefault="001D6886">
            <w:pPr>
              <w:rPr>
                <w:b/>
                <w:bCs/>
              </w:rPr>
            </w:pPr>
            <w:r w:rsidRPr="001D6886">
              <w:rPr>
                <w:b/>
                <w:bCs/>
              </w:rPr>
              <w:t>Individual Report</w:t>
            </w:r>
          </w:p>
        </w:tc>
      </w:tr>
    </w:tbl>
    <w:p w14:paraId="14C63381" w14:textId="77777777" w:rsidR="00065B63" w:rsidRDefault="00065B63">
      <w:pPr>
        <w:spacing w:after="100"/>
      </w:pPr>
    </w:p>
    <w:p w14:paraId="12B28E85" w14:textId="77777777" w:rsidR="00065B63" w:rsidRDefault="00065B63">
      <w:pPr>
        <w:spacing w:after="100"/>
      </w:pPr>
    </w:p>
    <w:p w14:paraId="67122FB3" w14:textId="77777777" w:rsidR="00065B63" w:rsidRDefault="00000000">
      <w:pPr>
        <w:spacing w:after="100"/>
      </w:pPr>
      <w:r>
        <w:br w:type="page"/>
      </w:r>
    </w:p>
    <w:p w14:paraId="3FBCC663" w14:textId="0F0EE566" w:rsidR="00065B63" w:rsidRPr="001D6886" w:rsidRDefault="001D6886" w:rsidP="001D6886">
      <w:pPr>
        <w:pStyle w:val="Heading1"/>
        <w:spacing w:before="160" w:after="80"/>
        <w:ind w:left="2160" w:firstLine="720"/>
        <w:rPr>
          <w:sz w:val="32"/>
          <w:szCs w:val="32"/>
        </w:rPr>
      </w:pPr>
      <w:r w:rsidRPr="001D6886">
        <w:rPr>
          <w:rFonts w:ascii="Arial" w:eastAsia="Arial" w:hAnsi="Arial" w:cs="Arial"/>
          <w:sz w:val="32"/>
          <w:szCs w:val="32"/>
        </w:rPr>
        <w:lastRenderedPageBreak/>
        <w:t>Table of Contents</w:t>
      </w:r>
    </w:p>
    <w:p w14:paraId="48138E12" w14:textId="77777777" w:rsidR="00065B63" w:rsidRPr="001D6886" w:rsidRDefault="00000000" w:rsidP="001D6886">
      <w:pPr>
        <w:spacing w:after="100"/>
        <w:ind w:firstLine="720"/>
        <w:rPr>
          <w:b/>
          <w:bCs/>
        </w:rPr>
      </w:pPr>
      <w:hyperlink w:anchor="S1_1_Introduction_and_organisat" w:history="1">
        <w:r w:rsidRPr="001D6886">
          <w:rPr>
            <w:b/>
            <w:bCs/>
          </w:rPr>
          <w:t>1. Introduction and organisational background</w:t>
        </w:r>
      </w:hyperlink>
    </w:p>
    <w:p w14:paraId="313E14AB" w14:textId="77777777" w:rsidR="00065B63" w:rsidRPr="001D6886" w:rsidRDefault="00000000" w:rsidP="001D6886">
      <w:pPr>
        <w:spacing w:after="100"/>
        <w:ind w:firstLine="720"/>
        <w:rPr>
          <w:b/>
          <w:bCs/>
        </w:rPr>
      </w:pPr>
      <w:hyperlink w:anchor="S2_2_Evaluation_of_the_current_" w:history="1">
        <w:r w:rsidRPr="001D6886">
          <w:rPr>
            <w:b/>
            <w:bCs/>
          </w:rPr>
          <w:t>2. Evaluation of the current market situation</w:t>
        </w:r>
      </w:hyperlink>
    </w:p>
    <w:p w14:paraId="35ABAC94" w14:textId="77777777" w:rsidR="00065B63" w:rsidRPr="001D6886" w:rsidRDefault="00000000" w:rsidP="001D6886">
      <w:pPr>
        <w:spacing w:after="100"/>
        <w:ind w:left="1440"/>
        <w:rPr>
          <w:b/>
          <w:bCs/>
        </w:rPr>
      </w:pPr>
      <w:hyperlink w:anchor="S3_2_1_Critical_PESTEL_analysis" w:history="1">
        <w:r w:rsidRPr="001D6886">
          <w:rPr>
            <w:b/>
            <w:bCs/>
          </w:rPr>
          <w:t>2.1 Critical PESTEL analysis</w:t>
        </w:r>
      </w:hyperlink>
    </w:p>
    <w:p w14:paraId="1608760C" w14:textId="77777777" w:rsidR="00065B63" w:rsidRPr="001D6886" w:rsidRDefault="00000000" w:rsidP="001D6886">
      <w:pPr>
        <w:spacing w:after="100"/>
        <w:ind w:left="720" w:firstLine="720"/>
        <w:rPr>
          <w:b/>
          <w:bCs/>
        </w:rPr>
      </w:pPr>
      <w:hyperlink w:anchor="S4_2_2_Five_Forces_analysis" w:history="1">
        <w:r w:rsidRPr="001D6886">
          <w:rPr>
            <w:b/>
            <w:bCs/>
          </w:rPr>
          <w:t>2.2 Porter's Five Forces analysis</w:t>
        </w:r>
      </w:hyperlink>
    </w:p>
    <w:p w14:paraId="5DA55A63" w14:textId="77777777" w:rsidR="00065B63" w:rsidRPr="001D6886" w:rsidRDefault="00000000" w:rsidP="001D6886">
      <w:pPr>
        <w:spacing w:after="100"/>
        <w:ind w:left="720" w:firstLine="720"/>
        <w:rPr>
          <w:b/>
          <w:bCs/>
        </w:rPr>
      </w:pPr>
      <w:hyperlink w:anchor="S5_2_3_SWOT_and_VRIO_synthesis" w:history="1">
        <w:r w:rsidRPr="001D6886">
          <w:rPr>
            <w:b/>
            <w:bCs/>
          </w:rPr>
          <w:t>2.3 SWOT and VRIO synthesis</w:t>
        </w:r>
      </w:hyperlink>
    </w:p>
    <w:p w14:paraId="2B89725D" w14:textId="77777777" w:rsidR="00065B63" w:rsidRPr="001D6886" w:rsidRDefault="00000000" w:rsidP="001D6886">
      <w:pPr>
        <w:spacing w:after="100"/>
        <w:ind w:left="720"/>
        <w:rPr>
          <w:b/>
          <w:bCs/>
        </w:rPr>
      </w:pPr>
      <w:hyperlink w:anchor="S6_3_Strategic_growth_options_a" w:history="1">
        <w:r w:rsidRPr="001D6886">
          <w:rPr>
            <w:b/>
            <w:bCs/>
          </w:rPr>
          <w:t>3. Strategic growth options and proposed strategy</w:t>
        </w:r>
      </w:hyperlink>
    </w:p>
    <w:p w14:paraId="52F530ED" w14:textId="77777777" w:rsidR="00065B63" w:rsidRPr="001D6886" w:rsidRDefault="00000000" w:rsidP="001D6886">
      <w:pPr>
        <w:spacing w:after="100"/>
        <w:ind w:firstLine="720"/>
        <w:rPr>
          <w:b/>
          <w:bCs/>
        </w:rPr>
      </w:pPr>
      <w:hyperlink w:anchor="S7_4_Strategy_evaluation_using_" w:history="1">
        <w:r w:rsidRPr="001D6886">
          <w:rPr>
            <w:b/>
            <w:bCs/>
          </w:rPr>
          <w:t>4. Strategy evaluation using SFA</w:t>
        </w:r>
      </w:hyperlink>
    </w:p>
    <w:p w14:paraId="2362D774" w14:textId="77777777" w:rsidR="00065B63" w:rsidRPr="001D6886" w:rsidRDefault="00000000" w:rsidP="001D6886">
      <w:pPr>
        <w:spacing w:after="100"/>
        <w:ind w:firstLine="720"/>
        <w:rPr>
          <w:b/>
          <w:bCs/>
        </w:rPr>
      </w:pPr>
      <w:hyperlink w:anchor="S8_5_Built_in_CSR_and_stakehold" w:history="1">
        <w:r w:rsidRPr="001D6886">
          <w:rPr>
            <w:b/>
            <w:bCs/>
          </w:rPr>
          <w:t>5. Built-in CSR and stakeholder analysis</w:t>
        </w:r>
      </w:hyperlink>
    </w:p>
    <w:p w14:paraId="21F05170" w14:textId="77777777" w:rsidR="00065B63" w:rsidRPr="001D6886" w:rsidRDefault="00000000" w:rsidP="001D6886">
      <w:pPr>
        <w:spacing w:after="100"/>
        <w:ind w:firstLine="720"/>
        <w:rPr>
          <w:b/>
          <w:bCs/>
        </w:rPr>
      </w:pPr>
      <w:hyperlink w:anchor="S9_6_Implementation_and_monitor" w:history="1">
        <w:r w:rsidRPr="001D6886">
          <w:rPr>
            <w:b/>
            <w:bCs/>
          </w:rPr>
          <w:t>6. Implementation and monitoring</w:t>
        </w:r>
      </w:hyperlink>
    </w:p>
    <w:p w14:paraId="1B70F66E" w14:textId="77777777" w:rsidR="00065B63" w:rsidRPr="001D6886" w:rsidRDefault="00000000" w:rsidP="001D6886">
      <w:pPr>
        <w:spacing w:after="100"/>
        <w:ind w:firstLine="720"/>
        <w:rPr>
          <w:b/>
          <w:bCs/>
        </w:rPr>
      </w:pPr>
      <w:hyperlink w:anchor="S10_7_Conclusion" w:history="1">
        <w:r w:rsidRPr="001D6886">
          <w:rPr>
            <w:b/>
            <w:bCs/>
          </w:rPr>
          <w:t>7. Conclusion</w:t>
        </w:r>
      </w:hyperlink>
    </w:p>
    <w:p w14:paraId="57AA8B0A" w14:textId="77777777" w:rsidR="00065B63" w:rsidRPr="001D6886" w:rsidRDefault="00000000" w:rsidP="001D6886">
      <w:pPr>
        <w:spacing w:after="100"/>
        <w:ind w:firstLine="720"/>
        <w:rPr>
          <w:b/>
          <w:bCs/>
        </w:rPr>
      </w:pPr>
      <w:hyperlink w:anchor="S11_8_Executive_summary" w:history="1">
        <w:r w:rsidRPr="001D6886">
          <w:rPr>
            <w:b/>
            <w:bCs/>
          </w:rPr>
          <w:t>8. Executive summary</w:t>
        </w:r>
      </w:hyperlink>
    </w:p>
    <w:p w14:paraId="44A4D77F" w14:textId="2C7BC630" w:rsidR="00065B63" w:rsidRPr="001D6886" w:rsidRDefault="001D6886" w:rsidP="001D6886">
      <w:pPr>
        <w:spacing w:after="100"/>
        <w:ind w:firstLine="720"/>
        <w:rPr>
          <w:b/>
          <w:bCs/>
        </w:rPr>
      </w:pPr>
      <w:r>
        <w:rPr>
          <w:b/>
          <w:bCs/>
        </w:rPr>
        <w:t xml:space="preserve">9. </w:t>
      </w:r>
      <w:hyperlink w:anchor="S12_Reference_list" w:history="1">
        <w:r w:rsidRPr="001D6886">
          <w:rPr>
            <w:b/>
            <w:bCs/>
          </w:rPr>
          <w:t>Reference list</w:t>
        </w:r>
      </w:hyperlink>
    </w:p>
    <w:p w14:paraId="02EC0D50" w14:textId="77777777" w:rsidR="00065B63" w:rsidRDefault="00000000" w:rsidP="001D6886">
      <w:pPr>
        <w:spacing w:after="100"/>
      </w:pPr>
      <w:r>
        <w:br w:type="page"/>
      </w:r>
    </w:p>
    <w:p w14:paraId="34C7784D" w14:textId="77777777" w:rsidR="00065B63" w:rsidRDefault="00000000">
      <w:pPr>
        <w:pStyle w:val="Heading1"/>
        <w:spacing w:before="160" w:after="80"/>
      </w:pPr>
      <w:bookmarkStart w:id="0" w:name="S1_1_Introduction_and_organisat"/>
      <w:r>
        <w:rPr>
          <w:rFonts w:ascii="Arial" w:eastAsia="Arial" w:hAnsi="Arial" w:cs="Arial"/>
        </w:rPr>
        <w:lastRenderedPageBreak/>
        <w:t>1. Introduction and organisational background</w:t>
      </w:r>
      <w:bookmarkEnd w:id="0"/>
    </w:p>
    <w:p w14:paraId="635EEB54" w14:textId="77777777" w:rsidR="00065B63" w:rsidRDefault="00000000">
      <w:pPr>
        <w:spacing w:after="100"/>
      </w:pPr>
      <w:r>
        <w:t>Vodafone operates mainly across Europe and Africa. In the UK, Vodafone UK and Three UK merged on 31 May 2025 to form VodafoneThree, backed by an £11 billion ten-year investment commitment. Vodafone initially owned 51%. Its May 2026 agreement to buy CK Hutchison's remaining stake for £4.3 billion was still awaiting approval at the time of writing, so this report does not assume full ownership (Vodafone Group, 2025a; 2026a).</w:t>
      </w:r>
    </w:p>
    <w:p w14:paraId="4B76DFB0" w14:textId="77777777" w:rsidR="00065B63" w:rsidRDefault="00000000">
      <w:pPr>
        <w:spacing w:after="100"/>
      </w:pPr>
      <w:r>
        <w:t xml:space="preserve">Vodafone's mission is to connect everyone, supported by an ambition to become a best-in-class telecoms company in Europe and Africa and a leading platform for business customers. Its priorities are customers, </w:t>
      </w:r>
      <w:proofErr w:type="gramStart"/>
      <w:r>
        <w:t>simplicity</w:t>
      </w:r>
      <w:proofErr w:type="gramEnd"/>
      <w:r>
        <w:t xml:space="preserve"> and growth. The Spirit of Vodafone asks employees to earn customer loyalty, create the future, </w:t>
      </w:r>
      <w:proofErr w:type="gramStart"/>
      <w:r>
        <w:t>experiment</w:t>
      </w:r>
      <w:proofErr w:type="gramEnd"/>
      <w:r>
        <w:t xml:space="preserve"> and learn quickly, and work together (Vodafone Group, 2026b; 2026c). These values matter only if they influence investment and customer decisions rather than remain corporate statements.</w:t>
      </w:r>
    </w:p>
    <w:p w14:paraId="2A704B8A" w14:textId="77777777" w:rsidR="00065B63" w:rsidRDefault="00000000">
      <w:pPr>
        <w:spacing w:after="100"/>
      </w:pPr>
      <w:r>
        <w:t>The merger has reduced a scale weakness, but it has not proved a sustainable advantage. The board must show that greater scale can improve service and create products customers value without weakening competition, employee capability or trust. PESTEL, Five Forces, SWOT and VRIO diagnose the position; TOWS generates options; SFA, CSR and stakeholder analysis test the preferred strategy.</w:t>
      </w:r>
    </w:p>
    <w:p w14:paraId="310EB67D" w14:textId="77777777" w:rsidR="00065B63" w:rsidRDefault="00000000">
      <w:pPr>
        <w:pStyle w:val="Heading1"/>
        <w:spacing w:before="160" w:after="80"/>
      </w:pPr>
      <w:bookmarkStart w:id="1" w:name="S2_2_Evaluation_of_the_current_"/>
      <w:r>
        <w:rPr>
          <w:rFonts w:ascii="Arial" w:eastAsia="Arial" w:hAnsi="Arial" w:cs="Arial"/>
        </w:rPr>
        <w:t>2. Evaluation of the current market situation</w:t>
      </w:r>
      <w:bookmarkEnd w:id="1"/>
    </w:p>
    <w:p w14:paraId="1C7BAC95" w14:textId="77777777" w:rsidR="00065B63" w:rsidRDefault="00000000">
      <w:pPr>
        <w:pStyle w:val="Heading2"/>
        <w:spacing w:before="160"/>
      </w:pPr>
      <w:bookmarkStart w:id="2" w:name="S3_2_1_Critical_PESTEL_analysis"/>
      <w:r>
        <w:rPr>
          <w:rFonts w:ascii="Arial" w:eastAsia="Arial" w:hAnsi="Arial" w:cs="Arial"/>
        </w:rPr>
        <w:t>2.1 Critical PESTEL analysis</w:t>
      </w:r>
      <w:bookmarkEnd w:id="2"/>
    </w:p>
    <w:p w14:paraId="4F989B6E" w14:textId="5BAC026D" w:rsidR="00065B63" w:rsidRDefault="00000000">
      <w:pPr>
        <w:spacing w:after="100"/>
      </w:pPr>
      <w:r>
        <w:t xml:space="preserve">Government policy supports advanced connectivity and cybersecurity, which strengthens the case for VodafoneThree's business services (Department for Science, Innovation and Technology, 2026). However, the CMA approved the merger only after identifying risks to prices and wholesale competition. Binding investment, tariff and MVNO commitments now limit how the company can monetise scale (Competition and Markets Authority, 2024; 2025). The £11 billion programme is therefore partly the price of approval, not simply evidence of strategic ambition. Returns must come from service, </w:t>
      </w:r>
      <w:proofErr w:type="gramStart"/>
      <w:r>
        <w:t>innovation</w:t>
      </w:r>
      <w:proofErr w:type="gramEnd"/>
      <w:r>
        <w:t xml:space="preserve"> and efficiency rather than market power. Supplier consolidation creates another trade-off: it may cut cost, but it also increases exposure to geopolitical and technical disruption. The board should accept some short-term procurement cost where it materially improves resilience.</w:t>
      </w:r>
    </w:p>
    <w:p w14:paraId="2C8FB9DB" w14:textId="0D5D9F11" w:rsidR="00065B63" w:rsidRDefault="00000000">
      <w:pPr>
        <w:spacing w:after="100"/>
      </w:pPr>
      <w:r>
        <w:t xml:space="preserve">UK growth remained weak and CPI inflation was 2.8% in May 2026, keeping customers price sensitive (Office for National Statistics, 2026a; 2026b). VodafoneThree's organic service-revenue growth was only 0.3% in FY2026; stronger reported growth mainly reflected the consolidation of Three UK (Vodafone Group, 2026d). The merger has enlarged the </w:t>
      </w:r>
      <w:proofErr w:type="gramStart"/>
      <w:r>
        <w:t>accounts, but</w:t>
      </w:r>
      <w:proofErr w:type="gramEnd"/>
      <w:r>
        <w:t xml:space="preserve"> has not yet </w:t>
      </w:r>
      <w:r>
        <w:lastRenderedPageBreak/>
        <w:t>demonstrated stronger demand. The expected £700 million annual synergies are forecasts, while integration disruption and about €0.4 billion of related FY2027 costs are more immediate (Vodafone Group, 2025a; 2026d). Cutting systems, stores or roles too quickly may improve cost ratios while worsening service and retention. This risk matters more because buying the remaining stake would increase pro-forma leverage by about 0.4 times (Vodafone Group, 2026a).</w:t>
      </w:r>
    </w:p>
    <w:p w14:paraId="20D9D9CE" w14:textId="70E609BA" w:rsidR="00065B63" w:rsidRDefault="00000000">
      <w:pPr>
        <w:spacing w:after="100"/>
      </w:pPr>
      <w:proofErr w:type="spellStart"/>
      <w:r>
        <w:t>Ofcom</w:t>
      </w:r>
      <w:proofErr w:type="spellEnd"/>
      <w:r>
        <w:t xml:space="preserve"> recorded wider rural coverage in the Vodafone and Three networks, but also placed Vodafone among the most complained-about major broadband providers (Ofcom, 2026a; 2026b). This contradiction matters more than either statistic alone. Better coverage has not consistently produced a better customer experience, so network advertising cannot substitute for reliable installation, </w:t>
      </w:r>
      <w:proofErr w:type="gramStart"/>
      <w:r>
        <w:t>billing</w:t>
      </w:r>
      <w:proofErr w:type="gramEnd"/>
      <w:r>
        <w:t xml:space="preserve"> and fault resolution. The merger also creates a workforce risk. If the synergy programme removes expertise or overloads remaining teams, it could weaken the service needed to retain customers. Reskilling and workload control are therefore part of the commercial case, not separate HR concerns.</w:t>
      </w:r>
    </w:p>
    <w:p w14:paraId="6085861B" w14:textId="4410279F" w:rsidR="00065B63" w:rsidRDefault="00000000">
      <w:pPr>
        <w:spacing w:after="100"/>
      </w:pPr>
      <w:r>
        <w:t>Standalone 5G, slicing, IoT and cybersecurity can support assured business outcomes, but technology does not create demand by itself. Vodafone's weaker UK business-project activity is evidence of that gap (Vodafone Group, 2026d). EE and Virgin Media O2 are also expanding standalone 5G and network investment, so coverage will not remain rare (EE, 2025; Virgin Media O2, 2025; 2026). VodafoneThree should therefore avoid selling a general '5G transformation' story. Its advantage must come from combining connectivity with security, sector knowledge and accountable service.</w:t>
      </w:r>
    </w:p>
    <w:p w14:paraId="7D76A494" w14:textId="3ACCCCC3" w:rsidR="00065B63" w:rsidRDefault="00000000">
      <w:pPr>
        <w:spacing w:after="100"/>
      </w:pPr>
      <w:r>
        <w:t>Network consolidation may remove duplicated equipment, but 5G expansion and data growth still consume energy and materials. An efficiency figure per gigabyte could improve while total use rises. Vodafone should therefore report absolute and intensity measures and make energy use, equipment reuse and e-waste part of procurement and product approval, not a separate sustainability claim.</w:t>
      </w:r>
    </w:p>
    <w:p w14:paraId="4B94BBC0" w14:textId="5DD8320D" w:rsidR="00065B63" w:rsidRDefault="00000000">
      <w:pPr>
        <w:spacing w:after="100"/>
      </w:pPr>
      <w:r>
        <w:t xml:space="preserve">Merger undertakings, consumer law, UK GDPR, open-internet </w:t>
      </w:r>
      <w:proofErr w:type="gramStart"/>
      <w:r>
        <w:t>rules</w:t>
      </w:r>
      <w:proofErr w:type="gramEnd"/>
      <w:r>
        <w:t xml:space="preserve"> and the Telecommunications Security Act constrain product design. Connected devices and location data create </w:t>
      </w:r>
      <w:proofErr w:type="gramStart"/>
      <w:r>
        <w:t>particular risks</w:t>
      </w:r>
      <w:proofErr w:type="gramEnd"/>
      <w:r>
        <w:t>. A technically workable service may still be unacceptable if it enables disproportionate monitoring or unfair network treatment. Data minimisation, privacy by design and cyber assurance should therefore be development gates rather than checks made shortly before launch (Information Commissioner's Office, 2026; UK Parliament, 2021).</w:t>
      </w:r>
    </w:p>
    <w:p w14:paraId="23F38380" w14:textId="77777777" w:rsidR="00065B63" w:rsidRDefault="00000000">
      <w:pPr>
        <w:pStyle w:val="Heading2"/>
        <w:spacing w:before="160"/>
      </w:pPr>
      <w:bookmarkStart w:id="3" w:name="S4_2_2_Five_Forces_analysis"/>
      <w:r>
        <w:rPr>
          <w:rFonts w:ascii="Arial" w:eastAsia="Arial" w:hAnsi="Arial" w:cs="Arial"/>
        </w:rPr>
        <w:t>2.2 Porter's Five Forces analysis</w:t>
      </w:r>
      <w:bookmarkEnd w:id="3"/>
    </w:p>
    <w:p w14:paraId="50089BAB" w14:textId="77777777" w:rsidR="00065B63" w:rsidRDefault="00000000">
      <w:r>
        <w:t xml:space="preserve">Porter's framework assesses how five structural forces influence industry profitability. It is used here as a critical test rather than a fixed checklist because the strength of each force differs across </w:t>
      </w:r>
      <w:r>
        <w:lastRenderedPageBreak/>
        <w:t>consumer mobile, broadband and enterprise services, while digital technologies blur traditional industry boundaries (Porter, 2008; Grundy, 2006; Dobbs, 2014).</w:t>
      </w:r>
    </w:p>
    <w:tbl>
      <w:tblPr>
        <w:tblStyle w:val="TableGrid"/>
        <w:tblW w:w="0" w:type="auto"/>
        <w:jc w:val="center"/>
        <w:tblLayout w:type="fixed"/>
        <w:tblLook w:val="04A0" w:firstRow="1" w:lastRow="0" w:firstColumn="1" w:lastColumn="0" w:noHBand="0" w:noVBand="1"/>
      </w:tblPr>
      <w:tblGrid>
        <w:gridCol w:w="1728"/>
        <w:gridCol w:w="4104"/>
        <w:gridCol w:w="3960"/>
      </w:tblGrid>
      <w:tr w:rsidR="00065B63" w14:paraId="69112CA4" w14:textId="77777777" w:rsidTr="00777FA2">
        <w:trPr>
          <w:cantSplit/>
          <w:jc w:val="center"/>
        </w:trPr>
        <w:tc>
          <w:tcPr>
            <w:tcW w:w="1728" w:type="dxa"/>
            <w:shd w:val="clear" w:color="auto" w:fill="CCC0D9" w:themeFill="accent4" w:themeFillTint="66"/>
            <w:vAlign w:val="center"/>
          </w:tcPr>
          <w:p w14:paraId="7548C49D" w14:textId="77777777" w:rsidR="00065B63" w:rsidRDefault="00000000">
            <w:pPr>
              <w:spacing w:after="40"/>
            </w:pPr>
            <w:r>
              <w:rPr>
                <w:b/>
              </w:rPr>
              <w:t>Force</w:t>
            </w:r>
          </w:p>
        </w:tc>
        <w:tc>
          <w:tcPr>
            <w:tcW w:w="4104" w:type="dxa"/>
            <w:shd w:val="clear" w:color="auto" w:fill="CCC0D9" w:themeFill="accent4" w:themeFillTint="66"/>
            <w:vAlign w:val="center"/>
          </w:tcPr>
          <w:p w14:paraId="03AB9E8B" w14:textId="77777777" w:rsidR="00065B63" w:rsidRDefault="00000000">
            <w:pPr>
              <w:spacing w:after="40"/>
            </w:pPr>
            <w:r>
              <w:rPr>
                <w:b/>
              </w:rPr>
              <w:t>Critical assessment</w:t>
            </w:r>
          </w:p>
        </w:tc>
        <w:tc>
          <w:tcPr>
            <w:tcW w:w="3960" w:type="dxa"/>
            <w:shd w:val="clear" w:color="auto" w:fill="CCC0D9" w:themeFill="accent4" w:themeFillTint="66"/>
            <w:vAlign w:val="center"/>
          </w:tcPr>
          <w:p w14:paraId="69EDF65D" w14:textId="77777777" w:rsidR="00065B63" w:rsidRDefault="00000000">
            <w:pPr>
              <w:spacing w:after="40"/>
            </w:pPr>
            <w:r>
              <w:rPr>
                <w:b/>
              </w:rPr>
              <w:t>Implication for VodafoneThree</w:t>
            </w:r>
          </w:p>
        </w:tc>
      </w:tr>
      <w:tr w:rsidR="00065B63" w14:paraId="4E5F660C" w14:textId="77777777" w:rsidTr="00777FA2">
        <w:trPr>
          <w:cantSplit/>
          <w:jc w:val="center"/>
        </w:trPr>
        <w:tc>
          <w:tcPr>
            <w:tcW w:w="1728" w:type="dxa"/>
            <w:shd w:val="clear" w:color="auto" w:fill="CCC0D9" w:themeFill="accent4" w:themeFillTint="66"/>
          </w:tcPr>
          <w:p w14:paraId="52EA8E22" w14:textId="77777777" w:rsidR="00065B63" w:rsidRDefault="00000000">
            <w:pPr>
              <w:spacing w:after="40"/>
            </w:pPr>
            <w:r>
              <w:t>Competitive rivalry</w:t>
            </w:r>
          </w:p>
        </w:tc>
        <w:tc>
          <w:tcPr>
            <w:tcW w:w="4104" w:type="dxa"/>
          </w:tcPr>
          <w:p w14:paraId="0B5B802D" w14:textId="77777777" w:rsidR="00065B63" w:rsidRDefault="00000000">
            <w:pPr>
              <w:spacing w:after="40"/>
            </w:pPr>
            <w:r>
              <w:t>High. EE and Virgin Media O2 have strong brands and continue to invest in standalone 5G. The merger reduces the number of network owners, but CMA remedies preserve wholesale competition and customer choice.</w:t>
            </w:r>
          </w:p>
        </w:tc>
        <w:tc>
          <w:tcPr>
            <w:tcW w:w="3960" w:type="dxa"/>
          </w:tcPr>
          <w:p w14:paraId="5050FF4F" w14:textId="77777777" w:rsidR="00065B63" w:rsidRDefault="00000000">
            <w:pPr>
              <w:spacing w:after="40"/>
            </w:pPr>
            <w:r>
              <w:t>Scale can reduce duplication, but it cannot justify weaker service or higher prices. VodafoneThree must compete through reliability and defined customer outcomes.</w:t>
            </w:r>
          </w:p>
        </w:tc>
      </w:tr>
      <w:tr w:rsidR="00065B63" w14:paraId="0233D482" w14:textId="77777777" w:rsidTr="00777FA2">
        <w:trPr>
          <w:cantSplit/>
          <w:jc w:val="center"/>
        </w:trPr>
        <w:tc>
          <w:tcPr>
            <w:tcW w:w="1728" w:type="dxa"/>
            <w:shd w:val="clear" w:color="auto" w:fill="CCC0D9" w:themeFill="accent4" w:themeFillTint="66"/>
          </w:tcPr>
          <w:p w14:paraId="3CDAA6DD" w14:textId="77777777" w:rsidR="00065B63" w:rsidRDefault="00000000">
            <w:pPr>
              <w:spacing w:after="40"/>
            </w:pPr>
            <w:r>
              <w:t>Buyer power</w:t>
            </w:r>
          </w:p>
        </w:tc>
        <w:tc>
          <w:tcPr>
            <w:tcW w:w="4104" w:type="dxa"/>
          </w:tcPr>
          <w:p w14:paraId="2B403139" w14:textId="77777777" w:rsidR="00065B63" w:rsidRDefault="00000000">
            <w:pPr>
              <w:spacing w:after="40"/>
            </w:pPr>
            <w:r>
              <w:t>High. Consumers can compare tariffs and switch, while enterprise buyers use tenders and demand evidence of return. Vodafone broadband complaints further weaken its negotiating position (Ofcom, 2026b).</w:t>
            </w:r>
          </w:p>
        </w:tc>
        <w:tc>
          <w:tcPr>
            <w:tcW w:w="3960" w:type="dxa"/>
          </w:tcPr>
          <w:p w14:paraId="58AD0F61" w14:textId="77777777" w:rsidR="00065B63" w:rsidRDefault="00000000">
            <w:pPr>
              <w:spacing w:after="40"/>
            </w:pPr>
            <w:r>
              <w:t>The company needs clearer contracts, faster problem resolution and services whose value can be measured, rather than relying on brand size.</w:t>
            </w:r>
          </w:p>
        </w:tc>
      </w:tr>
      <w:tr w:rsidR="00065B63" w14:paraId="6C88EE92" w14:textId="77777777" w:rsidTr="00777FA2">
        <w:trPr>
          <w:cantSplit/>
          <w:jc w:val="center"/>
        </w:trPr>
        <w:tc>
          <w:tcPr>
            <w:tcW w:w="1728" w:type="dxa"/>
            <w:shd w:val="clear" w:color="auto" w:fill="CCC0D9" w:themeFill="accent4" w:themeFillTint="66"/>
          </w:tcPr>
          <w:p w14:paraId="196C31A8" w14:textId="77777777" w:rsidR="00065B63" w:rsidRDefault="00000000">
            <w:pPr>
              <w:spacing w:after="40"/>
            </w:pPr>
            <w:r>
              <w:t>Supplier power</w:t>
            </w:r>
          </w:p>
        </w:tc>
        <w:tc>
          <w:tcPr>
            <w:tcW w:w="4104" w:type="dxa"/>
          </w:tcPr>
          <w:p w14:paraId="66B9B6E0" w14:textId="77777777" w:rsidR="00065B63" w:rsidRDefault="00000000">
            <w:pPr>
              <w:spacing w:after="40"/>
            </w:pPr>
            <w:r>
              <w:t>Moderate to high. Radio equipment, towers, cloud platforms and specialist security remain concentrated. Greater purchasing scale may lower prices, but a larger single contract can deepen technical lock-in.</w:t>
            </w:r>
          </w:p>
        </w:tc>
        <w:tc>
          <w:tcPr>
            <w:tcW w:w="3960" w:type="dxa"/>
          </w:tcPr>
          <w:p w14:paraId="7DA98CBB" w14:textId="77777777" w:rsidR="00065B63" w:rsidRDefault="00000000">
            <w:pPr>
              <w:spacing w:after="40"/>
            </w:pPr>
            <w:r>
              <w:t xml:space="preserve">Procurement should balance cost with resilience, </w:t>
            </w:r>
            <w:proofErr w:type="gramStart"/>
            <w:r>
              <w:t>interoperability</w:t>
            </w:r>
            <w:proofErr w:type="gramEnd"/>
            <w:r>
              <w:t xml:space="preserve"> and supplier diversity, even where this increases short-term complexity.</w:t>
            </w:r>
          </w:p>
        </w:tc>
      </w:tr>
      <w:tr w:rsidR="00065B63" w14:paraId="2ACF639F" w14:textId="77777777" w:rsidTr="00777FA2">
        <w:trPr>
          <w:cantSplit/>
          <w:jc w:val="center"/>
        </w:trPr>
        <w:tc>
          <w:tcPr>
            <w:tcW w:w="1728" w:type="dxa"/>
            <w:shd w:val="clear" w:color="auto" w:fill="CCC0D9" w:themeFill="accent4" w:themeFillTint="66"/>
          </w:tcPr>
          <w:p w14:paraId="5C3554FE" w14:textId="77777777" w:rsidR="00065B63" w:rsidRDefault="00000000">
            <w:pPr>
              <w:spacing w:after="40"/>
            </w:pPr>
            <w:r>
              <w:t>Threat of new entrants</w:t>
            </w:r>
          </w:p>
        </w:tc>
        <w:tc>
          <w:tcPr>
            <w:tcW w:w="4104" w:type="dxa"/>
          </w:tcPr>
          <w:p w14:paraId="050A7B27" w14:textId="77777777" w:rsidR="00065B63" w:rsidRDefault="00000000">
            <w:pPr>
              <w:spacing w:after="40"/>
            </w:pPr>
            <w:r>
              <w:t>Low for a national mobile network because spectrum, regulation and capital create barriers. It is moderate at the service layer, where MVNOs, cloud firms and private-network specialists can enter without building national infrastructure.</w:t>
            </w:r>
          </w:p>
        </w:tc>
        <w:tc>
          <w:tcPr>
            <w:tcW w:w="3960" w:type="dxa"/>
          </w:tcPr>
          <w:p w14:paraId="7E2349B3" w14:textId="77777777" w:rsidR="00065B63" w:rsidRDefault="00000000">
            <w:pPr>
              <w:spacing w:after="40"/>
            </w:pPr>
            <w:r>
              <w:t>VodafoneThree must protect the customer relationship and integration capability, not assume infrastructure ownership secures all profitable activity.</w:t>
            </w:r>
          </w:p>
        </w:tc>
      </w:tr>
      <w:tr w:rsidR="00065B63" w14:paraId="1FCD03F9" w14:textId="77777777" w:rsidTr="00777FA2">
        <w:trPr>
          <w:cantSplit/>
          <w:jc w:val="center"/>
        </w:trPr>
        <w:tc>
          <w:tcPr>
            <w:tcW w:w="1728" w:type="dxa"/>
            <w:shd w:val="clear" w:color="auto" w:fill="CCC0D9" w:themeFill="accent4" w:themeFillTint="66"/>
          </w:tcPr>
          <w:p w14:paraId="712D8D85" w14:textId="77777777" w:rsidR="00065B63" w:rsidRDefault="00000000">
            <w:pPr>
              <w:spacing w:after="40"/>
            </w:pPr>
            <w:r>
              <w:t>Threat of substitutes</w:t>
            </w:r>
          </w:p>
        </w:tc>
        <w:tc>
          <w:tcPr>
            <w:tcW w:w="4104" w:type="dxa"/>
          </w:tcPr>
          <w:p w14:paraId="7B9B2172" w14:textId="77777777" w:rsidR="00065B63" w:rsidRDefault="00000000">
            <w:pPr>
              <w:spacing w:after="40"/>
            </w:pPr>
            <w:r>
              <w:t xml:space="preserve">Moderate. Fibre, Wi-Fi, satellite connectivity and private 5G can replace parts of VodafoneThree's offer. The threat varies by location and use case rather than across the </w:t>
            </w:r>
            <w:proofErr w:type="gramStart"/>
            <w:r>
              <w:t>market as a whole</w:t>
            </w:r>
            <w:proofErr w:type="gramEnd"/>
            <w:r>
              <w:t>.</w:t>
            </w:r>
          </w:p>
        </w:tc>
        <w:tc>
          <w:tcPr>
            <w:tcW w:w="3960" w:type="dxa"/>
          </w:tcPr>
          <w:p w14:paraId="095F159E" w14:textId="77777777" w:rsidR="00065B63" w:rsidRDefault="00000000">
            <w:pPr>
              <w:spacing w:after="40"/>
            </w:pPr>
            <w:r>
              <w:t>Fixed-wireless and enterprise propositions should be approved using local demand and capacity evidence, not broad national assumptions.</w:t>
            </w:r>
          </w:p>
        </w:tc>
      </w:tr>
    </w:tbl>
    <w:p w14:paraId="171E3C6E" w14:textId="77777777" w:rsidR="00065B63" w:rsidRDefault="00000000">
      <w:r>
        <w:lastRenderedPageBreak/>
        <w:t>Taken together, the forces make the UK market unattractive for undifferentiated connectivity. The merger improves VodafoneThree's cost base and capacity, but rivalry, buyer power and service-level entry prevent those benefits from becoming an automatic advantage. The strategic response should combine merger efficiencies with focused differentiation and judge each opportunity by segment rather than treating the whole telecoms market as structurally identical.</w:t>
      </w:r>
    </w:p>
    <w:p w14:paraId="7E00FAAF" w14:textId="77777777" w:rsidR="00065B63" w:rsidRDefault="00000000">
      <w:pPr>
        <w:pStyle w:val="Heading2"/>
        <w:spacing w:before="160"/>
      </w:pPr>
      <w:bookmarkStart w:id="4" w:name="S5_2_3_SWOT_and_VRIO_synthesis"/>
      <w:r>
        <w:rPr>
          <w:rFonts w:ascii="Arial" w:eastAsia="Arial" w:hAnsi="Arial" w:cs="Arial"/>
        </w:rPr>
        <w:t>2.3 SWOT and VRIO synthesis</w:t>
      </w:r>
      <w:bookmarkEnd w:id="4"/>
    </w:p>
    <w:p w14:paraId="069E0AA8" w14:textId="46A00459" w:rsidR="00065B63" w:rsidRDefault="00000000">
      <w:pPr>
        <w:spacing w:after="100"/>
      </w:pPr>
      <w:r>
        <w:t>SWOT exposes one decisive interaction. VodafoneThree's scale, spectrum and digital capability can support industrial services, but integration weakness, complaints and regulatory duties can destroy value before those opportunities mature. The strongest opportunity is therefore not simply 'more 5G'. It is a narrow service that uses existing assets and can be tested without committing the whole network or customer base.</w:t>
      </w:r>
    </w:p>
    <w:tbl>
      <w:tblPr>
        <w:tblStyle w:val="TableGrid"/>
        <w:tblW w:w="0" w:type="auto"/>
        <w:jc w:val="center"/>
        <w:tblLook w:val="04A0" w:firstRow="1" w:lastRow="0" w:firstColumn="1" w:lastColumn="0" w:noHBand="0" w:noVBand="1"/>
      </w:tblPr>
      <w:tblGrid>
        <w:gridCol w:w="4896"/>
        <w:gridCol w:w="4896"/>
      </w:tblGrid>
      <w:tr w:rsidR="00894D50" w14:paraId="0B5FD6F4" w14:textId="77777777" w:rsidTr="00095E73">
        <w:trPr>
          <w:jc w:val="center"/>
        </w:trPr>
        <w:tc>
          <w:tcPr>
            <w:tcW w:w="4896" w:type="dxa"/>
            <w:shd w:val="clear" w:color="auto" w:fill="E5B8B7" w:themeFill="accent2" w:themeFillTint="66"/>
            <w:vAlign w:val="center"/>
          </w:tcPr>
          <w:p w14:paraId="69A9F984" w14:textId="77777777" w:rsidR="00894D50" w:rsidRDefault="00894D50" w:rsidP="00095E73">
            <w:r>
              <w:rPr>
                <w:b/>
              </w:rPr>
              <w:t>Strengths</w:t>
            </w:r>
          </w:p>
        </w:tc>
        <w:tc>
          <w:tcPr>
            <w:tcW w:w="4896" w:type="dxa"/>
            <w:shd w:val="clear" w:color="auto" w:fill="E5B8B7" w:themeFill="accent2" w:themeFillTint="66"/>
            <w:vAlign w:val="center"/>
          </w:tcPr>
          <w:p w14:paraId="38D62BEC" w14:textId="77777777" w:rsidR="00894D50" w:rsidRDefault="00894D50" w:rsidP="00095E73">
            <w:r>
              <w:rPr>
                <w:b/>
              </w:rPr>
              <w:t>Weaknesses</w:t>
            </w:r>
          </w:p>
        </w:tc>
      </w:tr>
      <w:tr w:rsidR="00894D50" w14:paraId="3E55D5A3" w14:textId="77777777" w:rsidTr="00095E73">
        <w:trPr>
          <w:jc w:val="center"/>
        </w:trPr>
        <w:tc>
          <w:tcPr>
            <w:tcW w:w="4896" w:type="dxa"/>
            <w:vAlign w:val="center"/>
          </w:tcPr>
          <w:p w14:paraId="76C5F66D" w14:textId="77777777" w:rsidR="00894D50" w:rsidRDefault="00894D50" w:rsidP="00095E73">
            <w:r>
              <w:t>Combined spectrum and national scale; £11 billion network commitment; IoT, cloud and cybersecurity capability.</w:t>
            </w:r>
          </w:p>
        </w:tc>
        <w:tc>
          <w:tcPr>
            <w:tcW w:w="4896" w:type="dxa"/>
            <w:vAlign w:val="center"/>
          </w:tcPr>
          <w:p w14:paraId="238B9EBF" w14:textId="77777777" w:rsidR="00894D50" w:rsidRDefault="00894D50" w:rsidP="00095E73">
            <w:r>
              <w:t>Complex integration; high broadband complaints; weak organic growth; pressure on business-project delivery.</w:t>
            </w:r>
          </w:p>
        </w:tc>
      </w:tr>
      <w:tr w:rsidR="00894D50" w14:paraId="32E5CDDB" w14:textId="77777777" w:rsidTr="00095E73">
        <w:trPr>
          <w:jc w:val="center"/>
        </w:trPr>
        <w:tc>
          <w:tcPr>
            <w:tcW w:w="4896" w:type="dxa"/>
            <w:vAlign w:val="center"/>
          </w:tcPr>
          <w:p w14:paraId="7DF1964B" w14:textId="77777777" w:rsidR="00894D50" w:rsidRDefault="00894D50" w:rsidP="00095E73">
            <w:r>
              <w:t xml:space="preserve">Opportunities: industrial </w:t>
            </w:r>
            <w:proofErr w:type="spellStart"/>
            <w:r>
              <w:t>digitalisation</w:t>
            </w:r>
            <w:proofErr w:type="spellEnd"/>
            <w:r>
              <w:t>; secure managed services; selective fixed-wireless access; transfer across existing Vodafone markets.</w:t>
            </w:r>
          </w:p>
        </w:tc>
        <w:tc>
          <w:tcPr>
            <w:tcW w:w="4896" w:type="dxa"/>
            <w:vAlign w:val="center"/>
          </w:tcPr>
          <w:p w14:paraId="381FB169" w14:textId="77777777" w:rsidR="00894D50" w:rsidRDefault="00894D50" w:rsidP="00095E73">
            <w:r>
              <w:t xml:space="preserve">Threats: EE and O2 investment; cyber incidents; regulatory enforcement; employee resistance; </w:t>
            </w:r>
            <w:proofErr w:type="spellStart"/>
            <w:r>
              <w:t>unrealised</w:t>
            </w:r>
            <w:proofErr w:type="spellEnd"/>
            <w:r>
              <w:t xml:space="preserve"> synergies.</w:t>
            </w:r>
          </w:p>
        </w:tc>
      </w:tr>
    </w:tbl>
    <w:p w14:paraId="03D3A693" w14:textId="77777777" w:rsidR="00894D50" w:rsidRDefault="00894D50">
      <w:pPr>
        <w:spacing w:after="100"/>
      </w:pPr>
    </w:p>
    <w:p w14:paraId="780B84E7" w14:textId="77777777" w:rsidR="00065B63" w:rsidRDefault="00000000">
      <w:pPr>
        <w:spacing w:after="100"/>
      </w:pPr>
      <w:r>
        <w:t xml:space="preserve">SWOT can become an unprioritised list (Pickton and Wright, 1998), so VRIO provides the firmer judgement. Scale, </w:t>
      </w:r>
      <w:proofErr w:type="gramStart"/>
      <w:r>
        <w:t>spectrum</w:t>
      </w:r>
      <w:proofErr w:type="gramEnd"/>
      <w:r>
        <w:t xml:space="preserve"> and brands are valuable but not rare enough to protect returns because rivals own comparable assets and can invest. Organisation is the unresolved test: VodafoneThree must integrate networks, billing, </w:t>
      </w:r>
      <w:proofErr w:type="gramStart"/>
      <w:r>
        <w:t>support</w:t>
      </w:r>
      <w:proofErr w:type="gramEnd"/>
      <w:r>
        <w:t xml:space="preserve"> and people without damaging trust. Complaints and weak organic growth show that this capability is not yet proven. The merger creates potential advantage; sustaining it requires faster sensing, testing and reconfiguration than competitors (Barney, 1991; Teece, 2007).</w:t>
      </w:r>
    </w:p>
    <w:p w14:paraId="6CF682C2" w14:textId="77777777" w:rsidR="00065B63" w:rsidRDefault="00065B63">
      <w:pPr>
        <w:spacing w:after="100"/>
      </w:pPr>
    </w:p>
    <w:p w14:paraId="2D7F645E" w14:textId="0B3A444A" w:rsidR="00894D50" w:rsidRDefault="00894D50">
      <w:pPr>
        <w:pStyle w:val="Heading1"/>
        <w:spacing w:before="160" w:after="80"/>
        <w:rPr>
          <w:rFonts w:ascii="Arial" w:eastAsia="Arial" w:hAnsi="Arial" w:cs="Arial"/>
        </w:rPr>
      </w:pPr>
      <w:bookmarkStart w:id="5" w:name="S6_3_Strategic_growth_options_a"/>
    </w:p>
    <w:p w14:paraId="555A9210" w14:textId="77777777" w:rsidR="00894D50" w:rsidRPr="00894D50" w:rsidRDefault="00894D50" w:rsidP="00894D50"/>
    <w:p w14:paraId="48033B98" w14:textId="713586C0" w:rsidR="00065B63" w:rsidRDefault="00000000">
      <w:pPr>
        <w:pStyle w:val="Heading1"/>
        <w:spacing w:before="160" w:after="80"/>
      </w:pPr>
      <w:r>
        <w:rPr>
          <w:rFonts w:ascii="Arial" w:eastAsia="Arial" w:hAnsi="Arial" w:cs="Arial"/>
        </w:rPr>
        <w:lastRenderedPageBreak/>
        <w:t>3. Strategic growth options and proposed strategy</w:t>
      </w:r>
      <w:bookmarkEnd w:id="5"/>
    </w:p>
    <w:p w14:paraId="3F121E72" w14:textId="77777777" w:rsidR="00065B63" w:rsidRDefault="00000000">
      <w:pPr>
        <w:spacing w:after="100"/>
      </w:pPr>
      <w:r>
        <w:t>TOWS is used to turn the diagnosis into choices (Weihrich, 1982). SO supports a secure business platform; WO makes service repair unavoidable; ST favours assured quality over discounting; and WT requires phased integration and compliance gates. These combinations produce three options rather than a single predetermined answer.</w:t>
      </w:r>
    </w:p>
    <w:p w14:paraId="3526C84B" w14:textId="77777777" w:rsidR="00065B63" w:rsidRDefault="00000000">
      <w:pPr>
        <w:spacing w:after="100"/>
      </w:pPr>
      <w:r>
        <w:t xml:space="preserve">Option 1: Trust-first market penetration. VodafoneThree could simplify bills and tariffs, improve complaint resolution and cross-sell mobile and broadband. This is Ansoff market penetration (Ansoff, 1957). It is feasible and addresses the clearest weakness, but it is mainly defensive. Rivals can copy simpler service, and discounts may only move customers between Vodafone-owned brands. Service repair is </w:t>
      </w:r>
      <w:proofErr w:type="gramStart"/>
      <w:r>
        <w:t>necessary, but</w:t>
      </w:r>
      <w:proofErr w:type="gramEnd"/>
      <w:r>
        <w:t xml:space="preserve"> cannot be the sole growth strategy.</w:t>
      </w:r>
    </w:p>
    <w:p w14:paraId="2BDEA6A9" w14:textId="77777777" w:rsidR="00065B63" w:rsidRDefault="00000000">
      <w:pPr>
        <w:spacing w:after="100"/>
      </w:pPr>
      <w:r>
        <w:t xml:space="preserve">Option 2: Selective fixed-wireless market development. Combined spectrum could serve homes and SMEs where fibre is weak. The social case is attractive, but the addressable gap is </w:t>
      </w:r>
      <w:proofErr w:type="gramStart"/>
      <w:r>
        <w:t>narrowing:</w:t>
      </w:r>
      <w:proofErr w:type="gramEnd"/>
      <w:r>
        <w:t xml:space="preserve"> full fibre reached 82% of UK homes and cheaper satellite services reduced the number without affordable decent broadband (Ofcom, 2026a). A national rollout could consume mobile capacity in areas where substitutes are improving. </w:t>
      </w:r>
      <w:proofErr w:type="gramStart"/>
      <w:r>
        <w:t>Fixed-wireless</w:t>
      </w:r>
      <w:proofErr w:type="gramEnd"/>
      <w:r>
        <w:t xml:space="preserve"> should be chosen postcode by postcode, not treated as the main growth engine.</w:t>
      </w:r>
    </w:p>
    <w:p w14:paraId="17AC6AD4" w14:textId="77777777" w:rsidR="00065B63" w:rsidRDefault="00000000">
      <w:pPr>
        <w:spacing w:after="100"/>
      </w:pPr>
      <w:r>
        <w:t xml:space="preserve">Option 3: VodafoneThree Connected Resilience. This focused product-development option targets medium-sized logistics, manufacturing, </w:t>
      </w:r>
      <w:proofErr w:type="gramStart"/>
      <w:r>
        <w:t>utility</w:t>
      </w:r>
      <w:proofErr w:type="gramEnd"/>
      <w:r>
        <w:t xml:space="preserve"> and infrastructure organisations. It combines standalone 5G, managed IoT, cloud integration and cybersecurity in one contract. The offer is built around measured outcomes such as lower downtime, secure site connectivity, asset visibility and faster recovery, not a general promise of '5G transformation'.</w:t>
      </w:r>
    </w:p>
    <w:p w14:paraId="4C8AFACA" w14:textId="77777777" w:rsidR="00065B63" w:rsidRDefault="00000000">
      <w:pPr>
        <w:spacing w:after="100"/>
      </w:pPr>
      <w:r>
        <w:t xml:space="preserve">The mid-market focus is deliberate. Large organisations often have established integrators, while small firms may lack adoption budgets. Medium-sized customers can face serious operational risk without the expertise to coordinate network, device, </w:t>
      </w:r>
      <w:proofErr w:type="gramStart"/>
      <w:r>
        <w:t>cloud</w:t>
      </w:r>
      <w:proofErr w:type="gramEnd"/>
      <w:r>
        <w:t xml:space="preserve"> and security suppliers. One accountable contract addresses that gap.</w:t>
      </w:r>
    </w:p>
    <w:p w14:paraId="0AC404EE" w14:textId="77777777" w:rsidR="00065B63" w:rsidRDefault="00000000">
      <w:pPr>
        <w:spacing w:after="100"/>
      </w:pPr>
      <w:r>
        <w:t xml:space="preserve">Within Ansoff, Connected Resilience is product development. In generic competitive strategy </w:t>
      </w:r>
      <w:proofErr w:type="gramStart"/>
      <w:r>
        <w:t>terms</w:t>
      </w:r>
      <w:proofErr w:type="gramEnd"/>
      <w:r>
        <w:t xml:space="preserve"> it is focused differentiation, supported by integration, assurance and trust rather than the lowest price. Campbell-Hunt's (2000) meta-analysis suggests that competitive strategy is more varied than a simple either-or choice, so cost discipline can support differentiation without becoming the main proposition. Initial use cases are secure multi-site manufacturing, logistics asset monitoring and resilient utility communications. Each must begin with a customer-defined problem, a financial </w:t>
      </w:r>
      <w:proofErr w:type="gramStart"/>
      <w:r>
        <w:t>baseline</w:t>
      </w:r>
      <w:proofErr w:type="gramEnd"/>
      <w:r>
        <w:t xml:space="preserve"> and a stop rule.</w:t>
      </w:r>
    </w:p>
    <w:p w14:paraId="471FFABB" w14:textId="0EA25F16" w:rsidR="00777FA2" w:rsidRDefault="00000000" w:rsidP="00894D50">
      <w:pPr>
        <w:spacing w:after="100"/>
      </w:pPr>
      <w:r>
        <w:t xml:space="preserve">Internationally, a transnational approach is more credible than another capital-intensive market entry. Core device, security and analytics modules can be shared across Vodafone's existing </w:t>
      </w:r>
      <w:r>
        <w:lastRenderedPageBreak/>
        <w:t>European and African operations, while contracts, data rules and applications remain local (Bartlett and Ghoshal, 1989). This creates scale without repeating the risks of geographic expansion for its own sake.</w:t>
      </w:r>
    </w:p>
    <w:p w14:paraId="53A1D0DF" w14:textId="562E3E7C" w:rsidR="00065B63" w:rsidRDefault="00000000">
      <w:pPr>
        <w:pStyle w:val="Heading3"/>
        <w:spacing w:after="80"/>
      </w:pPr>
      <w:r>
        <w:rPr>
          <w:rFonts w:ascii="Arial" w:eastAsia="Arial" w:hAnsi="Arial" w:cs="Arial"/>
        </w:rPr>
        <w:t>TOWS option-generation summary</w:t>
      </w:r>
    </w:p>
    <w:tbl>
      <w:tblPr>
        <w:tblStyle w:val="TableGrid"/>
        <w:tblW w:w="0" w:type="auto"/>
        <w:jc w:val="center"/>
        <w:tblLook w:val="04A0" w:firstRow="1" w:lastRow="0" w:firstColumn="1" w:lastColumn="0" w:noHBand="0" w:noVBand="1"/>
      </w:tblPr>
      <w:tblGrid>
        <w:gridCol w:w="3264"/>
        <w:gridCol w:w="3264"/>
        <w:gridCol w:w="3264"/>
      </w:tblGrid>
      <w:tr w:rsidR="00065B63" w14:paraId="1DE26671" w14:textId="77777777" w:rsidTr="00777FA2">
        <w:trPr>
          <w:cantSplit/>
          <w:jc w:val="center"/>
        </w:trPr>
        <w:tc>
          <w:tcPr>
            <w:tcW w:w="3264" w:type="dxa"/>
            <w:shd w:val="clear" w:color="auto" w:fill="E5B8B7" w:themeFill="accent2" w:themeFillTint="66"/>
            <w:vAlign w:val="center"/>
          </w:tcPr>
          <w:p w14:paraId="01D6DF0C" w14:textId="77777777" w:rsidR="00065B63" w:rsidRDefault="00000000">
            <w:pPr>
              <w:spacing w:after="100"/>
            </w:pPr>
            <w:r>
              <w:rPr>
                <w:b/>
              </w:rPr>
              <w:t>Combination</w:t>
            </w:r>
          </w:p>
        </w:tc>
        <w:tc>
          <w:tcPr>
            <w:tcW w:w="3264" w:type="dxa"/>
            <w:shd w:val="clear" w:color="auto" w:fill="E5B8B7" w:themeFill="accent2" w:themeFillTint="66"/>
            <w:vAlign w:val="center"/>
          </w:tcPr>
          <w:p w14:paraId="2B376F48" w14:textId="77777777" w:rsidR="00065B63" w:rsidRDefault="00000000">
            <w:pPr>
              <w:spacing w:after="100"/>
            </w:pPr>
            <w:r>
              <w:rPr>
                <w:b/>
              </w:rPr>
              <w:t>Evidence matched</w:t>
            </w:r>
          </w:p>
        </w:tc>
        <w:tc>
          <w:tcPr>
            <w:tcW w:w="3264" w:type="dxa"/>
            <w:shd w:val="clear" w:color="auto" w:fill="E5B8B7" w:themeFill="accent2" w:themeFillTint="66"/>
            <w:vAlign w:val="center"/>
          </w:tcPr>
          <w:p w14:paraId="08B4DF2D" w14:textId="77777777" w:rsidR="00065B63" w:rsidRDefault="00000000">
            <w:pPr>
              <w:spacing w:after="100"/>
            </w:pPr>
            <w:r>
              <w:rPr>
                <w:b/>
              </w:rPr>
              <w:t>Strategic response</w:t>
            </w:r>
          </w:p>
        </w:tc>
      </w:tr>
      <w:tr w:rsidR="00065B63" w14:paraId="76750D1C" w14:textId="77777777" w:rsidTr="00777FA2">
        <w:trPr>
          <w:cantSplit/>
          <w:jc w:val="center"/>
        </w:trPr>
        <w:tc>
          <w:tcPr>
            <w:tcW w:w="3264" w:type="dxa"/>
            <w:shd w:val="clear" w:color="auto" w:fill="E5B8B7" w:themeFill="accent2" w:themeFillTint="66"/>
            <w:tcMar>
              <w:top w:w="80" w:type="dxa"/>
              <w:left w:w="90" w:type="dxa"/>
              <w:bottom w:w="80" w:type="dxa"/>
              <w:right w:w="90" w:type="dxa"/>
            </w:tcMar>
            <w:vAlign w:val="center"/>
          </w:tcPr>
          <w:p w14:paraId="1180AD28" w14:textId="77777777" w:rsidR="00065B63" w:rsidRDefault="00000000">
            <w:pPr>
              <w:pStyle w:val="TableText"/>
              <w:spacing w:after="100"/>
            </w:pPr>
            <w:r>
              <w:t>SO</w:t>
            </w:r>
          </w:p>
        </w:tc>
        <w:tc>
          <w:tcPr>
            <w:tcW w:w="3264" w:type="dxa"/>
            <w:tcMar>
              <w:top w:w="80" w:type="dxa"/>
              <w:left w:w="90" w:type="dxa"/>
              <w:bottom w:w="80" w:type="dxa"/>
              <w:right w:w="90" w:type="dxa"/>
            </w:tcMar>
            <w:vAlign w:val="center"/>
          </w:tcPr>
          <w:p w14:paraId="107FA28A" w14:textId="77777777" w:rsidR="00065B63" w:rsidRDefault="00000000">
            <w:pPr>
              <w:pStyle w:val="TableText"/>
              <w:spacing w:after="100"/>
            </w:pPr>
            <w:r>
              <w:t>Scale and digital capability + industrial digitalisation</w:t>
            </w:r>
          </w:p>
        </w:tc>
        <w:tc>
          <w:tcPr>
            <w:tcW w:w="3264" w:type="dxa"/>
            <w:tcMar>
              <w:top w:w="80" w:type="dxa"/>
              <w:left w:w="90" w:type="dxa"/>
              <w:bottom w:w="80" w:type="dxa"/>
              <w:right w:w="90" w:type="dxa"/>
            </w:tcMar>
            <w:vAlign w:val="center"/>
          </w:tcPr>
          <w:p w14:paraId="0B8B34CB" w14:textId="77777777" w:rsidR="00065B63" w:rsidRDefault="00000000">
            <w:pPr>
              <w:pStyle w:val="TableText"/>
              <w:spacing w:after="100"/>
            </w:pPr>
            <w:r>
              <w:t>Connected Resilience platform</w:t>
            </w:r>
          </w:p>
        </w:tc>
      </w:tr>
      <w:tr w:rsidR="00065B63" w14:paraId="0D43BFBA" w14:textId="77777777" w:rsidTr="00777FA2">
        <w:trPr>
          <w:cantSplit/>
          <w:jc w:val="center"/>
        </w:trPr>
        <w:tc>
          <w:tcPr>
            <w:tcW w:w="3264" w:type="dxa"/>
            <w:shd w:val="clear" w:color="auto" w:fill="E5B8B7" w:themeFill="accent2" w:themeFillTint="66"/>
            <w:tcMar>
              <w:top w:w="80" w:type="dxa"/>
              <w:left w:w="90" w:type="dxa"/>
              <w:bottom w:w="80" w:type="dxa"/>
              <w:right w:w="90" w:type="dxa"/>
            </w:tcMar>
            <w:vAlign w:val="center"/>
          </w:tcPr>
          <w:p w14:paraId="0384E250" w14:textId="77777777" w:rsidR="00065B63" w:rsidRDefault="00000000">
            <w:pPr>
              <w:pStyle w:val="TableText"/>
              <w:spacing w:after="100"/>
            </w:pPr>
            <w:r>
              <w:t>WO</w:t>
            </w:r>
          </w:p>
        </w:tc>
        <w:tc>
          <w:tcPr>
            <w:tcW w:w="3264" w:type="dxa"/>
            <w:tcMar>
              <w:top w:w="80" w:type="dxa"/>
              <w:left w:w="90" w:type="dxa"/>
              <w:bottom w:w="80" w:type="dxa"/>
              <w:right w:w="90" w:type="dxa"/>
            </w:tcMar>
            <w:vAlign w:val="center"/>
          </w:tcPr>
          <w:p w14:paraId="1BEAC359" w14:textId="77777777" w:rsidR="00065B63" w:rsidRDefault="00000000">
            <w:pPr>
              <w:pStyle w:val="TableText"/>
              <w:spacing w:after="100"/>
            </w:pPr>
            <w:r>
              <w:t>Service weakness + demand for reliability</w:t>
            </w:r>
          </w:p>
        </w:tc>
        <w:tc>
          <w:tcPr>
            <w:tcW w:w="3264" w:type="dxa"/>
            <w:tcMar>
              <w:top w:w="80" w:type="dxa"/>
              <w:left w:w="90" w:type="dxa"/>
              <w:bottom w:w="80" w:type="dxa"/>
              <w:right w:w="90" w:type="dxa"/>
            </w:tcMar>
            <w:vAlign w:val="center"/>
          </w:tcPr>
          <w:p w14:paraId="1854EE39" w14:textId="77777777" w:rsidR="00065B63" w:rsidRDefault="00000000">
            <w:pPr>
              <w:pStyle w:val="TableText"/>
              <w:spacing w:after="100"/>
            </w:pPr>
            <w:r>
              <w:t>Trust-first service repair</w:t>
            </w:r>
          </w:p>
        </w:tc>
      </w:tr>
      <w:tr w:rsidR="00065B63" w14:paraId="343DC0D7" w14:textId="77777777" w:rsidTr="00777FA2">
        <w:trPr>
          <w:cantSplit/>
          <w:jc w:val="center"/>
        </w:trPr>
        <w:tc>
          <w:tcPr>
            <w:tcW w:w="3264" w:type="dxa"/>
            <w:shd w:val="clear" w:color="auto" w:fill="E5B8B7" w:themeFill="accent2" w:themeFillTint="66"/>
            <w:tcMar>
              <w:top w:w="80" w:type="dxa"/>
              <w:left w:w="90" w:type="dxa"/>
              <w:bottom w:w="80" w:type="dxa"/>
              <w:right w:w="90" w:type="dxa"/>
            </w:tcMar>
            <w:vAlign w:val="center"/>
          </w:tcPr>
          <w:p w14:paraId="7B1EECD4" w14:textId="77777777" w:rsidR="00065B63" w:rsidRDefault="00000000">
            <w:pPr>
              <w:pStyle w:val="TableText"/>
              <w:spacing w:after="100"/>
            </w:pPr>
            <w:r>
              <w:t>ST</w:t>
            </w:r>
          </w:p>
        </w:tc>
        <w:tc>
          <w:tcPr>
            <w:tcW w:w="3264" w:type="dxa"/>
            <w:tcMar>
              <w:top w:w="80" w:type="dxa"/>
              <w:left w:w="90" w:type="dxa"/>
              <w:bottom w:w="80" w:type="dxa"/>
              <w:right w:w="90" w:type="dxa"/>
            </w:tcMar>
            <w:vAlign w:val="center"/>
          </w:tcPr>
          <w:p w14:paraId="6C706BF0" w14:textId="77777777" w:rsidR="00065B63" w:rsidRDefault="00000000">
            <w:pPr>
              <w:pStyle w:val="TableText"/>
              <w:spacing w:after="100"/>
            </w:pPr>
            <w:r>
              <w:t>Spectrum strength + rival investment</w:t>
            </w:r>
          </w:p>
        </w:tc>
        <w:tc>
          <w:tcPr>
            <w:tcW w:w="3264" w:type="dxa"/>
            <w:tcMar>
              <w:top w:w="80" w:type="dxa"/>
              <w:left w:w="90" w:type="dxa"/>
              <w:bottom w:w="80" w:type="dxa"/>
              <w:right w:w="90" w:type="dxa"/>
            </w:tcMar>
            <w:vAlign w:val="center"/>
          </w:tcPr>
          <w:p w14:paraId="2FE9B7D2" w14:textId="77777777" w:rsidR="00065B63" w:rsidRDefault="00000000">
            <w:pPr>
              <w:pStyle w:val="TableText"/>
              <w:spacing w:after="100"/>
            </w:pPr>
            <w:r>
              <w:t>Assured quality, not blanket discounting</w:t>
            </w:r>
          </w:p>
        </w:tc>
      </w:tr>
      <w:tr w:rsidR="00065B63" w14:paraId="31E71520" w14:textId="77777777" w:rsidTr="00777FA2">
        <w:trPr>
          <w:cantSplit/>
          <w:jc w:val="center"/>
        </w:trPr>
        <w:tc>
          <w:tcPr>
            <w:tcW w:w="3264" w:type="dxa"/>
            <w:shd w:val="clear" w:color="auto" w:fill="E5B8B7" w:themeFill="accent2" w:themeFillTint="66"/>
            <w:tcMar>
              <w:top w:w="80" w:type="dxa"/>
              <w:left w:w="90" w:type="dxa"/>
              <w:bottom w:w="80" w:type="dxa"/>
              <w:right w:w="90" w:type="dxa"/>
            </w:tcMar>
            <w:vAlign w:val="center"/>
          </w:tcPr>
          <w:p w14:paraId="401BD1DF" w14:textId="77777777" w:rsidR="00065B63" w:rsidRDefault="00000000">
            <w:pPr>
              <w:pStyle w:val="TableText"/>
              <w:spacing w:after="100"/>
            </w:pPr>
            <w:r>
              <w:t>WT</w:t>
            </w:r>
          </w:p>
        </w:tc>
        <w:tc>
          <w:tcPr>
            <w:tcW w:w="3264" w:type="dxa"/>
            <w:tcMar>
              <w:top w:w="80" w:type="dxa"/>
              <w:left w:w="90" w:type="dxa"/>
              <w:bottom w:w="80" w:type="dxa"/>
              <w:right w:w="90" w:type="dxa"/>
            </w:tcMar>
            <w:vAlign w:val="center"/>
          </w:tcPr>
          <w:p w14:paraId="064F22B8" w14:textId="77777777" w:rsidR="00065B63" w:rsidRDefault="00000000">
            <w:pPr>
              <w:pStyle w:val="TableText"/>
              <w:spacing w:after="100"/>
            </w:pPr>
            <w:r>
              <w:t>Integration complexity + cyber/regulatory threats</w:t>
            </w:r>
          </w:p>
        </w:tc>
        <w:tc>
          <w:tcPr>
            <w:tcW w:w="3264" w:type="dxa"/>
            <w:tcMar>
              <w:top w:w="80" w:type="dxa"/>
              <w:left w:w="90" w:type="dxa"/>
              <w:bottom w:w="80" w:type="dxa"/>
              <w:right w:w="90" w:type="dxa"/>
            </w:tcMar>
            <w:vAlign w:val="center"/>
          </w:tcPr>
          <w:p w14:paraId="24F3A3FE" w14:textId="77777777" w:rsidR="00065B63" w:rsidRDefault="00000000">
            <w:pPr>
              <w:pStyle w:val="TableText"/>
              <w:spacing w:after="100"/>
            </w:pPr>
            <w:r>
              <w:t>Phased migration and compliance gates</w:t>
            </w:r>
          </w:p>
        </w:tc>
      </w:tr>
    </w:tbl>
    <w:p w14:paraId="786C0494" w14:textId="77777777" w:rsidR="000A4EFE" w:rsidRDefault="000A4EFE">
      <w:pPr>
        <w:pStyle w:val="Heading1"/>
        <w:spacing w:before="160" w:after="80"/>
        <w:rPr>
          <w:rFonts w:ascii="Arial" w:eastAsia="Arial" w:hAnsi="Arial" w:cs="Arial"/>
        </w:rPr>
      </w:pPr>
      <w:bookmarkStart w:id="6" w:name="S7_4_Strategy_evaluation_using_"/>
    </w:p>
    <w:p w14:paraId="09223BE7" w14:textId="51F328AB" w:rsidR="00065B63" w:rsidRDefault="00000000">
      <w:pPr>
        <w:pStyle w:val="Heading1"/>
        <w:spacing w:before="160" w:after="80"/>
      </w:pPr>
      <w:r>
        <w:rPr>
          <w:rFonts w:ascii="Arial" w:eastAsia="Arial" w:hAnsi="Arial" w:cs="Arial"/>
        </w:rPr>
        <w:t>4. Strategy evaluation using SFA</w:t>
      </w:r>
      <w:bookmarkEnd w:id="6"/>
    </w:p>
    <w:p w14:paraId="0160C724" w14:textId="77777777" w:rsidR="00065B63" w:rsidRDefault="00000000">
      <w:pPr>
        <w:spacing w:after="100"/>
      </w:pPr>
      <w:r>
        <w:t>SFA prevents an attractive idea being mistaken for an implementable strategy (Whittington et al., 2020). Suitability is weighted at 40%, feasibility at 35% and acceptability at 25%. These are explicit planning assumptions, chosen because strategic fit matters most but integration capacity cannot be ignored.</w:t>
      </w:r>
    </w:p>
    <w:p w14:paraId="78C468B9" w14:textId="77777777" w:rsidR="00065B63" w:rsidRDefault="00000000">
      <w:pPr>
        <w:spacing w:after="100"/>
      </w:pPr>
      <w:r>
        <w:t>Suitability. Connected Resilience addresses rivalry and buyer power by reducing direct price comparison and using Vodafone's network, IoT and security capabilities. Market penetration improves retention but is easy to imitate. Fixed-wireless is attractive only where local fibre, satellite and mobile-capacity conditions support it.</w:t>
      </w:r>
    </w:p>
    <w:p w14:paraId="21F26756" w14:textId="77777777" w:rsidR="00065B63" w:rsidRDefault="00000000">
      <w:pPr>
        <w:spacing w:after="100"/>
      </w:pPr>
      <w:r>
        <w:t>Feasibility. VodafoneThree owns many technical building blocks, but system integration, weak business-project momentum and limited sector-selling skills remain constraints. The report assumes a ring-fenced £45 million budget over 24 months; this is not a published commitment. Twenty per cent should fund discovery, 40% paid pilots, and the balance should be released only after conversion. This prevents the network programme being used to justify unrelated spending.</w:t>
      </w:r>
    </w:p>
    <w:p w14:paraId="6B73236F" w14:textId="77777777" w:rsidR="00065B63" w:rsidRDefault="00000000">
      <w:pPr>
        <w:spacing w:after="100"/>
      </w:pPr>
      <w:r>
        <w:t xml:space="preserve">Acceptability. Shareholders may support recurring revenue, but not open-ended innovation while leverage and integration costs rise. Employees may value new skills but resist excessive workloads </w:t>
      </w:r>
      <w:r>
        <w:lastRenderedPageBreak/>
        <w:t xml:space="preserve">or unfair restructuring. Customers need measurable returns and clear liability. Regulators may support productive 5G use, but not weak privacy, </w:t>
      </w:r>
      <w:proofErr w:type="gramStart"/>
      <w:r>
        <w:t>discrimination</w:t>
      </w:r>
      <w:proofErr w:type="gramEnd"/>
      <w:r>
        <w:t xml:space="preserve"> or breaches of merger undertakings.</w:t>
      </w:r>
    </w:p>
    <w:p w14:paraId="3B234752" w14:textId="49AF498F" w:rsidR="00065B63" w:rsidRDefault="00000000">
      <w:pPr>
        <w:spacing w:after="100"/>
      </w:pPr>
      <w:r>
        <w:t>The result is sensitive to the weights. If feasibility represented more than half of the decision, lower-risk market penetration could win. Connected Resilience should therefore be a staged growth platform, while trust-first service repair remains a compulsory workstream. Commercial, workforce, privacy and security gates must have authority to delay or stop scaling.</w:t>
      </w:r>
    </w:p>
    <w:p w14:paraId="64A5D661" w14:textId="0C92C636" w:rsidR="000A43D7" w:rsidRDefault="000A43D7">
      <w:pPr>
        <w:spacing w:after="100"/>
      </w:pPr>
      <w:r>
        <w:t xml:space="preserve">The recommendation depends on several assumptions. These include medium-sized firms being willing to purchase an integrated service, </w:t>
      </w:r>
      <w:proofErr w:type="spellStart"/>
      <w:r>
        <w:t>VodafoneThree</w:t>
      </w:r>
      <w:proofErr w:type="spellEnd"/>
      <w:r>
        <w:t xml:space="preserve"> being able to combine its technical capabilities successfully, and the assumed £45 million development budget being available. Confidence in customer willingness to pay is moderate rather than high because no primary customer interviews were conducted. Paid pilots are therefore used to test demand before national scaling.</w:t>
      </w:r>
    </w:p>
    <w:p w14:paraId="5373E124" w14:textId="77777777" w:rsidR="00065B63" w:rsidRDefault="00000000">
      <w:pPr>
        <w:pStyle w:val="Heading3"/>
        <w:spacing w:after="80"/>
      </w:pPr>
      <w:r>
        <w:rPr>
          <w:rFonts w:ascii="Arial" w:eastAsia="Arial" w:hAnsi="Arial" w:cs="Arial"/>
        </w:rPr>
        <w:t>Weighted SFA comparison</w:t>
      </w:r>
    </w:p>
    <w:tbl>
      <w:tblPr>
        <w:tblStyle w:val="TableGrid"/>
        <w:tblW w:w="0" w:type="auto"/>
        <w:jc w:val="center"/>
        <w:tblLook w:val="04A0" w:firstRow="1" w:lastRow="0" w:firstColumn="1" w:lastColumn="0" w:noHBand="0" w:noVBand="1"/>
      </w:tblPr>
      <w:tblGrid>
        <w:gridCol w:w="1958"/>
        <w:gridCol w:w="1958"/>
        <w:gridCol w:w="1958"/>
        <w:gridCol w:w="1958"/>
        <w:gridCol w:w="1958"/>
      </w:tblGrid>
      <w:tr w:rsidR="00065B63" w14:paraId="3F18EA1D" w14:textId="77777777">
        <w:trPr>
          <w:cantSplit/>
          <w:jc w:val="center"/>
        </w:trPr>
        <w:tc>
          <w:tcPr>
            <w:tcW w:w="1958" w:type="dxa"/>
            <w:shd w:val="clear" w:color="auto" w:fill="D9D9D9"/>
            <w:vAlign w:val="center"/>
          </w:tcPr>
          <w:p w14:paraId="1F90FF71" w14:textId="77777777" w:rsidR="00065B63" w:rsidRDefault="00000000">
            <w:pPr>
              <w:spacing w:after="100"/>
            </w:pPr>
            <w:r>
              <w:rPr>
                <w:b/>
              </w:rPr>
              <w:t>Option</w:t>
            </w:r>
          </w:p>
        </w:tc>
        <w:tc>
          <w:tcPr>
            <w:tcW w:w="1958" w:type="dxa"/>
            <w:shd w:val="clear" w:color="auto" w:fill="D9D9D9"/>
            <w:vAlign w:val="center"/>
          </w:tcPr>
          <w:p w14:paraId="18A451F8" w14:textId="77777777" w:rsidR="00065B63" w:rsidRDefault="00000000">
            <w:pPr>
              <w:spacing w:after="100"/>
            </w:pPr>
            <w:r>
              <w:rPr>
                <w:b/>
              </w:rPr>
              <w:t>Suitability 40%</w:t>
            </w:r>
          </w:p>
        </w:tc>
        <w:tc>
          <w:tcPr>
            <w:tcW w:w="1958" w:type="dxa"/>
            <w:shd w:val="clear" w:color="auto" w:fill="D9D9D9"/>
            <w:vAlign w:val="center"/>
          </w:tcPr>
          <w:p w14:paraId="72E9483E" w14:textId="77777777" w:rsidR="00065B63" w:rsidRDefault="00000000">
            <w:pPr>
              <w:spacing w:after="100"/>
            </w:pPr>
            <w:r>
              <w:rPr>
                <w:b/>
              </w:rPr>
              <w:t>Feasibility 35%</w:t>
            </w:r>
          </w:p>
        </w:tc>
        <w:tc>
          <w:tcPr>
            <w:tcW w:w="1958" w:type="dxa"/>
            <w:shd w:val="clear" w:color="auto" w:fill="D9D9D9"/>
            <w:vAlign w:val="center"/>
          </w:tcPr>
          <w:p w14:paraId="7A8578B7" w14:textId="77777777" w:rsidR="00065B63" w:rsidRDefault="00000000">
            <w:pPr>
              <w:spacing w:after="100"/>
            </w:pPr>
            <w:r>
              <w:rPr>
                <w:b/>
              </w:rPr>
              <w:t>Acceptability 25%</w:t>
            </w:r>
          </w:p>
        </w:tc>
        <w:tc>
          <w:tcPr>
            <w:tcW w:w="1958" w:type="dxa"/>
            <w:shd w:val="clear" w:color="auto" w:fill="D9D9D9"/>
            <w:vAlign w:val="center"/>
          </w:tcPr>
          <w:p w14:paraId="6D7510F8" w14:textId="77777777" w:rsidR="00065B63" w:rsidRDefault="00000000">
            <w:pPr>
              <w:spacing w:after="100"/>
            </w:pPr>
            <w:r>
              <w:rPr>
                <w:b/>
              </w:rPr>
              <w:t>Weighted total</w:t>
            </w:r>
          </w:p>
        </w:tc>
      </w:tr>
      <w:tr w:rsidR="00065B63" w14:paraId="2ABA975C" w14:textId="77777777">
        <w:trPr>
          <w:cantSplit/>
          <w:jc w:val="center"/>
        </w:trPr>
        <w:tc>
          <w:tcPr>
            <w:tcW w:w="1958" w:type="dxa"/>
            <w:tcMar>
              <w:top w:w="80" w:type="dxa"/>
              <w:left w:w="80" w:type="dxa"/>
              <w:bottom w:w="80" w:type="dxa"/>
              <w:right w:w="80" w:type="dxa"/>
            </w:tcMar>
            <w:vAlign w:val="center"/>
          </w:tcPr>
          <w:p w14:paraId="39DA234B" w14:textId="77777777" w:rsidR="00065B63" w:rsidRDefault="00000000">
            <w:pPr>
              <w:pStyle w:val="TableText"/>
              <w:spacing w:after="100"/>
            </w:pPr>
            <w:r>
              <w:t>Trust-first penetration</w:t>
            </w:r>
          </w:p>
        </w:tc>
        <w:tc>
          <w:tcPr>
            <w:tcW w:w="1958" w:type="dxa"/>
            <w:tcMar>
              <w:top w:w="80" w:type="dxa"/>
              <w:left w:w="80" w:type="dxa"/>
              <w:bottom w:w="80" w:type="dxa"/>
              <w:right w:w="80" w:type="dxa"/>
            </w:tcMar>
            <w:vAlign w:val="center"/>
          </w:tcPr>
          <w:p w14:paraId="0088B60A" w14:textId="77777777" w:rsidR="00065B63" w:rsidRDefault="00000000">
            <w:pPr>
              <w:pStyle w:val="TableText"/>
              <w:spacing w:after="100"/>
            </w:pPr>
            <w:r>
              <w:t>3.5</w:t>
            </w:r>
          </w:p>
        </w:tc>
        <w:tc>
          <w:tcPr>
            <w:tcW w:w="1958" w:type="dxa"/>
            <w:tcMar>
              <w:top w:w="80" w:type="dxa"/>
              <w:left w:w="80" w:type="dxa"/>
              <w:bottom w:w="80" w:type="dxa"/>
              <w:right w:w="80" w:type="dxa"/>
            </w:tcMar>
            <w:vAlign w:val="center"/>
          </w:tcPr>
          <w:p w14:paraId="17BC3D2E" w14:textId="77777777" w:rsidR="00065B63" w:rsidRDefault="00000000">
            <w:pPr>
              <w:pStyle w:val="TableText"/>
              <w:spacing w:after="100"/>
            </w:pPr>
            <w:r>
              <w:t>4.5</w:t>
            </w:r>
          </w:p>
        </w:tc>
        <w:tc>
          <w:tcPr>
            <w:tcW w:w="1958" w:type="dxa"/>
            <w:tcMar>
              <w:top w:w="80" w:type="dxa"/>
              <w:left w:w="80" w:type="dxa"/>
              <w:bottom w:w="80" w:type="dxa"/>
              <w:right w:w="80" w:type="dxa"/>
            </w:tcMar>
            <w:vAlign w:val="center"/>
          </w:tcPr>
          <w:p w14:paraId="2B83D33F" w14:textId="77777777" w:rsidR="00065B63" w:rsidRDefault="00000000">
            <w:pPr>
              <w:pStyle w:val="TableText"/>
              <w:spacing w:after="100"/>
            </w:pPr>
            <w:r>
              <w:t>4.0</w:t>
            </w:r>
          </w:p>
        </w:tc>
        <w:tc>
          <w:tcPr>
            <w:tcW w:w="1958" w:type="dxa"/>
            <w:tcMar>
              <w:top w:w="80" w:type="dxa"/>
              <w:left w:w="80" w:type="dxa"/>
              <w:bottom w:w="80" w:type="dxa"/>
              <w:right w:w="80" w:type="dxa"/>
            </w:tcMar>
            <w:vAlign w:val="center"/>
          </w:tcPr>
          <w:p w14:paraId="7B4BEC71" w14:textId="77777777" w:rsidR="00065B63" w:rsidRDefault="00000000">
            <w:pPr>
              <w:pStyle w:val="TableText"/>
              <w:spacing w:after="100"/>
            </w:pPr>
            <w:r>
              <w:t>4.00</w:t>
            </w:r>
          </w:p>
        </w:tc>
      </w:tr>
      <w:tr w:rsidR="00065B63" w14:paraId="46256A0A" w14:textId="77777777">
        <w:trPr>
          <w:cantSplit/>
          <w:jc w:val="center"/>
        </w:trPr>
        <w:tc>
          <w:tcPr>
            <w:tcW w:w="1958" w:type="dxa"/>
            <w:tcMar>
              <w:top w:w="80" w:type="dxa"/>
              <w:left w:w="80" w:type="dxa"/>
              <w:bottom w:w="80" w:type="dxa"/>
              <w:right w:w="80" w:type="dxa"/>
            </w:tcMar>
            <w:vAlign w:val="center"/>
          </w:tcPr>
          <w:p w14:paraId="534D80A8" w14:textId="77777777" w:rsidR="00065B63" w:rsidRDefault="00000000">
            <w:pPr>
              <w:pStyle w:val="TableText"/>
              <w:spacing w:after="100"/>
            </w:pPr>
            <w:r>
              <w:t>Selective fixed-wireless</w:t>
            </w:r>
          </w:p>
        </w:tc>
        <w:tc>
          <w:tcPr>
            <w:tcW w:w="1958" w:type="dxa"/>
            <w:tcMar>
              <w:top w:w="80" w:type="dxa"/>
              <w:left w:w="80" w:type="dxa"/>
              <w:bottom w:w="80" w:type="dxa"/>
              <w:right w:w="80" w:type="dxa"/>
            </w:tcMar>
            <w:vAlign w:val="center"/>
          </w:tcPr>
          <w:p w14:paraId="5F4D9DDF" w14:textId="77777777" w:rsidR="00065B63" w:rsidRDefault="00000000">
            <w:pPr>
              <w:pStyle w:val="TableText"/>
              <w:spacing w:after="100"/>
            </w:pPr>
            <w:r>
              <w:t>3.0</w:t>
            </w:r>
          </w:p>
        </w:tc>
        <w:tc>
          <w:tcPr>
            <w:tcW w:w="1958" w:type="dxa"/>
            <w:tcMar>
              <w:top w:w="80" w:type="dxa"/>
              <w:left w:w="80" w:type="dxa"/>
              <w:bottom w:w="80" w:type="dxa"/>
              <w:right w:w="80" w:type="dxa"/>
            </w:tcMar>
            <w:vAlign w:val="center"/>
          </w:tcPr>
          <w:p w14:paraId="3FAE62FB" w14:textId="77777777" w:rsidR="00065B63" w:rsidRDefault="00000000">
            <w:pPr>
              <w:pStyle w:val="TableText"/>
              <w:spacing w:after="100"/>
            </w:pPr>
            <w:r>
              <w:t>3.5</w:t>
            </w:r>
          </w:p>
        </w:tc>
        <w:tc>
          <w:tcPr>
            <w:tcW w:w="1958" w:type="dxa"/>
            <w:tcMar>
              <w:top w:w="80" w:type="dxa"/>
              <w:left w:w="80" w:type="dxa"/>
              <w:bottom w:w="80" w:type="dxa"/>
              <w:right w:w="80" w:type="dxa"/>
            </w:tcMar>
            <w:vAlign w:val="center"/>
          </w:tcPr>
          <w:p w14:paraId="20181166" w14:textId="77777777" w:rsidR="00065B63" w:rsidRDefault="00000000">
            <w:pPr>
              <w:pStyle w:val="TableText"/>
              <w:spacing w:after="100"/>
            </w:pPr>
            <w:r>
              <w:t>3.5</w:t>
            </w:r>
          </w:p>
        </w:tc>
        <w:tc>
          <w:tcPr>
            <w:tcW w:w="1958" w:type="dxa"/>
            <w:tcMar>
              <w:top w:w="80" w:type="dxa"/>
              <w:left w:w="80" w:type="dxa"/>
              <w:bottom w:w="80" w:type="dxa"/>
              <w:right w:w="80" w:type="dxa"/>
            </w:tcMar>
            <w:vAlign w:val="center"/>
          </w:tcPr>
          <w:p w14:paraId="56604434" w14:textId="77777777" w:rsidR="00065B63" w:rsidRDefault="00000000">
            <w:pPr>
              <w:pStyle w:val="TableText"/>
              <w:spacing w:after="100"/>
            </w:pPr>
            <w:r>
              <w:t>3.30</w:t>
            </w:r>
          </w:p>
        </w:tc>
      </w:tr>
      <w:tr w:rsidR="00065B63" w14:paraId="0A710631" w14:textId="77777777">
        <w:trPr>
          <w:cantSplit/>
          <w:jc w:val="center"/>
        </w:trPr>
        <w:tc>
          <w:tcPr>
            <w:tcW w:w="1958" w:type="dxa"/>
            <w:shd w:val="clear" w:color="auto" w:fill="F8E6E6"/>
            <w:tcMar>
              <w:top w:w="80" w:type="dxa"/>
              <w:left w:w="80" w:type="dxa"/>
              <w:bottom w:w="80" w:type="dxa"/>
              <w:right w:w="80" w:type="dxa"/>
            </w:tcMar>
            <w:vAlign w:val="center"/>
          </w:tcPr>
          <w:p w14:paraId="2461D1BC" w14:textId="77777777" w:rsidR="00065B63" w:rsidRDefault="00000000">
            <w:pPr>
              <w:pStyle w:val="TableText"/>
              <w:spacing w:after="100"/>
            </w:pPr>
            <w:r>
              <w:rPr>
                <w:b/>
              </w:rPr>
              <w:t>Connected Resilience</w:t>
            </w:r>
          </w:p>
        </w:tc>
        <w:tc>
          <w:tcPr>
            <w:tcW w:w="1958" w:type="dxa"/>
            <w:shd w:val="clear" w:color="auto" w:fill="F8E6E6"/>
            <w:tcMar>
              <w:top w:w="80" w:type="dxa"/>
              <w:left w:w="80" w:type="dxa"/>
              <w:bottom w:w="80" w:type="dxa"/>
              <w:right w:w="80" w:type="dxa"/>
            </w:tcMar>
            <w:vAlign w:val="center"/>
          </w:tcPr>
          <w:p w14:paraId="57B7D371" w14:textId="77777777" w:rsidR="00065B63" w:rsidRDefault="00000000">
            <w:pPr>
              <w:pStyle w:val="TableText"/>
              <w:spacing w:after="100"/>
            </w:pPr>
            <w:r>
              <w:rPr>
                <w:b/>
              </w:rPr>
              <w:t>5.0</w:t>
            </w:r>
          </w:p>
        </w:tc>
        <w:tc>
          <w:tcPr>
            <w:tcW w:w="1958" w:type="dxa"/>
            <w:shd w:val="clear" w:color="auto" w:fill="F8E6E6"/>
            <w:tcMar>
              <w:top w:w="80" w:type="dxa"/>
              <w:left w:w="80" w:type="dxa"/>
              <w:bottom w:w="80" w:type="dxa"/>
              <w:right w:w="80" w:type="dxa"/>
            </w:tcMar>
            <w:vAlign w:val="center"/>
          </w:tcPr>
          <w:p w14:paraId="42376E17" w14:textId="77777777" w:rsidR="00065B63" w:rsidRDefault="00000000">
            <w:pPr>
              <w:pStyle w:val="TableText"/>
              <w:spacing w:after="100"/>
            </w:pPr>
            <w:r>
              <w:rPr>
                <w:b/>
              </w:rPr>
              <w:t>3.5</w:t>
            </w:r>
          </w:p>
        </w:tc>
        <w:tc>
          <w:tcPr>
            <w:tcW w:w="1958" w:type="dxa"/>
            <w:shd w:val="clear" w:color="auto" w:fill="F8E6E6"/>
            <w:tcMar>
              <w:top w:w="80" w:type="dxa"/>
              <w:left w:w="80" w:type="dxa"/>
              <w:bottom w:w="80" w:type="dxa"/>
              <w:right w:w="80" w:type="dxa"/>
            </w:tcMar>
            <w:vAlign w:val="center"/>
          </w:tcPr>
          <w:p w14:paraId="6387529A" w14:textId="77777777" w:rsidR="00065B63" w:rsidRDefault="00000000">
            <w:pPr>
              <w:pStyle w:val="TableText"/>
              <w:spacing w:after="100"/>
            </w:pPr>
            <w:r>
              <w:rPr>
                <w:b/>
              </w:rPr>
              <w:t>4.0</w:t>
            </w:r>
          </w:p>
        </w:tc>
        <w:tc>
          <w:tcPr>
            <w:tcW w:w="1958" w:type="dxa"/>
            <w:shd w:val="clear" w:color="auto" w:fill="F8E6E6"/>
            <w:tcMar>
              <w:top w:w="80" w:type="dxa"/>
              <w:left w:w="80" w:type="dxa"/>
              <w:bottom w:w="80" w:type="dxa"/>
              <w:right w:w="80" w:type="dxa"/>
            </w:tcMar>
            <w:vAlign w:val="center"/>
          </w:tcPr>
          <w:p w14:paraId="5978CD83" w14:textId="77777777" w:rsidR="00065B63" w:rsidRDefault="00000000">
            <w:pPr>
              <w:pStyle w:val="TableText"/>
              <w:spacing w:after="100"/>
            </w:pPr>
            <w:r>
              <w:rPr>
                <w:b/>
              </w:rPr>
              <w:t>4.23</w:t>
            </w:r>
          </w:p>
        </w:tc>
      </w:tr>
    </w:tbl>
    <w:p w14:paraId="46AFA2E3" w14:textId="77777777" w:rsidR="00BE4D4A" w:rsidRDefault="00BE4D4A">
      <w:pPr>
        <w:pStyle w:val="Heading1"/>
        <w:spacing w:before="160" w:after="80"/>
        <w:rPr>
          <w:rFonts w:ascii="Arial" w:eastAsia="Arial" w:hAnsi="Arial" w:cs="Arial"/>
        </w:rPr>
      </w:pPr>
      <w:bookmarkStart w:id="7" w:name="S8_5_Built_in_CSR_and_stakehold"/>
    </w:p>
    <w:p w14:paraId="2D0732FC" w14:textId="7114D155" w:rsidR="00065B63" w:rsidRDefault="00000000">
      <w:pPr>
        <w:pStyle w:val="Heading1"/>
        <w:spacing w:before="160" w:after="80"/>
      </w:pPr>
      <w:r>
        <w:rPr>
          <w:rFonts w:ascii="Arial" w:eastAsia="Arial" w:hAnsi="Arial" w:cs="Arial"/>
        </w:rPr>
        <w:t>5. Built-in CSR and stakeholder analysis</w:t>
      </w:r>
      <w:bookmarkEnd w:id="7"/>
    </w:p>
    <w:p w14:paraId="083BB555" w14:textId="77777777" w:rsidR="00065B63" w:rsidRDefault="00000000">
      <w:pPr>
        <w:spacing w:after="100"/>
      </w:pPr>
      <w:r>
        <w:t>Week 7 distinguishes bolt-on CSR, separate activity that leaves the business model unchanged, from built-in CSR, which shapes operations and decisions. Aguinis and Glavas (2013) make a similar distinction between peripheral and embedded responsibility. Connected Resilience is not responsible because Vodafone funds unrelated charity; responsibility must be designed into the service itself.</w:t>
      </w:r>
    </w:p>
    <w:p w14:paraId="75A831CD" w14:textId="77777777" w:rsidR="00065B63" w:rsidRDefault="00000000">
      <w:pPr>
        <w:spacing w:after="100"/>
      </w:pPr>
      <w:r>
        <w:t xml:space="preserve">Carroll's pyramid provides four tests (Carroll, 1991). Economically, pilots must produce paid revenue. Legally, they must comply with competition, consumer, </w:t>
      </w:r>
      <w:proofErr w:type="gramStart"/>
      <w:r>
        <w:t>privacy</w:t>
      </w:r>
      <w:proofErr w:type="gramEnd"/>
      <w:r>
        <w:t xml:space="preserve"> and security rules. Ethically, </w:t>
      </w:r>
      <w:r>
        <w:lastRenderedPageBreak/>
        <w:t xml:space="preserve">VodafoneThree should reject disproportionate workforce surveillance, opaque automated </w:t>
      </w:r>
      <w:proofErr w:type="gramStart"/>
      <w:r>
        <w:t>decisions</w:t>
      </w:r>
      <w:proofErr w:type="gramEnd"/>
      <w:r>
        <w:t xml:space="preserve"> and misleading environmental claims even where the law is unclear. Philanthropy can support digital </w:t>
      </w:r>
      <w:proofErr w:type="gramStart"/>
      <w:r>
        <w:t>skills, but</w:t>
      </w:r>
      <w:proofErr w:type="gramEnd"/>
      <w:r>
        <w:t xml:space="preserve"> cannot compensate for poor core service or employment practice.</w:t>
      </w:r>
    </w:p>
    <w:p w14:paraId="508B80F4" w14:textId="77777777" w:rsidR="00065B63" w:rsidRDefault="00000000">
      <w:pPr>
        <w:spacing w:after="100"/>
      </w:pPr>
      <w:r>
        <w:t>Built-in actions include privacy by design, device-security standards, accessible contracts, energy measures, supplier labour clauses and funded reskilling. These actions can create commercial value when they are central to the operating model rather than treated as a communications exercise (Husted and Allen, 2007).</w:t>
      </w:r>
    </w:p>
    <w:p w14:paraId="12DEF7AC" w14:textId="77777777" w:rsidR="00065B63" w:rsidRDefault="00000000">
      <w:pPr>
        <w:spacing w:after="100"/>
      </w:pPr>
      <w:r>
        <w:t xml:space="preserve">Stakeholder theory requires the board to consider customers, employees, investors, regulators, </w:t>
      </w:r>
      <w:proofErr w:type="gramStart"/>
      <w:r>
        <w:t>suppliers</w:t>
      </w:r>
      <w:proofErr w:type="gramEnd"/>
      <w:r>
        <w:t xml:space="preserve"> and communities, not only shareholder returns (Freeman, 1984). Mendelow's matrix places the board, shareholders, CMA, </w:t>
      </w:r>
      <w:proofErr w:type="gramStart"/>
      <w:r>
        <w:t>Ofcom</w:t>
      </w:r>
      <w:proofErr w:type="gramEnd"/>
      <w:r>
        <w:t xml:space="preserve"> and anchor customers in the manage-closely group. Lenders and technology partners should be kept satisfied through clear risk and procurement terms. Employees, unions, MVNOs, communities and privacy groups need consultation because limited formal power does not remove ethical legitimacy. Quarterly evidence, employee forums and pilot-customer governance should replace one-way communication.</w:t>
      </w:r>
    </w:p>
    <w:p w14:paraId="0ED02B99" w14:textId="77777777" w:rsidR="00065B63" w:rsidRDefault="00000000">
      <w:pPr>
        <w:pStyle w:val="Heading3"/>
        <w:spacing w:after="80"/>
      </w:pPr>
      <w:r>
        <w:rPr>
          <w:rFonts w:ascii="Arial" w:eastAsia="Arial" w:hAnsi="Arial" w:cs="Arial"/>
        </w:rPr>
        <w:t>Mendelow stakeholder engagement plan</w:t>
      </w:r>
    </w:p>
    <w:tbl>
      <w:tblPr>
        <w:tblStyle w:val="TableGrid"/>
        <w:tblW w:w="0" w:type="auto"/>
        <w:jc w:val="center"/>
        <w:tblLook w:val="04A0" w:firstRow="1" w:lastRow="0" w:firstColumn="1" w:lastColumn="0" w:noHBand="0" w:noVBand="1"/>
      </w:tblPr>
      <w:tblGrid>
        <w:gridCol w:w="3264"/>
        <w:gridCol w:w="3264"/>
        <w:gridCol w:w="3264"/>
      </w:tblGrid>
      <w:tr w:rsidR="00065B63" w14:paraId="6AD55C68" w14:textId="77777777">
        <w:trPr>
          <w:cantSplit/>
          <w:jc w:val="center"/>
        </w:trPr>
        <w:tc>
          <w:tcPr>
            <w:tcW w:w="3264" w:type="dxa"/>
            <w:shd w:val="clear" w:color="auto" w:fill="D9D9D9"/>
            <w:vAlign w:val="center"/>
          </w:tcPr>
          <w:p w14:paraId="63254334" w14:textId="77777777" w:rsidR="00065B63" w:rsidRDefault="00000000">
            <w:pPr>
              <w:spacing w:after="100"/>
            </w:pPr>
            <w:r>
              <w:rPr>
                <w:b/>
              </w:rPr>
              <w:t>Category</w:t>
            </w:r>
          </w:p>
        </w:tc>
        <w:tc>
          <w:tcPr>
            <w:tcW w:w="3264" w:type="dxa"/>
            <w:shd w:val="clear" w:color="auto" w:fill="D9D9D9"/>
            <w:vAlign w:val="center"/>
          </w:tcPr>
          <w:p w14:paraId="27900BB1" w14:textId="77777777" w:rsidR="00065B63" w:rsidRDefault="00000000">
            <w:pPr>
              <w:spacing w:after="100"/>
            </w:pPr>
            <w:r>
              <w:rPr>
                <w:b/>
              </w:rPr>
              <w:t>Stakeholders</w:t>
            </w:r>
          </w:p>
        </w:tc>
        <w:tc>
          <w:tcPr>
            <w:tcW w:w="3264" w:type="dxa"/>
            <w:shd w:val="clear" w:color="auto" w:fill="D9D9D9"/>
            <w:vAlign w:val="center"/>
          </w:tcPr>
          <w:p w14:paraId="5C1D4B0F" w14:textId="77777777" w:rsidR="00065B63" w:rsidRDefault="00000000">
            <w:pPr>
              <w:spacing w:after="100"/>
            </w:pPr>
            <w:r>
              <w:rPr>
                <w:b/>
              </w:rPr>
              <w:t>Engagement</w:t>
            </w:r>
          </w:p>
        </w:tc>
      </w:tr>
      <w:tr w:rsidR="00065B63" w14:paraId="281BD84D" w14:textId="77777777">
        <w:trPr>
          <w:cantSplit/>
          <w:jc w:val="center"/>
        </w:trPr>
        <w:tc>
          <w:tcPr>
            <w:tcW w:w="3264" w:type="dxa"/>
            <w:tcMar>
              <w:top w:w="80" w:type="dxa"/>
              <w:left w:w="90" w:type="dxa"/>
              <w:bottom w:w="80" w:type="dxa"/>
              <w:right w:w="90" w:type="dxa"/>
            </w:tcMar>
            <w:vAlign w:val="center"/>
          </w:tcPr>
          <w:p w14:paraId="1646F972" w14:textId="77777777" w:rsidR="00065B63" w:rsidRDefault="00000000">
            <w:pPr>
              <w:pStyle w:val="TableText"/>
              <w:spacing w:after="100"/>
            </w:pPr>
            <w:r>
              <w:t>Manage closely</w:t>
            </w:r>
          </w:p>
        </w:tc>
        <w:tc>
          <w:tcPr>
            <w:tcW w:w="3264" w:type="dxa"/>
            <w:tcMar>
              <w:top w:w="80" w:type="dxa"/>
              <w:left w:w="90" w:type="dxa"/>
              <w:bottom w:w="80" w:type="dxa"/>
              <w:right w:w="90" w:type="dxa"/>
            </w:tcMar>
            <w:vAlign w:val="center"/>
          </w:tcPr>
          <w:p w14:paraId="3BDC410A" w14:textId="77777777" w:rsidR="00065B63" w:rsidRDefault="00000000">
            <w:pPr>
              <w:pStyle w:val="TableText"/>
              <w:spacing w:after="100"/>
            </w:pPr>
            <w:r>
              <w:t>Board, shareholders, CMA, Ofcom, anchor customers</w:t>
            </w:r>
          </w:p>
        </w:tc>
        <w:tc>
          <w:tcPr>
            <w:tcW w:w="3264" w:type="dxa"/>
            <w:tcMar>
              <w:top w:w="80" w:type="dxa"/>
              <w:left w:w="90" w:type="dxa"/>
              <w:bottom w:w="80" w:type="dxa"/>
              <w:right w:w="90" w:type="dxa"/>
            </w:tcMar>
            <w:vAlign w:val="center"/>
          </w:tcPr>
          <w:p w14:paraId="0BB7E012" w14:textId="77777777" w:rsidR="00065B63" w:rsidRDefault="00000000">
            <w:pPr>
              <w:pStyle w:val="TableText"/>
              <w:spacing w:after="100"/>
            </w:pPr>
            <w:r>
              <w:t xml:space="preserve">Quarterly evidence on finance, service, </w:t>
            </w:r>
            <w:proofErr w:type="gramStart"/>
            <w:r>
              <w:t>security</w:t>
            </w:r>
            <w:proofErr w:type="gramEnd"/>
            <w:r>
              <w:t xml:space="preserve"> and compliance</w:t>
            </w:r>
          </w:p>
        </w:tc>
      </w:tr>
      <w:tr w:rsidR="00065B63" w14:paraId="7F79D9FF" w14:textId="77777777">
        <w:trPr>
          <w:cantSplit/>
          <w:jc w:val="center"/>
        </w:trPr>
        <w:tc>
          <w:tcPr>
            <w:tcW w:w="3264" w:type="dxa"/>
            <w:tcMar>
              <w:top w:w="80" w:type="dxa"/>
              <w:left w:w="90" w:type="dxa"/>
              <w:bottom w:w="80" w:type="dxa"/>
              <w:right w:w="90" w:type="dxa"/>
            </w:tcMar>
            <w:vAlign w:val="center"/>
          </w:tcPr>
          <w:p w14:paraId="4F45B992" w14:textId="77777777" w:rsidR="00065B63" w:rsidRDefault="00000000">
            <w:pPr>
              <w:pStyle w:val="TableText"/>
              <w:spacing w:after="100"/>
            </w:pPr>
            <w:r>
              <w:t>Keep satisfied</w:t>
            </w:r>
          </w:p>
        </w:tc>
        <w:tc>
          <w:tcPr>
            <w:tcW w:w="3264" w:type="dxa"/>
            <w:tcMar>
              <w:top w:w="80" w:type="dxa"/>
              <w:left w:w="90" w:type="dxa"/>
              <w:bottom w:w="80" w:type="dxa"/>
              <w:right w:w="90" w:type="dxa"/>
            </w:tcMar>
            <w:vAlign w:val="center"/>
          </w:tcPr>
          <w:p w14:paraId="40ECE756" w14:textId="77777777" w:rsidR="00065B63" w:rsidRDefault="00000000">
            <w:pPr>
              <w:pStyle w:val="TableText"/>
              <w:spacing w:after="100"/>
            </w:pPr>
            <w:r>
              <w:t xml:space="preserve">Lenders, network vendors, </w:t>
            </w:r>
            <w:proofErr w:type="gramStart"/>
            <w:r>
              <w:t>cloud</w:t>
            </w:r>
            <w:proofErr w:type="gramEnd"/>
            <w:r>
              <w:t xml:space="preserve"> and tower partners</w:t>
            </w:r>
          </w:p>
        </w:tc>
        <w:tc>
          <w:tcPr>
            <w:tcW w:w="3264" w:type="dxa"/>
            <w:tcMar>
              <w:top w:w="80" w:type="dxa"/>
              <w:left w:w="90" w:type="dxa"/>
              <w:bottom w:w="80" w:type="dxa"/>
              <w:right w:w="90" w:type="dxa"/>
            </w:tcMar>
            <w:vAlign w:val="center"/>
          </w:tcPr>
          <w:p w14:paraId="5B73AB27" w14:textId="77777777" w:rsidR="00065B63" w:rsidRDefault="00000000">
            <w:pPr>
              <w:pStyle w:val="TableText"/>
              <w:spacing w:after="100"/>
            </w:pPr>
            <w:r>
              <w:t xml:space="preserve">Transparent risk, </w:t>
            </w:r>
            <w:proofErr w:type="gramStart"/>
            <w:r>
              <w:t>procurement</w:t>
            </w:r>
            <w:proofErr w:type="gramEnd"/>
            <w:r>
              <w:t xml:space="preserve"> and resilience requirements</w:t>
            </w:r>
          </w:p>
        </w:tc>
      </w:tr>
      <w:tr w:rsidR="00065B63" w14:paraId="7F1192E4" w14:textId="77777777">
        <w:trPr>
          <w:cantSplit/>
          <w:jc w:val="center"/>
        </w:trPr>
        <w:tc>
          <w:tcPr>
            <w:tcW w:w="3264" w:type="dxa"/>
            <w:tcMar>
              <w:top w:w="80" w:type="dxa"/>
              <w:left w:w="90" w:type="dxa"/>
              <w:bottom w:w="80" w:type="dxa"/>
              <w:right w:w="90" w:type="dxa"/>
            </w:tcMar>
            <w:vAlign w:val="center"/>
          </w:tcPr>
          <w:p w14:paraId="00ACFBE2" w14:textId="77777777" w:rsidR="00065B63" w:rsidRDefault="00000000">
            <w:pPr>
              <w:pStyle w:val="TableText"/>
              <w:spacing w:after="100"/>
            </w:pPr>
            <w:r>
              <w:t>Keep informed</w:t>
            </w:r>
          </w:p>
        </w:tc>
        <w:tc>
          <w:tcPr>
            <w:tcW w:w="3264" w:type="dxa"/>
            <w:tcMar>
              <w:top w:w="80" w:type="dxa"/>
              <w:left w:w="90" w:type="dxa"/>
              <w:bottom w:w="80" w:type="dxa"/>
              <w:right w:w="90" w:type="dxa"/>
            </w:tcMar>
            <w:vAlign w:val="center"/>
          </w:tcPr>
          <w:p w14:paraId="0747C47A" w14:textId="77777777" w:rsidR="00065B63" w:rsidRDefault="00000000">
            <w:pPr>
              <w:pStyle w:val="TableText"/>
              <w:spacing w:after="100"/>
            </w:pPr>
            <w:r>
              <w:t>Employees, unions, MVNOs, communities, privacy groups</w:t>
            </w:r>
          </w:p>
        </w:tc>
        <w:tc>
          <w:tcPr>
            <w:tcW w:w="3264" w:type="dxa"/>
            <w:tcMar>
              <w:top w:w="80" w:type="dxa"/>
              <w:left w:w="90" w:type="dxa"/>
              <w:bottom w:w="80" w:type="dxa"/>
              <w:right w:w="90" w:type="dxa"/>
            </w:tcMar>
            <w:vAlign w:val="center"/>
          </w:tcPr>
          <w:p w14:paraId="674938B6" w14:textId="77777777" w:rsidR="00065B63" w:rsidRDefault="00000000">
            <w:pPr>
              <w:pStyle w:val="TableText"/>
              <w:spacing w:after="100"/>
            </w:pPr>
            <w:r>
              <w:t xml:space="preserve">Change forums, </w:t>
            </w:r>
            <w:proofErr w:type="gramStart"/>
            <w:r>
              <w:t>consultations</w:t>
            </w:r>
            <w:proofErr w:type="gramEnd"/>
            <w:r>
              <w:t xml:space="preserve"> and public impact reporting</w:t>
            </w:r>
          </w:p>
        </w:tc>
      </w:tr>
      <w:tr w:rsidR="00065B63" w14:paraId="667F69F8" w14:textId="77777777">
        <w:trPr>
          <w:cantSplit/>
          <w:jc w:val="center"/>
        </w:trPr>
        <w:tc>
          <w:tcPr>
            <w:tcW w:w="3264" w:type="dxa"/>
            <w:tcMar>
              <w:top w:w="80" w:type="dxa"/>
              <w:left w:w="90" w:type="dxa"/>
              <w:bottom w:w="80" w:type="dxa"/>
              <w:right w:w="90" w:type="dxa"/>
            </w:tcMar>
            <w:vAlign w:val="center"/>
          </w:tcPr>
          <w:p w14:paraId="603D2538" w14:textId="77777777" w:rsidR="00065B63" w:rsidRDefault="00000000">
            <w:pPr>
              <w:pStyle w:val="TableText"/>
              <w:spacing w:after="100"/>
            </w:pPr>
            <w:r>
              <w:t>Monitor responsibly</w:t>
            </w:r>
          </w:p>
        </w:tc>
        <w:tc>
          <w:tcPr>
            <w:tcW w:w="3264" w:type="dxa"/>
            <w:tcMar>
              <w:top w:w="80" w:type="dxa"/>
              <w:left w:w="90" w:type="dxa"/>
              <w:bottom w:w="80" w:type="dxa"/>
              <w:right w:w="90" w:type="dxa"/>
            </w:tcMar>
            <w:vAlign w:val="center"/>
          </w:tcPr>
          <w:p w14:paraId="24C9C0DE" w14:textId="77777777" w:rsidR="00065B63" w:rsidRDefault="00000000">
            <w:pPr>
              <w:pStyle w:val="TableText"/>
              <w:spacing w:after="100"/>
            </w:pPr>
            <w:r>
              <w:t>Wider public and smaller suppliers</w:t>
            </w:r>
          </w:p>
        </w:tc>
        <w:tc>
          <w:tcPr>
            <w:tcW w:w="3264" w:type="dxa"/>
            <w:tcMar>
              <w:top w:w="80" w:type="dxa"/>
              <w:left w:w="90" w:type="dxa"/>
              <w:bottom w:w="80" w:type="dxa"/>
              <w:right w:w="90" w:type="dxa"/>
            </w:tcMar>
            <w:vAlign w:val="center"/>
          </w:tcPr>
          <w:p w14:paraId="6AF8D139" w14:textId="77777777" w:rsidR="00065B63" w:rsidRDefault="00000000">
            <w:pPr>
              <w:pStyle w:val="TableText"/>
              <w:spacing w:after="100"/>
            </w:pPr>
            <w:r>
              <w:t xml:space="preserve">Complaint, </w:t>
            </w:r>
            <w:proofErr w:type="gramStart"/>
            <w:r>
              <w:t>payment</w:t>
            </w:r>
            <w:proofErr w:type="gramEnd"/>
            <w:r>
              <w:t xml:space="preserve"> and community-impact monitoring</w:t>
            </w:r>
          </w:p>
        </w:tc>
      </w:tr>
    </w:tbl>
    <w:p w14:paraId="7A98C2BA" w14:textId="77777777" w:rsidR="00BE4D4A" w:rsidRDefault="00BE4D4A">
      <w:pPr>
        <w:pStyle w:val="Heading1"/>
        <w:spacing w:before="160" w:after="80"/>
        <w:rPr>
          <w:rFonts w:ascii="Arial" w:eastAsia="Arial" w:hAnsi="Arial" w:cs="Arial"/>
        </w:rPr>
      </w:pPr>
      <w:bookmarkStart w:id="8" w:name="S9_6_Implementation_and_monitor"/>
    </w:p>
    <w:p w14:paraId="2C54969F" w14:textId="77777777" w:rsidR="00204DED" w:rsidRDefault="00204DED">
      <w:pPr>
        <w:pStyle w:val="Heading1"/>
        <w:spacing w:before="160" w:after="80"/>
        <w:rPr>
          <w:rFonts w:ascii="Arial" w:eastAsia="Arial" w:hAnsi="Arial" w:cs="Arial"/>
        </w:rPr>
      </w:pPr>
    </w:p>
    <w:p w14:paraId="28BF2C0B" w14:textId="36138A9F" w:rsidR="00204DED" w:rsidRDefault="00204DED">
      <w:pPr>
        <w:pStyle w:val="Heading1"/>
        <w:spacing w:before="160" w:after="80"/>
        <w:rPr>
          <w:rFonts w:ascii="Arial" w:eastAsia="Arial" w:hAnsi="Arial" w:cs="Arial"/>
        </w:rPr>
      </w:pPr>
    </w:p>
    <w:p w14:paraId="26B9CDCE" w14:textId="77777777" w:rsidR="00204DED" w:rsidRPr="00204DED" w:rsidRDefault="00204DED" w:rsidP="00204DED"/>
    <w:p w14:paraId="08B8D6C2" w14:textId="77777777" w:rsidR="00204DED" w:rsidRDefault="00204DED">
      <w:pPr>
        <w:pStyle w:val="Heading1"/>
        <w:spacing w:before="160" w:after="80"/>
        <w:rPr>
          <w:rFonts w:ascii="Arial" w:eastAsia="Arial" w:hAnsi="Arial" w:cs="Arial"/>
        </w:rPr>
      </w:pPr>
    </w:p>
    <w:p w14:paraId="41114F72" w14:textId="490966C8" w:rsidR="00065B63" w:rsidRDefault="00000000">
      <w:pPr>
        <w:pStyle w:val="Heading1"/>
        <w:spacing w:before="160" w:after="80"/>
      </w:pPr>
      <w:r>
        <w:rPr>
          <w:rFonts w:ascii="Arial" w:eastAsia="Arial" w:hAnsi="Arial" w:cs="Arial"/>
        </w:rPr>
        <w:t>6. Implementation and monitoring</w:t>
      </w:r>
      <w:bookmarkEnd w:id="8"/>
    </w:p>
    <w:p w14:paraId="5021A806" w14:textId="7C1EEE77" w:rsidR="00065B63" w:rsidRDefault="00000000">
      <w:pPr>
        <w:spacing w:after="100"/>
      </w:pPr>
      <w:r>
        <w:t xml:space="preserve">Implementation should follow an iterative control loop, not a national launch. </w:t>
      </w:r>
      <w:r w:rsidR="000A43D7">
        <w:t xml:space="preserve">The implementation measures also translate Vodafone’s values into operational goals. Customer loyalty is reflected in NPS, complaint and churn measures; creating the future is tested through paid digital-service adoption; learning quickly is supported by phased pilots and stop rules. Working together is reflected in cross-functional accountability and employee training. </w:t>
      </w:r>
      <w:r>
        <w:t>The SMART objective is to convert at least 60% of completed pilots into paid multi-year contracts by month 24, while achieving availability above 99.99%, no material privacy or cyber breach and a ten-point improvement in pilot-customer NPS. These are proposed targets, not Vodafone forecasts.</w:t>
      </w:r>
    </w:p>
    <w:p w14:paraId="3637BF54" w14:textId="77777777" w:rsidR="00065B63" w:rsidRDefault="00000000">
      <w:pPr>
        <w:spacing w:after="100"/>
      </w:pPr>
      <w:r>
        <w:t xml:space="preserve">Months 0-6: design and governance. The Business Director should sponsor a cross-functional office with named leads for technology, sales, cyber, privacy, HR, </w:t>
      </w:r>
      <w:proofErr w:type="gramStart"/>
      <w:r>
        <w:t>procurement</w:t>
      </w:r>
      <w:proofErr w:type="gramEnd"/>
      <w:r>
        <w:t xml:space="preserve"> and sustainability. It should select three use cases only after customer discovery, recruit ten anchor customers and complete legal, security and environmental reviews. KPIs are ten signed pilots, all reviews completed, a skills baseline and no missed CMA milestone.</w:t>
      </w:r>
    </w:p>
    <w:p w14:paraId="13B3C87E" w14:textId="77777777" w:rsidR="00065B63" w:rsidRDefault="00000000">
      <w:pPr>
        <w:spacing w:after="100"/>
      </w:pPr>
      <w:r>
        <w:t xml:space="preserve">Months 6-18: paid pilots and learning. Regional pilots should integrate connectivity, devices, security, </w:t>
      </w:r>
      <w:proofErr w:type="gramStart"/>
      <w:r>
        <w:t>billing</w:t>
      </w:r>
      <w:proofErr w:type="gramEnd"/>
      <w:r>
        <w:t xml:space="preserve"> and support. Sales and engineering teams need accredited training, while customer outcomes must be compared with pre-pilot baselines. KPIs are 99.99% availability, no material breach, improved </w:t>
      </w:r>
      <w:proofErr w:type="gramStart"/>
      <w:r>
        <w:t>advocacy</w:t>
      </w:r>
      <w:proofErr w:type="gramEnd"/>
      <w:r>
        <w:t xml:space="preserve"> and evidence that at least two use cases reduce an agreed cost or risk. After technical feasibility is proven, customers should contribute financially.</w:t>
      </w:r>
    </w:p>
    <w:p w14:paraId="731F4E7B" w14:textId="77777777" w:rsidR="00065B63" w:rsidRDefault="00000000">
      <w:pPr>
        <w:spacing w:after="100"/>
      </w:pPr>
      <w:r>
        <w:t>Months 18-36: scale and transfer. Only propositions meeting conversion, reliability and compliance thresholds should scale nationally. Proven modules can then move to selected Vodafone markets using common technical standards and locally adapted contracts. KPIs include positive organic business-service growth, 15% of new contract value from integrated offers, lower churn, reduced energy intensity per managed device and progress towards synergies.</w:t>
      </w:r>
    </w:p>
    <w:p w14:paraId="016ED7CE" w14:textId="41191BB9" w:rsidR="00204DED" w:rsidRDefault="00000000" w:rsidP="00204DED">
      <w:pPr>
        <w:spacing w:after="100"/>
      </w:pPr>
      <w:r>
        <w:t>The programme office should review pipeline quality, employee certification, migration defects, supplier concentration and unresolved vulnerabilities each month. The executive committee should review strategy quarterly, supported by annual independent assurance. Corrective rules are explicit: pause after a material breach, replace suppliers that fail resilience standards, redesign below 40% paid conversion and stop a use case that remains below 60% after two improvement cycles.</w:t>
      </w:r>
    </w:p>
    <w:p w14:paraId="4D411FEB" w14:textId="77777777" w:rsidR="00204DED" w:rsidRDefault="00204DED">
      <w:pPr>
        <w:pStyle w:val="Heading3"/>
        <w:spacing w:after="80"/>
        <w:rPr>
          <w:rFonts w:ascii="Arial" w:eastAsia="Arial" w:hAnsi="Arial" w:cs="Arial"/>
        </w:rPr>
      </w:pPr>
    </w:p>
    <w:p w14:paraId="4C742AD1" w14:textId="23F137E5" w:rsidR="00204DED" w:rsidRDefault="00204DED">
      <w:pPr>
        <w:pStyle w:val="Heading3"/>
        <w:spacing w:after="80"/>
        <w:rPr>
          <w:rFonts w:ascii="Arial" w:eastAsia="Arial" w:hAnsi="Arial" w:cs="Arial"/>
        </w:rPr>
      </w:pPr>
    </w:p>
    <w:p w14:paraId="77FA0F06" w14:textId="77777777" w:rsidR="00204DED" w:rsidRPr="00204DED" w:rsidRDefault="00204DED" w:rsidP="00204DED"/>
    <w:p w14:paraId="299DC091" w14:textId="77777777" w:rsidR="00204DED" w:rsidRDefault="00204DED">
      <w:pPr>
        <w:pStyle w:val="Heading3"/>
        <w:spacing w:after="80"/>
        <w:rPr>
          <w:rFonts w:ascii="Arial" w:eastAsia="Arial" w:hAnsi="Arial" w:cs="Arial"/>
        </w:rPr>
      </w:pPr>
    </w:p>
    <w:p w14:paraId="4F9706FA" w14:textId="1F9B7329" w:rsidR="00065B63" w:rsidRDefault="00000000">
      <w:pPr>
        <w:pStyle w:val="Heading3"/>
        <w:spacing w:after="80"/>
      </w:pPr>
      <w:r>
        <w:rPr>
          <w:rFonts w:ascii="Arial" w:eastAsia="Arial" w:hAnsi="Arial" w:cs="Arial"/>
        </w:rPr>
        <w:t>Implementation dashboard</w:t>
      </w:r>
    </w:p>
    <w:tbl>
      <w:tblPr>
        <w:tblStyle w:val="TableGrid"/>
        <w:tblW w:w="0" w:type="auto"/>
        <w:jc w:val="center"/>
        <w:tblLook w:val="04A0" w:firstRow="1" w:lastRow="0" w:firstColumn="1" w:lastColumn="0" w:noHBand="0" w:noVBand="1"/>
      </w:tblPr>
      <w:tblGrid>
        <w:gridCol w:w="2448"/>
        <w:gridCol w:w="2448"/>
        <w:gridCol w:w="2448"/>
        <w:gridCol w:w="2448"/>
      </w:tblGrid>
      <w:tr w:rsidR="00065B63" w14:paraId="2DC599BB" w14:textId="77777777" w:rsidTr="00204DED">
        <w:trPr>
          <w:cantSplit/>
          <w:jc w:val="center"/>
        </w:trPr>
        <w:tc>
          <w:tcPr>
            <w:tcW w:w="2448" w:type="dxa"/>
            <w:shd w:val="clear" w:color="auto" w:fill="E5B8B7" w:themeFill="accent2" w:themeFillTint="66"/>
            <w:vAlign w:val="center"/>
          </w:tcPr>
          <w:p w14:paraId="6FF37C7C" w14:textId="77777777" w:rsidR="00065B63" w:rsidRDefault="00000000">
            <w:pPr>
              <w:spacing w:after="100"/>
            </w:pPr>
            <w:r>
              <w:rPr>
                <w:b/>
              </w:rPr>
              <w:t>Phase</w:t>
            </w:r>
          </w:p>
        </w:tc>
        <w:tc>
          <w:tcPr>
            <w:tcW w:w="2448" w:type="dxa"/>
            <w:shd w:val="clear" w:color="auto" w:fill="E5B8B7" w:themeFill="accent2" w:themeFillTint="66"/>
            <w:vAlign w:val="center"/>
          </w:tcPr>
          <w:p w14:paraId="6AFB8ED1" w14:textId="77777777" w:rsidR="00065B63" w:rsidRDefault="00000000">
            <w:pPr>
              <w:spacing w:after="100"/>
            </w:pPr>
            <w:r>
              <w:rPr>
                <w:b/>
              </w:rPr>
              <w:t>Objective</w:t>
            </w:r>
          </w:p>
        </w:tc>
        <w:tc>
          <w:tcPr>
            <w:tcW w:w="2448" w:type="dxa"/>
            <w:shd w:val="clear" w:color="auto" w:fill="E5B8B7" w:themeFill="accent2" w:themeFillTint="66"/>
            <w:vAlign w:val="center"/>
          </w:tcPr>
          <w:p w14:paraId="4FA2C5CF" w14:textId="77777777" w:rsidR="00065B63" w:rsidRDefault="00000000">
            <w:pPr>
              <w:spacing w:after="100"/>
            </w:pPr>
            <w:r>
              <w:rPr>
                <w:b/>
              </w:rPr>
              <w:t>Accountability</w:t>
            </w:r>
          </w:p>
        </w:tc>
        <w:tc>
          <w:tcPr>
            <w:tcW w:w="2448" w:type="dxa"/>
            <w:shd w:val="clear" w:color="auto" w:fill="E5B8B7" w:themeFill="accent2" w:themeFillTint="66"/>
            <w:vAlign w:val="center"/>
          </w:tcPr>
          <w:p w14:paraId="328B86F8" w14:textId="77777777" w:rsidR="00065B63" w:rsidRDefault="00000000">
            <w:pPr>
              <w:spacing w:after="100"/>
            </w:pPr>
            <w:r>
              <w:rPr>
                <w:b/>
              </w:rPr>
              <w:t>Key indicators</w:t>
            </w:r>
          </w:p>
        </w:tc>
      </w:tr>
      <w:tr w:rsidR="00065B63" w14:paraId="3278C87D" w14:textId="77777777">
        <w:trPr>
          <w:cantSplit/>
          <w:jc w:val="center"/>
        </w:trPr>
        <w:tc>
          <w:tcPr>
            <w:tcW w:w="2448" w:type="dxa"/>
            <w:tcMar>
              <w:top w:w="80" w:type="dxa"/>
              <w:left w:w="80" w:type="dxa"/>
              <w:bottom w:w="80" w:type="dxa"/>
              <w:right w:w="80" w:type="dxa"/>
            </w:tcMar>
            <w:vAlign w:val="center"/>
          </w:tcPr>
          <w:p w14:paraId="10A77946" w14:textId="77777777" w:rsidR="00065B63" w:rsidRDefault="00000000">
            <w:pPr>
              <w:pStyle w:val="TableText"/>
              <w:spacing w:after="100"/>
            </w:pPr>
            <w:r>
              <w:t>0-6 months</w:t>
            </w:r>
          </w:p>
        </w:tc>
        <w:tc>
          <w:tcPr>
            <w:tcW w:w="2448" w:type="dxa"/>
            <w:tcMar>
              <w:top w:w="80" w:type="dxa"/>
              <w:left w:w="80" w:type="dxa"/>
              <w:bottom w:w="80" w:type="dxa"/>
              <w:right w:w="80" w:type="dxa"/>
            </w:tcMar>
            <w:vAlign w:val="center"/>
          </w:tcPr>
          <w:p w14:paraId="03E419D9" w14:textId="77777777" w:rsidR="00065B63" w:rsidRDefault="00000000">
            <w:pPr>
              <w:pStyle w:val="TableText"/>
              <w:spacing w:after="100"/>
            </w:pPr>
            <w:r>
              <w:t>Design three use cases and governance</w:t>
            </w:r>
          </w:p>
        </w:tc>
        <w:tc>
          <w:tcPr>
            <w:tcW w:w="2448" w:type="dxa"/>
            <w:tcMar>
              <w:top w:w="80" w:type="dxa"/>
              <w:left w:w="80" w:type="dxa"/>
              <w:bottom w:w="80" w:type="dxa"/>
              <w:right w:w="80" w:type="dxa"/>
            </w:tcMar>
            <w:vAlign w:val="center"/>
          </w:tcPr>
          <w:p w14:paraId="60C03BC6" w14:textId="77777777" w:rsidR="00065B63" w:rsidRDefault="00000000">
            <w:pPr>
              <w:pStyle w:val="TableText"/>
              <w:spacing w:after="100"/>
            </w:pPr>
            <w:r>
              <w:t>Business Director; CTO; CISO; Privacy; HR</w:t>
            </w:r>
          </w:p>
        </w:tc>
        <w:tc>
          <w:tcPr>
            <w:tcW w:w="2448" w:type="dxa"/>
            <w:tcMar>
              <w:top w:w="80" w:type="dxa"/>
              <w:left w:w="80" w:type="dxa"/>
              <w:bottom w:w="80" w:type="dxa"/>
              <w:right w:w="80" w:type="dxa"/>
            </w:tcMar>
            <w:vAlign w:val="center"/>
          </w:tcPr>
          <w:p w14:paraId="49C1FFA2" w14:textId="77777777" w:rsidR="00065B63" w:rsidRDefault="00000000">
            <w:pPr>
              <w:pStyle w:val="TableText"/>
              <w:spacing w:after="100"/>
            </w:pPr>
            <w:r>
              <w:t>10 pilots; 100% risk reviews; no missed CMA milestones</w:t>
            </w:r>
          </w:p>
        </w:tc>
      </w:tr>
      <w:tr w:rsidR="00065B63" w14:paraId="53BDD5E1" w14:textId="77777777">
        <w:trPr>
          <w:cantSplit/>
          <w:jc w:val="center"/>
        </w:trPr>
        <w:tc>
          <w:tcPr>
            <w:tcW w:w="2448" w:type="dxa"/>
            <w:tcMar>
              <w:top w:w="80" w:type="dxa"/>
              <w:left w:w="80" w:type="dxa"/>
              <w:bottom w:w="80" w:type="dxa"/>
              <w:right w:w="80" w:type="dxa"/>
            </w:tcMar>
            <w:vAlign w:val="center"/>
          </w:tcPr>
          <w:p w14:paraId="5EB026B2" w14:textId="77777777" w:rsidR="00065B63" w:rsidRDefault="00000000">
            <w:pPr>
              <w:pStyle w:val="TableText"/>
              <w:spacing w:after="100"/>
            </w:pPr>
            <w:r>
              <w:t>6-18 months</w:t>
            </w:r>
          </w:p>
        </w:tc>
        <w:tc>
          <w:tcPr>
            <w:tcW w:w="2448" w:type="dxa"/>
            <w:tcMar>
              <w:top w:w="80" w:type="dxa"/>
              <w:left w:w="80" w:type="dxa"/>
              <w:bottom w:w="80" w:type="dxa"/>
              <w:right w:w="80" w:type="dxa"/>
            </w:tcMar>
            <w:vAlign w:val="center"/>
          </w:tcPr>
          <w:p w14:paraId="26C958DA" w14:textId="77777777" w:rsidR="00065B63" w:rsidRDefault="00000000">
            <w:pPr>
              <w:pStyle w:val="TableText"/>
              <w:spacing w:after="100"/>
            </w:pPr>
            <w:r>
              <w:t>Run paid pilots and train teams</w:t>
            </w:r>
          </w:p>
        </w:tc>
        <w:tc>
          <w:tcPr>
            <w:tcW w:w="2448" w:type="dxa"/>
            <w:tcMar>
              <w:top w:w="80" w:type="dxa"/>
              <w:left w:w="80" w:type="dxa"/>
              <w:bottom w:w="80" w:type="dxa"/>
              <w:right w:w="80" w:type="dxa"/>
            </w:tcMar>
            <w:vAlign w:val="center"/>
          </w:tcPr>
          <w:p w14:paraId="1562630A" w14:textId="77777777" w:rsidR="00065B63" w:rsidRDefault="00000000">
            <w:pPr>
              <w:pStyle w:val="TableText"/>
              <w:spacing w:after="100"/>
            </w:pPr>
            <w:r>
              <w:t>Programme Office and sector leads</w:t>
            </w:r>
          </w:p>
        </w:tc>
        <w:tc>
          <w:tcPr>
            <w:tcW w:w="2448" w:type="dxa"/>
            <w:tcMar>
              <w:top w:w="80" w:type="dxa"/>
              <w:left w:w="80" w:type="dxa"/>
              <w:bottom w:w="80" w:type="dxa"/>
              <w:right w:w="80" w:type="dxa"/>
            </w:tcMar>
            <w:vAlign w:val="center"/>
          </w:tcPr>
          <w:p w14:paraId="7A7E20D0" w14:textId="77777777" w:rsidR="00065B63" w:rsidRDefault="00000000">
            <w:pPr>
              <w:pStyle w:val="TableText"/>
              <w:spacing w:after="100"/>
            </w:pPr>
            <w:r>
              <w:t>99.99% availability; no material breach; customer outcomes evidenced</w:t>
            </w:r>
          </w:p>
        </w:tc>
      </w:tr>
      <w:tr w:rsidR="00065B63" w14:paraId="441C8091" w14:textId="77777777">
        <w:trPr>
          <w:cantSplit/>
          <w:jc w:val="center"/>
        </w:trPr>
        <w:tc>
          <w:tcPr>
            <w:tcW w:w="2448" w:type="dxa"/>
            <w:tcMar>
              <w:top w:w="80" w:type="dxa"/>
              <w:left w:w="80" w:type="dxa"/>
              <w:bottom w:w="80" w:type="dxa"/>
              <w:right w:w="80" w:type="dxa"/>
            </w:tcMar>
            <w:vAlign w:val="center"/>
          </w:tcPr>
          <w:p w14:paraId="34C2FE91" w14:textId="77777777" w:rsidR="00065B63" w:rsidRDefault="00000000">
            <w:pPr>
              <w:pStyle w:val="TableText"/>
              <w:spacing w:after="100"/>
            </w:pPr>
            <w:r>
              <w:t>18-36 months</w:t>
            </w:r>
          </w:p>
        </w:tc>
        <w:tc>
          <w:tcPr>
            <w:tcW w:w="2448" w:type="dxa"/>
            <w:tcMar>
              <w:top w:w="80" w:type="dxa"/>
              <w:left w:w="80" w:type="dxa"/>
              <w:bottom w:w="80" w:type="dxa"/>
              <w:right w:w="80" w:type="dxa"/>
            </w:tcMar>
            <w:vAlign w:val="center"/>
          </w:tcPr>
          <w:p w14:paraId="37ACD4BF" w14:textId="77777777" w:rsidR="00065B63" w:rsidRDefault="00000000">
            <w:pPr>
              <w:pStyle w:val="TableText"/>
              <w:spacing w:after="100"/>
            </w:pPr>
            <w:r>
              <w:t>Scale proven services and transfer modules</w:t>
            </w:r>
          </w:p>
        </w:tc>
        <w:tc>
          <w:tcPr>
            <w:tcW w:w="2448" w:type="dxa"/>
            <w:tcMar>
              <w:top w:w="80" w:type="dxa"/>
              <w:left w:w="80" w:type="dxa"/>
              <w:bottom w:w="80" w:type="dxa"/>
              <w:right w:w="80" w:type="dxa"/>
            </w:tcMar>
            <w:vAlign w:val="center"/>
          </w:tcPr>
          <w:p w14:paraId="7C6A7594" w14:textId="77777777" w:rsidR="00065B63" w:rsidRDefault="00000000">
            <w:pPr>
              <w:pStyle w:val="TableText"/>
              <w:spacing w:after="100"/>
            </w:pPr>
            <w:r>
              <w:t>Executive Committee and country teams</w:t>
            </w:r>
          </w:p>
        </w:tc>
        <w:tc>
          <w:tcPr>
            <w:tcW w:w="2448" w:type="dxa"/>
            <w:tcMar>
              <w:top w:w="80" w:type="dxa"/>
              <w:left w:w="80" w:type="dxa"/>
              <w:bottom w:w="80" w:type="dxa"/>
              <w:right w:w="80" w:type="dxa"/>
            </w:tcMar>
            <w:vAlign w:val="center"/>
          </w:tcPr>
          <w:p w14:paraId="1B2DB8F0" w14:textId="77777777" w:rsidR="00065B63" w:rsidRDefault="00000000">
            <w:pPr>
              <w:pStyle w:val="TableText"/>
              <w:spacing w:after="100"/>
            </w:pPr>
            <w:r>
              <w:t>Positive organic growth; 15% new contract value; lower churn</w:t>
            </w:r>
          </w:p>
        </w:tc>
      </w:tr>
    </w:tbl>
    <w:p w14:paraId="4F4829B2" w14:textId="77777777" w:rsidR="00BE4D4A" w:rsidRDefault="00BE4D4A">
      <w:pPr>
        <w:pStyle w:val="Heading1"/>
        <w:spacing w:before="160" w:after="80"/>
        <w:rPr>
          <w:rFonts w:ascii="Arial" w:eastAsia="Arial" w:hAnsi="Arial" w:cs="Arial"/>
        </w:rPr>
      </w:pPr>
      <w:bookmarkStart w:id="9" w:name="S10_7_Conclusion"/>
    </w:p>
    <w:p w14:paraId="147D090E" w14:textId="51734C6F" w:rsidR="00065B63" w:rsidRDefault="00000000">
      <w:pPr>
        <w:pStyle w:val="Heading1"/>
        <w:spacing w:before="160" w:after="80"/>
      </w:pPr>
      <w:r>
        <w:rPr>
          <w:rFonts w:ascii="Arial" w:eastAsia="Arial" w:hAnsi="Arial" w:cs="Arial"/>
        </w:rPr>
        <w:t>7. Conclusion</w:t>
      </w:r>
      <w:bookmarkEnd w:id="9"/>
    </w:p>
    <w:p w14:paraId="1BD1116A" w14:textId="77777777" w:rsidR="00065B63" w:rsidRDefault="00000000">
      <w:pPr>
        <w:spacing w:after="100"/>
      </w:pPr>
      <w:r>
        <w:t xml:space="preserve">VodafoneThree has gained scale, </w:t>
      </w:r>
      <w:proofErr w:type="gramStart"/>
      <w:r>
        <w:t>spectrum</w:t>
      </w:r>
      <w:proofErr w:type="gramEnd"/>
      <w:r>
        <w:t xml:space="preserve"> and investment capacity, but not yet sustained advantage. Weak organic growth and the gap between network improvement and complaints show that integration and service remain the binding constraints. The board should avoid relying on price increases, broad technology claims or geographic expansion.</w:t>
      </w:r>
    </w:p>
    <w:p w14:paraId="3E95D33E" w14:textId="77777777" w:rsidR="00065B63" w:rsidRDefault="00000000">
      <w:pPr>
        <w:spacing w:after="100"/>
      </w:pPr>
      <w:r>
        <w:t>Connected Resilience is more defensible because it converts 5G, IoT and cybersecurity into measured outcomes for a defined segment. Its value depends on service recovery, workforce capability, legal safeguards and staged investment. Built-in CSR strengthens the offer by making trust, resilience and environmental accountability part of the product. Paid pilots and firm stop rules are essential if the merger is to produce differentiated growth rather than a larger cost base.</w:t>
      </w:r>
    </w:p>
    <w:p w14:paraId="74F95243" w14:textId="77777777" w:rsidR="00BE4D4A" w:rsidRDefault="00BE4D4A">
      <w:pPr>
        <w:pStyle w:val="Heading1"/>
        <w:spacing w:before="160" w:after="80"/>
        <w:rPr>
          <w:rFonts w:ascii="Arial" w:eastAsia="Arial" w:hAnsi="Arial" w:cs="Arial"/>
        </w:rPr>
      </w:pPr>
      <w:bookmarkStart w:id="10" w:name="S11_8_Executive_summary"/>
    </w:p>
    <w:p w14:paraId="76853C91" w14:textId="707187D9" w:rsidR="00894D50" w:rsidRDefault="00894D50">
      <w:pPr>
        <w:pStyle w:val="Heading1"/>
        <w:spacing w:before="160" w:after="80"/>
        <w:rPr>
          <w:rFonts w:ascii="Arial" w:eastAsia="Arial" w:hAnsi="Arial" w:cs="Arial"/>
        </w:rPr>
      </w:pPr>
    </w:p>
    <w:p w14:paraId="4E7595BA" w14:textId="77777777" w:rsidR="00894D50" w:rsidRPr="00894D50" w:rsidRDefault="00894D50" w:rsidP="00894D50"/>
    <w:p w14:paraId="14D5D328" w14:textId="20C9BDDB" w:rsidR="00065B63" w:rsidRDefault="00000000">
      <w:pPr>
        <w:pStyle w:val="Heading1"/>
        <w:spacing w:before="160" w:after="80"/>
      </w:pPr>
      <w:r>
        <w:rPr>
          <w:rFonts w:ascii="Arial" w:eastAsia="Arial" w:hAnsi="Arial" w:cs="Arial"/>
        </w:rPr>
        <w:lastRenderedPageBreak/>
        <w:t>8. Executive summary</w:t>
      </w:r>
      <w:bookmarkEnd w:id="10"/>
    </w:p>
    <w:p w14:paraId="6A127301" w14:textId="77777777" w:rsidR="00065B63" w:rsidRPr="00BE4D4A" w:rsidRDefault="00000000" w:rsidP="00BE4D4A">
      <w:pPr>
        <w:pStyle w:val="ExecutiveSummary"/>
        <w:spacing w:after="100"/>
        <w:ind w:left="0"/>
        <w:rPr>
          <w:i w:val="0"/>
          <w:iCs/>
        </w:rPr>
      </w:pPr>
      <w:r w:rsidRPr="00BE4D4A">
        <w:rPr>
          <w:i w:val="0"/>
          <w:iCs/>
        </w:rPr>
        <w:t>The Vodafone-Three merger reduced Vodafone's UK scale disadvantage but has not yet created sustained advantage. Organic service-revenue growth was only 0.3%, while Ofcom continued to place Vodafone among the most complained-about major broadband providers. The central issue is converting infrastructure into trusted customer outcomes.</w:t>
      </w:r>
    </w:p>
    <w:p w14:paraId="60D2E685" w14:textId="77777777" w:rsidR="00065B63" w:rsidRPr="00BE4D4A" w:rsidRDefault="00000000" w:rsidP="00BE4D4A">
      <w:pPr>
        <w:pStyle w:val="ExecutiveSummary"/>
        <w:spacing w:after="100"/>
        <w:ind w:left="0"/>
        <w:rPr>
          <w:i w:val="0"/>
          <w:iCs/>
        </w:rPr>
      </w:pPr>
      <w:r w:rsidRPr="00BE4D4A">
        <w:rPr>
          <w:i w:val="0"/>
          <w:iCs/>
        </w:rPr>
        <w:t>PESTEL shows that policy support is balanced by binding merger remedies, price sensitivity, cyber risk and legal duties. Five Forces finds strong rivalry and buyer power, while VRIO shows that scale and spectrum are valuable but imitable. Organisational integration, not asset ownership alone, is therefore decisive.</w:t>
      </w:r>
    </w:p>
    <w:p w14:paraId="15E27182" w14:textId="77777777" w:rsidR="00065B63" w:rsidRPr="00BE4D4A" w:rsidRDefault="00000000" w:rsidP="00BE4D4A">
      <w:pPr>
        <w:pStyle w:val="ExecutiveSummary"/>
        <w:spacing w:after="100"/>
        <w:ind w:left="0"/>
        <w:rPr>
          <w:i w:val="0"/>
          <w:iCs/>
        </w:rPr>
      </w:pPr>
      <w:r w:rsidRPr="00BE4D4A">
        <w:rPr>
          <w:i w:val="0"/>
          <w:iCs/>
        </w:rPr>
        <w:t>TOWS generates trust-first market penetration, selective fixed-wireless development and Connected Resilience. The recommended option combines 5G, IoT and cybersecurity for medium-sized logistics, manufacturing, utility and infrastructure customers. Weighted SFA gives it the strongest long-term score, but service repair must run alongside it.</w:t>
      </w:r>
    </w:p>
    <w:p w14:paraId="2B293F00" w14:textId="77777777" w:rsidR="00065B63" w:rsidRPr="00BE4D4A" w:rsidRDefault="00000000" w:rsidP="00BE4D4A">
      <w:pPr>
        <w:pStyle w:val="ExecutiveSummary"/>
        <w:spacing w:after="100"/>
        <w:ind w:left="0"/>
        <w:rPr>
          <w:i w:val="0"/>
          <w:iCs/>
        </w:rPr>
      </w:pPr>
      <w:r w:rsidRPr="00BE4D4A">
        <w:rPr>
          <w:i w:val="0"/>
          <w:iCs/>
        </w:rPr>
        <w:t>CSR should be built into product design rather than added through unrelated charity. Privacy, cyber assurance, employee development, supplier standards and environmental measures should be mandatory gates. Paid pilots, SMART KPIs and stop rules provide a disciplined route from merger scale to differentiated and internationally transferable growth.</w:t>
      </w:r>
    </w:p>
    <w:p w14:paraId="6862B45F" w14:textId="77777777" w:rsidR="00065B63" w:rsidRPr="00BE4D4A" w:rsidRDefault="00000000">
      <w:pPr>
        <w:spacing w:after="100"/>
        <w:rPr>
          <w:iCs/>
        </w:rPr>
      </w:pPr>
      <w:r w:rsidRPr="00BE4D4A">
        <w:rPr>
          <w:iCs/>
        </w:rPr>
        <w:br w:type="page"/>
      </w:r>
    </w:p>
    <w:p w14:paraId="2DAE8464" w14:textId="78E413BC" w:rsidR="00065B63" w:rsidRDefault="00BE4D4A">
      <w:pPr>
        <w:pStyle w:val="Heading1"/>
        <w:spacing w:before="160" w:after="80"/>
      </w:pPr>
      <w:bookmarkStart w:id="11" w:name="S12_Reference_list"/>
      <w:r>
        <w:rPr>
          <w:rFonts w:ascii="Arial" w:eastAsia="Arial" w:hAnsi="Arial" w:cs="Arial"/>
        </w:rPr>
        <w:lastRenderedPageBreak/>
        <w:t>9. Reference list</w:t>
      </w:r>
      <w:bookmarkEnd w:id="11"/>
    </w:p>
    <w:p w14:paraId="1B19CF0A" w14:textId="77777777" w:rsidR="00065B63" w:rsidRDefault="00000000">
      <w:pPr>
        <w:pStyle w:val="Reference"/>
        <w:spacing w:after="100"/>
        <w:ind w:left="432" w:hanging="432"/>
      </w:pPr>
      <w:r>
        <w:t>1. Aguinis, H. and Glavas, A. (2013) 'Embedded versus peripheral corporate social responsibility: Psychological foundations', Industrial and Organizational Psychology, 6(4), pp. 314-332. doi: 10.1111/iops.12059.</w:t>
      </w:r>
    </w:p>
    <w:p w14:paraId="48287CE3" w14:textId="77777777" w:rsidR="00065B63" w:rsidRDefault="00000000">
      <w:pPr>
        <w:pStyle w:val="Reference"/>
        <w:spacing w:after="100"/>
        <w:ind w:left="432" w:hanging="432"/>
      </w:pPr>
      <w:r>
        <w:t>2. Ansoff, H.I. (1957) 'Strategies for diversification', Harvard Business Review, 35(5), pp. 113-124.</w:t>
      </w:r>
    </w:p>
    <w:p w14:paraId="544BEA87" w14:textId="77777777" w:rsidR="00065B63" w:rsidRDefault="00000000">
      <w:pPr>
        <w:pStyle w:val="Reference"/>
        <w:spacing w:after="100"/>
        <w:ind w:left="432" w:hanging="432"/>
      </w:pPr>
      <w:r>
        <w:t>3. Barney, J.B. (1991) 'Firm resources and sustained competitive advantage', Journal of Management, 17(1), pp. 99-120. doi: 10.1177/014920639101700108.</w:t>
      </w:r>
    </w:p>
    <w:p w14:paraId="7F71239E" w14:textId="77777777" w:rsidR="00065B63" w:rsidRDefault="00000000">
      <w:pPr>
        <w:pStyle w:val="Reference"/>
        <w:spacing w:after="100"/>
        <w:ind w:left="432" w:hanging="432"/>
      </w:pPr>
      <w:r>
        <w:t>4. Bartlett, C.A. and Ghoshal, S. (1989) Managing Across Borders: The Transnational Solution. Boston: Harvard Business School Press.</w:t>
      </w:r>
    </w:p>
    <w:p w14:paraId="327057CA" w14:textId="77777777" w:rsidR="00065B63" w:rsidRDefault="00000000">
      <w:pPr>
        <w:pStyle w:val="Reference"/>
        <w:spacing w:after="100"/>
        <w:ind w:left="432" w:hanging="432"/>
      </w:pPr>
      <w:r>
        <w:t>5. Campbell-Hunt, C. (2000) 'What have we learned about generic competitive strategy? A meta-analysis', Strategic Management Journal, 21(2), pp. 127-154. doi: 10.1002/(SICI)1097-0266(200002)21:2&lt;127::AID-SMJ75&gt;3.0.CO;2-1.</w:t>
      </w:r>
    </w:p>
    <w:p w14:paraId="1AE4AFBC" w14:textId="77777777" w:rsidR="00065B63" w:rsidRDefault="00000000">
      <w:pPr>
        <w:pStyle w:val="Reference"/>
        <w:spacing w:after="100"/>
        <w:ind w:left="432" w:hanging="432"/>
      </w:pPr>
      <w:r>
        <w:t>6. Carroll, A.B. (1991) 'The pyramid of corporate social responsibility: Toward the moral management of organizational stakeholders', Business Horizons, 34(4), pp. 39-48. doi: 10.1016/0007-6813(91)90005-G.</w:t>
      </w:r>
    </w:p>
    <w:p w14:paraId="5236807C" w14:textId="77777777" w:rsidR="00065B63" w:rsidRDefault="00000000">
      <w:pPr>
        <w:pStyle w:val="Reference"/>
        <w:spacing w:after="100"/>
        <w:ind w:left="432" w:hanging="432"/>
      </w:pPr>
      <w:r>
        <w:t>7. Competition and Markets Authority (2024) CMA clears Vodafone/Three merger, subject to legally binding commitments. Available at: https://www.gov.uk/government/news/cma-clears-vodafone-three-merger-subject-to-legally-binding-commitments (Accessed: 10 July 2026).</w:t>
      </w:r>
    </w:p>
    <w:p w14:paraId="0FEBEFF0" w14:textId="77777777" w:rsidR="00065B63" w:rsidRDefault="00000000">
      <w:pPr>
        <w:pStyle w:val="Reference"/>
        <w:spacing w:after="100"/>
        <w:ind w:left="432" w:hanging="432"/>
      </w:pPr>
      <w:r>
        <w:t>8. Competition and Markets Authority (2025) Vodafone/CK Hutchison joint venture merger inquiry: final undertakings and case closure. Available at: https://www.gov.uk/cma-cases/vodafone-slash-ck-hutchison-jv-merger-inquiry (Accessed: 10 July 2026).</w:t>
      </w:r>
    </w:p>
    <w:p w14:paraId="69608A53" w14:textId="77777777" w:rsidR="00065B63" w:rsidRDefault="00000000">
      <w:pPr>
        <w:pStyle w:val="Reference"/>
        <w:spacing w:after="100"/>
        <w:ind w:left="432" w:hanging="432"/>
      </w:pPr>
      <w:r>
        <w:t>9. Department for Science, Innovation and Technology (2026) Digital and Technologies Sector Plan: Year One Update. Available at: https://www.gov.uk/government/publications/digital-and-technologies-sector-plan-year-one-update (Accessed: 10 July 2026).</w:t>
      </w:r>
    </w:p>
    <w:p w14:paraId="37A77E93" w14:textId="77777777" w:rsidR="00065B63" w:rsidRDefault="00000000">
      <w:pPr>
        <w:pStyle w:val="Reference"/>
        <w:spacing w:after="100"/>
        <w:ind w:left="432" w:hanging="432"/>
      </w:pPr>
      <w:r>
        <w:t>10. Dobbs, M.E. (2014) 'Guidelines for applying Porter's five forces framework: a set of industry analysis templates', Competitiveness Review, 24(1), pp. 32-45. doi: 10.1108/CR-06-2013-0059.</w:t>
      </w:r>
    </w:p>
    <w:p w14:paraId="2FAFA0E0" w14:textId="77777777" w:rsidR="00065B63" w:rsidRDefault="00000000">
      <w:pPr>
        <w:pStyle w:val="Reference"/>
        <w:spacing w:after="100"/>
        <w:ind w:left="432" w:hanging="432"/>
      </w:pPr>
      <w:r>
        <w:t>11. EE (2025) Millions get mobile network boost as EE expands 5G Standalone for the UK. Available at: https://newsroom.ee.co.uk/millions-get-mobile-network-boost-as-ee-expands-5g-standalone-for-the-uk/ (Accessed: 10 July 2026).</w:t>
      </w:r>
    </w:p>
    <w:p w14:paraId="7FBB722F" w14:textId="77777777" w:rsidR="00065B63" w:rsidRDefault="00000000">
      <w:pPr>
        <w:pStyle w:val="Reference"/>
        <w:spacing w:after="100"/>
        <w:ind w:left="432" w:hanging="432"/>
      </w:pPr>
      <w:r>
        <w:t>12. Freeman, R.E. (1984) Strategic Management: A Stakeholder Approach. Boston: Pitman.</w:t>
      </w:r>
    </w:p>
    <w:p w14:paraId="551879D9" w14:textId="77777777" w:rsidR="00065B63" w:rsidRDefault="00000000">
      <w:pPr>
        <w:pStyle w:val="Reference"/>
        <w:spacing w:after="100"/>
        <w:ind w:left="432" w:hanging="432"/>
      </w:pPr>
      <w:r>
        <w:t>13. Grundy, T. (2006) 'Rethinking and reinventing Michael Porter's five forces model', Strategic Change, 15(5), pp. 213-229. doi: 10.1002/jsc.764.</w:t>
      </w:r>
    </w:p>
    <w:p w14:paraId="27074E94" w14:textId="77777777" w:rsidR="00065B63" w:rsidRDefault="00000000">
      <w:pPr>
        <w:pStyle w:val="Reference"/>
        <w:spacing w:after="100"/>
        <w:ind w:left="432" w:hanging="432"/>
      </w:pPr>
      <w:r>
        <w:lastRenderedPageBreak/>
        <w:t>14. Husted, B.W. and Allen, D.B. (2007) 'Strategic corporate social responsibility and value creation among large firms: lessons from the Spanish experience', Long Range Planning, 40(6), pp. 594-610. doi: 10.1016/j.lrp.2007.07.001.</w:t>
      </w:r>
    </w:p>
    <w:p w14:paraId="5E5E47F3" w14:textId="77777777" w:rsidR="00065B63" w:rsidRDefault="00000000">
      <w:pPr>
        <w:pStyle w:val="Reference"/>
        <w:spacing w:after="100"/>
        <w:ind w:left="432" w:hanging="432"/>
      </w:pPr>
      <w:r>
        <w:t>15. Information Commissioner's Office (2026) Data protection by design and by default. Available at: https://ico.org.uk/for-organisations/uk-gdpr-guidance-and-resources/accountability-and-governance/guide-to-accountability-and-governance/data-protection-by-design-and-by-default/ (Accessed: 10 July 2026).</w:t>
      </w:r>
    </w:p>
    <w:p w14:paraId="61FB1A5B" w14:textId="77777777" w:rsidR="00065B63" w:rsidRDefault="00000000">
      <w:pPr>
        <w:pStyle w:val="Reference"/>
        <w:spacing w:after="100"/>
        <w:ind w:left="432" w:hanging="432"/>
      </w:pPr>
      <w:r>
        <w:t>16. Mendelow, A.L. (1981) 'Environmental scanning: The impact of the stakeholder concept', Proceedings of the Second International Conference on Information Systems, pp. 407-418.</w:t>
      </w:r>
    </w:p>
    <w:p w14:paraId="792EF02B" w14:textId="77777777" w:rsidR="00065B63" w:rsidRDefault="00000000">
      <w:pPr>
        <w:pStyle w:val="Reference"/>
        <w:spacing w:after="100"/>
        <w:ind w:left="432" w:hanging="432"/>
      </w:pPr>
      <w:r>
        <w:t>17. Office for National Statistics (2026a) GDP first quarterly estimate, UK: January to March 2026. Available at: https://www.ons.gov.uk/economy/grossdomesticproductgdp/bulletins/gdpfirstquarterlyestimateuk/januarytomarch2026 (Accessed: 10 July 2026).</w:t>
      </w:r>
    </w:p>
    <w:p w14:paraId="18C09D08" w14:textId="77777777" w:rsidR="00065B63" w:rsidRDefault="00000000">
      <w:pPr>
        <w:pStyle w:val="Reference"/>
        <w:spacing w:after="100"/>
        <w:ind w:left="432" w:hanging="432"/>
      </w:pPr>
      <w:r>
        <w:t>18. Office for National Statistics (2026b) Consumer price inflation, UK: May 2026. Available at: https://www.ons.gov.uk/economy/inflationandpriceindices/bulletins/consumerpriceinflation/may2026 (Accessed: 10 July 2026).</w:t>
      </w:r>
    </w:p>
    <w:p w14:paraId="3054F5AD" w14:textId="77777777" w:rsidR="00065B63" w:rsidRDefault="00000000">
      <w:pPr>
        <w:pStyle w:val="Reference"/>
        <w:spacing w:after="100"/>
        <w:ind w:left="432" w:hanging="432"/>
      </w:pPr>
      <w:r>
        <w:t>19. Ofcom (2026a) Connected Nations update: Spring 2026. Available at: https://www.ofcom.org.uk/phones-and-broadband/coverage-and-speeds/connected-nations-update-spring-2026 (Accessed: 10 July 2026).</w:t>
      </w:r>
    </w:p>
    <w:p w14:paraId="4661C969" w14:textId="77777777" w:rsidR="00065B63" w:rsidRDefault="00000000">
      <w:pPr>
        <w:pStyle w:val="Reference"/>
        <w:spacing w:after="100"/>
        <w:ind w:left="432" w:hanging="432"/>
      </w:pPr>
      <w:r>
        <w:t>20. Ofcom (2026b) Latest telecoms and pay-TV complaints revealed: Q4 2025. Available at: https://www.ofcom.org.uk/phones-and-broadband/service-quality/latest-telecoms-and-pay-tv-complaints-revealed-q4-2025 (Accessed: 10 July 2026).</w:t>
      </w:r>
    </w:p>
    <w:p w14:paraId="307899A3" w14:textId="77777777" w:rsidR="00065B63" w:rsidRDefault="00000000">
      <w:pPr>
        <w:pStyle w:val="Reference"/>
        <w:spacing w:after="100"/>
        <w:ind w:left="432" w:hanging="432"/>
      </w:pPr>
      <w:r>
        <w:t>21. Pickton, D.W. and Wright, S. (1998) 'What's SWOT in strategic analysis?', Strategic Change, 7(2), pp. 101-109. doi: 10.1002/(SICI)1099-1697(199803/04)7:2&lt;</w:t>
      </w:r>
      <w:proofErr w:type="gramStart"/>
      <w:r>
        <w:t>101::</w:t>
      </w:r>
      <w:proofErr w:type="gramEnd"/>
      <w:r>
        <w:t>AID-JSC332&gt;3.0.CO;2-6.</w:t>
      </w:r>
    </w:p>
    <w:p w14:paraId="1DAAC98D" w14:textId="77777777" w:rsidR="00065B63" w:rsidRDefault="00000000">
      <w:pPr>
        <w:pStyle w:val="Reference"/>
      </w:pPr>
      <w:r>
        <w:t>22. Porter, M.E. (2008) 'The five competitive forces that shape strategy', Harvard Business Review, 86(1), pp. 78-93.</w:t>
      </w:r>
    </w:p>
    <w:p w14:paraId="3C02D6B4" w14:textId="77777777" w:rsidR="00065B63" w:rsidRDefault="00000000">
      <w:pPr>
        <w:pStyle w:val="Reference"/>
        <w:spacing w:after="100"/>
        <w:ind w:left="432" w:hanging="432"/>
      </w:pPr>
      <w:r>
        <w:t>23. Teece, D.J. (2007) 'Explicating dynamic capabilities: The nature and microfoundations of sustainable enterprise performance', Strategic Management Journal, 28(13), pp. 1319-1350. doi: 10.1002/smj.640.</w:t>
      </w:r>
    </w:p>
    <w:p w14:paraId="53F37EDF" w14:textId="77777777" w:rsidR="00065B63" w:rsidRDefault="00000000">
      <w:pPr>
        <w:pStyle w:val="Reference"/>
        <w:spacing w:after="100"/>
        <w:ind w:left="432" w:hanging="432"/>
      </w:pPr>
      <w:r>
        <w:t>24. UK Parliament (2021) Telecommunications (Security) Act 2021. Available at: https://www.legislation.gov.uk/ukpga/2021/31/contents (Accessed: 10 July 2026).</w:t>
      </w:r>
    </w:p>
    <w:p w14:paraId="3F5715CA" w14:textId="77777777" w:rsidR="00065B63" w:rsidRDefault="00000000">
      <w:pPr>
        <w:pStyle w:val="Reference"/>
        <w:spacing w:after="100"/>
        <w:ind w:left="432" w:hanging="432"/>
      </w:pPr>
      <w:r>
        <w:t xml:space="preserve">25. Virgin Media O2 (2025) Virgin Media O2's </w:t>
      </w:r>
      <w:proofErr w:type="gramStart"/>
      <w:r>
        <w:t>next-generation</w:t>
      </w:r>
      <w:proofErr w:type="gramEnd"/>
      <w:r>
        <w:t xml:space="preserve"> 5G Standalone network now available in 500 towns and cities. Available at: https://news.virginmediao2.co.uk/virgin-media-o2s-next-</w:t>
      </w:r>
      <w:r>
        <w:lastRenderedPageBreak/>
        <w:t>generation-5g-standalone-network-now-available-in-500-towns-and-cities/ (Accessed: 10 July 2026).</w:t>
      </w:r>
    </w:p>
    <w:p w14:paraId="0AEBCBFD" w14:textId="77777777" w:rsidR="00065B63" w:rsidRDefault="00000000">
      <w:pPr>
        <w:pStyle w:val="Reference"/>
        <w:spacing w:after="100"/>
        <w:ind w:left="432" w:hanging="432"/>
      </w:pPr>
      <w:r>
        <w:t>26. Virgin Media O2 (2026) O2 doubles down on mobile network improvements in 2026 with £700m investment. Available at: https://news.virginmediao2.co.uk/o2-doubles-down-on-mobile-network-improvements-in-2026-with-700m-investment/ (Accessed: 10 July 2026).</w:t>
      </w:r>
    </w:p>
    <w:p w14:paraId="12FD6814" w14:textId="77777777" w:rsidR="00065B63" w:rsidRDefault="00000000">
      <w:pPr>
        <w:pStyle w:val="Reference"/>
        <w:spacing w:after="100"/>
        <w:ind w:left="432" w:hanging="432"/>
      </w:pPr>
      <w:r>
        <w:t>27. Vodafone Group (2025a) Completion of Vodafone and Three merger in the UK. Available at: https://www.vodafone.com/news/newsroom/corporate-and-financial/completion-of-vodafone-and-three-merger-in-the-uk (Accessed: 10 July 2026).</w:t>
      </w:r>
    </w:p>
    <w:p w14:paraId="1E8E7F77" w14:textId="77777777" w:rsidR="00065B63" w:rsidRDefault="00000000">
      <w:pPr>
        <w:pStyle w:val="Reference"/>
        <w:spacing w:after="100"/>
        <w:ind w:left="432" w:hanging="432"/>
      </w:pPr>
      <w:r>
        <w:t>28. Vodafone Group (2026a) Vodafone to take full ownership of VodafoneThree. Available at: https://www.vodafone.com/news/newsroom/corporate-and-financial/vodafone-to-take-full-ownership-of-vodafone-three (Accessed: 10 July 2026).</w:t>
      </w:r>
    </w:p>
    <w:p w14:paraId="5BBCB48C" w14:textId="77777777" w:rsidR="00065B63" w:rsidRDefault="00000000">
      <w:pPr>
        <w:pStyle w:val="Reference"/>
        <w:spacing w:after="100"/>
        <w:ind w:left="432" w:hanging="432"/>
      </w:pPr>
      <w:r>
        <w:t>29. Vodafone Group (2026b) Annual Report 2026. Available at: https://reports.investors.vodafone.com/view/500231330 (Accessed: 10 July 2026).</w:t>
      </w:r>
    </w:p>
    <w:p w14:paraId="7167412A" w14:textId="77777777" w:rsidR="00065B63" w:rsidRDefault="00000000">
      <w:pPr>
        <w:pStyle w:val="Reference"/>
        <w:spacing w:after="100"/>
        <w:ind w:left="432" w:hanging="432"/>
      </w:pPr>
      <w:r>
        <w:t>30. Vodafone Group (2026c) The Spirit of Vodafone. Available at: https://careers.vodafone.com/the-spirit-of-vodafone/ (Accessed: 10 July 2026).</w:t>
      </w:r>
    </w:p>
    <w:p w14:paraId="213BCE16" w14:textId="77777777" w:rsidR="00065B63" w:rsidRDefault="00000000">
      <w:pPr>
        <w:pStyle w:val="Reference"/>
        <w:spacing w:after="100"/>
        <w:ind w:left="432" w:hanging="432"/>
      </w:pPr>
      <w:r>
        <w:t>31. Vodafone Group (2026d) FY26 Results Presentation. Available at: https://reports.investors.vodafone.com/view/213859904 (Accessed: 10 July 2026).</w:t>
      </w:r>
    </w:p>
    <w:p w14:paraId="0E5DF624" w14:textId="77777777" w:rsidR="00065B63" w:rsidRDefault="00000000">
      <w:pPr>
        <w:pStyle w:val="Reference"/>
        <w:spacing w:after="100"/>
        <w:ind w:left="432" w:hanging="432"/>
      </w:pPr>
      <w:r>
        <w:t>32. Weihrich, H. (1982) 'The TOWS matrix: A tool for situational analysis', Long Range Planning, 15(2), pp. 54-66. doi: 10.1016/0024-6301(82)90120-0.</w:t>
      </w:r>
    </w:p>
    <w:p w14:paraId="45B875E1" w14:textId="77777777" w:rsidR="00065B63" w:rsidRDefault="00000000">
      <w:pPr>
        <w:pStyle w:val="Reference"/>
        <w:spacing w:after="100"/>
        <w:ind w:left="432" w:hanging="432"/>
      </w:pPr>
      <w:r>
        <w:t>33. Whittington, R., Regnér, P., Angwin, D., Johnson, G. and Scholes, K. (2020) Exploring Strategy. 12th edn. Harlow: Pearson.</w:t>
      </w:r>
    </w:p>
    <w:sectPr w:rsidR="00065B63" w:rsidSect="00034616">
      <w:headerReference w:type="default" r:id="rId8"/>
      <w:footerReference w:type="default" r:id="rId9"/>
      <w:pgSz w:w="12240" w:h="15840"/>
      <w:pgMar w:top="1152" w:right="1224" w:bottom="1080" w:left="122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2ED05E" w14:textId="77777777" w:rsidR="007B74F4" w:rsidRDefault="007B74F4">
      <w:pPr>
        <w:spacing w:after="0" w:line="240" w:lineRule="auto"/>
      </w:pPr>
      <w:r>
        <w:separator/>
      </w:r>
    </w:p>
  </w:endnote>
  <w:endnote w:type="continuationSeparator" w:id="0">
    <w:p w14:paraId="181274C6" w14:textId="77777777" w:rsidR="007B74F4" w:rsidRDefault="007B74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809E4B" w14:textId="77777777" w:rsidR="00065B63" w:rsidRDefault="00000000">
    <w:pPr>
      <w:pStyle w:val="Footer"/>
      <w:spacing w:after="100"/>
      <w:jc w:val="center"/>
    </w:pPr>
    <w:r>
      <w:fldChar w:fldCharType="begin"/>
    </w:r>
    <w:r>
      <w:instrText>PAGE</w:instrText>
    </w:r>
    <w:r>
      <w:fldChar w:fldCharType="separate"/>
    </w:r>
    <w:r w:rsidR="00777FA2">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7647BE" w14:textId="77777777" w:rsidR="007B74F4" w:rsidRDefault="007B74F4">
      <w:pPr>
        <w:spacing w:after="0" w:line="240" w:lineRule="auto"/>
      </w:pPr>
      <w:r>
        <w:separator/>
      </w:r>
    </w:p>
  </w:footnote>
  <w:footnote w:type="continuationSeparator" w:id="0">
    <w:p w14:paraId="72DA3BB0" w14:textId="77777777" w:rsidR="007B74F4" w:rsidRDefault="007B74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0711D4" w14:textId="77777777" w:rsidR="00065B63" w:rsidRDefault="00065B63">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999916495">
    <w:abstractNumId w:val="8"/>
  </w:num>
  <w:num w:numId="2" w16cid:durableId="1245146711">
    <w:abstractNumId w:val="6"/>
  </w:num>
  <w:num w:numId="3" w16cid:durableId="81100717">
    <w:abstractNumId w:val="5"/>
  </w:num>
  <w:num w:numId="4" w16cid:durableId="968628282">
    <w:abstractNumId w:val="4"/>
  </w:num>
  <w:num w:numId="5" w16cid:durableId="1526669320">
    <w:abstractNumId w:val="7"/>
  </w:num>
  <w:num w:numId="6" w16cid:durableId="2022076892">
    <w:abstractNumId w:val="3"/>
  </w:num>
  <w:num w:numId="7" w16cid:durableId="1395540307">
    <w:abstractNumId w:val="2"/>
  </w:num>
  <w:num w:numId="8" w16cid:durableId="1862470873">
    <w:abstractNumId w:val="1"/>
  </w:num>
  <w:num w:numId="9" w16cid:durableId="1915779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65B63"/>
    <w:rsid w:val="000A43D7"/>
    <w:rsid w:val="000A4EFE"/>
    <w:rsid w:val="0015074B"/>
    <w:rsid w:val="001D6886"/>
    <w:rsid w:val="00204DED"/>
    <w:rsid w:val="0029639D"/>
    <w:rsid w:val="00326F90"/>
    <w:rsid w:val="003809B9"/>
    <w:rsid w:val="004624EC"/>
    <w:rsid w:val="00777FA2"/>
    <w:rsid w:val="007B74F4"/>
    <w:rsid w:val="00894D50"/>
    <w:rsid w:val="009F7729"/>
    <w:rsid w:val="00AA1D8D"/>
    <w:rsid w:val="00B47730"/>
    <w:rsid w:val="00BE4D4A"/>
    <w:rsid w:val="00CB0664"/>
    <w:rsid w:val="00D14AD6"/>
    <w:rsid w:val="00DE47E7"/>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9FFCC0F"/>
  <w14:defaultImageDpi w14:val="300"/>
  <w15:docId w15:val="{1765FA13-4E2B-4393-A641-995B1300FF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pPr>
    <w:rPr>
      <w:rFonts w:ascii="Arial" w:eastAsia="Arial" w:hAnsi="Arial" w:cs="Arial"/>
      <w:color w:val="000000"/>
    </w:rPr>
  </w:style>
  <w:style w:type="paragraph" w:styleId="Heading1">
    <w:name w:val="heading 1"/>
    <w:basedOn w:val="Normal"/>
    <w:next w:val="Normal"/>
    <w:link w:val="Heading1Char"/>
    <w:uiPriority w:val="9"/>
    <w:qFormat/>
    <w:rsid w:val="00FC693F"/>
    <w:pPr>
      <w:keepNext/>
      <w:keepLines/>
      <w:spacing w:before="240"/>
      <w:outlineLvl w:val="0"/>
    </w:pPr>
    <w:rPr>
      <w:rFonts w:asciiTheme="majorHAnsi" w:eastAsiaTheme="majorEastAsia" w:hAnsiTheme="majorHAnsi" w:cstheme="majorBidi"/>
      <w:b/>
      <w:bCs/>
      <w:szCs w:val="28"/>
    </w:rPr>
  </w:style>
  <w:style w:type="paragraph" w:styleId="Heading2">
    <w:name w:val="heading 2"/>
    <w:basedOn w:val="Normal"/>
    <w:next w:val="Normal"/>
    <w:link w:val="Heading2Char"/>
    <w:uiPriority w:val="9"/>
    <w:unhideWhenUsed/>
    <w:qFormat/>
    <w:rsid w:val="00FC693F"/>
    <w:pPr>
      <w:keepNext/>
      <w:keepLines/>
      <w:spacing w:before="200" w:after="80"/>
      <w:outlineLvl w:val="1"/>
    </w:pPr>
    <w:rPr>
      <w:rFonts w:asciiTheme="majorHAnsi" w:eastAsiaTheme="majorEastAsia" w:hAnsiTheme="majorHAnsi" w:cstheme="majorBidi"/>
      <w:b/>
      <w:bCs/>
      <w:szCs w:val="26"/>
    </w:rPr>
  </w:style>
  <w:style w:type="paragraph" w:styleId="Heading3">
    <w:name w:val="heading 3"/>
    <w:basedOn w:val="Normal"/>
    <w:next w:val="Normal"/>
    <w:link w:val="Heading3Char"/>
    <w:uiPriority w:val="9"/>
    <w:unhideWhenUsed/>
    <w:qFormat/>
    <w:rsid w:val="00FC693F"/>
    <w:pPr>
      <w:keepNext/>
      <w:keepLines/>
      <w:spacing w:before="160" w:after="60"/>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pPr>
  </w:style>
  <w:style w:type="character" w:customStyle="1" w:styleId="HeaderChar">
    <w:name w:val="Header Char"/>
    <w:basedOn w:val="DefaultParagraphFont"/>
    <w:link w:val="Header"/>
    <w:uiPriority w:val="99"/>
    <w:rsid w:val="00E618BF"/>
    <w:rPr>
      <w:rFonts w:ascii="Arial" w:eastAsia="Arial" w:hAnsi="Arial" w:cs="Arial"/>
      <w:color w:val="000000"/>
      <w:sz w:val="22"/>
    </w:rPr>
  </w:style>
  <w:style w:type="paragraph" w:styleId="Footer">
    <w:name w:val="footer"/>
    <w:basedOn w:val="Normal"/>
    <w:link w:val="FooterChar"/>
    <w:uiPriority w:val="99"/>
    <w:unhideWhenUsed/>
    <w:rsid w:val="00E618BF"/>
    <w:pPr>
      <w:tabs>
        <w:tab w:val="center" w:pos="4680"/>
        <w:tab w:val="right" w:pos="9360"/>
      </w:tabs>
      <w:spacing w:after="0"/>
    </w:pPr>
  </w:style>
  <w:style w:type="character" w:customStyle="1" w:styleId="FooterChar">
    <w:name w:val="Footer Char"/>
    <w:basedOn w:val="DefaultParagraphFont"/>
    <w:link w:val="Footer"/>
    <w:uiPriority w:val="99"/>
    <w:rsid w:val="00E618BF"/>
    <w:rPr>
      <w:rFonts w:ascii="Arial" w:eastAsia="Arial" w:hAnsi="Arial" w:cs="Arial"/>
      <w:color w:val="000000"/>
      <w:sz w:val="22"/>
    </w:rPr>
  </w:style>
  <w:style w:type="paragraph" w:styleId="NoSpacing">
    <w:name w:val="No Spacing"/>
    <w:uiPriority w:val="1"/>
    <w:qFormat/>
    <w:rsid w:val="00FC693F"/>
    <w:pPr>
      <w:spacing w:after="0" w:line="360" w:lineRule="auto"/>
    </w:pPr>
    <w:rPr>
      <w:rFonts w:ascii="Arial" w:eastAsia="Arial" w:hAnsi="Arial" w:cs="Arial"/>
      <w:color w:val="000000"/>
    </w:r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000000"/>
      <w:sz w:val="22"/>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000000"/>
      <w:sz w:val="22"/>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000000"/>
      <w:sz w:val="22"/>
    </w:rPr>
  </w:style>
  <w:style w:type="paragraph" w:styleId="Title">
    <w:name w:val="Title"/>
    <w:basedOn w:val="Normal"/>
    <w:next w:val="Normal"/>
    <w:link w:val="TitleChar"/>
    <w:uiPriority w:val="10"/>
    <w:qFormat/>
    <w:rsid w:val="00FC693F"/>
    <w:pPr>
      <w:keepNext/>
      <w:pBdr>
        <w:bottom w:val="single" w:sz="8" w:space="4" w:color="4F81BD" w:themeColor="accent1"/>
      </w:pBdr>
      <w:spacing w:after="200"/>
      <w:contextualSpacing/>
    </w:pPr>
    <w:rPr>
      <w:rFonts w:asciiTheme="majorHAnsi" w:eastAsiaTheme="majorEastAsia" w:hAnsiTheme="majorHAnsi" w:cstheme="majorBidi"/>
      <w:b/>
      <w:spacing w:val="5"/>
      <w:kern w:val="28"/>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000000"/>
      <w:spacing w:val="5"/>
      <w:kern w:val="28"/>
      <w:sz w:val="2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000000"/>
      <w:spacing w:val="15"/>
      <w:sz w:val="22"/>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rPr>
      <w:rFonts w:ascii="Arial" w:eastAsia="Arial" w:hAnsi="Arial" w:cs="Arial"/>
      <w:color w:val="000000"/>
      <w:sz w:val="22"/>
    </w:rPr>
  </w:style>
  <w:style w:type="paragraph" w:styleId="BodyText2">
    <w:name w:val="Body Text 2"/>
    <w:basedOn w:val="Normal"/>
    <w:link w:val="BodyText2Char"/>
    <w:uiPriority w:val="99"/>
    <w:unhideWhenUsed/>
    <w:rsid w:val="00AA1D8D"/>
  </w:style>
  <w:style w:type="character" w:customStyle="1" w:styleId="BodyText2Char">
    <w:name w:val="Body Text 2 Char"/>
    <w:basedOn w:val="DefaultParagraphFont"/>
    <w:link w:val="BodyText2"/>
    <w:uiPriority w:val="99"/>
    <w:rsid w:val="00AA1D8D"/>
    <w:rPr>
      <w:rFonts w:ascii="Arial" w:eastAsia="Arial" w:hAnsi="Arial" w:cs="Arial"/>
      <w:color w:val="000000"/>
      <w:sz w:val="22"/>
    </w:rPr>
  </w:style>
  <w:style w:type="paragraph" w:styleId="BodyText3">
    <w:name w:val="Body Text 3"/>
    <w:basedOn w:val="Normal"/>
    <w:link w:val="BodyText3Char"/>
    <w:uiPriority w:val="99"/>
    <w:unhideWhenUsed/>
    <w:rsid w:val="00AA1D8D"/>
    <w:rPr>
      <w:szCs w:val="16"/>
    </w:rPr>
  </w:style>
  <w:style w:type="character" w:customStyle="1" w:styleId="BodyText3Char">
    <w:name w:val="Body Text 3 Char"/>
    <w:basedOn w:val="DefaultParagraphFont"/>
    <w:link w:val="BodyText3"/>
    <w:uiPriority w:val="99"/>
    <w:rsid w:val="00AA1D8D"/>
    <w:rPr>
      <w:rFonts w:ascii="Arial" w:eastAsia="Arial" w:hAnsi="Arial" w:cs="Arial"/>
      <w:color w:val="000000"/>
      <w:sz w:val="22"/>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spacing w:line="360" w:lineRule="auto"/>
    </w:pPr>
    <w:rPr>
      <w:rFonts w:ascii="Arial" w:eastAsia="Arial" w:hAnsi="Arial" w:cs="Arial"/>
      <w:color w:val="000000"/>
      <w:szCs w:val="20"/>
    </w:rPr>
  </w:style>
  <w:style w:type="character" w:customStyle="1" w:styleId="MacroTextChar">
    <w:name w:val="Macro Text Char"/>
    <w:basedOn w:val="DefaultParagraphFont"/>
    <w:link w:val="MacroText"/>
    <w:uiPriority w:val="99"/>
    <w:rsid w:val="0029639D"/>
    <w:rPr>
      <w:rFonts w:ascii="Arial" w:eastAsia="Arial" w:hAnsi="Arial" w:cs="Arial"/>
      <w:color w:val="000000"/>
      <w:sz w:val="22"/>
      <w:szCs w:val="20"/>
    </w:rPr>
  </w:style>
  <w:style w:type="paragraph" w:styleId="Quote">
    <w:name w:val="Quote"/>
    <w:basedOn w:val="Normal"/>
    <w:next w:val="Normal"/>
    <w:link w:val="QuoteChar"/>
    <w:uiPriority w:val="29"/>
    <w:qFormat/>
    <w:rsid w:val="00FC693F"/>
    <w:rPr>
      <w:i/>
      <w:iCs/>
    </w:rPr>
  </w:style>
  <w:style w:type="character" w:customStyle="1" w:styleId="QuoteChar">
    <w:name w:val="Quote Char"/>
    <w:basedOn w:val="DefaultParagraphFont"/>
    <w:link w:val="Quote"/>
    <w:uiPriority w:val="29"/>
    <w:rsid w:val="00FC693F"/>
    <w:rPr>
      <w:rFonts w:ascii="Arial" w:eastAsia="Arial" w:hAnsi="Arial" w:cs="Arial"/>
      <w:i/>
      <w:iCs/>
      <w:color w:val="000000"/>
      <w:sz w:val="22"/>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000000"/>
      <w:sz w:val="22"/>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000000"/>
      <w:sz w:val="22"/>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000000"/>
      <w:sz w:val="22"/>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000000"/>
      <w:sz w:val="22"/>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000000"/>
      <w:sz w:val="22"/>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000000"/>
      <w:sz w:val="22"/>
      <w:szCs w:val="20"/>
    </w:rPr>
  </w:style>
  <w:style w:type="paragraph" w:styleId="Caption">
    <w:name w:val="caption"/>
    <w:basedOn w:val="Normal"/>
    <w:next w:val="Normal"/>
    <w:uiPriority w:val="35"/>
    <w:semiHidden/>
    <w:unhideWhenUsed/>
    <w:qFormat/>
    <w:rsid w:val="00FC693F"/>
    <w:rPr>
      <w:b/>
      <w:bCs/>
      <w:szCs w:val="18"/>
    </w:rPr>
  </w:style>
  <w:style w:type="character" w:styleId="Strong">
    <w:name w:val="Strong"/>
    <w:basedOn w:val="DefaultParagraphFont"/>
    <w:uiPriority w:val="22"/>
    <w:qFormat/>
    <w:rsid w:val="00FC693F"/>
    <w:rPr>
      <w:rFonts w:ascii="Arial" w:eastAsia="Arial" w:hAnsi="Arial" w:cs="Arial"/>
      <w:b/>
      <w:bCs/>
      <w:color w:val="000000"/>
      <w:sz w:val="22"/>
    </w:rPr>
  </w:style>
  <w:style w:type="character" w:styleId="Emphasis">
    <w:name w:val="Emphasis"/>
    <w:basedOn w:val="DefaultParagraphFont"/>
    <w:uiPriority w:val="20"/>
    <w:qFormat/>
    <w:rsid w:val="00FC693F"/>
    <w:rPr>
      <w:rFonts w:ascii="Arial" w:eastAsia="Arial" w:hAnsi="Arial" w:cs="Arial"/>
      <w:i/>
      <w:iCs/>
      <w:color w:val="000000"/>
      <w:sz w:val="22"/>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rPr>
  </w:style>
  <w:style w:type="character" w:customStyle="1" w:styleId="IntenseQuoteChar">
    <w:name w:val="Intense Quote Char"/>
    <w:basedOn w:val="DefaultParagraphFont"/>
    <w:link w:val="IntenseQuote"/>
    <w:uiPriority w:val="30"/>
    <w:rsid w:val="00FC693F"/>
    <w:rPr>
      <w:rFonts w:ascii="Arial" w:eastAsia="Arial" w:hAnsi="Arial" w:cs="Arial"/>
      <w:b/>
      <w:bCs/>
      <w:i/>
      <w:iCs/>
      <w:color w:val="000000"/>
      <w:sz w:val="22"/>
    </w:rPr>
  </w:style>
  <w:style w:type="character" w:styleId="SubtleEmphasis">
    <w:name w:val="Subtle Emphasis"/>
    <w:basedOn w:val="DefaultParagraphFont"/>
    <w:uiPriority w:val="19"/>
    <w:qFormat/>
    <w:rsid w:val="00FC693F"/>
    <w:rPr>
      <w:rFonts w:ascii="Arial" w:eastAsia="Arial" w:hAnsi="Arial" w:cs="Arial"/>
      <w:i/>
      <w:iCs/>
      <w:color w:val="000000"/>
      <w:sz w:val="22"/>
    </w:rPr>
  </w:style>
  <w:style w:type="character" w:styleId="IntenseEmphasis">
    <w:name w:val="Intense Emphasis"/>
    <w:basedOn w:val="DefaultParagraphFont"/>
    <w:uiPriority w:val="21"/>
    <w:qFormat/>
    <w:rsid w:val="00FC693F"/>
    <w:rPr>
      <w:rFonts w:ascii="Arial" w:eastAsia="Arial" w:hAnsi="Arial" w:cs="Arial"/>
      <w:b/>
      <w:bCs/>
      <w:i/>
      <w:iCs/>
      <w:color w:val="000000"/>
      <w:sz w:val="22"/>
    </w:rPr>
  </w:style>
  <w:style w:type="character" w:styleId="SubtleReference">
    <w:name w:val="Subtle Reference"/>
    <w:basedOn w:val="DefaultParagraphFont"/>
    <w:uiPriority w:val="31"/>
    <w:qFormat/>
    <w:rsid w:val="00FC693F"/>
    <w:rPr>
      <w:rFonts w:ascii="Arial" w:eastAsia="Arial" w:hAnsi="Arial" w:cs="Arial"/>
      <w:smallCaps/>
      <w:color w:val="000000"/>
      <w:sz w:val="22"/>
      <w:u w:val="single"/>
    </w:rPr>
  </w:style>
  <w:style w:type="character" w:styleId="IntenseReference">
    <w:name w:val="Intense Reference"/>
    <w:basedOn w:val="DefaultParagraphFont"/>
    <w:uiPriority w:val="32"/>
    <w:qFormat/>
    <w:rsid w:val="00FC693F"/>
    <w:rPr>
      <w:rFonts w:ascii="Arial" w:eastAsia="Arial" w:hAnsi="Arial" w:cs="Arial"/>
      <w:b/>
      <w:bCs/>
      <w:smallCaps/>
      <w:color w:val="000000"/>
      <w:spacing w:val="5"/>
      <w:sz w:val="22"/>
      <w:u w:val="single"/>
    </w:rPr>
  </w:style>
  <w:style w:type="character" w:styleId="BookTitle">
    <w:name w:val="Book Title"/>
    <w:basedOn w:val="DefaultParagraphFont"/>
    <w:uiPriority w:val="33"/>
    <w:qFormat/>
    <w:rsid w:val="00FC693F"/>
    <w:rPr>
      <w:rFonts w:ascii="Arial" w:eastAsia="Arial" w:hAnsi="Arial" w:cs="Arial"/>
      <w:b/>
      <w:bCs/>
      <w:smallCaps/>
      <w:color w:val="000000"/>
      <w:spacing w:val="5"/>
      <w:sz w:val="22"/>
    </w:rPr>
  </w:style>
  <w:style w:type="paragraph" w:styleId="TOCHeading">
    <w:name w:val="TOC Heading"/>
    <w:basedOn w:val="Heading1"/>
    <w:next w:val="Normal"/>
    <w:uiPriority w:val="39"/>
    <w:semiHidden/>
    <w:unhideWhenUsed/>
    <w:qFormat/>
    <w:rsid w:val="00FC693F"/>
    <w:pPr>
      <w:outlineLvl w:val="9"/>
    </w:pPr>
    <w:rPr>
      <w:rFonts w:ascii="Arial" w:eastAsia="Arial" w:hAnsi="Arial" w:cs="Arial"/>
    </w:rPr>
  </w:style>
  <w:style w:type="table" w:styleId="TableGrid">
    <w:name w:val="Table Grid"/>
    <w:basedOn w:val="TableNormal"/>
    <w:uiPriority w:val="59"/>
    <w:rsid w:val="00FC693F"/>
    <w:pPr>
      <w:spacing w:after="0" w:line="360" w:lineRule="auto"/>
    </w:pPr>
    <w:rPr>
      <w:rFonts w:ascii="Arial" w:eastAsia="Arial" w:hAnsi="Arial" w:cs="Arial"/>
      <w:color w:val="00000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360" w:lineRule="auto"/>
    </w:pPr>
    <w:rPr>
      <w:rFonts w:ascii="Arial" w:eastAsia="Arial" w:hAnsi="Arial" w:cs="Arial"/>
      <w:color w:val="000000"/>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360" w:lineRule="auto"/>
    </w:pPr>
    <w:rPr>
      <w:rFonts w:ascii="Arial" w:eastAsia="Arial" w:hAnsi="Arial" w:cs="Arial"/>
      <w:color w:val="000000"/>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360" w:lineRule="auto"/>
    </w:pPr>
    <w:rPr>
      <w:rFonts w:ascii="Arial" w:eastAsia="Arial" w:hAnsi="Arial" w:cs="Arial"/>
      <w:color w:val="000000"/>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360" w:lineRule="auto"/>
    </w:pPr>
    <w:rPr>
      <w:rFonts w:ascii="Arial" w:eastAsia="Arial" w:hAnsi="Arial" w:cs="Arial"/>
      <w:color w:val="000000"/>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360" w:lineRule="auto"/>
    </w:pPr>
    <w:rPr>
      <w:rFonts w:ascii="Arial" w:eastAsia="Arial" w:hAnsi="Arial" w:cs="Arial"/>
      <w:color w:val="000000"/>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360" w:lineRule="auto"/>
    </w:pPr>
    <w:rPr>
      <w:rFonts w:ascii="Arial" w:eastAsia="Arial" w:hAnsi="Arial" w:cs="Arial"/>
      <w:color w:val="000000"/>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360" w:lineRule="auto"/>
    </w:pPr>
    <w:rPr>
      <w:rFonts w:ascii="Arial" w:eastAsia="Arial" w:hAnsi="Arial" w:cs="Arial"/>
      <w:color w:val="000000"/>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360" w:lineRule="auto"/>
    </w:pPr>
    <w:rPr>
      <w:rFonts w:ascii="Arial" w:eastAsia="Arial" w:hAnsi="Arial" w:cs="Arial"/>
      <w:color w:val="000000"/>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360" w:lineRule="auto"/>
    </w:pPr>
    <w:rPr>
      <w:rFonts w:ascii="Arial" w:eastAsia="Arial" w:hAnsi="Arial" w:cs="Arial"/>
      <w:color w:val="000000"/>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360" w:lineRule="auto"/>
    </w:pPr>
    <w:rPr>
      <w:rFonts w:ascii="Arial" w:eastAsia="Arial" w:hAnsi="Arial" w:cs="Arial"/>
      <w:color w:val="000000"/>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360" w:lineRule="auto"/>
    </w:pPr>
    <w:rPr>
      <w:rFonts w:ascii="Arial" w:eastAsia="Arial" w:hAnsi="Arial" w:cs="Arial"/>
      <w:color w:val="000000"/>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360" w:lineRule="auto"/>
    </w:pPr>
    <w:rPr>
      <w:rFonts w:ascii="Arial" w:eastAsia="Arial" w:hAnsi="Arial" w:cs="Arial"/>
      <w:color w:val="000000"/>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360" w:lineRule="auto"/>
    </w:pPr>
    <w:rPr>
      <w:rFonts w:ascii="Arial" w:eastAsia="Arial" w:hAnsi="Arial" w:cs="Arial"/>
      <w:color w:val="000000"/>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360" w:lineRule="auto"/>
    </w:pPr>
    <w:rPr>
      <w:rFonts w:ascii="Arial" w:eastAsia="Arial" w:hAnsi="Arial" w:cs="Arial"/>
      <w:color w:val="000000"/>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360" w:lineRule="auto"/>
    </w:pPr>
    <w:rPr>
      <w:rFonts w:ascii="Arial" w:eastAsia="Arial" w:hAnsi="Arial" w:cs="Arial"/>
      <w:color w:val="000000"/>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360" w:lineRule="auto"/>
    </w:pPr>
    <w:rPr>
      <w:rFonts w:ascii="Arial" w:eastAsia="Arial" w:hAnsi="Arial" w:cs="Arial"/>
      <w:color w:val="000000"/>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360" w:lineRule="auto"/>
    </w:pPr>
    <w:rPr>
      <w:rFonts w:ascii="Arial" w:eastAsia="Arial" w:hAnsi="Arial" w:cs="Arial"/>
      <w:color w:val="000000"/>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360" w:lineRule="auto"/>
    </w:pPr>
    <w:rPr>
      <w:rFonts w:ascii="Arial" w:eastAsia="Arial" w:hAnsi="Arial" w:cs="Arial"/>
      <w:color w:val="000000"/>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360" w:lineRule="auto"/>
    </w:pPr>
    <w:rPr>
      <w:rFonts w:ascii="Arial" w:eastAsia="Arial" w:hAnsi="Arial" w:cs="Arial"/>
      <w:color w:val="000000"/>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360" w:lineRule="auto"/>
    </w:pPr>
    <w:rPr>
      <w:rFonts w:ascii="Arial" w:eastAsia="Arial" w:hAnsi="Arial" w:cs="Arial"/>
      <w:color w:val="000000"/>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360" w:lineRule="auto"/>
    </w:pPr>
    <w:rPr>
      <w:rFonts w:ascii="Arial" w:eastAsia="Arial" w:hAnsi="Arial" w:cs="Arial"/>
      <w:color w:val="000000"/>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360" w:lineRule="auto"/>
    </w:pPr>
    <w:rPr>
      <w:rFonts w:ascii="Arial" w:eastAsia="Arial" w:hAnsi="Arial" w:cs="Arial"/>
      <w:color w:val="000000"/>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360" w:lineRule="auto"/>
    </w:pPr>
    <w:rPr>
      <w:rFonts w:ascii="Arial" w:eastAsia="Arial" w:hAnsi="Arial" w:cs="Arial"/>
      <w:color w:val="000000"/>
    </w:r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360" w:lineRule="auto"/>
    </w:pPr>
    <w:rPr>
      <w:rFonts w:ascii="Arial" w:eastAsia="Arial" w:hAnsi="Arial" w:cs="Arial"/>
      <w:color w:val="000000"/>
    </w:r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360" w:lineRule="auto"/>
    </w:pPr>
    <w:rPr>
      <w:rFonts w:ascii="Arial" w:eastAsia="Arial" w:hAnsi="Arial" w:cs="Arial"/>
      <w:color w:val="000000"/>
    </w:r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360" w:lineRule="auto"/>
    </w:pPr>
    <w:rPr>
      <w:rFonts w:ascii="Arial" w:eastAsia="Arial" w:hAnsi="Arial" w:cs="Arial"/>
      <w:color w:val="000000"/>
    </w:r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360" w:lineRule="auto"/>
    </w:pPr>
    <w:rPr>
      <w:rFonts w:ascii="Arial" w:eastAsia="Arial" w:hAnsi="Arial" w:cs="Arial"/>
      <w:color w:val="000000"/>
    </w:r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360" w:lineRule="auto"/>
    </w:pPr>
    <w:rPr>
      <w:rFonts w:ascii="Arial" w:eastAsia="Arial" w:hAnsi="Arial" w:cs="Arial"/>
      <w:color w:val="000000"/>
    </w:r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360" w:lineRule="auto"/>
    </w:pPr>
    <w:rPr>
      <w:rFonts w:ascii="Arial" w:eastAsia="Arial" w:hAnsi="Arial" w:cs="Arial"/>
      <w:color w:val="000000"/>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360" w:lineRule="auto"/>
    </w:pPr>
    <w:rPr>
      <w:rFonts w:ascii="Arial" w:eastAsia="Arial" w:hAnsi="Arial" w:cs="Arial"/>
      <w:color w:val="000000"/>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360" w:lineRule="auto"/>
    </w:pPr>
    <w:rPr>
      <w:rFonts w:ascii="Arial" w:eastAsia="Arial" w:hAnsi="Arial" w:cs="Arial"/>
      <w:color w:val="000000"/>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360" w:lineRule="auto"/>
    </w:pPr>
    <w:rPr>
      <w:rFonts w:ascii="Arial" w:eastAsia="Arial" w:hAnsi="Arial" w:cs="Arial"/>
      <w:color w:val="000000"/>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360" w:lineRule="auto"/>
    </w:pPr>
    <w:rPr>
      <w:rFonts w:ascii="Arial" w:eastAsia="Arial" w:hAnsi="Arial" w:cs="Arial"/>
      <w:color w:val="000000"/>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360" w:lineRule="auto"/>
    </w:pPr>
    <w:rPr>
      <w:rFonts w:ascii="Arial" w:eastAsia="Arial" w:hAnsi="Arial" w:cs="Arial"/>
      <w:color w:val="000000"/>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360" w:lineRule="auto"/>
    </w:pPr>
    <w:rPr>
      <w:rFonts w:ascii="Arial" w:eastAsia="Arial" w:hAnsi="Arial" w:cs="Arial"/>
      <w:color w:val="000000"/>
    </w:r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360" w:lineRule="auto"/>
    </w:pPr>
    <w:rPr>
      <w:rFonts w:ascii="Arial" w:eastAsia="Arial" w:hAnsi="Arial" w:cs="Arial"/>
      <w:color w:val="000000"/>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360" w:lineRule="auto"/>
    </w:pPr>
    <w:rPr>
      <w:rFonts w:ascii="Arial" w:eastAsia="Arial" w:hAnsi="Arial" w:cs="Arial"/>
      <w:color w:val="000000"/>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360" w:lineRule="auto"/>
    </w:pPr>
    <w:rPr>
      <w:rFonts w:ascii="Arial" w:eastAsia="Arial" w:hAnsi="Arial" w:cs="Arial"/>
      <w:color w:val="000000"/>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360" w:lineRule="auto"/>
    </w:pPr>
    <w:rPr>
      <w:rFonts w:ascii="Arial" w:eastAsia="Arial" w:hAnsi="Arial" w:cs="Arial"/>
      <w:color w:val="000000"/>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360" w:lineRule="auto"/>
    </w:pPr>
    <w:rPr>
      <w:rFonts w:ascii="Arial" w:eastAsia="Arial" w:hAnsi="Arial" w:cs="Arial"/>
      <w:color w:val="000000"/>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360" w:lineRule="auto"/>
    </w:pPr>
    <w:rPr>
      <w:rFonts w:ascii="Arial" w:eastAsia="Arial" w:hAnsi="Arial" w:cs="Arial"/>
      <w:color w:val="000000"/>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360" w:lineRule="auto"/>
    </w:pPr>
    <w:rPr>
      <w:rFonts w:ascii="Arial" w:eastAsia="Arial" w:hAnsi="Arial" w:cs="Arial"/>
      <w:color w:val="000000"/>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360" w:lineRule="auto"/>
    </w:pPr>
    <w:rPr>
      <w:rFonts w:asciiTheme="majorHAnsi" w:eastAsiaTheme="majorEastAsia" w:hAnsiTheme="majorHAnsi" w:cstheme="majorBidi"/>
      <w:color w:val="000000"/>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360" w:lineRule="auto"/>
    </w:pPr>
    <w:rPr>
      <w:rFonts w:asciiTheme="majorHAnsi" w:eastAsiaTheme="majorEastAsia" w:hAnsiTheme="majorHAnsi" w:cstheme="majorBidi"/>
      <w:color w:val="000000"/>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360" w:lineRule="auto"/>
    </w:pPr>
    <w:rPr>
      <w:rFonts w:asciiTheme="majorHAnsi" w:eastAsiaTheme="majorEastAsia" w:hAnsiTheme="majorHAnsi" w:cstheme="majorBidi"/>
      <w:color w:val="000000"/>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360" w:lineRule="auto"/>
    </w:pPr>
    <w:rPr>
      <w:rFonts w:asciiTheme="majorHAnsi" w:eastAsiaTheme="majorEastAsia" w:hAnsiTheme="majorHAnsi" w:cstheme="majorBidi"/>
      <w:color w:val="000000"/>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360" w:lineRule="auto"/>
    </w:pPr>
    <w:rPr>
      <w:rFonts w:asciiTheme="majorHAnsi" w:eastAsiaTheme="majorEastAsia" w:hAnsiTheme="majorHAnsi" w:cstheme="majorBidi"/>
      <w:color w:val="000000"/>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360" w:lineRule="auto"/>
    </w:pPr>
    <w:rPr>
      <w:rFonts w:asciiTheme="majorHAnsi" w:eastAsiaTheme="majorEastAsia" w:hAnsiTheme="majorHAnsi" w:cstheme="majorBidi"/>
      <w:color w:val="000000"/>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360" w:lineRule="auto"/>
    </w:pPr>
    <w:rPr>
      <w:rFonts w:asciiTheme="majorHAnsi" w:eastAsiaTheme="majorEastAsia" w:hAnsiTheme="majorHAnsi" w:cstheme="majorBidi"/>
      <w:color w:val="000000"/>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360" w:lineRule="auto"/>
    </w:pPr>
    <w:rPr>
      <w:rFonts w:ascii="Arial" w:eastAsia="Arial" w:hAnsi="Arial" w:cs="Arial"/>
      <w:color w:val="000000"/>
    </w:r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360" w:lineRule="auto"/>
    </w:pPr>
    <w:rPr>
      <w:rFonts w:ascii="Arial" w:eastAsia="Arial" w:hAnsi="Arial" w:cs="Arial"/>
      <w:color w:val="000000"/>
    </w:r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360" w:lineRule="auto"/>
    </w:pPr>
    <w:rPr>
      <w:rFonts w:ascii="Arial" w:eastAsia="Arial" w:hAnsi="Arial" w:cs="Arial"/>
      <w:color w:val="000000"/>
    </w:r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360" w:lineRule="auto"/>
    </w:pPr>
    <w:rPr>
      <w:rFonts w:ascii="Arial" w:eastAsia="Arial" w:hAnsi="Arial" w:cs="Arial"/>
      <w:color w:val="000000"/>
    </w:r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360" w:lineRule="auto"/>
    </w:pPr>
    <w:rPr>
      <w:rFonts w:ascii="Arial" w:eastAsia="Arial" w:hAnsi="Arial" w:cs="Arial"/>
      <w:color w:val="000000"/>
    </w:r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360" w:lineRule="auto"/>
    </w:pPr>
    <w:rPr>
      <w:rFonts w:ascii="Arial" w:eastAsia="Arial" w:hAnsi="Arial" w:cs="Arial"/>
      <w:color w:val="000000"/>
    </w:r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360" w:lineRule="auto"/>
    </w:pPr>
    <w:rPr>
      <w:rFonts w:ascii="Arial" w:eastAsia="Arial" w:hAnsi="Arial" w:cs="Arial"/>
      <w:color w:val="000000"/>
    </w:r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360" w:lineRule="auto"/>
    </w:pPr>
    <w:rPr>
      <w:rFonts w:asciiTheme="majorHAnsi" w:eastAsiaTheme="majorEastAsia" w:hAnsiTheme="majorHAnsi" w:cstheme="majorBidi"/>
      <w:color w:val="000000"/>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360" w:lineRule="auto"/>
    </w:pPr>
    <w:rPr>
      <w:rFonts w:asciiTheme="majorHAnsi" w:eastAsiaTheme="majorEastAsia" w:hAnsiTheme="majorHAnsi" w:cstheme="majorBidi"/>
      <w:color w:val="000000"/>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360" w:lineRule="auto"/>
    </w:pPr>
    <w:rPr>
      <w:rFonts w:asciiTheme="majorHAnsi" w:eastAsiaTheme="majorEastAsia" w:hAnsiTheme="majorHAnsi" w:cstheme="majorBidi"/>
      <w:color w:val="000000"/>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360" w:lineRule="auto"/>
    </w:pPr>
    <w:rPr>
      <w:rFonts w:asciiTheme="majorHAnsi" w:eastAsiaTheme="majorEastAsia" w:hAnsiTheme="majorHAnsi" w:cstheme="majorBidi"/>
      <w:color w:val="000000"/>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360" w:lineRule="auto"/>
    </w:pPr>
    <w:rPr>
      <w:rFonts w:asciiTheme="majorHAnsi" w:eastAsiaTheme="majorEastAsia" w:hAnsiTheme="majorHAnsi" w:cstheme="majorBidi"/>
      <w:color w:val="000000"/>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360" w:lineRule="auto"/>
    </w:pPr>
    <w:rPr>
      <w:rFonts w:asciiTheme="majorHAnsi" w:eastAsiaTheme="majorEastAsia" w:hAnsiTheme="majorHAnsi" w:cstheme="majorBidi"/>
      <w:color w:val="000000"/>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360" w:lineRule="auto"/>
    </w:pPr>
    <w:rPr>
      <w:rFonts w:asciiTheme="majorHAnsi" w:eastAsiaTheme="majorEastAsia" w:hAnsiTheme="majorHAnsi" w:cstheme="majorBidi"/>
      <w:color w:val="000000"/>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360" w:lineRule="auto"/>
    </w:pPr>
    <w:rPr>
      <w:rFonts w:ascii="Arial" w:eastAsia="Arial" w:hAnsi="Arial" w:cs="Arial"/>
      <w:color w:val="000000"/>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360" w:lineRule="auto"/>
    </w:pPr>
    <w:rPr>
      <w:rFonts w:ascii="Arial" w:eastAsia="Arial" w:hAnsi="Arial" w:cs="Arial"/>
      <w:color w:val="000000"/>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360" w:lineRule="auto"/>
    </w:pPr>
    <w:rPr>
      <w:rFonts w:ascii="Arial" w:eastAsia="Arial" w:hAnsi="Arial" w:cs="Arial"/>
      <w:color w:val="000000"/>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360" w:lineRule="auto"/>
    </w:pPr>
    <w:rPr>
      <w:rFonts w:ascii="Arial" w:eastAsia="Arial" w:hAnsi="Arial" w:cs="Arial"/>
      <w:color w:val="000000"/>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360" w:lineRule="auto"/>
    </w:pPr>
    <w:rPr>
      <w:rFonts w:ascii="Arial" w:eastAsia="Arial" w:hAnsi="Arial" w:cs="Arial"/>
      <w:color w:val="000000"/>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360" w:lineRule="auto"/>
    </w:pPr>
    <w:rPr>
      <w:rFonts w:ascii="Arial" w:eastAsia="Arial" w:hAnsi="Arial" w:cs="Arial"/>
      <w:color w:val="000000"/>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360" w:lineRule="auto"/>
    </w:pPr>
    <w:rPr>
      <w:rFonts w:ascii="Arial" w:eastAsia="Arial" w:hAnsi="Arial" w:cs="Arial"/>
      <w:color w:val="000000"/>
    </w:r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360" w:lineRule="auto"/>
    </w:pPr>
    <w:rPr>
      <w:rFonts w:ascii="Arial" w:eastAsia="Arial" w:hAnsi="Arial" w:cs="Arial"/>
      <w:color w:val="000000"/>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360" w:lineRule="auto"/>
    </w:pPr>
    <w:rPr>
      <w:rFonts w:ascii="Arial" w:eastAsia="Arial" w:hAnsi="Arial" w:cs="Arial"/>
      <w:color w:val="000000"/>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360" w:lineRule="auto"/>
    </w:pPr>
    <w:rPr>
      <w:rFonts w:ascii="Arial" w:eastAsia="Arial" w:hAnsi="Arial" w:cs="Arial"/>
      <w:color w:val="000000"/>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360" w:lineRule="auto"/>
    </w:pPr>
    <w:rPr>
      <w:rFonts w:ascii="Arial" w:eastAsia="Arial" w:hAnsi="Arial" w:cs="Arial"/>
      <w:color w:val="000000"/>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360" w:lineRule="auto"/>
    </w:pPr>
    <w:rPr>
      <w:rFonts w:ascii="Arial" w:eastAsia="Arial" w:hAnsi="Arial" w:cs="Arial"/>
      <w:color w:val="000000"/>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360" w:lineRule="auto"/>
    </w:pPr>
    <w:rPr>
      <w:rFonts w:ascii="Arial" w:eastAsia="Arial" w:hAnsi="Arial" w:cs="Arial"/>
      <w:color w:val="000000"/>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360" w:lineRule="auto"/>
    </w:pPr>
    <w:rPr>
      <w:rFonts w:ascii="Arial" w:eastAsia="Arial" w:hAnsi="Arial" w:cs="Arial"/>
      <w:color w:val="000000"/>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360" w:lineRule="auto"/>
    </w:pPr>
    <w:rPr>
      <w:rFonts w:ascii="Arial" w:eastAsia="Arial" w:hAnsi="Arial" w:cs="Arial"/>
      <w:color w:val="000000"/>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360" w:lineRule="auto"/>
    </w:pPr>
    <w:rPr>
      <w:rFonts w:ascii="Arial" w:eastAsia="Arial" w:hAnsi="Arial" w:cs="Arial"/>
      <w:color w:val="000000"/>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360" w:lineRule="auto"/>
    </w:pPr>
    <w:rPr>
      <w:rFonts w:ascii="Arial" w:eastAsia="Arial" w:hAnsi="Arial" w:cs="Arial"/>
      <w:color w:val="000000"/>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360" w:lineRule="auto"/>
    </w:pPr>
    <w:rPr>
      <w:rFonts w:ascii="Arial" w:eastAsia="Arial" w:hAnsi="Arial" w:cs="Arial"/>
      <w:color w:val="000000"/>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360" w:lineRule="auto"/>
    </w:pPr>
    <w:rPr>
      <w:rFonts w:ascii="Arial" w:eastAsia="Arial" w:hAnsi="Arial" w:cs="Arial"/>
      <w:color w:val="000000"/>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360" w:lineRule="auto"/>
    </w:pPr>
    <w:rPr>
      <w:rFonts w:ascii="Arial" w:eastAsia="Arial" w:hAnsi="Arial" w:cs="Arial"/>
      <w:color w:val="000000"/>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360" w:lineRule="auto"/>
    </w:pPr>
    <w:rPr>
      <w:rFonts w:ascii="Arial" w:eastAsia="Arial" w:hAnsi="Arial" w:cs="Arial"/>
      <w:color w:val="000000"/>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360" w:lineRule="auto"/>
    </w:pPr>
    <w:rPr>
      <w:rFonts w:ascii="Arial" w:eastAsia="Arial" w:hAnsi="Arial" w:cs="Arial"/>
      <w:color w:val="000000"/>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360" w:lineRule="auto"/>
    </w:pPr>
    <w:rPr>
      <w:rFonts w:ascii="Arial" w:eastAsia="Arial" w:hAnsi="Arial" w:cs="Arial"/>
      <w:color w:val="000000"/>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360" w:lineRule="auto"/>
    </w:pPr>
    <w:rPr>
      <w:rFonts w:ascii="Arial" w:eastAsia="Arial" w:hAnsi="Arial" w:cs="Arial"/>
      <w:color w:val="000000"/>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360" w:lineRule="auto"/>
    </w:pPr>
    <w:rPr>
      <w:rFonts w:ascii="Arial" w:eastAsia="Arial" w:hAnsi="Arial" w:cs="Arial"/>
      <w:color w:val="000000"/>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360" w:lineRule="auto"/>
    </w:pPr>
    <w:rPr>
      <w:rFonts w:ascii="Arial" w:eastAsia="Arial" w:hAnsi="Arial" w:cs="Arial"/>
      <w:color w:val="000000"/>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360" w:lineRule="auto"/>
    </w:pPr>
    <w:rPr>
      <w:rFonts w:ascii="Arial" w:eastAsia="Arial" w:hAnsi="Arial" w:cs="Arial"/>
      <w:color w:val="000000"/>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360" w:lineRule="auto"/>
    </w:pPr>
    <w:rPr>
      <w:rFonts w:ascii="Arial" w:eastAsia="Arial" w:hAnsi="Arial" w:cs="Arial"/>
      <w:color w:val="000000"/>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360" w:lineRule="auto"/>
    </w:pPr>
    <w:rPr>
      <w:rFonts w:ascii="Arial" w:eastAsia="Arial" w:hAnsi="Arial" w:cs="Arial"/>
      <w:color w:val="000000"/>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360" w:lineRule="auto"/>
    </w:pPr>
    <w:rPr>
      <w:rFonts w:ascii="Arial" w:eastAsia="Arial" w:hAnsi="Arial" w:cs="Arial"/>
      <w:color w:val="000000"/>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360" w:lineRule="auto"/>
    </w:pPr>
    <w:rPr>
      <w:rFonts w:ascii="Arial" w:eastAsia="Arial" w:hAnsi="Arial" w:cs="Arial"/>
      <w:color w:val="000000"/>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360" w:lineRule="auto"/>
    </w:pPr>
    <w:rPr>
      <w:rFonts w:ascii="Arial" w:eastAsia="Arial" w:hAnsi="Arial" w:cs="Arial"/>
      <w:color w:val="000000"/>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360" w:lineRule="auto"/>
    </w:pPr>
    <w:rPr>
      <w:rFonts w:ascii="Arial" w:eastAsia="Arial" w:hAnsi="Arial" w:cs="Arial"/>
      <w:color w:val="000000"/>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360" w:lineRule="auto"/>
    </w:pPr>
    <w:rPr>
      <w:rFonts w:ascii="Arial" w:eastAsia="Arial" w:hAnsi="Arial" w:cs="Arial"/>
      <w:color w:val="000000"/>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360" w:lineRule="auto"/>
    </w:pPr>
    <w:rPr>
      <w:rFonts w:ascii="Arial" w:eastAsia="Arial" w:hAnsi="Arial" w:cs="Arial"/>
      <w:color w:val="000000"/>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ExecutiveSummary">
    <w:name w:val="Executive Summary"/>
    <w:pPr>
      <w:spacing w:after="120" w:line="360" w:lineRule="auto"/>
      <w:ind w:left="360" w:right="360"/>
    </w:pPr>
    <w:rPr>
      <w:rFonts w:ascii="Arial" w:eastAsia="Arial" w:hAnsi="Arial" w:cs="Arial"/>
      <w:i/>
      <w:color w:val="000000"/>
    </w:rPr>
  </w:style>
  <w:style w:type="paragraph" w:customStyle="1" w:styleId="Reference">
    <w:name w:val="Reference"/>
    <w:pPr>
      <w:spacing w:after="80" w:line="360" w:lineRule="auto"/>
      <w:ind w:left="403" w:hanging="403"/>
    </w:pPr>
    <w:rPr>
      <w:rFonts w:ascii="Arial" w:eastAsia="Arial" w:hAnsi="Arial" w:cs="Arial"/>
      <w:color w:val="000000"/>
    </w:rPr>
  </w:style>
  <w:style w:type="paragraph" w:customStyle="1" w:styleId="TableText">
    <w:name w:val="Table Text"/>
    <w:pPr>
      <w:spacing w:after="40" w:line="360" w:lineRule="auto"/>
    </w:pPr>
    <w:rPr>
      <w:rFonts w:ascii="Arial" w:eastAsia="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36</TotalTime>
  <Pages>16</Pages>
  <Words>4655</Words>
  <Characters>26534</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Strategic Growth Report for Vodafone UK</vt:lpstr>
    </vt:vector>
  </TitlesOfParts>
  <Manager/>
  <Company/>
  <LinksUpToDate>false</LinksUpToDate>
  <CharactersWithSpaces>31127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Growth Report for Vodafone UK</dc:title>
  <dc:subject>Strategic Management Assessment</dc:subject>
  <dc:creator/>
  <cp:keywords/>
  <dc:description/>
  <cp:lastModifiedBy>Gabriela Barza (2332746)</cp:lastModifiedBy>
  <cp:revision>9</cp:revision>
  <dcterms:created xsi:type="dcterms:W3CDTF">2013-12-23T23:15:00Z</dcterms:created>
  <dcterms:modified xsi:type="dcterms:W3CDTF">2026-07-10T15:24:00Z</dcterms:modified>
  <cp:category/>
</cp:coreProperties>
</file>