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18AD9" w14:textId="54AE6849" w:rsidR="000556CB" w:rsidRDefault="00B7204D" w:rsidP="000556CB">
      <w:pPr>
        <w:jc w:val="center"/>
        <w:rPr>
          <w:rFonts w:ascii="Arial" w:hAnsi="Arial" w:cs="Arial"/>
          <w:sz w:val="32"/>
          <w:szCs w:val="32"/>
        </w:rPr>
      </w:pPr>
      <w:r>
        <w:rPr>
          <w:rFonts w:ascii="Arial" w:hAnsi="Arial" w:cs="Arial"/>
          <w:noProof/>
          <w:sz w:val="32"/>
          <w:szCs w:val="32"/>
        </w:rPr>
        <w:drawing>
          <wp:inline distT="0" distB="0" distL="0" distR="0" wp14:anchorId="78F61CA3" wp14:editId="00368A5E">
            <wp:extent cx="3370729" cy="1416050"/>
            <wp:effectExtent l="0" t="0" r="1270" b="0"/>
            <wp:docPr id="131544529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7179" cy="1418760"/>
                    </a:xfrm>
                    <a:prstGeom prst="rect">
                      <a:avLst/>
                    </a:prstGeom>
                    <a:noFill/>
                  </pic:spPr>
                </pic:pic>
              </a:graphicData>
            </a:graphic>
          </wp:inline>
        </w:drawing>
      </w:r>
    </w:p>
    <w:p w14:paraId="1CA0EC89" w14:textId="77777777" w:rsidR="000556CB" w:rsidRDefault="000556CB" w:rsidP="000556CB">
      <w:pPr>
        <w:jc w:val="center"/>
        <w:rPr>
          <w:rFonts w:ascii="Arial" w:hAnsi="Arial" w:cs="Arial"/>
          <w:sz w:val="32"/>
          <w:szCs w:val="32"/>
        </w:rPr>
      </w:pPr>
    </w:p>
    <w:p w14:paraId="2ECCFDD8" w14:textId="51B13C9C" w:rsidR="00515AFC" w:rsidRDefault="00515AFC" w:rsidP="000556CB">
      <w:pPr>
        <w:jc w:val="center"/>
        <w:rPr>
          <w:rFonts w:ascii="Arial" w:hAnsi="Arial" w:cs="Arial"/>
          <w:b/>
          <w:bCs/>
          <w:sz w:val="32"/>
          <w:szCs w:val="32"/>
        </w:rPr>
      </w:pPr>
      <w:r w:rsidRPr="00515AFC">
        <w:rPr>
          <w:rFonts w:ascii="Arial" w:hAnsi="Arial" w:cs="Arial"/>
          <w:b/>
          <w:bCs/>
          <w:sz w:val="32"/>
          <w:szCs w:val="32"/>
        </w:rPr>
        <w:t>International Market Entry Strategy for Dabur India Ltd.</w:t>
      </w:r>
      <w:r w:rsidR="00DE2B64">
        <w:rPr>
          <w:rFonts w:ascii="Arial" w:hAnsi="Arial" w:cs="Arial"/>
          <w:b/>
          <w:bCs/>
          <w:sz w:val="32"/>
          <w:szCs w:val="32"/>
        </w:rPr>
        <w:t xml:space="preserve"> </w:t>
      </w:r>
      <w:r w:rsidRPr="00515AFC">
        <w:rPr>
          <w:rFonts w:ascii="Arial" w:hAnsi="Arial" w:cs="Arial"/>
          <w:b/>
          <w:bCs/>
          <w:sz w:val="32"/>
          <w:szCs w:val="32"/>
        </w:rPr>
        <w:t>Evaluating Mexico as a Strategic Expansion Destination</w:t>
      </w:r>
    </w:p>
    <w:p w14:paraId="6BD105EF" w14:textId="2B8A0E5E" w:rsidR="000556CB" w:rsidRPr="00B7204D" w:rsidRDefault="000556CB" w:rsidP="000556CB">
      <w:pPr>
        <w:jc w:val="center"/>
        <w:rPr>
          <w:rFonts w:ascii="Arial" w:hAnsi="Arial" w:cs="Arial"/>
          <w:sz w:val="28"/>
          <w:szCs w:val="28"/>
        </w:rPr>
      </w:pPr>
      <w:r w:rsidRPr="00B7204D">
        <w:rPr>
          <w:rFonts w:ascii="Arial" w:hAnsi="Arial" w:cs="Arial"/>
          <w:sz w:val="28"/>
          <w:szCs w:val="28"/>
        </w:rPr>
        <w:t>Student Name:</w:t>
      </w:r>
      <w:r w:rsidR="000208BB">
        <w:rPr>
          <w:rFonts w:ascii="Arial" w:hAnsi="Arial" w:cs="Arial"/>
          <w:sz w:val="28"/>
          <w:szCs w:val="28"/>
        </w:rPr>
        <w:t xml:space="preserve"> Murali Krishna Reddy </w:t>
      </w:r>
      <w:proofErr w:type="spellStart"/>
      <w:r w:rsidR="000208BB">
        <w:rPr>
          <w:rFonts w:ascii="Arial" w:hAnsi="Arial" w:cs="Arial"/>
          <w:sz w:val="28"/>
          <w:szCs w:val="28"/>
        </w:rPr>
        <w:t>Rachamalla</w:t>
      </w:r>
      <w:proofErr w:type="spellEnd"/>
    </w:p>
    <w:p w14:paraId="4CDD8960" w14:textId="3564F9C6" w:rsidR="000556CB" w:rsidRPr="00B7204D" w:rsidRDefault="000556CB" w:rsidP="000556CB">
      <w:pPr>
        <w:jc w:val="center"/>
        <w:rPr>
          <w:rFonts w:ascii="Arial" w:hAnsi="Arial" w:cs="Arial"/>
          <w:sz w:val="28"/>
          <w:szCs w:val="28"/>
        </w:rPr>
      </w:pPr>
      <w:r w:rsidRPr="00B7204D">
        <w:rPr>
          <w:rFonts w:ascii="Arial" w:hAnsi="Arial" w:cs="Arial"/>
          <w:sz w:val="28"/>
          <w:szCs w:val="28"/>
        </w:rPr>
        <w:t>Student ID Number:</w:t>
      </w:r>
      <w:r w:rsidR="000208BB">
        <w:rPr>
          <w:rFonts w:ascii="Arial" w:hAnsi="Arial" w:cs="Arial"/>
          <w:sz w:val="28"/>
          <w:szCs w:val="28"/>
        </w:rPr>
        <w:t xml:space="preserve"> </w:t>
      </w:r>
      <w:bookmarkStart w:id="0" w:name="_GoBack"/>
      <w:bookmarkEnd w:id="0"/>
      <w:r w:rsidR="000208BB">
        <w:rPr>
          <w:rFonts w:ascii="Arial" w:hAnsi="Arial" w:cs="Arial"/>
          <w:sz w:val="28"/>
          <w:szCs w:val="28"/>
        </w:rPr>
        <w:t>2507632</w:t>
      </w:r>
    </w:p>
    <w:p w14:paraId="69EC02E9"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Programme: Master of Business Administration (MBA)</w:t>
      </w:r>
    </w:p>
    <w:p w14:paraId="1E389916"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Module: International Business Concepts</w:t>
      </w:r>
    </w:p>
    <w:p w14:paraId="7C559ECE"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Module Code: LCMB7034</w:t>
      </w:r>
    </w:p>
    <w:p w14:paraId="7BBA3F6A"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Contribution to Overall Module Assessment: 100%</w:t>
      </w:r>
    </w:p>
    <w:p w14:paraId="331FCC01"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Lecturers:</w:t>
      </w:r>
    </w:p>
    <w:p w14:paraId="65E21E00"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Akshay Narayanan (London)</w:t>
      </w:r>
    </w:p>
    <w:p w14:paraId="2EA5C576"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Mansoob Murshed (Birmingham)</w:t>
      </w:r>
    </w:p>
    <w:p w14:paraId="28950314"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Internal Verifiers</w:t>
      </w:r>
    </w:p>
    <w:p w14:paraId="77A3ED7B"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Vasilios Tavlaridis</w:t>
      </w:r>
    </w:p>
    <w:p w14:paraId="66DA7201"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Hoang Nguyen</w:t>
      </w:r>
    </w:p>
    <w:p w14:paraId="655486F9"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Assignment Title: Strategic Analysis of IKEA's Expansion into Uruguay</w:t>
      </w:r>
    </w:p>
    <w:p w14:paraId="76CAECE6"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Word Count: 5,000 words (±10%)</w:t>
      </w:r>
    </w:p>
    <w:p w14:paraId="61EF29B7" w14:textId="77777777" w:rsidR="000556CB" w:rsidRPr="00B7204D" w:rsidRDefault="000556CB" w:rsidP="000556CB">
      <w:pPr>
        <w:jc w:val="center"/>
        <w:rPr>
          <w:rFonts w:ascii="Arial" w:hAnsi="Arial" w:cs="Arial"/>
          <w:sz w:val="28"/>
          <w:szCs w:val="28"/>
        </w:rPr>
      </w:pPr>
      <w:r w:rsidRPr="00B7204D">
        <w:rPr>
          <w:rFonts w:ascii="Arial" w:hAnsi="Arial" w:cs="Arial"/>
          <w:sz w:val="28"/>
          <w:szCs w:val="28"/>
        </w:rPr>
        <w:t>Submission Deadline: Friday, 31 July 2026, by 2:00 pm</w:t>
      </w:r>
    </w:p>
    <w:p w14:paraId="247D64A3" w14:textId="2D9EED1D" w:rsidR="000556CB" w:rsidRPr="00B7204D" w:rsidRDefault="000556CB" w:rsidP="000556CB">
      <w:pPr>
        <w:jc w:val="center"/>
        <w:rPr>
          <w:rFonts w:ascii="Arial" w:hAnsi="Arial" w:cs="Arial"/>
          <w:sz w:val="28"/>
          <w:szCs w:val="28"/>
        </w:rPr>
      </w:pPr>
      <w:r w:rsidRPr="00B7204D">
        <w:rPr>
          <w:rFonts w:ascii="Arial" w:hAnsi="Arial" w:cs="Arial"/>
          <w:sz w:val="28"/>
          <w:szCs w:val="28"/>
        </w:rPr>
        <w:t>Return Date of Provisional Marks and Written Feedback: 28 August 2026</w:t>
      </w:r>
    </w:p>
    <w:p w14:paraId="24961B38" w14:textId="77C99092" w:rsidR="004F3FD0" w:rsidRPr="000556CB" w:rsidRDefault="000556CB" w:rsidP="000556CB">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280924904"/>
        <w:docPartObj>
          <w:docPartGallery w:val="Table of Contents"/>
          <w:docPartUnique/>
        </w:docPartObj>
      </w:sdtPr>
      <w:sdtEndPr>
        <w:rPr>
          <w:b/>
          <w:bCs/>
          <w:noProof/>
        </w:rPr>
      </w:sdtEndPr>
      <w:sdtContent>
        <w:p w14:paraId="61281B24" w14:textId="7E09E8D0" w:rsidR="006B4D10" w:rsidRPr="006B4D10" w:rsidRDefault="006B4D10" w:rsidP="000556CB">
          <w:pPr>
            <w:pStyle w:val="TOCHeading"/>
            <w:spacing w:line="240" w:lineRule="auto"/>
            <w:jc w:val="center"/>
            <w:rPr>
              <w:rFonts w:ascii="Arial" w:hAnsi="Arial" w:cs="Arial"/>
              <w:b/>
              <w:bCs/>
            </w:rPr>
          </w:pPr>
          <w:r w:rsidRPr="006B4D10">
            <w:rPr>
              <w:rFonts w:ascii="Arial" w:hAnsi="Arial" w:cs="Arial"/>
              <w:b/>
              <w:bCs/>
            </w:rPr>
            <w:t>Table of Contents</w:t>
          </w:r>
        </w:p>
        <w:p w14:paraId="5388C605" w14:textId="0D68C24C" w:rsidR="006B4D10" w:rsidRPr="006B4D10" w:rsidRDefault="006B4D10" w:rsidP="000556CB">
          <w:pPr>
            <w:pStyle w:val="TOC1"/>
            <w:tabs>
              <w:tab w:val="right" w:leader="dot" w:pos="9350"/>
            </w:tabs>
            <w:spacing w:line="240" w:lineRule="auto"/>
            <w:rPr>
              <w:rFonts w:ascii="Arial" w:hAnsi="Arial" w:cs="Arial"/>
              <w:noProof/>
            </w:rPr>
          </w:pPr>
          <w:r w:rsidRPr="006B4D10">
            <w:rPr>
              <w:rFonts w:ascii="Arial" w:hAnsi="Arial" w:cs="Arial"/>
            </w:rPr>
            <w:fldChar w:fldCharType="begin"/>
          </w:r>
          <w:r w:rsidRPr="006B4D10">
            <w:rPr>
              <w:rFonts w:ascii="Arial" w:hAnsi="Arial" w:cs="Arial"/>
            </w:rPr>
            <w:instrText xml:space="preserve"> TOC \o "1-3" \h \z \u </w:instrText>
          </w:r>
          <w:r w:rsidRPr="006B4D10">
            <w:rPr>
              <w:rFonts w:ascii="Arial" w:hAnsi="Arial" w:cs="Arial"/>
            </w:rPr>
            <w:fldChar w:fldCharType="separate"/>
          </w:r>
          <w:hyperlink w:anchor="_Toc234975910" w:history="1">
            <w:r w:rsidRPr="006B4D10">
              <w:rPr>
                <w:rStyle w:val="Hyperlink"/>
                <w:rFonts w:ascii="Arial" w:hAnsi="Arial" w:cs="Arial"/>
                <w:noProof/>
              </w:rPr>
              <w:t>1. Introduction</w:t>
            </w:r>
            <w:r w:rsidRPr="006B4D10">
              <w:rPr>
                <w:rFonts w:ascii="Arial" w:hAnsi="Arial" w:cs="Arial"/>
                <w:noProof/>
                <w:webHidden/>
              </w:rPr>
              <w:tab/>
            </w:r>
            <w:r w:rsidRPr="006B4D10">
              <w:rPr>
                <w:rFonts w:ascii="Arial" w:hAnsi="Arial" w:cs="Arial"/>
                <w:noProof/>
                <w:webHidden/>
              </w:rPr>
              <w:fldChar w:fldCharType="begin"/>
            </w:r>
            <w:r w:rsidRPr="006B4D10">
              <w:rPr>
                <w:rFonts w:ascii="Arial" w:hAnsi="Arial" w:cs="Arial"/>
                <w:noProof/>
                <w:webHidden/>
              </w:rPr>
              <w:instrText xml:space="preserve"> PAGEREF _Toc234975910 \h </w:instrText>
            </w:r>
            <w:r w:rsidRPr="006B4D10">
              <w:rPr>
                <w:rFonts w:ascii="Arial" w:hAnsi="Arial" w:cs="Arial"/>
                <w:noProof/>
                <w:webHidden/>
              </w:rPr>
            </w:r>
            <w:r w:rsidRPr="006B4D10">
              <w:rPr>
                <w:rFonts w:ascii="Arial" w:hAnsi="Arial" w:cs="Arial"/>
                <w:noProof/>
                <w:webHidden/>
              </w:rPr>
              <w:fldChar w:fldCharType="separate"/>
            </w:r>
            <w:r w:rsidRPr="006B4D10">
              <w:rPr>
                <w:rFonts w:ascii="Arial" w:hAnsi="Arial" w:cs="Arial"/>
                <w:noProof/>
                <w:webHidden/>
              </w:rPr>
              <w:t>2</w:t>
            </w:r>
            <w:r w:rsidRPr="006B4D10">
              <w:rPr>
                <w:rFonts w:ascii="Arial" w:hAnsi="Arial" w:cs="Arial"/>
                <w:noProof/>
                <w:webHidden/>
              </w:rPr>
              <w:fldChar w:fldCharType="end"/>
            </w:r>
          </w:hyperlink>
        </w:p>
        <w:p w14:paraId="41218F60" w14:textId="23756200" w:rsidR="006B4D10" w:rsidRPr="006B4D10" w:rsidRDefault="0062234F" w:rsidP="000556CB">
          <w:pPr>
            <w:pStyle w:val="TOC2"/>
            <w:tabs>
              <w:tab w:val="right" w:leader="dot" w:pos="9350"/>
            </w:tabs>
            <w:spacing w:line="240" w:lineRule="auto"/>
            <w:rPr>
              <w:rFonts w:ascii="Arial" w:hAnsi="Arial" w:cs="Arial"/>
              <w:noProof/>
            </w:rPr>
          </w:pPr>
          <w:hyperlink w:anchor="_Toc234975911" w:history="1">
            <w:r w:rsidR="006B4D10" w:rsidRPr="006B4D10">
              <w:rPr>
                <w:rStyle w:val="Hyperlink"/>
                <w:rFonts w:ascii="Arial" w:hAnsi="Arial" w:cs="Arial"/>
                <w:noProof/>
              </w:rPr>
              <w:t>1.1 Background</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_Toc234975911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w:t>
            </w:r>
            <w:r w:rsidR="006B4D10" w:rsidRPr="006B4D10">
              <w:rPr>
                <w:rFonts w:ascii="Arial" w:hAnsi="Arial" w:cs="Arial"/>
                <w:noProof/>
                <w:webHidden/>
              </w:rPr>
              <w:fldChar w:fldCharType="end"/>
            </w:r>
          </w:hyperlink>
        </w:p>
        <w:p w14:paraId="3F861C62" w14:textId="745E3E9D" w:rsidR="006B4D10" w:rsidRPr="006B4D10" w:rsidRDefault="0062234F" w:rsidP="000556CB">
          <w:pPr>
            <w:pStyle w:val="TOC2"/>
            <w:tabs>
              <w:tab w:val="right" w:leader="dot" w:pos="9350"/>
            </w:tabs>
            <w:spacing w:line="240" w:lineRule="auto"/>
            <w:rPr>
              <w:rFonts w:ascii="Arial" w:hAnsi="Arial" w:cs="Arial"/>
              <w:noProof/>
            </w:rPr>
          </w:pPr>
          <w:hyperlink w:anchor="_Toc234975912" w:history="1">
            <w:r w:rsidR="006B4D10" w:rsidRPr="006B4D10">
              <w:rPr>
                <w:rStyle w:val="Hyperlink"/>
                <w:rFonts w:ascii="Arial" w:hAnsi="Arial" w:cs="Arial"/>
                <w:noProof/>
              </w:rPr>
              <w:t>1.2 Aim of the Report</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_Toc234975912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3</w:t>
            </w:r>
            <w:r w:rsidR="006B4D10" w:rsidRPr="006B4D10">
              <w:rPr>
                <w:rFonts w:ascii="Arial" w:hAnsi="Arial" w:cs="Arial"/>
                <w:noProof/>
                <w:webHidden/>
              </w:rPr>
              <w:fldChar w:fldCharType="end"/>
            </w:r>
          </w:hyperlink>
        </w:p>
        <w:p w14:paraId="16FBB285" w14:textId="142FF142" w:rsidR="006B4D10" w:rsidRPr="006B4D10" w:rsidRDefault="0062234F" w:rsidP="000556CB">
          <w:pPr>
            <w:pStyle w:val="TOC2"/>
            <w:tabs>
              <w:tab w:val="right" w:leader="dot" w:pos="9350"/>
            </w:tabs>
            <w:spacing w:line="240" w:lineRule="auto"/>
            <w:rPr>
              <w:rFonts w:ascii="Arial" w:hAnsi="Arial" w:cs="Arial"/>
              <w:noProof/>
            </w:rPr>
          </w:pPr>
          <w:hyperlink w:anchor="_Toc234975913" w:history="1">
            <w:r w:rsidR="006B4D10" w:rsidRPr="006B4D10">
              <w:rPr>
                <w:rStyle w:val="Hyperlink"/>
                <w:rFonts w:ascii="Arial" w:hAnsi="Arial" w:cs="Arial"/>
                <w:noProof/>
              </w:rPr>
              <w:t>1.3 Structure of the Report</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_Toc234975913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3</w:t>
            </w:r>
            <w:r w:rsidR="006B4D10" w:rsidRPr="006B4D10">
              <w:rPr>
                <w:rFonts w:ascii="Arial" w:hAnsi="Arial" w:cs="Arial"/>
                <w:noProof/>
                <w:webHidden/>
              </w:rPr>
              <w:fldChar w:fldCharType="end"/>
            </w:r>
          </w:hyperlink>
        </w:p>
        <w:p w14:paraId="50FC66C4" w14:textId="5942F3D7" w:rsidR="006B4D10" w:rsidRPr="006B4D10" w:rsidRDefault="0062234F" w:rsidP="000556CB">
          <w:pPr>
            <w:pStyle w:val="TOC1"/>
            <w:tabs>
              <w:tab w:val="right" w:leader="dot" w:pos="9350"/>
            </w:tabs>
            <w:spacing w:line="240" w:lineRule="auto"/>
            <w:rPr>
              <w:rFonts w:ascii="Arial" w:hAnsi="Arial" w:cs="Arial"/>
              <w:noProof/>
            </w:rPr>
          </w:pPr>
          <w:hyperlink w:anchor="_Toc234975914" w:history="1">
            <w:r w:rsidR="006B4D10" w:rsidRPr="006B4D10">
              <w:rPr>
                <w:rStyle w:val="Hyperlink"/>
                <w:rFonts w:ascii="Arial" w:hAnsi="Arial" w:cs="Arial"/>
                <w:noProof/>
              </w:rPr>
              <w:t>2. Organisational Classification and Global Strategy</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_Toc234975914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3</w:t>
            </w:r>
            <w:r w:rsidR="006B4D10" w:rsidRPr="006B4D10">
              <w:rPr>
                <w:rFonts w:ascii="Arial" w:hAnsi="Arial" w:cs="Arial"/>
                <w:noProof/>
                <w:webHidden/>
              </w:rPr>
              <w:fldChar w:fldCharType="end"/>
            </w:r>
          </w:hyperlink>
        </w:p>
        <w:p w14:paraId="7DFF4DDB" w14:textId="7AEE6F01" w:rsidR="006B4D10" w:rsidRPr="006B4D10" w:rsidRDefault="0062234F" w:rsidP="000556CB">
          <w:pPr>
            <w:pStyle w:val="TOC2"/>
            <w:tabs>
              <w:tab w:val="right" w:leader="dot" w:pos="9350"/>
            </w:tabs>
            <w:spacing w:line="240" w:lineRule="auto"/>
            <w:rPr>
              <w:rFonts w:ascii="Arial" w:hAnsi="Arial" w:cs="Arial"/>
              <w:noProof/>
            </w:rPr>
          </w:pPr>
          <w:hyperlink w:anchor="_Toc234975915" w:history="1">
            <w:r w:rsidR="006B4D10" w:rsidRPr="006B4D10">
              <w:rPr>
                <w:rStyle w:val="Hyperlink"/>
                <w:rFonts w:ascii="Arial" w:hAnsi="Arial" w:cs="Arial"/>
                <w:noProof/>
              </w:rPr>
              <w:t>2.1 Company Overview</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_Toc234975915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3</w:t>
            </w:r>
            <w:r w:rsidR="006B4D10" w:rsidRPr="006B4D10">
              <w:rPr>
                <w:rFonts w:ascii="Arial" w:hAnsi="Arial" w:cs="Arial"/>
                <w:noProof/>
                <w:webHidden/>
              </w:rPr>
              <w:fldChar w:fldCharType="end"/>
            </w:r>
          </w:hyperlink>
        </w:p>
        <w:p w14:paraId="465AD6E6" w14:textId="41B2760B" w:rsidR="006B4D10" w:rsidRPr="006B4D10" w:rsidRDefault="0062234F" w:rsidP="000556CB">
          <w:pPr>
            <w:pStyle w:val="TOC2"/>
            <w:tabs>
              <w:tab w:val="right" w:leader="dot" w:pos="9350"/>
            </w:tabs>
            <w:spacing w:line="240" w:lineRule="auto"/>
            <w:rPr>
              <w:rFonts w:ascii="Arial" w:hAnsi="Arial" w:cs="Arial"/>
              <w:noProof/>
            </w:rPr>
          </w:pPr>
          <w:hyperlink w:anchor="_Toc234975916" w:history="1">
            <w:r w:rsidR="006B4D10" w:rsidRPr="006B4D10">
              <w:rPr>
                <w:rStyle w:val="Hyperlink"/>
                <w:rFonts w:ascii="Arial" w:hAnsi="Arial" w:cs="Arial"/>
                <w:noProof/>
              </w:rPr>
              <w:t>2.2 Strategic Classification Using Bartlett and Ghoshal's Framework</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_Toc234975916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4</w:t>
            </w:r>
            <w:r w:rsidR="006B4D10" w:rsidRPr="006B4D10">
              <w:rPr>
                <w:rFonts w:ascii="Arial" w:hAnsi="Arial" w:cs="Arial"/>
                <w:noProof/>
                <w:webHidden/>
              </w:rPr>
              <w:fldChar w:fldCharType="end"/>
            </w:r>
          </w:hyperlink>
        </w:p>
        <w:p w14:paraId="25F317A3" w14:textId="74E6DF2A" w:rsidR="006B4D10" w:rsidRPr="006B4D10" w:rsidRDefault="0062234F" w:rsidP="000556CB">
          <w:pPr>
            <w:pStyle w:val="TOC2"/>
            <w:tabs>
              <w:tab w:val="right" w:leader="dot" w:pos="9350"/>
            </w:tabs>
            <w:spacing w:line="240" w:lineRule="auto"/>
            <w:rPr>
              <w:rFonts w:ascii="Arial" w:hAnsi="Arial" w:cs="Arial"/>
              <w:noProof/>
            </w:rPr>
          </w:pPr>
          <w:hyperlink w:anchor="_Toc234975917" w:history="1">
            <w:r w:rsidR="006B4D10" w:rsidRPr="006B4D10">
              <w:rPr>
                <w:rStyle w:val="Hyperlink"/>
                <w:rFonts w:ascii="Arial" w:hAnsi="Arial" w:cs="Arial"/>
                <w:noProof/>
              </w:rPr>
              <w:t>2.3 Global Configuration and Competitive Advantage</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_Toc234975917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6</w:t>
            </w:r>
            <w:r w:rsidR="006B4D10" w:rsidRPr="006B4D10">
              <w:rPr>
                <w:rFonts w:ascii="Arial" w:hAnsi="Arial" w:cs="Arial"/>
                <w:noProof/>
                <w:webHidden/>
              </w:rPr>
              <w:fldChar w:fldCharType="end"/>
            </w:r>
          </w:hyperlink>
        </w:p>
        <w:p w14:paraId="79DE9922" w14:textId="68ACB352" w:rsidR="006B4D10" w:rsidRPr="006B4D10" w:rsidRDefault="0062234F" w:rsidP="000556CB">
          <w:pPr>
            <w:pStyle w:val="TOC1"/>
            <w:tabs>
              <w:tab w:val="right" w:leader="dot" w:pos="9350"/>
            </w:tabs>
            <w:spacing w:line="240" w:lineRule="auto"/>
            <w:rPr>
              <w:rFonts w:ascii="Arial" w:hAnsi="Arial" w:cs="Arial"/>
              <w:noProof/>
            </w:rPr>
          </w:pPr>
          <w:hyperlink w:anchor="_Toc234975918" w:history="1">
            <w:r w:rsidR="006B4D10" w:rsidRPr="006B4D10">
              <w:rPr>
                <w:rStyle w:val="Hyperlink"/>
                <w:rFonts w:ascii="Arial" w:hAnsi="Arial" w:cs="Arial"/>
                <w:noProof/>
              </w:rPr>
              <w:t>3. Macro-Environmental Appraisal and Market Attractiveness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_Toc234975918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6</w:t>
            </w:r>
            <w:r w:rsidR="006B4D10" w:rsidRPr="006B4D10">
              <w:rPr>
                <w:rFonts w:ascii="Arial" w:hAnsi="Arial" w:cs="Arial"/>
                <w:noProof/>
                <w:webHidden/>
              </w:rPr>
              <w:fldChar w:fldCharType="end"/>
            </w:r>
          </w:hyperlink>
        </w:p>
        <w:p w14:paraId="6BA5B425" w14:textId="7111D0C7" w:rsidR="006B4D10" w:rsidRPr="006B4D10" w:rsidRDefault="0062234F" w:rsidP="000556CB">
          <w:pPr>
            <w:pStyle w:val="TOC2"/>
            <w:tabs>
              <w:tab w:val="right" w:leader="dot" w:pos="9350"/>
            </w:tabs>
            <w:spacing w:line="240" w:lineRule="auto"/>
            <w:rPr>
              <w:rFonts w:ascii="Arial" w:hAnsi="Arial" w:cs="Arial"/>
              <w:noProof/>
            </w:rPr>
          </w:pPr>
          <w:hyperlink w:anchor="_Toc234975919" w:history="1">
            <w:r w:rsidR="006B4D10" w:rsidRPr="006B4D10">
              <w:rPr>
                <w:rStyle w:val="Hyperlink"/>
                <w:rFonts w:ascii="Arial" w:hAnsi="Arial" w:cs="Arial"/>
                <w:noProof/>
              </w:rPr>
              <w:t>3.1 Introduction to Mexico</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_Toc234975919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6</w:t>
            </w:r>
            <w:r w:rsidR="006B4D10" w:rsidRPr="006B4D10">
              <w:rPr>
                <w:rFonts w:ascii="Arial" w:hAnsi="Arial" w:cs="Arial"/>
                <w:noProof/>
                <w:webHidden/>
              </w:rPr>
              <w:fldChar w:fldCharType="end"/>
            </w:r>
          </w:hyperlink>
        </w:p>
        <w:p w14:paraId="4EFCE6F4" w14:textId="72861288" w:rsidR="006B4D10" w:rsidRPr="006B4D10" w:rsidRDefault="0062234F" w:rsidP="000556CB">
          <w:pPr>
            <w:pStyle w:val="TOC2"/>
            <w:tabs>
              <w:tab w:val="right" w:leader="dot" w:pos="9350"/>
            </w:tabs>
            <w:spacing w:line="240" w:lineRule="auto"/>
            <w:rPr>
              <w:rFonts w:ascii="Arial" w:hAnsi="Arial" w:cs="Arial"/>
              <w:noProof/>
            </w:rPr>
          </w:pPr>
          <w:hyperlink w:anchor="_Toc234975920" w:history="1">
            <w:r w:rsidR="006B4D10" w:rsidRPr="006B4D10">
              <w:rPr>
                <w:rStyle w:val="Hyperlink"/>
                <w:rFonts w:ascii="Arial" w:hAnsi="Arial" w:cs="Arial"/>
                <w:noProof/>
              </w:rPr>
              <w:t>3.2 Political and Economic Environment</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_Toc234975920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7</w:t>
            </w:r>
            <w:r w:rsidR="006B4D10" w:rsidRPr="006B4D10">
              <w:rPr>
                <w:rFonts w:ascii="Arial" w:hAnsi="Arial" w:cs="Arial"/>
                <w:noProof/>
                <w:webHidden/>
              </w:rPr>
              <w:fldChar w:fldCharType="end"/>
            </w:r>
          </w:hyperlink>
        </w:p>
        <w:p w14:paraId="5734EDB0" w14:textId="4032A63E" w:rsidR="006B4D10" w:rsidRPr="006B4D10" w:rsidRDefault="0062234F" w:rsidP="000556CB">
          <w:pPr>
            <w:pStyle w:val="TOC2"/>
            <w:tabs>
              <w:tab w:val="right" w:leader="dot" w:pos="9350"/>
            </w:tabs>
            <w:spacing w:line="240" w:lineRule="auto"/>
            <w:rPr>
              <w:rFonts w:ascii="Arial" w:hAnsi="Arial" w:cs="Arial"/>
              <w:noProof/>
            </w:rPr>
          </w:pPr>
          <w:hyperlink w:anchor="_Toc234975921" w:history="1">
            <w:r w:rsidR="006B4D10" w:rsidRPr="006B4D10">
              <w:rPr>
                <w:rStyle w:val="Hyperlink"/>
                <w:rFonts w:ascii="Arial" w:hAnsi="Arial" w:cs="Arial"/>
                <w:noProof/>
              </w:rPr>
              <w:t>3.3 Legal and Cultural Environment</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_Toc234975921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9</w:t>
            </w:r>
            <w:r w:rsidR="006B4D10" w:rsidRPr="006B4D10">
              <w:rPr>
                <w:rFonts w:ascii="Arial" w:hAnsi="Arial" w:cs="Arial"/>
                <w:noProof/>
                <w:webHidden/>
              </w:rPr>
              <w:fldChar w:fldCharType="end"/>
            </w:r>
          </w:hyperlink>
        </w:p>
        <w:p w14:paraId="248F6AFB" w14:textId="61D8CB11" w:rsidR="006B4D10" w:rsidRPr="006B4D10" w:rsidRDefault="0062234F" w:rsidP="000556CB">
          <w:pPr>
            <w:pStyle w:val="TOC2"/>
            <w:tabs>
              <w:tab w:val="right" w:leader="dot" w:pos="9350"/>
            </w:tabs>
            <w:spacing w:line="240" w:lineRule="auto"/>
            <w:rPr>
              <w:rFonts w:ascii="Arial" w:hAnsi="Arial" w:cs="Arial"/>
              <w:noProof/>
            </w:rPr>
          </w:pPr>
          <w:hyperlink w:anchor="_Toc234975922" w:history="1">
            <w:r w:rsidR="006B4D10" w:rsidRPr="006B4D10">
              <w:rPr>
                <w:rStyle w:val="Hyperlink"/>
                <w:rFonts w:ascii="Arial" w:hAnsi="Arial" w:cs="Arial"/>
                <w:noProof/>
              </w:rPr>
              <w:t>3.4 Overall Market Attractiveness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_Toc234975922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12</w:t>
            </w:r>
            <w:r w:rsidR="006B4D10" w:rsidRPr="006B4D10">
              <w:rPr>
                <w:rFonts w:ascii="Arial" w:hAnsi="Arial" w:cs="Arial"/>
                <w:noProof/>
                <w:webHidden/>
              </w:rPr>
              <w:fldChar w:fldCharType="end"/>
            </w:r>
          </w:hyperlink>
        </w:p>
        <w:p w14:paraId="2D07E432" w14:textId="12B6EFE6" w:rsidR="006B4D10" w:rsidRPr="006B4D10" w:rsidRDefault="0062234F" w:rsidP="000556CB">
          <w:pPr>
            <w:pStyle w:val="TOC2"/>
            <w:tabs>
              <w:tab w:val="right" w:leader="dot" w:pos="9350"/>
            </w:tabs>
            <w:spacing w:line="240" w:lineRule="auto"/>
            <w:rPr>
              <w:rFonts w:ascii="Arial" w:hAnsi="Arial" w:cs="Arial"/>
              <w:noProof/>
            </w:rPr>
          </w:pPr>
          <w:hyperlink w:anchor="_Toc234975923" w:history="1">
            <w:r w:rsidR="006B4D10" w:rsidRPr="006B4D10">
              <w:rPr>
                <w:rStyle w:val="Hyperlink"/>
                <w:rFonts w:ascii="Arial" w:hAnsi="Arial" w:cs="Arial"/>
                <w:noProof/>
              </w:rPr>
              <w:t>3.5 Application of Dunning's Eclectic Paradigm (OLI Framework)</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_Toc234975923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14</w:t>
            </w:r>
            <w:r w:rsidR="006B4D10" w:rsidRPr="006B4D10">
              <w:rPr>
                <w:rFonts w:ascii="Arial" w:hAnsi="Arial" w:cs="Arial"/>
                <w:noProof/>
                <w:webHidden/>
              </w:rPr>
              <w:fldChar w:fldCharType="end"/>
            </w:r>
          </w:hyperlink>
        </w:p>
        <w:p w14:paraId="22CA10CE" w14:textId="0E173A07" w:rsidR="006B4D10" w:rsidRPr="006B4D10" w:rsidRDefault="0062234F" w:rsidP="000556CB">
          <w:pPr>
            <w:pStyle w:val="TOC2"/>
            <w:tabs>
              <w:tab w:val="right" w:leader="dot" w:pos="9350"/>
            </w:tabs>
            <w:spacing w:line="240" w:lineRule="auto"/>
            <w:rPr>
              <w:rFonts w:ascii="Arial" w:hAnsi="Arial" w:cs="Arial"/>
              <w:noProof/>
            </w:rPr>
          </w:pPr>
          <w:hyperlink w:anchor="_Toc234975924" w:history="1">
            <w:r w:rsidR="006B4D10" w:rsidRPr="006B4D10">
              <w:rPr>
                <w:rStyle w:val="Hyperlink"/>
                <w:rFonts w:ascii="Arial" w:hAnsi="Arial" w:cs="Arial"/>
                <w:noProof/>
              </w:rPr>
              <w:t>3.6 Critical Synthesis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_Toc234975924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16</w:t>
            </w:r>
            <w:r w:rsidR="006B4D10" w:rsidRPr="006B4D10">
              <w:rPr>
                <w:rFonts w:ascii="Arial" w:hAnsi="Arial" w:cs="Arial"/>
                <w:noProof/>
                <w:webHidden/>
              </w:rPr>
              <w:fldChar w:fldCharType="end"/>
            </w:r>
          </w:hyperlink>
        </w:p>
        <w:p w14:paraId="3CF382FB" w14:textId="76F98BB5" w:rsidR="006B4D10" w:rsidRPr="006B4D10" w:rsidRDefault="0062234F" w:rsidP="000556CB">
          <w:pPr>
            <w:pStyle w:val="TOC1"/>
            <w:tabs>
              <w:tab w:val="right" w:leader="dot" w:pos="9350"/>
            </w:tabs>
            <w:spacing w:line="240" w:lineRule="auto"/>
            <w:rPr>
              <w:rFonts w:ascii="Arial" w:hAnsi="Arial" w:cs="Arial"/>
              <w:noProof/>
            </w:rPr>
          </w:pPr>
          <w:hyperlink w:anchor="_Toc234975925" w:history="1">
            <w:r w:rsidR="006B4D10" w:rsidRPr="006B4D10">
              <w:rPr>
                <w:rStyle w:val="Hyperlink"/>
                <w:rFonts w:ascii="Arial" w:hAnsi="Arial" w:cs="Arial"/>
                <w:noProof/>
              </w:rPr>
              <w:t>4. Entry Mode Strategy and Strategic Synthesis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_Toc234975925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17</w:t>
            </w:r>
            <w:r w:rsidR="006B4D10" w:rsidRPr="006B4D10">
              <w:rPr>
                <w:rFonts w:ascii="Arial" w:hAnsi="Arial" w:cs="Arial"/>
                <w:noProof/>
                <w:webHidden/>
              </w:rPr>
              <w:fldChar w:fldCharType="end"/>
            </w:r>
          </w:hyperlink>
        </w:p>
        <w:p w14:paraId="64F4B059" w14:textId="473F7683" w:rsidR="006B4D10" w:rsidRPr="006B4D10" w:rsidRDefault="0062234F" w:rsidP="000556CB">
          <w:pPr>
            <w:pStyle w:val="TOC2"/>
            <w:tabs>
              <w:tab w:val="right" w:leader="dot" w:pos="9350"/>
            </w:tabs>
            <w:spacing w:line="240" w:lineRule="auto"/>
            <w:rPr>
              <w:rFonts w:ascii="Arial" w:hAnsi="Arial" w:cs="Arial"/>
              <w:noProof/>
            </w:rPr>
          </w:pPr>
          <w:hyperlink w:anchor="_Toc234975926" w:history="1">
            <w:r w:rsidR="006B4D10" w:rsidRPr="006B4D10">
              <w:rPr>
                <w:rStyle w:val="Hyperlink"/>
                <w:rFonts w:ascii="Arial" w:hAnsi="Arial" w:cs="Arial"/>
                <w:noProof/>
              </w:rPr>
              <w:t>4.1 Historical Internationalisation Strategy of Dabur India</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_Toc234975926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17</w:t>
            </w:r>
            <w:r w:rsidR="006B4D10" w:rsidRPr="006B4D10">
              <w:rPr>
                <w:rFonts w:ascii="Arial" w:hAnsi="Arial" w:cs="Arial"/>
                <w:noProof/>
                <w:webHidden/>
              </w:rPr>
              <w:fldChar w:fldCharType="end"/>
            </w:r>
          </w:hyperlink>
        </w:p>
        <w:p w14:paraId="1A1E2605" w14:textId="1AE75C1D" w:rsidR="006B4D10" w:rsidRPr="006B4D10" w:rsidRDefault="0062234F" w:rsidP="000556CB">
          <w:pPr>
            <w:pStyle w:val="TOC2"/>
            <w:tabs>
              <w:tab w:val="right" w:leader="dot" w:pos="9350"/>
            </w:tabs>
            <w:spacing w:line="240" w:lineRule="auto"/>
            <w:rPr>
              <w:rFonts w:ascii="Arial" w:hAnsi="Arial" w:cs="Arial"/>
              <w:noProof/>
            </w:rPr>
          </w:pPr>
          <w:hyperlink w:anchor="_Toc234975927" w:history="1">
            <w:r w:rsidR="006B4D10" w:rsidRPr="006B4D10">
              <w:rPr>
                <w:rStyle w:val="Hyperlink"/>
                <w:rFonts w:ascii="Arial" w:hAnsi="Arial" w:cs="Arial"/>
                <w:noProof/>
              </w:rPr>
              <w:t>4.2 Critical Evaluation of Alternative Entry Modes for Mexico</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_Toc234975927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18</w:t>
            </w:r>
            <w:r w:rsidR="006B4D10" w:rsidRPr="006B4D10">
              <w:rPr>
                <w:rFonts w:ascii="Arial" w:hAnsi="Arial" w:cs="Arial"/>
                <w:noProof/>
                <w:webHidden/>
              </w:rPr>
              <w:fldChar w:fldCharType="end"/>
            </w:r>
          </w:hyperlink>
        </w:p>
        <w:p w14:paraId="11A53F92" w14:textId="0B7732CF" w:rsidR="006B4D10" w:rsidRPr="006B4D10" w:rsidRDefault="0062234F" w:rsidP="000556CB">
          <w:pPr>
            <w:pStyle w:val="TOC2"/>
            <w:tabs>
              <w:tab w:val="right" w:leader="dot" w:pos="9350"/>
            </w:tabs>
            <w:spacing w:line="240" w:lineRule="auto"/>
            <w:rPr>
              <w:rFonts w:ascii="Arial" w:hAnsi="Arial" w:cs="Arial"/>
              <w:noProof/>
            </w:rPr>
          </w:pPr>
          <w:hyperlink w:anchor="_Toc234975928" w:history="1">
            <w:r w:rsidR="006B4D10" w:rsidRPr="006B4D10">
              <w:rPr>
                <w:rStyle w:val="Hyperlink"/>
                <w:rFonts w:ascii="Arial" w:hAnsi="Arial" w:cs="Arial"/>
                <w:noProof/>
              </w:rPr>
              <w:t>4.3 Recommended Entry Mode for Dabur India's Expansion into Mexico</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_Toc234975928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19</w:t>
            </w:r>
            <w:r w:rsidR="006B4D10" w:rsidRPr="006B4D10">
              <w:rPr>
                <w:rFonts w:ascii="Arial" w:hAnsi="Arial" w:cs="Arial"/>
                <w:noProof/>
                <w:webHidden/>
              </w:rPr>
              <w:fldChar w:fldCharType="end"/>
            </w:r>
          </w:hyperlink>
        </w:p>
        <w:p w14:paraId="0B848EE5" w14:textId="44380B46" w:rsidR="006B4D10" w:rsidRPr="006B4D10" w:rsidRDefault="0062234F" w:rsidP="000556CB">
          <w:pPr>
            <w:pStyle w:val="TOC2"/>
            <w:tabs>
              <w:tab w:val="right" w:leader="dot" w:pos="9350"/>
            </w:tabs>
            <w:spacing w:line="240" w:lineRule="auto"/>
            <w:rPr>
              <w:rFonts w:ascii="Arial" w:hAnsi="Arial" w:cs="Arial"/>
              <w:noProof/>
            </w:rPr>
          </w:pPr>
          <w:hyperlink w:anchor="_Toc234975929" w:history="1">
            <w:r w:rsidR="006B4D10" w:rsidRPr="006B4D10">
              <w:rPr>
                <w:rStyle w:val="Hyperlink"/>
                <w:rFonts w:ascii="Arial" w:hAnsi="Arial" w:cs="Arial"/>
                <w:noProof/>
              </w:rPr>
              <w:t>4.4 Strategic Recommendations and Conclusion</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_Toc234975929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20</w:t>
            </w:r>
            <w:r w:rsidR="006B4D10" w:rsidRPr="006B4D10">
              <w:rPr>
                <w:rFonts w:ascii="Arial" w:hAnsi="Arial" w:cs="Arial"/>
                <w:noProof/>
                <w:webHidden/>
              </w:rPr>
              <w:fldChar w:fldCharType="end"/>
            </w:r>
          </w:hyperlink>
        </w:p>
        <w:p w14:paraId="776AAC46" w14:textId="0C1D4374" w:rsidR="006B4D10" w:rsidRPr="006B4D10" w:rsidRDefault="0062234F" w:rsidP="000556CB">
          <w:pPr>
            <w:pStyle w:val="TOC1"/>
            <w:tabs>
              <w:tab w:val="right" w:leader="dot" w:pos="9350"/>
            </w:tabs>
            <w:spacing w:line="240" w:lineRule="auto"/>
            <w:rPr>
              <w:rFonts w:ascii="Arial" w:hAnsi="Arial" w:cs="Arial"/>
              <w:noProof/>
            </w:rPr>
          </w:pPr>
          <w:hyperlink w:anchor="_Toc234975930" w:history="1">
            <w:r w:rsidR="006B4D10" w:rsidRPr="006B4D10">
              <w:rPr>
                <w:rStyle w:val="Hyperlink"/>
                <w:rFonts w:ascii="Arial" w:hAnsi="Arial" w:cs="Arial"/>
                <w:noProof/>
              </w:rPr>
              <w:t>SECTION 2: Reflective Account</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_Toc234975930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22</w:t>
            </w:r>
            <w:r w:rsidR="006B4D10" w:rsidRPr="006B4D10">
              <w:rPr>
                <w:rFonts w:ascii="Arial" w:hAnsi="Arial" w:cs="Arial"/>
                <w:noProof/>
                <w:webHidden/>
              </w:rPr>
              <w:fldChar w:fldCharType="end"/>
            </w:r>
          </w:hyperlink>
        </w:p>
        <w:p w14:paraId="525FE567" w14:textId="05AF45F0" w:rsidR="006B4D10" w:rsidRPr="006B4D10" w:rsidRDefault="0062234F" w:rsidP="000556CB">
          <w:pPr>
            <w:pStyle w:val="TOC1"/>
            <w:tabs>
              <w:tab w:val="right" w:leader="dot" w:pos="9350"/>
            </w:tabs>
            <w:spacing w:line="240" w:lineRule="auto"/>
            <w:rPr>
              <w:rFonts w:ascii="Arial" w:hAnsi="Arial" w:cs="Arial"/>
              <w:noProof/>
            </w:rPr>
          </w:pPr>
          <w:hyperlink w:anchor="_Toc234975931" w:history="1">
            <w:r w:rsidR="006B4D10" w:rsidRPr="006B4D10">
              <w:rPr>
                <w:rStyle w:val="Hyperlink"/>
                <w:rFonts w:ascii="Arial" w:hAnsi="Arial" w:cs="Arial"/>
                <w:noProof/>
              </w:rPr>
              <w:t>5. Reflective Account Using Gibbs' Reflective Cycle</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_Toc234975931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22</w:t>
            </w:r>
            <w:r w:rsidR="006B4D10" w:rsidRPr="006B4D10">
              <w:rPr>
                <w:rFonts w:ascii="Arial" w:hAnsi="Arial" w:cs="Arial"/>
                <w:noProof/>
                <w:webHidden/>
              </w:rPr>
              <w:fldChar w:fldCharType="end"/>
            </w:r>
          </w:hyperlink>
        </w:p>
        <w:p w14:paraId="43F07084" w14:textId="0CAF79A8" w:rsidR="006B4D10" w:rsidRPr="006B4D10" w:rsidRDefault="0062234F" w:rsidP="000556CB">
          <w:pPr>
            <w:pStyle w:val="TOC3"/>
            <w:tabs>
              <w:tab w:val="right" w:leader="dot" w:pos="9350"/>
            </w:tabs>
            <w:spacing w:line="240" w:lineRule="auto"/>
            <w:rPr>
              <w:rFonts w:ascii="Arial" w:hAnsi="Arial" w:cs="Arial"/>
              <w:noProof/>
            </w:rPr>
          </w:pPr>
          <w:hyperlink w:anchor="_Toc234975932" w:history="1">
            <w:r w:rsidR="006B4D10" w:rsidRPr="006B4D10">
              <w:rPr>
                <w:rStyle w:val="Hyperlink"/>
                <w:rFonts w:ascii="Arial" w:hAnsi="Arial" w:cs="Arial"/>
                <w:noProof/>
              </w:rPr>
              <w:t>Figure 8. Gibbs' Reflective Cycle Source: Adapted from Gibbs (1988).</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_Toc234975932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22</w:t>
            </w:r>
            <w:r w:rsidR="006B4D10" w:rsidRPr="006B4D10">
              <w:rPr>
                <w:rFonts w:ascii="Arial" w:hAnsi="Arial" w:cs="Arial"/>
                <w:noProof/>
                <w:webHidden/>
              </w:rPr>
              <w:fldChar w:fldCharType="end"/>
            </w:r>
          </w:hyperlink>
        </w:p>
        <w:p w14:paraId="7A195875" w14:textId="62379723" w:rsidR="006B4D10" w:rsidRPr="006B4D10" w:rsidRDefault="0062234F" w:rsidP="000556CB">
          <w:pPr>
            <w:pStyle w:val="TOC2"/>
            <w:tabs>
              <w:tab w:val="right" w:leader="dot" w:pos="9350"/>
            </w:tabs>
            <w:spacing w:line="240" w:lineRule="auto"/>
            <w:rPr>
              <w:rFonts w:ascii="Arial" w:hAnsi="Arial" w:cs="Arial"/>
              <w:noProof/>
            </w:rPr>
          </w:pPr>
          <w:hyperlink w:anchor="_Toc234975933" w:history="1">
            <w:r w:rsidR="006B4D10" w:rsidRPr="006B4D10">
              <w:rPr>
                <w:rStyle w:val="Hyperlink"/>
                <w:rFonts w:ascii="Arial" w:hAnsi="Arial" w:cs="Arial"/>
                <w:noProof/>
              </w:rPr>
              <w:t>5.1 Description</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_Toc234975933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22</w:t>
            </w:r>
            <w:r w:rsidR="006B4D10" w:rsidRPr="006B4D10">
              <w:rPr>
                <w:rFonts w:ascii="Arial" w:hAnsi="Arial" w:cs="Arial"/>
                <w:noProof/>
                <w:webHidden/>
              </w:rPr>
              <w:fldChar w:fldCharType="end"/>
            </w:r>
          </w:hyperlink>
        </w:p>
        <w:p w14:paraId="39637EE9" w14:textId="71DE1AD3" w:rsidR="006B4D10" w:rsidRPr="006B4D10" w:rsidRDefault="0062234F" w:rsidP="000556CB">
          <w:pPr>
            <w:pStyle w:val="TOC2"/>
            <w:tabs>
              <w:tab w:val="right" w:leader="dot" w:pos="9350"/>
            </w:tabs>
            <w:spacing w:line="240" w:lineRule="auto"/>
            <w:rPr>
              <w:rFonts w:ascii="Arial" w:hAnsi="Arial" w:cs="Arial"/>
              <w:noProof/>
            </w:rPr>
          </w:pPr>
          <w:hyperlink w:anchor="_Toc234975934" w:history="1">
            <w:r w:rsidR="006B4D10" w:rsidRPr="006B4D10">
              <w:rPr>
                <w:rStyle w:val="Hyperlink"/>
                <w:rFonts w:ascii="Arial" w:hAnsi="Arial" w:cs="Arial"/>
                <w:noProof/>
              </w:rPr>
              <w:t>5.2 Feelings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_Toc234975934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23</w:t>
            </w:r>
            <w:r w:rsidR="006B4D10" w:rsidRPr="006B4D10">
              <w:rPr>
                <w:rFonts w:ascii="Arial" w:hAnsi="Arial" w:cs="Arial"/>
                <w:noProof/>
                <w:webHidden/>
              </w:rPr>
              <w:fldChar w:fldCharType="end"/>
            </w:r>
          </w:hyperlink>
        </w:p>
        <w:p w14:paraId="3908749B" w14:textId="5D6915F7" w:rsidR="006B4D10" w:rsidRPr="006B4D10" w:rsidRDefault="0062234F" w:rsidP="000556CB">
          <w:pPr>
            <w:pStyle w:val="TOC2"/>
            <w:tabs>
              <w:tab w:val="right" w:leader="dot" w:pos="9350"/>
            </w:tabs>
            <w:spacing w:line="240" w:lineRule="auto"/>
            <w:rPr>
              <w:rFonts w:ascii="Arial" w:hAnsi="Arial" w:cs="Arial"/>
              <w:noProof/>
            </w:rPr>
          </w:pPr>
          <w:hyperlink w:anchor="_Toc234975935" w:history="1">
            <w:r w:rsidR="006B4D10" w:rsidRPr="006B4D10">
              <w:rPr>
                <w:rStyle w:val="Hyperlink"/>
                <w:rFonts w:ascii="Arial" w:hAnsi="Arial" w:cs="Arial"/>
                <w:noProof/>
              </w:rPr>
              <w:t>5.3 Evaluation</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_Toc234975935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23</w:t>
            </w:r>
            <w:r w:rsidR="006B4D10" w:rsidRPr="006B4D10">
              <w:rPr>
                <w:rFonts w:ascii="Arial" w:hAnsi="Arial" w:cs="Arial"/>
                <w:noProof/>
                <w:webHidden/>
              </w:rPr>
              <w:fldChar w:fldCharType="end"/>
            </w:r>
          </w:hyperlink>
        </w:p>
        <w:p w14:paraId="146E2E7C" w14:textId="79D6FB4B" w:rsidR="006B4D10" w:rsidRPr="006B4D10" w:rsidRDefault="0062234F" w:rsidP="000556CB">
          <w:pPr>
            <w:pStyle w:val="TOC2"/>
            <w:tabs>
              <w:tab w:val="right" w:leader="dot" w:pos="9350"/>
            </w:tabs>
            <w:spacing w:line="240" w:lineRule="auto"/>
            <w:rPr>
              <w:rFonts w:ascii="Arial" w:hAnsi="Arial" w:cs="Arial"/>
              <w:noProof/>
            </w:rPr>
          </w:pPr>
          <w:hyperlink w:anchor="_Toc234975936" w:history="1">
            <w:r w:rsidR="006B4D10" w:rsidRPr="006B4D10">
              <w:rPr>
                <w:rStyle w:val="Hyperlink"/>
                <w:rFonts w:ascii="Arial" w:hAnsi="Arial" w:cs="Arial"/>
                <w:noProof/>
              </w:rPr>
              <w:t>5.4 Analysis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_Toc234975936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24</w:t>
            </w:r>
            <w:r w:rsidR="006B4D10" w:rsidRPr="006B4D10">
              <w:rPr>
                <w:rFonts w:ascii="Arial" w:hAnsi="Arial" w:cs="Arial"/>
                <w:noProof/>
                <w:webHidden/>
              </w:rPr>
              <w:fldChar w:fldCharType="end"/>
            </w:r>
          </w:hyperlink>
        </w:p>
        <w:p w14:paraId="61FA0C28" w14:textId="32DD8079" w:rsidR="006B4D10" w:rsidRPr="006B4D10" w:rsidRDefault="0062234F" w:rsidP="000556CB">
          <w:pPr>
            <w:pStyle w:val="TOC2"/>
            <w:tabs>
              <w:tab w:val="right" w:leader="dot" w:pos="9350"/>
            </w:tabs>
            <w:spacing w:line="240" w:lineRule="auto"/>
            <w:rPr>
              <w:rFonts w:ascii="Arial" w:hAnsi="Arial" w:cs="Arial"/>
              <w:noProof/>
            </w:rPr>
          </w:pPr>
          <w:hyperlink w:anchor="_Toc234975937" w:history="1">
            <w:r w:rsidR="006B4D10" w:rsidRPr="006B4D10">
              <w:rPr>
                <w:rStyle w:val="Hyperlink"/>
                <w:rFonts w:ascii="Arial" w:hAnsi="Arial" w:cs="Arial"/>
                <w:noProof/>
              </w:rPr>
              <w:t>5.5 Conclusion</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_Toc234975937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25</w:t>
            </w:r>
            <w:r w:rsidR="006B4D10" w:rsidRPr="006B4D10">
              <w:rPr>
                <w:rFonts w:ascii="Arial" w:hAnsi="Arial" w:cs="Arial"/>
                <w:noProof/>
                <w:webHidden/>
              </w:rPr>
              <w:fldChar w:fldCharType="end"/>
            </w:r>
          </w:hyperlink>
        </w:p>
        <w:p w14:paraId="50B154D0" w14:textId="041589EF" w:rsidR="006B4D10" w:rsidRPr="006B4D10" w:rsidRDefault="0062234F" w:rsidP="000556CB">
          <w:pPr>
            <w:pStyle w:val="TOC2"/>
            <w:tabs>
              <w:tab w:val="right" w:leader="dot" w:pos="9350"/>
            </w:tabs>
            <w:spacing w:line="240" w:lineRule="auto"/>
            <w:rPr>
              <w:rFonts w:ascii="Arial" w:hAnsi="Arial" w:cs="Arial"/>
              <w:noProof/>
            </w:rPr>
          </w:pPr>
          <w:hyperlink w:anchor="_Toc234975938" w:history="1">
            <w:r w:rsidR="006B4D10" w:rsidRPr="006B4D10">
              <w:rPr>
                <w:rStyle w:val="Hyperlink"/>
                <w:rFonts w:ascii="Arial" w:hAnsi="Arial" w:cs="Arial"/>
                <w:noProof/>
              </w:rPr>
              <w:t>5.6 Action Plan</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_Toc234975938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25</w:t>
            </w:r>
            <w:r w:rsidR="006B4D10" w:rsidRPr="006B4D10">
              <w:rPr>
                <w:rFonts w:ascii="Arial" w:hAnsi="Arial" w:cs="Arial"/>
                <w:noProof/>
                <w:webHidden/>
              </w:rPr>
              <w:fldChar w:fldCharType="end"/>
            </w:r>
          </w:hyperlink>
        </w:p>
        <w:p w14:paraId="3E0F9A30" w14:textId="029FD22A" w:rsidR="006B4D10" w:rsidRPr="006B4D10" w:rsidRDefault="0062234F" w:rsidP="000556CB">
          <w:pPr>
            <w:pStyle w:val="TOC1"/>
            <w:tabs>
              <w:tab w:val="right" w:leader="dot" w:pos="9350"/>
            </w:tabs>
            <w:spacing w:line="240" w:lineRule="auto"/>
            <w:rPr>
              <w:rFonts w:ascii="Arial" w:hAnsi="Arial" w:cs="Arial"/>
              <w:noProof/>
            </w:rPr>
          </w:pPr>
          <w:hyperlink w:anchor="_Toc234975939" w:history="1">
            <w:r w:rsidR="006B4D10" w:rsidRPr="006B4D10">
              <w:rPr>
                <w:rStyle w:val="Hyperlink"/>
                <w:rFonts w:ascii="Arial" w:hAnsi="Arial" w:cs="Arial"/>
                <w:noProof/>
              </w:rPr>
              <w:t>References:</w:t>
            </w:r>
            <w:r w:rsidR="006B4D10" w:rsidRPr="006B4D10">
              <w:rPr>
                <w:rFonts w:ascii="Arial" w:hAnsi="Arial" w:cs="Arial"/>
                <w:noProof/>
                <w:webHidden/>
              </w:rPr>
              <w:tab/>
            </w:r>
            <w:r w:rsidR="006B4D10" w:rsidRPr="006B4D10">
              <w:rPr>
                <w:rFonts w:ascii="Arial" w:hAnsi="Arial" w:cs="Arial"/>
                <w:noProof/>
                <w:webHidden/>
              </w:rPr>
              <w:fldChar w:fldCharType="begin"/>
            </w:r>
            <w:r w:rsidR="006B4D10" w:rsidRPr="006B4D10">
              <w:rPr>
                <w:rFonts w:ascii="Arial" w:hAnsi="Arial" w:cs="Arial"/>
                <w:noProof/>
                <w:webHidden/>
              </w:rPr>
              <w:instrText xml:space="preserve"> PAGEREF _Toc234975939 \h </w:instrText>
            </w:r>
            <w:r w:rsidR="006B4D10" w:rsidRPr="006B4D10">
              <w:rPr>
                <w:rFonts w:ascii="Arial" w:hAnsi="Arial" w:cs="Arial"/>
                <w:noProof/>
                <w:webHidden/>
              </w:rPr>
            </w:r>
            <w:r w:rsidR="006B4D10" w:rsidRPr="006B4D10">
              <w:rPr>
                <w:rFonts w:ascii="Arial" w:hAnsi="Arial" w:cs="Arial"/>
                <w:noProof/>
                <w:webHidden/>
              </w:rPr>
              <w:fldChar w:fldCharType="separate"/>
            </w:r>
            <w:r w:rsidR="006B4D10" w:rsidRPr="006B4D10">
              <w:rPr>
                <w:rFonts w:ascii="Arial" w:hAnsi="Arial" w:cs="Arial"/>
                <w:noProof/>
                <w:webHidden/>
              </w:rPr>
              <w:t>26</w:t>
            </w:r>
            <w:r w:rsidR="006B4D10" w:rsidRPr="006B4D10">
              <w:rPr>
                <w:rFonts w:ascii="Arial" w:hAnsi="Arial" w:cs="Arial"/>
                <w:noProof/>
                <w:webHidden/>
              </w:rPr>
              <w:fldChar w:fldCharType="end"/>
            </w:r>
          </w:hyperlink>
        </w:p>
        <w:p w14:paraId="2D00EDA3" w14:textId="77777777" w:rsidR="004F3FD0" w:rsidRDefault="006B4D10" w:rsidP="000556CB">
          <w:pPr>
            <w:spacing w:line="240" w:lineRule="auto"/>
            <w:rPr>
              <w:b/>
              <w:bCs/>
              <w:noProof/>
            </w:rPr>
          </w:pPr>
          <w:r w:rsidRPr="006B4D10">
            <w:rPr>
              <w:rFonts w:ascii="Arial" w:hAnsi="Arial" w:cs="Arial"/>
              <w:b/>
              <w:bCs/>
              <w:noProof/>
            </w:rPr>
            <w:fldChar w:fldCharType="end"/>
          </w:r>
        </w:p>
      </w:sdtContent>
    </w:sdt>
    <w:bookmarkStart w:id="1" w:name="_Toc234975910" w:displacedByCustomXml="prev"/>
    <w:p w14:paraId="20F911A0" w14:textId="52233DA6" w:rsidR="00694A44" w:rsidRPr="00896679" w:rsidRDefault="00694A44" w:rsidP="004F3FD0">
      <w:pPr>
        <w:pStyle w:val="Heading1"/>
      </w:pPr>
      <w:r w:rsidRPr="00896679">
        <w:lastRenderedPageBreak/>
        <w:t>1. Introduction</w:t>
      </w:r>
      <w:bookmarkEnd w:id="1"/>
      <w:r w:rsidRPr="00896679">
        <w:t xml:space="preserve"> </w:t>
      </w:r>
    </w:p>
    <w:p w14:paraId="0E25FB7F" w14:textId="77777777" w:rsidR="00694A44" w:rsidRPr="00896679" w:rsidRDefault="00694A44" w:rsidP="00896679">
      <w:pPr>
        <w:pStyle w:val="Heading2"/>
      </w:pPr>
      <w:bookmarkStart w:id="2" w:name="_Toc234975911"/>
      <w:r w:rsidRPr="00896679">
        <w:t>1.1 Background</w:t>
      </w:r>
      <w:bookmarkEnd w:id="2"/>
    </w:p>
    <w:p w14:paraId="1DB740F7" w14:textId="28C6BC18" w:rsidR="00EE6E67" w:rsidRPr="00896679" w:rsidRDefault="001E270E" w:rsidP="00896679">
      <w:pPr>
        <w:spacing w:line="360" w:lineRule="auto"/>
        <w:jc w:val="both"/>
        <w:rPr>
          <w:rFonts w:ascii="Arial" w:hAnsi="Arial" w:cs="Arial"/>
        </w:rPr>
      </w:pPr>
      <w:r w:rsidRPr="00896679">
        <w:rPr>
          <w:rFonts w:ascii="Arial" w:hAnsi="Arial" w:cs="Arial"/>
        </w:rPr>
        <w:t>I</w:t>
      </w:r>
      <w:r w:rsidR="000555E5" w:rsidRPr="00896679">
        <w:rPr>
          <w:rFonts w:ascii="Arial" w:hAnsi="Arial" w:cs="Arial"/>
        </w:rPr>
        <w:t>nternational market expansion is a key strategic approach that enables multinational corporations to achieve sustainable growth, diversify business risk and strengthen long-term competitive advantage through access to new markets and customers (Peng, 2022; Hill, 2022</w:t>
      </w:r>
      <w:r w:rsidR="005A4F89" w:rsidRPr="00896679">
        <w:rPr>
          <w:rFonts w:ascii="Arial" w:hAnsi="Arial" w:cs="Arial"/>
        </w:rPr>
        <w:t>). Dabur</w:t>
      </w:r>
      <w:r w:rsidR="00EE6E67" w:rsidRPr="00896679">
        <w:rPr>
          <w:rFonts w:ascii="Arial" w:hAnsi="Arial" w:cs="Arial"/>
        </w:rPr>
        <w:t xml:space="preserve"> India Ltd. is an India's leading Multi-National FMCG Company engaged in the manufacturing of Ayurvedic Health Care, Personal Care and Food Products. The company's brand Dabur, Vatika and Real has a strong international presence as it has established itself in Asian countries including the Middle East, Africa and some Western markets (Dabur India Ltd., 2026).</w:t>
      </w:r>
    </w:p>
    <w:p w14:paraId="64B04150" w14:textId="15098D9A" w:rsidR="001E270E" w:rsidRPr="00896679" w:rsidRDefault="001E270E" w:rsidP="00896679">
      <w:pPr>
        <w:spacing w:line="360" w:lineRule="auto"/>
        <w:jc w:val="both"/>
        <w:rPr>
          <w:rFonts w:ascii="Arial" w:hAnsi="Arial" w:cs="Arial"/>
        </w:rPr>
      </w:pPr>
      <w:r w:rsidRPr="00896679">
        <w:rPr>
          <w:rFonts w:ascii="Arial" w:hAnsi="Arial" w:cs="Arial"/>
          <w:noProof/>
        </w:rPr>
        <w:drawing>
          <wp:inline distT="0" distB="0" distL="0" distR="0" wp14:anchorId="0FB91A47" wp14:editId="1EB98356">
            <wp:extent cx="5969000" cy="3449782"/>
            <wp:effectExtent l="0" t="0" r="0" b="0"/>
            <wp:docPr id="4722402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20113" b="6240"/>
                    <a:stretch>
                      <a:fillRect/>
                    </a:stretch>
                  </pic:blipFill>
                  <pic:spPr bwMode="auto">
                    <a:xfrm>
                      <a:off x="0" y="0"/>
                      <a:ext cx="6030950" cy="3485586"/>
                    </a:xfrm>
                    <a:prstGeom prst="rect">
                      <a:avLst/>
                    </a:prstGeom>
                    <a:noFill/>
                    <a:ln>
                      <a:noFill/>
                    </a:ln>
                    <a:extLst>
                      <a:ext uri="{53640926-AAD7-44D8-BBD7-CCE9431645EC}">
                        <a14:shadowObscured xmlns:a14="http://schemas.microsoft.com/office/drawing/2010/main"/>
                      </a:ext>
                    </a:extLst>
                  </pic:spPr>
                </pic:pic>
              </a:graphicData>
            </a:graphic>
          </wp:inline>
        </w:drawing>
      </w:r>
    </w:p>
    <w:p w14:paraId="199677CB" w14:textId="735EFA5A" w:rsidR="00694A44" w:rsidRPr="00896679" w:rsidRDefault="00694A44" w:rsidP="00896679">
      <w:pPr>
        <w:spacing w:line="360" w:lineRule="auto"/>
        <w:jc w:val="center"/>
        <w:rPr>
          <w:rFonts w:ascii="Arial" w:hAnsi="Arial" w:cs="Arial"/>
          <w:b/>
          <w:bCs/>
          <w:sz w:val="22"/>
          <w:szCs w:val="22"/>
          <w:u w:val="single"/>
        </w:rPr>
      </w:pPr>
      <w:r w:rsidRPr="00896679">
        <w:rPr>
          <w:rFonts w:ascii="Arial" w:hAnsi="Arial" w:cs="Arial"/>
          <w:b/>
          <w:bCs/>
          <w:sz w:val="22"/>
          <w:szCs w:val="22"/>
          <w:u w:val="single"/>
        </w:rPr>
        <w:t>Figure 1. Current International Presence of Dabur India Ltd.</w:t>
      </w:r>
      <w:r w:rsidRPr="00896679">
        <w:rPr>
          <w:rFonts w:ascii="Arial" w:hAnsi="Arial" w:cs="Arial"/>
          <w:b/>
          <w:bCs/>
          <w:sz w:val="22"/>
          <w:szCs w:val="22"/>
          <w:u w:val="single"/>
        </w:rPr>
        <w:br/>
        <w:t>Source: Adapted from Dabur India Ltd. Annual Report (2026).</w:t>
      </w:r>
    </w:p>
    <w:p w14:paraId="7C13D1B4" w14:textId="6AB2CABD" w:rsidR="001E270E" w:rsidRPr="00896679" w:rsidRDefault="00EE6E67" w:rsidP="00896679">
      <w:pPr>
        <w:spacing w:line="360" w:lineRule="auto"/>
        <w:jc w:val="both"/>
        <w:rPr>
          <w:rFonts w:ascii="Arial" w:hAnsi="Arial" w:cs="Arial"/>
        </w:rPr>
      </w:pPr>
      <w:r w:rsidRPr="00896679">
        <w:rPr>
          <w:rFonts w:ascii="Arial" w:hAnsi="Arial" w:cs="Arial"/>
        </w:rPr>
        <w:t xml:space="preserve">Dabur has a wide footprint in the international market, as shown in Figure 1, but not among the significant players in Mexico. The growth of the health and wellness industry and Mexico's strategic location in North America, given its extensive consumer base, </w:t>
      </w:r>
      <w:r w:rsidRPr="00896679">
        <w:rPr>
          <w:rFonts w:ascii="Arial" w:hAnsi="Arial" w:cs="Arial"/>
        </w:rPr>
        <w:lastRenderedPageBreak/>
        <w:t xml:space="preserve">render the country an appealing site for future expansion for companies (World Bank, 2025; OECD, 2025). </w:t>
      </w:r>
    </w:p>
    <w:p w14:paraId="56410F6A" w14:textId="38039264" w:rsidR="00694A44" w:rsidRPr="00896679" w:rsidRDefault="00694A44" w:rsidP="00896679">
      <w:pPr>
        <w:pStyle w:val="Heading2"/>
      </w:pPr>
      <w:bookmarkStart w:id="3" w:name="_Toc234975912"/>
      <w:r w:rsidRPr="00896679">
        <w:t>1.2 Aim of the Report</w:t>
      </w:r>
      <w:bookmarkEnd w:id="3"/>
    </w:p>
    <w:p w14:paraId="29F82F95" w14:textId="77777777" w:rsidR="00EE6E67" w:rsidRPr="00896679" w:rsidRDefault="00EE6E67" w:rsidP="00896679">
      <w:pPr>
        <w:spacing w:line="360" w:lineRule="auto"/>
        <w:jc w:val="both"/>
        <w:rPr>
          <w:rFonts w:ascii="Arial" w:hAnsi="Arial" w:cs="Arial"/>
        </w:rPr>
      </w:pPr>
      <w:r w:rsidRPr="00896679">
        <w:rPr>
          <w:rFonts w:ascii="Arial" w:hAnsi="Arial" w:cs="Arial"/>
        </w:rPr>
        <w:t>This report critically reviews the feasibility of Dabur India's internationalization to Mexico, examines the company's global strategy, macro-environment of Mexico, uses Dunning's OLI model and suggests the best market entry option.</w:t>
      </w:r>
    </w:p>
    <w:p w14:paraId="29BA0518" w14:textId="5C61AB5E" w:rsidR="00694A44" w:rsidRPr="00896679" w:rsidRDefault="00694A44" w:rsidP="00896679">
      <w:pPr>
        <w:pStyle w:val="Heading2"/>
      </w:pPr>
      <w:bookmarkStart w:id="4" w:name="_Toc234975913"/>
      <w:r w:rsidRPr="00896679">
        <w:t>1.3 Structure of the Report</w:t>
      </w:r>
      <w:bookmarkEnd w:id="4"/>
    </w:p>
    <w:p w14:paraId="549F560E" w14:textId="7FB5302C" w:rsidR="00EE6E67" w:rsidRPr="00896679" w:rsidRDefault="00EE6E67" w:rsidP="00896679">
      <w:pPr>
        <w:spacing w:line="360" w:lineRule="auto"/>
        <w:jc w:val="both"/>
        <w:rPr>
          <w:rFonts w:ascii="Arial" w:hAnsi="Arial" w:cs="Arial"/>
        </w:rPr>
      </w:pPr>
      <w:r w:rsidRPr="00896679">
        <w:rPr>
          <w:rFonts w:ascii="Arial" w:hAnsi="Arial" w:cs="Arial"/>
        </w:rPr>
        <w:t xml:space="preserve">Firstly, the report examines the international strategy of Dabur India and assesses the potential of the Mexican market before proposing a suitable method of the entry. It will end with a reflective account using Gibbs' Reflective Cycle. </w:t>
      </w:r>
    </w:p>
    <w:p w14:paraId="44573CD7" w14:textId="77777777" w:rsidR="000556CB" w:rsidRDefault="000556CB">
      <w:pPr>
        <w:rPr>
          <w:rFonts w:ascii="Arial" w:eastAsiaTheme="majorEastAsia" w:hAnsi="Arial" w:cstheme="majorBidi"/>
          <w:b/>
          <w:color w:val="2F5496" w:themeColor="accent1" w:themeShade="BF"/>
          <w:sz w:val="28"/>
          <w:szCs w:val="40"/>
          <w:u w:val="single"/>
        </w:rPr>
      </w:pPr>
      <w:bookmarkStart w:id="5" w:name="_Toc234975914"/>
      <w:r>
        <w:br w:type="page"/>
      </w:r>
    </w:p>
    <w:p w14:paraId="0D8288FF" w14:textId="649F0A33" w:rsidR="00694A44" w:rsidRPr="00896679" w:rsidRDefault="00694A44" w:rsidP="00896679">
      <w:pPr>
        <w:pStyle w:val="Heading1"/>
      </w:pPr>
      <w:r w:rsidRPr="00896679">
        <w:lastRenderedPageBreak/>
        <w:t>2. Organisational Classification and Global Strategy</w:t>
      </w:r>
      <w:bookmarkEnd w:id="5"/>
      <w:r w:rsidRPr="00896679">
        <w:t xml:space="preserve"> </w:t>
      </w:r>
    </w:p>
    <w:p w14:paraId="63CE52A3" w14:textId="77777777" w:rsidR="00694A44" w:rsidRPr="00896679" w:rsidRDefault="00694A44" w:rsidP="00896679">
      <w:pPr>
        <w:pStyle w:val="Heading2"/>
      </w:pPr>
      <w:bookmarkStart w:id="6" w:name="_Toc234975915"/>
      <w:r w:rsidRPr="00896679">
        <w:t>2.1 Company Overview</w:t>
      </w:r>
      <w:bookmarkEnd w:id="6"/>
    </w:p>
    <w:p w14:paraId="30751CF4" w14:textId="61C5D6AD" w:rsidR="00896679" w:rsidRPr="00896679" w:rsidRDefault="00EE6E67" w:rsidP="00896679">
      <w:pPr>
        <w:spacing w:line="360" w:lineRule="auto"/>
        <w:jc w:val="both"/>
        <w:rPr>
          <w:rFonts w:ascii="Arial" w:hAnsi="Arial" w:cs="Arial"/>
        </w:rPr>
      </w:pPr>
      <w:r w:rsidRPr="00896679">
        <w:rPr>
          <w:rFonts w:ascii="Arial" w:hAnsi="Arial" w:cs="Arial"/>
        </w:rPr>
        <w:t>Established in 1884 and known for their expertise in Ayurvedic healthcare, personal care, and food and beverage products, Dabur India Ltd. is one of India's leading multinational fast-moving consumer goods (FMCG) companies (Dabur India Ltd., 2026). The company sells over 250 products under internationally known brands such as Dabur, Vatika, Real, Hajmola, Fem and Meswak. It has expanded internationally with manufacturing facilities, subsidiaries and distribution network in emerging markets such as the Middle East, North Africa, South Asia and selected developed economies. Dabur's global presence plays a major role in its revenue, which is a testament to its effective global diversification strategy (Dabur India Ltd., 2026).</w:t>
      </w:r>
    </w:p>
    <w:tbl>
      <w:tblPr>
        <w:tblStyle w:val="TableGrid"/>
        <w:tblpPr w:leftFromText="180" w:rightFromText="180" w:vertAnchor="text" w:horzAnchor="margin" w:tblpY="365"/>
        <w:tblW w:w="9469" w:type="dxa"/>
        <w:tblLook w:val="04A0" w:firstRow="1" w:lastRow="0" w:firstColumn="1" w:lastColumn="0" w:noHBand="0" w:noVBand="1"/>
      </w:tblPr>
      <w:tblGrid>
        <w:gridCol w:w="2114"/>
        <w:gridCol w:w="2547"/>
        <w:gridCol w:w="1908"/>
        <w:gridCol w:w="2900"/>
      </w:tblGrid>
      <w:tr w:rsidR="00896679" w:rsidRPr="00896679" w14:paraId="6B7EE471" w14:textId="77777777" w:rsidTr="00896679">
        <w:trPr>
          <w:trHeight w:val="331"/>
        </w:trPr>
        <w:tc>
          <w:tcPr>
            <w:tcW w:w="0" w:type="auto"/>
            <w:shd w:val="clear" w:color="auto" w:fill="70AD47" w:themeFill="accent6"/>
            <w:hideMark/>
          </w:tcPr>
          <w:p w14:paraId="024F34BF" w14:textId="77777777" w:rsidR="004528BC" w:rsidRPr="00896679" w:rsidRDefault="004528BC" w:rsidP="00896679">
            <w:pPr>
              <w:spacing w:line="360" w:lineRule="auto"/>
              <w:jc w:val="both"/>
              <w:rPr>
                <w:rFonts w:ascii="Arial" w:hAnsi="Arial" w:cs="Arial"/>
              </w:rPr>
            </w:pPr>
            <w:r w:rsidRPr="00896679">
              <w:rPr>
                <w:rFonts w:ascii="Arial" w:hAnsi="Arial" w:cs="Arial"/>
              </w:rPr>
              <w:t>Region</w:t>
            </w:r>
          </w:p>
        </w:tc>
        <w:tc>
          <w:tcPr>
            <w:tcW w:w="0" w:type="auto"/>
            <w:shd w:val="clear" w:color="auto" w:fill="70AD47" w:themeFill="accent6"/>
            <w:hideMark/>
          </w:tcPr>
          <w:p w14:paraId="33A7276E" w14:textId="77777777" w:rsidR="004528BC" w:rsidRPr="00896679" w:rsidRDefault="004528BC" w:rsidP="00896679">
            <w:pPr>
              <w:spacing w:line="360" w:lineRule="auto"/>
              <w:jc w:val="both"/>
              <w:rPr>
                <w:rFonts w:ascii="Arial" w:hAnsi="Arial" w:cs="Arial"/>
              </w:rPr>
            </w:pPr>
            <w:r w:rsidRPr="00896679">
              <w:rPr>
                <w:rFonts w:ascii="Arial" w:hAnsi="Arial" w:cs="Arial"/>
              </w:rPr>
              <w:t>Countries</w:t>
            </w:r>
          </w:p>
        </w:tc>
        <w:tc>
          <w:tcPr>
            <w:tcW w:w="0" w:type="auto"/>
            <w:shd w:val="clear" w:color="auto" w:fill="70AD47" w:themeFill="accent6"/>
            <w:hideMark/>
          </w:tcPr>
          <w:p w14:paraId="2EA0689A" w14:textId="77777777" w:rsidR="004528BC" w:rsidRPr="00896679" w:rsidRDefault="004528BC" w:rsidP="00896679">
            <w:pPr>
              <w:spacing w:line="360" w:lineRule="auto"/>
              <w:jc w:val="both"/>
              <w:rPr>
                <w:rFonts w:ascii="Arial" w:hAnsi="Arial" w:cs="Arial"/>
              </w:rPr>
            </w:pPr>
            <w:r w:rsidRPr="00896679">
              <w:rPr>
                <w:rFonts w:ascii="Arial" w:hAnsi="Arial" w:cs="Arial"/>
              </w:rPr>
              <w:t>Major Brands</w:t>
            </w:r>
          </w:p>
        </w:tc>
        <w:tc>
          <w:tcPr>
            <w:tcW w:w="0" w:type="auto"/>
            <w:shd w:val="clear" w:color="auto" w:fill="70AD47" w:themeFill="accent6"/>
            <w:hideMark/>
          </w:tcPr>
          <w:p w14:paraId="5AD9AAEB" w14:textId="77777777" w:rsidR="004528BC" w:rsidRPr="00896679" w:rsidRDefault="004528BC" w:rsidP="00896679">
            <w:pPr>
              <w:spacing w:line="360" w:lineRule="auto"/>
              <w:jc w:val="both"/>
              <w:rPr>
                <w:rFonts w:ascii="Arial" w:hAnsi="Arial" w:cs="Arial"/>
              </w:rPr>
            </w:pPr>
            <w:r w:rsidRPr="00896679">
              <w:rPr>
                <w:rFonts w:ascii="Arial" w:hAnsi="Arial" w:cs="Arial"/>
              </w:rPr>
              <w:t>Business Activities</w:t>
            </w:r>
          </w:p>
        </w:tc>
      </w:tr>
      <w:tr w:rsidR="00896679" w:rsidRPr="00896679" w14:paraId="43BBAC5E" w14:textId="77777777" w:rsidTr="00896679">
        <w:trPr>
          <w:trHeight w:val="679"/>
        </w:trPr>
        <w:tc>
          <w:tcPr>
            <w:tcW w:w="0" w:type="auto"/>
            <w:hideMark/>
          </w:tcPr>
          <w:p w14:paraId="7E0EB28A"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Middle East &amp; North Africa</w:t>
            </w:r>
          </w:p>
        </w:tc>
        <w:tc>
          <w:tcPr>
            <w:tcW w:w="0" w:type="auto"/>
            <w:hideMark/>
          </w:tcPr>
          <w:p w14:paraId="14E46321"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UAE, Saudi Arabia, Egypt</w:t>
            </w:r>
          </w:p>
        </w:tc>
        <w:tc>
          <w:tcPr>
            <w:tcW w:w="0" w:type="auto"/>
            <w:hideMark/>
          </w:tcPr>
          <w:p w14:paraId="18BB9A5E"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Dabur, Vatika, Meswak</w:t>
            </w:r>
          </w:p>
        </w:tc>
        <w:tc>
          <w:tcPr>
            <w:tcW w:w="0" w:type="auto"/>
            <w:hideMark/>
          </w:tcPr>
          <w:p w14:paraId="701DD685"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Manufacturing, Sales &amp; Distribution</w:t>
            </w:r>
          </w:p>
        </w:tc>
      </w:tr>
      <w:tr w:rsidR="00896679" w:rsidRPr="00896679" w14:paraId="6206A9B0" w14:textId="77777777" w:rsidTr="00896679">
        <w:trPr>
          <w:trHeight w:val="679"/>
        </w:trPr>
        <w:tc>
          <w:tcPr>
            <w:tcW w:w="0" w:type="auto"/>
            <w:hideMark/>
          </w:tcPr>
          <w:p w14:paraId="11D07C53"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South Asia</w:t>
            </w:r>
          </w:p>
        </w:tc>
        <w:tc>
          <w:tcPr>
            <w:tcW w:w="0" w:type="auto"/>
            <w:hideMark/>
          </w:tcPr>
          <w:p w14:paraId="063E3E65"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Nepal, Bangladesh, Sri Lanka</w:t>
            </w:r>
          </w:p>
        </w:tc>
        <w:tc>
          <w:tcPr>
            <w:tcW w:w="0" w:type="auto"/>
            <w:hideMark/>
          </w:tcPr>
          <w:p w14:paraId="1CEC4BAF"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Dabur, Real</w:t>
            </w:r>
          </w:p>
        </w:tc>
        <w:tc>
          <w:tcPr>
            <w:tcW w:w="0" w:type="auto"/>
            <w:hideMark/>
          </w:tcPr>
          <w:p w14:paraId="30204BBF"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Manufacturing &amp; Distribution</w:t>
            </w:r>
          </w:p>
        </w:tc>
      </w:tr>
      <w:tr w:rsidR="00896679" w:rsidRPr="00896679" w14:paraId="20CC66DA" w14:textId="77777777" w:rsidTr="00896679">
        <w:trPr>
          <w:trHeight w:val="663"/>
        </w:trPr>
        <w:tc>
          <w:tcPr>
            <w:tcW w:w="0" w:type="auto"/>
            <w:hideMark/>
          </w:tcPr>
          <w:p w14:paraId="34A8B3D5"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Europe &amp; North America</w:t>
            </w:r>
          </w:p>
        </w:tc>
        <w:tc>
          <w:tcPr>
            <w:tcW w:w="0" w:type="auto"/>
            <w:hideMark/>
          </w:tcPr>
          <w:p w14:paraId="4707C5A0"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United Kingdom, United States</w:t>
            </w:r>
          </w:p>
        </w:tc>
        <w:tc>
          <w:tcPr>
            <w:tcW w:w="0" w:type="auto"/>
            <w:hideMark/>
          </w:tcPr>
          <w:p w14:paraId="10355D66"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Vatika, Dabur</w:t>
            </w:r>
          </w:p>
        </w:tc>
        <w:tc>
          <w:tcPr>
            <w:tcW w:w="0" w:type="auto"/>
            <w:hideMark/>
          </w:tcPr>
          <w:p w14:paraId="6A4CD676" w14:textId="77777777" w:rsidR="004528BC" w:rsidRPr="00896679" w:rsidRDefault="004528BC" w:rsidP="00896679">
            <w:pPr>
              <w:spacing w:line="360" w:lineRule="auto"/>
              <w:rPr>
                <w:rFonts w:ascii="Arial" w:hAnsi="Arial" w:cs="Arial"/>
                <w:sz w:val="22"/>
                <w:szCs w:val="22"/>
              </w:rPr>
            </w:pPr>
            <w:r w:rsidRPr="00896679">
              <w:rPr>
                <w:rFonts w:ascii="Arial" w:hAnsi="Arial" w:cs="Arial"/>
                <w:sz w:val="22"/>
                <w:szCs w:val="22"/>
              </w:rPr>
              <w:t>Export and Distribution</w:t>
            </w:r>
          </w:p>
        </w:tc>
      </w:tr>
    </w:tbl>
    <w:p w14:paraId="15CD554F" w14:textId="444BCF52" w:rsidR="004528BC" w:rsidRPr="00896679" w:rsidRDefault="00CC26EC" w:rsidP="00896679">
      <w:pPr>
        <w:spacing w:line="360" w:lineRule="auto"/>
        <w:jc w:val="both"/>
        <w:rPr>
          <w:rFonts w:ascii="Arial" w:hAnsi="Arial" w:cs="Arial"/>
          <w:b/>
          <w:bCs/>
        </w:rPr>
      </w:pPr>
      <w:r w:rsidRPr="00896679">
        <w:rPr>
          <w:rFonts w:ascii="Arial" w:hAnsi="Arial" w:cs="Arial"/>
          <w:b/>
          <w:bCs/>
        </w:rPr>
        <w:t>Table 1. Overview of Dabur India's International Operations</w:t>
      </w:r>
    </w:p>
    <w:p w14:paraId="450E36E9" w14:textId="5C35C4D7" w:rsidR="00CC26EC" w:rsidRPr="00896679" w:rsidRDefault="00CC26EC" w:rsidP="00896679">
      <w:pPr>
        <w:spacing w:line="360" w:lineRule="auto"/>
        <w:jc w:val="both"/>
        <w:rPr>
          <w:rFonts w:ascii="Arial" w:hAnsi="Arial" w:cs="Arial"/>
          <w:u w:val="single"/>
        </w:rPr>
      </w:pPr>
      <w:r w:rsidRPr="00896679">
        <w:rPr>
          <w:rFonts w:ascii="Arial" w:hAnsi="Arial" w:cs="Arial"/>
          <w:u w:val="single"/>
        </w:rPr>
        <w:t>Source: Adapted from Dabur India Ltd. Annual Report (2026).</w:t>
      </w:r>
    </w:p>
    <w:p w14:paraId="5E28EBDF" w14:textId="77777777" w:rsidR="00EE6E67" w:rsidRPr="00896679" w:rsidRDefault="00EE6E67" w:rsidP="00896679">
      <w:pPr>
        <w:spacing w:line="360" w:lineRule="auto"/>
        <w:jc w:val="both"/>
        <w:rPr>
          <w:rFonts w:ascii="Arial" w:hAnsi="Arial" w:cs="Arial"/>
        </w:rPr>
      </w:pPr>
      <w:r w:rsidRPr="00896679">
        <w:rPr>
          <w:rFonts w:ascii="Arial" w:hAnsi="Arial" w:cs="Arial"/>
        </w:rPr>
        <w:t xml:space="preserve">Its global footprint signifies its ability to cater to local preferences while also having a distinct advantage in global markets through its rich Ayurvedic roots. </w:t>
      </w:r>
    </w:p>
    <w:p w14:paraId="4335BCEB" w14:textId="7C762514" w:rsidR="00694A44" w:rsidRPr="00896679" w:rsidRDefault="00694A44" w:rsidP="00896679">
      <w:pPr>
        <w:pStyle w:val="Heading2"/>
      </w:pPr>
      <w:bookmarkStart w:id="7" w:name="_Toc234975916"/>
      <w:r w:rsidRPr="00896679">
        <w:t>2.2 Strategic Classification Using Bartlett and Ghoshal's Framework</w:t>
      </w:r>
      <w:bookmarkEnd w:id="7"/>
    </w:p>
    <w:p w14:paraId="1ABBD29E" w14:textId="77777777" w:rsidR="00EE6E67" w:rsidRPr="00896679" w:rsidRDefault="00EE6E67" w:rsidP="00896679">
      <w:pPr>
        <w:spacing w:line="360" w:lineRule="auto"/>
        <w:jc w:val="both"/>
        <w:rPr>
          <w:rFonts w:ascii="Arial" w:hAnsi="Arial" w:cs="Arial"/>
        </w:rPr>
      </w:pPr>
      <w:r w:rsidRPr="00896679">
        <w:rPr>
          <w:rFonts w:ascii="Arial" w:hAnsi="Arial" w:cs="Arial"/>
        </w:rPr>
        <w:t xml:space="preserve">Bartlett and Ghoshal (1989) have suggested four international strategies depending on the ratio of global integration and local responsiveness namely international, multidomestic, global and transnational strategies. Dabur's international activities are most similar to the transnational strategy, where the company strives for both global efficiency and product, marketing, and distribution adaptations to local market conditions (Bartlett and Ghoshal, 1989; Hill, 2022). </w:t>
      </w:r>
    </w:p>
    <w:p w14:paraId="3C20A5D0" w14:textId="77777777" w:rsidR="004528BC" w:rsidRPr="00896679" w:rsidRDefault="004528BC" w:rsidP="00896679">
      <w:pPr>
        <w:spacing w:line="360" w:lineRule="auto"/>
        <w:jc w:val="both"/>
        <w:rPr>
          <w:rFonts w:ascii="Arial" w:hAnsi="Arial" w:cs="Arial"/>
        </w:rPr>
      </w:pPr>
    </w:p>
    <w:p w14:paraId="6ECEADA1" w14:textId="3830688F" w:rsidR="004528BC" w:rsidRPr="00896679" w:rsidRDefault="004528BC" w:rsidP="00896679">
      <w:pPr>
        <w:spacing w:line="360" w:lineRule="auto"/>
        <w:jc w:val="both"/>
        <w:rPr>
          <w:rFonts w:ascii="Arial" w:hAnsi="Arial" w:cs="Arial"/>
        </w:rPr>
      </w:pPr>
      <w:r w:rsidRPr="00896679">
        <w:rPr>
          <w:rFonts w:ascii="Arial" w:hAnsi="Arial" w:cs="Arial"/>
          <w:noProof/>
        </w:rPr>
        <w:lastRenderedPageBreak/>
        <w:drawing>
          <wp:inline distT="0" distB="0" distL="0" distR="0" wp14:anchorId="7843FEBA" wp14:editId="1D375C15">
            <wp:extent cx="5928995" cy="4433455"/>
            <wp:effectExtent l="0" t="0" r="0" b="5715"/>
            <wp:docPr id="2090386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t="11027" b="3657"/>
                    <a:stretch>
                      <a:fillRect/>
                    </a:stretch>
                  </pic:blipFill>
                  <pic:spPr bwMode="auto">
                    <a:xfrm>
                      <a:off x="0" y="0"/>
                      <a:ext cx="5967324" cy="4462116"/>
                    </a:xfrm>
                    <a:prstGeom prst="rect">
                      <a:avLst/>
                    </a:prstGeom>
                    <a:noFill/>
                    <a:ln>
                      <a:noFill/>
                    </a:ln>
                    <a:extLst>
                      <a:ext uri="{53640926-AAD7-44D8-BBD7-CCE9431645EC}">
                        <a14:shadowObscured xmlns:a14="http://schemas.microsoft.com/office/drawing/2010/main"/>
                      </a:ext>
                    </a:extLst>
                  </pic:spPr>
                </pic:pic>
              </a:graphicData>
            </a:graphic>
          </wp:inline>
        </w:drawing>
      </w:r>
    </w:p>
    <w:p w14:paraId="206ECEFD" w14:textId="77777777" w:rsidR="004528BC" w:rsidRPr="00896679" w:rsidRDefault="004528BC" w:rsidP="00896679">
      <w:pPr>
        <w:spacing w:line="360" w:lineRule="auto"/>
        <w:jc w:val="both"/>
        <w:rPr>
          <w:rFonts w:ascii="Arial" w:hAnsi="Arial" w:cs="Arial"/>
        </w:rPr>
      </w:pPr>
    </w:p>
    <w:p w14:paraId="5504BBA8" w14:textId="09E7E5FD" w:rsidR="00694A44" w:rsidRPr="00896679" w:rsidRDefault="00694A44" w:rsidP="00896679">
      <w:pPr>
        <w:spacing w:line="360" w:lineRule="auto"/>
        <w:jc w:val="center"/>
        <w:rPr>
          <w:rFonts w:ascii="Arial" w:hAnsi="Arial" w:cs="Arial"/>
          <w:b/>
          <w:bCs/>
          <w:sz w:val="20"/>
          <w:szCs w:val="20"/>
          <w:u w:val="single"/>
        </w:rPr>
      </w:pPr>
      <w:r w:rsidRPr="00896679">
        <w:rPr>
          <w:rFonts w:ascii="Arial" w:hAnsi="Arial" w:cs="Arial"/>
          <w:b/>
          <w:bCs/>
          <w:sz w:val="20"/>
          <w:szCs w:val="20"/>
          <w:u w:val="single"/>
        </w:rPr>
        <w:t>Figure 2. Bartlett and Ghoshal's International Strategy Framework</w:t>
      </w:r>
      <w:r w:rsidRPr="00896679">
        <w:rPr>
          <w:rFonts w:ascii="Arial" w:hAnsi="Arial" w:cs="Arial"/>
          <w:b/>
          <w:bCs/>
          <w:sz w:val="20"/>
          <w:szCs w:val="20"/>
          <w:u w:val="single"/>
        </w:rPr>
        <w:br/>
        <w:t>Source: Adapted from Bartlett and Ghoshal (1989).</w:t>
      </w:r>
    </w:p>
    <w:p w14:paraId="040B3703" w14:textId="13E86C1E" w:rsidR="00CE5AB1" w:rsidRPr="00896679" w:rsidRDefault="00EE6E67" w:rsidP="00896679">
      <w:pPr>
        <w:spacing w:line="360" w:lineRule="auto"/>
        <w:jc w:val="both"/>
        <w:rPr>
          <w:rFonts w:ascii="Arial" w:hAnsi="Arial" w:cs="Arial"/>
        </w:rPr>
      </w:pPr>
      <w:r w:rsidRPr="00896679">
        <w:rPr>
          <w:rFonts w:ascii="Arial" w:hAnsi="Arial" w:cs="Arial"/>
        </w:rPr>
        <w:t>In addition, Dabur standardises its core competencies, such as research for Ayurvedic products, product innovation and brand reputation, and adapts product formulations, packaging and marketing messages to suit the local tastes and preferences of consumers and any applicable regulations (Dabur India Ltd., 2026). By implementing this strategic approach, the company will benefit from economies of scale and improve the responsiveness of its operations in the culturally diverse regions. But there is need for significant research, supply chain coordination and international management skills, which add to operating complexity and costs (Peng, 2022) to balance the need for integration with the need for adaptation at the local level.</w:t>
      </w:r>
    </w:p>
    <w:p w14:paraId="61C1F102" w14:textId="05D629B8" w:rsidR="00694A44" w:rsidRPr="00896679" w:rsidRDefault="00694A44" w:rsidP="00896679">
      <w:pPr>
        <w:pStyle w:val="Heading2"/>
      </w:pPr>
      <w:bookmarkStart w:id="8" w:name="_Toc234975917"/>
      <w:r w:rsidRPr="00896679">
        <w:lastRenderedPageBreak/>
        <w:t>2.3 Global Configuration and Competitive Advantage</w:t>
      </w:r>
      <w:bookmarkEnd w:id="8"/>
    </w:p>
    <w:p w14:paraId="51E907F3" w14:textId="77777777" w:rsidR="00C46CB9" w:rsidRPr="00896679" w:rsidRDefault="00C46CB9" w:rsidP="00896679">
      <w:pPr>
        <w:spacing w:line="360" w:lineRule="auto"/>
        <w:jc w:val="both"/>
        <w:rPr>
          <w:rFonts w:ascii="Arial" w:hAnsi="Arial" w:cs="Arial"/>
        </w:rPr>
      </w:pPr>
      <w:r w:rsidRPr="00896679">
        <w:rPr>
          <w:rFonts w:ascii="Arial" w:hAnsi="Arial" w:cs="Arial"/>
        </w:rPr>
        <w:t xml:space="preserve">The global set-up of Dabur incorporates manufacturing plants, subsidiaries in the regions, export operations and extensive distribution network to facilitate its international expansion. This geographical spread enhances operational resilience, helps to transfer knowledge and boosts supply chain efficiency across different regions (Cavusgil et al., 2024). Its competitive edge comes from its excellent brand value, expertise in the field of Ayurveda, wide range of products and international distribution network. </w:t>
      </w:r>
    </w:p>
    <w:tbl>
      <w:tblPr>
        <w:tblStyle w:val="TableGrid"/>
        <w:tblpPr w:leftFromText="180" w:rightFromText="180" w:vertAnchor="text" w:horzAnchor="margin" w:tblpY="415"/>
        <w:tblW w:w="0" w:type="auto"/>
        <w:tblLook w:val="04A0" w:firstRow="1" w:lastRow="0" w:firstColumn="1" w:lastColumn="0" w:noHBand="0" w:noVBand="1"/>
      </w:tblPr>
      <w:tblGrid>
        <w:gridCol w:w="3144"/>
        <w:gridCol w:w="2871"/>
        <w:gridCol w:w="3335"/>
      </w:tblGrid>
      <w:tr w:rsidR="00896679" w:rsidRPr="00896679" w14:paraId="05377160" w14:textId="77777777" w:rsidTr="004528BC">
        <w:tc>
          <w:tcPr>
            <w:tcW w:w="0" w:type="auto"/>
            <w:shd w:val="clear" w:color="auto" w:fill="70AD47" w:themeFill="accent6"/>
            <w:hideMark/>
          </w:tcPr>
          <w:p w14:paraId="4E3EF0E7" w14:textId="77777777" w:rsidR="004528BC" w:rsidRPr="00896679" w:rsidRDefault="004528BC" w:rsidP="00896679">
            <w:pPr>
              <w:spacing w:line="360" w:lineRule="auto"/>
              <w:jc w:val="both"/>
              <w:rPr>
                <w:rFonts w:ascii="Arial" w:hAnsi="Arial" w:cs="Arial"/>
              </w:rPr>
            </w:pPr>
            <w:r w:rsidRPr="00896679">
              <w:rPr>
                <w:rFonts w:ascii="Arial" w:hAnsi="Arial" w:cs="Arial"/>
              </w:rPr>
              <w:t>Competitive Resource</w:t>
            </w:r>
          </w:p>
        </w:tc>
        <w:tc>
          <w:tcPr>
            <w:tcW w:w="0" w:type="auto"/>
            <w:shd w:val="clear" w:color="auto" w:fill="70AD47" w:themeFill="accent6"/>
            <w:hideMark/>
          </w:tcPr>
          <w:p w14:paraId="5FACAF2C" w14:textId="77777777" w:rsidR="004528BC" w:rsidRPr="00896679" w:rsidRDefault="004528BC" w:rsidP="00896679">
            <w:pPr>
              <w:spacing w:line="360" w:lineRule="auto"/>
              <w:jc w:val="both"/>
              <w:rPr>
                <w:rFonts w:ascii="Arial" w:hAnsi="Arial" w:cs="Arial"/>
              </w:rPr>
            </w:pPr>
            <w:r w:rsidRPr="00896679">
              <w:rPr>
                <w:rFonts w:ascii="Arial" w:hAnsi="Arial" w:cs="Arial"/>
              </w:rPr>
              <w:t>Global Contribution</w:t>
            </w:r>
          </w:p>
        </w:tc>
        <w:tc>
          <w:tcPr>
            <w:tcW w:w="0" w:type="auto"/>
            <w:shd w:val="clear" w:color="auto" w:fill="70AD47" w:themeFill="accent6"/>
            <w:hideMark/>
          </w:tcPr>
          <w:p w14:paraId="7EC92257" w14:textId="77777777" w:rsidR="004528BC" w:rsidRPr="00896679" w:rsidRDefault="004528BC" w:rsidP="00896679">
            <w:pPr>
              <w:spacing w:line="360" w:lineRule="auto"/>
              <w:jc w:val="both"/>
              <w:rPr>
                <w:rFonts w:ascii="Arial" w:hAnsi="Arial" w:cs="Arial"/>
              </w:rPr>
            </w:pPr>
            <w:r w:rsidRPr="00896679">
              <w:rPr>
                <w:rFonts w:ascii="Arial" w:hAnsi="Arial" w:cs="Arial"/>
              </w:rPr>
              <w:t>Strategic Advantage</w:t>
            </w:r>
          </w:p>
        </w:tc>
      </w:tr>
      <w:tr w:rsidR="00896679" w:rsidRPr="00896679" w14:paraId="24CD597C" w14:textId="77777777" w:rsidTr="004528BC">
        <w:tc>
          <w:tcPr>
            <w:tcW w:w="0" w:type="auto"/>
            <w:hideMark/>
          </w:tcPr>
          <w:p w14:paraId="3B051677" w14:textId="77777777" w:rsidR="004528BC" w:rsidRPr="00896679" w:rsidRDefault="004528BC" w:rsidP="00896679">
            <w:pPr>
              <w:spacing w:line="360" w:lineRule="auto"/>
              <w:jc w:val="both"/>
              <w:rPr>
                <w:rFonts w:ascii="Arial" w:hAnsi="Arial" w:cs="Arial"/>
              </w:rPr>
            </w:pPr>
            <w:r w:rsidRPr="00896679">
              <w:rPr>
                <w:rFonts w:ascii="Arial" w:hAnsi="Arial" w:cs="Arial"/>
              </w:rPr>
              <w:t>Strong Ayurvedic Brand</w:t>
            </w:r>
          </w:p>
        </w:tc>
        <w:tc>
          <w:tcPr>
            <w:tcW w:w="0" w:type="auto"/>
            <w:hideMark/>
          </w:tcPr>
          <w:p w14:paraId="4D3B9B9C" w14:textId="77777777" w:rsidR="004528BC" w:rsidRPr="00896679" w:rsidRDefault="004528BC" w:rsidP="00896679">
            <w:pPr>
              <w:spacing w:line="360" w:lineRule="auto"/>
              <w:jc w:val="both"/>
              <w:rPr>
                <w:rFonts w:ascii="Arial" w:hAnsi="Arial" w:cs="Arial"/>
              </w:rPr>
            </w:pPr>
            <w:r w:rsidRPr="00896679">
              <w:rPr>
                <w:rFonts w:ascii="Arial" w:hAnsi="Arial" w:cs="Arial"/>
              </w:rPr>
              <w:t>Global brand recognition</w:t>
            </w:r>
          </w:p>
        </w:tc>
        <w:tc>
          <w:tcPr>
            <w:tcW w:w="0" w:type="auto"/>
            <w:hideMark/>
          </w:tcPr>
          <w:p w14:paraId="02CD9B59" w14:textId="77777777" w:rsidR="004528BC" w:rsidRPr="00896679" w:rsidRDefault="004528BC" w:rsidP="00896679">
            <w:pPr>
              <w:spacing w:line="360" w:lineRule="auto"/>
              <w:jc w:val="both"/>
              <w:rPr>
                <w:rFonts w:ascii="Arial" w:hAnsi="Arial" w:cs="Arial"/>
              </w:rPr>
            </w:pPr>
            <w:r w:rsidRPr="00896679">
              <w:rPr>
                <w:rFonts w:ascii="Arial" w:hAnsi="Arial" w:cs="Arial"/>
              </w:rPr>
              <w:t>Product differentiation</w:t>
            </w:r>
          </w:p>
        </w:tc>
      </w:tr>
      <w:tr w:rsidR="00896679" w:rsidRPr="00896679" w14:paraId="2E308752" w14:textId="77777777" w:rsidTr="004528BC">
        <w:tc>
          <w:tcPr>
            <w:tcW w:w="0" w:type="auto"/>
            <w:hideMark/>
          </w:tcPr>
          <w:p w14:paraId="74EEADB5" w14:textId="77777777" w:rsidR="004528BC" w:rsidRPr="00896679" w:rsidRDefault="004528BC" w:rsidP="00896679">
            <w:pPr>
              <w:spacing w:line="360" w:lineRule="auto"/>
              <w:jc w:val="both"/>
              <w:rPr>
                <w:rFonts w:ascii="Arial" w:hAnsi="Arial" w:cs="Arial"/>
              </w:rPr>
            </w:pPr>
            <w:r w:rsidRPr="00896679">
              <w:rPr>
                <w:rFonts w:ascii="Arial" w:hAnsi="Arial" w:cs="Arial"/>
              </w:rPr>
              <w:t>International Distribution Network</w:t>
            </w:r>
          </w:p>
        </w:tc>
        <w:tc>
          <w:tcPr>
            <w:tcW w:w="0" w:type="auto"/>
            <w:hideMark/>
          </w:tcPr>
          <w:p w14:paraId="038AEA6D" w14:textId="77777777" w:rsidR="004528BC" w:rsidRPr="00896679" w:rsidRDefault="004528BC" w:rsidP="00896679">
            <w:pPr>
              <w:spacing w:line="360" w:lineRule="auto"/>
              <w:jc w:val="both"/>
              <w:rPr>
                <w:rFonts w:ascii="Arial" w:hAnsi="Arial" w:cs="Arial"/>
              </w:rPr>
            </w:pPr>
            <w:r w:rsidRPr="00896679">
              <w:rPr>
                <w:rFonts w:ascii="Arial" w:hAnsi="Arial" w:cs="Arial"/>
              </w:rPr>
              <w:t>Wider market access</w:t>
            </w:r>
          </w:p>
        </w:tc>
        <w:tc>
          <w:tcPr>
            <w:tcW w:w="0" w:type="auto"/>
            <w:hideMark/>
          </w:tcPr>
          <w:p w14:paraId="034FF9D8" w14:textId="77777777" w:rsidR="004528BC" w:rsidRPr="00896679" w:rsidRDefault="004528BC" w:rsidP="00896679">
            <w:pPr>
              <w:spacing w:line="360" w:lineRule="auto"/>
              <w:jc w:val="both"/>
              <w:rPr>
                <w:rFonts w:ascii="Arial" w:hAnsi="Arial" w:cs="Arial"/>
              </w:rPr>
            </w:pPr>
            <w:r w:rsidRPr="00896679">
              <w:rPr>
                <w:rFonts w:ascii="Arial" w:hAnsi="Arial" w:cs="Arial"/>
              </w:rPr>
              <w:t>Faster market penetration</w:t>
            </w:r>
          </w:p>
        </w:tc>
      </w:tr>
      <w:tr w:rsidR="00896679" w:rsidRPr="00896679" w14:paraId="4313098C" w14:textId="77777777" w:rsidTr="004528BC">
        <w:tc>
          <w:tcPr>
            <w:tcW w:w="0" w:type="auto"/>
            <w:hideMark/>
          </w:tcPr>
          <w:p w14:paraId="16C422F2" w14:textId="77777777" w:rsidR="004528BC" w:rsidRPr="00896679" w:rsidRDefault="004528BC" w:rsidP="00896679">
            <w:pPr>
              <w:spacing w:line="360" w:lineRule="auto"/>
              <w:jc w:val="both"/>
              <w:rPr>
                <w:rFonts w:ascii="Arial" w:hAnsi="Arial" w:cs="Arial"/>
              </w:rPr>
            </w:pPr>
            <w:r w:rsidRPr="00896679">
              <w:rPr>
                <w:rFonts w:ascii="Arial" w:hAnsi="Arial" w:cs="Arial"/>
              </w:rPr>
              <w:t>Manufacturing Capability</w:t>
            </w:r>
          </w:p>
        </w:tc>
        <w:tc>
          <w:tcPr>
            <w:tcW w:w="0" w:type="auto"/>
            <w:hideMark/>
          </w:tcPr>
          <w:p w14:paraId="7D7D5356" w14:textId="77777777" w:rsidR="004528BC" w:rsidRPr="00896679" w:rsidRDefault="004528BC" w:rsidP="00896679">
            <w:pPr>
              <w:spacing w:line="360" w:lineRule="auto"/>
              <w:jc w:val="both"/>
              <w:rPr>
                <w:rFonts w:ascii="Arial" w:hAnsi="Arial" w:cs="Arial"/>
              </w:rPr>
            </w:pPr>
            <w:r w:rsidRPr="00896679">
              <w:rPr>
                <w:rFonts w:ascii="Arial" w:hAnsi="Arial" w:cs="Arial"/>
              </w:rPr>
              <w:t>Efficient production</w:t>
            </w:r>
          </w:p>
        </w:tc>
        <w:tc>
          <w:tcPr>
            <w:tcW w:w="0" w:type="auto"/>
            <w:hideMark/>
          </w:tcPr>
          <w:p w14:paraId="4BF2F7A3" w14:textId="77777777" w:rsidR="004528BC" w:rsidRPr="00896679" w:rsidRDefault="004528BC" w:rsidP="00896679">
            <w:pPr>
              <w:spacing w:line="360" w:lineRule="auto"/>
              <w:jc w:val="both"/>
              <w:rPr>
                <w:rFonts w:ascii="Arial" w:hAnsi="Arial" w:cs="Arial"/>
              </w:rPr>
            </w:pPr>
            <w:r w:rsidRPr="00896679">
              <w:rPr>
                <w:rFonts w:ascii="Arial" w:hAnsi="Arial" w:cs="Arial"/>
              </w:rPr>
              <w:t>Cost competitiveness</w:t>
            </w:r>
          </w:p>
        </w:tc>
      </w:tr>
      <w:tr w:rsidR="00896679" w:rsidRPr="00896679" w14:paraId="3840BF07" w14:textId="77777777" w:rsidTr="004528BC">
        <w:tc>
          <w:tcPr>
            <w:tcW w:w="0" w:type="auto"/>
            <w:hideMark/>
          </w:tcPr>
          <w:p w14:paraId="4C6217D3" w14:textId="77777777" w:rsidR="004528BC" w:rsidRPr="00896679" w:rsidRDefault="004528BC" w:rsidP="00896679">
            <w:pPr>
              <w:spacing w:line="360" w:lineRule="auto"/>
              <w:jc w:val="both"/>
              <w:rPr>
                <w:rFonts w:ascii="Arial" w:hAnsi="Arial" w:cs="Arial"/>
              </w:rPr>
            </w:pPr>
            <w:r w:rsidRPr="00896679">
              <w:rPr>
                <w:rFonts w:ascii="Arial" w:hAnsi="Arial" w:cs="Arial"/>
              </w:rPr>
              <w:t>Research &amp; Development</w:t>
            </w:r>
          </w:p>
        </w:tc>
        <w:tc>
          <w:tcPr>
            <w:tcW w:w="0" w:type="auto"/>
            <w:hideMark/>
          </w:tcPr>
          <w:p w14:paraId="6A38DCEE" w14:textId="77777777" w:rsidR="004528BC" w:rsidRPr="00896679" w:rsidRDefault="004528BC" w:rsidP="00896679">
            <w:pPr>
              <w:spacing w:line="360" w:lineRule="auto"/>
              <w:jc w:val="both"/>
              <w:rPr>
                <w:rFonts w:ascii="Arial" w:hAnsi="Arial" w:cs="Arial"/>
              </w:rPr>
            </w:pPr>
            <w:r w:rsidRPr="00896679">
              <w:rPr>
                <w:rFonts w:ascii="Arial" w:hAnsi="Arial" w:cs="Arial"/>
              </w:rPr>
              <w:t>Continuous product innovation</w:t>
            </w:r>
          </w:p>
        </w:tc>
        <w:tc>
          <w:tcPr>
            <w:tcW w:w="0" w:type="auto"/>
            <w:hideMark/>
          </w:tcPr>
          <w:p w14:paraId="22808A27" w14:textId="77777777" w:rsidR="004528BC" w:rsidRPr="00896679" w:rsidRDefault="004528BC" w:rsidP="00896679">
            <w:pPr>
              <w:spacing w:line="360" w:lineRule="auto"/>
              <w:jc w:val="both"/>
              <w:rPr>
                <w:rFonts w:ascii="Arial" w:hAnsi="Arial" w:cs="Arial"/>
              </w:rPr>
            </w:pPr>
            <w:r w:rsidRPr="00896679">
              <w:rPr>
                <w:rFonts w:ascii="Arial" w:hAnsi="Arial" w:cs="Arial"/>
              </w:rPr>
              <w:t>Sustainable competitive advantage</w:t>
            </w:r>
          </w:p>
        </w:tc>
      </w:tr>
    </w:tbl>
    <w:p w14:paraId="2466F4D4" w14:textId="77BAAB0E" w:rsidR="00694A44" w:rsidRPr="00896679" w:rsidRDefault="00694A44" w:rsidP="00896679">
      <w:pPr>
        <w:spacing w:line="360" w:lineRule="auto"/>
        <w:jc w:val="both"/>
        <w:rPr>
          <w:rFonts w:ascii="Arial" w:hAnsi="Arial" w:cs="Arial"/>
          <w:b/>
          <w:bCs/>
        </w:rPr>
      </w:pPr>
      <w:r w:rsidRPr="00896679">
        <w:rPr>
          <w:rFonts w:ascii="Arial" w:hAnsi="Arial" w:cs="Arial"/>
          <w:b/>
          <w:bCs/>
        </w:rPr>
        <w:t>Table 2. Dabur India's Global Competitive Position</w:t>
      </w:r>
    </w:p>
    <w:p w14:paraId="3F40CFF3" w14:textId="34767445" w:rsidR="00CC26EC" w:rsidRPr="00896679" w:rsidRDefault="00CC26EC" w:rsidP="00896679">
      <w:pPr>
        <w:spacing w:line="360" w:lineRule="auto"/>
        <w:jc w:val="both"/>
        <w:rPr>
          <w:rFonts w:ascii="Arial" w:hAnsi="Arial" w:cs="Arial"/>
          <w:b/>
          <w:bCs/>
          <w:sz w:val="22"/>
          <w:szCs w:val="22"/>
          <w:u w:val="single"/>
        </w:rPr>
      </w:pPr>
      <w:r w:rsidRPr="00896679">
        <w:rPr>
          <w:rFonts w:ascii="Arial" w:hAnsi="Arial" w:cs="Arial"/>
          <w:b/>
          <w:bCs/>
          <w:sz w:val="22"/>
          <w:szCs w:val="22"/>
          <w:u w:val="single"/>
        </w:rPr>
        <w:t>Source: Developed by the author using Dabur India Ltd. Annual Report (2026).</w:t>
      </w:r>
    </w:p>
    <w:p w14:paraId="739C6AE5" w14:textId="246E8714" w:rsidR="00AD7F35" w:rsidRPr="00896679" w:rsidRDefault="00AD7F35" w:rsidP="00896679">
      <w:pPr>
        <w:pStyle w:val="Heading1"/>
      </w:pPr>
      <w:bookmarkStart w:id="9" w:name="_Toc234975918"/>
      <w:r w:rsidRPr="00896679">
        <w:t>3. Macro-Environmental Appraisal and Market Attractiveness</w:t>
      </w:r>
      <w:bookmarkEnd w:id="9"/>
    </w:p>
    <w:p w14:paraId="52BDB57F" w14:textId="77777777" w:rsidR="00AD7F35" w:rsidRPr="00896679" w:rsidRDefault="00AD7F35" w:rsidP="00896679">
      <w:pPr>
        <w:pStyle w:val="Heading2"/>
      </w:pPr>
      <w:bookmarkStart w:id="10" w:name="_Toc234975919"/>
      <w:r w:rsidRPr="00896679">
        <w:t xml:space="preserve">3.1 </w:t>
      </w:r>
      <w:r w:rsidRPr="00896679">
        <w:rPr>
          <w:rStyle w:val="Heading2Char"/>
        </w:rPr>
        <w:t>Introduction</w:t>
      </w:r>
      <w:r w:rsidRPr="00896679">
        <w:t xml:space="preserve"> to Mexico</w:t>
      </w:r>
      <w:bookmarkEnd w:id="10"/>
    </w:p>
    <w:p w14:paraId="5B6FBE2F" w14:textId="7BEBC00A" w:rsidR="00C46CB9" w:rsidRPr="00896679" w:rsidRDefault="00C46CB9" w:rsidP="00896679">
      <w:pPr>
        <w:spacing w:line="360" w:lineRule="auto"/>
        <w:jc w:val="both"/>
        <w:rPr>
          <w:rFonts w:ascii="Arial" w:hAnsi="Arial" w:cs="Arial"/>
        </w:rPr>
      </w:pPr>
      <w:r w:rsidRPr="00896679">
        <w:rPr>
          <w:rFonts w:ascii="Arial" w:hAnsi="Arial" w:cs="Arial"/>
        </w:rPr>
        <w:t>The choice of an international market is an important strategic decision as the features of the host country will directly affect the success of the foreign investment and the performance of long-term business activities (Peng, 2022). Given the presence of a massive consumer base, its geographical location and an emerging fast-moving goods (FMCG) sector, Mexico is a potentially rewarding location for Dabur India Ltd. to expand into. Mexico is the second largest economy in Latin America and has emerged as a major Latin manufacturing and consumer center, with a growing urban population, positive investment policies and high levels of trade integration with the United States-Mexico-Canada Agreement (USMCA) (World Bank, 2025; OECD, 2025). All of these features offer large multinationals ample opportunity to expand while simultaneously presenting them with important regulatory and competitive issues.</w:t>
      </w:r>
    </w:p>
    <w:p w14:paraId="5EC49E68" w14:textId="1DB2D56F" w:rsidR="00F458B8" w:rsidRPr="00896679" w:rsidRDefault="00F458B8" w:rsidP="00896679">
      <w:pPr>
        <w:spacing w:line="360" w:lineRule="auto"/>
        <w:jc w:val="both"/>
        <w:rPr>
          <w:rFonts w:ascii="Arial" w:hAnsi="Arial" w:cs="Arial"/>
        </w:rPr>
      </w:pPr>
      <w:r w:rsidRPr="00896679">
        <w:rPr>
          <w:rFonts w:ascii="Arial" w:hAnsi="Arial" w:cs="Arial"/>
          <w:noProof/>
        </w:rPr>
        <w:lastRenderedPageBreak/>
        <w:drawing>
          <wp:inline distT="0" distB="0" distL="0" distR="0" wp14:anchorId="331B252E" wp14:editId="4B929031">
            <wp:extent cx="6066790" cy="3255818"/>
            <wp:effectExtent l="0" t="0" r="0" b="1905"/>
            <wp:docPr id="16855534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t="22892" b="17929"/>
                    <a:stretch>
                      <a:fillRect/>
                    </a:stretch>
                  </pic:blipFill>
                  <pic:spPr bwMode="auto">
                    <a:xfrm>
                      <a:off x="0" y="0"/>
                      <a:ext cx="6185920" cy="3319750"/>
                    </a:xfrm>
                    <a:prstGeom prst="rect">
                      <a:avLst/>
                    </a:prstGeom>
                    <a:noFill/>
                    <a:ln>
                      <a:noFill/>
                    </a:ln>
                    <a:extLst>
                      <a:ext uri="{53640926-AAD7-44D8-BBD7-CCE9431645EC}">
                        <a14:shadowObscured xmlns:a14="http://schemas.microsoft.com/office/drawing/2010/main"/>
                      </a:ext>
                    </a:extLst>
                  </pic:spPr>
                </pic:pic>
              </a:graphicData>
            </a:graphic>
          </wp:inline>
        </w:drawing>
      </w:r>
    </w:p>
    <w:p w14:paraId="042EFEA3" w14:textId="1AE859AA" w:rsidR="00CE5AB1" w:rsidRPr="00896679" w:rsidRDefault="00CE5AB1" w:rsidP="00896679">
      <w:pPr>
        <w:spacing w:line="360" w:lineRule="auto"/>
        <w:jc w:val="center"/>
        <w:rPr>
          <w:rFonts w:ascii="Arial" w:hAnsi="Arial" w:cs="Arial"/>
          <w:b/>
          <w:bCs/>
          <w:sz w:val="20"/>
          <w:szCs w:val="20"/>
          <w:u w:val="single"/>
        </w:rPr>
      </w:pPr>
      <w:r w:rsidRPr="00896679">
        <w:rPr>
          <w:rFonts w:ascii="Arial" w:hAnsi="Arial" w:cs="Arial"/>
          <w:b/>
          <w:bCs/>
          <w:sz w:val="20"/>
          <w:szCs w:val="20"/>
          <w:u w:val="single"/>
        </w:rPr>
        <w:t>Figure 3. Key Economic Indicators of Mexico (2026)</w:t>
      </w:r>
      <w:r w:rsidRPr="00896679">
        <w:rPr>
          <w:rFonts w:ascii="Arial" w:hAnsi="Arial" w:cs="Arial"/>
          <w:b/>
          <w:bCs/>
          <w:sz w:val="20"/>
          <w:szCs w:val="20"/>
          <w:u w:val="single"/>
        </w:rPr>
        <w:br/>
        <w:t>Source: Adapted from World Bank (2025), IMF (2025) and OECD (2025).</w:t>
      </w:r>
    </w:p>
    <w:p w14:paraId="5E1998B6" w14:textId="7A199F45" w:rsidR="00C46CB9" w:rsidRPr="00896679" w:rsidRDefault="00C46CB9" w:rsidP="00896679">
      <w:pPr>
        <w:spacing w:line="360" w:lineRule="auto"/>
        <w:jc w:val="both"/>
        <w:rPr>
          <w:rFonts w:ascii="Arial" w:hAnsi="Arial" w:cs="Arial"/>
        </w:rPr>
      </w:pPr>
      <w:r w:rsidRPr="00896679">
        <w:rPr>
          <w:rFonts w:ascii="Arial" w:hAnsi="Arial" w:cs="Arial"/>
        </w:rPr>
        <w:t>Mexico is one of the biggest consumer markets in the Americas, with a population of over 130 million, as shown in Figure 3 (World Bank, 2025). A rise in disposable income, a growing awareness of health and wellness and a growing demand for packaged food products and personal care goods offer favourable conditions for FMCG companies</w:t>
      </w:r>
      <w:r w:rsidR="0090372E" w:rsidRPr="00896679">
        <w:rPr>
          <w:rFonts w:ascii="Arial" w:hAnsi="Arial" w:cs="Arial"/>
        </w:rPr>
        <w:t xml:space="preserve"> Venkatesha (2021). Furthermore</w:t>
      </w:r>
      <w:r w:rsidRPr="00896679">
        <w:rPr>
          <w:rFonts w:ascii="Arial" w:hAnsi="Arial" w:cs="Arial"/>
        </w:rPr>
        <w:t xml:space="preserve">, the country has a wide array of trade agreements in place, and its logistics sector is well-developed, enhancing its role as a regional gateway to North American markets (OECD, 2025). Hence, for Dabur, Mexico is a good strategic market to enter; but it is crucial to thoroughly assess the country's political, economic, legal and cultural environment to determine the viability of entering the market. </w:t>
      </w:r>
    </w:p>
    <w:p w14:paraId="61584C08" w14:textId="33BC691F" w:rsidR="00F15CB5" w:rsidRPr="00896679" w:rsidRDefault="00F15CB5" w:rsidP="00896679">
      <w:pPr>
        <w:pStyle w:val="Heading2"/>
      </w:pPr>
      <w:bookmarkStart w:id="11" w:name="_Toc234975920"/>
      <w:r w:rsidRPr="00896679">
        <w:t>3.2 Political and Economic Environment</w:t>
      </w:r>
      <w:bookmarkEnd w:id="11"/>
    </w:p>
    <w:p w14:paraId="06FB8E41" w14:textId="401E85EF" w:rsidR="00C46CB9" w:rsidRPr="00896679" w:rsidRDefault="00C46CB9" w:rsidP="00896679">
      <w:pPr>
        <w:spacing w:line="360" w:lineRule="auto"/>
        <w:jc w:val="both"/>
        <w:rPr>
          <w:rFonts w:ascii="Arial" w:hAnsi="Arial" w:cs="Arial"/>
        </w:rPr>
      </w:pPr>
      <w:r w:rsidRPr="00896679">
        <w:rPr>
          <w:rFonts w:ascii="Arial" w:hAnsi="Arial" w:cs="Arial"/>
        </w:rPr>
        <w:t xml:space="preserve">Political and economic conditions are one of the main factors that affect foreign direct investment as they affect market stability, investor confidence and </w:t>
      </w:r>
      <w:r w:rsidR="005A4F89" w:rsidRPr="00896679">
        <w:rPr>
          <w:rFonts w:ascii="Arial" w:hAnsi="Arial" w:cs="Arial"/>
        </w:rPr>
        <w:t>long-term</w:t>
      </w:r>
      <w:r w:rsidRPr="00896679">
        <w:rPr>
          <w:rFonts w:ascii="Arial" w:hAnsi="Arial" w:cs="Arial"/>
        </w:rPr>
        <w:t xml:space="preserve"> performance of businesses (Hill, 2022). Mexico provides a welcoming environment for Dabur India's investment with its stable democracy, pro-investment policies, and dedication to trade liberalisation, making it an appealing choice for multi-national corporations (World Bank, 2025; OECD, 2025). One of the major benefits is Mexico's participation in the United </w:t>
      </w:r>
      <w:r w:rsidRPr="00896679">
        <w:rPr>
          <w:rFonts w:ascii="Arial" w:hAnsi="Arial" w:cs="Arial"/>
        </w:rPr>
        <w:lastRenderedPageBreak/>
        <w:t xml:space="preserve">States-Mexico-Canada Agreement (USMCA), which affords preferential access to the North American market, improves supply chain efficiency, and opens up opportunities for regional expansion </w:t>
      </w:r>
      <w:r w:rsidR="0090372E" w:rsidRPr="00896679">
        <w:rPr>
          <w:rFonts w:ascii="Arial" w:hAnsi="Arial" w:cs="Arial"/>
        </w:rPr>
        <w:t>Gantz (2019</w:t>
      </w:r>
      <w:r w:rsidRPr="00896679">
        <w:rPr>
          <w:rFonts w:ascii="Arial" w:hAnsi="Arial" w:cs="Arial"/>
        </w:rPr>
        <w:t xml:space="preserve">). Political risks including policy changes, regulatory reform and security issues could be expected to drive up the cost of operations and necessitate sound risk management approaches (World Bank, 2025). Mexico is the second largest economy in Latin America, with a diversified industrial base, growing household consumption and a growing middle-class population (IMF, 2025). The rising consumer demand for healthcare, wellness and natural products has been a good match for Dabur's Ayurvedic product line, providing excellent market opportunities (Statista, 2025; Euromonitor International, 2025). However, fluctuations in the exchange rate and inflation could impact production costs and profitability and financial planning is necessary. In general, Mexico has more political and economic benefits than risks and is a good fit for Dabur's long-term international growth strategy. </w:t>
      </w:r>
    </w:p>
    <w:tbl>
      <w:tblPr>
        <w:tblStyle w:val="TableGrid"/>
        <w:tblpPr w:leftFromText="180" w:rightFromText="180" w:vertAnchor="text" w:horzAnchor="margin" w:tblpY="518"/>
        <w:tblW w:w="0" w:type="auto"/>
        <w:tblLook w:val="04A0" w:firstRow="1" w:lastRow="0" w:firstColumn="1" w:lastColumn="0" w:noHBand="0" w:noVBand="1"/>
      </w:tblPr>
      <w:tblGrid>
        <w:gridCol w:w="2387"/>
        <w:gridCol w:w="2281"/>
        <w:gridCol w:w="2184"/>
        <w:gridCol w:w="2498"/>
      </w:tblGrid>
      <w:tr w:rsidR="00896679" w:rsidRPr="00896679" w14:paraId="0FDFF1CD" w14:textId="77777777" w:rsidTr="00F458B8">
        <w:tc>
          <w:tcPr>
            <w:tcW w:w="0" w:type="auto"/>
            <w:shd w:val="clear" w:color="auto" w:fill="70AD47" w:themeFill="accent6"/>
            <w:hideMark/>
          </w:tcPr>
          <w:p w14:paraId="4D340517" w14:textId="77777777" w:rsidR="00F458B8" w:rsidRPr="00896679" w:rsidRDefault="00F458B8" w:rsidP="00896679">
            <w:pPr>
              <w:spacing w:line="360" w:lineRule="auto"/>
              <w:jc w:val="both"/>
              <w:rPr>
                <w:rFonts w:ascii="Arial" w:hAnsi="Arial" w:cs="Arial"/>
              </w:rPr>
            </w:pPr>
            <w:r w:rsidRPr="00896679">
              <w:rPr>
                <w:rFonts w:ascii="Arial" w:hAnsi="Arial" w:cs="Arial"/>
              </w:rPr>
              <w:t>Political/Economic Factor</w:t>
            </w:r>
          </w:p>
        </w:tc>
        <w:tc>
          <w:tcPr>
            <w:tcW w:w="0" w:type="auto"/>
            <w:shd w:val="clear" w:color="auto" w:fill="70AD47" w:themeFill="accent6"/>
            <w:hideMark/>
          </w:tcPr>
          <w:p w14:paraId="5FB412ED" w14:textId="77777777" w:rsidR="00F458B8" w:rsidRPr="00896679" w:rsidRDefault="00F458B8" w:rsidP="00896679">
            <w:pPr>
              <w:spacing w:line="360" w:lineRule="auto"/>
              <w:jc w:val="both"/>
              <w:rPr>
                <w:rFonts w:ascii="Arial" w:hAnsi="Arial" w:cs="Arial"/>
              </w:rPr>
            </w:pPr>
            <w:r w:rsidRPr="00896679">
              <w:rPr>
                <w:rFonts w:ascii="Arial" w:hAnsi="Arial" w:cs="Arial"/>
              </w:rPr>
              <w:t>Opportunity</w:t>
            </w:r>
          </w:p>
        </w:tc>
        <w:tc>
          <w:tcPr>
            <w:tcW w:w="0" w:type="auto"/>
            <w:shd w:val="clear" w:color="auto" w:fill="70AD47" w:themeFill="accent6"/>
            <w:hideMark/>
          </w:tcPr>
          <w:p w14:paraId="1A470A8E" w14:textId="77777777" w:rsidR="00F458B8" w:rsidRPr="00896679" w:rsidRDefault="00F458B8" w:rsidP="00896679">
            <w:pPr>
              <w:spacing w:line="360" w:lineRule="auto"/>
              <w:jc w:val="both"/>
              <w:rPr>
                <w:rFonts w:ascii="Arial" w:hAnsi="Arial" w:cs="Arial"/>
              </w:rPr>
            </w:pPr>
            <w:r w:rsidRPr="00896679">
              <w:rPr>
                <w:rFonts w:ascii="Arial" w:hAnsi="Arial" w:cs="Arial"/>
              </w:rPr>
              <w:t>Risk</w:t>
            </w:r>
          </w:p>
        </w:tc>
        <w:tc>
          <w:tcPr>
            <w:tcW w:w="0" w:type="auto"/>
            <w:shd w:val="clear" w:color="auto" w:fill="70AD47" w:themeFill="accent6"/>
            <w:hideMark/>
          </w:tcPr>
          <w:p w14:paraId="326CB81D" w14:textId="77777777" w:rsidR="00F458B8" w:rsidRPr="00896679" w:rsidRDefault="00F458B8" w:rsidP="00896679">
            <w:pPr>
              <w:spacing w:line="360" w:lineRule="auto"/>
              <w:jc w:val="both"/>
              <w:rPr>
                <w:rFonts w:ascii="Arial" w:hAnsi="Arial" w:cs="Arial"/>
              </w:rPr>
            </w:pPr>
            <w:r w:rsidRPr="00896679">
              <w:rPr>
                <w:rFonts w:ascii="Arial" w:hAnsi="Arial" w:cs="Arial"/>
              </w:rPr>
              <w:t>Strategic Implication</w:t>
            </w:r>
          </w:p>
        </w:tc>
      </w:tr>
      <w:tr w:rsidR="00896679" w:rsidRPr="00896679" w14:paraId="419E5692" w14:textId="77777777" w:rsidTr="00F458B8">
        <w:tc>
          <w:tcPr>
            <w:tcW w:w="0" w:type="auto"/>
            <w:hideMark/>
          </w:tcPr>
          <w:p w14:paraId="1D4C00F8"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Political stability</w:t>
            </w:r>
          </w:p>
        </w:tc>
        <w:tc>
          <w:tcPr>
            <w:tcW w:w="0" w:type="auto"/>
            <w:hideMark/>
          </w:tcPr>
          <w:p w14:paraId="07CDE61D"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Predictable investment environment</w:t>
            </w:r>
          </w:p>
        </w:tc>
        <w:tc>
          <w:tcPr>
            <w:tcW w:w="0" w:type="auto"/>
            <w:hideMark/>
          </w:tcPr>
          <w:p w14:paraId="0101ACF9"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Policy changes</w:t>
            </w:r>
          </w:p>
        </w:tc>
        <w:tc>
          <w:tcPr>
            <w:tcW w:w="0" w:type="auto"/>
            <w:hideMark/>
          </w:tcPr>
          <w:p w14:paraId="3855760B"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Supports long-term investment planning</w:t>
            </w:r>
          </w:p>
        </w:tc>
      </w:tr>
      <w:tr w:rsidR="00896679" w:rsidRPr="00896679" w14:paraId="7CFDC38A" w14:textId="77777777" w:rsidTr="00F458B8">
        <w:tc>
          <w:tcPr>
            <w:tcW w:w="0" w:type="auto"/>
            <w:hideMark/>
          </w:tcPr>
          <w:p w14:paraId="726BE46B"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USMCA membership</w:t>
            </w:r>
          </w:p>
        </w:tc>
        <w:tc>
          <w:tcPr>
            <w:tcW w:w="0" w:type="auto"/>
            <w:hideMark/>
          </w:tcPr>
          <w:p w14:paraId="3026E4B8"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Access to North American markets</w:t>
            </w:r>
          </w:p>
        </w:tc>
        <w:tc>
          <w:tcPr>
            <w:tcW w:w="0" w:type="auto"/>
            <w:hideMark/>
          </w:tcPr>
          <w:p w14:paraId="5F212675"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Regulatory compliance requirements</w:t>
            </w:r>
          </w:p>
        </w:tc>
        <w:tc>
          <w:tcPr>
            <w:tcW w:w="0" w:type="auto"/>
            <w:hideMark/>
          </w:tcPr>
          <w:p w14:paraId="15CD3883"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Regional expansion opportunities</w:t>
            </w:r>
          </w:p>
        </w:tc>
      </w:tr>
      <w:tr w:rsidR="00896679" w:rsidRPr="00896679" w14:paraId="305071D3" w14:textId="77777777" w:rsidTr="00F458B8">
        <w:tc>
          <w:tcPr>
            <w:tcW w:w="0" w:type="auto"/>
            <w:hideMark/>
          </w:tcPr>
          <w:p w14:paraId="2E43900D"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Large consumer market</w:t>
            </w:r>
          </w:p>
        </w:tc>
        <w:tc>
          <w:tcPr>
            <w:tcW w:w="0" w:type="auto"/>
            <w:hideMark/>
          </w:tcPr>
          <w:p w14:paraId="70FA1391"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High demand for FMCG products</w:t>
            </w:r>
          </w:p>
        </w:tc>
        <w:tc>
          <w:tcPr>
            <w:tcW w:w="0" w:type="auto"/>
            <w:hideMark/>
          </w:tcPr>
          <w:p w14:paraId="44CDA181"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Intense competition</w:t>
            </w:r>
          </w:p>
        </w:tc>
        <w:tc>
          <w:tcPr>
            <w:tcW w:w="0" w:type="auto"/>
            <w:hideMark/>
          </w:tcPr>
          <w:p w14:paraId="1FB9A735"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Significant revenue growth potential</w:t>
            </w:r>
          </w:p>
        </w:tc>
      </w:tr>
      <w:tr w:rsidR="00896679" w:rsidRPr="00896679" w14:paraId="6C1E038E" w14:textId="77777777" w:rsidTr="00F458B8">
        <w:tc>
          <w:tcPr>
            <w:tcW w:w="0" w:type="auto"/>
            <w:hideMark/>
          </w:tcPr>
          <w:p w14:paraId="192B6FC4"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Rising disposable income</w:t>
            </w:r>
          </w:p>
        </w:tc>
        <w:tc>
          <w:tcPr>
            <w:tcW w:w="0" w:type="auto"/>
            <w:hideMark/>
          </w:tcPr>
          <w:p w14:paraId="326B69F3"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Increasing demand for premium products</w:t>
            </w:r>
          </w:p>
        </w:tc>
        <w:tc>
          <w:tcPr>
            <w:tcW w:w="0" w:type="auto"/>
            <w:hideMark/>
          </w:tcPr>
          <w:p w14:paraId="5DCC6E82"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Inflationary pressures</w:t>
            </w:r>
          </w:p>
        </w:tc>
        <w:tc>
          <w:tcPr>
            <w:tcW w:w="0" w:type="auto"/>
            <w:hideMark/>
          </w:tcPr>
          <w:p w14:paraId="06B86C43"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Opportunity for value-added product positioning</w:t>
            </w:r>
          </w:p>
        </w:tc>
      </w:tr>
      <w:tr w:rsidR="00896679" w:rsidRPr="00896679" w14:paraId="198DB155" w14:textId="77777777" w:rsidTr="00F458B8">
        <w:tc>
          <w:tcPr>
            <w:tcW w:w="0" w:type="auto"/>
            <w:hideMark/>
          </w:tcPr>
          <w:p w14:paraId="567B47C9"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Exchange rate fluctuations</w:t>
            </w:r>
          </w:p>
        </w:tc>
        <w:tc>
          <w:tcPr>
            <w:tcW w:w="0" w:type="auto"/>
            <w:hideMark/>
          </w:tcPr>
          <w:p w14:paraId="527DC4C2"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Competitive export potential</w:t>
            </w:r>
          </w:p>
        </w:tc>
        <w:tc>
          <w:tcPr>
            <w:tcW w:w="0" w:type="auto"/>
            <w:hideMark/>
          </w:tcPr>
          <w:p w14:paraId="3DF21F0B"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Currency risk</w:t>
            </w:r>
          </w:p>
        </w:tc>
        <w:tc>
          <w:tcPr>
            <w:tcW w:w="0" w:type="auto"/>
            <w:hideMark/>
          </w:tcPr>
          <w:p w14:paraId="0C9DB74D" w14:textId="77777777" w:rsidR="00F458B8" w:rsidRPr="00896679" w:rsidRDefault="00F458B8" w:rsidP="00896679">
            <w:pPr>
              <w:spacing w:line="360" w:lineRule="auto"/>
              <w:rPr>
                <w:rFonts w:ascii="Arial" w:hAnsi="Arial" w:cs="Arial"/>
                <w:sz w:val="22"/>
                <w:szCs w:val="22"/>
              </w:rPr>
            </w:pPr>
            <w:r w:rsidRPr="00896679">
              <w:rPr>
                <w:rFonts w:ascii="Arial" w:hAnsi="Arial" w:cs="Arial"/>
                <w:sz w:val="22"/>
                <w:szCs w:val="22"/>
              </w:rPr>
              <w:t>Requires effective financial risk management</w:t>
            </w:r>
          </w:p>
        </w:tc>
      </w:tr>
    </w:tbl>
    <w:p w14:paraId="7E11E561" w14:textId="0F99A550" w:rsidR="00F458B8" w:rsidRPr="00896679" w:rsidRDefault="00AD7F35" w:rsidP="00896679">
      <w:pPr>
        <w:spacing w:line="360" w:lineRule="auto"/>
        <w:jc w:val="both"/>
        <w:rPr>
          <w:rFonts w:ascii="Arial" w:hAnsi="Arial" w:cs="Arial"/>
          <w:b/>
          <w:bCs/>
          <w:sz w:val="22"/>
          <w:szCs w:val="22"/>
        </w:rPr>
      </w:pPr>
      <w:r w:rsidRPr="00896679">
        <w:rPr>
          <w:rFonts w:ascii="Arial" w:hAnsi="Arial" w:cs="Arial"/>
          <w:b/>
          <w:bCs/>
          <w:sz w:val="22"/>
          <w:szCs w:val="22"/>
        </w:rPr>
        <w:t>Table 3. Political and Economic Opportunities and Risks for Dabur India in Mexico</w:t>
      </w:r>
    </w:p>
    <w:p w14:paraId="5D1DB11C" w14:textId="119E3989" w:rsidR="00CC26EC" w:rsidRPr="00896679" w:rsidRDefault="00CC26EC" w:rsidP="00896679">
      <w:pPr>
        <w:spacing w:line="360" w:lineRule="auto"/>
        <w:jc w:val="center"/>
        <w:rPr>
          <w:rFonts w:ascii="Arial" w:hAnsi="Arial" w:cs="Arial"/>
          <w:b/>
          <w:bCs/>
          <w:sz w:val="22"/>
          <w:szCs w:val="22"/>
          <w:u w:val="single"/>
        </w:rPr>
      </w:pPr>
      <w:r w:rsidRPr="00896679">
        <w:rPr>
          <w:rFonts w:ascii="Arial" w:hAnsi="Arial" w:cs="Arial"/>
          <w:b/>
          <w:bCs/>
          <w:sz w:val="22"/>
          <w:szCs w:val="22"/>
          <w:u w:val="single"/>
        </w:rPr>
        <w:t>Source: Developed by the author using World Bank (2025), IMF (2025), OECD (2025) and Statista (2025).</w:t>
      </w:r>
    </w:p>
    <w:p w14:paraId="27A7AD16" w14:textId="1B62B9D3" w:rsidR="00CC26EC" w:rsidRPr="00896679" w:rsidRDefault="00C46CB9" w:rsidP="00896679">
      <w:pPr>
        <w:spacing w:line="360" w:lineRule="auto"/>
        <w:jc w:val="both"/>
        <w:rPr>
          <w:rFonts w:ascii="Arial" w:hAnsi="Arial" w:cs="Arial"/>
        </w:rPr>
      </w:pPr>
      <w:r w:rsidRPr="00896679">
        <w:rPr>
          <w:rFonts w:ascii="Arial" w:hAnsi="Arial" w:cs="Arial"/>
        </w:rPr>
        <w:lastRenderedPageBreak/>
        <w:t>Table 3 illustrates that Mexico has a favourable investment environment and that there are some macroeconomic uncertainties. Rapid expansion of the business market and international trade connectivity offer good growth opportunities, but inflationary pressures and currency volatility challenge wise financial planning.</w:t>
      </w:r>
    </w:p>
    <w:p w14:paraId="3E917117" w14:textId="6476311B" w:rsidR="00C46CB9" w:rsidRPr="00896679" w:rsidRDefault="00C46CB9" w:rsidP="00896679">
      <w:pPr>
        <w:pStyle w:val="Heading2"/>
      </w:pPr>
      <w:bookmarkStart w:id="12" w:name="_Toc234975921"/>
      <w:r w:rsidRPr="00896679">
        <w:t>3.3 Legal and Cultural Environment</w:t>
      </w:r>
      <w:bookmarkEnd w:id="12"/>
      <w:r w:rsidRPr="00896679">
        <w:t xml:space="preserve"> </w:t>
      </w:r>
    </w:p>
    <w:p w14:paraId="6CAC49AF" w14:textId="77777777" w:rsidR="00C46CB9" w:rsidRPr="00896679" w:rsidRDefault="00C46CB9" w:rsidP="00896679">
      <w:pPr>
        <w:spacing w:line="360" w:lineRule="auto"/>
        <w:jc w:val="both"/>
        <w:rPr>
          <w:rFonts w:ascii="Arial" w:hAnsi="Arial" w:cs="Arial"/>
        </w:rPr>
      </w:pPr>
      <w:r w:rsidRPr="00896679">
        <w:rPr>
          <w:rFonts w:ascii="Arial" w:hAnsi="Arial" w:cs="Arial"/>
        </w:rPr>
        <w:t>The legal and cultural environment significantly influences the success of international market entry because regulatory compliance and consumer acceptance directly affect business performance and competitiveness (Peng, 2022). For Dabur India Ltd., understanding Mexico's legal framework is essential due to its focus on Ayurvedic healthcare and natural consumer products. Although Mexico encourages foreign direct investment, companies must comply with strict regulations governing food safety, cosmetics, product labelling and health supplements administered by the Federal Commission for the Protection against Sanitary Risks (COFEPRIS) (OECD, 2025; COFEPRIS, 2025). While these regulations may increase compliance costs and delay market entry, they also enhance consumer confidence and protect product quality. Moreover, Mexico's participation in TRIPS and WIPO provides strong intellectual property protection, enabling Dabur to safeguard its brands and proprietary formulations (WTO, 2025).</w:t>
      </w:r>
    </w:p>
    <w:p w14:paraId="34637F15" w14:textId="4F89B62D" w:rsidR="00971673" w:rsidRPr="00896679" w:rsidRDefault="00971673" w:rsidP="00896679">
      <w:pPr>
        <w:spacing w:line="360" w:lineRule="auto"/>
        <w:jc w:val="both"/>
        <w:rPr>
          <w:rFonts w:ascii="Arial" w:hAnsi="Arial" w:cs="Arial"/>
        </w:rPr>
      </w:pPr>
      <w:r w:rsidRPr="00896679">
        <w:rPr>
          <w:rFonts w:ascii="Arial" w:hAnsi="Arial" w:cs="Arial"/>
          <w:noProof/>
        </w:rPr>
        <w:lastRenderedPageBreak/>
        <w:drawing>
          <wp:inline distT="0" distB="0" distL="0" distR="0" wp14:anchorId="28BB3AFB" wp14:editId="4C7C38E7">
            <wp:extent cx="6386830" cy="3394364"/>
            <wp:effectExtent l="0" t="0" r="0" b="0"/>
            <wp:docPr id="12147758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t="8706" b="18960"/>
                    <a:stretch>
                      <a:fillRect/>
                    </a:stretch>
                  </pic:blipFill>
                  <pic:spPr bwMode="auto">
                    <a:xfrm>
                      <a:off x="0" y="0"/>
                      <a:ext cx="6439245" cy="3422220"/>
                    </a:xfrm>
                    <a:prstGeom prst="rect">
                      <a:avLst/>
                    </a:prstGeom>
                    <a:noFill/>
                    <a:ln>
                      <a:noFill/>
                    </a:ln>
                    <a:extLst>
                      <a:ext uri="{53640926-AAD7-44D8-BBD7-CCE9431645EC}">
                        <a14:shadowObscured xmlns:a14="http://schemas.microsoft.com/office/drawing/2010/main"/>
                      </a:ext>
                    </a:extLst>
                  </pic:spPr>
                </pic:pic>
              </a:graphicData>
            </a:graphic>
          </wp:inline>
        </w:drawing>
      </w:r>
    </w:p>
    <w:p w14:paraId="28939F9C" w14:textId="77777777" w:rsidR="00C46CB9" w:rsidRPr="00896679" w:rsidRDefault="00C46CB9" w:rsidP="00896679">
      <w:pPr>
        <w:spacing w:line="360" w:lineRule="auto"/>
        <w:jc w:val="center"/>
        <w:rPr>
          <w:rFonts w:ascii="Arial" w:hAnsi="Arial" w:cs="Arial"/>
          <w:b/>
          <w:bCs/>
          <w:sz w:val="22"/>
          <w:szCs w:val="22"/>
          <w:u w:val="single"/>
        </w:rPr>
      </w:pPr>
      <w:r w:rsidRPr="00896679">
        <w:rPr>
          <w:rFonts w:ascii="Arial" w:hAnsi="Arial" w:cs="Arial"/>
          <w:b/>
          <w:bCs/>
          <w:sz w:val="22"/>
          <w:szCs w:val="22"/>
          <w:u w:val="single"/>
        </w:rPr>
        <w:t>Figure 4. Hofstede Cultural Comparison: India and Mexico</w:t>
      </w:r>
      <w:r w:rsidRPr="00896679">
        <w:rPr>
          <w:rFonts w:ascii="Arial" w:hAnsi="Arial" w:cs="Arial"/>
          <w:b/>
          <w:bCs/>
          <w:sz w:val="22"/>
          <w:szCs w:val="22"/>
          <w:u w:val="single"/>
        </w:rPr>
        <w:br/>
        <w:t>Source: Adapted from Hofstede Insights (2025).</w:t>
      </w:r>
    </w:p>
    <w:p w14:paraId="0EAE3ECB" w14:textId="04A72F15" w:rsidR="000555E5" w:rsidRDefault="00C46CB9" w:rsidP="00896679">
      <w:pPr>
        <w:spacing w:line="360" w:lineRule="auto"/>
        <w:jc w:val="both"/>
        <w:rPr>
          <w:rFonts w:ascii="Arial" w:hAnsi="Arial" w:cs="Arial"/>
        </w:rPr>
      </w:pPr>
      <w:r w:rsidRPr="00896679">
        <w:rPr>
          <w:rFonts w:ascii="Arial" w:hAnsi="Arial" w:cs="Arial"/>
        </w:rPr>
        <w:t xml:space="preserve">As illustrated in Figure 4, India and Mexico share collectivist values and relatively </w:t>
      </w:r>
      <w:r w:rsidR="005A4F89" w:rsidRPr="00896679">
        <w:rPr>
          <w:rFonts w:ascii="Arial" w:hAnsi="Arial" w:cs="Arial"/>
        </w:rPr>
        <w:t>high-power</w:t>
      </w:r>
      <w:r w:rsidRPr="00896679">
        <w:rPr>
          <w:rFonts w:ascii="Arial" w:hAnsi="Arial" w:cs="Arial"/>
        </w:rPr>
        <w:t xml:space="preserve"> distance, suggesting that family influence and trust play an important role in consumer purchasing decisions (Hofstede Insights, 2025). These similarities create opportunities for Dabur to position its products around family wellbeing and natural healthcare. However, Mexico exhibits higher uncertainty avoidance, meaning consumers require greater assurance regarding product quality and effectiveness before adopting unfamiliar products. Consequently, Dabur should support its Ayurvedic products with scientific evidence, quality certifications and educational marketing campaigns to improve consumer trust (Kotler and Keller, 2022).</w:t>
      </w:r>
    </w:p>
    <w:p w14:paraId="162FFDE9" w14:textId="77777777" w:rsidR="00896679" w:rsidRDefault="00896679" w:rsidP="00896679">
      <w:pPr>
        <w:spacing w:line="360" w:lineRule="auto"/>
        <w:jc w:val="both"/>
        <w:rPr>
          <w:rFonts w:ascii="Arial" w:hAnsi="Arial" w:cs="Arial"/>
        </w:rPr>
      </w:pPr>
    </w:p>
    <w:p w14:paraId="2AE66F50" w14:textId="77777777" w:rsidR="00896679" w:rsidRDefault="00896679" w:rsidP="00896679">
      <w:pPr>
        <w:spacing w:line="360" w:lineRule="auto"/>
        <w:jc w:val="both"/>
        <w:rPr>
          <w:rFonts w:ascii="Arial" w:hAnsi="Arial" w:cs="Arial"/>
        </w:rPr>
      </w:pPr>
    </w:p>
    <w:p w14:paraId="40163467" w14:textId="77777777" w:rsidR="00896679" w:rsidRDefault="00896679" w:rsidP="00896679">
      <w:pPr>
        <w:spacing w:line="360" w:lineRule="auto"/>
        <w:jc w:val="both"/>
        <w:rPr>
          <w:rFonts w:ascii="Arial" w:hAnsi="Arial" w:cs="Arial"/>
        </w:rPr>
      </w:pPr>
    </w:p>
    <w:p w14:paraId="2B67733C" w14:textId="77777777" w:rsidR="00896679" w:rsidRPr="00896679" w:rsidRDefault="00896679" w:rsidP="00896679">
      <w:pPr>
        <w:spacing w:line="360" w:lineRule="auto"/>
        <w:jc w:val="both"/>
        <w:rPr>
          <w:rFonts w:ascii="Arial" w:hAnsi="Arial" w:cs="Arial"/>
        </w:rPr>
      </w:pPr>
    </w:p>
    <w:tbl>
      <w:tblPr>
        <w:tblStyle w:val="TableGrid"/>
        <w:tblpPr w:leftFromText="180" w:rightFromText="180" w:vertAnchor="text" w:tblpY="469"/>
        <w:tblW w:w="0" w:type="auto"/>
        <w:tblLook w:val="04A0" w:firstRow="1" w:lastRow="0" w:firstColumn="1" w:lastColumn="0" w:noHBand="0" w:noVBand="1"/>
      </w:tblPr>
      <w:tblGrid>
        <w:gridCol w:w="2008"/>
        <w:gridCol w:w="3385"/>
        <w:gridCol w:w="3957"/>
      </w:tblGrid>
      <w:tr w:rsidR="00896679" w:rsidRPr="00896679" w14:paraId="32DA1C6F" w14:textId="77777777" w:rsidTr="00971673">
        <w:tc>
          <w:tcPr>
            <w:tcW w:w="0" w:type="auto"/>
            <w:shd w:val="clear" w:color="auto" w:fill="70AD47" w:themeFill="accent6"/>
            <w:hideMark/>
          </w:tcPr>
          <w:p w14:paraId="1AF9A316" w14:textId="77777777" w:rsidR="00971673" w:rsidRPr="00896679" w:rsidRDefault="00971673" w:rsidP="00896679">
            <w:pPr>
              <w:spacing w:line="360" w:lineRule="auto"/>
              <w:jc w:val="both"/>
              <w:rPr>
                <w:rFonts w:ascii="Arial" w:hAnsi="Arial" w:cs="Arial"/>
              </w:rPr>
            </w:pPr>
            <w:r w:rsidRPr="00896679">
              <w:rPr>
                <w:rFonts w:ascii="Arial" w:hAnsi="Arial" w:cs="Arial"/>
              </w:rPr>
              <w:lastRenderedPageBreak/>
              <w:t>Factor</w:t>
            </w:r>
          </w:p>
        </w:tc>
        <w:tc>
          <w:tcPr>
            <w:tcW w:w="0" w:type="auto"/>
            <w:shd w:val="clear" w:color="auto" w:fill="70AD47" w:themeFill="accent6"/>
            <w:hideMark/>
          </w:tcPr>
          <w:p w14:paraId="75F239C3" w14:textId="77777777" w:rsidR="00971673" w:rsidRPr="00896679" w:rsidRDefault="00971673" w:rsidP="00896679">
            <w:pPr>
              <w:spacing w:line="360" w:lineRule="auto"/>
              <w:jc w:val="both"/>
              <w:rPr>
                <w:rFonts w:ascii="Arial" w:hAnsi="Arial" w:cs="Arial"/>
              </w:rPr>
            </w:pPr>
            <w:r w:rsidRPr="00896679">
              <w:rPr>
                <w:rFonts w:ascii="Arial" w:hAnsi="Arial" w:cs="Arial"/>
              </w:rPr>
              <w:t>Key Issue</w:t>
            </w:r>
          </w:p>
        </w:tc>
        <w:tc>
          <w:tcPr>
            <w:tcW w:w="0" w:type="auto"/>
            <w:shd w:val="clear" w:color="auto" w:fill="70AD47" w:themeFill="accent6"/>
            <w:hideMark/>
          </w:tcPr>
          <w:p w14:paraId="689EE593" w14:textId="77777777" w:rsidR="00971673" w:rsidRPr="00896679" w:rsidRDefault="00971673" w:rsidP="00896679">
            <w:pPr>
              <w:spacing w:line="360" w:lineRule="auto"/>
              <w:jc w:val="both"/>
              <w:rPr>
                <w:rFonts w:ascii="Arial" w:hAnsi="Arial" w:cs="Arial"/>
              </w:rPr>
            </w:pPr>
            <w:r w:rsidRPr="00896679">
              <w:rPr>
                <w:rFonts w:ascii="Arial" w:hAnsi="Arial" w:cs="Arial"/>
              </w:rPr>
              <w:t>Strategic Implication</w:t>
            </w:r>
          </w:p>
        </w:tc>
      </w:tr>
      <w:tr w:rsidR="00896679" w:rsidRPr="00896679" w14:paraId="1DE96F5F" w14:textId="77777777" w:rsidTr="00971673">
        <w:tc>
          <w:tcPr>
            <w:tcW w:w="0" w:type="auto"/>
            <w:hideMark/>
          </w:tcPr>
          <w:p w14:paraId="7481949B" w14:textId="77777777" w:rsidR="00971673" w:rsidRPr="00896679" w:rsidRDefault="00971673" w:rsidP="00896679">
            <w:pPr>
              <w:spacing w:line="360" w:lineRule="auto"/>
              <w:jc w:val="both"/>
              <w:rPr>
                <w:rFonts w:ascii="Arial" w:hAnsi="Arial" w:cs="Arial"/>
              </w:rPr>
            </w:pPr>
            <w:r w:rsidRPr="00896679">
              <w:rPr>
                <w:rFonts w:ascii="Arial" w:hAnsi="Arial" w:cs="Arial"/>
              </w:rPr>
              <w:t>Product regulations</w:t>
            </w:r>
          </w:p>
        </w:tc>
        <w:tc>
          <w:tcPr>
            <w:tcW w:w="0" w:type="auto"/>
            <w:hideMark/>
          </w:tcPr>
          <w:p w14:paraId="2A2EE6AF" w14:textId="77777777" w:rsidR="00971673" w:rsidRPr="00896679" w:rsidRDefault="00971673" w:rsidP="00896679">
            <w:pPr>
              <w:spacing w:line="360" w:lineRule="auto"/>
              <w:jc w:val="both"/>
              <w:rPr>
                <w:rFonts w:ascii="Arial" w:hAnsi="Arial" w:cs="Arial"/>
              </w:rPr>
            </w:pPr>
            <w:r w:rsidRPr="00896679">
              <w:rPr>
                <w:rFonts w:ascii="Arial" w:hAnsi="Arial" w:cs="Arial"/>
              </w:rPr>
              <w:t>Strict approval and labelling requirements</w:t>
            </w:r>
          </w:p>
        </w:tc>
        <w:tc>
          <w:tcPr>
            <w:tcW w:w="0" w:type="auto"/>
            <w:hideMark/>
          </w:tcPr>
          <w:p w14:paraId="6454A276" w14:textId="77777777" w:rsidR="00971673" w:rsidRPr="00896679" w:rsidRDefault="00971673" w:rsidP="00896679">
            <w:pPr>
              <w:spacing w:line="360" w:lineRule="auto"/>
              <w:jc w:val="both"/>
              <w:rPr>
                <w:rFonts w:ascii="Arial" w:hAnsi="Arial" w:cs="Arial"/>
              </w:rPr>
            </w:pPr>
            <w:r w:rsidRPr="00896679">
              <w:rPr>
                <w:rFonts w:ascii="Arial" w:hAnsi="Arial" w:cs="Arial"/>
              </w:rPr>
              <w:t>Ensure early regulatory compliance</w:t>
            </w:r>
          </w:p>
        </w:tc>
      </w:tr>
      <w:tr w:rsidR="00896679" w:rsidRPr="00896679" w14:paraId="7BE2E4D3" w14:textId="77777777" w:rsidTr="00971673">
        <w:tc>
          <w:tcPr>
            <w:tcW w:w="0" w:type="auto"/>
            <w:hideMark/>
          </w:tcPr>
          <w:p w14:paraId="1F625592" w14:textId="77777777" w:rsidR="00971673" w:rsidRPr="00896679" w:rsidRDefault="00971673" w:rsidP="00896679">
            <w:pPr>
              <w:spacing w:line="360" w:lineRule="auto"/>
              <w:jc w:val="both"/>
              <w:rPr>
                <w:rFonts w:ascii="Arial" w:hAnsi="Arial" w:cs="Arial"/>
              </w:rPr>
            </w:pPr>
            <w:r w:rsidRPr="00896679">
              <w:rPr>
                <w:rFonts w:ascii="Arial" w:hAnsi="Arial" w:cs="Arial"/>
              </w:rPr>
              <w:t>Intellectual property</w:t>
            </w:r>
          </w:p>
        </w:tc>
        <w:tc>
          <w:tcPr>
            <w:tcW w:w="0" w:type="auto"/>
            <w:hideMark/>
          </w:tcPr>
          <w:p w14:paraId="1A799583" w14:textId="77777777" w:rsidR="00971673" w:rsidRPr="00896679" w:rsidRDefault="00971673" w:rsidP="00896679">
            <w:pPr>
              <w:spacing w:line="360" w:lineRule="auto"/>
              <w:jc w:val="both"/>
              <w:rPr>
                <w:rFonts w:ascii="Arial" w:hAnsi="Arial" w:cs="Arial"/>
              </w:rPr>
            </w:pPr>
            <w:r w:rsidRPr="00896679">
              <w:rPr>
                <w:rFonts w:ascii="Arial" w:hAnsi="Arial" w:cs="Arial"/>
              </w:rPr>
              <w:t>Strong legal protection</w:t>
            </w:r>
          </w:p>
        </w:tc>
        <w:tc>
          <w:tcPr>
            <w:tcW w:w="0" w:type="auto"/>
            <w:hideMark/>
          </w:tcPr>
          <w:p w14:paraId="45698367" w14:textId="77777777" w:rsidR="00971673" w:rsidRPr="00896679" w:rsidRDefault="00971673" w:rsidP="00896679">
            <w:pPr>
              <w:spacing w:line="360" w:lineRule="auto"/>
              <w:jc w:val="both"/>
              <w:rPr>
                <w:rFonts w:ascii="Arial" w:hAnsi="Arial" w:cs="Arial"/>
              </w:rPr>
            </w:pPr>
            <w:r w:rsidRPr="00896679">
              <w:rPr>
                <w:rFonts w:ascii="Arial" w:hAnsi="Arial" w:cs="Arial"/>
              </w:rPr>
              <w:t>Register trademarks and protect formulations</w:t>
            </w:r>
          </w:p>
        </w:tc>
      </w:tr>
      <w:tr w:rsidR="00896679" w:rsidRPr="00896679" w14:paraId="68A1AE21" w14:textId="77777777" w:rsidTr="00971673">
        <w:tc>
          <w:tcPr>
            <w:tcW w:w="0" w:type="auto"/>
            <w:hideMark/>
          </w:tcPr>
          <w:p w14:paraId="4A716DC2" w14:textId="77777777" w:rsidR="00971673" w:rsidRPr="00896679" w:rsidRDefault="00971673" w:rsidP="00896679">
            <w:pPr>
              <w:spacing w:line="360" w:lineRule="auto"/>
              <w:jc w:val="both"/>
              <w:rPr>
                <w:rFonts w:ascii="Arial" w:hAnsi="Arial" w:cs="Arial"/>
              </w:rPr>
            </w:pPr>
            <w:r w:rsidRPr="00896679">
              <w:rPr>
                <w:rFonts w:ascii="Arial" w:hAnsi="Arial" w:cs="Arial"/>
              </w:rPr>
              <w:t>Cultural values</w:t>
            </w:r>
          </w:p>
        </w:tc>
        <w:tc>
          <w:tcPr>
            <w:tcW w:w="0" w:type="auto"/>
            <w:hideMark/>
          </w:tcPr>
          <w:p w14:paraId="7C8C9619" w14:textId="77777777" w:rsidR="00971673" w:rsidRPr="00896679" w:rsidRDefault="00971673" w:rsidP="00896679">
            <w:pPr>
              <w:spacing w:line="360" w:lineRule="auto"/>
              <w:jc w:val="both"/>
              <w:rPr>
                <w:rFonts w:ascii="Arial" w:hAnsi="Arial" w:cs="Arial"/>
              </w:rPr>
            </w:pPr>
            <w:r w:rsidRPr="00896679">
              <w:rPr>
                <w:rFonts w:ascii="Arial" w:hAnsi="Arial" w:cs="Arial"/>
              </w:rPr>
              <w:t>Family-oriented society</w:t>
            </w:r>
          </w:p>
        </w:tc>
        <w:tc>
          <w:tcPr>
            <w:tcW w:w="0" w:type="auto"/>
            <w:hideMark/>
          </w:tcPr>
          <w:p w14:paraId="38672921" w14:textId="77777777" w:rsidR="00971673" w:rsidRPr="00896679" w:rsidRDefault="00971673" w:rsidP="00896679">
            <w:pPr>
              <w:spacing w:line="360" w:lineRule="auto"/>
              <w:jc w:val="both"/>
              <w:rPr>
                <w:rFonts w:ascii="Arial" w:hAnsi="Arial" w:cs="Arial"/>
              </w:rPr>
            </w:pPr>
            <w:r w:rsidRPr="00896679">
              <w:rPr>
                <w:rFonts w:ascii="Arial" w:hAnsi="Arial" w:cs="Arial"/>
              </w:rPr>
              <w:t>Position products around family health</w:t>
            </w:r>
          </w:p>
        </w:tc>
      </w:tr>
      <w:tr w:rsidR="00896679" w:rsidRPr="00896679" w14:paraId="105CAE7F" w14:textId="77777777" w:rsidTr="00971673">
        <w:tc>
          <w:tcPr>
            <w:tcW w:w="0" w:type="auto"/>
            <w:hideMark/>
          </w:tcPr>
          <w:p w14:paraId="1DA20B58" w14:textId="77777777" w:rsidR="00971673" w:rsidRPr="00896679" w:rsidRDefault="00971673" w:rsidP="00896679">
            <w:pPr>
              <w:spacing w:line="360" w:lineRule="auto"/>
              <w:jc w:val="both"/>
              <w:rPr>
                <w:rFonts w:ascii="Arial" w:hAnsi="Arial" w:cs="Arial"/>
              </w:rPr>
            </w:pPr>
            <w:r w:rsidRPr="00896679">
              <w:rPr>
                <w:rFonts w:ascii="Arial" w:hAnsi="Arial" w:cs="Arial"/>
              </w:rPr>
              <w:t>Consumer behaviour</w:t>
            </w:r>
          </w:p>
        </w:tc>
        <w:tc>
          <w:tcPr>
            <w:tcW w:w="0" w:type="auto"/>
            <w:hideMark/>
          </w:tcPr>
          <w:p w14:paraId="6C9A0343" w14:textId="77777777" w:rsidR="00971673" w:rsidRPr="00896679" w:rsidRDefault="00971673" w:rsidP="00896679">
            <w:pPr>
              <w:spacing w:line="360" w:lineRule="auto"/>
              <w:jc w:val="both"/>
              <w:rPr>
                <w:rFonts w:ascii="Arial" w:hAnsi="Arial" w:cs="Arial"/>
              </w:rPr>
            </w:pPr>
            <w:r w:rsidRPr="00896679">
              <w:rPr>
                <w:rFonts w:ascii="Arial" w:hAnsi="Arial" w:cs="Arial"/>
              </w:rPr>
              <w:t>High uncertainty avoidance</w:t>
            </w:r>
          </w:p>
        </w:tc>
        <w:tc>
          <w:tcPr>
            <w:tcW w:w="0" w:type="auto"/>
            <w:hideMark/>
          </w:tcPr>
          <w:p w14:paraId="6B7C0870" w14:textId="77777777" w:rsidR="00971673" w:rsidRPr="00896679" w:rsidRDefault="00971673" w:rsidP="00896679">
            <w:pPr>
              <w:spacing w:line="360" w:lineRule="auto"/>
              <w:jc w:val="both"/>
              <w:rPr>
                <w:rFonts w:ascii="Arial" w:hAnsi="Arial" w:cs="Arial"/>
              </w:rPr>
            </w:pPr>
            <w:r w:rsidRPr="00896679">
              <w:rPr>
                <w:rFonts w:ascii="Arial" w:hAnsi="Arial" w:cs="Arial"/>
              </w:rPr>
              <w:t>Build trust through education and quality assurance</w:t>
            </w:r>
          </w:p>
        </w:tc>
      </w:tr>
    </w:tbl>
    <w:p w14:paraId="4CBE0F79" w14:textId="42856742" w:rsidR="00C46CB9" w:rsidRPr="00896679" w:rsidRDefault="00C46CB9" w:rsidP="00896679">
      <w:pPr>
        <w:spacing w:line="360" w:lineRule="auto"/>
        <w:jc w:val="both"/>
        <w:rPr>
          <w:rFonts w:ascii="Arial" w:hAnsi="Arial" w:cs="Arial"/>
          <w:b/>
          <w:bCs/>
          <w:sz w:val="22"/>
          <w:szCs w:val="22"/>
        </w:rPr>
      </w:pPr>
      <w:r w:rsidRPr="00896679">
        <w:rPr>
          <w:rFonts w:ascii="Arial" w:hAnsi="Arial" w:cs="Arial"/>
          <w:b/>
          <w:bCs/>
          <w:sz w:val="22"/>
          <w:szCs w:val="22"/>
        </w:rPr>
        <w:t>Table 4. Legal and Cultural Implications for Dabur India's Expansion into Mexico</w:t>
      </w:r>
    </w:p>
    <w:p w14:paraId="6E32E652" w14:textId="77777777" w:rsidR="00971673" w:rsidRPr="00896679" w:rsidRDefault="00971673" w:rsidP="00896679">
      <w:pPr>
        <w:spacing w:line="360" w:lineRule="auto"/>
        <w:jc w:val="both"/>
        <w:rPr>
          <w:rFonts w:ascii="Arial" w:hAnsi="Arial" w:cs="Arial"/>
          <w:b/>
          <w:bCs/>
          <w:sz w:val="22"/>
          <w:szCs w:val="22"/>
          <w:u w:val="single"/>
        </w:rPr>
      </w:pPr>
      <w:r w:rsidRPr="00896679">
        <w:rPr>
          <w:rFonts w:ascii="Arial" w:hAnsi="Arial" w:cs="Arial"/>
          <w:b/>
          <w:bCs/>
          <w:sz w:val="22"/>
          <w:szCs w:val="22"/>
          <w:u w:val="single"/>
        </w:rPr>
        <w:t>Source: Developed by the author using OECD (2025), WTO (2025), COFEPRIS (2025) and Hofstede Insights (2025).</w:t>
      </w:r>
    </w:p>
    <w:p w14:paraId="0ACC265E" w14:textId="16AEA538" w:rsidR="00C46CB9" w:rsidRPr="00896679" w:rsidRDefault="00C46CB9" w:rsidP="00896679">
      <w:pPr>
        <w:spacing w:line="360" w:lineRule="auto"/>
        <w:jc w:val="both"/>
        <w:rPr>
          <w:rFonts w:ascii="Arial" w:hAnsi="Arial" w:cs="Arial"/>
        </w:rPr>
      </w:pPr>
      <w:r w:rsidRPr="00896679">
        <w:rPr>
          <w:rFonts w:ascii="Arial" w:hAnsi="Arial" w:cs="Arial"/>
        </w:rPr>
        <w:t>Overall, Mexico's legal framework provides a stable environment for foreign investment, while its cultural characteristics present both opportunities and challenges. Therefore, successful expansion will depend on Dabur's ability to comply with regulations, localise its marketing strategy and build consumer confidence, thereby creating a sustainable competitive advantage in the Mexican FMCG market.</w:t>
      </w:r>
    </w:p>
    <w:p w14:paraId="64DDD93B" w14:textId="77777777" w:rsidR="00971673" w:rsidRPr="00896679" w:rsidRDefault="00971673" w:rsidP="00896679">
      <w:pPr>
        <w:spacing w:line="360" w:lineRule="auto"/>
        <w:jc w:val="both"/>
        <w:rPr>
          <w:rFonts w:ascii="Arial" w:hAnsi="Arial" w:cs="Arial"/>
        </w:rPr>
      </w:pPr>
    </w:p>
    <w:p w14:paraId="10DBCC7A" w14:textId="77777777" w:rsidR="00971673" w:rsidRPr="00896679" w:rsidRDefault="00971673" w:rsidP="00896679">
      <w:pPr>
        <w:spacing w:line="360" w:lineRule="auto"/>
        <w:jc w:val="both"/>
        <w:rPr>
          <w:rFonts w:ascii="Arial" w:hAnsi="Arial" w:cs="Arial"/>
        </w:rPr>
      </w:pPr>
    </w:p>
    <w:p w14:paraId="484D5735" w14:textId="77777777" w:rsidR="00971673" w:rsidRPr="00896679" w:rsidRDefault="00971673" w:rsidP="00896679">
      <w:pPr>
        <w:spacing w:line="360" w:lineRule="auto"/>
        <w:jc w:val="both"/>
        <w:rPr>
          <w:rFonts w:ascii="Arial" w:hAnsi="Arial" w:cs="Arial"/>
        </w:rPr>
      </w:pPr>
    </w:p>
    <w:p w14:paraId="4F60F0A1" w14:textId="77777777" w:rsidR="00971673" w:rsidRPr="00896679" w:rsidRDefault="00971673" w:rsidP="00896679">
      <w:pPr>
        <w:spacing w:line="360" w:lineRule="auto"/>
        <w:jc w:val="both"/>
        <w:rPr>
          <w:rFonts w:ascii="Arial" w:hAnsi="Arial" w:cs="Arial"/>
        </w:rPr>
      </w:pPr>
    </w:p>
    <w:p w14:paraId="6C0FC63C" w14:textId="77777777" w:rsidR="00971673" w:rsidRPr="00896679" w:rsidRDefault="00971673" w:rsidP="00896679">
      <w:pPr>
        <w:spacing w:line="360" w:lineRule="auto"/>
        <w:jc w:val="both"/>
        <w:rPr>
          <w:rFonts w:ascii="Arial" w:hAnsi="Arial" w:cs="Arial"/>
        </w:rPr>
      </w:pPr>
    </w:p>
    <w:p w14:paraId="6846C7AF" w14:textId="77777777" w:rsidR="00971673" w:rsidRPr="00896679" w:rsidRDefault="00971673" w:rsidP="00896679">
      <w:pPr>
        <w:spacing w:line="360" w:lineRule="auto"/>
        <w:jc w:val="both"/>
        <w:rPr>
          <w:rFonts w:ascii="Arial" w:hAnsi="Arial" w:cs="Arial"/>
        </w:rPr>
      </w:pPr>
    </w:p>
    <w:p w14:paraId="604FE6A6" w14:textId="77777777" w:rsidR="00971673" w:rsidRPr="00896679" w:rsidRDefault="00971673" w:rsidP="00896679">
      <w:pPr>
        <w:spacing w:line="360" w:lineRule="auto"/>
        <w:jc w:val="both"/>
        <w:rPr>
          <w:rFonts w:ascii="Arial" w:hAnsi="Arial" w:cs="Arial"/>
        </w:rPr>
      </w:pPr>
    </w:p>
    <w:p w14:paraId="4B591229" w14:textId="77777777" w:rsidR="00971673" w:rsidRPr="00896679" w:rsidRDefault="00971673" w:rsidP="00896679">
      <w:pPr>
        <w:spacing w:line="360" w:lineRule="auto"/>
        <w:jc w:val="both"/>
        <w:rPr>
          <w:rFonts w:ascii="Arial" w:hAnsi="Arial" w:cs="Arial"/>
        </w:rPr>
      </w:pPr>
    </w:p>
    <w:p w14:paraId="1A0DFC37" w14:textId="77777777" w:rsidR="00971673" w:rsidRPr="00896679" w:rsidRDefault="00971673" w:rsidP="00896679">
      <w:pPr>
        <w:spacing w:line="360" w:lineRule="auto"/>
        <w:jc w:val="both"/>
        <w:rPr>
          <w:rFonts w:ascii="Arial" w:hAnsi="Arial" w:cs="Arial"/>
        </w:rPr>
      </w:pPr>
    </w:p>
    <w:p w14:paraId="6C9B18E0" w14:textId="77777777" w:rsidR="00896679" w:rsidRDefault="00896679" w:rsidP="00896679">
      <w:pPr>
        <w:spacing w:line="360" w:lineRule="auto"/>
        <w:jc w:val="both"/>
        <w:rPr>
          <w:rFonts w:ascii="Arial" w:hAnsi="Arial" w:cs="Arial"/>
        </w:rPr>
      </w:pPr>
    </w:p>
    <w:p w14:paraId="65EAA3F7" w14:textId="3ABC8084" w:rsidR="00AD7F35" w:rsidRPr="00896679" w:rsidRDefault="00AD7F35" w:rsidP="00896679">
      <w:pPr>
        <w:pStyle w:val="Heading2"/>
      </w:pPr>
      <w:bookmarkStart w:id="13" w:name="_Toc234975922"/>
      <w:r w:rsidRPr="00896679">
        <w:lastRenderedPageBreak/>
        <w:t>3.4 Overall Market Attractiveness</w:t>
      </w:r>
      <w:bookmarkEnd w:id="13"/>
    </w:p>
    <w:p w14:paraId="55016B28" w14:textId="77777777" w:rsidR="00F5305A" w:rsidRPr="00896679" w:rsidRDefault="00F5305A" w:rsidP="00896679">
      <w:pPr>
        <w:spacing w:line="360" w:lineRule="auto"/>
        <w:jc w:val="both"/>
        <w:rPr>
          <w:rFonts w:ascii="Arial" w:hAnsi="Arial" w:cs="Arial"/>
        </w:rPr>
      </w:pPr>
      <w:r w:rsidRPr="00896679">
        <w:rPr>
          <w:rFonts w:ascii="Arial" w:hAnsi="Arial" w:cs="Arial"/>
        </w:rPr>
        <w:t xml:space="preserve">Factors related to legal and cultural environments are crucial for the success of international market entry, and regulatory compliance and consumer acceptance will impact business performance and competitiveness (Peng, 2022). With a core business in Ayurvedic health care and natural consumer products, comprehending the legal landscape in Mexico becomes paramount for Dabur India Ltd. Though Mexico is open to foreign direct investment, the investments will be subject to strict regulations in the areas of food safety, cosmetics, product labelling, and health supplements overseen by the Federal Commission for the Protection Against Sanitary Risks (COFEPRIS) (OECD, 2025; COFEPRIS, 2025). These regulations can make it more expensive for companies to achieve compliance and can slow market entry but also boost consumer trust and product standards. Furthermore, Mexico's membership in TRIPS and WIPO ensures robust IP protection, empowering Dabur to protect its brands and proprietary formulas (WTO, 2025). </w:t>
      </w:r>
    </w:p>
    <w:p w14:paraId="640AFD6E" w14:textId="67131E66" w:rsidR="00971673" w:rsidRPr="00896679" w:rsidRDefault="00971673" w:rsidP="00896679">
      <w:pPr>
        <w:spacing w:line="360" w:lineRule="auto"/>
        <w:jc w:val="both"/>
        <w:rPr>
          <w:rFonts w:ascii="Arial" w:hAnsi="Arial" w:cs="Arial"/>
        </w:rPr>
      </w:pPr>
      <w:r w:rsidRPr="00896679">
        <w:rPr>
          <w:rFonts w:ascii="Arial" w:hAnsi="Arial" w:cs="Arial"/>
          <w:noProof/>
        </w:rPr>
        <w:drawing>
          <wp:inline distT="0" distB="0" distL="0" distR="0" wp14:anchorId="38FB9A39" wp14:editId="00666448">
            <wp:extent cx="6150570" cy="3517900"/>
            <wp:effectExtent l="0" t="0" r="3175" b="6350"/>
            <wp:docPr id="17057685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7895" b="6628"/>
                    <a:stretch>
                      <a:fillRect/>
                    </a:stretch>
                  </pic:blipFill>
                  <pic:spPr bwMode="auto">
                    <a:xfrm>
                      <a:off x="0" y="0"/>
                      <a:ext cx="6192430" cy="3541842"/>
                    </a:xfrm>
                    <a:prstGeom prst="rect">
                      <a:avLst/>
                    </a:prstGeom>
                    <a:noFill/>
                    <a:ln>
                      <a:noFill/>
                    </a:ln>
                    <a:extLst>
                      <a:ext uri="{53640926-AAD7-44D8-BBD7-CCE9431645EC}">
                        <a14:shadowObscured xmlns:a14="http://schemas.microsoft.com/office/drawing/2010/main"/>
                      </a:ext>
                    </a:extLst>
                  </pic:spPr>
                </pic:pic>
              </a:graphicData>
            </a:graphic>
          </wp:inline>
        </w:drawing>
      </w:r>
    </w:p>
    <w:p w14:paraId="7D577BE2" w14:textId="5F5B84C5" w:rsidR="00C46CB9" w:rsidRPr="00896679" w:rsidRDefault="00C46CB9" w:rsidP="00896679">
      <w:pPr>
        <w:spacing w:line="360" w:lineRule="auto"/>
        <w:jc w:val="center"/>
        <w:rPr>
          <w:rFonts w:ascii="Arial" w:hAnsi="Arial" w:cs="Arial"/>
          <w:b/>
          <w:bCs/>
          <w:sz w:val="22"/>
          <w:szCs w:val="22"/>
          <w:u w:val="single"/>
        </w:rPr>
      </w:pPr>
      <w:r w:rsidRPr="00896679">
        <w:rPr>
          <w:rFonts w:ascii="Arial" w:hAnsi="Arial" w:cs="Arial"/>
          <w:b/>
          <w:bCs/>
          <w:sz w:val="22"/>
          <w:szCs w:val="22"/>
          <w:u w:val="single"/>
        </w:rPr>
        <w:t>Figure 5. Market Attractiveness Matrix for Mexico</w:t>
      </w:r>
      <w:r w:rsidRPr="00896679">
        <w:rPr>
          <w:rFonts w:ascii="Arial" w:hAnsi="Arial" w:cs="Arial"/>
          <w:b/>
          <w:bCs/>
          <w:sz w:val="22"/>
          <w:szCs w:val="22"/>
          <w:u w:val="single"/>
        </w:rPr>
        <w:br/>
        <w:t>Source: Developed by the author using findings from the political, economic, legal and cultural analyses.</w:t>
      </w:r>
    </w:p>
    <w:p w14:paraId="20388DFB" w14:textId="023C3C85" w:rsidR="00C46CB9" w:rsidRPr="00896679" w:rsidRDefault="00C46CB9" w:rsidP="00896679">
      <w:pPr>
        <w:spacing w:line="360" w:lineRule="auto"/>
        <w:jc w:val="both"/>
        <w:rPr>
          <w:rFonts w:ascii="Arial" w:hAnsi="Arial" w:cs="Arial"/>
        </w:rPr>
      </w:pPr>
    </w:p>
    <w:p w14:paraId="28337EB6" w14:textId="62BD72F1" w:rsidR="00F5305A" w:rsidRPr="00896679" w:rsidRDefault="00F5305A" w:rsidP="00896679">
      <w:pPr>
        <w:spacing w:line="360" w:lineRule="auto"/>
        <w:jc w:val="both"/>
        <w:rPr>
          <w:rFonts w:ascii="Arial" w:hAnsi="Arial" w:cs="Arial"/>
        </w:rPr>
      </w:pPr>
      <w:r w:rsidRPr="00896679">
        <w:rPr>
          <w:rFonts w:ascii="Arial" w:hAnsi="Arial" w:cs="Arial"/>
        </w:rPr>
        <w:t>Based on the insights from the Hofstede Insights analysis (2025), Figure 4 shows that India and Mexico exhibit collectivist values and have relatively high-power distance, which implies that family influence and trust would be significant in consumer purchasing decisions. This is because of the similarities that open opportunities for Dabur to market their products under the tag of family wellbeing and natural healthcare. Yet, Mexico shows higher uncertainty avoidance: that is, consumers must be more confident about the quality and efficacy of products before they buy products they are unfamiliar with. Therefore, Dabur should have scientific proof of its Ayurvedic products, certifications and educational marketing to enhance consumer confidence (Kotler and Keller, 2022).</w:t>
      </w:r>
    </w:p>
    <w:p w14:paraId="48C76072" w14:textId="77777777" w:rsidR="000A3FC4" w:rsidRPr="00896679" w:rsidRDefault="000A3FC4" w:rsidP="00896679">
      <w:pPr>
        <w:spacing w:line="360" w:lineRule="auto"/>
        <w:jc w:val="both"/>
        <w:rPr>
          <w:rFonts w:ascii="Arial" w:hAnsi="Arial" w:cs="Arial"/>
        </w:rPr>
      </w:pPr>
    </w:p>
    <w:p w14:paraId="5D78DB2C" w14:textId="77777777" w:rsidR="000A3FC4" w:rsidRPr="00896679" w:rsidRDefault="000A3FC4" w:rsidP="00896679">
      <w:pPr>
        <w:spacing w:line="360" w:lineRule="auto"/>
        <w:jc w:val="both"/>
        <w:rPr>
          <w:rFonts w:ascii="Arial" w:hAnsi="Arial" w:cs="Arial"/>
        </w:rPr>
      </w:pPr>
    </w:p>
    <w:p w14:paraId="570B4B05" w14:textId="77777777" w:rsidR="000A3FC4" w:rsidRPr="00896679" w:rsidRDefault="000A3FC4" w:rsidP="00896679">
      <w:pPr>
        <w:spacing w:line="360" w:lineRule="auto"/>
        <w:jc w:val="both"/>
        <w:rPr>
          <w:rFonts w:ascii="Arial" w:hAnsi="Arial" w:cs="Arial"/>
        </w:rPr>
      </w:pPr>
    </w:p>
    <w:p w14:paraId="1A64FB80" w14:textId="77777777" w:rsidR="000A3FC4" w:rsidRPr="00896679" w:rsidRDefault="000A3FC4" w:rsidP="00896679">
      <w:pPr>
        <w:spacing w:line="360" w:lineRule="auto"/>
        <w:jc w:val="both"/>
        <w:rPr>
          <w:rFonts w:ascii="Arial" w:hAnsi="Arial" w:cs="Arial"/>
        </w:rPr>
      </w:pPr>
    </w:p>
    <w:p w14:paraId="4090ACC8" w14:textId="77777777" w:rsidR="000A3FC4" w:rsidRPr="00896679" w:rsidRDefault="000A3FC4" w:rsidP="00896679">
      <w:pPr>
        <w:spacing w:line="360" w:lineRule="auto"/>
        <w:jc w:val="both"/>
        <w:rPr>
          <w:rFonts w:ascii="Arial" w:hAnsi="Arial" w:cs="Arial"/>
        </w:rPr>
      </w:pPr>
    </w:p>
    <w:p w14:paraId="2795C505" w14:textId="77777777" w:rsidR="000A3FC4" w:rsidRPr="00896679" w:rsidRDefault="000A3FC4" w:rsidP="00896679">
      <w:pPr>
        <w:spacing w:line="360" w:lineRule="auto"/>
        <w:jc w:val="both"/>
        <w:rPr>
          <w:rFonts w:ascii="Arial" w:hAnsi="Arial" w:cs="Arial"/>
        </w:rPr>
      </w:pPr>
    </w:p>
    <w:p w14:paraId="13909AD4" w14:textId="77777777" w:rsidR="000A3FC4" w:rsidRPr="00896679" w:rsidRDefault="000A3FC4" w:rsidP="00896679">
      <w:pPr>
        <w:spacing w:line="360" w:lineRule="auto"/>
        <w:jc w:val="both"/>
        <w:rPr>
          <w:rFonts w:ascii="Arial" w:hAnsi="Arial" w:cs="Arial"/>
        </w:rPr>
      </w:pPr>
    </w:p>
    <w:p w14:paraId="1C4607ED" w14:textId="77777777" w:rsidR="000A3FC4" w:rsidRPr="00896679" w:rsidRDefault="000A3FC4" w:rsidP="00896679">
      <w:pPr>
        <w:spacing w:line="360" w:lineRule="auto"/>
        <w:jc w:val="both"/>
        <w:rPr>
          <w:rFonts w:ascii="Arial" w:hAnsi="Arial" w:cs="Arial"/>
        </w:rPr>
      </w:pPr>
    </w:p>
    <w:p w14:paraId="43FA076F" w14:textId="77777777" w:rsidR="000A3FC4" w:rsidRPr="00896679" w:rsidRDefault="000A3FC4" w:rsidP="00896679">
      <w:pPr>
        <w:spacing w:line="360" w:lineRule="auto"/>
        <w:jc w:val="both"/>
        <w:rPr>
          <w:rFonts w:ascii="Arial" w:hAnsi="Arial" w:cs="Arial"/>
        </w:rPr>
      </w:pPr>
    </w:p>
    <w:p w14:paraId="068312B9" w14:textId="77777777" w:rsidR="000A3FC4" w:rsidRPr="00896679" w:rsidRDefault="000A3FC4" w:rsidP="00896679">
      <w:pPr>
        <w:spacing w:line="360" w:lineRule="auto"/>
        <w:jc w:val="both"/>
        <w:rPr>
          <w:rFonts w:ascii="Arial" w:hAnsi="Arial" w:cs="Arial"/>
        </w:rPr>
      </w:pPr>
    </w:p>
    <w:p w14:paraId="4A3390AD" w14:textId="77777777" w:rsidR="000A3FC4" w:rsidRPr="00896679" w:rsidRDefault="000A3FC4" w:rsidP="00896679">
      <w:pPr>
        <w:spacing w:line="360" w:lineRule="auto"/>
        <w:jc w:val="both"/>
        <w:rPr>
          <w:rFonts w:ascii="Arial" w:hAnsi="Arial" w:cs="Arial"/>
        </w:rPr>
      </w:pPr>
    </w:p>
    <w:p w14:paraId="7B004B8A" w14:textId="77777777" w:rsidR="000A3FC4" w:rsidRPr="00896679" w:rsidRDefault="000A3FC4" w:rsidP="00896679">
      <w:pPr>
        <w:spacing w:line="360" w:lineRule="auto"/>
        <w:jc w:val="both"/>
        <w:rPr>
          <w:rFonts w:ascii="Arial" w:hAnsi="Arial" w:cs="Arial"/>
        </w:rPr>
      </w:pPr>
    </w:p>
    <w:p w14:paraId="36DD8151" w14:textId="77777777" w:rsidR="000A3FC4" w:rsidRPr="00896679" w:rsidRDefault="000A3FC4" w:rsidP="00896679">
      <w:pPr>
        <w:spacing w:line="360" w:lineRule="auto"/>
        <w:jc w:val="both"/>
        <w:rPr>
          <w:rFonts w:ascii="Arial" w:hAnsi="Arial" w:cs="Arial"/>
        </w:rPr>
      </w:pPr>
    </w:p>
    <w:p w14:paraId="01D22C0C" w14:textId="77777777" w:rsidR="000A3FC4" w:rsidRPr="00896679" w:rsidRDefault="000A3FC4" w:rsidP="00896679">
      <w:pPr>
        <w:spacing w:line="360" w:lineRule="auto"/>
        <w:jc w:val="both"/>
        <w:rPr>
          <w:rFonts w:ascii="Arial" w:hAnsi="Arial" w:cs="Arial"/>
        </w:rPr>
      </w:pPr>
    </w:p>
    <w:p w14:paraId="51CB911B" w14:textId="0881126D" w:rsidR="00CC7C56" w:rsidRPr="00896679" w:rsidRDefault="00CC7C56" w:rsidP="00896679">
      <w:pPr>
        <w:pStyle w:val="Heading2"/>
      </w:pPr>
      <w:bookmarkStart w:id="14" w:name="_Toc234975923"/>
      <w:r w:rsidRPr="00896679">
        <w:lastRenderedPageBreak/>
        <w:t>3.5 Application of Dunning's Eclectic Paradigm (OLI Framework)</w:t>
      </w:r>
      <w:bookmarkEnd w:id="14"/>
    </w:p>
    <w:p w14:paraId="2661F052" w14:textId="1F1F22A7" w:rsidR="00F5305A" w:rsidRPr="00896679" w:rsidRDefault="00F5305A" w:rsidP="00896679">
      <w:pPr>
        <w:spacing w:line="360" w:lineRule="auto"/>
        <w:jc w:val="both"/>
        <w:rPr>
          <w:rFonts w:ascii="Arial" w:hAnsi="Arial" w:cs="Arial"/>
        </w:rPr>
      </w:pPr>
      <w:r w:rsidRPr="00896679">
        <w:rPr>
          <w:rFonts w:ascii="Arial" w:hAnsi="Arial" w:cs="Arial"/>
        </w:rPr>
        <w:t xml:space="preserve">According to the Dunning's Eclectic Paradigm or Externalisation, Location, Ownership and Internalisation advantages are all required for successful FDI (Dunning, 1988). The framework offers a suitable foundation for determining if Dabur India has the strategic capability to enter into Mexico successfully and whether or not direct investment is best suited as an entry mode. </w:t>
      </w:r>
    </w:p>
    <w:p w14:paraId="5C19D39B" w14:textId="77777777" w:rsidR="000A3FC4" w:rsidRPr="00896679" w:rsidRDefault="000A3FC4" w:rsidP="00896679">
      <w:pPr>
        <w:spacing w:line="360" w:lineRule="auto"/>
        <w:jc w:val="both"/>
        <w:rPr>
          <w:rFonts w:ascii="Arial" w:hAnsi="Arial" w:cs="Arial"/>
        </w:rPr>
      </w:pPr>
    </w:p>
    <w:p w14:paraId="24B13EC0" w14:textId="451A789B" w:rsidR="000A3FC4" w:rsidRPr="00896679" w:rsidRDefault="000A3FC4" w:rsidP="00896679">
      <w:pPr>
        <w:spacing w:line="360" w:lineRule="auto"/>
        <w:jc w:val="both"/>
        <w:rPr>
          <w:rFonts w:ascii="Arial" w:hAnsi="Arial" w:cs="Arial"/>
        </w:rPr>
      </w:pPr>
      <w:r w:rsidRPr="00896679">
        <w:rPr>
          <w:rFonts w:ascii="Arial" w:hAnsi="Arial" w:cs="Arial"/>
          <w:noProof/>
        </w:rPr>
        <w:drawing>
          <wp:inline distT="0" distB="0" distL="0" distR="0" wp14:anchorId="0D20A9C4" wp14:editId="2B0D2551">
            <wp:extent cx="6453171" cy="4459605"/>
            <wp:effectExtent l="0" t="0" r="5080" b="0"/>
            <wp:docPr id="20018539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4">
                      <a:extLst>
                        <a:ext uri="{28A0092B-C50C-407E-A947-70E740481C1C}">
                          <a14:useLocalDpi xmlns:a14="http://schemas.microsoft.com/office/drawing/2010/main" val="0"/>
                        </a:ext>
                      </a:extLst>
                    </a:blip>
                    <a:srcRect t="7579" b="5586"/>
                    <a:stretch>
                      <a:fillRect/>
                    </a:stretch>
                  </pic:blipFill>
                  <pic:spPr bwMode="auto">
                    <a:xfrm>
                      <a:off x="0" y="0"/>
                      <a:ext cx="6453171" cy="4459605"/>
                    </a:xfrm>
                    <a:prstGeom prst="rect">
                      <a:avLst/>
                    </a:prstGeom>
                    <a:noFill/>
                    <a:ln>
                      <a:noFill/>
                    </a:ln>
                    <a:extLst>
                      <a:ext uri="{53640926-AAD7-44D8-BBD7-CCE9431645EC}">
                        <a14:shadowObscured xmlns:a14="http://schemas.microsoft.com/office/drawing/2010/main"/>
                      </a:ext>
                    </a:extLst>
                  </pic:spPr>
                </pic:pic>
              </a:graphicData>
            </a:graphic>
          </wp:inline>
        </w:drawing>
      </w:r>
    </w:p>
    <w:p w14:paraId="24F4D2CC" w14:textId="3EC0FFFA" w:rsidR="00CC7C56" w:rsidRPr="006B4D10" w:rsidRDefault="00CC7C56" w:rsidP="00896679">
      <w:pPr>
        <w:spacing w:line="360" w:lineRule="auto"/>
        <w:jc w:val="center"/>
        <w:rPr>
          <w:rFonts w:ascii="Arial" w:hAnsi="Arial" w:cs="Arial"/>
          <w:b/>
          <w:bCs/>
          <w:sz w:val="22"/>
          <w:szCs w:val="22"/>
          <w:u w:val="single"/>
        </w:rPr>
      </w:pPr>
      <w:r w:rsidRPr="00896679">
        <w:rPr>
          <w:rFonts w:ascii="Arial" w:hAnsi="Arial" w:cs="Arial"/>
          <w:b/>
          <w:bCs/>
          <w:i/>
          <w:iCs/>
          <w:sz w:val="22"/>
          <w:szCs w:val="22"/>
          <w:u w:val="single"/>
        </w:rPr>
        <w:t>Figure 5. Dunning's Eclectic Paradigm (OLI Framework)</w:t>
      </w:r>
      <w:r w:rsidRPr="00896679">
        <w:rPr>
          <w:rFonts w:ascii="Arial" w:hAnsi="Arial" w:cs="Arial"/>
          <w:b/>
          <w:bCs/>
          <w:i/>
          <w:iCs/>
          <w:sz w:val="22"/>
          <w:szCs w:val="22"/>
          <w:u w:val="single"/>
        </w:rPr>
        <w:br/>
      </w:r>
      <w:r w:rsidRPr="006B4D10">
        <w:rPr>
          <w:rFonts w:ascii="Arial" w:hAnsi="Arial" w:cs="Arial"/>
          <w:b/>
          <w:bCs/>
          <w:sz w:val="22"/>
          <w:szCs w:val="22"/>
          <w:u w:val="single"/>
        </w:rPr>
        <w:t>Source: Adapted from Dunning (1988).</w:t>
      </w:r>
    </w:p>
    <w:p w14:paraId="1D1E3F76" w14:textId="08DE43F4" w:rsidR="00CC26EC" w:rsidRPr="00896679" w:rsidRDefault="00F5305A" w:rsidP="00896679">
      <w:pPr>
        <w:spacing w:line="360" w:lineRule="auto"/>
        <w:jc w:val="both"/>
        <w:rPr>
          <w:rFonts w:ascii="Arial" w:hAnsi="Arial" w:cs="Arial"/>
        </w:rPr>
      </w:pPr>
      <w:r w:rsidRPr="00896679">
        <w:rPr>
          <w:rFonts w:ascii="Arial" w:hAnsi="Arial" w:cs="Arial"/>
        </w:rPr>
        <w:t xml:space="preserve">Dabur has a strong ownership advantage as the company has internationally recognised brands like Dabur, Vatika and Real, and has more than 100 years of experience in the field of Ayurvedic healthcare coupled with a history of continuous innovation in product </w:t>
      </w:r>
      <w:r w:rsidRPr="00896679">
        <w:rPr>
          <w:rFonts w:ascii="Arial" w:hAnsi="Arial" w:cs="Arial"/>
        </w:rPr>
        <w:lastRenderedPageBreak/>
        <w:t>development (Dabur India Ltd., 2026). These are useful assets which help the company stand out from the pack by bringing natural and herbal products to the world, as more people around the globe are looking for "health" products. Moreover, the uncertainty of entering new markets can be lowered by applying Dabur's vast experience abroad, financial resources and existing distribution networks (Peng, 2022). Perhaps one of the most important location advantages in Mexico that can help expand the market is the country's own. With a population of 130 million plus, a growing middle class and a greater appetite for health and wellness products, it offers significant growth prospects (World Bank, 2025). Furthermore, Mexico's strategic location, its membership in the North American Free Trade Agreement (NAFTA), and the presence of a well-developed logistics network help to ensure an efficient access to regional markets and enhance supply chain performance (OECD, 2025). On the internalisation side, Dabur could have its own manufacturing facility so that it could have a tight control over the quality of the product, its marketing, and its own unique ayurvedic formulations. This helps mitigate the risks of licensing and/or independent distributors and helps coordinate the supply chain and customer engagement (Hill, 2022). In this way, direct control would also help consumers to be educated about Ayurvedic products and would guarantee uniform marketing communication as the awareness of Ayurvedic products in Mexico is relatively low.</w:t>
      </w:r>
    </w:p>
    <w:tbl>
      <w:tblPr>
        <w:tblStyle w:val="TableGrid"/>
        <w:tblpPr w:leftFromText="180" w:rightFromText="180" w:vertAnchor="text" w:horzAnchor="margin" w:tblpY="448"/>
        <w:tblW w:w="0" w:type="auto"/>
        <w:tblLook w:val="04A0" w:firstRow="1" w:lastRow="0" w:firstColumn="1" w:lastColumn="0" w:noHBand="0" w:noVBand="1"/>
      </w:tblPr>
      <w:tblGrid>
        <w:gridCol w:w="2438"/>
        <w:gridCol w:w="2445"/>
        <w:gridCol w:w="2380"/>
        <w:gridCol w:w="2087"/>
      </w:tblGrid>
      <w:tr w:rsidR="00896679" w:rsidRPr="00896679" w14:paraId="13D9E010" w14:textId="77777777" w:rsidTr="000A3FC4">
        <w:tc>
          <w:tcPr>
            <w:tcW w:w="0" w:type="auto"/>
            <w:shd w:val="clear" w:color="auto" w:fill="70AD47" w:themeFill="accent6"/>
            <w:hideMark/>
          </w:tcPr>
          <w:p w14:paraId="3CF8ABF9" w14:textId="77777777" w:rsidR="000A3FC4" w:rsidRPr="00896679" w:rsidRDefault="000A3FC4" w:rsidP="00896679">
            <w:pPr>
              <w:spacing w:line="360" w:lineRule="auto"/>
              <w:jc w:val="both"/>
              <w:rPr>
                <w:rFonts w:ascii="Arial" w:hAnsi="Arial" w:cs="Arial"/>
              </w:rPr>
            </w:pPr>
            <w:r w:rsidRPr="00896679">
              <w:rPr>
                <w:rFonts w:ascii="Arial" w:hAnsi="Arial" w:cs="Arial"/>
              </w:rPr>
              <w:t>Ownership Advantages</w:t>
            </w:r>
          </w:p>
        </w:tc>
        <w:tc>
          <w:tcPr>
            <w:tcW w:w="0" w:type="auto"/>
            <w:shd w:val="clear" w:color="auto" w:fill="70AD47" w:themeFill="accent6"/>
            <w:hideMark/>
          </w:tcPr>
          <w:p w14:paraId="2AEA5164" w14:textId="77777777" w:rsidR="000A3FC4" w:rsidRPr="00896679" w:rsidRDefault="000A3FC4" w:rsidP="00896679">
            <w:pPr>
              <w:spacing w:line="360" w:lineRule="auto"/>
              <w:jc w:val="both"/>
              <w:rPr>
                <w:rFonts w:ascii="Arial" w:hAnsi="Arial" w:cs="Arial"/>
              </w:rPr>
            </w:pPr>
            <w:r w:rsidRPr="00896679">
              <w:rPr>
                <w:rFonts w:ascii="Arial" w:hAnsi="Arial" w:cs="Arial"/>
              </w:rPr>
              <w:t>Location Advantages</w:t>
            </w:r>
          </w:p>
        </w:tc>
        <w:tc>
          <w:tcPr>
            <w:tcW w:w="0" w:type="auto"/>
            <w:shd w:val="clear" w:color="auto" w:fill="70AD47" w:themeFill="accent6"/>
            <w:hideMark/>
          </w:tcPr>
          <w:p w14:paraId="7A412C50" w14:textId="77777777" w:rsidR="000A3FC4" w:rsidRPr="00896679" w:rsidRDefault="000A3FC4" w:rsidP="00896679">
            <w:pPr>
              <w:spacing w:line="360" w:lineRule="auto"/>
              <w:jc w:val="both"/>
              <w:rPr>
                <w:rFonts w:ascii="Arial" w:hAnsi="Arial" w:cs="Arial"/>
              </w:rPr>
            </w:pPr>
            <w:r w:rsidRPr="00896679">
              <w:rPr>
                <w:rFonts w:ascii="Arial" w:hAnsi="Arial" w:cs="Arial"/>
              </w:rPr>
              <w:t>Internalisation Advantages</w:t>
            </w:r>
          </w:p>
        </w:tc>
        <w:tc>
          <w:tcPr>
            <w:tcW w:w="0" w:type="auto"/>
            <w:shd w:val="clear" w:color="auto" w:fill="70AD47" w:themeFill="accent6"/>
            <w:hideMark/>
          </w:tcPr>
          <w:p w14:paraId="314DE1BD" w14:textId="77777777" w:rsidR="000A3FC4" w:rsidRPr="00896679" w:rsidRDefault="000A3FC4" w:rsidP="00896679">
            <w:pPr>
              <w:spacing w:line="360" w:lineRule="auto"/>
              <w:jc w:val="both"/>
              <w:rPr>
                <w:rFonts w:ascii="Arial" w:hAnsi="Arial" w:cs="Arial"/>
              </w:rPr>
            </w:pPr>
            <w:r w:rsidRPr="00896679">
              <w:rPr>
                <w:rFonts w:ascii="Arial" w:hAnsi="Arial" w:cs="Arial"/>
              </w:rPr>
              <w:t>Strategic Implication</w:t>
            </w:r>
          </w:p>
        </w:tc>
      </w:tr>
      <w:tr w:rsidR="00896679" w:rsidRPr="00896679" w14:paraId="583E324B" w14:textId="77777777" w:rsidTr="000A3FC4">
        <w:tc>
          <w:tcPr>
            <w:tcW w:w="0" w:type="auto"/>
            <w:hideMark/>
          </w:tcPr>
          <w:p w14:paraId="28757578" w14:textId="77777777" w:rsidR="000A3FC4" w:rsidRPr="00896679" w:rsidRDefault="000A3FC4" w:rsidP="00896679">
            <w:pPr>
              <w:spacing w:line="360" w:lineRule="auto"/>
              <w:jc w:val="both"/>
              <w:rPr>
                <w:rFonts w:ascii="Arial" w:hAnsi="Arial" w:cs="Arial"/>
              </w:rPr>
            </w:pPr>
            <w:r w:rsidRPr="00896679">
              <w:rPr>
                <w:rFonts w:ascii="Arial" w:hAnsi="Arial" w:cs="Arial"/>
              </w:rPr>
              <w:t>Strong global brands, Ayurvedic expertise, R&amp;D capability and international experience</w:t>
            </w:r>
          </w:p>
        </w:tc>
        <w:tc>
          <w:tcPr>
            <w:tcW w:w="0" w:type="auto"/>
            <w:hideMark/>
          </w:tcPr>
          <w:p w14:paraId="3D284427" w14:textId="77777777" w:rsidR="000A3FC4" w:rsidRPr="00896679" w:rsidRDefault="000A3FC4" w:rsidP="00896679">
            <w:pPr>
              <w:spacing w:line="360" w:lineRule="auto"/>
              <w:jc w:val="both"/>
              <w:rPr>
                <w:rFonts w:ascii="Arial" w:hAnsi="Arial" w:cs="Arial"/>
              </w:rPr>
            </w:pPr>
            <w:r w:rsidRPr="00896679">
              <w:rPr>
                <w:rFonts w:ascii="Arial" w:hAnsi="Arial" w:cs="Arial"/>
              </w:rPr>
              <w:t>Large consumer market, USMCA access, strategic location and growing health awareness</w:t>
            </w:r>
          </w:p>
        </w:tc>
        <w:tc>
          <w:tcPr>
            <w:tcW w:w="0" w:type="auto"/>
            <w:hideMark/>
          </w:tcPr>
          <w:p w14:paraId="4CCB518D" w14:textId="77777777" w:rsidR="000A3FC4" w:rsidRPr="00896679" w:rsidRDefault="000A3FC4" w:rsidP="00896679">
            <w:pPr>
              <w:spacing w:line="360" w:lineRule="auto"/>
              <w:jc w:val="both"/>
              <w:rPr>
                <w:rFonts w:ascii="Arial" w:hAnsi="Arial" w:cs="Arial"/>
              </w:rPr>
            </w:pPr>
            <w:r w:rsidRPr="00896679">
              <w:rPr>
                <w:rFonts w:ascii="Arial" w:hAnsi="Arial" w:cs="Arial"/>
              </w:rPr>
              <w:t>Greater quality control, brand protection and supply chain integration</w:t>
            </w:r>
          </w:p>
        </w:tc>
        <w:tc>
          <w:tcPr>
            <w:tcW w:w="0" w:type="auto"/>
            <w:hideMark/>
          </w:tcPr>
          <w:p w14:paraId="2F046FB5" w14:textId="77777777" w:rsidR="000A3FC4" w:rsidRPr="00896679" w:rsidRDefault="000A3FC4" w:rsidP="00896679">
            <w:pPr>
              <w:spacing w:line="360" w:lineRule="auto"/>
              <w:jc w:val="both"/>
              <w:rPr>
                <w:rFonts w:ascii="Arial" w:hAnsi="Arial" w:cs="Arial"/>
              </w:rPr>
            </w:pPr>
            <w:r w:rsidRPr="00896679">
              <w:rPr>
                <w:rFonts w:ascii="Arial" w:hAnsi="Arial" w:cs="Arial"/>
              </w:rPr>
              <w:t>Supports foreign direct investment through a high-control entry mode</w:t>
            </w:r>
          </w:p>
        </w:tc>
      </w:tr>
    </w:tbl>
    <w:p w14:paraId="5D882F0A" w14:textId="0827B899" w:rsidR="00CC7C56" w:rsidRPr="00896679" w:rsidRDefault="00CC7C56" w:rsidP="00896679">
      <w:pPr>
        <w:spacing w:line="360" w:lineRule="auto"/>
        <w:jc w:val="both"/>
        <w:rPr>
          <w:rFonts w:ascii="Arial" w:hAnsi="Arial" w:cs="Arial"/>
          <w:b/>
          <w:bCs/>
          <w:sz w:val="22"/>
          <w:szCs w:val="22"/>
        </w:rPr>
      </w:pPr>
      <w:r w:rsidRPr="00896679">
        <w:rPr>
          <w:rFonts w:ascii="Arial" w:hAnsi="Arial" w:cs="Arial"/>
          <w:b/>
          <w:bCs/>
          <w:sz w:val="22"/>
          <w:szCs w:val="22"/>
        </w:rPr>
        <w:t>Table 5. OLI Analysis of Dabur India's Expansion into Mexico</w:t>
      </w:r>
    </w:p>
    <w:p w14:paraId="184598F9" w14:textId="77777777" w:rsidR="00CC26EC" w:rsidRPr="006B4D10" w:rsidRDefault="00CC26EC" w:rsidP="00896679">
      <w:pPr>
        <w:spacing w:line="360" w:lineRule="auto"/>
        <w:jc w:val="center"/>
        <w:rPr>
          <w:rFonts w:ascii="Arial" w:hAnsi="Arial" w:cs="Arial"/>
          <w:b/>
          <w:bCs/>
          <w:u w:val="single"/>
        </w:rPr>
      </w:pPr>
      <w:r w:rsidRPr="006B4D10">
        <w:rPr>
          <w:rFonts w:ascii="Arial" w:hAnsi="Arial" w:cs="Arial"/>
          <w:b/>
          <w:bCs/>
          <w:u w:val="single"/>
        </w:rPr>
        <w:t>Source: Developed by the author.</w:t>
      </w:r>
    </w:p>
    <w:p w14:paraId="25EB0694" w14:textId="77777777" w:rsidR="00F5305A" w:rsidRPr="00896679" w:rsidRDefault="00F5305A" w:rsidP="00896679">
      <w:pPr>
        <w:spacing w:line="360" w:lineRule="auto"/>
        <w:jc w:val="both"/>
        <w:rPr>
          <w:rFonts w:ascii="Arial" w:hAnsi="Arial" w:cs="Arial"/>
        </w:rPr>
      </w:pPr>
      <w:r w:rsidRPr="00896679">
        <w:rPr>
          <w:rFonts w:ascii="Arial" w:hAnsi="Arial" w:cs="Arial"/>
        </w:rPr>
        <w:t xml:space="preserve">In sum, the OLI analysis suggests that Dabur fulfills all three aspects of Dunning's theory. Its proprietary capabilities and the fact that Mexico's investment climate and the ability to </w:t>
      </w:r>
      <w:r w:rsidRPr="00896679">
        <w:rPr>
          <w:rFonts w:ascii="Arial" w:hAnsi="Arial" w:cs="Arial"/>
        </w:rPr>
        <w:lastRenderedPageBreak/>
        <w:t xml:space="preserve">have operational control are compelling arguments for direct investment. Thus, the strategy suggested in the framework can be based on a high control market entry strategy, which will help Dabur gain sustainable competitive advantage and long-term growth in the Mexican market. </w:t>
      </w:r>
    </w:p>
    <w:p w14:paraId="74FCA734" w14:textId="596229D0" w:rsidR="00AD7F35" w:rsidRPr="00896679" w:rsidRDefault="00AD7F35" w:rsidP="00896679">
      <w:pPr>
        <w:pStyle w:val="Heading2"/>
      </w:pPr>
      <w:bookmarkStart w:id="15" w:name="_Toc234975924"/>
      <w:r w:rsidRPr="00896679">
        <w:t xml:space="preserve">3.6 </w:t>
      </w:r>
      <w:r w:rsidRPr="00896679">
        <w:rPr>
          <w:rStyle w:val="Heading2Char"/>
        </w:rPr>
        <w:t>Critical</w:t>
      </w:r>
      <w:r w:rsidRPr="00896679">
        <w:t xml:space="preserve"> Synthesis</w:t>
      </w:r>
      <w:bookmarkEnd w:id="15"/>
    </w:p>
    <w:p w14:paraId="56BADA25" w14:textId="77777777" w:rsidR="00F5305A" w:rsidRPr="00896679" w:rsidRDefault="00F5305A" w:rsidP="00896679">
      <w:pPr>
        <w:spacing w:line="360" w:lineRule="auto"/>
        <w:jc w:val="both"/>
        <w:rPr>
          <w:rFonts w:ascii="Arial" w:hAnsi="Arial" w:cs="Arial"/>
        </w:rPr>
      </w:pPr>
      <w:r w:rsidRPr="00896679">
        <w:rPr>
          <w:rFonts w:ascii="Arial" w:hAnsi="Arial" w:cs="Arial"/>
        </w:rPr>
        <w:t>Macro-environmental appraisal shows that Mexico is an attractive place where Dabur India could expand their business in future. The analysis points to a favourable investment environment, a growing consumer market, and favourable trade agreements, which support the potential for foreign direct investment (FDI) in the country (World Bank, 2025; OECD, 2025). Furthermore, with the rising consumer awareness of health, wellness, and natural products, Dabur's competitive positioning as a leading manufacturer of Ayurvedic healthcare and personal care products opens up opportunities to differentiate their product within the Mexican FMCG industry (Euromonitor International, 2025). Even in these favourable conditions there are several challenges to be considered strategically. The initial penetration of the market is likely to be limited by regulatory approval of herbal and cosmetic products, competition from existing multinational FMCG companies, as well as currency fluctuations and comparatively low awareness of Ayurvedic products on the side of consumers (Kotler and Keller, 2022; WTO, 2025). All these suggest that it is not enough to enter the market with Dabur's international experience but the product needs to be localised, consumers need to be educated about it and there needs to be a strong distribution partnership to build the credibility of the product in the market and long-term customer loyalty. The overall results suggest that Mexico has high strategic potential, but has relatively low risks. This combination of integrated assessment of the political, economic, legal and cultural environments and the positive evaluation based on the Dunning's Eclectic Paradigm reveals that Mexico meets the necessary conditions to successfully expand internationally. Thus, now it is not a matter of how attractive is the market but how best Dabur can enter the market and how they can leverage the market opportunity with minimal risks in operations and competition.</w:t>
      </w:r>
    </w:p>
    <w:p w14:paraId="248DBACF" w14:textId="49C647BC" w:rsidR="00AD7F35" w:rsidRPr="00896679" w:rsidRDefault="00AD7F35" w:rsidP="00896679">
      <w:pPr>
        <w:pStyle w:val="Heading1"/>
      </w:pPr>
      <w:bookmarkStart w:id="16" w:name="_Toc234975925"/>
      <w:r w:rsidRPr="00896679">
        <w:lastRenderedPageBreak/>
        <w:t>4. Entry Mode Strategy and Strategic Synthesis</w:t>
      </w:r>
      <w:bookmarkEnd w:id="16"/>
    </w:p>
    <w:p w14:paraId="5AF7B537" w14:textId="6D4CFF54" w:rsidR="00CC7C56" w:rsidRPr="00896679" w:rsidRDefault="00CC7C56" w:rsidP="00896679">
      <w:pPr>
        <w:pStyle w:val="Heading2"/>
      </w:pPr>
      <w:bookmarkStart w:id="17" w:name="_Toc234975926"/>
      <w:r w:rsidRPr="00896679">
        <w:t>4.1 Historical Internationalisation Strategy of Dabur India</w:t>
      </w:r>
      <w:bookmarkEnd w:id="17"/>
      <w:r w:rsidRPr="00896679">
        <w:t xml:space="preserve"> </w:t>
      </w:r>
    </w:p>
    <w:p w14:paraId="1E092BA7" w14:textId="77777777" w:rsidR="000555E5" w:rsidRPr="00896679" w:rsidRDefault="000555E5" w:rsidP="00896679">
      <w:pPr>
        <w:spacing w:line="360" w:lineRule="auto"/>
        <w:jc w:val="both"/>
        <w:rPr>
          <w:rFonts w:ascii="Arial" w:hAnsi="Arial" w:cs="Arial"/>
        </w:rPr>
      </w:pPr>
      <w:r w:rsidRPr="00896679">
        <w:rPr>
          <w:rFonts w:ascii="Arial" w:hAnsi="Arial" w:cs="Arial"/>
        </w:rPr>
        <w:t xml:space="preserve">International market entry strategy is one of the important factors when determining the success of a multinational company, as the amount of investment, level of operational control and the risk level of the business are different depending on the entry mode (Hill, 2022). From its inception, Dabur India Ltd.'s internationalisation has been incremental in nature, with the choice of the mode of entry being representative of the economic conditions and market characteristics of a particular country. The company has broadened its reach globally via its exports, manufacturing subsidiaries, and strategic distribution partnerships, which have strengthened its global footprint while also providing operational flexibility (Dabur India Ltd., 2026). To reduce the investment risk and gain brand popularity Dabur initially broke into the neighbouring South Asian markets via exports and local distributors. To increase its share of international demand, especially in the Middle East and North Africa, the company implemented higher-control entry modes, such as manufacturing subsidiaries and regional production </w:t>
      </w:r>
      <w:proofErr w:type="spellStart"/>
      <w:r w:rsidRPr="00896679">
        <w:rPr>
          <w:rFonts w:ascii="Arial" w:hAnsi="Arial" w:cs="Arial"/>
        </w:rPr>
        <w:t>centers</w:t>
      </w:r>
      <w:proofErr w:type="spellEnd"/>
      <w:r w:rsidRPr="00896679">
        <w:rPr>
          <w:rFonts w:ascii="Arial" w:hAnsi="Arial" w:cs="Arial"/>
        </w:rPr>
        <w:t>. This approach has led to a more efficient supply chain, cost savings from transportation and the ability to customize offerings based on the tastes of local consumers and regulatory standards (Peng, 2022). To illustrate this, Dabur Egypt is a manufacturing facility that distributes its product throughout the Middle East and North Africa (Dabur India Ltd., 2026).</w:t>
      </w:r>
    </w:p>
    <w:p w14:paraId="2BE76F7C" w14:textId="297E7349" w:rsidR="00AA236A" w:rsidRPr="00896679" w:rsidRDefault="00AA236A" w:rsidP="00896679">
      <w:pPr>
        <w:spacing w:line="360" w:lineRule="auto"/>
        <w:jc w:val="both"/>
        <w:rPr>
          <w:rFonts w:ascii="Arial" w:hAnsi="Arial" w:cs="Arial"/>
          <w:b/>
          <w:bCs/>
          <w:sz w:val="22"/>
          <w:szCs w:val="22"/>
        </w:rPr>
      </w:pPr>
      <w:r w:rsidRPr="00896679">
        <w:rPr>
          <w:rFonts w:ascii="Arial" w:hAnsi="Arial" w:cs="Arial"/>
          <w:b/>
          <w:bCs/>
          <w:sz w:val="22"/>
          <w:szCs w:val="22"/>
        </w:rPr>
        <w:t>Table 6. Historical International Market Entry Modes Adopted by Dabur India</w:t>
      </w:r>
    </w:p>
    <w:tbl>
      <w:tblPr>
        <w:tblStyle w:val="TableGrid"/>
        <w:tblW w:w="10148" w:type="dxa"/>
        <w:tblLook w:val="04A0" w:firstRow="1" w:lastRow="0" w:firstColumn="1" w:lastColumn="0" w:noHBand="0" w:noVBand="1"/>
      </w:tblPr>
      <w:tblGrid>
        <w:gridCol w:w="2213"/>
        <w:gridCol w:w="3127"/>
        <w:gridCol w:w="4808"/>
      </w:tblGrid>
      <w:tr w:rsidR="00896679" w:rsidRPr="00896679" w14:paraId="322883E4" w14:textId="77777777" w:rsidTr="006B4D10">
        <w:trPr>
          <w:trHeight w:val="613"/>
        </w:trPr>
        <w:tc>
          <w:tcPr>
            <w:tcW w:w="0" w:type="auto"/>
            <w:shd w:val="clear" w:color="auto" w:fill="70AD47" w:themeFill="accent6"/>
            <w:hideMark/>
          </w:tcPr>
          <w:p w14:paraId="68ACB898" w14:textId="77777777" w:rsidR="00AA236A" w:rsidRPr="00896679" w:rsidRDefault="00AA236A" w:rsidP="00896679">
            <w:pPr>
              <w:spacing w:line="360" w:lineRule="auto"/>
              <w:jc w:val="both"/>
              <w:rPr>
                <w:rFonts w:ascii="Arial" w:hAnsi="Arial" w:cs="Arial"/>
              </w:rPr>
            </w:pPr>
            <w:r w:rsidRPr="00896679">
              <w:rPr>
                <w:rFonts w:ascii="Arial" w:hAnsi="Arial" w:cs="Arial"/>
              </w:rPr>
              <w:t>Country/Region</w:t>
            </w:r>
          </w:p>
        </w:tc>
        <w:tc>
          <w:tcPr>
            <w:tcW w:w="0" w:type="auto"/>
            <w:shd w:val="clear" w:color="auto" w:fill="70AD47" w:themeFill="accent6"/>
            <w:hideMark/>
          </w:tcPr>
          <w:p w14:paraId="4532832C" w14:textId="77777777" w:rsidR="00AA236A" w:rsidRPr="00896679" w:rsidRDefault="00AA236A" w:rsidP="00896679">
            <w:pPr>
              <w:spacing w:line="360" w:lineRule="auto"/>
              <w:jc w:val="both"/>
              <w:rPr>
                <w:rFonts w:ascii="Arial" w:hAnsi="Arial" w:cs="Arial"/>
              </w:rPr>
            </w:pPr>
            <w:r w:rsidRPr="00896679">
              <w:rPr>
                <w:rFonts w:ascii="Arial" w:hAnsi="Arial" w:cs="Arial"/>
              </w:rPr>
              <w:t>Entry Mode</w:t>
            </w:r>
          </w:p>
        </w:tc>
        <w:tc>
          <w:tcPr>
            <w:tcW w:w="0" w:type="auto"/>
            <w:shd w:val="clear" w:color="auto" w:fill="70AD47" w:themeFill="accent6"/>
            <w:hideMark/>
          </w:tcPr>
          <w:p w14:paraId="3DDF14AA" w14:textId="77777777" w:rsidR="00AA236A" w:rsidRPr="00896679" w:rsidRDefault="00AA236A" w:rsidP="00896679">
            <w:pPr>
              <w:spacing w:line="360" w:lineRule="auto"/>
              <w:jc w:val="both"/>
              <w:rPr>
                <w:rFonts w:ascii="Arial" w:hAnsi="Arial" w:cs="Arial"/>
              </w:rPr>
            </w:pPr>
            <w:r w:rsidRPr="00896679">
              <w:rPr>
                <w:rFonts w:ascii="Arial" w:hAnsi="Arial" w:cs="Arial"/>
              </w:rPr>
              <w:t>Strategic Purpose</w:t>
            </w:r>
          </w:p>
        </w:tc>
      </w:tr>
      <w:tr w:rsidR="00896679" w:rsidRPr="00896679" w14:paraId="30D95FA3" w14:textId="77777777" w:rsidTr="006B4D10">
        <w:trPr>
          <w:trHeight w:val="640"/>
        </w:trPr>
        <w:tc>
          <w:tcPr>
            <w:tcW w:w="0" w:type="auto"/>
            <w:hideMark/>
          </w:tcPr>
          <w:p w14:paraId="57589C44"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Nepal</w:t>
            </w:r>
          </w:p>
        </w:tc>
        <w:tc>
          <w:tcPr>
            <w:tcW w:w="0" w:type="auto"/>
            <w:hideMark/>
          </w:tcPr>
          <w:p w14:paraId="7D6FBFC1"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Manufacturing subsidiary</w:t>
            </w:r>
          </w:p>
        </w:tc>
        <w:tc>
          <w:tcPr>
            <w:tcW w:w="0" w:type="auto"/>
            <w:hideMark/>
          </w:tcPr>
          <w:p w14:paraId="431C5443"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Regional production and expansion</w:t>
            </w:r>
          </w:p>
        </w:tc>
      </w:tr>
      <w:tr w:rsidR="00896679" w:rsidRPr="00896679" w14:paraId="73DCF62F" w14:textId="77777777" w:rsidTr="006B4D10">
        <w:trPr>
          <w:trHeight w:val="613"/>
        </w:trPr>
        <w:tc>
          <w:tcPr>
            <w:tcW w:w="0" w:type="auto"/>
            <w:hideMark/>
          </w:tcPr>
          <w:p w14:paraId="1E36CD21"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Egypt</w:t>
            </w:r>
          </w:p>
        </w:tc>
        <w:tc>
          <w:tcPr>
            <w:tcW w:w="0" w:type="auto"/>
            <w:hideMark/>
          </w:tcPr>
          <w:p w14:paraId="37682775"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Manufacturing subsidiary</w:t>
            </w:r>
          </w:p>
        </w:tc>
        <w:tc>
          <w:tcPr>
            <w:tcW w:w="0" w:type="auto"/>
            <w:hideMark/>
          </w:tcPr>
          <w:p w14:paraId="31BE7D62"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Regional manufacturing and distribution</w:t>
            </w:r>
          </w:p>
        </w:tc>
      </w:tr>
      <w:tr w:rsidR="00896679" w:rsidRPr="00896679" w14:paraId="074EA447" w14:textId="77777777" w:rsidTr="006B4D10">
        <w:trPr>
          <w:trHeight w:val="613"/>
        </w:trPr>
        <w:tc>
          <w:tcPr>
            <w:tcW w:w="0" w:type="auto"/>
            <w:hideMark/>
          </w:tcPr>
          <w:p w14:paraId="7EDD6441"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Bangladesh</w:t>
            </w:r>
          </w:p>
        </w:tc>
        <w:tc>
          <w:tcPr>
            <w:tcW w:w="0" w:type="auto"/>
            <w:hideMark/>
          </w:tcPr>
          <w:p w14:paraId="0E5C0322"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Distribution partnership</w:t>
            </w:r>
          </w:p>
        </w:tc>
        <w:tc>
          <w:tcPr>
            <w:tcW w:w="0" w:type="auto"/>
            <w:hideMark/>
          </w:tcPr>
          <w:p w14:paraId="7AF0EA04"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Low-risk market entry</w:t>
            </w:r>
          </w:p>
        </w:tc>
      </w:tr>
      <w:tr w:rsidR="00896679" w:rsidRPr="00896679" w14:paraId="42011A70" w14:textId="77777777" w:rsidTr="006B4D10">
        <w:trPr>
          <w:trHeight w:val="640"/>
        </w:trPr>
        <w:tc>
          <w:tcPr>
            <w:tcW w:w="0" w:type="auto"/>
            <w:hideMark/>
          </w:tcPr>
          <w:p w14:paraId="6F00DEFA"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United Kingdom</w:t>
            </w:r>
          </w:p>
        </w:tc>
        <w:tc>
          <w:tcPr>
            <w:tcW w:w="0" w:type="auto"/>
            <w:hideMark/>
          </w:tcPr>
          <w:p w14:paraId="0F771CF3"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Export and distribution</w:t>
            </w:r>
          </w:p>
        </w:tc>
        <w:tc>
          <w:tcPr>
            <w:tcW w:w="0" w:type="auto"/>
            <w:hideMark/>
          </w:tcPr>
          <w:p w14:paraId="679E6121"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Brand development</w:t>
            </w:r>
          </w:p>
        </w:tc>
      </w:tr>
      <w:tr w:rsidR="00896679" w:rsidRPr="00896679" w14:paraId="67DF837D" w14:textId="77777777" w:rsidTr="006B4D10">
        <w:trPr>
          <w:trHeight w:val="640"/>
        </w:trPr>
        <w:tc>
          <w:tcPr>
            <w:tcW w:w="0" w:type="auto"/>
            <w:hideMark/>
          </w:tcPr>
          <w:p w14:paraId="3F60004C"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United States</w:t>
            </w:r>
          </w:p>
        </w:tc>
        <w:tc>
          <w:tcPr>
            <w:tcW w:w="0" w:type="auto"/>
            <w:hideMark/>
          </w:tcPr>
          <w:p w14:paraId="60F833A2"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Export and distribution</w:t>
            </w:r>
          </w:p>
        </w:tc>
        <w:tc>
          <w:tcPr>
            <w:tcW w:w="0" w:type="auto"/>
            <w:hideMark/>
          </w:tcPr>
          <w:p w14:paraId="2CE1A764" w14:textId="77777777" w:rsidR="00AA236A" w:rsidRPr="006B4D10" w:rsidRDefault="00AA236A" w:rsidP="00896679">
            <w:pPr>
              <w:spacing w:line="360" w:lineRule="auto"/>
              <w:jc w:val="both"/>
              <w:rPr>
                <w:rFonts w:ascii="Arial" w:hAnsi="Arial" w:cs="Arial"/>
                <w:sz w:val="22"/>
                <w:szCs w:val="22"/>
              </w:rPr>
            </w:pPr>
            <w:r w:rsidRPr="006B4D10">
              <w:rPr>
                <w:rFonts w:ascii="Arial" w:hAnsi="Arial" w:cs="Arial"/>
                <w:sz w:val="22"/>
                <w:szCs w:val="22"/>
              </w:rPr>
              <w:t>Market testing</w:t>
            </w:r>
          </w:p>
        </w:tc>
      </w:tr>
    </w:tbl>
    <w:p w14:paraId="1FB5CDA8" w14:textId="77777777" w:rsidR="000A3FC4" w:rsidRPr="006B4D10" w:rsidRDefault="000A3FC4" w:rsidP="006B4D10">
      <w:pPr>
        <w:spacing w:line="360" w:lineRule="auto"/>
        <w:jc w:val="center"/>
        <w:rPr>
          <w:rFonts w:ascii="Arial" w:hAnsi="Arial" w:cs="Arial"/>
          <w:b/>
          <w:bCs/>
          <w:sz w:val="22"/>
          <w:szCs w:val="22"/>
          <w:u w:val="single"/>
        </w:rPr>
      </w:pPr>
      <w:r w:rsidRPr="006B4D10">
        <w:rPr>
          <w:rFonts w:ascii="Arial" w:hAnsi="Arial" w:cs="Arial"/>
          <w:b/>
          <w:bCs/>
          <w:sz w:val="22"/>
          <w:szCs w:val="22"/>
          <w:u w:val="single"/>
        </w:rPr>
        <w:t>Source: Adapted from Dabur India Annual Reports (Various Years).</w:t>
      </w:r>
    </w:p>
    <w:p w14:paraId="7D621235" w14:textId="609D29D6" w:rsidR="000555E5" w:rsidRPr="00896679" w:rsidRDefault="000555E5" w:rsidP="00896679">
      <w:pPr>
        <w:spacing w:line="360" w:lineRule="auto"/>
        <w:jc w:val="both"/>
        <w:rPr>
          <w:rFonts w:ascii="Arial" w:hAnsi="Arial" w:cs="Arial"/>
        </w:rPr>
      </w:pPr>
      <w:r w:rsidRPr="00896679">
        <w:rPr>
          <w:rFonts w:ascii="Arial" w:hAnsi="Arial" w:cs="Arial"/>
        </w:rPr>
        <w:lastRenderedPageBreak/>
        <w:t>Dabur's internationalisation is based on the incremental approach, that is, when a firm gradually expands their commitment to the international market as their market knowledge and experiences grow (Johanson and Vahlne, 2009). While this method has helped to mitigate uncertainty and foster sustainable expansion, it has introduced hurdles in terms of maintaining control over export channels and connecting with end customers in certain markets (Hill, 2022). Based on these constraints, a more control-oriented approach seems more suitable for Mexico to boost its competitiveness in the long term.</w:t>
      </w:r>
    </w:p>
    <w:p w14:paraId="14868D2F" w14:textId="74E7D84E" w:rsidR="00AD7F35" w:rsidRPr="00896679" w:rsidRDefault="00AD7F35" w:rsidP="006B4D10">
      <w:pPr>
        <w:pStyle w:val="Heading2"/>
      </w:pPr>
      <w:bookmarkStart w:id="18" w:name="_Toc234975927"/>
      <w:r w:rsidRPr="00896679">
        <w:t>4.2 Critical Evaluation of Alternative Entry Modes for Mexico</w:t>
      </w:r>
      <w:bookmarkEnd w:id="18"/>
    </w:p>
    <w:p w14:paraId="746963C8" w14:textId="77777777" w:rsidR="00AA236A" w:rsidRPr="00896679" w:rsidRDefault="00AA236A" w:rsidP="00896679">
      <w:pPr>
        <w:spacing w:line="360" w:lineRule="auto"/>
        <w:jc w:val="both"/>
        <w:rPr>
          <w:rFonts w:ascii="Arial" w:hAnsi="Arial" w:cs="Arial"/>
        </w:rPr>
      </w:pPr>
      <w:r w:rsidRPr="00896679">
        <w:rPr>
          <w:rFonts w:ascii="Arial" w:hAnsi="Arial" w:cs="Arial"/>
        </w:rPr>
        <w:t xml:space="preserve">Choosing a proper market entry strategy is crucial, as it affects the amount of investment, the degree of operational control, business risk and long-term competitive advantage (Peng, 2022). Dabur India has expanded abroad via exporting, manufacturing subsidiaries and distribution partnership, but the appropriateness of the entry modes relies upon the attributes of the host market. So, what is the best solution for Mexico is one that strikes the right balance between investment needs, market control and growth sustainment. Exporting is the least resource-intensive option, allowing Dabur to gauge market demand and minimise the financial and political risk (Hill, 2022). It provides little control, however, over pricing, distribution and marketing activities. Other factors that may affect competitiveness are transportation expenses, import taxes, and reliance on local distributors. Additionally, exporting may not have the same effect that it could have on educating consumers and building brands in the long run, as these products are still relatively unknown to Mexican consumers. Licensing offers quick entry to the market with less investment, but may generate great danger concerning intellectual property protection, product quality and brand consistency (Dunning, 1988). Licensing may dilute Dabur's market differentiation as its competitive advantage relies on its own formulations and the reputation of its brand. Joint ventures, on the other hand, can leverage the financial risk sharing and regulatory compliance benefits of a local partner, who has knowledge of the local market and the distribution network, while Dabur brings its expertise (Cavusgil et al., 2024). With shared ownership, however, can come clashes with decision making and strategic priorities. </w:t>
      </w:r>
    </w:p>
    <w:tbl>
      <w:tblPr>
        <w:tblStyle w:val="TableGrid"/>
        <w:tblpPr w:leftFromText="180" w:rightFromText="180" w:vertAnchor="text" w:horzAnchor="margin" w:tblpY="479"/>
        <w:tblW w:w="9313" w:type="dxa"/>
        <w:tblLook w:val="04A0" w:firstRow="1" w:lastRow="0" w:firstColumn="1" w:lastColumn="0" w:noHBand="0" w:noVBand="1"/>
      </w:tblPr>
      <w:tblGrid>
        <w:gridCol w:w="2812"/>
        <w:gridCol w:w="1390"/>
        <w:gridCol w:w="1193"/>
        <w:gridCol w:w="1602"/>
        <w:gridCol w:w="2316"/>
      </w:tblGrid>
      <w:tr w:rsidR="00896679" w:rsidRPr="00896679" w14:paraId="7B07D0CF" w14:textId="77777777" w:rsidTr="000A3FC4">
        <w:trPr>
          <w:trHeight w:val="623"/>
        </w:trPr>
        <w:tc>
          <w:tcPr>
            <w:tcW w:w="0" w:type="auto"/>
            <w:shd w:val="clear" w:color="auto" w:fill="70AD47" w:themeFill="accent6"/>
            <w:hideMark/>
          </w:tcPr>
          <w:p w14:paraId="50BDCCB2" w14:textId="77777777" w:rsidR="000A3FC4" w:rsidRPr="00896679" w:rsidRDefault="000A3FC4" w:rsidP="00896679">
            <w:pPr>
              <w:spacing w:line="360" w:lineRule="auto"/>
              <w:jc w:val="both"/>
              <w:rPr>
                <w:rFonts w:ascii="Arial" w:hAnsi="Arial" w:cs="Arial"/>
              </w:rPr>
            </w:pPr>
            <w:r w:rsidRPr="00896679">
              <w:rPr>
                <w:rFonts w:ascii="Arial" w:hAnsi="Arial" w:cs="Arial"/>
              </w:rPr>
              <w:lastRenderedPageBreak/>
              <w:t>Entry Mode</w:t>
            </w:r>
          </w:p>
        </w:tc>
        <w:tc>
          <w:tcPr>
            <w:tcW w:w="0" w:type="auto"/>
            <w:shd w:val="clear" w:color="auto" w:fill="70AD47" w:themeFill="accent6"/>
            <w:hideMark/>
          </w:tcPr>
          <w:p w14:paraId="1C62A37B" w14:textId="77777777" w:rsidR="000A3FC4" w:rsidRPr="00896679" w:rsidRDefault="000A3FC4" w:rsidP="00896679">
            <w:pPr>
              <w:spacing w:line="360" w:lineRule="auto"/>
              <w:jc w:val="both"/>
              <w:rPr>
                <w:rFonts w:ascii="Arial" w:hAnsi="Arial" w:cs="Arial"/>
              </w:rPr>
            </w:pPr>
            <w:r w:rsidRPr="00896679">
              <w:rPr>
                <w:rFonts w:ascii="Arial" w:hAnsi="Arial" w:cs="Arial"/>
              </w:rPr>
              <w:t>Investment</w:t>
            </w:r>
          </w:p>
        </w:tc>
        <w:tc>
          <w:tcPr>
            <w:tcW w:w="0" w:type="auto"/>
            <w:shd w:val="clear" w:color="auto" w:fill="70AD47" w:themeFill="accent6"/>
            <w:hideMark/>
          </w:tcPr>
          <w:p w14:paraId="0F265EDB" w14:textId="77777777" w:rsidR="000A3FC4" w:rsidRPr="00896679" w:rsidRDefault="000A3FC4" w:rsidP="00896679">
            <w:pPr>
              <w:spacing w:line="360" w:lineRule="auto"/>
              <w:jc w:val="both"/>
              <w:rPr>
                <w:rFonts w:ascii="Arial" w:hAnsi="Arial" w:cs="Arial"/>
              </w:rPr>
            </w:pPr>
            <w:r w:rsidRPr="00896679">
              <w:rPr>
                <w:rFonts w:ascii="Arial" w:hAnsi="Arial" w:cs="Arial"/>
              </w:rPr>
              <w:t>Control</w:t>
            </w:r>
          </w:p>
        </w:tc>
        <w:tc>
          <w:tcPr>
            <w:tcW w:w="0" w:type="auto"/>
            <w:shd w:val="clear" w:color="auto" w:fill="70AD47" w:themeFill="accent6"/>
            <w:hideMark/>
          </w:tcPr>
          <w:p w14:paraId="4E11C1BD" w14:textId="77777777" w:rsidR="000A3FC4" w:rsidRPr="00896679" w:rsidRDefault="000A3FC4" w:rsidP="00896679">
            <w:pPr>
              <w:spacing w:line="360" w:lineRule="auto"/>
              <w:jc w:val="both"/>
              <w:rPr>
                <w:rFonts w:ascii="Arial" w:hAnsi="Arial" w:cs="Arial"/>
              </w:rPr>
            </w:pPr>
            <w:r w:rsidRPr="00896679">
              <w:rPr>
                <w:rFonts w:ascii="Arial" w:hAnsi="Arial" w:cs="Arial"/>
              </w:rPr>
              <w:t>Risk</w:t>
            </w:r>
          </w:p>
        </w:tc>
        <w:tc>
          <w:tcPr>
            <w:tcW w:w="0" w:type="auto"/>
            <w:shd w:val="clear" w:color="auto" w:fill="70AD47" w:themeFill="accent6"/>
            <w:hideMark/>
          </w:tcPr>
          <w:p w14:paraId="1A4242C2" w14:textId="77777777" w:rsidR="000A3FC4" w:rsidRPr="00896679" w:rsidRDefault="000A3FC4" w:rsidP="00896679">
            <w:pPr>
              <w:spacing w:line="360" w:lineRule="auto"/>
              <w:jc w:val="both"/>
              <w:rPr>
                <w:rFonts w:ascii="Arial" w:hAnsi="Arial" w:cs="Arial"/>
              </w:rPr>
            </w:pPr>
            <w:r w:rsidRPr="00896679">
              <w:rPr>
                <w:rFonts w:ascii="Arial" w:hAnsi="Arial" w:cs="Arial"/>
              </w:rPr>
              <w:t>Suitability for Mexico</w:t>
            </w:r>
          </w:p>
        </w:tc>
      </w:tr>
      <w:tr w:rsidR="00896679" w:rsidRPr="00896679" w14:paraId="5C791166" w14:textId="77777777" w:rsidTr="000A3FC4">
        <w:trPr>
          <w:trHeight w:val="650"/>
        </w:trPr>
        <w:tc>
          <w:tcPr>
            <w:tcW w:w="0" w:type="auto"/>
            <w:hideMark/>
          </w:tcPr>
          <w:p w14:paraId="75E28836" w14:textId="77777777" w:rsidR="000A3FC4" w:rsidRPr="00896679" w:rsidRDefault="000A3FC4" w:rsidP="00896679">
            <w:pPr>
              <w:spacing w:line="360" w:lineRule="auto"/>
              <w:jc w:val="both"/>
              <w:rPr>
                <w:rFonts w:ascii="Arial" w:hAnsi="Arial" w:cs="Arial"/>
              </w:rPr>
            </w:pPr>
            <w:r w:rsidRPr="00896679">
              <w:rPr>
                <w:rFonts w:ascii="Arial" w:hAnsi="Arial" w:cs="Arial"/>
              </w:rPr>
              <w:t>Exporting</w:t>
            </w:r>
          </w:p>
        </w:tc>
        <w:tc>
          <w:tcPr>
            <w:tcW w:w="0" w:type="auto"/>
            <w:hideMark/>
          </w:tcPr>
          <w:p w14:paraId="0E9078EE" w14:textId="77777777" w:rsidR="000A3FC4" w:rsidRPr="00896679" w:rsidRDefault="000A3FC4" w:rsidP="00896679">
            <w:pPr>
              <w:spacing w:line="360" w:lineRule="auto"/>
              <w:jc w:val="both"/>
              <w:rPr>
                <w:rFonts w:ascii="Arial" w:hAnsi="Arial" w:cs="Arial"/>
              </w:rPr>
            </w:pPr>
            <w:r w:rsidRPr="00896679">
              <w:rPr>
                <w:rFonts w:ascii="Arial" w:hAnsi="Arial" w:cs="Arial"/>
              </w:rPr>
              <w:t>Low</w:t>
            </w:r>
          </w:p>
        </w:tc>
        <w:tc>
          <w:tcPr>
            <w:tcW w:w="0" w:type="auto"/>
            <w:hideMark/>
          </w:tcPr>
          <w:p w14:paraId="577BF8EF" w14:textId="77777777" w:rsidR="000A3FC4" w:rsidRPr="00896679" w:rsidRDefault="000A3FC4" w:rsidP="00896679">
            <w:pPr>
              <w:spacing w:line="360" w:lineRule="auto"/>
              <w:jc w:val="both"/>
              <w:rPr>
                <w:rFonts w:ascii="Arial" w:hAnsi="Arial" w:cs="Arial"/>
              </w:rPr>
            </w:pPr>
            <w:r w:rsidRPr="00896679">
              <w:rPr>
                <w:rFonts w:ascii="Arial" w:hAnsi="Arial" w:cs="Arial"/>
              </w:rPr>
              <w:t>Low</w:t>
            </w:r>
          </w:p>
        </w:tc>
        <w:tc>
          <w:tcPr>
            <w:tcW w:w="0" w:type="auto"/>
            <w:hideMark/>
          </w:tcPr>
          <w:p w14:paraId="4A09C4B0" w14:textId="77777777" w:rsidR="000A3FC4" w:rsidRPr="00896679" w:rsidRDefault="000A3FC4" w:rsidP="00896679">
            <w:pPr>
              <w:spacing w:line="360" w:lineRule="auto"/>
              <w:jc w:val="both"/>
              <w:rPr>
                <w:rFonts w:ascii="Arial" w:hAnsi="Arial" w:cs="Arial"/>
              </w:rPr>
            </w:pPr>
            <w:r w:rsidRPr="00896679">
              <w:rPr>
                <w:rFonts w:ascii="Arial" w:hAnsi="Arial" w:cs="Arial"/>
              </w:rPr>
              <w:t>Low</w:t>
            </w:r>
          </w:p>
        </w:tc>
        <w:tc>
          <w:tcPr>
            <w:tcW w:w="0" w:type="auto"/>
            <w:hideMark/>
          </w:tcPr>
          <w:p w14:paraId="73CB61EF" w14:textId="77777777" w:rsidR="000A3FC4" w:rsidRPr="00896679" w:rsidRDefault="000A3FC4" w:rsidP="00896679">
            <w:pPr>
              <w:spacing w:line="360" w:lineRule="auto"/>
              <w:jc w:val="both"/>
              <w:rPr>
                <w:rFonts w:ascii="Arial" w:hAnsi="Arial" w:cs="Arial"/>
              </w:rPr>
            </w:pPr>
            <w:r w:rsidRPr="00896679">
              <w:rPr>
                <w:rFonts w:ascii="Arial" w:hAnsi="Arial" w:cs="Arial"/>
              </w:rPr>
              <w:t>Moderate</w:t>
            </w:r>
          </w:p>
        </w:tc>
      </w:tr>
      <w:tr w:rsidR="00896679" w:rsidRPr="00896679" w14:paraId="0F53DDE2" w14:textId="77777777" w:rsidTr="000A3FC4">
        <w:trPr>
          <w:trHeight w:val="623"/>
        </w:trPr>
        <w:tc>
          <w:tcPr>
            <w:tcW w:w="0" w:type="auto"/>
            <w:hideMark/>
          </w:tcPr>
          <w:p w14:paraId="2B9D4E66" w14:textId="77777777" w:rsidR="000A3FC4" w:rsidRPr="00896679" w:rsidRDefault="000A3FC4" w:rsidP="00896679">
            <w:pPr>
              <w:spacing w:line="360" w:lineRule="auto"/>
              <w:jc w:val="both"/>
              <w:rPr>
                <w:rFonts w:ascii="Arial" w:hAnsi="Arial" w:cs="Arial"/>
              </w:rPr>
            </w:pPr>
            <w:r w:rsidRPr="00896679">
              <w:rPr>
                <w:rFonts w:ascii="Arial" w:hAnsi="Arial" w:cs="Arial"/>
              </w:rPr>
              <w:t>Licensing</w:t>
            </w:r>
          </w:p>
        </w:tc>
        <w:tc>
          <w:tcPr>
            <w:tcW w:w="0" w:type="auto"/>
            <w:hideMark/>
          </w:tcPr>
          <w:p w14:paraId="4CD55873" w14:textId="77777777" w:rsidR="000A3FC4" w:rsidRPr="00896679" w:rsidRDefault="000A3FC4" w:rsidP="00896679">
            <w:pPr>
              <w:spacing w:line="360" w:lineRule="auto"/>
              <w:jc w:val="both"/>
              <w:rPr>
                <w:rFonts w:ascii="Arial" w:hAnsi="Arial" w:cs="Arial"/>
              </w:rPr>
            </w:pPr>
            <w:r w:rsidRPr="00896679">
              <w:rPr>
                <w:rFonts w:ascii="Arial" w:hAnsi="Arial" w:cs="Arial"/>
              </w:rPr>
              <w:t>Low</w:t>
            </w:r>
          </w:p>
        </w:tc>
        <w:tc>
          <w:tcPr>
            <w:tcW w:w="0" w:type="auto"/>
            <w:hideMark/>
          </w:tcPr>
          <w:p w14:paraId="2FAF12DD" w14:textId="77777777" w:rsidR="000A3FC4" w:rsidRPr="00896679" w:rsidRDefault="000A3FC4" w:rsidP="00896679">
            <w:pPr>
              <w:spacing w:line="360" w:lineRule="auto"/>
              <w:jc w:val="both"/>
              <w:rPr>
                <w:rFonts w:ascii="Arial" w:hAnsi="Arial" w:cs="Arial"/>
              </w:rPr>
            </w:pPr>
            <w:r w:rsidRPr="00896679">
              <w:rPr>
                <w:rFonts w:ascii="Arial" w:hAnsi="Arial" w:cs="Arial"/>
              </w:rPr>
              <w:t>Very Low</w:t>
            </w:r>
          </w:p>
        </w:tc>
        <w:tc>
          <w:tcPr>
            <w:tcW w:w="0" w:type="auto"/>
            <w:hideMark/>
          </w:tcPr>
          <w:p w14:paraId="6A736F04" w14:textId="77777777" w:rsidR="000A3FC4" w:rsidRPr="00896679" w:rsidRDefault="000A3FC4" w:rsidP="00896679">
            <w:pPr>
              <w:spacing w:line="360" w:lineRule="auto"/>
              <w:jc w:val="both"/>
              <w:rPr>
                <w:rFonts w:ascii="Arial" w:hAnsi="Arial" w:cs="Arial"/>
              </w:rPr>
            </w:pPr>
            <w:r w:rsidRPr="00896679">
              <w:rPr>
                <w:rFonts w:ascii="Arial" w:hAnsi="Arial" w:cs="Arial"/>
              </w:rPr>
              <w:t>High</w:t>
            </w:r>
          </w:p>
        </w:tc>
        <w:tc>
          <w:tcPr>
            <w:tcW w:w="0" w:type="auto"/>
            <w:hideMark/>
          </w:tcPr>
          <w:p w14:paraId="6976D846" w14:textId="77777777" w:rsidR="000A3FC4" w:rsidRPr="00896679" w:rsidRDefault="000A3FC4" w:rsidP="00896679">
            <w:pPr>
              <w:spacing w:line="360" w:lineRule="auto"/>
              <w:jc w:val="both"/>
              <w:rPr>
                <w:rFonts w:ascii="Arial" w:hAnsi="Arial" w:cs="Arial"/>
              </w:rPr>
            </w:pPr>
            <w:r w:rsidRPr="00896679">
              <w:rPr>
                <w:rFonts w:ascii="Arial" w:hAnsi="Arial" w:cs="Arial"/>
              </w:rPr>
              <w:t>Low</w:t>
            </w:r>
          </w:p>
        </w:tc>
      </w:tr>
      <w:tr w:rsidR="00896679" w:rsidRPr="00896679" w14:paraId="2F11B42E" w14:textId="77777777" w:rsidTr="000A3FC4">
        <w:trPr>
          <w:trHeight w:val="623"/>
        </w:trPr>
        <w:tc>
          <w:tcPr>
            <w:tcW w:w="0" w:type="auto"/>
            <w:hideMark/>
          </w:tcPr>
          <w:p w14:paraId="1F73E286" w14:textId="77777777" w:rsidR="000A3FC4" w:rsidRPr="00896679" w:rsidRDefault="000A3FC4" w:rsidP="00896679">
            <w:pPr>
              <w:spacing w:line="360" w:lineRule="auto"/>
              <w:jc w:val="both"/>
              <w:rPr>
                <w:rFonts w:ascii="Arial" w:hAnsi="Arial" w:cs="Arial"/>
              </w:rPr>
            </w:pPr>
            <w:r w:rsidRPr="00896679">
              <w:rPr>
                <w:rFonts w:ascii="Arial" w:hAnsi="Arial" w:cs="Arial"/>
              </w:rPr>
              <w:t>Joint Venture</w:t>
            </w:r>
          </w:p>
        </w:tc>
        <w:tc>
          <w:tcPr>
            <w:tcW w:w="0" w:type="auto"/>
            <w:hideMark/>
          </w:tcPr>
          <w:p w14:paraId="3BC5E3BB" w14:textId="77777777" w:rsidR="000A3FC4" w:rsidRPr="00896679" w:rsidRDefault="000A3FC4" w:rsidP="00896679">
            <w:pPr>
              <w:spacing w:line="360" w:lineRule="auto"/>
              <w:jc w:val="both"/>
              <w:rPr>
                <w:rFonts w:ascii="Arial" w:hAnsi="Arial" w:cs="Arial"/>
              </w:rPr>
            </w:pPr>
            <w:r w:rsidRPr="00896679">
              <w:rPr>
                <w:rFonts w:ascii="Arial" w:hAnsi="Arial" w:cs="Arial"/>
              </w:rPr>
              <w:t>Medium</w:t>
            </w:r>
          </w:p>
        </w:tc>
        <w:tc>
          <w:tcPr>
            <w:tcW w:w="0" w:type="auto"/>
            <w:hideMark/>
          </w:tcPr>
          <w:p w14:paraId="31BE477D" w14:textId="77777777" w:rsidR="000A3FC4" w:rsidRPr="00896679" w:rsidRDefault="000A3FC4" w:rsidP="00896679">
            <w:pPr>
              <w:spacing w:line="360" w:lineRule="auto"/>
              <w:jc w:val="both"/>
              <w:rPr>
                <w:rFonts w:ascii="Arial" w:hAnsi="Arial" w:cs="Arial"/>
              </w:rPr>
            </w:pPr>
            <w:r w:rsidRPr="00896679">
              <w:rPr>
                <w:rFonts w:ascii="Arial" w:hAnsi="Arial" w:cs="Arial"/>
              </w:rPr>
              <w:t>Medium</w:t>
            </w:r>
          </w:p>
        </w:tc>
        <w:tc>
          <w:tcPr>
            <w:tcW w:w="0" w:type="auto"/>
            <w:hideMark/>
          </w:tcPr>
          <w:p w14:paraId="6BC955FB" w14:textId="77777777" w:rsidR="000A3FC4" w:rsidRPr="00896679" w:rsidRDefault="000A3FC4" w:rsidP="00896679">
            <w:pPr>
              <w:spacing w:line="360" w:lineRule="auto"/>
              <w:jc w:val="both"/>
              <w:rPr>
                <w:rFonts w:ascii="Arial" w:hAnsi="Arial" w:cs="Arial"/>
              </w:rPr>
            </w:pPr>
            <w:r w:rsidRPr="00896679">
              <w:rPr>
                <w:rFonts w:ascii="Arial" w:hAnsi="Arial" w:cs="Arial"/>
              </w:rPr>
              <w:t>Medium</w:t>
            </w:r>
          </w:p>
        </w:tc>
        <w:tc>
          <w:tcPr>
            <w:tcW w:w="0" w:type="auto"/>
            <w:hideMark/>
          </w:tcPr>
          <w:p w14:paraId="25F47AA4" w14:textId="77777777" w:rsidR="000A3FC4" w:rsidRPr="00896679" w:rsidRDefault="000A3FC4" w:rsidP="00896679">
            <w:pPr>
              <w:spacing w:line="360" w:lineRule="auto"/>
              <w:jc w:val="both"/>
              <w:rPr>
                <w:rFonts w:ascii="Arial" w:hAnsi="Arial" w:cs="Arial"/>
              </w:rPr>
            </w:pPr>
            <w:r w:rsidRPr="00896679">
              <w:rPr>
                <w:rFonts w:ascii="Arial" w:hAnsi="Arial" w:cs="Arial"/>
              </w:rPr>
              <w:t>High</w:t>
            </w:r>
          </w:p>
        </w:tc>
      </w:tr>
      <w:tr w:rsidR="00896679" w:rsidRPr="00896679" w14:paraId="4886F279" w14:textId="77777777" w:rsidTr="000A3FC4">
        <w:trPr>
          <w:trHeight w:val="650"/>
        </w:trPr>
        <w:tc>
          <w:tcPr>
            <w:tcW w:w="0" w:type="auto"/>
            <w:hideMark/>
          </w:tcPr>
          <w:p w14:paraId="553A10F1" w14:textId="77777777" w:rsidR="000A3FC4" w:rsidRPr="00896679" w:rsidRDefault="000A3FC4" w:rsidP="00896679">
            <w:pPr>
              <w:spacing w:line="360" w:lineRule="auto"/>
              <w:jc w:val="both"/>
              <w:rPr>
                <w:rFonts w:ascii="Arial" w:hAnsi="Arial" w:cs="Arial"/>
              </w:rPr>
            </w:pPr>
            <w:r w:rsidRPr="00896679">
              <w:rPr>
                <w:rFonts w:ascii="Arial" w:hAnsi="Arial" w:cs="Arial"/>
              </w:rPr>
              <w:t>Wholly Owned Subsidiary</w:t>
            </w:r>
          </w:p>
        </w:tc>
        <w:tc>
          <w:tcPr>
            <w:tcW w:w="0" w:type="auto"/>
            <w:hideMark/>
          </w:tcPr>
          <w:p w14:paraId="2FA8CB4A" w14:textId="77777777" w:rsidR="000A3FC4" w:rsidRPr="00896679" w:rsidRDefault="000A3FC4" w:rsidP="00896679">
            <w:pPr>
              <w:spacing w:line="360" w:lineRule="auto"/>
              <w:jc w:val="both"/>
              <w:rPr>
                <w:rFonts w:ascii="Arial" w:hAnsi="Arial" w:cs="Arial"/>
              </w:rPr>
            </w:pPr>
            <w:r w:rsidRPr="00896679">
              <w:rPr>
                <w:rFonts w:ascii="Arial" w:hAnsi="Arial" w:cs="Arial"/>
              </w:rPr>
              <w:t>High</w:t>
            </w:r>
          </w:p>
        </w:tc>
        <w:tc>
          <w:tcPr>
            <w:tcW w:w="0" w:type="auto"/>
            <w:hideMark/>
          </w:tcPr>
          <w:p w14:paraId="798B9246" w14:textId="77777777" w:rsidR="000A3FC4" w:rsidRPr="00896679" w:rsidRDefault="000A3FC4" w:rsidP="00896679">
            <w:pPr>
              <w:spacing w:line="360" w:lineRule="auto"/>
              <w:jc w:val="both"/>
              <w:rPr>
                <w:rFonts w:ascii="Arial" w:hAnsi="Arial" w:cs="Arial"/>
              </w:rPr>
            </w:pPr>
            <w:r w:rsidRPr="00896679">
              <w:rPr>
                <w:rFonts w:ascii="Arial" w:hAnsi="Arial" w:cs="Arial"/>
              </w:rPr>
              <w:t>High</w:t>
            </w:r>
          </w:p>
        </w:tc>
        <w:tc>
          <w:tcPr>
            <w:tcW w:w="0" w:type="auto"/>
            <w:hideMark/>
          </w:tcPr>
          <w:p w14:paraId="7A7770B3" w14:textId="77777777" w:rsidR="000A3FC4" w:rsidRPr="00896679" w:rsidRDefault="000A3FC4" w:rsidP="00896679">
            <w:pPr>
              <w:spacing w:line="360" w:lineRule="auto"/>
              <w:jc w:val="both"/>
              <w:rPr>
                <w:rFonts w:ascii="Arial" w:hAnsi="Arial" w:cs="Arial"/>
              </w:rPr>
            </w:pPr>
            <w:r w:rsidRPr="00896679">
              <w:rPr>
                <w:rFonts w:ascii="Arial" w:hAnsi="Arial" w:cs="Arial"/>
              </w:rPr>
              <w:t>Medium-High</w:t>
            </w:r>
          </w:p>
        </w:tc>
        <w:tc>
          <w:tcPr>
            <w:tcW w:w="0" w:type="auto"/>
            <w:hideMark/>
          </w:tcPr>
          <w:p w14:paraId="532B8B2C" w14:textId="77777777" w:rsidR="000A3FC4" w:rsidRPr="00896679" w:rsidRDefault="000A3FC4" w:rsidP="00896679">
            <w:pPr>
              <w:spacing w:line="360" w:lineRule="auto"/>
              <w:jc w:val="both"/>
              <w:rPr>
                <w:rFonts w:ascii="Arial" w:hAnsi="Arial" w:cs="Arial"/>
              </w:rPr>
            </w:pPr>
            <w:r w:rsidRPr="00896679">
              <w:rPr>
                <w:rFonts w:ascii="Arial" w:hAnsi="Arial" w:cs="Arial"/>
              </w:rPr>
              <w:t>Very High</w:t>
            </w:r>
          </w:p>
        </w:tc>
      </w:tr>
    </w:tbl>
    <w:p w14:paraId="05F6490F" w14:textId="7C10DD7A" w:rsidR="00AA236A" w:rsidRPr="006B4D10" w:rsidRDefault="00AA236A" w:rsidP="00896679">
      <w:pPr>
        <w:spacing w:line="360" w:lineRule="auto"/>
        <w:jc w:val="both"/>
        <w:rPr>
          <w:rFonts w:ascii="Arial" w:hAnsi="Arial" w:cs="Arial"/>
          <w:b/>
          <w:bCs/>
          <w:sz w:val="22"/>
          <w:szCs w:val="22"/>
        </w:rPr>
      </w:pPr>
      <w:r w:rsidRPr="006B4D10">
        <w:rPr>
          <w:rFonts w:ascii="Arial" w:hAnsi="Arial" w:cs="Arial"/>
          <w:b/>
          <w:bCs/>
          <w:sz w:val="22"/>
          <w:szCs w:val="22"/>
        </w:rPr>
        <w:t>Table 7. Comparative Evaluation of Alternative Entry Modes for Dabur India in Mexico</w:t>
      </w:r>
    </w:p>
    <w:p w14:paraId="301FB2A8" w14:textId="77777777" w:rsidR="000A3FC4" w:rsidRPr="006B4D10" w:rsidRDefault="000A3FC4" w:rsidP="006B4D10">
      <w:pPr>
        <w:spacing w:line="360" w:lineRule="auto"/>
        <w:jc w:val="center"/>
        <w:rPr>
          <w:rFonts w:ascii="Arial" w:hAnsi="Arial" w:cs="Arial"/>
          <w:b/>
          <w:bCs/>
          <w:u w:val="single"/>
        </w:rPr>
      </w:pPr>
      <w:r w:rsidRPr="006B4D10">
        <w:rPr>
          <w:rFonts w:ascii="Arial" w:hAnsi="Arial" w:cs="Arial"/>
          <w:b/>
          <w:bCs/>
          <w:u w:val="single"/>
        </w:rPr>
        <w:t>Source: Developed by the author.</w:t>
      </w:r>
    </w:p>
    <w:p w14:paraId="7ADB691E" w14:textId="360CF20E" w:rsidR="0006501D" w:rsidRPr="00896679" w:rsidRDefault="00AA236A" w:rsidP="00896679">
      <w:pPr>
        <w:spacing w:line="360" w:lineRule="auto"/>
        <w:jc w:val="both"/>
        <w:rPr>
          <w:rFonts w:ascii="Arial" w:hAnsi="Arial" w:cs="Arial"/>
        </w:rPr>
      </w:pPr>
      <w:r w:rsidRPr="00896679">
        <w:rPr>
          <w:rFonts w:ascii="Arial" w:hAnsi="Arial" w:cs="Arial"/>
        </w:rPr>
        <w:t>Table 7 reveals that a wholly-owned subsidiary provides the maximum operational control which helps Dabur safeguard its proprietary Ayurvedic formulations, ensure quality of the products and enhance its brand positioning (Hill, 2022). Though it is more of an initial investment, the benefits of ownership and internalisation as identified in the OLI analysis more than outweigh the risks. Therefore, the best entry mode into Mexican FMCG market is a wholly owned subsidiary to create a sustainable competitive advantage.</w:t>
      </w:r>
    </w:p>
    <w:p w14:paraId="3E656F3C" w14:textId="2E0D8323" w:rsidR="00CC7C56" w:rsidRPr="00896679" w:rsidRDefault="00CC7C56" w:rsidP="006B4D10">
      <w:pPr>
        <w:pStyle w:val="Heading2"/>
      </w:pPr>
      <w:bookmarkStart w:id="19" w:name="_Toc234975928"/>
      <w:r w:rsidRPr="00896679">
        <w:t>4.3 Recommended Entry Mode for Dabur India's Expansion into Mexico</w:t>
      </w:r>
      <w:bookmarkEnd w:id="19"/>
      <w:r w:rsidRPr="00896679">
        <w:t xml:space="preserve"> </w:t>
      </w:r>
    </w:p>
    <w:p w14:paraId="22390474" w14:textId="77777777" w:rsidR="00AE1735" w:rsidRPr="00896679" w:rsidRDefault="0006501D" w:rsidP="00896679">
      <w:pPr>
        <w:spacing w:line="360" w:lineRule="auto"/>
        <w:jc w:val="both"/>
        <w:rPr>
          <w:rFonts w:ascii="Arial" w:hAnsi="Arial" w:cs="Arial"/>
        </w:rPr>
      </w:pPr>
      <w:r w:rsidRPr="00896679">
        <w:rPr>
          <w:rFonts w:ascii="Arial" w:hAnsi="Arial" w:cs="Arial"/>
        </w:rPr>
        <w:t xml:space="preserve">Based on the above analysis, it is clear that the entry mode for Dabur India to expand in Mexico is a 100% subsidiary. The macro-environmental analysis and Dunning's Eclectic Paradigm show that the ownership advantages do exist in Dabur and the location-specific advantages and control over business operations are the obvious advantages for Mexico. While both export and licensing may involve less financial investment, this strategy means that the business will have more control over the operations in order to create a sustainable competitive advantage. The use of a wholly owned subsidiary would help Dabur in controlling its production, marketing, distribution and quality management as well as in protecting their proprietary ayurvedic formulations and internationally recognised brands (Dabur India Ltd., 2026). This would also help to ensure a consistent brand positioning, ease compliance with Mexican regulations and educate consumers about the health benefits of </w:t>
      </w:r>
      <w:proofErr w:type="spellStart"/>
      <w:r w:rsidRPr="00896679">
        <w:rPr>
          <w:rFonts w:ascii="Arial" w:hAnsi="Arial" w:cs="Arial"/>
        </w:rPr>
        <w:t>Ayurvedics</w:t>
      </w:r>
      <w:proofErr w:type="spellEnd"/>
      <w:r w:rsidRPr="00896679">
        <w:rPr>
          <w:rFonts w:ascii="Arial" w:hAnsi="Arial" w:cs="Arial"/>
        </w:rPr>
        <w:t xml:space="preserve"> products which are not that common in the Mexican market (Hill, 2022). </w:t>
      </w:r>
    </w:p>
    <w:p w14:paraId="642F4749" w14:textId="29C7EE28" w:rsidR="00AE1735" w:rsidRPr="00896679" w:rsidRDefault="00AE1735" w:rsidP="00896679">
      <w:pPr>
        <w:spacing w:line="360" w:lineRule="auto"/>
        <w:jc w:val="both"/>
        <w:rPr>
          <w:rFonts w:ascii="Arial" w:hAnsi="Arial" w:cs="Arial"/>
        </w:rPr>
      </w:pPr>
      <w:r w:rsidRPr="00896679">
        <w:rPr>
          <w:rFonts w:ascii="Arial" w:hAnsi="Arial" w:cs="Arial"/>
          <w:noProof/>
        </w:rPr>
        <w:lastRenderedPageBreak/>
        <w:drawing>
          <wp:inline distT="0" distB="0" distL="0" distR="0" wp14:anchorId="721F8393" wp14:editId="4125B106">
            <wp:extent cx="6163945" cy="3214255"/>
            <wp:effectExtent l="0" t="0" r="8255" b="5715"/>
            <wp:docPr id="2485490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a:extLst>
                        <a:ext uri="{28A0092B-C50C-407E-A947-70E740481C1C}">
                          <a14:useLocalDpi xmlns:a14="http://schemas.microsoft.com/office/drawing/2010/main" val="0"/>
                        </a:ext>
                      </a:extLst>
                    </a:blip>
                    <a:srcRect t="24122" b="10975"/>
                    <a:stretch>
                      <a:fillRect/>
                    </a:stretch>
                  </pic:blipFill>
                  <pic:spPr bwMode="auto">
                    <a:xfrm>
                      <a:off x="0" y="0"/>
                      <a:ext cx="6215244" cy="3241005"/>
                    </a:xfrm>
                    <a:prstGeom prst="rect">
                      <a:avLst/>
                    </a:prstGeom>
                    <a:noFill/>
                    <a:ln>
                      <a:noFill/>
                    </a:ln>
                    <a:extLst>
                      <a:ext uri="{53640926-AAD7-44D8-BBD7-CCE9431645EC}">
                        <a14:shadowObscured xmlns:a14="http://schemas.microsoft.com/office/drawing/2010/main"/>
                      </a:ext>
                    </a:extLst>
                  </pic:spPr>
                </pic:pic>
              </a:graphicData>
            </a:graphic>
          </wp:inline>
        </w:drawing>
      </w:r>
    </w:p>
    <w:p w14:paraId="0664B64C" w14:textId="04CEA88C" w:rsidR="00CC7C56" w:rsidRPr="006B4D10" w:rsidRDefault="00CC7C56" w:rsidP="006B4D10">
      <w:pPr>
        <w:spacing w:line="360" w:lineRule="auto"/>
        <w:jc w:val="center"/>
        <w:rPr>
          <w:rFonts w:ascii="Arial" w:hAnsi="Arial" w:cs="Arial"/>
          <w:b/>
          <w:bCs/>
          <w:sz w:val="22"/>
          <w:szCs w:val="22"/>
          <w:u w:val="single"/>
        </w:rPr>
      </w:pPr>
      <w:r w:rsidRPr="006B4D10">
        <w:rPr>
          <w:rFonts w:ascii="Arial" w:hAnsi="Arial" w:cs="Arial"/>
          <w:b/>
          <w:bCs/>
          <w:sz w:val="22"/>
          <w:szCs w:val="22"/>
          <w:u w:val="single"/>
        </w:rPr>
        <w:t>Figure 7. Recommended Market Entry Strategy for Dabur India in Mexico</w:t>
      </w:r>
      <w:r w:rsidRPr="006B4D10">
        <w:rPr>
          <w:rFonts w:ascii="Arial" w:hAnsi="Arial" w:cs="Arial"/>
          <w:b/>
          <w:bCs/>
          <w:sz w:val="22"/>
          <w:szCs w:val="22"/>
          <w:u w:val="single"/>
        </w:rPr>
        <w:br/>
        <w:t>Source: Developed by the author.</w:t>
      </w:r>
    </w:p>
    <w:p w14:paraId="4B6DA0B8" w14:textId="7CC6C9B8" w:rsidR="0006501D" w:rsidRPr="00896679" w:rsidRDefault="0006501D" w:rsidP="00896679">
      <w:pPr>
        <w:spacing w:line="360" w:lineRule="auto"/>
        <w:jc w:val="both"/>
        <w:rPr>
          <w:rFonts w:ascii="Arial" w:hAnsi="Arial" w:cs="Arial"/>
        </w:rPr>
      </w:pPr>
      <w:r w:rsidRPr="00896679">
        <w:rPr>
          <w:rFonts w:ascii="Arial" w:hAnsi="Arial" w:cs="Arial"/>
        </w:rPr>
        <w:t xml:space="preserve">Mexico's strategic location, together with its wide-ranging trade agreements, modern logistics infrastructure, and growing health-conscious consumer segment further supports the argument for direct investment (World Bank, 2025; OECD, 2025). However, Dabur needs to effectively handle the regulatory compliance, currency fluctuations and competitive pressures, and invest in local marketing and strategic alliances with healthcare professionals and retailers to foster consumer confidence (Kotler and Keller, 2022). Over the long run, although it would require a hefty upfront investment, a wholly owned subsidiary has the potential of securing Dabur's competitive advantage and ensuring a sustainable existence in the Mexican FMCG market. </w:t>
      </w:r>
    </w:p>
    <w:p w14:paraId="7BFA566A" w14:textId="7C4DB033" w:rsidR="00AD7F35" w:rsidRPr="00896679" w:rsidRDefault="00AD7F35" w:rsidP="006B4D10">
      <w:pPr>
        <w:pStyle w:val="Heading2"/>
      </w:pPr>
      <w:bookmarkStart w:id="20" w:name="_Toc234975929"/>
      <w:r w:rsidRPr="00896679">
        <w:t>4.4 Strategic Recommendations and Conclusion</w:t>
      </w:r>
      <w:bookmarkEnd w:id="20"/>
    </w:p>
    <w:p w14:paraId="0D6D9F7A" w14:textId="3DCCB6C2" w:rsidR="00CC7C56" w:rsidRPr="00896679" w:rsidRDefault="0006501D" w:rsidP="00896679">
      <w:pPr>
        <w:spacing w:line="360" w:lineRule="auto"/>
        <w:jc w:val="both"/>
        <w:rPr>
          <w:rFonts w:ascii="Arial" w:hAnsi="Arial" w:cs="Arial"/>
        </w:rPr>
      </w:pPr>
      <w:r w:rsidRPr="00896679">
        <w:rPr>
          <w:rFonts w:ascii="Arial" w:hAnsi="Arial" w:cs="Arial"/>
        </w:rPr>
        <w:t xml:space="preserve">Based on the results of this report, it can be inferred that Mexico is an attractive market for Dabur India's expansion. It offers an excellent investment climate, a ramping up FMCG market, and a rising demand for natural health care and wellness foods, which align well with Dabur's organisational capacities and globalisation plan (World Bank, 2025; OECD, 2025). In addition, the use of the model of Bartlett and Ghoshal (1989) and Dunning (1988) known as International Strategy Framework and Eclectic Paradigm, respectively, </w:t>
      </w:r>
      <w:r w:rsidRPr="00896679">
        <w:rPr>
          <w:rFonts w:ascii="Arial" w:hAnsi="Arial" w:cs="Arial"/>
        </w:rPr>
        <w:lastRenderedPageBreak/>
        <w:t>shows that the company has the ownership advantages and strategic resources needed to succeed in the Mexican market. It is therefore recommended that a wholly owned subsidiary be set up to gain the maximum operational control, protection of the IP rights and strengthen the brand position. Dabur can focus on key factors such as regulatory compliance, culturally appropriate marketing, consumer education, and partnerships with key retailers and eCommerce platforms to facilitate successful implementation. In doing so, it can use the strategy of sustainable competitive advantage, boost its presence in Mexico and use it as a key jumping point for future expansion in the region.</w:t>
      </w:r>
    </w:p>
    <w:p w14:paraId="29544796" w14:textId="77777777" w:rsidR="00CC7C56" w:rsidRPr="00896679" w:rsidRDefault="00CC7C56" w:rsidP="00896679">
      <w:pPr>
        <w:spacing w:line="360" w:lineRule="auto"/>
        <w:jc w:val="both"/>
        <w:rPr>
          <w:rFonts w:ascii="Arial" w:hAnsi="Arial" w:cs="Arial"/>
        </w:rPr>
      </w:pPr>
    </w:p>
    <w:p w14:paraId="552CA908" w14:textId="77777777" w:rsidR="00CC7C56" w:rsidRPr="00896679" w:rsidRDefault="00CC7C56" w:rsidP="00896679">
      <w:pPr>
        <w:spacing w:line="360" w:lineRule="auto"/>
        <w:jc w:val="both"/>
        <w:rPr>
          <w:rFonts w:ascii="Arial" w:hAnsi="Arial" w:cs="Arial"/>
        </w:rPr>
      </w:pPr>
    </w:p>
    <w:p w14:paraId="754BD945" w14:textId="77777777" w:rsidR="00CC7C56" w:rsidRPr="00896679" w:rsidRDefault="00CC7C56" w:rsidP="00896679">
      <w:pPr>
        <w:spacing w:line="360" w:lineRule="auto"/>
        <w:jc w:val="both"/>
        <w:rPr>
          <w:rFonts w:ascii="Arial" w:hAnsi="Arial" w:cs="Arial"/>
        </w:rPr>
      </w:pPr>
    </w:p>
    <w:p w14:paraId="685243FB" w14:textId="77777777" w:rsidR="00CC7C56" w:rsidRPr="00896679" w:rsidRDefault="00CC7C56" w:rsidP="00896679">
      <w:pPr>
        <w:spacing w:line="360" w:lineRule="auto"/>
        <w:jc w:val="both"/>
        <w:rPr>
          <w:rFonts w:ascii="Arial" w:hAnsi="Arial" w:cs="Arial"/>
        </w:rPr>
      </w:pPr>
    </w:p>
    <w:p w14:paraId="1E8FE606" w14:textId="77777777" w:rsidR="00CC7C56" w:rsidRPr="00896679" w:rsidRDefault="00CC7C56" w:rsidP="00896679">
      <w:pPr>
        <w:spacing w:line="360" w:lineRule="auto"/>
        <w:jc w:val="both"/>
        <w:rPr>
          <w:rFonts w:ascii="Arial" w:hAnsi="Arial" w:cs="Arial"/>
        </w:rPr>
      </w:pPr>
    </w:p>
    <w:p w14:paraId="4906702B" w14:textId="77777777" w:rsidR="00CC7C56" w:rsidRPr="00896679" w:rsidRDefault="00CC7C56" w:rsidP="00896679">
      <w:pPr>
        <w:spacing w:line="360" w:lineRule="auto"/>
        <w:jc w:val="both"/>
        <w:rPr>
          <w:rFonts w:ascii="Arial" w:hAnsi="Arial" w:cs="Arial"/>
        </w:rPr>
      </w:pPr>
    </w:p>
    <w:p w14:paraId="771197BD" w14:textId="77777777" w:rsidR="00CC7C56" w:rsidRPr="00896679" w:rsidRDefault="00CC7C56" w:rsidP="00896679">
      <w:pPr>
        <w:spacing w:line="360" w:lineRule="auto"/>
        <w:jc w:val="both"/>
        <w:rPr>
          <w:rFonts w:ascii="Arial" w:hAnsi="Arial" w:cs="Arial"/>
        </w:rPr>
      </w:pPr>
    </w:p>
    <w:p w14:paraId="3EEEFA4A" w14:textId="77777777" w:rsidR="00CC7C56" w:rsidRPr="00896679" w:rsidRDefault="00CC7C56" w:rsidP="00896679">
      <w:pPr>
        <w:spacing w:line="360" w:lineRule="auto"/>
        <w:jc w:val="both"/>
        <w:rPr>
          <w:rFonts w:ascii="Arial" w:hAnsi="Arial" w:cs="Arial"/>
        </w:rPr>
      </w:pPr>
    </w:p>
    <w:p w14:paraId="0D29FF25" w14:textId="77777777" w:rsidR="00CC7C56" w:rsidRPr="00896679" w:rsidRDefault="00CC7C56" w:rsidP="00896679">
      <w:pPr>
        <w:spacing w:line="360" w:lineRule="auto"/>
        <w:jc w:val="both"/>
        <w:rPr>
          <w:rFonts w:ascii="Arial" w:hAnsi="Arial" w:cs="Arial"/>
        </w:rPr>
      </w:pPr>
    </w:p>
    <w:p w14:paraId="3CE7D590" w14:textId="77777777" w:rsidR="00CC7C56" w:rsidRPr="00896679" w:rsidRDefault="00CC7C56" w:rsidP="00896679">
      <w:pPr>
        <w:spacing w:line="360" w:lineRule="auto"/>
        <w:jc w:val="both"/>
        <w:rPr>
          <w:rFonts w:ascii="Arial" w:hAnsi="Arial" w:cs="Arial"/>
        </w:rPr>
      </w:pPr>
    </w:p>
    <w:p w14:paraId="777DA4DB" w14:textId="77777777" w:rsidR="00CC7C56" w:rsidRPr="00896679" w:rsidRDefault="00CC7C56" w:rsidP="00896679">
      <w:pPr>
        <w:spacing w:line="360" w:lineRule="auto"/>
        <w:jc w:val="both"/>
        <w:rPr>
          <w:rFonts w:ascii="Arial" w:hAnsi="Arial" w:cs="Arial"/>
        </w:rPr>
      </w:pPr>
    </w:p>
    <w:p w14:paraId="358952DE" w14:textId="77777777" w:rsidR="00CC7C56" w:rsidRPr="00896679" w:rsidRDefault="00CC7C56" w:rsidP="00896679">
      <w:pPr>
        <w:spacing w:line="360" w:lineRule="auto"/>
        <w:jc w:val="both"/>
        <w:rPr>
          <w:rFonts w:ascii="Arial" w:hAnsi="Arial" w:cs="Arial"/>
        </w:rPr>
      </w:pPr>
    </w:p>
    <w:p w14:paraId="68D895CD" w14:textId="77777777" w:rsidR="00CC7C56" w:rsidRPr="00896679" w:rsidRDefault="00CC7C56" w:rsidP="00896679">
      <w:pPr>
        <w:spacing w:line="360" w:lineRule="auto"/>
        <w:jc w:val="both"/>
        <w:rPr>
          <w:rFonts w:ascii="Arial" w:hAnsi="Arial" w:cs="Arial"/>
        </w:rPr>
      </w:pPr>
    </w:p>
    <w:p w14:paraId="668BA425" w14:textId="77777777" w:rsidR="00CC26EC" w:rsidRPr="00896679" w:rsidRDefault="00CC26EC" w:rsidP="00896679">
      <w:pPr>
        <w:spacing w:line="360" w:lineRule="auto"/>
        <w:jc w:val="both"/>
        <w:rPr>
          <w:rFonts w:ascii="Arial" w:hAnsi="Arial" w:cs="Arial"/>
        </w:rPr>
      </w:pPr>
    </w:p>
    <w:p w14:paraId="032FD4D9" w14:textId="77777777" w:rsidR="00EE6E67" w:rsidRPr="00896679" w:rsidRDefault="00EE6E67" w:rsidP="00896679">
      <w:pPr>
        <w:spacing w:line="360" w:lineRule="auto"/>
        <w:jc w:val="both"/>
        <w:rPr>
          <w:rFonts w:ascii="Arial" w:hAnsi="Arial" w:cs="Arial"/>
        </w:rPr>
      </w:pPr>
    </w:p>
    <w:p w14:paraId="3002F783" w14:textId="77777777" w:rsidR="0006501D" w:rsidRPr="00896679" w:rsidRDefault="0006501D" w:rsidP="00896679">
      <w:pPr>
        <w:spacing w:line="360" w:lineRule="auto"/>
        <w:jc w:val="both"/>
        <w:rPr>
          <w:rFonts w:ascii="Arial" w:hAnsi="Arial" w:cs="Arial"/>
        </w:rPr>
      </w:pPr>
    </w:p>
    <w:p w14:paraId="331310B2" w14:textId="77777777" w:rsidR="006B4D10" w:rsidRDefault="006B4D10" w:rsidP="00896679">
      <w:pPr>
        <w:spacing w:line="360" w:lineRule="auto"/>
        <w:jc w:val="both"/>
        <w:rPr>
          <w:rFonts w:ascii="Arial" w:hAnsi="Arial" w:cs="Arial"/>
        </w:rPr>
      </w:pPr>
    </w:p>
    <w:p w14:paraId="21CAA22A" w14:textId="64808FA1" w:rsidR="00CE5AB1" w:rsidRPr="00896679" w:rsidRDefault="00CE5AB1" w:rsidP="006B4D10">
      <w:pPr>
        <w:pStyle w:val="Heading1"/>
      </w:pPr>
      <w:bookmarkStart w:id="21" w:name="_Toc234975930"/>
      <w:r w:rsidRPr="00896679">
        <w:lastRenderedPageBreak/>
        <w:t>SECTION 2: Reflective Account</w:t>
      </w:r>
      <w:bookmarkEnd w:id="21"/>
    </w:p>
    <w:p w14:paraId="75BBDAD4" w14:textId="77777777" w:rsidR="00CE5AB1" w:rsidRPr="00896679" w:rsidRDefault="00CE5AB1" w:rsidP="006B4D10">
      <w:pPr>
        <w:pStyle w:val="Heading1"/>
      </w:pPr>
      <w:bookmarkStart w:id="22" w:name="_Toc234975931"/>
      <w:r w:rsidRPr="00896679">
        <w:t>5. Reflective Account Using Gibbs' Reflective Cycle</w:t>
      </w:r>
      <w:bookmarkEnd w:id="22"/>
    </w:p>
    <w:p w14:paraId="7844E10E" w14:textId="30CAB392" w:rsidR="00AA236A" w:rsidRPr="00896679" w:rsidRDefault="00AA236A" w:rsidP="00896679">
      <w:pPr>
        <w:spacing w:line="360" w:lineRule="auto"/>
        <w:jc w:val="both"/>
        <w:rPr>
          <w:rFonts w:ascii="Arial" w:hAnsi="Arial" w:cs="Arial"/>
        </w:rPr>
      </w:pPr>
      <w:r w:rsidRPr="00896679">
        <w:rPr>
          <w:rFonts w:ascii="Arial" w:hAnsi="Arial" w:cs="Arial"/>
        </w:rPr>
        <w:t xml:space="preserve">Gibbs' Reflective Cycle offers a systematic structure for reflecting upon learning experiences with a series of six steps: description, feelings, evaluation, analysis, conclusion and action plan (Gibbs, 1988). The use of this model allowed me to critically reflect on the research process followed during evaluation of the proposed expansion of Dabur India Ltd. into the Mexican market. The reflection also enabled me to evaluate my own research, the analytical and strategic </w:t>
      </w:r>
      <w:r w:rsidR="00AE1735" w:rsidRPr="00896679">
        <w:rPr>
          <w:rFonts w:ascii="Arial" w:hAnsi="Arial" w:cs="Arial"/>
        </w:rPr>
        <w:t>decision-making</w:t>
      </w:r>
      <w:r w:rsidRPr="00896679">
        <w:rPr>
          <w:rFonts w:ascii="Arial" w:hAnsi="Arial" w:cs="Arial"/>
        </w:rPr>
        <w:t xml:space="preserve"> process in completing this assignment.</w:t>
      </w:r>
    </w:p>
    <w:p w14:paraId="26F519F9" w14:textId="77777777" w:rsidR="00AE1735" w:rsidRPr="00896679" w:rsidRDefault="00AE1735" w:rsidP="00896679">
      <w:pPr>
        <w:spacing w:line="360" w:lineRule="auto"/>
        <w:jc w:val="both"/>
        <w:rPr>
          <w:rFonts w:ascii="Arial" w:hAnsi="Arial" w:cs="Arial"/>
        </w:rPr>
      </w:pPr>
    </w:p>
    <w:p w14:paraId="1C8A99C7" w14:textId="04CA9B6E" w:rsidR="00AE1735" w:rsidRPr="00896679" w:rsidRDefault="00AE1735" w:rsidP="00896679">
      <w:pPr>
        <w:spacing w:line="360" w:lineRule="auto"/>
        <w:jc w:val="both"/>
        <w:rPr>
          <w:rFonts w:ascii="Arial" w:hAnsi="Arial" w:cs="Arial"/>
        </w:rPr>
      </w:pPr>
      <w:r w:rsidRPr="00896679">
        <w:rPr>
          <w:rFonts w:ascii="Arial" w:hAnsi="Arial" w:cs="Arial"/>
          <w:noProof/>
        </w:rPr>
        <w:drawing>
          <wp:inline distT="0" distB="0" distL="0" distR="0" wp14:anchorId="65534ECE" wp14:editId="324295E1">
            <wp:extent cx="5984258" cy="3048000"/>
            <wp:effectExtent l="0" t="0" r="0" b="0"/>
            <wp:docPr id="8276942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a:extLst>
                        <a:ext uri="{28A0092B-C50C-407E-A947-70E740481C1C}">
                          <a14:useLocalDpi xmlns:a14="http://schemas.microsoft.com/office/drawing/2010/main" val="0"/>
                        </a:ext>
                      </a:extLst>
                    </a:blip>
                    <a:srcRect t="8016" b="7997"/>
                    <a:stretch>
                      <a:fillRect/>
                    </a:stretch>
                  </pic:blipFill>
                  <pic:spPr bwMode="auto">
                    <a:xfrm>
                      <a:off x="0" y="0"/>
                      <a:ext cx="6028236" cy="3070399"/>
                    </a:xfrm>
                    <a:prstGeom prst="rect">
                      <a:avLst/>
                    </a:prstGeom>
                    <a:noFill/>
                    <a:ln>
                      <a:noFill/>
                    </a:ln>
                    <a:extLst>
                      <a:ext uri="{53640926-AAD7-44D8-BBD7-CCE9431645EC}">
                        <a14:shadowObscured xmlns:a14="http://schemas.microsoft.com/office/drawing/2010/main"/>
                      </a:ext>
                    </a:extLst>
                  </pic:spPr>
                </pic:pic>
              </a:graphicData>
            </a:graphic>
          </wp:inline>
        </w:drawing>
      </w:r>
    </w:p>
    <w:p w14:paraId="654C1992" w14:textId="23F22BE4" w:rsidR="00CE5AB1" w:rsidRPr="006B4D10" w:rsidRDefault="00CE5AB1" w:rsidP="006B4D10">
      <w:pPr>
        <w:pStyle w:val="Heading3"/>
        <w:jc w:val="center"/>
        <w:rPr>
          <w:sz w:val="22"/>
          <w:szCs w:val="24"/>
          <w:u w:val="single"/>
        </w:rPr>
      </w:pPr>
      <w:bookmarkStart w:id="23" w:name="_Toc234975932"/>
      <w:r w:rsidRPr="006B4D10">
        <w:rPr>
          <w:sz w:val="22"/>
          <w:szCs w:val="24"/>
          <w:u w:val="single"/>
        </w:rPr>
        <w:t>Figure 8. Gibbs' Reflective Cycle</w:t>
      </w:r>
      <w:r w:rsidRPr="006B4D10">
        <w:rPr>
          <w:sz w:val="22"/>
          <w:szCs w:val="24"/>
          <w:u w:val="single"/>
        </w:rPr>
        <w:br/>
        <w:t>Source: Adapted from Gibbs (1988).</w:t>
      </w:r>
      <w:bookmarkEnd w:id="23"/>
    </w:p>
    <w:p w14:paraId="337DDCB1" w14:textId="77777777" w:rsidR="00CE5AB1" w:rsidRPr="00896679" w:rsidRDefault="00CE5AB1" w:rsidP="006B4D10">
      <w:pPr>
        <w:pStyle w:val="Heading2"/>
      </w:pPr>
      <w:bookmarkStart w:id="24" w:name="_Toc234975933"/>
      <w:r w:rsidRPr="00896679">
        <w:t>5.1 Description</w:t>
      </w:r>
      <w:bookmarkEnd w:id="24"/>
    </w:p>
    <w:p w14:paraId="120F6B77" w14:textId="2F10D293" w:rsidR="00AA236A" w:rsidRPr="00896679" w:rsidRDefault="00AA236A" w:rsidP="00896679">
      <w:pPr>
        <w:spacing w:line="360" w:lineRule="auto"/>
        <w:jc w:val="both"/>
        <w:rPr>
          <w:rFonts w:ascii="Arial" w:hAnsi="Arial" w:cs="Arial"/>
        </w:rPr>
      </w:pPr>
      <w:r w:rsidRPr="00896679">
        <w:rPr>
          <w:rFonts w:ascii="Arial" w:hAnsi="Arial" w:cs="Arial"/>
        </w:rPr>
        <w:t xml:space="preserve">This report assessed the possibilities of Dabur India Ltd. entering into the Mexican </w:t>
      </w:r>
      <w:r w:rsidR="002A0199" w:rsidRPr="00896679">
        <w:rPr>
          <w:rFonts w:ascii="Arial" w:hAnsi="Arial" w:cs="Arial"/>
        </w:rPr>
        <w:t>market (Smith 2000)</w:t>
      </w:r>
      <w:r w:rsidRPr="00896679">
        <w:rPr>
          <w:rFonts w:ascii="Arial" w:hAnsi="Arial" w:cs="Arial"/>
        </w:rPr>
        <w:t xml:space="preserve">. The first step in the research was to find an appropriate multinational firm, and then Mexico had to satisfy a criterion of being a country in which the firm did not have any significant operational presence, for the assessment. Peer-reviewed journal articles, </w:t>
      </w:r>
      <w:r w:rsidRPr="00896679">
        <w:rPr>
          <w:rFonts w:ascii="Arial" w:hAnsi="Arial" w:cs="Arial"/>
        </w:rPr>
        <w:lastRenderedPageBreak/>
        <w:t xml:space="preserve">company annual reports, World Bank, OECD, IMF publications were consulted to ensure reliable and up-to-date evidence was used in support of the analysis. Then, using Bartlett and Ghoshal's International Strategy Framework and Dunning's Eclectic Paradigm (OLI Framework), I examined and </w:t>
      </w:r>
      <w:r w:rsidR="005A4F89" w:rsidRPr="00896679">
        <w:rPr>
          <w:rFonts w:ascii="Arial" w:hAnsi="Arial" w:cs="Arial"/>
        </w:rPr>
        <w:t>analysed</w:t>
      </w:r>
      <w:r w:rsidRPr="00896679">
        <w:rPr>
          <w:rFonts w:ascii="Arial" w:hAnsi="Arial" w:cs="Arial"/>
        </w:rPr>
        <w:t xml:space="preserve"> Dabur's international strategy and the market entry mode that seemed best for the company (Bartlett and Ghoshal, 1989; Dunning, 1988). </w:t>
      </w:r>
    </w:p>
    <w:p w14:paraId="3876A5AB" w14:textId="44051550" w:rsidR="00CE5AB1" w:rsidRPr="00896679" w:rsidRDefault="00CE5AB1" w:rsidP="006B4D10">
      <w:pPr>
        <w:pStyle w:val="Heading2"/>
      </w:pPr>
      <w:bookmarkStart w:id="25" w:name="_Toc234975934"/>
      <w:r w:rsidRPr="00896679">
        <w:t>5.2 Feelings</w:t>
      </w:r>
      <w:bookmarkEnd w:id="25"/>
    </w:p>
    <w:p w14:paraId="3C460F97" w14:textId="624A3DF7" w:rsidR="00AA236A" w:rsidRPr="00896679" w:rsidRDefault="00AA236A" w:rsidP="00896679">
      <w:pPr>
        <w:spacing w:line="360" w:lineRule="auto"/>
        <w:jc w:val="both"/>
        <w:rPr>
          <w:rFonts w:ascii="Arial" w:hAnsi="Arial" w:cs="Arial"/>
        </w:rPr>
      </w:pPr>
      <w:r w:rsidRPr="00896679">
        <w:rPr>
          <w:rFonts w:ascii="Arial" w:hAnsi="Arial" w:cs="Arial"/>
        </w:rPr>
        <w:t>By the start of this assignment, I thought a key part of analysing international expansion was just finding good markets that have good economic potential. As I went on reading, however, I realised that a much more comprehensive assessment of political, economic, legal and cultural aspects is necessary as well as organisational ability to achieve successful internationalisation</w:t>
      </w:r>
      <w:r w:rsidR="00896679" w:rsidRPr="00896679">
        <w:rPr>
          <w:rFonts w:ascii="Arial" w:hAnsi="Arial" w:cs="Arial"/>
        </w:rPr>
        <w:t xml:space="preserve"> (</w:t>
      </w:r>
      <w:proofErr w:type="spellStart"/>
      <w:r w:rsidR="00896679" w:rsidRPr="00896679">
        <w:rPr>
          <w:rFonts w:ascii="Arial" w:hAnsi="Arial" w:cs="Arial"/>
        </w:rPr>
        <w:t>Hénard</w:t>
      </w:r>
      <w:proofErr w:type="spellEnd"/>
      <w:r w:rsidR="00896679" w:rsidRPr="00896679">
        <w:rPr>
          <w:rFonts w:ascii="Arial" w:hAnsi="Arial" w:cs="Arial"/>
        </w:rPr>
        <w:t xml:space="preserve">, Diamond and </w:t>
      </w:r>
      <w:proofErr w:type="spellStart"/>
      <w:r w:rsidR="00896679" w:rsidRPr="00896679">
        <w:rPr>
          <w:rFonts w:ascii="Arial" w:hAnsi="Arial" w:cs="Arial"/>
        </w:rPr>
        <w:t>Roseveare</w:t>
      </w:r>
      <w:proofErr w:type="spellEnd"/>
      <w:r w:rsidR="00896679" w:rsidRPr="00896679">
        <w:rPr>
          <w:rFonts w:ascii="Arial" w:hAnsi="Arial" w:cs="Arial"/>
        </w:rPr>
        <w:t>, 2012)</w:t>
      </w:r>
      <w:r w:rsidRPr="00896679">
        <w:rPr>
          <w:rFonts w:ascii="Arial" w:hAnsi="Arial" w:cs="Arial"/>
        </w:rPr>
        <w:t xml:space="preserve">. </w:t>
      </w:r>
      <w:r w:rsidR="00AE1735" w:rsidRPr="00896679">
        <w:rPr>
          <w:rFonts w:ascii="Arial" w:hAnsi="Arial" w:cs="Arial"/>
        </w:rPr>
        <w:t>Firstly,</w:t>
      </w:r>
      <w:r w:rsidRPr="00896679">
        <w:rPr>
          <w:rFonts w:ascii="Arial" w:hAnsi="Arial" w:cs="Arial"/>
        </w:rPr>
        <w:t xml:space="preserve"> I struggled to find a country where Dabur was not much involved to operate as there was no general information but needed to do necessary verification from multiple sources. Even though of these difficulties, I slowly started to build my confidence in analysing international markets using some of the effective strategic frameworks. The use of theory models to a real organisation enabled the concepts to be translated to practical business decisions. The experience boosted my confidence in interpreting the academic literature, and also reinforced my knowledge of the criteria used by the multinational companies in their analysis of investment opportunities overseas.</w:t>
      </w:r>
    </w:p>
    <w:p w14:paraId="6EC47FA1" w14:textId="04B37087" w:rsidR="00CE5AB1" w:rsidRPr="00896679" w:rsidRDefault="00CE5AB1" w:rsidP="006B4D10">
      <w:pPr>
        <w:pStyle w:val="Heading2"/>
      </w:pPr>
      <w:bookmarkStart w:id="26" w:name="_Toc234975935"/>
      <w:r w:rsidRPr="00896679">
        <w:t>5.3 Evaluation</w:t>
      </w:r>
      <w:bookmarkEnd w:id="26"/>
    </w:p>
    <w:p w14:paraId="160D8F34" w14:textId="682C799F" w:rsidR="00AA236A" w:rsidRPr="00896679" w:rsidRDefault="00AA236A" w:rsidP="00896679">
      <w:pPr>
        <w:spacing w:line="360" w:lineRule="auto"/>
        <w:jc w:val="both"/>
        <w:rPr>
          <w:rFonts w:ascii="Arial" w:hAnsi="Arial" w:cs="Arial"/>
        </w:rPr>
      </w:pPr>
      <w:r w:rsidRPr="00896679">
        <w:rPr>
          <w:rFonts w:ascii="Arial" w:hAnsi="Arial" w:cs="Arial"/>
        </w:rPr>
        <w:t xml:space="preserve">The assignment was very useful as it allowed me to integrate theory with business analysis overall. I believe that one of the best parts of my work was that it used several credible sources and didn't just rely on textbooks. Using peer-reviewed journal articles in conjunction with company reports and publication from international organisations enhanced the reliability and quality of my analysis (Saunders et al., 2023). The positive part was that the international business theories were applied in a real organisational setting. Prior to conducting this report, I was familiar with the theory of Bartlett and Ghoshal's model and Dunning's OLI framework. Applying these frameworks to Dabur India helped me to understand how the multinational companies take decisions related to international expansion and competitive advantage. But there were also some problems </w:t>
      </w:r>
      <w:r w:rsidRPr="00896679">
        <w:rPr>
          <w:rFonts w:ascii="Arial" w:hAnsi="Arial" w:cs="Arial"/>
        </w:rPr>
        <w:lastRenderedPageBreak/>
        <w:t>that I had to face. To gather accurate and up to date details about Dabur's overseas business, it was necessary to cross-check details from various sources. In addition, it was more challenging to convert descriptive data into critical analysis than anticipated as postgraduate study requires some level of interpretation and evaluation in addition to the presentation of facts. This underscored the need for critical thinking for academic research.</w:t>
      </w:r>
    </w:p>
    <w:p w14:paraId="49BAFF10" w14:textId="7A652A1D" w:rsidR="00CE5AB1" w:rsidRPr="00896679" w:rsidRDefault="00CE5AB1" w:rsidP="006B4D10">
      <w:pPr>
        <w:pStyle w:val="Heading2"/>
      </w:pPr>
      <w:bookmarkStart w:id="27" w:name="_Toc234975936"/>
      <w:r w:rsidRPr="00896679">
        <w:t>5.4 Analysis</w:t>
      </w:r>
      <w:bookmarkEnd w:id="27"/>
    </w:p>
    <w:p w14:paraId="6BB2DCDB" w14:textId="05284AF5" w:rsidR="00AA236A" w:rsidRPr="00896679" w:rsidRDefault="00AA236A" w:rsidP="00896679">
      <w:pPr>
        <w:spacing w:line="360" w:lineRule="auto"/>
        <w:jc w:val="both"/>
        <w:rPr>
          <w:rFonts w:ascii="Arial" w:hAnsi="Arial" w:cs="Arial"/>
        </w:rPr>
      </w:pPr>
      <w:r w:rsidRPr="00896679">
        <w:rPr>
          <w:rFonts w:ascii="Arial" w:hAnsi="Arial" w:cs="Arial"/>
        </w:rPr>
        <w:t xml:space="preserve">This assignment helped me to learn and understand the international business strategy because it helped me understand that the key to successful internationalisation is to fit the organisation with the external market conditions. The International Strategy Framework of Bartlett and Ghoshal </w:t>
      </w:r>
      <w:r w:rsidR="00AE1735" w:rsidRPr="00896679">
        <w:rPr>
          <w:rFonts w:ascii="Arial" w:hAnsi="Arial" w:cs="Arial"/>
        </w:rPr>
        <w:t>illustrate</w:t>
      </w:r>
      <w:r w:rsidRPr="00896679">
        <w:rPr>
          <w:rFonts w:ascii="Arial" w:hAnsi="Arial" w:cs="Arial"/>
        </w:rPr>
        <w:t xml:space="preserve"> how multinationals have to integrate on a global scale, while being responsive locally in order to gain sustainable competitive advantage (Bartlett and Ghoshal, 1989). When analysing Dabur's international activities, it was clear how necessary product and strategy adaptations were to local markets.</w:t>
      </w:r>
    </w:p>
    <w:p w14:paraId="0C423997" w14:textId="6CD317CF" w:rsidR="005A4F89" w:rsidRPr="00896679" w:rsidRDefault="006B4D10" w:rsidP="00896679">
      <w:pPr>
        <w:spacing w:line="360" w:lineRule="auto"/>
        <w:jc w:val="both"/>
        <w:rPr>
          <w:rFonts w:ascii="Arial" w:hAnsi="Arial" w:cs="Arial"/>
        </w:rPr>
      </w:pPr>
      <w:r w:rsidRPr="00896679">
        <w:rPr>
          <w:rFonts w:ascii="Arial" w:hAnsi="Arial" w:cs="Arial"/>
          <w:noProof/>
        </w:rPr>
        <w:drawing>
          <wp:inline distT="0" distB="0" distL="0" distR="0" wp14:anchorId="6AA46CF5" wp14:editId="7D3B73B6">
            <wp:extent cx="5931535" cy="3035300"/>
            <wp:effectExtent l="0" t="0" r="0" b="0"/>
            <wp:docPr id="6448564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a:extLst>
                        <a:ext uri="{28A0092B-C50C-407E-A947-70E740481C1C}">
                          <a14:useLocalDpi xmlns:a14="http://schemas.microsoft.com/office/drawing/2010/main" val="0"/>
                        </a:ext>
                      </a:extLst>
                    </a:blip>
                    <a:srcRect t="19572" b="12112"/>
                    <a:stretch>
                      <a:fillRect/>
                    </a:stretch>
                  </pic:blipFill>
                  <pic:spPr bwMode="auto">
                    <a:xfrm>
                      <a:off x="0" y="0"/>
                      <a:ext cx="5970479" cy="3055229"/>
                    </a:xfrm>
                    <a:prstGeom prst="rect">
                      <a:avLst/>
                    </a:prstGeom>
                    <a:noFill/>
                    <a:ln>
                      <a:noFill/>
                    </a:ln>
                    <a:extLst>
                      <a:ext uri="{53640926-AAD7-44D8-BBD7-CCE9431645EC}">
                        <a14:shadowObscured xmlns:a14="http://schemas.microsoft.com/office/drawing/2010/main"/>
                      </a:ext>
                    </a:extLst>
                  </pic:spPr>
                </pic:pic>
              </a:graphicData>
            </a:graphic>
          </wp:inline>
        </w:drawing>
      </w:r>
    </w:p>
    <w:p w14:paraId="291A945A" w14:textId="63A805CF" w:rsidR="0006501D" w:rsidRPr="006B4D10" w:rsidRDefault="0006501D" w:rsidP="006B4D10">
      <w:pPr>
        <w:spacing w:line="360" w:lineRule="auto"/>
        <w:jc w:val="center"/>
        <w:rPr>
          <w:rFonts w:ascii="Arial" w:hAnsi="Arial" w:cs="Arial"/>
          <w:b/>
          <w:bCs/>
          <w:sz w:val="22"/>
          <w:szCs w:val="22"/>
          <w:u w:val="single"/>
        </w:rPr>
      </w:pPr>
      <w:r w:rsidRPr="006B4D10">
        <w:rPr>
          <w:rFonts w:ascii="Arial" w:hAnsi="Arial" w:cs="Arial"/>
          <w:b/>
          <w:bCs/>
          <w:sz w:val="22"/>
          <w:szCs w:val="22"/>
          <w:u w:val="single"/>
        </w:rPr>
        <w:t>Figure 9. Relationship Between International Business Theory and Strategic Decision-Making</w:t>
      </w:r>
      <w:r w:rsidRPr="006B4D10">
        <w:rPr>
          <w:rFonts w:ascii="Arial" w:hAnsi="Arial" w:cs="Arial"/>
          <w:b/>
          <w:bCs/>
          <w:sz w:val="22"/>
          <w:szCs w:val="22"/>
          <w:u w:val="single"/>
        </w:rPr>
        <w:br/>
        <w:t>Source: Developed by the author.</w:t>
      </w:r>
    </w:p>
    <w:p w14:paraId="728C62BA" w14:textId="4F8F5863" w:rsidR="00AA236A" w:rsidRPr="00896679" w:rsidRDefault="00AA236A" w:rsidP="00896679">
      <w:pPr>
        <w:spacing w:line="360" w:lineRule="auto"/>
        <w:jc w:val="both"/>
        <w:rPr>
          <w:rFonts w:ascii="Arial" w:hAnsi="Arial" w:cs="Arial"/>
        </w:rPr>
      </w:pPr>
      <w:r w:rsidRPr="00896679">
        <w:rPr>
          <w:rFonts w:ascii="Arial" w:hAnsi="Arial" w:cs="Arial"/>
        </w:rPr>
        <w:lastRenderedPageBreak/>
        <w:t xml:space="preserve">Dunning's Eclectic Paradigm also reinforced my understanding of foreign direct investment, by further emphasising the three key characteristics of ownership, location and internalisation advantages for choosing an entry strategy (Dunning, 1988). In </w:t>
      </w:r>
      <w:r w:rsidR="00AE1735" w:rsidRPr="00896679">
        <w:rPr>
          <w:rFonts w:ascii="Arial" w:hAnsi="Arial" w:cs="Arial"/>
        </w:rPr>
        <w:t>addition,</w:t>
      </w:r>
      <w:r w:rsidRPr="00896679">
        <w:rPr>
          <w:rFonts w:ascii="Arial" w:hAnsi="Arial" w:cs="Arial"/>
        </w:rPr>
        <w:t xml:space="preserve"> the research process helped me to become more critical in the analysis of information by comparing evidence from academic journals, companies' reports and international organisations. This experience has helped develop my critical thinking, analytical skills and my confidence in making evidence based strategic recommendations that have credible academic sources (Saunders et al</w:t>
      </w:r>
      <w:r w:rsidR="00AE1735" w:rsidRPr="00896679">
        <w:rPr>
          <w:rFonts w:ascii="Arial" w:hAnsi="Arial" w:cs="Arial"/>
        </w:rPr>
        <w:t>).</w:t>
      </w:r>
    </w:p>
    <w:p w14:paraId="6DCD1C5B" w14:textId="52A602BC" w:rsidR="00CE5AB1" w:rsidRPr="00896679" w:rsidRDefault="00CE5AB1" w:rsidP="006B4D10">
      <w:pPr>
        <w:pStyle w:val="Heading2"/>
      </w:pPr>
      <w:bookmarkStart w:id="28" w:name="_Toc234975937"/>
      <w:r w:rsidRPr="00896679">
        <w:t>5.5 Conclusion</w:t>
      </w:r>
      <w:bookmarkEnd w:id="28"/>
    </w:p>
    <w:p w14:paraId="418B4912" w14:textId="77777777" w:rsidR="00AA236A" w:rsidRPr="00896679" w:rsidRDefault="00AA236A" w:rsidP="00896679">
      <w:pPr>
        <w:spacing w:line="360" w:lineRule="auto"/>
        <w:jc w:val="both"/>
        <w:rPr>
          <w:rFonts w:ascii="Arial" w:hAnsi="Arial" w:cs="Arial"/>
        </w:rPr>
      </w:pPr>
      <w:r w:rsidRPr="00896679">
        <w:rPr>
          <w:rFonts w:ascii="Arial" w:hAnsi="Arial" w:cs="Arial"/>
        </w:rPr>
        <w:t xml:space="preserve">This assignment most definitely helped me in developing my understanding of international business management and strategic decisions for market entry. It showed that the effective internationalisation of the business needs to be carefully balanced in relation to the business capabilities, environment assessment and existing theories. The experience also helped me to become more confident in my abilities to undertake academic research on my own and to critically analyse evidence and use theoretical models in real life business contexts. All these skills will help me in my future post graduate degree as well as in my career. </w:t>
      </w:r>
    </w:p>
    <w:p w14:paraId="6E8D9C04" w14:textId="2D99E04B" w:rsidR="00CE5AB1" w:rsidRPr="00896679" w:rsidRDefault="00CE5AB1" w:rsidP="006B4D10">
      <w:pPr>
        <w:pStyle w:val="Heading2"/>
      </w:pPr>
      <w:bookmarkStart w:id="29" w:name="_Toc234975938"/>
      <w:r w:rsidRPr="00896679">
        <w:t>5.6 Action Plan</w:t>
      </w:r>
      <w:bookmarkEnd w:id="29"/>
    </w:p>
    <w:p w14:paraId="0736E0C6" w14:textId="7ED2F0C5" w:rsidR="00694A44" w:rsidRPr="00896679" w:rsidRDefault="00AA236A" w:rsidP="00896679">
      <w:pPr>
        <w:spacing w:line="360" w:lineRule="auto"/>
        <w:jc w:val="both"/>
        <w:rPr>
          <w:rFonts w:ascii="Arial" w:hAnsi="Arial" w:cs="Arial"/>
        </w:rPr>
      </w:pPr>
      <w:r w:rsidRPr="00896679">
        <w:rPr>
          <w:rFonts w:ascii="Arial" w:hAnsi="Arial" w:cs="Arial"/>
        </w:rPr>
        <w:t>This reflective experience has identified a number of areas that I need to develop or improve in the future. I plan to improve my research capabilities and use peer-reviewed journals and trusted international business databases more in the future to improve on the quality of the academic work. I also hope to develop my critical analysis skills in order to assess a number of theoretical views before deciding. In addition, I want to build my knowledge and understanding of international strategy and cross-cultural management for more effective decision making. Last, I will continue to develop my academic writing skills with emphasis on critical discussion, logical development of arguments and the effective incorporation of current scholarly evidence in preparation for future academic and professional endeavors.</w:t>
      </w:r>
    </w:p>
    <w:p w14:paraId="1D482A31" w14:textId="77777777" w:rsidR="006B4D10" w:rsidRDefault="006B4D10" w:rsidP="00896679">
      <w:pPr>
        <w:spacing w:line="360" w:lineRule="auto"/>
        <w:jc w:val="both"/>
        <w:rPr>
          <w:rFonts w:ascii="Arial" w:hAnsi="Arial" w:cs="Arial"/>
        </w:rPr>
      </w:pPr>
    </w:p>
    <w:p w14:paraId="09D6DE7D" w14:textId="77777777" w:rsidR="006B4D10" w:rsidRDefault="006B4D10" w:rsidP="00896679">
      <w:pPr>
        <w:spacing w:line="360" w:lineRule="auto"/>
        <w:jc w:val="both"/>
        <w:rPr>
          <w:rFonts w:ascii="Arial" w:hAnsi="Arial" w:cs="Arial"/>
        </w:rPr>
      </w:pPr>
    </w:p>
    <w:p w14:paraId="1F4A5FB7" w14:textId="74876912" w:rsidR="00896679" w:rsidRPr="00896679" w:rsidRDefault="00896679" w:rsidP="006B4D10">
      <w:pPr>
        <w:pStyle w:val="Heading1"/>
      </w:pPr>
      <w:bookmarkStart w:id="30" w:name="_Toc234975939"/>
      <w:r w:rsidRPr="00896679">
        <w:lastRenderedPageBreak/>
        <w:t>References:</w:t>
      </w:r>
      <w:bookmarkEnd w:id="30"/>
    </w:p>
    <w:p w14:paraId="34CBD126" w14:textId="77777777" w:rsidR="00896679" w:rsidRPr="00896679" w:rsidRDefault="00896679" w:rsidP="006B4D10">
      <w:pPr>
        <w:spacing w:line="360" w:lineRule="auto"/>
        <w:rPr>
          <w:rFonts w:ascii="Arial" w:hAnsi="Arial" w:cs="Arial"/>
        </w:rPr>
      </w:pPr>
      <w:r w:rsidRPr="00896679">
        <w:rPr>
          <w:rFonts w:ascii="Arial" w:hAnsi="Arial" w:cs="Arial"/>
        </w:rPr>
        <w:t xml:space="preserve">Bartlett, C.A. and Ghoshal, S. (1989) </w:t>
      </w:r>
      <w:r w:rsidRPr="00896679">
        <w:rPr>
          <w:rFonts w:ascii="Arial" w:hAnsi="Arial" w:cs="Arial"/>
          <w:i/>
          <w:iCs/>
        </w:rPr>
        <w:t>Managing Across Borders: The Transnational Solution.</w:t>
      </w:r>
      <w:r w:rsidRPr="00896679">
        <w:rPr>
          <w:rFonts w:ascii="Arial" w:hAnsi="Arial" w:cs="Arial"/>
        </w:rPr>
        <w:t xml:space="preserve"> Boston, MA: Harvard Business School Press. Available at: </w:t>
      </w:r>
      <w:hyperlink r:id="rId18" w:tgtFrame="_new" w:history="1">
        <w:r w:rsidRPr="00896679">
          <w:rPr>
            <w:rStyle w:val="Hyperlink"/>
            <w:rFonts w:ascii="Arial" w:hAnsi="Arial" w:cs="Arial"/>
          </w:rPr>
          <w:t>https://store.hbr.org/product/managing-across-borders-the-transnational-solution/9780875843926</w:t>
        </w:r>
      </w:hyperlink>
      <w:r w:rsidRPr="00896679">
        <w:rPr>
          <w:rFonts w:ascii="Arial" w:hAnsi="Arial" w:cs="Arial"/>
        </w:rPr>
        <w:t xml:space="preserve"> (Accessed: 15 July 2026).</w:t>
      </w:r>
    </w:p>
    <w:p w14:paraId="0A236671" w14:textId="77777777" w:rsidR="00896679" w:rsidRPr="00896679" w:rsidRDefault="00896679" w:rsidP="006B4D10">
      <w:pPr>
        <w:spacing w:line="360" w:lineRule="auto"/>
        <w:rPr>
          <w:rFonts w:ascii="Arial" w:hAnsi="Arial" w:cs="Arial"/>
        </w:rPr>
      </w:pPr>
      <w:r w:rsidRPr="00896679">
        <w:rPr>
          <w:rFonts w:ascii="Arial" w:hAnsi="Arial" w:cs="Arial"/>
        </w:rPr>
        <w:t xml:space="preserve">Cavusgil, S.T., Knight, G. and Riesenberger, J.R. (2024) </w:t>
      </w:r>
      <w:r w:rsidRPr="00896679">
        <w:rPr>
          <w:rFonts w:ascii="Arial" w:hAnsi="Arial" w:cs="Arial"/>
          <w:i/>
          <w:iCs/>
        </w:rPr>
        <w:t>International Business: The New Realities.</w:t>
      </w:r>
      <w:r w:rsidRPr="00896679">
        <w:rPr>
          <w:rFonts w:ascii="Arial" w:hAnsi="Arial" w:cs="Arial"/>
        </w:rPr>
        <w:t xml:space="preserve"> 6th </w:t>
      </w:r>
      <w:proofErr w:type="spellStart"/>
      <w:r w:rsidRPr="00896679">
        <w:rPr>
          <w:rFonts w:ascii="Arial" w:hAnsi="Arial" w:cs="Arial"/>
        </w:rPr>
        <w:t>edn</w:t>
      </w:r>
      <w:proofErr w:type="spellEnd"/>
      <w:r w:rsidRPr="00896679">
        <w:rPr>
          <w:rFonts w:ascii="Arial" w:hAnsi="Arial" w:cs="Arial"/>
        </w:rPr>
        <w:t>. Harlow: Pearson.</w:t>
      </w:r>
    </w:p>
    <w:p w14:paraId="0B1DA30B" w14:textId="77777777" w:rsidR="00896679" w:rsidRPr="00896679" w:rsidRDefault="00896679" w:rsidP="006B4D10">
      <w:pPr>
        <w:spacing w:line="360" w:lineRule="auto"/>
        <w:rPr>
          <w:rFonts w:ascii="Arial" w:hAnsi="Arial" w:cs="Arial"/>
        </w:rPr>
      </w:pPr>
      <w:r w:rsidRPr="00896679">
        <w:rPr>
          <w:rFonts w:ascii="Arial" w:hAnsi="Arial" w:cs="Arial"/>
        </w:rPr>
        <w:t xml:space="preserve">Dabur India Ltd. (2026) </w:t>
      </w:r>
      <w:r w:rsidRPr="00896679">
        <w:rPr>
          <w:rFonts w:ascii="Arial" w:hAnsi="Arial" w:cs="Arial"/>
          <w:i/>
          <w:iCs/>
        </w:rPr>
        <w:t>Integrated Annual Report 2025–26.</w:t>
      </w:r>
      <w:r w:rsidRPr="00896679">
        <w:rPr>
          <w:rFonts w:ascii="Arial" w:hAnsi="Arial" w:cs="Arial"/>
        </w:rPr>
        <w:t xml:space="preserve"> New Delhi: Dabur India Limited. Available at: </w:t>
      </w:r>
      <w:hyperlink r:id="rId19" w:tgtFrame="_new" w:history="1">
        <w:r w:rsidRPr="00896679">
          <w:rPr>
            <w:rStyle w:val="Hyperlink"/>
            <w:rFonts w:ascii="Arial" w:hAnsi="Arial" w:cs="Arial"/>
          </w:rPr>
          <w:t>https://www.dabur.com/investor/financial-information/reports/1289/Annual-Reports</w:t>
        </w:r>
      </w:hyperlink>
      <w:r w:rsidRPr="00896679">
        <w:rPr>
          <w:rFonts w:ascii="Arial" w:hAnsi="Arial" w:cs="Arial"/>
        </w:rPr>
        <w:t xml:space="preserve"> (Accessed: 15 July 2026).</w:t>
      </w:r>
    </w:p>
    <w:p w14:paraId="0B0493FF" w14:textId="77777777" w:rsidR="00896679" w:rsidRPr="00896679" w:rsidRDefault="00896679" w:rsidP="006B4D10">
      <w:pPr>
        <w:spacing w:line="360" w:lineRule="auto"/>
        <w:rPr>
          <w:rFonts w:ascii="Arial" w:hAnsi="Arial" w:cs="Arial"/>
        </w:rPr>
      </w:pPr>
      <w:r w:rsidRPr="00896679">
        <w:rPr>
          <w:rFonts w:ascii="Arial" w:hAnsi="Arial" w:cs="Arial"/>
        </w:rPr>
        <w:t xml:space="preserve">Dunning, J.H. (1988) 'The Eclectic Paradigm of International Production: A Restatement and Some Possible Extensions', </w:t>
      </w:r>
      <w:r w:rsidRPr="00896679">
        <w:rPr>
          <w:rFonts w:ascii="Arial" w:hAnsi="Arial" w:cs="Arial"/>
          <w:i/>
          <w:iCs/>
        </w:rPr>
        <w:t>Journal of International Business Studies</w:t>
      </w:r>
      <w:r w:rsidRPr="00896679">
        <w:rPr>
          <w:rFonts w:ascii="Arial" w:hAnsi="Arial" w:cs="Arial"/>
        </w:rPr>
        <w:t>, 19(1), pp. 1–31.</w:t>
      </w:r>
    </w:p>
    <w:p w14:paraId="49AE5D8D" w14:textId="77777777" w:rsidR="00896679" w:rsidRPr="00896679" w:rsidRDefault="00896679" w:rsidP="006B4D10">
      <w:pPr>
        <w:spacing w:line="360" w:lineRule="auto"/>
        <w:rPr>
          <w:rFonts w:ascii="Arial" w:hAnsi="Arial" w:cs="Arial"/>
        </w:rPr>
      </w:pPr>
      <w:r w:rsidRPr="00896679">
        <w:rPr>
          <w:rFonts w:ascii="Arial" w:hAnsi="Arial" w:cs="Arial"/>
        </w:rPr>
        <w:t xml:space="preserve">Euromonitor International (2025) </w:t>
      </w:r>
      <w:r w:rsidRPr="00896679">
        <w:rPr>
          <w:rFonts w:ascii="Arial" w:hAnsi="Arial" w:cs="Arial"/>
          <w:i/>
          <w:iCs/>
        </w:rPr>
        <w:t>Health and Wellness in Mexico.</w:t>
      </w:r>
      <w:r w:rsidRPr="00896679">
        <w:rPr>
          <w:rFonts w:ascii="Arial" w:hAnsi="Arial" w:cs="Arial"/>
        </w:rPr>
        <w:t xml:space="preserve"> London: Euromonitor International. Available at: </w:t>
      </w:r>
      <w:hyperlink r:id="rId20" w:tgtFrame="_new" w:history="1">
        <w:r w:rsidRPr="00896679">
          <w:rPr>
            <w:rStyle w:val="Hyperlink"/>
            <w:rFonts w:ascii="Arial" w:hAnsi="Arial" w:cs="Arial"/>
          </w:rPr>
          <w:t>https://www.euromonitor.com/health-and-wellness-in-mexico/report</w:t>
        </w:r>
      </w:hyperlink>
      <w:r w:rsidRPr="00896679">
        <w:rPr>
          <w:rFonts w:ascii="Arial" w:hAnsi="Arial" w:cs="Arial"/>
        </w:rPr>
        <w:t xml:space="preserve"> (Accessed: 15 July 2026).</w:t>
      </w:r>
    </w:p>
    <w:p w14:paraId="4147C1BD" w14:textId="77777777" w:rsidR="00896679" w:rsidRPr="00896679" w:rsidRDefault="00896679" w:rsidP="006B4D10">
      <w:pPr>
        <w:spacing w:line="360" w:lineRule="auto"/>
        <w:rPr>
          <w:rFonts w:ascii="Arial" w:hAnsi="Arial" w:cs="Arial"/>
        </w:rPr>
      </w:pPr>
      <w:r w:rsidRPr="00896679">
        <w:rPr>
          <w:rFonts w:ascii="Arial" w:hAnsi="Arial" w:cs="Arial"/>
        </w:rPr>
        <w:t xml:space="preserve">Federal Commission for the Protection against Sanitary Risks (COFEPRIS) (2025) </w:t>
      </w:r>
      <w:r w:rsidRPr="00896679">
        <w:rPr>
          <w:rFonts w:ascii="Arial" w:hAnsi="Arial" w:cs="Arial"/>
          <w:i/>
          <w:iCs/>
        </w:rPr>
        <w:t>Regulatory Requirements for Health Products.</w:t>
      </w:r>
      <w:r w:rsidRPr="00896679">
        <w:rPr>
          <w:rFonts w:ascii="Arial" w:hAnsi="Arial" w:cs="Arial"/>
        </w:rPr>
        <w:t xml:space="preserve"> Mexico City: COFEPRIS. Available at: </w:t>
      </w:r>
      <w:hyperlink r:id="rId21" w:tgtFrame="_new" w:history="1">
        <w:r w:rsidRPr="00896679">
          <w:rPr>
            <w:rStyle w:val="Hyperlink"/>
            <w:rFonts w:ascii="Arial" w:hAnsi="Arial" w:cs="Arial"/>
          </w:rPr>
          <w:t>https://www.gob.mx/cofepris</w:t>
        </w:r>
      </w:hyperlink>
      <w:r w:rsidRPr="00896679">
        <w:rPr>
          <w:rFonts w:ascii="Arial" w:hAnsi="Arial" w:cs="Arial"/>
        </w:rPr>
        <w:t xml:space="preserve"> (Accessed: 15 July 2026).</w:t>
      </w:r>
    </w:p>
    <w:p w14:paraId="78E04F7E" w14:textId="77777777" w:rsidR="00896679" w:rsidRPr="00896679" w:rsidRDefault="00896679" w:rsidP="006B4D10">
      <w:pPr>
        <w:spacing w:line="360" w:lineRule="auto"/>
        <w:rPr>
          <w:rFonts w:ascii="Arial" w:hAnsi="Arial" w:cs="Arial"/>
        </w:rPr>
      </w:pPr>
      <w:r w:rsidRPr="00896679">
        <w:rPr>
          <w:rFonts w:ascii="Arial" w:hAnsi="Arial" w:cs="Arial"/>
        </w:rPr>
        <w:t xml:space="preserve">Gantz, D.A. (2019) </w:t>
      </w:r>
      <w:r w:rsidRPr="00896679">
        <w:rPr>
          <w:rFonts w:ascii="Arial" w:hAnsi="Arial" w:cs="Arial"/>
          <w:i/>
          <w:iCs/>
        </w:rPr>
        <w:t>The US-Mexico Trade Relationship under AMLO: Challenges and Opportunities.</w:t>
      </w:r>
      <w:r w:rsidRPr="00896679">
        <w:rPr>
          <w:rFonts w:ascii="Arial" w:hAnsi="Arial" w:cs="Arial"/>
        </w:rPr>
        <w:t xml:space="preserve"> Arizona Legal Studies Discussion Paper No. 19-06. Houston: Rice University's Baker Institute for Public Policy.</w:t>
      </w:r>
    </w:p>
    <w:p w14:paraId="50567AD3" w14:textId="77777777" w:rsidR="00896679" w:rsidRPr="00896679" w:rsidRDefault="00896679" w:rsidP="006B4D10">
      <w:pPr>
        <w:spacing w:line="360" w:lineRule="auto"/>
        <w:rPr>
          <w:rFonts w:ascii="Arial" w:hAnsi="Arial" w:cs="Arial"/>
        </w:rPr>
      </w:pPr>
      <w:r w:rsidRPr="00896679">
        <w:rPr>
          <w:rFonts w:ascii="Arial" w:hAnsi="Arial" w:cs="Arial"/>
        </w:rPr>
        <w:t xml:space="preserve">Gibbs, G. (1988) </w:t>
      </w:r>
      <w:r w:rsidRPr="00896679">
        <w:rPr>
          <w:rFonts w:ascii="Arial" w:hAnsi="Arial" w:cs="Arial"/>
          <w:i/>
          <w:iCs/>
        </w:rPr>
        <w:t>Learning by Doing: A Guide to Teaching and Learning Methods.</w:t>
      </w:r>
      <w:r w:rsidRPr="00896679">
        <w:rPr>
          <w:rFonts w:ascii="Arial" w:hAnsi="Arial" w:cs="Arial"/>
        </w:rPr>
        <w:t xml:space="preserve"> Oxford: Oxford Polytechnic.</w:t>
      </w:r>
    </w:p>
    <w:p w14:paraId="20B2D9C7" w14:textId="77777777" w:rsidR="00896679" w:rsidRPr="00896679" w:rsidRDefault="00896679" w:rsidP="006B4D10">
      <w:pPr>
        <w:spacing w:line="360" w:lineRule="auto"/>
        <w:rPr>
          <w:rFonts w:ascii="Arial" w:hAnsi="Arial" w:cs="Arial"/>
        </w:rPr>
      </w:pPr>
      <w:proofErr w:type="spellStart"/>
      <w:r w:rsidRPr="00896679">
        <w:rPr>
          <w:rFonts w:ascii="Arial" w:hAnsi="Arial" w:cs="Arial"/>
        </w:rPr>
        <w:t>Hénard</w:t>
      </w:r>
      <w:proofErr w:type="spellEnd"/>
      <w:r w:rsidRPr="00896679">
        <w:rPr>
          <w:rFonts w:ascii="Arial" w:hAnsi="Arial" w:cs="Arial"/>
        </w:rPr>
        <w:t xml:space="preserve">, F., Diamond, L. and Roseveare, D. (2012) </w:t>
      </w:r>
      <w:r w:rsidRPr="00896679">
        <w:rPr>
          <w:rFonts w:ascii="Arial" w:hAnsi="Arial" w:cs="Arial"/>
          <w:i/>
          <w:iCs/>
        </w:rPr>
        <w:t>Approaches to Internationalisation and Their Implications for Strategic Management and Institutional Practice.</w:t>
      </w:r>
      <w:r w:rsidRPr="00896679">
        <w:rPr>
          <w:rFonts w:ascii="Arial" w:hAnsi="Arial" w:cs="Arial"/>
        </w:rPr>
        <w:t xml:space="preserve"> Paris: Organisation for Economic Co-operation and Development (OECD). Available at: https://www.oecd.org/education/imhe/Approaches-to-internationalisation-and-their-</w:t>
      </w:r>
      <w:r w:rsidRPr="00896679">
        <w:rPr>
          <w:rFonts w:ascii="Arial" w:hAnsi="Arial" w:cs="Arial"/>
        </w:rPr>
        <w:lastRenderedPageBreak/>
        <w:t>implications-for-strategic-management-and-institutional-practice.pdf (Accessed: 15 July 2026).</w:t>
      </w:r>
    </w:p>
    <w:p w14:paraId="08597B11" w14:textId="77777777" w:rsidR="00896679" w:rsidRPr="00896679" w:rsidRDefault="00896679" w:rsidP="006B4D10">
      <w:pPr>
        <w:spacing w:line="360" w:lineRule="auto"/>
        <w:rPr>
          <w:rFonts w:ascii="Arial" w:hAnsi="Arial" w:cs="Arial"/>
        </w:rPr>
      </w:pPr>
      <w:r w:rsidRPr="00896679">
        <w:rPr>
          <w:rFonts w:ascii="Arial" w:hAnsi="Arial" w:cs="Arial"/>
        </w:rPr>
        <w:t xml:space="preserve">Hill, C.W.L. (2022) </w:t>
      </w:r>
      <w:r w:rsidRPr="00896679">
        <w:rPr>
          <w:rFonts w:ascii="Arial" w:hAnsi="Arial" w:cs="Arial"/>
          <w:i/>
          <w:iCs/>
        </w:rPr>
        <w:t>International Business: Competing in the Global Marketplace.</w:t>
      </w:r>
      <w:r w:rsidRPr="00896679">
        <w:rPr>
          <w:rFonts w:ascii="Arial" w:hAnsi="Arial" w:cs="Arial"/>
        </w:rPr>
        <w:t xml:space="preserve"> 14th </w:t>
      </w:r>
      <w:proofErr w:type="spellStart"/>
      <w:r w:rsidRPr="00896679">
        <w:rPr>
          <w:rFonts w:ascii="Arial" w:hAnsi="Arial" w:cs="Arial"/>
        </w:rPr>
        <w:t>edn</w:t>
      </w:r>
      <w:proofErr w:type="spellEnd"/>
      <w:r w:rsidRPr="00896679">
        <w:rPr>
          <w:rFonts w:ascii="Arial" w:hAnsi="Arial" w:cs="Arial"/>
        </w:rPr>
        <w:t>. New York: McGraw-Hill Education.</w:t>
      </w:r>
    </w:p>
    <w:p w14:paraId="6BD2F17F" w14:textId="77777777" w:rsidR="00896679" w:rsidRPr="00896679" w:rsidRDefault="00896679" w:rsidP="006B4D10">
      <w:pPr>
        <w:spacing w:line="360" w:lineRule="auto"/>
        <w:rPr>
          <w:rFonts w:ascii="Arial" w:hAnsi="Arial" w:cs="Arial"/>
        </w:rPr>
      </w:pPr>
      <w:r w:rsidRPr="00896679">
        <w:rPr>
          <w:rFonts w:ascii="Arial" w:hAnsi="Arial" w:cs="Arial"/>
        </w:rPr>
        <w:t xml:space="preserve">Hofstede Insights (2025) </w:t>
      </w:r>
      <w:r w:rsidRPr="00896679">
        <w:rPr>
          <w:rFonts w:ascii="Arial" w:hAnsi="Arial" w:cs="Arial"/>
          <w:i/>
          <w:iCs/>
        </w:rPr>
        <w:t>Country Comparison: India and Mexico.</w:t>
      </w:r>
      <w:r w:rsidRPr="00896679">
        <w:rPr>
          <w:rFonts w:ascii="Arial" w:hAnsi="Arial" w:cs="Arial"/>
        </w:rPr>
        <w:t xml:space="preserve"> Available at: </w:t>
      </w:r>
      <w:hyperlink r:id="rId22" w:tgtFrame="_new" w:history="1">
        <w:r w:rsidRPr="00896679">
          <w:rPr>
            <w:rStyle w:val="Hyperlink"/>
            <w:rFonts w:ascii="Arial" w:hAnsi="Arial" w:cs="Arial"/>
          </w:rPr>
          <w:t>https://www.hofstede-insights.com/country-comparison/india,mexico</w:t>
        </w:r>
      </w:hyperlink>
      <w:r w:rsidRPr="00896679">
        <w:rPr>
          <w:rFonts w:ascii="Arial" w:hAnsi="Arial" w:cs="Arial"/>
        </w:rPr>
        <w:t xml:space="preserve"> (Accessed: 15 July 2026).</w:t>
      </w:r>
    </w:p>
    <w:p w14:paraId="1687896E" w14:textId="77777777" w:rsidR="00896679" w:rsidRPr="00896679" w:rsidRDefault="00896679" w:rsidP="006B4D10">
      <w:pPr>
        <w:spacing w:line="360" w:lineRule="auto"/>
        <w:rPr>
          <w:rFonts w:ascii="Arial" w:hAnsi="Arial" w:cs="Arial"/>
        </w:rPr>
      </w:pPr>
      <w:r w:rsidRPr="00896679">
        <w:rPr>
          <w:rFonts w:ascii="Arial" w:hAnsi="Arial" w:cs="Arial"/>
        </w:rPr>
        <w:t xml:space="preserve">International Monetary Fund (IMF) (2025) </w:t>
      </w:r>
      <w:r w:rsidRPr="00896679">
        <w:rPr>
          <w:rFonts w:ascii="Arial" w:hAnsi="Arial" w:cs="Arial"/>
          <w:i/>
          <w:iCs/>
        </w:rPr>
        <w:t>World Economic Outlook: Navigating Global Divergences.</w:t>
      </w:r>
      <w:r w:rsidRPr="00896679">
        <w:rPr>
          <w:rFonts w:ascii="Arial" w:hAnsi="Arial" w:cs="Arial"/>
        </w:rPr>
        <w:t xml:space="preserve"> Washington, DC: International Monetary Fund. Available at: </w:t>
      </w:r>
      <w:hyperlink r:id="rId23" w:tgtFrame="_new" w:history="1">
        <w:r w:rsidRPr="00896679">
          <w:rPr>
            <w:rStyle w:val="Hyperlink"/>
            <w:rFonts w:ascii="Arial" w:hAnsi="Arial" w:cs="Arial"/>
          </w:rPr>
          <w:t>https://www.imf.org/en/Publications/WEO</w:t>
        </w:r>
      </w:hyperlink>
      <w:r w:rsidRPr="00896679">
        <w:rPr>
          <w:rFonts w:ascii="Arial" w:hAnsi="Arial" w:cs="Arial"/>
        </w:rPr>
        <w:t xml:space="preserve"> (Accessed: 15 July 2026).</w:t>
      </w:r>
    </w:p>
    <w:p w14:paraId="68AFF0D7" w14:textId="77777777" w:rsidR="00896679" w:rsidRPr="00896679" w:rsidRDefault="00896679" w:rsidP="006B4D10">
      <w:pPr>
        <w:spacing w:line="360" w:lineRule="auto"/>
        <w:rPr>
          <w:rFonts w:ascii="Arial" w:hAnsi="Arial" w:cs="Arial"/>
        </w:rPr>
      </w:pPr>
      <w:r w:rsidRPr="00896679">
        <w:rPr>
          <w:rFonts w:ascii="Arial" w:hAnsi="Arial" w:cs="Arial"/>
        </w:rPr>
        <w:t xml:space="preserve">Johanson, J. and Vahlne, J.-E. (2009) 'The Uppsala Internationalization Process Model Revisited: From Liability of Foreignness to Liability of </w:t>
      </w:r>
      <w:proofErr w:type="spellStart"/>
      <w:r w:rsidRPr="00896679">
        <w:rPr>
          <w:rFonts w:ascii="Arial" w:hAnsi="Arial" w:cs="Arial"/>
        </w:rPr>
        <w:t>Outsidership</w:t>
      </w:r>
      <w:proofErr w:type="spellEnd"/>
      <w:r w:rsidRPr="00896679">
        <w:rPr>
          <w:rFonts w:ascii="Arial" w:hAnsi="Arial" w:cs="Arial"/>
        </w:rPr>
        <w:t xml:space="preserve">', </w:t>
      </w:r>
      <w:r w:rsidRPr="00896679">
        <w:rPr>
          <w:rFonts w:ascii="Arial" w:hAnsi="Arial" w:cs="Arial"/>
          <w:i/>
          <w:iCs/>
        </w:rPr>
        <w:t>Journal of International Business Studies</w:t>
      </w:r>
      <w:r w:rsidRPr="00896679">
        <w:rPr>
          <w:rFonts w:ascii="Arial" w:hAnsi="Arial" w:cs="Arial"/>
        </w:rPr>
        <w:t>, 40(9), pp. 1411–1431.</w:t>
      </w:r>
    </w:p>
    <w:p w14:paraId="40B74491" w14:textId="77777777" w:rsidR="00896679" w:rsidRPr="00896679" w:rsidRDefault="00896679" w:rsidP="006B4D10">
      <w:pPr>
        <w:spacing w:line="360" w:lineRule="auto"/>
        <w:rPr>
          <w:rFonts w:ascii="Arial" w:hAnsi="Arial" w:cs="Arial"/>
        </w:rPr>
      </w:pPr>
      <w:r w:rsidRPr="00896679">
        <w:rPr>
          <w:rFonts w:ascii="Arial" w:hAnsi="Arial" w:cs="Arial"/>
        </w:rPr>
        <w:t xml:space="preserve">Kotler, P. and Keller, K.L. (2022) </w:t>
      </w:r>
      <w:r w:rsidRPr="00896679">
        <w:rPr>
          <w:rFonts w:ascii="Arial" w:hAnsi="Arial" w:cs="Arial"/>
          <w:i/>
          <w:iCs/>
        </w:rPr>
        <w:t>Marketing Management.</w:t>
      </w:r>
      <w:r w:rsidRPr="00896679">
        <w:rPr>
          <w:rFonts w:ascii="Arial" w:hAnsi="Arial" w:cs="Arial"/>
        </w:rPr>
        <w:t xml:space="preserve"> 16th Global </w:t>
      </w:r>
      <w:proofErr w:type="spellStart"/>
      <w:r w:rsidRPr="00896679">
        <w:rPr>
          <w:rFonts w:ascii="Arial" w:hAnsi="Arial" w:cs="Arial"/>
        </w:rPr>
        <w:t>edn</w:t>
      </w:r>
      <w:proofErr w:type="spellEnd"/>
      <w:r w:rsidRPr="00896679">
        <w:rPr>
          <w:rFonts w:ascii="Arial" w:hAnsi="Arial" w:cs="Arial"/>
        </w:rPr>
        <w:t>. Harlow: Pearson.</w:t>
      </w:r>
    </w:p>
    <w:p w14:paraId="51CE4E0F" w14:textId="77777777" w:rsidR="00896679" w:rsidRPr="00896679" w:rsidRDefault="00896679" w:rsidP="006B4D10">
      <w:pPr>
        <w:spacing w:line="360" w:lineRule="auto"/>
        <w:rPr>
          <w:rFonts w:ascii="Arial" w:hAnsi="Arial" w:cs="Arial"/>
        </w:rPr>
      </w:pPr>
      <w:r w:rsidRPr="00896679">
        <w:rPr>
          <w:rFonts w:ascii="Arial" w:hAnsi="Arial" w:cs="Arial"/>
        </w:rPr>
        <w:t xml:space="preserve">Organisation for Economic Co-operation and Development (OECD) (2025) </w:t>
      </w:r>
      <w:r w:rsidRPr="00896679">
        <w:rPr>
          <w:rFonts w:ascii="Arial" w:hAnsi="Arial" w:cs="Arial"/>
          <w:i/>
          <w:iCs/>
        </w:rPr>
        <w:t>OECD Economic Surveys: Mexico 2025.</w:t>
      </w:r>
      <w:r w:rsidRPr="00896679">
        <w:rPr>
          <w:rFonts w:ascii="Arial" w:hAnsi="Arial" w:cs="Arial"/>
        </w:rPr>
        <w:t xml:space="preserve"> Paris: OECD Publishing. Available at: </w:t>
      </w:r>
      <w:hyperlink r:id="rId24" w:tgtFrame="_new" w:history="1">
        <w:r w:rsidRPr="00896679">
          <w:rPr>
            <w:rStyle w:val="Hyperlink"/>
            <w:rFonts w:ascii="Arial" w:hAnsi="Arial" w:cs="Arial"/>
          </w:rPr>
          <w:t>https://www.oecd.org/economy/mexico-economic-snapshot/</w:t>
        </w:r>
      </w:hyperlink>
      <w:r w:rsidRPr="00896679">
        <w:rPr>
          <w:rFonts w:ascii="Arial" w:hAnsi="Arial" w:cs="Arial"/>
        </w:rPr>
        <w:t xml:space="preserve"> (Accessed: 15 July 2026).</w:t>
      </w:r>
    </w:p>
    <w:p w14:paraId="7295780D" w14:textId="77777777" w:rsidR="00896679" w:rsidRPr="00896679" w:rsidRDefault="00896679" w:rsidP="006B4D10">
      <w:pPr>
        <w:spacing w:line="360" w:lineRule="auto"/>
        <w:rPr>
          <w:rFonts w:ascii="Arial" w:hAnsi="Arial" w:cs="Arial"/>
        </w:rPr>
      </w:pPr>
      <w:r w:rsidRPr="00896679">
        <w:rPr>
          <w:rFonts w:ascii="Arial" w:hAnsi="Arial" w:cs="Arial"/>
        </w:rPr>
        <w:t xml:space="preserve">Peng, M.W. (2022) </w:t>
      </w:r>
      <w:r w:rsidRPr="00896679">
        <w:rPr>
          <w:rFonts w:ascii="Arial" w:hAnsi="Arial" w:cs="Arial"/>
          <w:i/>
          <w:iCs/>
        </w:rPr>
        <w:t>Global Business.</w:t>
      </w:r>
      <w:r w:rsidRPr="00896679">
        <w:rPr>
          <w:rFonts w:ascii="Arial" w:hAnsi="Arial" w:cs="Arial"/>
        </w:rPr>
        <w:t xml:space="preserve"> 5th </w:t>
      </w:r>
      <w:proofErr w:type="spellStart"/>
      <w:r w:rsidRPr="00896679">
        <w:rPr>
          <w:rFonts w:ascii="Arial" w:hAnsi="Arial" w:cs="Arial"/>
        </w:rPr>
        <w:t>edn</w:t>
      </w:r>
      <w:proofErr w:type="spellEnd"/>
      <w:r w:rsidRPr="00896679">
        <w:rPr>
          <w:rFonts w:ascii="Arial" w:hAnsi="Arial" w:cs="Arial"/>
        </w:rPr>
        <w:t xml:space="preserve">. Boston, MA: Cengage Learning. Available at: </w:t>
      </w:r>
      <w:hyperlink r:id="rId25" w:tgtFrame="_new" w:history="1">
        <w:r w:rsidRPr="00896679">
          <w:rPr>
            <w:rStyle w:val="Hyperlink"/>
            <w:rFonts w:ascii="Arial" w:hAnsi="Arial" w:cs="Arial"/>
          </w:rPr>
          <w:t>https://www.cengage.com/</w:t>
        </w:r>
      </w:hyperlink>
      <w:r w:rsidRPr="00896679">
        <w:rPr>
          <w:rFonts w:ascii="Arial" w:hAnsi="Arial" w:cs="Arial"/>
        </w:rPr>
        <w:t xml:space="preserve"> (Accessed: 15 July 2026).</w:t>
      </w:r>
    </w:p>
    <w:p w14:paraId="6B2B8C6C" w14:textId="77777777" w:rsidR="00896679" w:rsidRPr="00896679" w:rsidRDefault="00896679" w:rsidP="006B4D10">
      <w:pPr>
        <w:spacing w:line="360" w:lineRule="auto"/>
        <w:rPr>
          <w:rFonts w:ascii="Arial" w:hAnsi="Arial" w:cs="Arial"/>
        </w:rPr>
      </w:pPr>
      <w:r w:rsidRPr="00896679">
        <w:rPr>
          <w:rFonts w:ascii="Arial" w:hAnsi="Arial" w:cs="Arial"/>
        </w:rPr>
        <w:t xml:space="preserve">Saunders, M., Lewis, P. and Thornhill, A. (2023) </w:t>
      </w:r>
      <w:r w:rsidRPr="00896679">
        <w:rPr>
          <w:rFonts w:ascii="Arial" w:hAnsi="Arial" w:cs="Arial"/>
          <w:i/>
          <w:iCs/>
        </w:rPr>
        <w:t>Research Methods for Business Students.</w:t>
      </w:r>
      <w:r w:rsidRPr="00896679">
        <w:rPr>
          <w:rFonts w:ascii="Arial" w:hAnsi="Arial" w:cs="Arial"/>
        </w:rPr>
        <w:t xml:space="preserve"> 9th </w:t>
      </w:r>
      <w:proofErr w:type="spellStart"/>
      <w:r w:rsidRPr="00896679">
        <w:rPr>
          <w:rFonts w:ascii="Arial" w:hAnsi="Arial" w:cs="Arial"/>
        </w:rPr>
        <w:t>edn</w:t>
      </w:r>
      <w:proofErr w:type="spellEnd"/>
      <w:r w:rsidRPr="00896679">
        <w:rPr>
          <w:rFonts w:ascii="Arial" w:hAnsi="Arial" w:cs="Arial"/>
        </w:rPr>
        <w:t>. Harlow: Pearson.</w:t>
      </w:r>
    </w:p>
    <w:p w14:paraId="00B6F543" w14:textId="77777777" w:rsidR="00896679" w:rsidRPr="00896679" w:rsidRDefault="00896679" w:rsidP="006B4D10">
      <w:pPr>
        <w:spacing w:line="360" w:lineRule="auto"/>
        <w:rPr>
          <w:rFonts w:ascii="Arial" w:hAnsi="Arial" w:cs="Arial"/>
        </w:rPr>
      </w:pPr>
      <w:r w:rsidRPr="00896679">
        <w:rPr>
          <w:rFonts w:ascii="Arial" w:hAnsi="Arial" w:cs="Arial"/>
        </w:rPr>
        <w:t xml:space="preserve">Smith, S.E. (2000) </w:t>
      </w:r>
      <w:r w:rsidRPr="00896679">
        <w:rPr>
          <w:rFonts w:ascii="Arial" w:hAnsi="Arial" w:cs="Arial"/>
          <w:i/>
          <w:iCs/>
        </w:rPr>
        <w:t>Opening up to the World: India's Pharmaceutical Companies Prepare for 2005.</w:t>
      </w:r>
      <w:r w:rsidRPr="00896679">
        <w:rPr>
          <w:rFonts w:ascii="Arial" w:hAnsi="Arial" w:cs="Arial"/>
        </w:rPr>
        <w:t xml:space="preserve"> Stanford, CA: Asia/Pacific Research Center, Institute for International Studies, Stanford University. Available at: https://fsi.stanford.edu/publication/opening-world-indias-pharmaceutical-companies-prepare-2005 (Accessed: 15 July 2026).</w:t>
      </w:r>
    </w:p>
    <w:p w14:paraId="05EBBFB8" w14:textId="77777777" w:rsidR="00896679" w:rsidRPr="00896679" w:rsidRDefault="00896679" w:rsidP="006B4D10">
      <w:pPr>
        <w:spacing w:line="360" w:lineRule="auto"/>
        <w:rPr>
          <w:rFonts w:ascii="Arial" w:hAnsi="Arial" w:cs="Arial"/>
        </w:rPr>
      </w:pPr>
      <w:r w:rsidRPr="00896679">
        <w:rPr>
          <w:rFonts w:ascii="Arial" w:hAnsi="Arial" w:cs="Arial"/>
        </w:rPr>
        <w:lastRenderedPageBreak/>
        <w:t xml:space="preserve">Statista (2025) </w:t>
      </w:r>
      <w:r w:rsidRPr="00896679">
        <w:rPr>
          <w:rFonts w:ascii="Arial" w:hAnsi="Arial" w:cs="Arial"/>
          <w:i/>
          <w:iCs/>
        </w:rPr>
        <w:t>Consumer Goods and FMCG Market in Mexico.</w:t>
      </w:r>
      <w:r w:rsidRPr="00896679">
        <w:rPr>
          <w:rFonts w:ascii="Arial" w:hAnsi="Arial" w:cs="Arial"/>
        </w:rPr>
        <w:t xml:space="preserve"> Hamburg: Statista. Available at: </w:t>
      </w:r>
      <w:hyperlink r:id="rId26" w:tgtFrame="_new" w:history="1">
        <w:r w:rsidRPr="00896679">
          <w:rPr>
            <w:rStyle w:val="Hyperlink"/>
            <w:rFonts w:ascii="Arial" w:hAnsi="Arial" w:cs="Arial"/>
          </w:rPr>
          <w:t>https://www.statista.com/markets/424/topic/483/consumer-goods/</w:t>
        </w:r>
      </w:hyperlink>
      <w:r w:rsidRPr="00896679">
        <w:rPr>
          <w:rFonts w:ascii="Arial" w:hAnsi="Arial" w:cs="Arial"/>
        </w:rPr>
        <w:t xml:space="preserve"> (Accessed: 15 July 2026).</w:t>
      </w:r>
    </w:p>
    <w:p w14:paraId="4026A80C" w14:textId="77777777" w:rsidR="00896679" w:rsidRPr="00896679" w:rsidRDefault="00896679" w:rsidP="006B4D10">
      <w:pPr>
        <w:spacing w:line="360" w:lineRule="auto"/>
        <w:rPr>
          <w:rFonts w:ascii="Arial" w:hAnsi="Arial" w:cs="Arial"/>
        </w:rPr>
      </w:pPr>
      <w:r w:rsidRPr="00896679">
        <w:rPr>
          <w:rFonts w:ascii="Arial" w:hAnsi="Arial" w:cs="Arial"/>
        </w:rPr>
        <w:t xml:space="preserve">Venkatesha, G.K. (2021) 'Trend Forming FMCG Sector in India: A Study', </w:t>
      </w:r>
      <w:r w:rsidRPr="00896679">
        <w:rPr>
          <w:rFonts w:ascii="Arial" w:hAnsi="Arial" w:cs="Arial"/>
          <w:i/>
          <w:iCs/>
        </w:rPr>
        <w:t>International Journal of Multidisciplinary Educational Research</w:t>
      </w:r>
      <w:r w:rsidRPr="00896679">
        <w:rPr>
          <w:rFonts w:ascii="Arial" w:hAnsi="Arial" w:cs="Arial"/>
        </w:rPr>
        <w:t>, 11(3), pp. 81–87.</w:t>
      </w:r>
    </w:p>
    <w:p w14:paraId="2609AE28" w14:textId="77777777" w:rsidR="00896679" w:rsidRPr="00896679" w:rsidRDefault="00896679" w:rsidP="006B4D10">
      <w:pPr>
        <w:spacing w:line="360" w:lineRule="auto"/>
        <w:rPr>
          <w:rFonts w:ascii="Arial" w:hAnsi="Arial" w:cs="Arial"/>
        </w:rPr>
      </w:pPr>
      <w:r w:rsidRPr="00896679">
        <w:rPr>
          <w:rFonts w:ascii="Arial" w:hAnsi="Arial" w:cs="Arial"/>
        </w:rPr>
        <w:t xml:space="preserve">World Bank (2025) </w:t>
      </w:r>
      <w:r w:rsidRPr="00896679">
        <w:rPr>
          <w:rFonts w:ascii="Arial" w:hAnsi="Arial" w:cs="Arial"/>
          <w:i/>
          <w:iCs/>
        </w:rPr>
        <w:t>World Development Indicators.</w:t>
      </w:r>
      <w:r w:rsidRPr="00896679">
        <w:rPr>
          <w:rFonts w:ascii="Arial" w:hAnsi="Arial" w:cs="Arial"/>
        </w:rPr>
        <w:t xml:space="preserve"> Washington, DC: World Bank. Available at: </w:t>
      </w:r>
      <w:hyperlink r:id="rId27" w:tgtFrame="_new" w:history="1">
        <w:r w:rsidRPr="00896679">
          <w:rPr>
            <w:rStyle w:val="Hyperlink"/>
            <w:rFonts w:ascii="Arial" w:hAnsi="Arial" w:cs="Arial"/>
          </w:rPr>
          <w:t>https://databank.worldbank.org/source/world-development-indicators</w:t>
        </w:r>
      </w:hyperlink>
      <w:r w:rsidRPr="00896679">
        <w:rPr>
          <w:rFonts w:ascii="Arial" w:hAnsi="Arial" w:cs="Arial"/>
        </w:rPr>
        <w:t xml:space="preserve"> (Accessed: 15 July 2026).</w:t>
      </w:r>
    </w:p>
    <w:p w14:paraId="5C6B0E4B" w14:textId="77777777" w:rsidR="00896679" w:rsidRPr="00896679" w:rsidRDefault="00896679" w:rsidP="006B4D10">
      <w:pPr>
        <w:spacing w:line="360" w:lineRule="auto"/>
        <w:rPr>
          <w:rFonts w:ascii="Arial" w:hAnsi="Arial" w:cs="Arial"/>
        </w:rPr>
      </w:pPr>
      <w:r w:rsidRPr="00896679">
        <w:rPr>
          <w:rFonts w:ascii="Arial" w:hAnsi="Arial" w:cs="Arial"/>
        </w:rPr>
        <w:t xml:space="preserve">World Trade Organization (WTO) (2025) </w:t>
      </w:r>
      <w:r w:rsidRPr="00896679">
        <w:rPr>
          <w:rFonts w:ascii="Arial" w:hAnsi="Arial" w:cs="Arial"/>
          <w:i/>
          <w:iCs/>
        </w:rPr>
        <w:t>Trade Policy Review: Mexico.</w:t>
      </w:r>
      <w:r w:rsidRPr="00896679">
        <w:rPr>
          <w:rFonts w:ascii="Arial" w:hAnsi="Arial" w:cs="Arial"/>
        </w:rPr>
        <w:t xml:space="preserve"> Geneva: World Trade Organization. Available at: </w:t>
      </w:r>
      <w:hyperlink r:id="rId28" w:tgtFrame="_new" w:history="1">
        <w:r w:rsidRPr="00896679">
          <w:rPr>
            <w:rStyle w:val="Hyperlink"/>
            <w:rFonts w:ascii="Arial" w:hAnsi="Arial" w:cs="Arial"/>
          </w:rPr>
          <w:t>https://www.wto.org/english/tratop_e/tpr_e/tp_e.htm</w:t>
        </w:r>
      </w:hyperlink>
      <w:r w:rsidRPr="00896679">
        <w:rPr>
          <w:rFonts w:ascii="Arial" w:hAnsi="Arial" w:cs="Arial"/>
        </w:rPr>
        <w:t xml:space="preserve"> (Accessed: 15 July 2026).</w:t>
      </w:r>
    </w:p>
    <w:p w14:paraId="4CB32C71" w14:textId="77777777" w:rsidR="00896679" w:rsidRPr="00896679" w:rsidRDefault="00896679" w:rsidP="006B4D10">
      <w:pPr>
        <w:spacing w:line="360" w:lineRule="auto"/>
        <w:rPr>
          <w:rFonts w:ascii="Arial" w:hAnsi="Arial" w:cs="Arial"/>
        </w:rPr>
      </w:pPr>
    </w:p>
    <w:p w14:paraId="344A42AF" w14:textId="77777777" w:rsidR="00896679" w:rsidRPr="00896679" w:rsidRDefault="00896679" w:rsidP="006B4D10">
      <w:pPr>
        <w:spacing w:line="360" w:lineRule="auto"/>
        <w:rPr>
          <w:rFonts w:ascii="Arial" w:hAnsi="Arial" w:cs="Arial"/>
        </w:rPr>
      </w:pPr>
    </w:p>
    <w:sectPr w:rsidR="00896679" w:rsidRPr="00896679" w:rsidSect="00B7204D">
      <w:footerReference w:type="default" r:id="rId2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B4364" w14:textId="77777777" w:rsidR="0062234F" w:rsidRDefault="0062234F" w:rsidP="004F3FD0">
      <w:pPr>
        <w:spacing w:after="0" w:line="240" w:lineRule="auto"/>
      </w:pPr>
      <w:r>
        <w:separator/>
      </w:r>
    </w:p>
  </w:endnote>
  <w:endnote w:type="continuationSeparator" w:id="0">
    <w:p w14:paraId="50D8878B" w14:textId="77777777" w:rsidR="0062234F" w:rsidRDefault="0062234F" w:rsidP="004F3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0151129"/>
      <w:docPartObj>
        <w:docPartGallery w:val="Page Numbers (Bottom of Page)"/>
        <w:docPartUnique/>
      </w:docPartObj>
    </w:sdtPr>
    <w:sdtEndPr>
      <w:rPr>
        <w:color w:val="7F7F7F" w:themeColor="background1" w:themeShade="7F"/>
        <w:spacing w:val="60"/>
      </w:rPr>
    </w:sdtEndPr>
    <w:sdtContent>
      <w:p w14:paraId="2F974111" w14:textId="3F43B0BD" w:rsidR="00B7204D" w:rsidRDefault="00B720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A2AC73" w14:textId="77777777" w:rsidR="00B7204D" w:rsidRDefault="00B72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C5796B" w14:textId="77777777" w:rsidR="0062234F" w:rsidRDefault="0062234F" w:rsidP="004F3FD0">
      <w:pPr>
        <w:spacing w:after="0" w:line="240" w:lineRule="auto"/>
      </w:pPr>
      <w:r>
        <w:separator/>
      </w:r>
    </w:p>
  </w:footnote>
  <w:footnote w:type="continuationSeparator" w:id="0">
    <w:p w14:paraId="048787CD" w14:textId="77777777" w:rsidR="0062234F" w:rsidRDefault="0062234F" w:rsidP="004F3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50469"/>
    <w:multiLevelType w:val="multilevel"/>
    <w:tmpl w:val="C6A2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A44"/>
    <w:rsid w:val="000208BB"/>
    <w:rsid w:val="000555E5"/>
    <w:rsid w:val="000556CB"/>
    <w:rsid w:val="0006501D"/>
    <w:rsid w:val="000A3FC4"/>
    <w:rsid w:val="001E270E"/>
    <w:rsid w:val="002A0199"/>
    <w:rsid w:val="002E00C4"/>
    <w:rsid w:val="004528BC"/>
    <w:rsid w:val="004F3FD0"/>
    <w:rsid w:val="00515AFC"/>
    <w:rsid w:val="005A4F89"/>
    <w:rsid w:val="005D2CBB"/>
    <w:rsid w:val="0062234F"/>
    <w:rsid w:val="00694A44"/>
    <w:rsid w:val="006B4D10"/>
    <w:rsid w:val="006F7A31"/>
    <w:rsid w:val="00862D50"/>
    <w:rsid w:val="00896679"/>
    <w:rsid w:val="00901244"/>
    <w:rsid w:val="0090372E"/>
    <w:rsid w:val="00960816"/>
    <w:rsid w:val="00971673"/>
    <w:rsid w:val="00AA236A"/>
    <w:rsid w:val="00AD7F35"/>
    <w:rsid w:val="00AE1735"/>
    <w:rsid w:val="00B7204D"/>
    <w:rsid w:val="00C46CB9"/>
    <w:rsid w:val="00CC26EC"/>
    <w:rsid w:val="00CC7C56"/>
    <w:rsid w:val="00CE5AB1"/>
    <w:rsid w:val="00DE2B64"/>
    <w:rsid w:val="00E408DC"/>
    <w:rsid w:val="00EE6E67"/>
    <w:rsid w:val="00F15CB5"/>
    <w:rsid w:val="00F458B8"/>
    <w:rsid w:val="00F530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1BAD3"/>
  <w15:chartTrackingRefBased/>
  <w15:docId w15:val="{ABE91766-0C17-4A5F-9970-46A7FCC22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96679"/>
    <w:pPr>
      <w:keepNext/>
      <w:keepLines/>
      <w:spacing w:before="360" w:after="80"/>
      <w:outlineLvl w:val="0"/>
    </w:pPr>
    <w:rPr>
      <w:rFonts w:ascii="Arial" w:eastAsiaTheme="majorEastAsia" w:hAnsi="Arial" w:cstheme="majorBidi"/>
      <w:b/>
      <w:color w:val="2F5496" w:themeColor="accent1" w:themeShade="BF"/>
      <w:sz w:val="28"/>
      <w:szCs w:val="40"/>
      <w:u w:val="single"/>
    </w:rPr>
  </w:style>
  <w:style w:type="paragraph" w:styleId="Heading2">
    <w:name w:val="heading 2"/>
    <w:basedOn w:val="Normal"/>
    <w:next w:val="Normal"/>
    <w:link w:val="Heading2Char"/>
    <w:uiPriority w:val="9"/>
    <w:unhideWhenUsed/>
    <w:qFormat/>
    <w:rsid w:val="00896679"/>
    <w:pPr>
      <w:keepNext/>
      <w:keepLines/>
      <w:spacing w:before="160" w:after="80"/>
      <w:outlineLvl w:val="1"/>
    </w:pPr>
    <w:rPr>
      <w:rFonts w:ascii="Arial" w:eastAsiaTheme="majorEastAsia" w:hAnsi="Arial" w:cstheme="majorBidi"/>
      <w:b/>
      <w:color w:val="1F3864" w:themeColor="accent1" w:themeShade="80"/>
      <w:szCs w:val="32"/>
    </w:rPr>
  </w:style>
  <w:style w:type="paragraph" w:styleId="Heading3">
    <w:name w:val="heading 3"/>
    <w:basedOn w:val="Normal"/>
    <w:next w:val="Normal"/>
    <w:link w:val="Heading3Char"/>
    <w:uiPriority w:val="9"/>
    <w:unhideWhenUsed/>
    <w:qFormat/>
    <w:rsid w:val="00896679"/>
    <w:pPr>
      <w:keepNext/>
      <w:keepLines/>
      <w:spacing w:before="160" w:after="80"/>
      <w:outlineLvl w:val="2"/>
    </w:pPr>
    <w:rPr>
      <w:rFonts w:ascii="Arial" w:eastAsiaTheme="majorEastAsia" w:hAnsi="Arial" w:cstheme="majorBidi"/>
      <w:b/>
      <w:color w:val="222A35" w:themeColor="text2" w:themeShade="80"/>
      <w:szCs w:val="28"/>
    </w:rPr>
  </w:style>
  <w:style w:type="paragraph" w:styleId="Heading4">
    <w:name w:val="heading 4"/>
    <w:basedOn w:val="Normal"/>
    <w:next w:val="Normal"/>
    <w:link w:val="Heading4Char"/>
    <w:uiPriority w:val="9"/>
    <w:semiHidden/>
    <w:unhideWhenUsed/>
    <w:qFormat/>
    <w:rsid w:val="00694A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4A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4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4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4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4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679"/>
    <w:rPr>
      <w:rFonts w:ascii="Arial" w:eastAsiaTheme="majorEastAsia" w:hAnsi="Arial" w:cstheme="majorBidi"/>
      <w:b/>
      <w:color w:val="2F5496" w:themeColor="accent1" w:themeShade="BF"/>
      <w:sz w:val="28"/>
      <w:szCs w:val="40"/>
      <w:u w:val="single"/>
      <w:lang w:val="en-GB"/>
    </w:rPr>
  </w:style>
  <w:style w:type="character" w:customStyle="1" w:styleId="Heading2Char">
    <w:name w:val="Heading 2 Char"/>
    <w:basedOn w:val="DefaultParagraphFont"/>
    <w:link w:val="Heading2"/>
    <w:uiPriority w:val="9"/>
    <w:rsid w:val="00896679"/>
    <w:rPr>
      <w:rFonts w:ascii="Arial" w:eastAsiaTheme="majorEastAsia" w:hAnsi="Arial" w:cstheme="majorBidi"/>
      <w:b/>
      <w:color w:val="1F3864" w:themeColor="accent1" w:themeShade="80"/>
      <w:szCs w:val="32"/>
      <w:lang w:val="en-GB"/>
    </w:rPr>
  </w:style>
  <w:style w:type="character" w:customStyle="1" w:styleId="Heading3Char">
    <w:name w:val="Heading 3 Char"/>
    <w:basedOn w:val="DefaultParagraphFont"/>
    <w:link w:val="Heading3"/>
    <w:uiPriority w:val="9"/>
    <w:rsid w:val="00896679"/>
    <w:rPr>
      <w:rFonts w:ascii="Arial" w:eastAsiaTheme="majorEastAsia" w:hAnsi="Arial" w:cstheme="majorBidi"/>
      <w:b/>
      <w:color w:val="222A35" w:themeColor="text2" w:themeShade="80"/>
      <w:szCs w:val="28"/>
      <w:lang w:val="en-GB"/>
    </w:rPr>
  </w:style>
  <w:style w:type="character" w:customStyle="1" w:styleId="Heading4Char">
    <w:name w:val="Heading 4 Char"/>
    <w:basedOn w:val="DefaultParagraphFont"/>
    <w:link w:val="Heading4"/>
    <w:uiPriority w:val="9"/>
    <w:semiHidden/>
    <w:rsid w:val="00694A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4A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4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4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4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4A44"/>
    <w:rPr>
      <w:rFonts w:eastAsiaTheme="majorEastAsia" w:cstheme="majorBidi"/>
      <w:color w:val="272727" w:themeColor="text1" w:themeTint="D8"/>
    </w:rPr>
  </w:style>
  <w:style w:type="paragraph" w:styleId="Title">
    <w:name w:val="Title"/>
    <w:basedOn w:val="Normal"/>
    <w:next w:val="Normal"/>
    <w:link w:val="TitleChar"/>
    <w:uiPriority w:val="10"/>
    <w:qFormat/>
    <w:rsid w:val="00694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4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4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4A44"/>
    <w:pPr>
      <w:spacing w:before="160"/>
      <w:jc w:val="center"/>
    </w:pPr>
    <w:rPr>
      <w:i/>
      <w:iCs/>
      <w:color w:val="404040" w:themeColor="text1" w:themeTint="BF"/>
    </w:rPr>
  </w:style>
  <w:style w:type="character" w:customStyle="1" w:styleId="QuoteChar">
    <w:name w:val="Quote Char"/>
    <w:basedOn w:val="DefaultParagraphFont"/>
    <w:link w:val="Quote"/>
    <w:uiPriority w:val="29"/>
    <w:rsid w:val="00694A44"/>
    <w:rPr>
      <w:i/>
      <w:iCs/>
      <w:color w:val="404040" w:themeColor="text1" w:themeTint="BF"/>
    </w:rPr>
  </w:style>
  <w:style w:type="paragraph" w:styleId="ListParagraph">
    <w:name w:val="List Paragraph"/>
    <w:basedOn w:val="Normal"/>
    <w:uiPriority w:val="34"/>
    <w:qFormat/>
    <w:rsid w:val="00694A44"/>
    <w:pPr>
      <w:ind w:left="720"/>
      <w:contextualSpacing/>
    </w:pPr>
  </w:style>
  <w:style w:type="character" w:styleId="IntenseEmphasis">
    <w:name w:val="Intense Emphasis"/>
    <w:basedOn w:val="DefaultParagraphFont"/>
    <w:uiPriority w:val="21"/>
    <w:qFormat/>
    <w:rsid w:val="00694A44"/>
    <w:rPr>
      <w:i/>
      <w:iCs/>
      <w:color w:val="2F5496" w:themeColor="accent1" w:themeShade="BF"/>
    </w:rPr>
  </w:style>
  <w:style w:type="paragraph" w:styleId="IntenseQuote">
    <w:name w:val="Intense Quote"/>
    <w:basedOn w:val="Normal"/>
    <w:next w:val="Normal"/>
    <w:link w:val="IntenseQuoteChar"/>
    <w:uiPriority w:val="30"/>
    <w:qFormat/>
    <w:rsid w:val="00694A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4A44"/>
    <w:rPr>
      <w:i/>
      <w:iCs/>
      <w:color w:val="2F5496" w:themeColor="accent1" w:themeShade="BF"/>
    </w:rPr>
  </w:style>
  <w:style w:type="character" w:styleId="IntenseReference">
    <w:name w:val="Intense Reference"/>
    <w:basedOn w:val="DefaultParagraphFont"/>
    <w:uiPriority w:val="32"/>
    <w:qFormat/>
    <w:rsid w:val="00694A44"/>
    <w:rPr>
      <w:b/>
      <w:bCs/>
      <w:smallCaps/>
      <w:color w:val="2F5496" w:themeColor="accent1" w:themeShade="BF"/>
      <w:spacing w:val="5"/>
    </w:rPr>
  </w:style>
  <w:style w:type="table" w:styleId="TableGrid">
    <w:name w:val="Table Grid"/>
    <w:basedOn w:val="TableNormal"/>
    <w:uiPriority w:val="39"/>
    <w:rsid w:val="00CC26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6679"/>
    <w:rPr>
      <w:color w:val="0563C1" w:themeColor="hyperlink"/>
      <w:u w:val="single"/>
    </w:rPr>
  </w:style>
  <w:style w:type="paragraph" w:styleId="TOCHeading">
    <w:name w:val="TOC Heading"/>
    <w:basedOn w:val="Heading1"/>
    <w:next w:val="Normal"/>
    <w:uiPriority w:val="39"/>
    <w:unhideWhenUsed/>
    <w:qFormat/>
    <w:rsid w:val="006B4D10"/>
    <w:pPr>
      <w:spacing w:before="240" w:after="0" w:line="259" w:lineRule="auto"/>
      <w:outlineLvl w:val="9"/>
    </w:pPr>
    <w:rPr>
      <w:rFonts w:asciiTheme="majorHAnsi" w:hAnsiTheme="majorHAnsi"/>
      <w:b w:val="0"/>
      <w:kern w:val="0"/>
      <w:sz w:val="32"/>
      <w:szCs w:val="32"/>
      <w:u w:val="none"/>
      <w:lang w:val="en-US"/>
      <w14:ligatures w14:val="none"/>
    </w:rPr>
  </w:style>
  <w:style w:type="paragraph" w:styleId="TOC1">
    <w:name w:val="toc 1"/>
    <w:basedOn w:val="Normal"/>
    <w:next w:val="Normal"/>
    <w:autoRedefine/>
    <w:uiPriority w:val="39"/>
    <w:unhideWhenUsed/>
    <w:rsid w:val="006B4D10"/>
    <w:pPr>
      <w:spacing w:after="100"/>
    </w:pPr>
  </w:style>
  <w:style w:type="paragraph" w:styleId="TOC2">
    <w:name w:val="toc 2"/>
    <w:basedOn w:val="Normal"/>
    <w:next w:val="Normal"/>
    <w:autoRedefine/>
    <w:uiPriority w:val="39"/>
    <w:unhideWhenUsed/>
    <w:rsid w:val="006B4D10"/>
    <w:pPr>
      <w:spacing w:after="100"/>
      <w:ind w:left="240"/>
    </w:pPr>
  </w:style>
  <w:style w:type="paragraph" w:styleId="TOC3">
    <w:name w:val="toc 3"/>
    <w:basedOn w:val="Normal"/>
    <w:next w:val="Normal"/>
    <w:autoRedefine/>
    <w:uiPriority w:val="39"/>
    <w:unhideWhenUsed/>
    <w:rsid w:val="006B4D10"/>
    <w:pPr>
      <w:spacing w:after="100"/>
      <w:ind w:left="480"/>
    </w:pPr>
  </w:style>
  <w:style w:type="paragraph" w:styleId="Header">
    <w:name w:val="header"/>
    <w:basedOn w:val="Normal"/>
    <w:link w:val="HeaderChar"/>
    <w:uiPriority w:val="99"/>
    <w:unhideWhenUsed/>
    <w:rsid w:val="004F3F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FD0"/>
    <w:rPr>
      <w:lang w:val="en-GB"/>
    </w:rPr>
  </w:style>
  <w:style w:type="paragraph" w:styleId="Footer">
    <w:name w:val="footer"/>
    <w:basedOn w:val="Normal"/>
    <w:link w:val="FooterChar"/>
    <w:uiPriority w:val="99"/>
    <w:unhideWhenUsed/>
    <w:rsid w:val="004F3F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FD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tore.hbr.org/product/managing-across-borders-the-transnational-solution/9780875843926" TargetMode="External"/><Relationship Id="rId26" Type="http://schemas.openxmlformats.org/officeDocument/2006/relationships/hyperlink" Target="https://www.statista.com/markets/424/topic/483/consumer-goods/" TargetMode="External"/><Relationship Id="rId3" Type="http://schemas.openxmlformats.org/officeDocument/2006/relationships/styles" Target="styles.xml"/><Relationship Id="rId21" Type="http://schemas.openxmlformats.org/officeDocument/2006/relationships/hyperlink" Target="https://www.gob.mx/cofepr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engage.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uromonitor.com/health-and-wellness-in-mexico/repor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ecd.org/economy/mexico-economic-snapsho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mf.org/en/Publications/WEO" TargetMode="External"/><Relationship Id="rId28" Type="http://schemas.openxmlformats.org/officeDocument/2006/relationships/hyperlink" Target="https://www.wto.org/english/tratop_e/tpr_e/tp_e.htm" TargetMode="External"/><Relationship Id="rId10" Type="http://schemas.openxmlformats.org/officeDocument/2006/relationships/image" Target="media/image3.png"/><Relationship Id="rId19" Type="http://schemas.openxmlformats.org/officeDocument/2006/relationships/hyperlink" Target="https://www.dabur.com/investor/financial-information/reports/1289/Annual-Report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hofstede-insights.com/country-comparison/india,mexico" TargetMode="External"/><Relationship Id="rId27" Type="http://schemas.openxmlformats.org/officeDocument/2006/relationships/hyperlink" Target="https://databank.worldbank.org/source/world-development-indicator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D2527-C3DA-4432-A286-6753F8CAC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6707</Words>
  <Characters>38231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Maham Altaf</dc:creator>
  <cp:keywords/>
  <dc:description/>
  <cp:lastModifiedBy>Areeza</cp:lastModifiedBy>
  <cp:revision>3</cp:revision>
  <dcterms:created xsi:type="dcterms:W3CDTF">2026-07-27T15:46:00Z</dcterms:created>
  <dcterms:modified xsi:type="dcterms:W3CDTF">2026-07-29T09:41:00Z</dcterms:modified>
</cp:coreProperties>
</file>