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95A82" w14:textId="77777777" w:rsidR="00032954" w:rsidRPr="00640C71" w:rsidRDefault="00032954" w:rsidP="00032954">
      <w:pPr>
        <w:jc w:val="center"/>
        <w:rPr>
          <w:rFonts w:ascii="Arial" w:hAnsi="Arial" w:cs="Arial"/>
          <w:b/>
          <w:sz w:val="24"/>
        </w:rPr>
      </w:pPr>
      <w:r w:rsidRPr="00640C71">
        <w:rPr>
          <w:rFonts w:ascii="Arial" w:hAnsi="Arial" w:cs="Arial"/>
          <w:b/>
          <w:noProof/>
          <w:sz w:val="24"/>
          <w:lang w:eastAsia="en-IN"/>
        </w:rPr>
        <w:drawing>
          <wp:inline distT="0" distB="0" distL="0" distR="0" wp14:anchorId="1959B86F" wp14:editId="0011C118">
            <wp:extent cx="2345228" cy="9296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56812" cy="934232"/>
                    </a:xfrm>
                    <a:prstGeom prst="rect">
                      <a:avLst/>
                    </a:prstGeom>
                  </pic:spPr>
                </pic:pic>
              </a:graphicData>
            </a:graphic>
          </wp:inline>
        </w:drawing>
      </w:r>
    </w:p>
    <w:p w14:paraId="66EA3D64" w14:textId="77777777" w:rsidR="00E57B2A" w:rsidRPr="00640C71" w:rsidRDefault="00E57B2A" w:rsidP="00E57B2A">
      <w:pPr>
        <w:jc w:val="center"/>
        <w:rPr>
          <w:rFonts w:ascii="Arial" w:hAnsi="Arial" w:cs="Arial"/>
          <w:b/>
          <w:sz w:val="24"/>
        </w:rPr>
      </w:pPr>
      <w:r w:rsidRPr="00640C71">
        <w:rPr>
          <w:rFonts w:ascii="Arial" w:hAnsi="Arial" w:cs="Arial"/>
          <w:b/>
          <w:sz w:val="24"/>
        </w:rPr>
        <w:t>Programme:</w:t>
      </w:r>
      <w:r w:rsidRPr="00640C71">
        <w:rPr>
          <w:rFonts w:ascii="Arial" w:hAnsi="Arial" w:cs="Arial"/>
          <w:b/>
          <w:sz w:val="24"/>
        </w:rPr>
        <w:tab/>
        <w:t>Master of Business Administration</w:t>
      </w:r>
    </w:p>
    <w:p w14:paraId="43420D41" w14:textId="6F2F3BE7" w:rsidR="00E57B2A" w:rsidRPr="00640C71" w:rsidRDefault="00E57B2A" w:rsidP="00E57B2A">
      <w:pPr>
        <w:jc w:val="center"/>
        <w:rPr>
          <w:rFonts w:ascii="Arial" w:hAnsi="Arial" w:cs="Arial"/>
          <w:b/>
          <w:sz w:val="24"/>
        </w:rPr>
      </w:pPr>
      <w:r w:rsidRPr="00640C71">
        <w:rPr>
          <w:rFonts w:ascii="Arial" w:hAnsi="Arial" w:cs="Arial"/>
          <w:b/>
          <w:sz w:val="24"/>
        </w:rPr>
        <w:t>Module: Marketing Management</w:t>
      </w:r>
    </w:p>
    <w:p w14:paraId="58034DFB" w14:textId="77777777" w:rsidR="00E57B2A" w:rsidRPr="00640C71" w:rsidRDefault="00E57B2A" w:rsidP="00E57B2A">
      <w:pPr>
        <w:jc w:val="center"/>
        <w:rPr>
          <w:rFonts w:ascii="Arial" w:hAnsi="Arial" w:cs="Arial"/>
          <w:b/>
          <w:sz w:val="24"/>
        </w:rPr>
      </w:pPr>
      <w:r w:rsidRPr="00640C71">
        <w:rPr>
          <w:rFonts w:ascii="Arial" w:hAnsi="Arial" w:cs="Arial"/>
          <w:b/>
          <w:sz w:val="24"/>
        </w:rPr>
        <w:t>Module code:</w:t>
      </w:r>
      <w:r w:rsidRPr="00640C71">
        <w:rPr>
          <w:rFonts w:ascii="Arial" w:hAnsi="Arial" w:cs="Arial"/>
          <w:b/>
          <w:sz w:val="24"/>
        </w:rPr>
        <w:tab/>
        <w:t>LCMB7024</w:t>
      </w:r>
    </w:p>
    <w:p w14:paraId="77DE172C" w14:textId="7BE44D5C" w:rsidR="00E57B2A" w:rsidRPr="00640C71" w:rsidRDefault="00E57B2A" w:rsidP="00881490">
      <w:pPr>
        <w:jc w:val="center"/>
        <w:rPr>
          <w:rFonts w:ascii="Arial" w:hAnsi="Arial" w:cs="Arial"/>
          <w:b/>
          <w:sz w:val="24"/>
        </w:rPr>
      </w:pPr>
      <w:r w:rsidRPr="00640C71">
        <w:rPr>
          <w:rFonts w:ascii="Arial" w:hAnsi="Arial" w:cs="Arial"/>
          <w:b/>
          <w:sz w:val="24"/>
        </w:rPr>
        <w:t xml:space="preserve">Lecturer:  </w:t>
      </w:r>
      <w:proofErr w:type="spellStart"/>
      <w:r w:rsidRPr="00640C71">
        <w:rPr>
          <w:rFonts w:ascii="Arial" w:hAnsi="Arial" w:cs="Arial"/>
          <w:b/>
          <w:sz w:val="24"/>
        </w:rPr>
        <w:t>Taonga</w:t>
      </w:r>
      <w:proofErr w:type="spellEnd"/>
      <w:r w:rsidRPr="00640C71">
        <w:rPr>
          <w:rFonts w:ascii="Arial" w:hAnsi="Arial" w:cs="Arial"/>
          <w:b/>
          <w:sz w:val="24"/>
        </w:rPr>
        <w:t xml:space="preserve"> </w:t>
      </w:r>
      <w:proofErr w:type="spellStart"/>
      <w:r w:rsidRPr="00640C71">
        <w:rPr>
          <w:rFonts w:ascii="Arial" w:hAnsi="Arial" w:cs="Arial"/>
          <w:b/>
          <w:sz w:val="24"/>
        </w:rPr>
        <w:t>Kaonga</w:t>
      </w:r>
      <w:proofErr w:type="spellEnd"/>
      <w:r w:rsidR="00F53A6E">
        <w:rPr>
          <w:rFonts w:ascii="Arial" w:hAnsi="Arial" w:cs="Arial"/>
          <w:b/>
          <w:sz w:val="24"/>
        </w:rPr>
        <w:t xml:space="preserve"> </w:t>
      </w:r>
      <w:proofErr w:type="spellStart"/>
      <w:r w:rsidRPr="00640C71">
        <w:rPr>
          <w:rFonts w:ascii="Arial" w:hAnsi="Arial" w:cs="Arial"/>
          <w:b/>
          <w:sz w:val="24"/>
        </w:rPr>
        <w:t>Sobere-Snithers</w:t>
      </w:r>
      <w:proofErr w:type="spellEnd"/>
      <w:r w:rsidRPr="00640C71">
        <w:rPr>
          <w:rFonts w:ascii="Arial" w:hAnsi="Arial" w:cs="Arial"/>
          <w:b/>
          <w:sz w:val="24"/>
        </w:rPr>
        <w:t xml:space="preserve"> </w:t>
      </w:r>
    </w:p>
    <w:p w14:paraId="601D22E9" w14:textId="0D4E6DC8" w:rsidR="00193564" w:rsidRPr="00640C71" w:rsidRDefault="00193564" w:rsidP="00193564">
      <w:pPr>
        <w:jc w:val="center"/>
        <w:rPr>
          <w:rFonts w:ascii="Arial" w:hAnsi="Arial" w:cs="Arial"/>
          <w:b/>
          <w:sz w:val="24"/>
        </w:rPr>
      </w:pPr>
      <w:r w:rsidRPr="00640C71">
        <w:rPr>
          <w:rFonts w:ascii="Arial" w:hAnsi="Arial" w:cs="Arial"/>
          <w:b/>
          <w:sz w:val="24"/>
        </w:rPr>
        <w:t xml:space="preserve">Student name : </w:t>
      </w:r>
      <w:r w:rsidR="0032582A" w:rsidRPr="00640C71">
        <w:rPr>
          <w:rFonts w:ascii="Arial" w:hAnsi="Arial" w:cs="Arial"/>
          <w:b/>
          <w:sz w:val="24"/>
        </w:rPr>
        <w:t>GORANIYA KHODABHAI BALUBHAI</w:t>
      </w:r>
    </w:p>
    <w:p w14:paraId="670689CC" w14:textId="68365F90" w:rsidR="00F53A6E" w:rsidRDefault="0032582A" w:rsidP="00F53A6E">
      <w:pPr>
        <w:jc w:val="center"/>
        <w:rPr>
          <w:rFonts w:ascii="Arial" w:hAnsi="Arial" w:cs="Arial"/>
          <w:b/>
          <w:sz w:val="24"/>
        </w:rPr>
      </w:pPr>
      <w:r w:rsidRPr="00640C71">
        <w:rPr>
          <w:rFonts w:ascii="Arial" w:hAnsi="Arial" w:cs="Arial"/>
          <w:b/>
          <w:sz w:val="24"/>
        </w:rPr>
        <w:t>Student id : 2605881</w:t>
      </w:r>
    </w:p>
    <w:p w14:paraId="0257205F" w14:textId="0F9A6469" w:rsidR="00995EC5" w:rsidRDefault="00995EC5" w:rsidP="00F53A6E">
      <w:pPr>
        <w:jc w:val="center"/>
        <w:rPr>
          <w:rFonts w:ascii="Arial" w:hAnsi="Arial" w:cs="Arial"/>
          <w:b/>
          <w:sz w:val="24"/>
        </w:rPr>
      </w:pPr>
      <w:r>
        <w:rPr>
          <w:rFonts w:ascii="Arial" w:hAnsi="Arial" w:cs="Arial"/>
          <w:b/>
          <w:sz w:val="24"/>
        </w:rPr>
        <w:t>WORD COUNT :</w:t>
      </w:r>
      <w:r w:rsidR="00DF32E5">
        <w:rPr>
          <w:rFonts w:ascii="Arial" w:hAnsi="Arial" w:cs="Arial"/>
          <w:b/>
          <w:sz w:val="24"/>
        </w:rPr>
        <w:t xml:space="preserve"> 2711</w:t>
      </w:r>
    </w:p>
    <w:p w14:paraId="54D842D3" w14:textId="6A8C40D6" w:rsidR="00995EC5" w:rsidRPr="00640C71" w:rsidRDefault="00995EC5" w:rsidP="00F53A6E">
      <w:pPr>
        <w:jc w:val="center"/>
        <w:rPr>
          <w:rFonts w:ascii="Arial" w:hAnsi="Arial" w:cs="Arial"/>
          <w:b/>
          <w:sz w:val="24"/>
        </w:rPr>
      </w:pPr>
      <w:r>
        <w:rPr>
          <w:rFonts w:ascii="Arial" w:hAnsi="Arial" w:cs="Arial"/>
          <w:b/>
          <w:sz w:val="24"/>
        </w:rPr>
        <w:t>SUBMISSION DATE : 22</w:t>
      </w:r>
      <w:r w:rsidRPr="00995EC5">
        <w:rPr>
          <w:rFonts w:ascii="Arial" w:hAnsi="Arial" w:cs="Arial"/>
          <w:b/>
          <w:sz w:val="24"/>
          <w:vertAlign w:val="superscript"/>
        </w:rPr>
        <w:t>nd</w:t>
      </w:r>
      <w:r>
        <w:rPr>
          <w:rFonts w:ascii="Arial" w:hAnsi="Arial" w:cs="Arial"/>
          <w:b/>
          <w:sz w:val="24"/>
        </w:rPr>
        <w:t xml:space="preserve"> oct. 2026</w:t>
      </w:r>
    </w:p>
    <w:p w14:paraId="31760243" w14:textId="77777777" w:rsidR="00E57B2A" w:rsidRPr="00640C71" w:rsidRDefault="00E57B2A" w:rsidP="00E57B2A">
      <w:pPr>
        <w:rPr>
          <w:rFonts w:ascii="Arial" w:hAnsi="Arial" w:cs="Arial"/>
          <w:b/>
          <w:sz w:val="24"/>
        </w:rPr>
      </w:pPr>
    </w:p>
    <w:p w14:paraId="279C1D35" w14:textId="2B380A5B" w:rsidR="00032954" w:rsidRPr="00640C71" w:rsidRDefault="00E57B2A" w:rsidP="00E57B2A">
      <w:pPr>
        <w:jc w:val="center"/>
        <w:rPr>
          <w:rFonts w:ascii="Arial" w:hAnsi="Arial" w:cs="Arial"/>
          <w:b/>
          <w:sz w:val="28"/>
        </w:rPr>
      </w:pPr>
      <w:r w:rsidRPr="00640C71">
        <w:rPr>
          <w:rFonts w:ascii="Arial" w:hAnsi="Arial" w:cs="Arial"/>
          <w:b/>
          <w:sz w:val="28"/>
        </w:rPr>
        <w:t>Assignment Title: Assessment component 1: Marketing Environment Analysis of</w:t>
      </w:r>
      <w:r w:rsidR="00F30826">
        <w:rPr>
          <w:rFonts w:ascii="Arial" w:hAnsi="Arial" w:cs="Arial"/>
          <w:b/>
          <w:sz w:val="28"/>
        </w:rPr>
        <w:t xml:space="preserve"> BROKEN HILL </w:t>
      </w:r>
      <w:r w:rsidR="00843B74">
        <w:rPr>
          <w:rFonts w:ascii="Arial" w:hAnsi="Arial" w:cs="Arial"/>
          <w:b/>
          <w:sz w:val="28"/>
        </w:rPr>
        <w:t>PROPRATRY</w:t>
      </w:r>
      <w:r w:rsidR="00A27FB7">
        <w:rPr>
          <w:rFonts w:ascii="Arial" w:hAnsi="Arial" w:cs="Arial"/>
          <w:b/>
          <w:sz w:val="28"/>
        </w:rPr>
        <w:t xml:space="preserve"> COMPANY  LIMITED </w:t>
      </w:r>
      <w:r w:rsidR="00843B74">
        <w:rPr>
          <w:rFonts w:ascii="Arial" w:hAnsi="Arial" w:cs="Arial"/>
          <w:b/>
          <w:sz w:val="28"/>
        </w:rPr>
        <w:t xml:space="preserve">BHP </w:t>
      </w:r>
      <w:r w:rsidR="00ED0BCD" w:rsidRPr="00640C71">
        <w:rPr>
          <w:rFonts w:ascii="Arial" w:hAnsi="Arial" w:cs="Arial"/>
          <w:b/>
          <w:sz w:val="28"/>
        </w:rPr>
        <w:t>(</w:t>
      </w:r>
      <w:r w:rsidRPr="00640C71">
        <w:rPr>
          <w:rFonts w:ascii="Arial" w:hAnsi="Arial" w:cs="Arial"/>
          <w:b/>
          <w:sz w:val="28"/>
        </w:rPr>
        <w:t>Australia</w:t>
      </w:r>
      <w:r w:rsidR="00ED0BCD" w:rsidRPr="00640C71">
        <w:rPr>
          <w:rFonts w:ascii="Arial" w:hAnsi="Arial" w:cs="Arial"/>
          <w:b/>
          <w:sz w:val="28"/>
        </w:rPr>
        <w:t>)</w:t>
      </w:r>
      <w:r w:rsidR="00032954" w:rsidRPr="00640C71">
        <w:rPr>
          <w:rFonts w:ascii="Arial" w:hAnsi="Arial" w:cs="Arial"/>
          <w:b/>
          <w:sz w:val="28"/>
        </w:rPr>
        <w:br w:type="page"/>
      </w:r>
    </w:p>
    <w:sdt>
      <w:sdtPr>
        <w:rPr>
          <w:rFonts w:ascii="Arial" w:eastAsiaTheme="minorHAnsi" w:hAnsi="Arial" w:cs="Arial"/>
          <w:color w:val="000000" w:themeColor="text1"/>
          <w:sz w:val="24"/>
          <w:szCs w:val="24"/>
          <w:lang w:val="en-IN"/>
        </w:rPr>
        <w:id w:val="-1153375491"/>
        <w:docPartObj>
          <w:docPartGallery w:val="Table of Contents"/>
          <w:docPartUnique/>
        </w:docPartObj>
      </w:sdtPr>
      <w:sdtEndPr>
        <w:rPr>
          <w:b/>
          <w:bCs/>
          <w:noProof/>
        </w:rPr>
      </w:sdtEndPr>
      <w:sdtContent>
        <w:p w14:paraId="3A2677DF" w14:textId="00BC5B42" w:rsidR="00032954" w:rsidRPr="00640C71" w:rsidRDefault="00032954" w:rsidP="00AF5879">
          <w:pPr>
            <w:pStyle w:val="TOCHeading"/>
            <w:spacing w:line="360" w:lineRule="auto"/>
            <w:jc w:val="center"/>
            <w:rPr>
              <w:rFonts w:ascii="Arial" w:hAnsi="Arial" w:cs="Arial"/>
              <w:b/>
              <w:color w:val="000000" w:themeColor="text1"/>
              <w:sz w:val="28"/>
              <w:szCs w:val="24"/>
            </w:rPr>
          </w:pPr>
          <w:r w:rsidRPr="00640C71">
            <w:rPr>
              <w:rFonts w:ascii="Arial" w:hAnsi="Arial" w:cs="Arial"/>
              <w:b/>
              <w:color w:val="000000" w:themeColor="text1"/>
              <w:sz w:val="28"/>
              <w:szCs w:val="24"/>
            </w:rPr>
            <w:t>Table of Contents</w:t>
          </w:r>
        </w:p>
        <w:p w14:paraId="081699B1" w14:textId="0AFE3C07" w:rsidR="00AF5879" w:rsidRPr="00640C71" w:rsidRDefault="00032954" w:rsidP="00AF5879">
          <w:pPr>
            <w:pStyle w:val="TOC1"/>
            <w:tabs>
              <w:tab w:val="right" w:leader="dot" w:pos="9016"/>
            </w:tabs>
            <w:spacing w:line="360" w:lineRule="auto"/>
            <w:jc w:val="both"/>
            <w:rPr>
              <w:rFonts w:ascii="Arial" w:eastAsiaTheme="minorEastAsia" w:hAnsi="Arial" w:cs="Arial"/>
              <w:noProof/>
              <w:sz w:val="24"/>
              <w:szCs w:val="24"/>
              <w:lang w:eastAsia="en-IN"/>
            </w:rPr>
          </w:pPr>
          <w:r w:rsidRPr="00640C71">
            <w:rPr>
              <w:rFonts w:ascii="Arial" w:hAnsi="Arial" w:cs="Arial"/>
              <w:b/>
              <w:bCs/>
              <w:noProof/>
              <w:color w:val="000000" w:themeColor="text1"/>
              <w:sz w:val="24"/>
              <w:szCs w:val="24"/>
            </w:rPr>
            <w:fldChar w:fldCharType="begin"/>
          </w:r>
          <w:r w:rsidRPr="00640C71">
            <w:rPr>
              <w:rFonts w:ascii="Arial" w:hAnsi="Arial" w:cs="Arial"/>
              <w:b/>
              <w:bCs/>
              <w:noProof/>
              <w:color w:val="000000" w:themeColor="text1"/>
              <w:sz w:val="24"/>
              <w:szCs w:val="24"/>
            </w:rPr>
            <w:instrText xml:space="preserve"> TOC \o "1-3" \h \z \u </w:instrText>
          </w:r>
          <w:r w:rsidRPr="00640C71">
            <w:rPr>
              <w:rFonts w:ascii="Arial" w:hAnsi="Arial" w:cs="Arial"/>
              <w:b/>
              <w:bCs/>
              <w:noProof/>
              <w:color w:val="000000" w:themeColor="text1"/>
              <w:sz w:val="24"/>
              <w:szCs w:val="24"/>
            </w:rPr>
            <w:fldChar w:fldCharType="separate"/>
          </w:r>
          <w:hyperlink w:anchor="_Toc241401291" w:history="1">
            <w:r w:rsidR="00AF5879" w:rsidRPr="00640C71">
              <w:rPr>
                <w:rStyle w:val="Hyperlink"/>
                <w:rFonts w:ascii="Arial" w:hAnsi="Arial" w:cs="Arial"/>
                <w:noProof/>
                <w:sz w:val="24"/>
                <w:szCs w:val="24"/>
              </w:rPr>
              <w:t>Task 1: Marketing Environment Analysis</w:t>
            </w:r>
            <w:r w:rsidR="00AF5879" w:rsidRPr="00640C71">
              <w:rPr>
                <w:rFonts w:ascii="Arial" w:hAnsi="Arial" w:cs="Arial"/>
                <w:noProof/>
                <w:webHidden/>
                <w:sz w:val="24"/>
                <w:szCs w:val="24"/>
              </w:rPr>
              <w:tab/>
            </w:r>
            <w:r w:rsidR="00AF5879" w:rsidRPr="00640C71">
              <w:rPr>
                <w:rFonts w:ascii="Arial" w:hAnsi="Arial" w:cs="Arial"/>
                <w:noProof/>
                <w:webHidden/>
                <w:sz w:val="24"/>
                <w:szCs w:val="24"/>
              </w:rPr>
              <w:fldChar w:fldCharType="begin"/>
            </w:r>
            <w:r w:rsidR="00AF5879" w:rsidRPr="00640C71">
              <w:rPr>
                <w:rFonts w:ascii="Arial" w:hAnsi="Arial" w:cs="Arial"/>
                <w:noProof/>
                <w:webHidden/>
                <w:sz w:val="24"/>
                <w:szCs w:val="24"/>
              </w:rPr>
              <w:instrText xml:space="preserve"> PAGEREF _Toc241401291 \h </w:instrText>
            </w:r>
            <w:r w:rsidR="00AF5879" w:rsidRPr="00640C71">
              <w:rPr>
                <w:rFonts w:ascii="Arial" w:hAnsi="Arial" w:cs="Arial"/>
                <w:noProof/>
                <w:webHidden/>
                <w:sz w:val="24"/>
                <w:szCs w:val="24"/>
              </w:rPr>
            </w:r>
            <w:r w:rsidR="00AF5879" w:rsidRPr="00640C71">
              <w:rPr>
                <w:rFonts w:ascii="Arial" w:hAnsi="Arial" w:cs="Arial"/>
                <w:noProof/>
                <w:webHidden/>
                <w:sz w:val="24"/>
                <w:szCs w:val="24"/>
              </w:rPr>
              <w:fldChar w:fldCharType="separate"/>
            </w:r>
            <w:r w:rsidR="00CE710C" w:rsidRPr="00640C71">
              <w:rPr>
                <w:rFonts w:ascii="Arial" w:hAnsi="Arial" w:cs="Arial"/>
                <w:noProof/>
                <w:webHidden/>
                <w:sz w:val="24"/>
                <w:szCs w:val="24"/>
              </w:rPr>
              <w:t>3</w:t>
            </w:r>
            <w:r w:rsidR="00AF5879" w:rsidRPr="00640C71">
              <w:rPr>
                <w:rFonts w:ascii="Arial" w:hAnsi="Arial" w:cs="Arial"/>
                <w:noProof/>
                <w:webHidden/>
                <w:sz w:val="24"/>
                <w:szCs w:val="24"/>
              </w:rPr>
              <w:fldChar w:fldCharType="end"/>
            </w:r>
          </w:hyperlink>
        </w:p>
        <w:p w14:paraId="6612BFF0" w14:textId="7B8B090A" w:rsidR="00AF5879" w:rsidRPr="00640C71" w:rsidRDefault="00AF5879" w:rsidP="00AF5879">
          <w:pPr>
            <w:pStyle w:val="TOC2"/>
            <w:tabs>
              <w:tab w:val="right" w:leader="dot" w:pos="9016"/>
            </w:tabs>
            <w:spacing w:line="360" w:lineRule="auto"/>
            <w:jc w:val="both"/>
            <w:rPr>
              <w:rFonts w:ascii="Arial" w:eastAsiaTheme="minorEastAsia" w:hAnsi="Arial" w:cs="Arial"/>
              <w:noProof/>
              <w:sz w:val="24"/>
              <w:szCs w:val="24"/>
              <w:lang w:eastAsia="en-IN"/>
            </w:rPr>
          </w:pPr>
          <w:hyperlink w:anchor="_Toc241401292" w:history="1">
            <w:r w:rsidRPr="00640C71">
              <w:rPr>
                <w:rStyle w:val="Hyperlink"/>
                <w:rFonts w:ascii="Arial" w:hAnsi="Arial" w:cs="Arial"/>
                <w:noProof/>
                <w:sz w:val="24"/>
                <w:szCs w:val="24"/>
              </w:rPr>
              <w:t>1.1 Natural Environment Actor</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_Toc241401292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4</w:t>
            </w:r>
            <w:r w:rsidRPr="00640C71">
              <w:rPr>
                <w:rFonts w:ascii="Arial" w:hAnsi="Arial" w:cs="Arial"/>
                <w:noProof/>
                <w:webHidden/>
                <w:sz w:val="24"/>
                <w:szCs w:val="24"/>
              </w:rPr>
              <w:fldChar w:fldCharType="end"/>
            </w:r>
          </w:hyperlink>
        </w:p>
        <w:p w14:paraId="785A5391" w14:textId="0EFDA45B" w:rsidR="00AF5879" w:rsidRPr="00640C71" w:rsidRDefault="00AF5879" w:rsidP="00AF5879">
          <w:pPr>
            <w:pStyle w:val="TOC2"/>
            <w:tabs>
              <w:tab w:val="right" w:leader="dot" w:pos="9016"/>
            </w:tabs>
            <w:spacing w:line="360" w:lineRule="auto"/>
            <w:jc w:val="both"/>
            <w:rPr>
              <w:rFonts w:ascii="Arial" w:eastAsiaTheme="minorEastAsia" w:hAnsi="Arial" w:cs="Arial"/>
              <w:noProof/>
              <w:sz w:val="24"/>
              <w:szCs w:val="24"/>
              <w:lang w:eastAsia="en-IN"/>
            </w:rPr>
          </w:pPr>
          <w:hyperlink w:anchor="_Toc241401293" w:history="1">
            <w:r w:rsidRPr="00640C71">
              <w:rPr>
                <w:rStyle w:val="Hyperlink"/>
                <w:rFonts w:ascii="Arial" w:hAnsi="Arial" w:cs="Arial"/>
                <w:noProof/>
                <w:sz w:val="24"/>
                <w:szCs w:val="24"/>
              </w:rPr>
              <w:t>1.2 Political-Legal Environment Actor</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_Toc241401293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6</w:t>
            </w:r>
            <w:r w:rsidRPr="00640C71">
              <w:rPr>
                <w:rFonts w:ascii="Arial" w:hAnsi="Arial" w:cs="Arial"/>
                <w:noProof/>
                <w:webHidden/>
                <w:sz w:val="24"/>
                <w:szCs w:val="24"/>
              </w:rPr>
              <w:fldChar w:fldCharType="end"/>
            </w:r>
          </w:hyperlink>
        </w:p>
        <w:p w14:paraId="3C44EBC5" w14:textId="2CD3C279" w:rsidR="00AF5879" w:rsidRPr="00640C71" w:rsidRDefault="00AF5879" w:rsidP="00AF5879">
          <w:pPr>
            <w:pStyle w:val="TOC2"/>
            <w:tabs>
              <w:tab w:val="right" w:leader="dot" w:pos="9016"/>
            </w:tabs>
            <w:spacing w:line="360" w:lineRule="auto"/>
            <w:jc w:val="both"/>
            <w:rPr>
              <w:rFonts w:ascii="Arial" w:eastAsiaTheme="minorEastAsia" w:hAnsi="Arial" w:cs="Arial"/>
              <w:noProof/>
              <w:sz w:val="24"/>
              <w:szCs w:val="24"/>
              <w:lang w:eastAsia="en-IN"/>
            </w:rPr>
          </w:pPr>
          <w:hyperlink w:anchor="_Toc241401294" w:history="1">
            <w:r w:rsidRPr="00640C71">
              <w:rPr>
                <w:rStyle w:val="Hyperlink"/>
                <w:rFonts w:ascii="Arial" w:hAnsi="Arial" w:cs="Arial"/>
                <w:noProof/>
                <w:sz w:val="24"/>
                <w:szCs w:val="24"/>
              </w:rPr>
              <w:t>1.3 Customer Environment Actor (Microenvironment)</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_Toc241401294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9</w:t>
            </w:r>
            <w:r w:rsidRPr="00640C71">
              <w:rPr>
                <w:rFonts w:ascii="Arial" w:hAnsi="Arial" w:cs="Arial"/>
                <w:noProof/>
                <w:webHidden/>
                <w:sz w:val="24"/>
                <w:szCs w:val="24"/>
              </w:rPr>
              <w:fldChar w:fldCharType="end"/>
            </w:r>
          </w:hyperlink>
        </w:p>
        <w:p w14:paraId="3B15B56A" w14:textId="03C48E94" w:rsidR="00AF5879" w:rsidRPr="00640C71" w:rsidRDefault="00AF5879" w:rsidP="00AF5879">
          <w:pPr>
            <w:pStyle w:val="TOC1"/>
            <w:tabs>
              <w:tab w:val="right" w:leader="dot" w:pos="9016"/>
            </w:tabs>
            <w:spacing w:line="360" w:lineRule="auto"/>
            <w:jc w:val="both"/>
            <w:rPr>
              <w:rFonts w:ascii="Arial" w:eastAsiaTheme="minorEastAsia" w:hAnsi="Arial" w:cs="Arial"/>
              <w:noProof/>
              <w:sz w:val="24"/>
              <w:szCs w:val="24"/>
              <w:lang w:eastAsia="en-IN"/>
            </w:rPr>
          </w:pPr>
          <w:hyperlink w:anchor="_Toc241401295" w:history="1">
            <w:r w:rsidRPr="00640C71">
              <w:rPr>
                <w:rStyle w:val="Hyperlink"/>
                <w:rFonts w:ascii="Arial" w:hAnsi="Arial" w:cs="Arial"/>
                <w:noProof/>
                <w:sz w:val="24"/>
                <w:szCs w:val="24"/>
              </w:rPr>
              <w:t>Task 2: Strategic Growth and Competitive Positioning</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_Toc241401295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11</w:t>
            </w:r>
            <w:r w:rsidRPr="00640C71">
              <w:rPr>
                <w:rFonts w:ascii="Arial" w:hAnsi="Arial" w:cs="Arial"/>
                <w:noProof/>
                <w:webHidden/>
                <w:sz w:val="24"/>
                <w:szCs w:val="24"/>
              </w:rPr>
              <w:fldChar w:fldCharType="end"/>
            </w:r>
          </w:hyperlink>
        </w:p>
        <w:p w14:paraId="4ADD7CF9" w14:textId="7EB23E34" w:rsidR="00AF5879" w:rsidRPr="00640C71" w:rsidRDefault="00AF5879" w:rsidP="00AF5879">
          <w:pPr>
            <w:pStyle w:val="TOC2"/>
            <w:tabs>
              <w:tab w:val="right" w:leader="dot" w:pos="9016"/>
            </w:tabs>
            <w:spacing w:line="360" w:lineRule="auto"/>
            <w:jc w:val="both"/>
            <w:rPr>
              <w:rFonts w:ascii="Arial" w:eastAsiaTheme="minorEastAsia" w:hAnsi="Arial" w:cs="Arial"/>
              <w:noProof/>
              <w:sz w:val="24"/>
              <w:szCs w:val="24"/>
              <w:lang w:eastAsia="en-IN"/>
            </w:rPr>
          </w:pPr>
          <w:hyperlink w:anchor="_Toc241401296" w:history="1">
            <w:r w:rsidRPr="00640C71">
              <w:rPr>
                <w:rStyle w:val="Hyperlink"/>
                <w:rFonts w:ascii="Arial" w:hAnsi="Arial" w:cs="Arial"/>
                <w:noProof/>
                <w:sz w:val="24"/>
                <w:szCs w:val="24"/>
              </w:rPr>
              <w:t>2.1 Porter’s Generic Strategy</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_Toc241401296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11</w:t>
            </w:r>
            <w:r w:rsidRPr="00640C71">
              <w:rPr>
                <w:rFonts w:ascii="Arial" w:hAnsi="Arial" w:cs="Arial"/>
                <w:noProof/>
                <w:webHidden/>
                <w:sz w:val="24"/>
                <w:szCs w:val="24"/>
              </w:rPr>
              <w:fldChar w:fldCharType="end"/>
            </w:r>
          </w:hyperlink>
        </w:p>
        <w:p w14:paraId="2E1031A7" w14:textId="26A1E0D1" w:rsidR="00AF5879" w:rsidRPr="00640C71" w:rsidRDefault="00AF5879" w:rsidP="00AF5879">
          <w:pPr>
            <w:pStyle w:val="TOC2"/>
            <w:tabs>
              <w:tab w:val="right" w:leader="dot" w:pos="9016"/>
            </w:tabs>
            <w:spacing w:line="360" w:lineRule="auto"/>
            <w:jc w:val="both"/>
            <w:rPr>
              <w:rFonts w:ascii="Arial" w:eastAsiaTheme="minorEastAsia" w:hAnsi="Arial" w:cs="Arial"/>
              <w:noProof/>
              <w:sz w:val="24"/>
              <w:szCs w:val="24"/>
              <w:lang w:eastAsia="en-IN"/>
            </w:rPr>
          </w:pPr>
          <w:hyperlink w:anchor="_Toc241401297" w:history="1">
            <w:r w:rsidRPr="00640C71">
              <w:rPr>
                <w:rStyle w:val="Hyperlink"/>
                <w:rFonts w:ascii="Arial" w:hAnsi="Arial" w:cs="Arial"/>
                <w:noProof/>
                <w:sz w:val="24"/>
                <w:szCs w:val="24"/>
              </w:rPr>
              <w:t>2.2 Strategic Growth: The Ansoff Matrix Analysis</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_Toc241401297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14</w:t>
            </w:r>
            <w:r w:rsidRPr="00640C71">
              <w:rPr>
                <w:rFonts w:ascii="Arial" w:hAnsi="Arial" w:cs="Arial"/>
                <w:noProof/>
                <w:webHidden/>
                <w:sz w:val="24"/>
                <w:szCs w:val="24"/>
              </w:rPr>
              <w:fldChar w:fldCharType="end"/>
            </w:r>
          </w:hyperlink>
        </w:p>
        <w:p w14:paraId="3E4D9B4D" w14:textId="4480974C" w:rsidR="00AF5879" w:rsidRPr="00640C71" w:rsidRDefault="00AF5879" w:rsidP="00AF5879">
          <w:pPr>
            <w:pStyle w:val="TOC3"/>
            <w:tabs>
              <w:tab w:val="right" w:leader="dot" w:pos="9016"/>
            </w:tabs>
            <w:spacing w:line="360" w:lineRule="auto"/>
            <w:jc w:val="both"/>
            <w:rPr>
              <w:rFonts w:ascii="Arial" w:eastAsiaTheme="minorEastAsia" w:hAnsi="Arial" w:cs="Arial"/>
              <w:noProof/>
              <w:sz w:val="24"/>
              <w:szCs w:val="24"/>
              <w:lang w:eastAsia="en-IN"/>
            </w:rPr>
          </w:pPr>
          <w:hyperlink w:anchor="_Toc241401298" w:history="1">
            <w:r w:rsidRPr="00640C71">
              <w:rPr>
                <w:rStyle w:val="Hyperlink"/>
                <w:rFonts w:ascii="Arial" w:hAnsi="Arial" w:cs="Arial"/>
                <w:noProof/>
                <w:sz w:val="24"/>
                <w:szCs w:val="24"/>
              </w:rPr>
              <w:t>2.2.1 Market penetration for existing products in existing market</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_Toc241401298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14</w:t>
            </w:r>
            <w:r w:rsidRPr="00640C71">
              <w:rPr>
                <w:rFonts w:ascii="Arial" w:hAnsi="Arial" w:cs="Arial"/>
                <w:noProof/>
                <w:webHidden/>
                <w:sz w:val="24"/>
                <w:szCs w:val="24"/>
              </w:rPr>
              <w:fldChar w:fldCharType="end"/>
            </w:r>
          </w:hyperlink>
        </w:p>
        <w:p w14:paraId="424BA553" w14:textId="252FB24A" w:rsidR="00AF5879" w:rsidRPr="00640C71" w:rsidRDefault="00AF5879" w:rsidP="00AF5879">
          <w:pPr>
            <w:pStyle w:val="TOC3"/>
            <w:tabs>
              <w:tab w:val="right" w:leader="dot" w:pos="9016"/>
            </w:tabs>
            <w:spacing w:line="360" w:lineRule="auto"/>
            <w:jc w:val="both"/>
            <w:rPr>
              <w:rFonts w:ascii="Arial" w:eastAsiaTheme="minorEastAsia" w:hAnsi="Arial" w:cs="Arial"/>
              <w:noProof/>
              <w:sz w:val="24"/>
              <w:szCs w:val="24"/>
              <w:lang w:eastAsia="en-IN"/>
            </w:rPr>
          </w:pPr>
          <w:hyperlink w:anchor="_Toc241401299" w:history="1">
            <w:r w:rsidRPr="00640C71">
              <w:rPr>
                <w:rStyle w:val="Hyperlink"/>
                <w:rFonts w:ascii="Arial" w:hAnsi="Arial" w:cs="Arial"/>
                <w:noProof/>
                <w:sz w:val="24"/>
                <w:szCs w:val="24"/>
              </w:rPr>
              <w:t>2.2.2 Product Development</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_Toc241401299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15</w:t>
            </w:r>
            <w:r w:rsidRPr="00640C71">
              <w:rPr>
                <w:rFonts w:ascii="Arial" w:hAnsi="Arial" w:cs="Arial"/>
                <w:noProof/>
                <w:webHidden/>
                <w:sz w:val="24"/>
                <w:szCs w:val="24"/>
              </w:rPr>
              <w:fldChar w:fldCharType="end"/>
            </w:r>
          </w:hyperlink>
        </w:p>
        <w:p w14:paraId="6B123E83" w14:textId="0F2D2B3A" w:rsidR="00AF5879" w:rsidRPr="00640C71" w:rsidRDefault="00AF5879" w:rsidP="00AF5879">
          <w:pPr>
            <w:pStyle w:val="TOC3"/>
            <w:tabs>
              <w:tab w:val="right" w:leader="dot" w:pos="9016"/>
            </w:tabs>
            <w:spacing w:line="360" w:lineRule="auto"/>
            <w:jc w:val="both"/>
            <w:rPr>
              <w:rFonts w:ascii="Arial" w:eastAsiaTheme="minorEastAsia" w:hAnsi="Arial" w:cs="Arial"/>
              <w:noProof/>
              <w:sz w:val="24"/>
              <w:szCs w:val="24"/>
              <w:lang w:eastAsia="en-IN"/>
            </w:rPr>
          </w:pPr>
          <w:hyperlink w:anchor="_Toc241401300" w:history="1">
            <w:r w:rsidRPr="00640C71">
              <w:rPr>
                <w:rStyle w:val="Hyperlink"/>
                <w:rFonts w:ascii="Arial" w:hAnsi="Arial" w:cs="Arial"/>
                <w:noProof/>
                <w:sz w:val="24"/>
                <w:szCs w:val="24"/>
              </w:rPr>
              <w:t>2.2.3 Market Development</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_Toc241401300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16</w:t>
            </w:r>
            <w:r w:rsidRPr="00640C71">
              <w:rPr>
                <w:rFonts w:ascii="Arial" w:hAnsi="Arial" w:cs="Arial"/>
                <w:noProof/>
                <w:webHidden/>
                <w:sz w:val="24"/>
                <w:szCs w:val="24"/>
              </w:rPr>
              <w:fldChar w:fldCharType="end"/>
            </w:r>
          </w:hyperlink>
        </w:p>
        <w:p w14:paraId="35F50DDE" w14:textId="3EF1AA2A" w:rsidR="00AF5879" w:rsidRPr="00640C71" w:rsidRDefault="00AF5879" w:rsidP="00AF5879">
          <w:pPr>
            <w:pStyle w:val="TOC3"/>
            <w:tabs>
              <w:tab w:val="right" w:leader="dot" w:pos="9016"/>
            </w:tabs>
            <w:spacing w:line="360" w:lineRule="auto"/>
            <w:jc w:val="both"/>
            <w:rPr>
              <w:rFonts w:ascii="Arial" w:eastAsiaTheme="minorEastAsia" w:hAnsi="Arial" w:cs="Arial"/>
              <w:noProof/>
              <w:sz w:val="24"/>
              <w:szCs w:val="24"/>
              <w:lang w:eastAsia="en-IN"/>
            </w:rPr>
          </w:pPr>
          <w:hyperlink w:anchor="_Toc241401301" w:history="1">
            <w:r w:rsidRPr="00640C71">
              <w:rPr>
                <w:rStyle w:val="Hyperlink"/>
                <w:rFonts w:ascii="Arial" w:hAnsi="Arial" w:cs="Arial"/>
                <w:noProof/>
                <w:sz w:val="24"/>
                <w:szCs w:val="24"/>
              </w:rPr>
              <w:t>2.2.4 Diversification</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_Toc241401301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17</w:t>
            </w:r>
            <w:r w:rsidRPr="00640C71">
              <w:rPr>
                <w:rFonts w:ascii="Arial" w:hAnsi="Arial" w:cs="Arial"/>
                <w:noProof/>
                <w:webHidden/>
                <w:sz w:val="24"/>
                <w:szCs w:val="24"/>
              </w:rPr>
              <w:fldChar w:fldCharType="end"/>
            </w:r>
          </w:hyperlink>
        </w:p>
        <w:p w14:paraId="1521D53E" w14:textId="4F0EB4A4" w:rsidR="00AF5879" w:rsidRPr="00640C71" w:rsidRDefault="00AF5879" w:rsidP="00AF5879">
          <w:pPr>
            <w:pStyle w:val="TOC1"/>
            <w:tabs>
              <w:tab w:val="right" w:leader="dot" w:pos="9016"/>
            </w:tabs>
            <w:spacing w:line="360" w:lineRule="auto"/>
            <w:jc w:val="both"/>
            <w:rPr>
              <w:rFonts w:ascii="Arial" w:eastAsiaTheme="minorEastAsia" w:hAnsi="Arial" w:cs="Arial"/>
              <w:noProof/>
              <w:sz w:val="24"/>
              <w:szCs w:val="24"/>
              <w:lang w:eastAsia="en-IN"/>
            </w:rPr>
          </w:pPr>
          <w:hyperlink w:anchor="_Toc241401302" w:history="1">
            <w:r w:rsidRPr="00640C71">
              <w:rPr>
                <w:rStyle w:val="Hyperlink"/>
                <w:rFonts w:ascii="Arial" w:hAnsi="Arial" w:cs="Arial"/>
                <w:noProof/>
                <w:sz w:val="24"/>
                <w:szCs w:val="24"/>
                <w:lang w:eastAsia="en-IN"/>
              </w:rPr>
              <w:t>Task 3: Managerial and Professional Reflection</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_Toc241401302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18</w:t>
            </w:r>
            <w:r w:rsidRPr="00640C71">
              <w:rPr>
                <w:rFonts w:ascii="Arial" w:hAnsi="Arial" w:cs="Arial"/>
                <w:noProof/>
                <w:webHidden/>
                <w:sz w:val="24"/>
                <w:szCs w:val="24"/>
              </w:rPr>
              <w:fldChar w:fldCharType="end"/>
            </w:r>
          </w:hyperlink>
        </w:p>
        <w:p w14:paraId="4DFE6BF6" w14:textId="65D2FC0E" w:rsidR="00AF5879" w:rsidRPr="00640C71" w:rsidRDefault="00AF5879" w:rsidP="00AF5879">
          <w:pPr>
            <w:pStyle w:val="TOC2"/>
            <w:tabs>
              <w:tab w:val="right" w:leader="dot" w:pos="9016"/>
            </w:tabs>
            <w:spacing w:line="360" w:lineRule="auto"/>
            <w:jc w:val="both"/>
            <w:rPr>
              <w:rFonts w:ascii="Arial" w:eastAsiaTheme="minorEastAsia" w:hAnsi="Arial" w:cs="Arial"/>
              <w:noProof/>
              <w:sz w:val="24"/>
              <w:szCs w:val="24"/>
              <w:lang w:eastAsia="en-IN"/>
            </w:rPr>
          </w:pPr>
          <w:hyperlink w:anchor="_Toc241401303" w:history="1">
            <w:r w:rsidRPr="00640C71">
              <w:rPr>
                <w:rStyle w:val="Hyperlink"/>
                <w:rFonts w:ascii="Arial" w:hAnsi="Arial" w:cs="Arial"/>
                <w:noProof/>
                <w:sz w:val="24"/>
                <w:szCs w:val="24"/>
              </w:rPr>
              <w:t>3.1 Key decisions made in the report</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_Toc241401303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18</w:t>
            </w:r>
            <w:r w:rsidRPr="00640C71">
              <w:rPr>
                <w:rFonts w:ascii="Arial" w:hAnsi="Arial" w:cs="Arial"/>
                <w:noProof/>
                <w:webHidden/>
                <w:sz w:val="24"/>
                <w:szCs w:val="24"/>
              </w:rPr>
              <w:fldChar w:fldCharType="end"/>
            </w:r>
          </w:hyperlink>
        </w:p>
        <w:p w14:paraId="34809E4D" w14:textId="3AFC0380" w:rsidR="00AF5879" w:rsidRPr="00640C71" w:rsidRDefault="00AF5879" w:rsidP="00AF5879">
          <w:pPr>
            <w:pStyle w:val="TOC2"/>
            <w:tabs>
              <w:tab w:val="right" w:leader="dot" w:pos="9016"/>
            </w:tabs>
            <w:spacing w:line="360" w:lineRule="auto"/>
            <w:jc w:val="both"/>
            <w:rPr>
              <w:rFonts w:ascii="Arial" w:eastAsiaTheme="minorEastAsia" w:hAnsi="Arial" w:cs="Arial"/>
              <w:noProof/>
              <w:sz w:val="24"/>
              <w:szCs w:val="24"/>
              <w:lang w:eastAsia="en-IN"/>
            </w:rPr>
          </w:pPr>
          <w:hyperlink w:anchor="_Toc241401304" w:history="1">
            <w:r w:rsidRPr="00640C71">
              <w:rPr>
                <w:rStyle w:val="Hyperlink"/>
                <w:rFonts w:ascii="Arial" w:hAnsi="Arial" w:cs="Arial"/>
                <w:noProof/>
                <w:sz w:val="24"/>
                <w:szCs w:val="24"/>
              </w:rPr>
              <w:t>3.2 Choice of environmental actors and growth strategies</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_Toc241401304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18</w:t>
            </w:r>
            <w:r w:rsidRPr="00640C71">
              <w:rPr>
                <w:rFonts w:ascii="Arial" w:hAnsi="Arial" w:cs="Arial"/>
                <w:noProof/>
                <w:webHidden/>
                <w:sz w:val="24"/>
                <w:szCs w:val="24"/>
              </w:rPr>
              <w:fldChar w:fldCharType="end"/>
            </w:r>
          </w:hyperlink>
        </w:p>
        <w:p w14:paraId="4545B2F5" w14:textId="648949D9" w:rsidR="00AF5879" w:rsidRPr="00640C71" w:rsidRDefault="00AF5879" w:rsidP="00AF5879">
          <w:pPr>
            <w:pStyle w:val="TOC2"/>
            <w:tabs>
              <w:tab w:val="right" w:leader="dot" w:pos="9016"/>
            </w:tabs>
            <w:spacing w:line="360" w:lineRule="auto"/>
            <w:jc w:val="both"/>
            <w:rPr>
              <w:rFonts w:ascii="Arial" w:eastAsiaTheme="minorEastAsia" w:hAnsi="Arial" w:cs="Arial"/>
              <w:noProof/>
              <w:sz w:val="24"/>
              <w:szCs w:val="24"/>
              <w:lang w:eastAsia="en-IN"/>
            </w:rPr>
          </w:pPr>
          <w:hyperlink w:anchor="_Toc241401305" w:history="1">
            <w:r w:rsidRPr="00640C71">
              <w:rPr>
                <w:rStyle w:val="Hyperlink"/>
                <w:rFonts w:ascii="Arial" w:hAnsi="Arial" w:cs="Arial"/>
                <w:noProof/>
                <w:sz w:val="24"/>
                <w:szCs w:val="24"/>
              </w:rPr>
              <w:t>3.3 Limitation, gap and viewpoint of management consultant</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_Toc241401305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18</w:t>
            </w:r>
            <w:r w:rsidRPr="00640C71">
              <w:rPr>
                <w:rFonts w:ascii="Arial" w:hAnsi="Arial" w:cs="Arial"/>
                <w:noProof/>
                <w:webHidden/>
                <w:sz w:val="24"/>
                <w:szCs w:val="24"/>
              </w:rPr>
              <w:fldChar w:fldCharType="end"/>
            </w:r>
          </w:hyperlink>
        </w:p>
        <w:p w14:paraId="1DEF49AE" w14:textId="4EF96C43" w:rsidR="00AF5879" w:rsidRPr="00640C71" w:rsidRDefault="00AF5879" w:rsidP="00AF5879">
          <w:pPr>
            <w:pStyle w:val="TOC1"/>
            <w:tabs>
              <w:tab w:val="right" w:leader="dot" w:pos="9016"/>
            </w:tabs>
            <w:spacing w:line="360" w:lineRule="auto"/>
            <w:jc w:val="both"/>
            <w:rPr>
              <w:rFonts w:ascii="Arial" w:eastAsiaTheme="minorEastAsia" w:hAnsi="Arial" w:cs="Arial"/>
              <w:noProof/>
              <w:sz w:val="24"/>
              <w:szCs w:val="24"/>
              <w:lang w:eastAsia="en-IN"/>
            </w:rPr>
          </w:pPr>
          <w:hyperlink w:anchor="_Toc241401306" w:history="1">
            <w:r w:rsidRPr="00640C71">
              <w:rPr>
                <w:rStyle w:val="Hyperlink"/>
                <w:rFonts w:ascii="Arial" w:hAnsi="Arial" w:cs="Arial"/>
                <w:noProof/>
                <w:sz w:val="24"/>
                <w:szCs w:val="24"/>
              </w:rPr>
              <w:t>Reference list</w:t>
            </w:r>
            <w:r w:rsidRPr="00640C71">
              <w:rPr>
                <w:rFonts w:ascii="Arial" w:hAnsi="Arial" w:cs="Arial"/>
                <w:noProof/>
                <w:webHidden/>
                <w:sz w:val="24"/>
                <w:szCs w:val="24"/>
              </w:rPr>
              <w:tab/>
            </w:r>
            <w:r w:rsidRPr="00640C71">
              <w:rPr>
                <w:rFonts w:ascii="Arial" w:hAnsi="Arial" w:cs="Arial"/>
                <w:noProof/>
                <w:webHidden/>
                <w:sz w:val="24"/>
                <w:szCs w:val="24"/>
              </w:rPr>
              <w:fldChar w:fldCharType="begin"/>
            </w:r>
            <w:r w:rsidRPr="00640C71">
              <w:rPr>
                <w:rFonts w:ascii="Arial" w:hAnsi="Arial" w:cs="Arial"/>
                <w:noProof/>
                <w:webHidden/>
                <w:sz w:val="24"/>
                <w:szCs w:val="24"/>
              </w:rPr>
              <w:instrText xml:space="preserve"> PAGEREF _Toc241401306 \h </w:instrText>
            </w:r>
            <w:r w:rsidRPr="00640C71">
              <w:rPr>
                <w:rFonts w:ascii="Arial" w:hAnsi="Arial" w:cs="Arial"/>
                <w:noProof/>
                <w:webHidden/>
                <w:sz w:val="24"/>
                <w:szCs w:val="24"/>
              </w:rPr>
            </w:r>
            <w:r w:rsidRPr="00640C71">
              <w:rPr>
                <w:rFonts w:ascii="Arial" w:hAnsi="Arial" w:cs="Arial"/>
                <w:noProof/>
                <w:webHidden/>
                <w:sz w:val="24"/>
                <w:szCs w:val="24"/>
              </w:rPr>
              <w:fldChar w:fldCharType="separate"/>
            </w:r>
            <w:r w:rsidR="00CE710C" w:rsidRPr="00640C71">
              <w:rPr>
                <w:rFonts w:ascii="Arial" w:hAnsi="Arial" w:cs="Arial"/>
                <w:noProof/>
                <w:webHidden/>
                <w:sz w:val="24"/>
                <w:szCs w:val="24"/>
              </w:rPr>
              <w:t>20</w:t>
            </w:r>
            <w:r w:rsidRPr="00640C71">
              <w:rPr>
                <w:rFonts w:ascii="Arial" w:hAnsi="Arial" w:cs="Arial"/>
                <w:noProof/>
                <w:webHidden/>
                <w:sz w:val="24"/>
                <w:szCs w:val="24"/>
              </w:rPr>
              <w:fldChar w:fldCharType="end"/>
            </w:r>
          </w:hyperlink>
        </w:p>
        <w:p w14:paraId="70D170DD" w14:textId="05568339" w:rsidR="00032954" w:rsidRPr="00640C71" w:rsidRDefault="00032954" w:rsidP="00AF5879">
          <w:pPr>
            <w:spacing w:line="360" w:lineRule="auto"/>
            <w:jc w:val="both"/>
            <w:rPr>
              <w:rFonts w:ascii="Arial" w:hAnsi="Arial" w:cs="Arial"/>
              <w:b/>
              <w:bCs/>
              <w:noProof/>
              <w:color w:val="000000" w:themeColor="text1"/>
              <w:sz w:val="24"/>
              <w:szCs w:val="24"/>
            </w:rPr>
          </w:pPr>
          <w:r w:rsidRPr="00640C71">
            <w:rPr>
              <w:rFonts w:ascii="Arial" w:hAnsi="Arial" w:cs="Arial"/>
              <w:b/>
              <w:bCs/>
              <w:noProof/>
              <w:color w:val="000000" w:themeColor="text1"/>
              <w:sz w:val="24"/>
              <w:szCs w:val="24"/>
            </w:rPr>
            <w:fldChar w:fldCharType="end"/>
          </w:r>
        </w:p>
      </w:sdtContent>
    </w:sdt>
    <w:p w14:paraId="0CFF1A4D" w14:textId="77777777" w:rsidR="00032954" w:rsidRPr="00640C71" w:rsidRDefault="00032954">
      <w:pPr>
        <w:rPr>
          <w:rFonts w:ascii="Arial" w:hAnsi="Arial" w:cs="Arial"/>
          <w:b/>
          <w:sz w:val="24"/>
        </w:rPr>
      </w:pPr>
      <w:r w:rsidRPr="00640C71">
        <w:rPr>
          <w:rFonts w:ascii="Arial" w:hAnsi="Arial" w:cs="Arial"/>
          <w:b/>
          <w:sz w:val="24"/>
        </w:rPr>
        <w:br w:type="page"/>
      </w:r>
    </w:p>
    <w:p w14:paraId="7F4AA6A7" w14:textId="5067A7DA" w:rsidR="00BE6170" w:rsidRPr="00640C71" w:rsidRDefault="00BE6170" w:rsidP="00032954">
      <w:pPr>
        <w:pStyle w:val="Heading1"/>
        <w:rPr>
          <w:rFonts w:ascii="Arial" w:hAnsi="Arial" w:cs="Arial"/>
        </w:rPr>
      </w:pPr>
      <w:bookmarkStart w:id="0" w:name="_Toc241401291"/>
      <w:r w:rsidRPr="00640C71">
        <w:rPr>
          <w:rFonts w:ascii="Arial" w:hAnsi="Arial" w:cs="Arial"/>
        </w:rPr>
        <w:t>Task 1:</w:t>
      </w:r>
      <w:r w:rsidR="00032954" w:rsidRPr="00640C71">
        <w:rPr>
          <w:rFonts w:ascii="Arial" w:hAnsi="Arial" w:cs="Arial"/>
        </w:rPr>
        <w:t xml:space="preserve"> Marketing Environment Analysis</w:t>
      </w:r>
      <w:bookmarkEnd w:id="0"/>
    </w:p>
    <w:p w14:paraId="4C35CDF2" w14:textId="2AC460DF" w:rsidR="00F10708" w:rsidRPr="00640C71" w:rsidRDefault="00BE6170" w:rsidP="00BE6170">
      <w:pPr>
        <w:spacing w:line="360" w:lineRule="auto"/>
        <w:jc w:val="both"/>
        <w:rPr>
          <w:rFonts w:ascii="Arial" w:hAnsi="Arial" w:cs="Arial"/>
          <w:sz w:val="24"/>
        </w:rPr>
      </w:pPr>
      <w:r w:rsidRPr="00640C71">
        <w:rPr>
          <w:rFonts w:ascii="Arial" w:hAnsi="Arial" w:cs="Arial"/>
          <w:sz w:val="24"/>
        </w:rPr>
        <w:t xml:space="preserve">Marketing </w:t>
      </w:r>
      <w:r w:rsidR="006729C7" w:rsidRPr="00640C71">
        <w:rPr>
          <w:rFonts w:ascii="Arial" w:hAnsi="Arial" w:cs="Arial"/>
          <w:sz w:val="24"/>
        </w:rPr>
        <w:t>according to UK Chartered Institute of Marketing</w:t>
      </w:r>
      <w:r w:rsidR="00995EC5">
        <w:rPr>
          <w:rFonts w:ascii="Arial" w:hAnsi="Arial" w:cs="Arial"/>
          <w:sz w:val="24"/>
        </w:rPr>
        <w:t xml:space="preserve"> (CIM-2026)</w:t>
      </w:r>
      <w:r w:rsidR="006729C7" w:rsidRPr="00640C71">
        <w:rPr>
          <w:rFonts w:ascii="Arial" w:hAnsi="Arial" w:cs="Arial"/>
          <w:sz w:val="24"/>
        </w:rPr>
        <w:t xml:space="preserve">, </w:t>
      </w:r>
      <w:r w:rsidRPr="00640C71">
        <w:rPr>
          <w:rFonts w:ascii="Arial" w:hAnsi="Arial" w:cs="Arial"/>
          <w:sz w:val="24"/>
        </w:rPr>
        <w:t>can be consi</w:t>
      </w:r>
      <w:r w:rsidR="006729C7" w:rsidRPr="00640C71">
        <w:rPr>
          <w:rFonts w:ascii="Arial" w:hAnsi="Arial" w:cs="Arial"/>
          <w:sz w:val="24"/>
        </w:rPr>
        <w:t xml:space="preserve">dered as the management process, </w:t>
      </w:r>
      <w:r w:rsidRPr="00640C71">
        <w:rPr>
          <w:rFonts w:ascii="Arial" w:hAnsi="Arial" w:cs="Arial"/>
          <w:sz w:val="24"/>
        </w:rPr>
        <w:t>which involves identification, anticipation and providing satisfaction to customers through maintaining profitability. In this marketing management report, BHP has been selected as the focus company, whose external marketing environment has been analysed based on its t</w:t>
      </w:r>
      <w:r w:rsidR="006729C7" w:rsidRPr="00640C71">
        <w:rPr>
          <w:rFonts w:ascii="Arial" w:hAnsi="Arial" w:cs="Arial"/>
          <w:sz w:val="24"/>
        </w:rPr>
        <w:t>ransition towards sustainable model</w:t>
      </w:r>
      <w:r w:rsidRPr="00640C71">
        <w:rPr>
          <w:rFonts w:ascii="Arial" w:hAnsi="Arial" w:cs="Arial"/>
          <w:sz w:val="24"/>
        </w:rPr>
        <w:t xml:space="preserve">. </w:t>
      </w:r>
    </w:p>
    <w:p w14:paraId="4A6CFEB0" w14:textId="5EDEBE19" w:rsidR="00F10708" w:rsidRPr="00640C71" w:rsidRDefault="00F10708" w:rsidP="00F10708">
      <w:pPr>
        <w:spacing w:line="360" w:lineRule="auto"/>
        <w:jc w:val="center"/>
        <w:rPr>
          <w:rFonts w:ascii="Arial" w:hAnsi="Arial" w:cs="Arial"/>
          <w:sz w:val="24"/>
        </w:rPr>
      </w:pPr>
      <w:r w:rsidRPr="00640C71">
        <w:rPr>
          <w:rFonts w:ascii="Arial" w:hAnsi="Arial" w:cs="Arial"/>
          <w:noProof/>
          <w:sz w:val="24"/>
          <w:lang w:eastAsia="en-IN"/>
        </w:rPr>
        <w:drawing>
          <wp:inline distT="0" distB="0" distL="0" distR="0" wp14:anchorId="222FA48B" wp14:editId="18C82BB6">
            <wp:extent cx="3635055" cy="3604572"/>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35055" cy="3604572"/>
                    </a:xfrm>
                    <a:prstGeom prst="rect">
                      <a:avLst/>
                    </a:prstGeom>
                  </pic:spPr>
                </pic:pic>
              </a:graphicData>
            </a:graphic>
          </wp:inline>
        </w:drawing>
      </w:r>
    </w:p>
    <w:p w14:paraId="524195F8" w14:textId="0CEF8C90" w:rsidR="00F10708" w:rsidRPr="00640C71" w:rsidRDefault="00F10708" w:rsidP="00F10708">
      <w:pPr>
        <w:spacing w:line="360" w:lineRule="auto"/>
        <w:jc w:val="center"/>
        <w:rPr>
          <w:rFonts w:ascii="Arial" w:hAnsi="Arial" w:cs="Arial"/>
          <w:b/>
          <w:sz w:val="24"/>
        </w:rPr>
      </w:pPr>
      <w:r w:rsidRPr="00640C71">
        <w:rPr>
          <w:rFonts w:ascii="Arial" w:hAnsi="Arial" w:cs="Arial"/>
          <w:b/>
          <w:sz w:val="24"/>
        </w:rPr>
        <w:t>Figure 1: BHP Business Model</w:t>
      </w:r>
    </w:p>
    <w:p w14:paraId="612DA594" w14:textId="7EAEA4A7" w:rsidR="00F10708" w:rsidRPr="00640C71" w:rsidRDefault="00F10708" w:rsidP="00F10708">
      <w:pPr>
        <w:spacing w:line="360" w:lineRule="auto"/>
        <w:jc w:val="center"/>
        <w:rPr>
          <w:rFonts w:ascii="Arial" w:hAnsi="Arial" w:cs="Arial"/>
          <w:sz w:val="24"/>
        </w:rPr>
      </w:pPr>
      <w:r w:rsidRPr="00640C71">
        <w:rPr>
          <w:rFonts w:ascii="Arial" w:hAnsi="Arial" w:cs="Arial"/>
          <w:sz w:val="24"/>
        </w:rPr>
        <w:t>(Source: BHP, 2026)</w:t>
      </w:r>
    </w:p>
    <w:p w14:paraId="6DE84E6D" w14:textId="56B85A8F" w:rsidR="00D97FDD" w:rsidRPr="00640C71" w:rsidRDefault="00BE6170" w:rsidP="00BE6170">
      <w:pPr>
        <w:spacing w:line="360" w:lineRule="auto"/>
        <w:jc w:val="both"/>
        <w:rPr>
          <w:rFonts w:ascii="Arial" w:hAnsi="Arial" w:cs="Arial"/>
          <w:sz w:val="24"/>
        </w:rPr>
      </w:pPr>
      <w:r w:rsidRPr="00640C71">
        <w:rPr>
          <w:rFonts w:ascii="Arial" w:hAnsi="Arial" w:cs="Arial"/>
          <w:sz w:val="24"/>
        </w:rPr>
        <w:t>BHP is one of the most resourceful companies around the globe, which deals with metal and mining sector, which accounts for 25% of total Greenhouse Gas emission comprising more than 12,000 large companies (Kotler et al. 2024)</w:t>
      </w:r>
      <w:r w:rsidR="006169CD" w:rsidRPr="00640C71">
        <w:rPr>
          <w:rFonts w:ascii="Arial" w:hAnsi="Arial" w:cs="Arial"/>
          <w:sz w:val="24"/>
        </w:rPr>
        <w:t>.</w:t>
      </w:r>
      <w:r w:rsidR="00BC4755" w:rsidRPr="00640C71">
        <w:rPr>
          <w:rFonts w:ascii="Arial" w:hAnsi="Arial" w:cs="Arial"/>
          <w:sz w:val="24"/>
        </w:rPr>
        <w:t xml:space="preserve"> During organisational transition towards lowered carbon emission and ethical business practices, BHP’s strategic focus shifted by external environmental actors. </w:t>
      </w:r>
      <w:r w:rsidR="00B317DE" w:rsidRPr="00640C71">
        <w:rPr>
          <w:rFonts w:ascii="Arial" w:hAnsi="Arial" w:cs="Arial"/>
          <w:sz w:val="24"/>
        </w:rPr>
        <w:t xml:space="preserve">As stated by Kotler et al. (2024), three key external actors can modify this environment, which are Natural Environment, the Political-Legal Environment, and the </w:t>
      </w:r>
      <w:r w:rsidR="00995EC5">
        <w:rPr>
          <w:rFonts w:ascii="Arial" w:hAnsi="Arial" w:cs="Arial"/>
          <w:sz w:val="24"/>
        </w:rPr>
        <w:t>Social</w:t>
      </w:r>
      <w:r w:rsidR="00B317DE" w:rsidRPr="00640C71">
        <w:rPr>
          <w:rFonts w:ascii="Arial" w:hAnsi="Arial" w:cs="Arial"/>
          <w:sz w:val="24"/>
        </w:rPr>
        <w:t xml:space="preserve"> Environment. Apart from that, current ecological imperatives can also affect marketing and operational strategies of BHP in 2026 and 2027.</w:t>
      </w:r>
    </w:p>
    <w:p w14:paraId="04158BE2" w14:textId="2664B906" w:rsidR="00914F3A" w:rsidRPr="00640C71" w:rsidRDefault="00032954" w:rsidP="00032954">
      <w:pPr>
        <w:pStyle w:val="Heading2"/>
        <w:rPr>
          <w:rFonts w:ascii="Arial" w:hAnsi="Arial" w:cs="Arial"/>
        </w:rPr>
      </w:pPr>
      <w:bookmarkStart w:id="1" w:name="_Toc241401292"/>
      <w:r w:rsidRPr="00640C71">
        <w:rPr>
          <w:rFonts w:ascii="Arial" w:hAnsi="Arial" w:cs="Arial"/>
        </w:rPr>
        <w:t xml:space="preserve">1.1 </w:t>
      </w:r>
      <w:r w:rsidR="00914F3A" w:rsidRPr="00640C71">
        <w:rPr>
          <w:rFonts w:ascii="Arial" w:hAnsi="Arial" w:cs="Arial"/>
        </w:rPr>
        <w:t>Natural Environment Actor</w:t>
      </w:r>
      <w:bookmarkEnd w:id="1"/>
    </w:p>
    <w:p w14:paraId="49A42050" w14:textId="22BC2F18" w:rsidR="00914F3A" w:rsidRPr="00640C71" w:rsidRDefault="00136859" w:rsidP="00914F3A">
      <w:pPr>
        <w:spacing w:line="360" w:lineRule="auto"/>
        <w:jc w:val="both"/>
        <w:rPr>
          <w:rFonts w:ascii="Arial" w:hAnsi="Arial" w:cs="Arial"/>
          <w:sz w:val="24"/>
        </w:rPr>
      </w:pPr>
      <w:r w:rsidRPr="00640C71">
        <w:rPr>
          <w:rFonts w:ascii="Arial" w:hAnsi="Arial" w:cs="Arial"/>
          <w:sz w:val="24"/>
        </w:rPr>
        <w:t xml:space="preserve">Natural environment of a business can be considered as the macro-environmental factors modifying BHP’s strategic realignment. Ecological events such as climate change and resource depletion has a larger impact on the strategic direction of </w:t>
      </w:r>
      <w:r w:rsidR="00E91F2C" w:rsidRPr="00640C71">
        <w:rPr>
          <w:rFonts w:ascii="Arial" w:hAnsi="Arial" w:cs="Arial"/>
          <w:sz w:val="24"/>
        </w:rPr>
        <w:t>multinational companies (Huo and Peng, 2023)</w:t>
      </w:r>
      <w:r w:rsidRPr="00640C71">
        <w:rPr>
          <w:rFonts w:ascii="Arial" w:hAnsi="Arial" w:cs="Arial"/>
          <w:sz w:val="24"/>
        </w:rPr>
        <w:t>. All these factors are primarily considered as peripheral concern, which has changed due to recent concern and strict regulatory activities.</w:t>
      </w:r>
    </w:p>
    <w:p w14:paraId="05776FA7" w14:textId="77777777" w:rsidR="00995EC5" w:rsidRDefault="008F4AD7" w:rsidP="00914F3A">
      <w:pPr>
        <w:spacing w:line="360" w:lineRule="auto"/>
        <w:jc w:val="both"/>
        <w:rPr>
          <w:rFonts w:ascii="Arial" w:hAnsi="Arial" w:cs="Arial"/>
          <w:sz w:val="24"/>
        </w:rPr>
      </w:pPr>
      <w:r w:rsidRPr="00640C71">
        <w:rPr>
          <w:rFonts w:ascii="Arial" w:hAnsi="Arial" w:cs="Arial"/>
          <w:sz w:val="24"/>
        </w:rPr>
        <w:t>In the words of Ahmad et al. (2024), m</w:t>
      </w:r>
      <w:r w:rsidR="00A82F1A" w:rsidRPr="00640C71">
        <w:rPr>
          <w:rFonts w:ascii="Arial" w:hAnsi="Arial" w:cs="Arial"/>
          <w:sz w:val="24"/>
        </w:rPr>
        <w:t>ajor environmental actor means existing ecological, geopolitical or environmental conditions that significantly moderates operational</w:t>
      </w:r>
      <w:r w:rsidR="00361B71" w:rsidRPr="00640C71">
        <w:rPr>
          <w:rFonts w:ascii="Arial" w:hAnsi="Arial" w:cs="Arial"/>
          <w:sz w:val="24"/>
        </w:rPr>
        <w:t xml:space="preserve"> choices and surroundings of an organisation. In case of BHP, environmental actors directly modified operational viability through strict regulatory action to reduce carbon emission, water usage, and other resource utilisation</w:t>
      </w:r>
      <w:r w:rsidR="00F10708" w:rsidRPr="00640C71">
        <w:rPr>
          <w:rFonts w:ascii="Arial" w:hAnsi="Arial" w:cs="Arial"/>
          <w:sz w:val="24"/>
        </w:rPr>
        <w:t xml:space="preserve"> (</w:t>
      </w:r>
      <w:r w:rsidR="00F10708" w:rsidRPr="00640C71">
        <w:rPr>
          <w:rFonts w:ascii="Arial" w:hAnsi="Arial" w:cs="Arial"/>
          <w:sz w:val="24"/>
          <w:szCs w:val="24"/>
        </w:rPr>
        <w:t>Grigg et al. 2026</w:t>
      </w:r>
      <w:r w:rsidR="00F10708" w:rsidRPr="00640C71">
        <w:rPr>
          <w:rFonts w:ascii="Arial" w:hAnsi="Arial" w:cs="Arial"/>
          <w:sz w:val="24"/>
        </w:rPr>
        <w:t>)</w:t>
      </w:r>
      <w:r w:rsidR="00361B71" w:rsidRPr="00640C71">
        <w:rPr>
          <w:rFonts w:ascii="Arial" w:hAnsi="Arial" w:cs="Arial"/>
          <w:sz w:val="24"/>
        </w:rPr>
        <w:t>.</w:t>
      </w:r>
    </w:p>
    <w:p w14:paraId="726DFA85" w14:textId="4AC51304" w:rsidR="00F10708" w:rsidRPr="00640C71" w:rsidRDefault="00361B71" w:rsidP="00914F3A">
      <w:pPr>
        <w:spacing w:line="360" w:lineRule="auto"/>
        <w:jc w:val="both"/>
        <w:rPr>
          <w:rFonts w:ascii="Arial" w:hAnsi="Arial" w:cs="Arial"/>
          <w:sz w:val="24"/>
        </w:rPr>
      </w:pPr>
      <w:r w:rsidRPr="00640C71">
        <w:rPr>
          <w:rFonts w:ascii="Arial" w:hAnsi="Arial" w:cs="Arial"/>
          <w:sz w:val="24"/>
        </w:rPr>
        <w:t xml:space="preserve"> BHP has achieved a record level of iron ore mining of 264.7 million tonnes with 3 million tons of copper in FY 2026, which has been subdued for regulatory scrutiny to maintain ethical responsibility and ecological balance</w:t>
      </w:r>
      <w:r w:rsidR="00E93FC8" w:rsidRPr="00640C71">
        <w:rPr>
          <w:rFonts w:ascii="Arial" w:hAnsi="Arial" w:cs="Arial"/>
          <w:sz w:val="24"/>
        </w:rPr>
        <w:t xml:space="preserve"> (BHP, 2025)</w:t>
      </w:r>
      <w:r w:rsidRPr="00640C71">
        <w:rPr>
          <w:rFonts w:ascii="Arial" w:hAnsi="Arial" w:cs="Arial"/>
          <w:sz w:val="24"/>
        </w:rPr>
        <w:t xml:space="preserve">. Contradiction in operational and sustainability choices comes for </w:t>
      </w:r>
      <w:r w:rsidR="00434145" w:rsidRPr="00640C71">
        <w:rPr>
          <w:rFonts w:ascii="Arial" w:hAnsi="Arial" w:cs="Arial"/>
          <w:sz w:val="24"/>
        </w:rPr>
        <w:t>large companies like BHP as vast scale of mining output seen from its current portfolio</w:t>
      </w:r>
      <w:r w:rsidR="00F90AE1" w:rsidRPr="00640C71">
        <w:rPr>
          <w:rFonts w:ascii="Arial" w:hAnsi="Arial" w:cs="Arial"/>
          <w:sz w:val="24"/>
        </w:rPr>
        <w:t xml:space="preserve"> considering a significant carbon footprint</w:t>
      </w:r>
      <w:r w:rsidR="00434145" w:rsidRPr="00640C71">
        <w:rPr>
          <w:rFonts w:ascii="Arial" w:hAnsi="Arial" w:cs="Arial"/>
          <w:sz w:val="24"/>
        </w:rPr>
        <w:t xml:space="preserve">. </w:t>
      </w:r>
    </w:p>
    <w:p w14:paraId="669EDF5C" w14:textId="4FD6E968" w:rsidR="00F10708" w:rsidRPr="00640C71" w:rsidRDefault="00F10708" w:rsidP="00914F3A">
      <w:pPr>
        <w:spacing w:line="360" w:lineRule="auto"/>
        <w:jc w:val="both"/>
        <w:rPr>
          <w:rFonts w:ascii="Arial" w:hAnsi="Arial" w:cs="Arial"/>
          <w:sz w:val="24"/>
        </w:rPr>
      </w:pPr>
      <w:r w:rsidRPr="00640C71">
        <w:rPr>
          <w:rFonts w:ascii="Arial" w:hAnsi="Arial" w:cs="Arial"/>
          <w:noProof/>
          <w:sz w:val="24"/>
          <w:lang w:eastAsia="en-IN"/>
        </w:rPr>
        <w:drawing>
          <wp:inline distT="0" distB="0" distL="0" distR="0" wp14:anchorId="02C52961" wp14:editId="05432D22">
            <wp:extent cx="5731510" cy="2311400"/>
            <wp:effectExtent l="19050" t="19050" r="2159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311400"/>
                    </a:xfrm>
                    <a:prstGeom prst="rect">
                      <a:avLst/>
                    </a:prstGeom>
                    <a:ln>
                      <a:solidFill>
                        <a:schemeClr val="tx1"/>
                      </a:solidFill>
                    </a:ln>
                  </pic:spPr>
                </pic:pic>
              </a:graphicData>
            </a:graphic>
          </wp:inline>
        </w:drawing>
      </w:r>
    </w:p>
    <w:p w14:paraId="61A88B97" w14:textId="4DCD8369" w:rsidR="005525F2" w:rsidRPr="00640C71" w:rsidRDefault="005525F2" w:rsidP="005525F2">
      <w:pPr>
        <w:spacing w:line="360" w:lineRule="auto"/>
        <w:jc w:val="center"/>
        <w:rPr>
          <w:rFonts w:ascii="Arial" w:hAnsi="Arial" w:cs="Arial"/>
          <w:b/>
          <w:sz w:val="24"/>
        </w:rPr>
      </w:pPr>
      <w:r w:rsidRPr="00640C71">
        <w:rPr>
          <w:rFonts w:ascii="Arial" w:hAnsi="Arial" w:cs="Arial"/>
          <w:b/>
          <w:sz w:val="24"/>
        </w:rPr>
        <w:t xml:space="preserve">Figure </w:t>
      </w:r>
      <w:r w:rsidR="00AA44B6" w:rsidRPr="00640C71">
        <w:rPr>
          <w:rFonts w:ascii="Arial" w:hAnsi="Arial" w:cs="Arial"/>
          <w:b/>
          <w:sz w:val="24"/>
        </w:rPr>
        <w:t>2</w:t>
      </w:r>
      <w:r w:rsidRPr="00640C71">
        <w:rPr>
          <w:rFonts w:ascii="Arial" w:hAnsi="Arial" w:cs="Arial"/>
          <w:b/>
          <w:sz w:val="24"/>
        </w:rPr>
        <w:t>: BHP GHG Emission target and pathway</w:t>
      </w:r>
    </w:p>
    <w:p w14:paraId="7D27244D" w14:textId="105F4232" w:rsidR="005525F2" w:rsidRPr="00640C71" w:rsidRDefault="005525F2" w:rsidP="005525F2">
      <w:pPr>
        <w:spacing w:line="360" w:lineRule="auto"/>
        <w:jc w:val="center"/>
        <w:rPr>
          <w:rFonts w:ascii="Arial" w:hAnsi="Arial" w:cs="Arial"/>
          <w:sz w:val="24"/>
        </w:rPr>
      </w:pPr>
      <w:r w:rsidRPr="00640C71">
        <w:rPr>
          <w:rFonts w:ascii="Arial" w:hAnsi="Arial" w:cs="Arial"/>
          <w:sz w:val="24"/>
        </w:rPr>
        <w:t>(Source: BHP, 2026)</w:t>
      </w:r>
    </w:p>
    <w:p w14:paraId="0011B21F" w14:textId="38D81775" w:rsidR="000D3BD5" w:rsidRPr="00640C71" w:rsidRDefault="00CF5B3A" w:rsidP="00914F3A">
      <w:pPr>
        <w:spacing w:line="360" w:lineRule="auto"/>
        <w:jc w:val="both"/>
        <w:rPr>
          <w:rFonts w:ascii="Arial" w:hAnsi="Arial" w:cs="Arial"/>
          <w:sz w:val="24"/>
        </w:rPr>
      </w:pPr>
      <w:r w:rsidRPr="00640C71">
        <w:rPr>
          <w:rFonts w:ascii="Arial" w:hAnsi="Arial" w:cs="Arial"/>
          <w:sz w:val="24"/>
        </w:rPr>
        <w:t>However, as seen</w:t>
      </w:r>
      <w:r w:rsidR="00995EC5">
        <w:rPr>
          <w:rFonts w:ascii="Arial" w:hAnsi="Arial" w:cs="Arial"/>
          <w:sz w:val="24"/>
        </w:rPr>
        <w:t xml:space="preserve"> (FIGURE 2)</w:t>
      </w:r>
      <w:r w:rsidRPr="00640C71">
        <w:rPr>
          <w:rFonts w:ascii="Arial" w:hAnsi="Arial" w:cs="Arial"/>
          <w:sz w:val="24"/>
        </w:rPr>
        <w:t xml:space="preserve"> from its current annual report, BHP has consistently maintained its Scope 1 and 3 emission guidelines through utilisation of alternative and renewable energy sources at specific sites like BHP Jimblebar Hub located at Western Australia</w:t>
      </w:r>
      <w:r w:rsidR="00F10708" w:rsidRPr="00640C71">
        <w:rPr>
          <w:rFonts w:ascii="Arial" w:hAnsi="Arial" w:cs="Arial"/>
          <w:sz w:val="24"/>
        </w:rPr>
        <w:t xml:space="preserve"> (BHP, 2026)</w:t>
      </w:r>
      <w:r w:rsidRPr="00640C71">
        <w:rPr>
          <w:rFonts w:ascii="Arial" w:hAnsi="Arial" w:cs="Arial"/>
          <w:sz w:val="24"/>
        </w:rPr>
        <w:t>.</w:t>
      </w:r>
      <w:r w:rsidR="00A555E0" w:rsidRPr="00640C71">
        <w:rPr>
          <w:rFonts w:ascii="Arial" w:hAnsi="Arial" w:cs="Arial"/>
          <w:sz w:val="24"/>
        </w:rPr>
        <w:t xml:space="preserve"> </w:t>
      </w:r>
      <w:r w:rsidRPr="00640C71">
        <w:rPr>
          <w:rFonts w:ascii="Arial" w:hAnsi="Arial" w:cs="Arial"/>
          <w:sz w:val="24"/>
        </w:rPr>
        <w:t xml:space="preserve"> </w:t>
      </w:r>
      <w:r w:rsidR="0096237C" w:rsidRPr="00640C71">
        <w:rPr>
          <w:rFonts w:ascii="Arial" w:hAnsi="Arial" w:cs="Arial"/>
          <w:sz w:val="24"/>
        </w:rPr>
        <w:t xml:space="preserve">IN FY 2025, BHP’s Scope 3 emission showed 378 million tonnes generated as iron ore and metallurgical coals are used in </w:t>
      </w:r>
      <w:r w:rsidR="00271A50" w:rsidRPr="00640C71">
        <w:rPr>
          <w:rFonts w:ascii="Arial" w:hAnsi="Arial" w:cs="Arial"/>
          <w:sz w:val="24"/>
        </w:rPr>
        <w:t>traditional downstream blast-furnace steelmaking (IEEFA, 2026).</w:t>
      </w:r>
    </w:p>
    <w:p w14:paraId="41EAF912" w14:textId="77777777" w:rsidR="000D3BD5" w:rsidRPr="00640C71" w:rsidRDefault="000D3BD5" w:rsidP="000D3BD5">
      <w:pPr>
        <w:spacing w:line="360" w:lineRule="auto"/>
        <w:jc w:val="both"/>
        <w:rPr>
          <w:rFonts w:ascii="Arial" w:hAnsi="Arial" w:cs="Arial"/>
          <w:sz w:val="24"/>
        </w:rPr>
      </w:pPr>
      <w:r w:rsidRPr="00640C71">
        <w:rPr>
          <w:rFonts w:ascii="Arial" w:hAnsi="Arial" w:cs="Arial"/>
          <w:sz w:val="24"/>
        </w:rPr>
        <w:t>Current adoption of BHP Operating System (BOS) has significantly improved operational choices through maintaining production guidance more consistently than its competitors. In FY26, 33% less GHG emission has been achieved by BHP through balancing low performing sites like WAIO and Escondida with higher emissions at BMA and NSWEC. Other operational changes are 80% increased use of renewable energy (BHP, 2026)</w:t>
      </w:r>
    </w:p>
    <w:p w14:paraId="35A75E65" w14:textId="5FDED327" w:rsidR="00F10708" w:rsidRPr="00640C71" w:rsidRDefault="00F10708" w:rsidP="000D3BD5">
      <w:pPr>
        <w:spacing w:line="360" w:lineRule="auto"/>
        <w:jc w:val="both"/>
        <w:rPr>
          <w:rFonts w:ascii="Arial" w:hAnsi="Arial" w:cs="Arial"/>
          <w:sz w:val="24"/>
        </w:rPr>
      </w:pPr>
      <w:r w:rsidRPr="00640C71">
        <w:rPr>
          <w:rFonts w:ascii="Arial" w:hAnsi="Arial" w:cs="Arial"/>
          <w:noProof/>
          <w:sz w:val="24"/>
          <w:lang w:eastAsia="en-IN"/>
        </w:rPr>
        <w:drawing>
          <wp:inline distT="0" distB="0" distL="0" distR="0" wp14:anchorId="025767FF" wp14:editId="008E8D58">
            <wp:extent cx="6118860" cy="3519805"/>
            <wp:effectExtent l="19050" t="19050" r="15240" b="234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18860" cy="3519805"/>
                    </a:xfrm>
                    <a:prstGeom prst="rect">
                      <a:avLst/>
                    </a:prstGeom>
                    <a:ln>
                      <a:solidFill>
                        <a:schemeClr val="tx1"/>
                      </a:solidFill>
                    </a:ln>
                  </pic:spPr>
                </pic:pic>
              </a:graphicData>
            </a:graphic>
          </wp:inline>
        </w:drawing>
      </w:r>
    </w:p>
    <w:p w14:paraId="77D11ED7" w14:textId="41B11B1B" w:rsidR="00F10708" w:rsidRPr="00640C71" w:rsidRDefault="00F10708" w:rsidP="00F10708">
      <w:pPr>
        <w:spacing w:line="360" w:lineRule="auto"/>
        <w:jc w:val="center"/>
        <w:rPr>
          <w:rFonts w:ascii="Arial" w:hAnsi="Arial" w:cs="Arial"/>
          <w:b/>
          <w:sz w:val="24"/>
        </w:rPr>
      </w:pPr>
      <w:r w:rsidRPr="00640C71">
        <w:rPr>
          <w:rFonts w:ascii="Arial" w:hAnsi="Arial" w:cs="Arial"/>
          <w:b/>
          <w:sz w:val="24"/>
        </w:rPr>
        <w:t>Figure</w:t>
      </w:r>
      <w:r w:rsidR="00AA44B6" w:rsidRPr="00640C71">
        <w:rPr>
          <w:rFonts w:ascii="Arial" w:hAnsi="Arial" w:cs="Arial"/>
          <w:b/>
          <w:sz w:val="24"/>
        </w:rPr>
        <w:t xml:space="preserve"> 3</w:t>
      </w:r>
      <w:r w:rsidRPr="00640C71">
        <w:rPr>
          <w:rFonts w:ascii="Arial" w:hAnsi="Arial" w:cs="Arial"/>
          <w:b/>
          <w:sz w:val="24"/>
        </w:rPr>
        <w:t>: BHP’s plan of copper business expansion</w:t>
      </w:r>
    </w:p>
    <w:p w14:paraId="6DF133B1" w14:textId="47D4AB95" w:rsidR="00F10708" w:rsidRPr="00640C71" w:rsidRDefault="00F10708" w:rsidP="00F10708">
      <w:pPr>
        <w:spacing w:line="360" w:lineRule="auto"/>
        <w:jc w:val="center"/>
        <w:rPr>
          <w:rFonts w:ascii="Arial" w:hAnsi="Arial" w:cs="Arial"/>
          <w:sz w:val="24"/>
        </w:rPr>
      </w:pPr>
      <w:r w:rsidRPr="00640C71">
        <w:rPr>
          <w:rFonts w:ascii="Arial" w:hAnsi="Arial" w:cs="Arial"/>
          <w:sz w:val="24"/>
        </w:rPr>
        <w:t>(Source: Investing, 2026)</w:t>
      </w:r>
    </w:p>
    <w:p w14:paraId="3CDFB52F" w14:textId="77777777" w:rsidR="000D3BD5" w:rsidRPr="00640C71" w:rsidRDefault="000D3BD5" w:rsidP="000D3BD5">
      <w:pPr>
        <w:spacing w:line="360" w:lineRule="auto"/>
        <w:jc w:val="both"/>
        <w:rPr>
          <w:rFonts w:ascii="Arial" w:hAnsi="Arial" w:cs="Arial"/>
          <w:sz w:val="24"/>
        </w:rPr>
      </w:pPr>
      <w:r w:rsidRPr="00640C71">
        <w:rPr>
          <w:rFonts w:ascii="Arial" w:hAnsi="Arial" w:cs="Arial"/>
          <w:sz w:val="24"/>
        </w:rPr>
        <w:t>Consequently</w:t>
      </w:r>
      <w:r w:rsidR="005B287D" w:rsidRPr="00640C71">
        <w:rPr>
          <w:rFonts w:ascii="Arial" w:hAnsi="Arial" w:cs="Arial"/>
          <w:sz w:val="24"/>
        </w:rPr>
        <w:t xml:space="preserve">, BHP has developed a transition portfolio to become sustainable through "future-facing" commodities. It has also emphasized on copper production from </w:t>
      </w:r>
      <w:r w:rsidR="008B0FA3" w:rsidRPr="00640C71">
        <w:rPr>
          <w:rFonts w:ascii="Arial" w:hAnsi="Arial" w:cs="Arial"/>
          <w:sz w:val="24"/>
        </w:rPr>
        <w:t>Escondido</w:t>
      </w:r>
      <w:r w:rsidR="005B287D" w:rsidRPr="00640C71">
        <w:rPr>
          <w:rFonts w:ascii="Arial" w:hAnsi="Arial" w:cs="Arial"/>
          <w:sz w:val="24"/>
        </w:rPr>
        <w:t xml:space="preserve"> mine showing a 1261.2 </w:t>
      </w:r>
      <w:r w:rsidR="008B0FA3" w:rsidRPr="00640C71">
        <w:rPr>
          <w:rFonts w:ascii="Arial" w:hAnsi="Arial" w:cs="Arial"/>
          <w:sz w:val="24"/>
        </w:rPr>
        <w:t xml:space="preserve">kilotons </w:t>
      </w:r>
      <w:r w:rsidR="005B287D" w:rsidRPr="00640C71">
        <w:rPr>
          <w:rFonts w:ascii="Arial" w:hAnsi="Arial" w:cs="Arial"/>
          <w:sz w:val="24"/>
        </w:rPr>
        <w:t xml:space="preserve">and Copper South Australia producing total of 320.7 </w:t>
      </w:r>
      <w:r w:rsidR="008B0FA3" w:rsidRPr="00640C71">
        <w:rPr>
          <w:rFonts w:ascii="Arial" w:hAnsi="Arial" w:cs="Arial"/>
          <w:sz w:val="24"/>
        </w:rPr>
        <w:t>kilotons</w:t>
      </w:r>
      <w:r w:rsidR="005B287D" w:rsidRPr="00640C71">
        <w:rPr>
          <w:rFonts w:ascii="Arial" w:hAnsi="Arial" w:cs="Arial"/>
          <w:sz w:val="24"/>
        </w:rPr>
        <w:t xml:space="preserve"> in FY 2025-2026 (BHP, 2026).</w:t>
      </w:r>
      <w:r w:rsidR="008B0FA3" w:rsidRPr="00640C71">
        <w:rPr>
          <w:rFonts w:ascii="Arial" w:hAnsi="Arial" w:cs="Arial"/>
          <w:sz w:val="24"/>
        </w:rPr>
        <w:t xml:space="preserve"> All these operational changes direct towards changing ecological demand for global awareness on renewable energy infrastructure. </w:t>
      </w:r>
    </w:p>
    <w:p w14:paraId="6D369A26" w14:textId="19C9F8FF" w:rsidR="00B919DD" w:rsidRPr="00640C71" w:rsidRDefault="00032954" w:rsidP="00032954">
      <w:pPr>
        <w:pStyle w:val="Heading2"/>
        <w:rPr>
          <w:rFonts w:ascii="Arial" w:hAnsi="Arial" w:cs="Arial"/>
        </w:rPr>
      </w:pPr>
      <w:bookmarkStart w:id="2" w:name="_Toc241401293"/>
      <w:r w:rsidRPr="00640C71">
        <w:rPr>
          <w:rFonts w:ascii="Arial" w:hAnsi="Arial" w:cs="Arial"/>
        </w:rPr>
        <w:t xml:space="preserve">1.2 </w:t>
      </w:r>
      <w:r w:rsidR="00914F3A" w:rsidRPr="00640C71">
        <w:rPr>
          <w:rFonts w:ascii="Arial" w:hAnsi="Arial" w:cs="Arial"/>
        </w:rPr>
        <w:t>Political-Legal Environment Actor</w:t>
      </w:r>
      <w:bookmarkEnd w:id="2"/>
    </w:p>
    <w:p w14:paraId="1CE3707C" w14:textId="6D35C8B8" w:rsidR="0002771F" w:rsidRPr="00640C71" w:rsidRDefault="003D5EF7" w:rsidP="00B919DD">
      <w:pPr>
        <w:spacing w:line="360" w:lineRule="auto"/>
        <w:jc w:val="both"/>
        <w:rPr>
          <w:rFonts w:ascii="Arial" w:hAnsi="Arial" w:cs="Arial"/>
          <w:sz w:val="24"/>
        </w:rPr>
      </w:pPr>
      <w:r w:rsidRPr="00640C71">
        <w:rPr>
          <w:rFonts w:ascii="Arial" w:hAnsi="Arial" w:cs="Arial"/>
          <w:sz w:val="24"/>
        </w:rPr>
        <w:t xml:space="preserve">Environmental considerations are highly moderated by structural transitions in political and legal actors, which can change </w:t>
      </w:r>
      <w:r w:rsidR="008F515A" w:rsidRPr="00640C71">
        <w:rPr>
          <w:rFonts w:ascii="Arial" w:hAnsi="Arial" w:cs="Arial"/>
          <w:sz w:val="24"/>
        </w:rPr>
        <w:t xml:space="preserve">according to regulations. Government in different countries are aiming for stringent regulatory changes for minimising carbon intensity, which has been one of the biggest actor of organisational change. </w:t>
      </w:r>
      <w:r w:rsidR="007D6FC3" w:rsidRPr="00640C71">
        <w:rPr>
          <w:rFonts w:ascii="Arial" w:hAnsi="Arial" w:cs="Arial"/>
          <w:sz w:val="24"/>
        </w:rPr>
        <w:t>Major mining companies like BHP are navigating through these strict regulatory changes and preparing for transition towards a sustainable future by becoming Net Zero emitters, decarbonised entity and responsible organisation</w:t>
      </w:r>
      <w:r w:rsidR="00C9230E" w:rsidRPr="00640C71">
        <w:rPr>
          <w:rFonts w:ascii="Arial" w:hAnsi="Arial" w:cs="Arial"/>
          <w:sz w:val="24"/>
        </w:rPr>
        <w:t xml:space="preserve"> (</w:t>
      </w:r>
      <w:r w:rsidR="004D508E" w:rsidRPr="00640C71">
        <w:rPr>
          <w:rFonts w:ascii="Arial" w:hAnsi="Arial" w:cs="Arial"/>
          <w:sz w:val="24"/>
          <w:szCs w:val="24"/>
        </w:rPr>
        <w:t>Grigg et al. 2026</w:t>
      </w:r>
      <w:r w:rsidR="00C9230E" w:rsidRPr="00640C71">
        <w:rPr>
          <w:rFonts w:ascii="Arial" w:hAnsi="Arial" w:cs="Arial"/>
          <w:sz w:val="24"/>
        </w:rPr>
        <w:t>)</w:t>
      </w:r>
      <w:r w:rsidR="007D6FC3" w:rsidRPr="00640C71">
        <w:rPr>
          <w:rFonts w:ascii="Arial" w:hAnsi="Arial" w:cs="Arial"/>
          <w:sz w:val="24"/>
        </w:rPr>
        <w:t>. However, organisation has faced various challenges to cope with overhaul of national environmental laws making operational costs higher and litigation risk.</w:t>
      </w:r>
    </w:p>
    <w:p w14:paraId="2D798673" w14:textId="24183E10" w:rsidR="00240684" w:rsidRPr="00640C71" w:rsidRDefault="00240684" w:rsidP="00240684">
      <w:pPr>
        <w:spacing w:line="360" w:lineRule="auto"/>
        <w:jc w:val="center"/>
        <w:rPr>
          <w:rFonts w:ascii="Arial" w:hAnsi="Arial" w:cs="Arial"/>
          <w:sz w:val="24"/>
        </w:rPr>
      </w:pPr>
      <w:r w:rsidRPr="00640C71">
        <w:rPr>
          <w:rFonts w:ascii="Arial" w:hAnsi="Arial" w:cs="Arial"/>
          <w:noProof/>
          <w:sz w:val="24"/>
          <w:lang w:eastAsia="en-IN"/>
        </w:rPr>
        <w:drawing>
          <wp:inline distT="0" distB="0" distL="0" distR="0" wp14:anchorId="5111C1D4" wp14:editId="54B1F538">
            <wp:extent cx="5731510" cy="40481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048125"/>
                    </a:xfrm>
                    <a:prstGeom prst="rect">
                      <a:avLst/>
                    </a:prstGeom>
                  </pic:spPr>
                </pic:pic>
              </a:graphicData>
            </a:graphic>
          </wp:inline>
        </w:drawing>
      </w:r>
    </w:p>
    <w:p w14:paraId="4A194062" w14:textId="3E66A5DE" w:rsidR="00240684" w:rsidRPr="00640C71" w:rsidRDefault="00240684" w:rsidP="00240684">
      <w:pPr>
        <w:spacing w:line="360" w:lineRule="auto"/>
        <w:jc w:val="center"/>
        <w:rPr>
          <w:rFonts w:ascii="Arial" w:hAnsi="Arial" w:cs="Arial"/>
          <w:b/>
          <w:sz w:val="24"/>
        </w:rPr>
      </w:pPr>
      <w:r w:rsidRPr="00640C71">
        <w:rPr>
          <w:rFonts w:ascii="Arial" w:hAnsi="Arial" w:cs="Arial"/>
          <w:b/>
          <w:sz w:val="24"/>
        </w:rPr>
        <w:t>Figure 4: Australia Net Zero Roadmap</w:t>
      </w:r>
    </w:p>
    <w:p w14:paraId="02F619FB" w14:textId="1CC07673" w:rsidR="00240684" w:rsidRPr="00640C71" w:rsidRDefault="00240684" w:rsidP="00240684">
      <w:pPr>
        <w:spacing w:line="360" w:lineRule="auto"/>
        <w:jc w:val="center"/>
        <w:rPr>
          <w:rFonts w:ascii="Arial" w:hAnsi="Arial" w:cs="Arial"/>
          <w:sz w:val="24"/>
        </w:rPr>
      </w:pPr>
      <w:r w:rsidRPr="00640C71">
        <w:rPr>
          <w:rFonts w:ascii="Arial" w:hAnsi="Arial" w:cs="Arial"/>
          <w:sz w:val="24"/>
        </w:rPr>
        <w:t>(Source: phys.org, 2026)</w:t>
      </w:r>
    </w:p>
    <w:p w14:paraId="5BF0F935" w14:textId="24B42D18" w:rsidR="00B919DD" w:rsidRPr="00640C71" w:rsidRDefault="00C221D1" w:rsidP="00B919DD">
      <w:pPr>
        <w:spacing w:line="360" w:lineRule="auto"/>
        <w:jc w:val="both"/>
        <w:rPr>
          <w:rFonts w:ascii="Arial" w:hAnsi="Arial" w:cs="Arial"/>
          <w:sz w:val="24"/>
        </w:rPr>
      </w:pPr>
      <w:r w:rsidRPr="00640C71">
        <w:rPr>
          <w:rFonts w:ascii="Arial" w:hAnsi="Arial" w:cs="Arial"/>
          <w:sz w:val="24"/>
        </w:rPr>
        <w:t>As per Government Reports</w:t>
      </w:r>
      <w:r w:rsidR="00995EC5">
        <w:rPr>
          <w:rFonts w:ascii="Arial" w:hAnsi="Arial" w:cs="Arial"/>
          <w:sz w:val="24"/>
        </w:rPr>
        <w:t xml:space="preserve"> (FIGURE-4)</w:t>
      </w:r>
      <w:r w:rsidRPr="00640C71">
        <w:rPr>
          <w:rFonts w:ascii="Arial" w:hAnsi="Arial" w:cs="Arial"/>
          <w:sz w:val="24"/>
        </w:rPr>
        <w:t xml:space="preserve">, reduction of GHG emission has been considered the best way to safeguard future impacts of climate change (dcceew.gov.au, 2025). </w:t>
      </w:r>
      <w:r w:rsidR="008F515A" w:rsidRPr="00640C71">
        <w:rPr>
          <w:rFonts w:ascii="Arial" w:hAnsi="Arial" w:cs="Arial"/>
          <w:sz w:val="24"/>
        </w:rPr>
        <w:t xml:space="preserve">In case of BHP, Australian government can be considered as its home country where Safeguard Mechanism has been mandated for a 4.9% annual emission reduction for country’s highest carbon emitting facilities within 2030. </w:t>
      </w:r>
      <w:r w:rsidR="009D3864" w:rsidRPr="00640C71">
        <w:rPr>
          <w:rFonts w:ascii="Arial" w:hAnsi="Arial" w:cs="Arial"/>
          <w:sz w:val="24"/>
        </w:rPr>
        <w:t>Australian government has aimed for a 43% carbon reduction below 2005 levels within the year 2030 and 62-70% reduction has been aimed below 2005 levels by year 2035</w:t>
      </w:r>
      <w:r w:rsidR="00C9230E" w:rsidRPr="00640C71">
        <w:rPr>
          <w:rFonts w:ascii="Arial" w:hAnsi="Arial" w:cs="Arial"/>
          <w:sz w:val="24"/>
        </w:rPr>
        <w:t xml:space="preserve"> </w:t>
      </w:r>
      <w:r w:rsidR="00C9230E" w:rsidRPr="00640C71">
        <w:rPr>
          <w:rFonts w:ascii="Arial" w:hAnsi="Arial" w:cs="Arial"/>
          <w:sz w:val="24"/>
          <w:szCs w:val="24"/>
        </w:rPr>
        <w:t>dcceew.gov.au (2025a)</w:t>
      </w:r>
      <w:r w:rsidR="009D3864" w:rsidRPr="00640C71">
        <w:rPr>
          <w:rFonts w:ascii="Arial" w:hAnsi="Arial" w:cs="Arial"/>
          <w:sz w:val="24"/>
        </w:rPr>
        <w:t xml:space="preserve">. Final emission target selected by the country has been achievement of Zero-emission by the end of 2050. </w:t>
      </w:r>
      <w:r w:rsidRPr="00640C71">
        <w:rPr>
          <w:rFonts w:ascii="Arial" w:hAnsi="Arial" w:cs="Arial"/>
          <w:sz w:val="24"/>
        </w:rPr>
        <w:t>Australian Government has announced a Capacity Investment Scheme (CIS) from 32 GW to 40 GW in July 2025. It has also developed alternative power arrangement through cheaper home batteries program starting from 1 July 2025</w:t>
      </w:r>
      <w:r w:rsidR="000E27F6" w:rsidRPr="00640C71">
        <w:rPr>
          <w:rFonts w:ascii="Arial" w:hAnsi="Arial" w:cs="Arial"/>
          <w:sz w:val="24"/>
        </w:rPr>
        <w:t xml:space="preserve"> (Noor, 2026)</w:t>
      </w:r>
      <w:r w:rsidRPr="00640C71">
        <w:rPr>
          <w:rFonts w:ascii="Arial" w:hAnsi="Arial" w:cs="Arial"/>
          <w:sz w:val="24"/>
        </w:rPr>
        <w:t xml:space="preserve">.  </w:t>
      </w:r>
    </w:p>
    <w:p w14:paraId="26064711" w14:textId="485CB071" w:rsidR="000739DA" w:rsidRPr="00640C71" w:rsidRDefault="000739DA" w:rsidP="00F96B01">
      <w:pPr>
        <w:spacing w:line="360" w:lineRule="auto"/>
        <w:jc w:val="center"/>
        <w:rPr>
          <w:rFonts w:ascii="Arial" w:hAnsi="Arial" w:cs="Arial"/>
          <w:sz w:val="24"/>
        </w:rPr>
      </w:pPr>
      <w:r w:rsidRPr="00640C71">
        <w:rPr>
          <w:rFonts w:ascii="Arial" w:hAnsi="Arial" w:cs="Arial"/>
          <w:noProof/>
          <w:sz w:val="24"/>
          <w:lang w:eastAsia="en-IN"/>
        </w:rPr>
        <w:drawing>
          <wp:inline distT="0" distB="0" distL="0" distR="0" wp14:anchorId="26E9C7E1" wp14:editId="5766619C">
            <wp:extent cx="3825572" cy="6629975"/>
            <wp:effectExtent l="19050" t="19050" r="2286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25572" cy="6629975"/>
                    </a:xfrm>
                    <a:prstGeom prst="rect">
                      <a:avLst/>
                    </a:prstGeom>
                    <a:ln>
                      <a:solidFill>
                        <a:schemeClr val="tx1"/>
                      </a:solidFill>
                    </a:ln>
                  </pic:spPr>
                </pic:pic>
              </a:graphicData>
            </a:graphic>
          </wp:inline>
        </w:drawing>
      </w:r>
    </w:p>
    <w:p w14:paraId="416C2CC1" w14:textId="59503DB3" w:rsidR="00F96B01" w:rsidRPr="00640C71" w:rsidRDefault="00F96B01" w:rsidP="00F96B01">
      <w:pPr>
        <w:spacing w:line="360" w:lineRule="auto"/>
        <w:jc w:val="center"/>
        <w:rPr>
          <w:rFonts w:ascii="Arial" w:hAnsi="Arial" w:cs="Arial"/>
          <w:b/>
          <w:sz w:val="24"/>
        </w:rPr>
      </w:pPr>
      <w:r w:rsidRPr="00640C71">
        <w:rPr>
          <w:rFonts w:ascii="Arial" w:hAnsi="Arial" w:cs="Arial"/>
          <w:b/>
          <w:sz w:val="24"/>
        </w:rPr>
        <w:t xml:space="preserve">Figure </w:t>
      </w:r>
      <w:r w:rsidR="00AB6B1E" w:rsidRPr="00640C71">
        <w:rPr>
          <w:rFonts w:ascii="Arial" w:hAnsi="Arial" w:cs="Arial"/>
          <w:b/>
          <w:sz w:val="24"/>
        </w:rPr>
        <w:t>5</w:t>
      </w:r>
      <w:r w:rsidRPr="00640C71">
        <w:rPr>
          <w:rFonts w:ascii="Arial" w:hAnsi="Arial" w:cs="Arial"/>
          <w:b/>
          <w:sz w:val="24"/>
        </w:rPr>
        <w:t>: Australian Government’s regulatory pressure</w:t>
      </w:r>
    </w:p>
    <w:p w14:paraId="51AF37A8" w14:textId="6DFDBD61" w:rsidR="000E27F6" w:rsidRPr="00640C71" w:rsidRDefault="00F96B01" w:rsidP="00F96B01">
      <w:pPr>
        <w:spacing w:line="360" w:lineRule="auto"/>
        <w:jc w:val="center"/>
        <w:rPr>
          <w:rFonts w:ascii="Arial" w:hAnsi="Arial" w:cs="Arial"/>
          <w:sz w:val="24"/>
        </w:rPr>
      </w:pPr>
      <w:r w:rsidRPr="00640C71">
        <w:rPr>
          <w:rFonts w:ascii="Arial" w:hAnsi="Arial" w:cs="Arial"/>
          <w:sz w:val="24"/>
        </w:rPr>
        <w:t>(</w:t>
      </w:r>
      <w:r w:rsidR="000E27F6" w:rsidRPr="00640C71">
        <w:rPr>
          <w:rFonts w:ascii="Arial" w:hAnsi="Arial" w:cs="Arial"/>
          <w:sz w:val="24"/>
        </w:rPr>
        <w:t>Source: Varga, 2024</w:t>
      </w:r>
      <w:r w:rsidRPr="00640C71">
        <w:rPr>
          <w:rFonts w:ascii="Arial" w:hAnsi="Arial" w:cs="Arial"/>
          <w:sz w:val="24"/>
        </w:rPr>
        <w:t>)</w:t>
      </w:r>
    </w:p>
    <w:p w14:paraId="477943FF" w14:textId="77777777" w:rsidR="00995EC5" w:rsidRDefault="006F74E0" w:rsidP="00B919DD">
      <w:pPr>
        <w:spacing w:line="360" w:lineRule="auto"/>
        <w:jc w:val="both"/>
        <w:rPr>
          <w:rFonts w:ascii="Arial" w:hAnsi="Arial" w:cs="Arial"/>
          <w:sz w:val="24"/>
        </w:rPr>
      </w:pPr>
      <w:r w:rsidRPr="00640C71">
        <w:rPr>
          <w:rFonts w:ascii="Arial" w:hAnsi="Arial" w:cs="Arial"/>
          <w:sz w:val="24"/>
        </w:rPr>
        <w:t>Mining giant BHP has urged Australian government for appropriate management of Nature Positive Act and application of the law in the industry</w:t>
      </w:r>
      <w:r w:rsidR="000739DA" w:rsidRPr="00640C71">
        <w:rPr>
          <w:rFonts w:ascii="Arial" w:hAnsi="Arial" w:cs="Arial"/>
          <w:sz w:val="24"/>
        </w:rPr>
        <w:t>. As per BHP, national environmental laws can complicate application process, increase cost and elapse more approval time</w:t>
      </w:r>
      <w:r w:rsidR="00DD1095" w:rsidRPr="00640C71">
        <w:rPr>
          <w:rFonts w:ascii="Arial" w:hAnsi="Arial" w:cs="Arial"/>
          <w:sz w:val="24"/>
        </w:rPr>
        <w:t xml:space="preserve"> (Varga, 2024).</w:t>
      </w:r>
      <w:r w:rsidR="000739DA" w:rsidRPr="00640C71">
        <w:rPr>
          <w:rFonts w:ascii="Arial" w:hAnsi="Arial" w:cs="Arial"/>
          <w:sz w:val="24"/>
        </w:rPr>
        <w:t xml:space="preserve"> As per BHP Australia president Geraldine Slattery, proposed transition from current process-based EPBC act to the new standards-based Nature Positive Act can increase regulatory burden, longer processing time and operational expense, therefore, BHP is encouraging Australian Government to ensure smooth reformation for stakeholders through offering meaningful consultation</w:t>
      </w:r>
      <w:r w:rsidR="00DD1095" w:rsidRPr="00640C71">
        <w:rPr>
          <w:rFonts w:ascii="Arial" w:hAnsi="Arial" w:cs="Arial"/>
          <w:sz w:val="24"/>
        </w:rPr>
        <w:t xml:space="preserve"> (</w:t>
      </w:r>
      <w:r w:rsidR="00DD1095" w:rsidRPr="00640C71">
        <w:rPr>
          <w:rFonts w:ascii="Arial" w:hAnsi="Arial" w:cs="Arial"/>
          <w:sz w:val="24"/>
          <w:szCs w:val="24"/>
        </w:rPr>
        <w:t>Australian Government, 2025)</w:t>
      </w:r>
      <w:r w:rsidR="000739DA" w:rsidRPr="00640C71">
        <w:rPr>
          <w:rFonts w:ascii="Arial" w:hAnsi="Arial" w:cs="Arial"/>
          <w:sz w:val="24"/>
        </w:rPr>
        <w:t>.</w:t>
      </w:r>
    </w:p>
    <w:p w14:paraId="340AD8E4" w14:textId="2F32B5E8" w:rsidR="0002771F" w:rsidRPr="00640C71" w:rsidRDefault="000F01D0" w:rsidP="00B919DD">
      <w:pPr>
        <w:spacing w:line="360" w:lineRule="auto"/>
        <w:jc w:val="both"/>
        <w:rPr>
          <w:rFonts w:ascii="Arial" w:hAnsi="Arial" w:cs="Arial"/>
          <w:sz w:val="24"/>
        </w:rPr>
      </w:pPr>
      <w:r w:rsidRPr="00640C71">
        <w:rPr>
          <w:rFonts w:ascii="Arial" w:hAnsi="Arial" w:cs="Arial"/>
          <w:sz w:val="24"/>
        </w:rPr>
        <w:t xml:space="preserve"> As per reports, sudden change in the proposed legislative overhaul can create fears of investmen</w:t>
      </w:r>
      <w:r w:rsidR="00AC66C1" w:rsidRPr="00640C71">
        <w:rPr>
          <w:rFonts w:ascii="Arial" w:hAnsi="Arial" w:cs="Arial"/>
          <w:sz w:val="24"/>
        </w:rPr>
        <w:t>t, higher uncertainty and billion dollars of penalty for major companies. BHP has ensured that high environmental standards and social permitting are welcome, however it is important that replacement of Environmental Protection and Biodiversity Conservation Act introduced by John Howard in 1999, can reduce complexity of doing business. Streamlining of approval process without compromising standards has the ability to create jobs and opportunities for small and indigenous businesses.</w:t>
      </w:r>
      <w:r w:rsidR="002B2FE1" w:rsidRPr="00640C71">
        <w:rPr>
          <w:rFonts w:ascii="Arial" w:hAnsi="Arial" w:cs="Arial"/>
          <w:sz w:val="24"/>
        </w:rPr>
        <w:t xml:space="preserve">  </w:t>
      </w:r>
    </w:p>
    <w:p w14:paraId="666CAE87" w14:textId="3E26F8C2" w:rsidR="00914F3A" w:rsidRPr="00640C71" w:rsidRDefault="00032954" w:rsidP="00032954">
      <w:pPr>
        <w:pStyle w:val="Heading2"/>
        <w:rPr>
          <w:rFonts w:ascii="Arial" w:hAnsi="Arial" w:cs="Arial"/>
        </w:rPr>
      </w:pPr>
      <w:bookmarkStart w:id="3" w:name="_Toc241401294"/>
      <w:r w:rsidRPr="00640C71">
        <w:rPr>
          <w:rFonts w:ascii="Arial" w:hAnsi="Arial" w:cs="Arial"/>
        </w:rPr>
        <w:t xml:space="preserve">1.3 </w:t>
      </w:r>
      <w:r w:rsidR="00914F3A" w:rsidRPr="00640C71">
        <w:rPr>
          <w:rFonts w:ascii="Arial" w:hAnsi="Arial" w:cs="Arial"/>
        </w:rPr>
        <w:t xml:space="preserve">Customer Environment Actor </w:t>
      </w:r>
      <w:bookmarkEnd w:id="3"/>
    </w:p>
    <w:p w14:paraId="1CF00589" w14:textId="632077D9" w:rsidR="00EB6CC1" w:rsidRPr="00640C71" w:rsidRDefault="00EB6CC1" w:rsidP="000D3BD5">
      <w:pPr>
        <w:spacing w:line="360" w:lineRule="auto"/>
        <w:jc w:val="both"/>
        <w:rPr>
          <w:rFonts w:ascii="Arial" w:hAnsi="Arial" w:cs="Arial"/>
          <w:sz w:val="24"/>
        </w:rPr>
      </w:pPr>
      <w:r w:rsidRPr="00640C71">
        <w:rPr>
          <w:rFonts w:ascii="Arial" w:hAnsi="Arial" w:cs="Arial"/>
          <w:sz w:val="24"/>
        </w:rPr>
        <w:t>Customers factor has been one of key roles as interplay between ecological constraints are regulatory changes can affect consumer purchasing behaviour. Global steel manufacturers are the primary consumer of BHP, who are undergoing regulatory pressure for manufacturing of ‘Green steel’</w:t>
      </w:r>
      <w:r w:rsidR="00A80717" w:rsidRPr="00640C71">
        <w:rPr>
          <w:rFonts w:ascii="Arial" w:hAnsi="Arial" w:cs="Arial"/>
          <w:sz w:val="24"/>
        </w:rPr>
        <w:t xml:space="preserve"> (</w:t>
      </w:r>
      <w:proofErr w:type="spellStart"/>
      <w:r w:rsidR="00A80717" w:rsidRPr="00640C71">
        <w:rPr>
          <w:rFonts w:ascii="Arial" w:hAnsi="Arial" w:cs="Arial"/>
          <w:sz w:val="24"/>
        </w:rPr>
        <w:t>Bluescope</w:t>
      </w:r>
      <w:proofErr w:type="spellEnd"/>
      <w:r w:rsidR="00A80717" w:rsidRPr="00640C71">
        <w:rPr>
          <w:rFonts w:ascii="Arial" w:hAnsi="Arial" w:cs="Arial"/>
          <w:sz w:val="24"/>
        </w:rPr>
        <w:t>, 2026)</w:t>
      </w:r>
      <w:r w:rsidRPr="00640C71">
        <w:rPr>
          <w:rFonts w:ascii="Arial" w:hAnsi="Arial" w:cs="Arial"/>
          <w:sz w:val="24"/>
        </w:rPr>
        <w:t>. BHP has already discussed its short and long term goals in its stakeholder report sating its current position. Ho</w:t>
      </w:r>
      <w:r w:rsidR="00E17A66" w:rsidRPr="00640C71">
        <w:rPr>
          <w:rFonts w:ascii="Arial" w:hAnsi="Arial" w:cs="Arial"/>
          <w:sz w:val="24"/>
        </w:rPr>
        <w:t xml:space="preserve">wever, impact of this shift is clear from company’s long term relationships with major buyers like China </w:t>
      </w:r>
      <w:proofErr w:type="spellStart"/>
      <w:r w:rsidR="00E17A66" w:rsidRPr="00640C71">
        <w:rPr>
          <w:rFonts w:ascii="Arial" w:hAnsi="Arial" w:cs="Arial"/>
          <w:sz w:val="24"/>
        </w:rPr>
        <w:t>Baowu</w:t>
      </w:r>
      <w:proofErr w:type="spellEnd"/>
      <w:r w:rsidR="00E17A66" w:rsidRPr="00640C71">
        <w:rPr>
          <w:rFonts w:ascii="Arial" w:hAnsi="Arial" w:cs="Arial"/>
          <w:sz w:val="24"/>
        </w:rPr>
        <w:t xml:space="preserve"> Steel Group</w:t>
      </w:r>
      <w:r w:rsidR="00A80717" w:rsidRPr="00640C71">
        <w:rPr>
          <w:rFonts w:ascii="Arial" w:hAnsi="Arial" w:cs="Arial"/>
          <w:sz w:val="24"/>
        </w:rPr>
        <w:t xml:space="preserve"> (Jackson et al. 2026)</w:t>
      </w:r>
      <w:r w:rsidR="00E17A66" w:rsidRPr="00640C71">
        <w:rPr>
          <w:rFonts w:ascii="Arial" w:hAnsi="Arial" w:cs="Arial"/>
          <w:sz w:val="24"/>
        </w:rPr>
        <w:t>.</w:t>
      </w:r>
      <w:r w:rsidR="00FC51B8" w:rsidRPr="00640C71">
        <w:rPr>
          <w:rFonts w:ascii="Arial" w:hAnsi="Arial" w:cs="Arial"/>
          <w:sz w:val="24"/>
        </w:rPr>
        <w:t xml:space="preserve"> Currently in September 2026, both the companies have entered a five year renewed plan through Memorandum of Understanding (MoU) to jointly contribute towards lower emission in steelmaking technologies. BHP had promised to collaborate in these sustainable partnership from 2020 prioritising customer demand and environmental sustainability. </w:t>
      </w:r>
    </w:p>
    <w:p w14:paraId="2648D31F" w14:textId="3A5842EC" w:rsidR="0050362A" w:rsidRPr="00640C71" w:rsidRDefault="0050362A" w:rsidP="00DB72DF">
      <w:pPr>
        <w:spacing w:line="360" w:lineRule="auto"/>
        <w:jc w:val="center"/>
        <w:rPr>
          <w:rFonts w:ascii="Arial" w:hAnsi="Arial" w:cs="Arial"/>
          <w:sz w:val="24"/>
        </w:rPr>
      </w:pPr>
      <w:r w:rsidRPr="00640C71">
        <w:rPr>
          <w:rFonts w:ascii="Arial" w:hAnsi="Arial" w:cs="Arial"/>
          <w:noProof/>
          <w:sz w:val="24"/>
          <w:lang w:eastAsia="en-IN"/>
        </w:rPr>
        <w:drawing>
          <wp:inline distT="0" distB="0" distL="0" distR="0" wp14:anchorId="670C29A1" wp14:editId="2E81BFBF">
            <wp:extent cx="5731510" cy="24828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482850"/>
                    </a:xfrm>
                    <a:prstGeom prst="rect">
                      <a:avLst/>
                    </a:prstGeom>
                  </pic:spPr>
                </pic:pic>
              </a:graphicData>
            </a:graphic>
          </wp:inline>
        </w:drawing>
      </w:r>
    </w:p>
    <w:p w14:paraId="42A5D9C1" w14:textId="236AAA77" w:rsidR="0050362A" w:rsidRPr="00640C71" w:rsidRDefault="00DB72DF" w:rsidP="00DB72DF">
      <w:pPr>
        <w:spacing w:line="360" w:lineRule="auto"/>
        <w:jc w:val="center"/>
        <w:rPr>
          <w:rFonts w:ascii="Arial" w:hAnsi="Arial" w:cs="Arial"/>
          <w:b/>
          <w:sz w:val="24"/>
        </w:rPr>
      </w:pPr>
      <w:r w:rsidRPr="00640C71">
        <w:rPr>
          <w:rFonts w:ascii="Arial" w:hAnsi="Arial" w:cs="Arial"/>
          <w:b/>
          <w:sz w:val="24"/>
        </w:rPr>
        <w:t xml:space="preserve">Figure 6: </w:t>
      </w:r>
      <w:proofErr w:type="spellStart"/>
      <w:r w:rsidRPr="00640C71">
        <w:rPr>
          <w:rFonts w:ascii="Arial" w:hAnsi="Arial" w:cs="Arial"/>
          <w:b/>
          <w:sz w:val="24"/>
        </w:rPr>
        <w:t>Neosmelt</w:t>
      </w:r>
      <w:proofErr w:type="spellEnd"/>
      <w:r w:rsidRPr="00640C71">
        <w:rPr>
          <w:rFonts w:ascii="Arial" w:hAnsi="Arial" w:cs="Arial"/>
          <w:b/>
          <w:sz w:val="24"/>
        </w:rPr>
        <w:t xml:space="preserve"> collaboration of BHP</w:t>
      </w:r>
    </w:p>
    <w:p w14:paraId="37C65653" w14:textId="056FAA70" w:rsidR="00DB72DF" w:rsidRPr="00640C71" w:rsidRDefault="00DB72DF" w:rsidP="00DB72DF">
      <w:pPr>
        <w:spacing w:line="360" w:lineRule="auto"/>
        <w:jc w:val="center"/>
        <w:rPr>
          <w:rFonts w:ascii="Arial" w:hAnsi="Arial" w:cs="Arial"/>
          <w:sz w:val="24"/>
        </w:rPr>
      </w:pPr>
      <w:r w:rsidRPr="00640C71">
        <w:rPr>
          <w:rFonts w:ascii="Arial" w:hAnsi="Arial" w:cs="Arial"/>
          <w:sz w:val="24"/>
        </w:rPr>
        <w:t>(Source: BHP, 2025b)</w:t>
      </w:r>
    </w:p>
    <w:p w14:paraId="32E962CB" w14:textId="77777777" w:rsidR="00995EC5" w:rsidRDefault="005168F3" w:rsidP="000D3BD5">
      <w:pPr>
        <w:spacing w:line="360" w:lineRule="auto"/>
        <w:jc w:val="both"/>
        <w:rPr>
          <w:rFonts w:ascii="Arial" w:hAnsi="Arial" w:cs="Arial"/>
          <w:sz w:val="24"/>
        </w:rPr>
      </w:pPr>
      <w:r w:rsidRPr="00640C71">
        <w:rPr>
          <w:rFonts w:ascii="Arial" w:hAnsi="Arial" w:cs="Arial"/>
          <w:sz w:val="24"/>
        </w:rPr>
        <w:t xml:space="preserve">Amidst micro-environmental pressure, BHP has partnered with BlueScope Steel and miner Rio Tonto for development of a pilot programme of Electric Smelting Furnace (ESF). Collaborative effort for </w:t>
      </w:r>
      <w:r w:rsidR="00DB72DF" w:rsidRPr="00640C71">
        <w:rPr>
          <w:rFonts w:ascii="Arial" w:hAnsi="Arial" w:cs="Arial"/>
          <w:sz w:val="24"/>
        </w:rPr>
        <w:t xml:space="preserve">collaboration with </w:t>
      </w:r>
      <w:proofErr w:type="spellStart"/>
      <w:r w:rsidR="00DB72DF" w:rsidRPr="00640C71">
        <w:rPr>
          <w:rFonts w:ascii="Arial" w:hAnsi="Arial" w:cs="Arial"/>
          <w:sz w:val="24"/>
        </w:rPr>
        <w:t>NeoSmelt</w:t>
      </w:r>
      <w:proofErr w:type="spellEnd"/>
      <w:r w:rsidRPr="00640C71">
        <w:rPr>
          <w:rFonts w:ascii="Arial" w:hAnsi="Arial" w:cs="Arial"/>
          <w:sz w:val="24"/>
        </w:rPr>
        <w:t xml:space="preserve"> in 2025 and 2026 has been a major advancement towards decarbonisation from his tripartite agreement. This can significantly reduce carbon footprint from steel value chain through both technical and resource based expertise</w:t>
      </w:r>
      <w:r w:rsidR="000E27F6" w:rsidRPr="00640C71">
        <w:rPr>
          <w:rFonts w:ascii="Arial" w:hAnsi="Arial" w:cs="Arial"/>
          <w:sz w:val="24"/>
        </w:rPr>
        <w:t xml:space="preserve"> (transitionasia.org, 2026)</w:t>
      </w:r>
      <w:r w:rsidRPr="00640C71">
        <w:rPr>
          <w:rFonts w:ascii="Arial" w:hAnsi="Arial" w:cs="Arial"/>
          <w:sz w:val="24"/>
        </w:rPr>
        <w:t>.</w:t>
      </w:r>
    </w:p>
    <w:p w14:paraId="788BCAE8" w14:textId="123268C1" w:rsidR="005168F3" w:rsidRPr="00640C71" w:rsidRDefault="005168F3" w:rsidP="000D3BD5">
      <w:pPr>
        <w:spacing w:line="360" w:lineRule="auto"/>
        <w:jc w:val="both"/>
        <w:rPr>
          <w:rFonts w:ascii="Arial" w:hAnsi="Arial" w:cs="Arial"/>
          <w:sz w:val="24"/>
        </w:rPr>
      </w:pPr>
      <w:r w:rsidRPr="00640C71">
        <w:rPr>
          <w:rFonts w:ascii="Arial" w:hAnsi="Arial" w:cs="Arial"/>
          <w:sz w:val="24"/>
        </w:rPr>
        <w:t xml:space="preserve"> BHP has been effective in reaching out to domestic customers for testing alternate reduction pathway through utilisation of Australian ores without relying on traditional burst furnace. </w:t>
      </w:r>
      <w:r w:rsidR="009C43B9" w:rsidRPr="00640C71">
        <w:rPr>
          <w:rFonts w:ascii="Arial" w:hAnsi="Arial" w:cs="Arial"/>
          <w:sz w:val="24"/>
        </w:rPr>
        <w:t xml:space="preserve">Apart from this agreement, BHP has also partnered with POSCO, a South Korean Steelmaking company in October 25 regarding commercialisation of </w:t>
      </w:r>
      <w:proofErr w:type="spellStart"/>
      <w:r w:rsidR="009C43B9" w:rsidRPr="00640C71">
        <w:rPr>
          <w:rFonts w:ascii="Arial" w:hAnsi="Arial" w:cs="Arial"/>
          <w:sz w:val="24"/>
        </w:rPr>
        <w:t>HyREX</w:t>
      </w:r>
      <w:proofErr w:type="spellEnd"/>
      <w:r w:rsidR="009C43B9" w:rsidRPr="00640C71">
        <w:rPr>
          <w:rFonts w:ascii="Arial" w:hAnsi="Arial" w:cs="Arial"/>
          <w:sz w:val="24"/>
        </w:rPr>
        <w:t xml:space="preserve"> technology, which reduces coal use through substituting it by Hydrogen</w:t>
      </w:r>
      <w:r w:rsidR="000E27F6" w:rsidRPr="00640C71">
        <w:rPr>
          <w:rFonts w:ascii="Arial" w:hAnsi="Arial" w:cs="Arial"/>
          <w:sz w:val="24"/>
        </w:rPr>
        <w:t xml:space="preserve"> (BHP, 2025)</w:t>
      </w:r>
      <w:r w:rsidR="009C43B9" w:rsidRPr="00640C71">
        <w:rPr>
          <w:rFonts w:ascii="Arial" w:hAnsi="Arial" w:cs="Arial"/>
          <w:sz w:val="24"/>
        </w:rPr>
        <w:t>.</w:t>
      </w:r>
      <w:r w:rsidRPr="00640C71">
        <w:rPr>
          <w:rFonts w:ascii="Arial" w:hAnsi="Arial" w:cs="Arial"/>
          <w:sz w:val="24"/>
        </w:rPr>
        <w:t xml:space="preserve"> </w:t>
      </w:r>
    </w:p>
    <w:p w14:paraId="3722A46B" w14:textId="77777777" w:rsidR="00943B87" w:rsidRPr="00640C71" w:rsidRDefault="00943B87">
      <w:pPr>
        <w:rPr>
          <w:rFonts w:ascii="Arial" w:hAnsi="Arial" w:cs="Arial"/>
          <w:sz w:val="24"/>
        </w:rPr>
      </w:pPr>
      <w:r w:rsidRPr="00640C71">
        <w:rPr>
          <w:rFonts w:ascii="Arial" w:hAnsi="Arial" w:cs="Arial"/>
          <w:sz w:val="24"/>
        </w:rPr>
        <w:br w:type="page"/>
      </w:r>
    </w:p>
    <w:p w14:paraId="3E5745E1" w14:textId="0F833871" w:rsidR="0060571A" w:rsidRPr="00640C71" w:rsidRDefault="00943B87" w:rsidP="00032954">
      <w:pPr>
        <w:pStyle w:val="Heading1"/>
        <w:rPr>
          <w:rFonts w:ascii="Arial" w:hAnsi="Arial" w:cs="Arial"/>
        </w:rPr>
      </w:pPr>
      <w:bookmarkStart w:id="4" w:name="_Toc241401295"/>
      <w:r w:rsidRPr="00640C71">
        <w:rPr>
          <w:rFonts w:ascii="Arial" w:hAnsi="Arial" w:cs="Arial"/>
        </w:rPr>
        <w:t>Task 2: Strategic Gro</w:t>
      </w:r>
      <w:r w:rsidR="00032954" w:rsidRPr="00640C71">
        <w:rPr>
          <w:rFonts w:ascii="Arial" w:hAnsi="Arial" w:cs="Arial"/>
        </w:rPr>
        <w:t>wth and Competitive Positioning</w:t>
      </w:r>
      <w:bookmarkEnd w:id="4"/>
    </w:p>
    <w:p w14:paraId="01CC1992" w14:textId="7747C1B3" w:rsidR="00D2591F" w:rsidRPr="00640C71" w:rsidRDefault="00590F3A" w:rsidP="00BE6170">
      <w:pPr>
        <w:spacing w:line="360" w:lineRule="auto"/>
        <w:jc w:val="both"/>
        <w:rPr>
          <w:rFonts w:ascii="Arial" w:hAnsi="Arial" w:cs="Arial"/>
          <w:sz w:val="24"/>
        </w:rPr>
      </w:pPr>
      <w:r w:rsidRPr="00640C71">
        <w:rPr>
          <w:rFonts w:ascii="Arial" w:hAnsi="Arial" w:cs="Arial"/>
          <w:sz w:val="24"/>
        </w:rPr>
        <w:t>Identification of profound environmental, political, legal and customer environment of BHP</w:t>
      </w:r>
      <w:r w:rsidR="00C06EC3" w:rsidRPr="00640C71">
        <w:rPr>
          <w:rFonts w:ascii="Arial" w:hAnsi="Arial" w:cs="Arial"/>
          <w:sz w:val="24"/>
        </w:rPr>
        <w:t xml:space="preserve"> shows</w:t>
      </w:r>
      <w:r w:rsidRPr="00640C71">
        <w:rPr>
          <w:rFonts w:ascii="Arial" w:hAnsi="Arial" w:cs="Arial"/>
          <w:sz w:val="24"/>
        </w:rPr>
        <w:t xml:space="preserve"> that a structural change in BHP is mandatory in order to thrive as a global lead</w:t>
      </w:r>
      <w:r w:rsidR="00753575" w:rsidRPr="00640C71">
        <w:rPr>
          <w:rFonts w:ascii="Arial" w:hAnsi="Arial" w:cs="Arial"/>
          <w:sz w:val="24"/>
        </w:rPr>
        <w:t>er in Mining and Metal industry</w:t>
      </w:r>
      <w:r w:rsidR="0041016B" w:rsidRPr="00640C71">
        <w:rPr>
          <w:rFonts w:ascii="Arial" w:hAnsi="Arial" w:cs="Arial"/>
          <w:sz w:val="24"/>
        </w:rPr>
        <w:t xml:space="preserve"> (</w:t>
      </w:r>
      <w:r w:rsidR="0041016B" w:rsidRPr="00640C71">
        <w:rPr>
          <w:rFonts w:ascii="Arial" w:hAnsi="Arial" w:cs="Arial"/>
          <w:sz w:val="24"/>
          <w:szCs w:val="24"/>
        </w:rPr>
        <w:t>Australian Government, 2025)</w:t>
      </w:r>
      <w:r w:rsidR="00753575" w:rsidRPr="00640C71">
        <w:rPr>
          <w:rFonts w:ascii="Arial" w:hAnsi="Arial" w:cs="Arial"/>
          <w:sz w:val="24"/>
          <w:szCs w:val="24"/>
        </w:rPr>
        <w:t xml:space="preserve">. </w:t>
      </w:r>
    </w:p>
    <w:p w14:paraId="6074C149" w14:textId="62A2A181" w:rsidR="00D2591F" w:rsidRPr="00640C71" w:rsidRDefault="00D2591F" w:rsidP="00D2591F">
      <w:pPr>
        <w:spacing w:line="360" w:lineRule="auto"/>
        <w:jc w:val="center"/>
        <w:rPr>
          <w:rFonts w:ascii="Arial" w:hAnsi="Arial" w:cs="Arial"/>
          <w:sz w:val="24"/>
        </w:rPr>
      </w:pPr>
      <w:r w:rsidRPr="00640C71">
        <w:rPr>
          <w:rFonts w:ascii="Arial" w:hAnsi="Arial" w:cs="Arial"/>
          <w:noProof/>
          <w:sz w:val="24"/>
          <w:lang w:eastAsia="en-IN"/>
        </w:rPr>
        <w:drawing>
          <wp:inline distT="0" distB="0" distL="0" distR="0" wp14:anchorId="141AAB1B" wp14:editId="40A92DB3">
            <wp:extent cx="5731510" cy="335216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352165"/>
                    </a:xfrm>
                    <a:prstGeom prst="rect">
                      <a:avLst/>
                    </a:prstGeom>
                  </pic:spPr>
                </pic:pic>
              </a:graphicData>
            </a:graphic>
          </wp:inline>
        </w:drawing>
      </w:r>
    </w:p>
    <w:p w14:paraId="354B0378" w14:textId="7F5F692E" w:rsidR="00D2591F" w:rsidRPr="00640C71" w:rsidRDefault="00D2591F" w:rsidP="00D2591F">
      <w:pPr>
        <w:spacing w:line="360" w:lineRule="auto"/>
        <w:jc w:val="center"/>
        <w:rPr>
          <w:rFonts w:ascii="Arial" w:hAnsi="Arial" w:cs="Arial"/>
          <w:b/>
          <w:sz w:val="24"/>
        </w:rPr>
      </w:pPr>
      <w:r w:rsidRPr="00640C71">
        <w:rPr>
          <w:rFonts w:ascii="Arial" w:hAnsi="Arial" w:cs="Arial"/>
          <w:b/>
          <w:sz w:val="24"/>
        </w:rPr>
        <w:t>Figure</w:t>
      </w:r>
      <w:r w:rsidR="0041016B" w:rsidRPr="00640C71">
        <w:rPr>
          <w:rFonts w:ascii="Arial" w:hAnsi="Arial" w:cs="Arial"/>
          <w:b/>
          <w:sz w:val="24"/>
        </w:rPr>
        <w:t xml:space="preserve"> 7</w:t>
      </w:r>
      <w:r w:rsidRPr="00640C71">
        <w:rPr>
          <w:rFonts w:ascii="Arial" w:hAnsi="Arial" w:cs="Arial"/>
          <w:b/>
          <w:sz w:val="24"/>
        </w:rPr>
        <w:t>: Goal of Nature Positive law by 2030</w:t>
      </w:r>
    </w:p>
    <w:p w14:paraId="3FAA0F07" w14:textId="769C570C" w:rsidR="00D2591F" w:rsidRPr="00640C71" w:rsidRDefault="00D2591F" w:rsidP="00D2591F">
      <w:pPr>
        <w:spacing w:line="360" w:lineRule="auto"/>
        <w:jc w:val="center"/>
        <w:rPr>
          <w:rFonts w:ascii="Arial" w:hAnsi="Arial" w:cs="Arial"/>
          <w:sz w:val="24"/>
        </w:rPr>
      </w:pPr>
      <w:r w:rsidRPr="00640C71">
        <w:rPr>
          <w:rFonts w:ascii="Arial" w:hAnsi="Arial" w:cs="Arial"/>
          <w:sz w:val="24"/>
        </w:rPr>
        <w:t xml:space="preserve">(Source: </w:t>
      </w:r>
      <w:r w:rsidRPr="00640C71">
        <w:rPr>
          <w:rFonts w:ascii="Arial" w:hAnsi="Arial" w:cs="Arial"/>
          <w:sz w:val="24"/>
          <w:szCs w:val="24"/>
        </w:rPr>
        <w:t>Greening Australia, 2024).</w:t>
      </w:r>
    </w:p>
    <w:p w14:paraId="5B683594" w14:textId="29873B58" w:rsidR="001E652B" w:rsidRPr="00640C71" w:rsidRDefault="00663EE4" w:rsidP="00BE6170">
      <w:pPr>
        <w:spacing w:line="360" w:lineRule="auto"/>
        <w:jc w:val="both"/>
        <w:rPr>
          <w:rFonts w:ascii="Arial" w:hAnsi="Arial" w:cs="Arial"/>
          <w:sz w:val="24"/>
        </w:rPr>
      </w:pPr>
      <w:r w:rsidRPr="00640C71">
        <w:rPr>
          <w:rFonts w:ascii="Arial" w:hAnsi="Arial" w:cs="Arial"/>
          <w:sz w:val="24"/>
        </w:rPr>
        <w:t>Nature Positive Act has contributed to the need for structural change such as biodiversity loss and nature restoration (</w:t>
      </w:r>
      <w:r w:rsidRPr="00640C71">
        <w:rPr>
          <w:rFonts w:ascii="Arial" w:hAnsi="Arial" w:cs="Arial"/>
          <w:sz w:val="24"/>
          <w:szCs w:val="24"/>
        </w:rPr>
        <w:t>Greening Australia, 2024)</w:t>
      </w:r>
      <w:r w:rsidRPr="00640C71">
        <w:rPr>
          <w:rFonts w:ascii="Arial" w:hAnsi="Arial" w:cs="Arial"/>
          <w:sz w:val="24"/>
        </w:rPr>
        <w:t xml:space="preserve">. </w:t>
      </w:r>
      <w:r w:rsidR="00590F3A" w:rsidRPr="00640C71">
        <w:rPr>
          <w:rFonts w:ascii="Arial" w:hAnsi="Arial" w:cs="Arial"/>
          <w:sz w:val="24"/>
        </w:rPr>
        <w:t>Organisation needs to transition from a legacy miner to a sustainable, future facing commodity provider. In order to evaluate BHP’s competitive advantage, Porter’s Generic Strategy and Ansoff Matrix can be applied</w:t>
      </w:r>
      <w:r w:rsidRPr="00640C71">
        <w:rPr>
          <w:rFonts w:ascii="Arial" w:hAnsi="Arial" w:cs="Arial"/>
          <w:sz w:val="24"/>
        </w:rPr>
        <w:t>.</w:t>
      </w:r>
      <w:r w:rsidR="00590F3A" w:rsidRPr="00640C71">
        <w:rPr>
          <w:rFonts w:ascii="Arial" w:hAnsi="Arial" w:cs="Arial"/>
          <w:sz w:val="24"/>
        </w:rPr>
        <w:t xml:space="preserve"> </w:t>
      </w:r>
    </w:p>
    <w:p w14:paraId="6DA18212" w14:textId="7EDB0338" w:rsidR="00590F3A" w:rsidRPr="00640C71" w:rsidRDefault="00032954" w:rsidP="00032954">
      <w:pPr>
        <w:pStyle w:val="Heading2"/>
        <w:rPr>
          <w:rFonts w:ascii="Arial" w:hAnsi="Arial" w:cs="Arial"/>
        </w:rPr>
      </w:pPr>
      <w:bookmarkStart w:id="5" w:name="_Toc241401296"/>
      <w:r w:rsidRPr="00640C71">
        <w:rPr>
          <w:rFonts w:ascii="Arial" w:hAnsi="Arial" w:cs="Arial"/>
        </w:rPr>
        <w:t xml:space="preserve">2.1 </w:t>
      </w:r>
      <w:r w:rsidR="00590F3A" w:rsidRPr="00640C71">
        <w:rPr>
          <w:rFonts w:ascii="Arial" w:hAnsi="Arial" w:cs="Arial"/>
        </w:rPr>
        <w:t>Porter’s Generic Strategy</w:t>
      </w:r>
      <w:bookmarkEnd w:id="5"/>
    </w:p>
    <w:p w14:paraId="63A10195" w14:textId="13CC16FC" w:rsidR="00F23B72" w:rsidRPr="00640C71" w:rsidRDefault="007924EB" w:rsidP="00BE6170">
      <w:pPr>
        <w:spacing w:line="360" w:lineRule="auto"/>
        <w:jc w:val="both"/>
        <w:rPr>
          <w:rFonts w:ascii="Arial" w:hAnsi="Arial" w:cs="Arial"/>
          <w:sz w:val="24"/>
        </w:rPr>
      </w:pPr>
      <w:r w:rsidRPr="00640C71">
        <w:rPr>
          <w:rFonts w:ascii="Arial" w:hAnsi="Arial" w:cs="Arial"/>
          <w:sz w:val="24"/>
        </w:rPr>
        <w:t>Porter’s Generic Model is a strategic approach towards organisational growth and competitive advantage, which includes four different quadrants, each with a strategic choice</w:t>
      </w:r>
      <w:r w:rsidR="004D508E" w:rsidRPr="00640C71">
        <w:rPr>
          <w:rFonts w:ascii="Arial" w:hAnsi="Arial" w:cs="Arial"/>
          <w:sz w:val="24"/>
        </w:rPr>
        <w:t xml:space="preserve"> (Campbell et al. 2021)</w:t>
      </w:r>
      <w:r w:rsidRPr="00640C71">
        <w:rPr>
          <w:rFonts w:ascii="Arial" w:hAnsi="Arial" w:cs="Arial"/>
          <w:sz w:val="24"/>
        </w:rPr>
        <w:t xml:space="preserve">. </w:t>
      </w:r>
      <w:r w:rsidR="00AD0DF8" w:rsidRPr="00640C71">
        <w:rPr>
          <w:rFonts w:ascii="Arial" w:hAnsi="Arial" w:cs="Arial"/>
          <w:sz w:val="24"/>
        </w:rPr>
        <w:t>BHP has always relied on a Cost Leadership Strategy, which can be easily understood through its enormous economic scale within tier-one assets (</w:t>
      </w:r>
      <w:proofErr w:type="spellStart"/>
      <w:r w:rsidR="00AD0DF8" w:rsidRPr="00640C71">
        <w:rPr>
          <w:rFonts w:ascii="Arial" w:hAnsi="Arial" w:cs="Arial"/>
          <w:sz w:val="24"/>
        </w:rPr>
        <w:t>Umbrex</w:t>
      </w:r>
      <w:proofErr w:type="spellEnd"/>
      <w:r w:rsidR="00AD0DF8" w:rsidRPr="00640C71">
        <w:rPr>
          <w:rFonts w:ascii="Arial" w:hAnsi="Arial" w:cs="Arial"/>
          <w:sz w:val="24"/>
        </w:rPr>
        <w:t xml:space="preserve">, 2025). </w:t>
      </w:r>
    </w:p>
    <w:p w14:paraId="47DC5E7C" w14:textId="32C690D0" w:rsidR="00BC4755" w:rsidRPr="00640C71" w:rsidRDefault="007924EB" w:rsidP="00BE6170">
      <w:pPr>
        <w:spacing w:line="360" w:lineRule="auto"/>
        <w:jc w:val="both"/>
        <w:rPr>
          <w:rFonts w:ascii="Arial" w:hAnsi="Arial" w:cs="Arial"/>
          <w:sz w:val="24"/>
        </w:rPr>
      </w:pPr>
      <w:r w:rsidRPr="00640C71">
        <w:rPr>
          <w:rFonts w:ascii="Arial" w:hAnsi="Arial" w:cs="Arial"/>
          <w:sz w:val="24"/>
        </w:rPr>
        <w:t>Tier one asset means large scale, long-life, low cost affordable resources, which are most useful for steady cash flow across commodity price cycle.</w:t>
      </w:r>
      <w:r w:rsidR="00EF54B0" w:rsidRPr="00640C71">
        <w:rPr>
          <w:rFonts w:ascii="Arial" w:hAnsi="Arial" w:cs="Arial"/>
          <w:sz w:val="24"/>
        </w:rPr>
        <w:t xml:space="preserve"> Western Australian Iron Ore (WAIO) and Escondido (Chile) or Olympic Dam (Australia) are the key Portfolio of BHP’s tier one mining resources. Organisation’s economic pillar is based on these resources as WAIO is going to cost below US</w:t>
      </w:r>
      <w:r w:rsidR="00A21B4C" w:rsidRPr="00640C71">
        <w:rPr>
          <w:rFonts w:ascii="Arial" w:hAnsi="Arial" w:cs="Arial"/>
          <w:sz w:val="24"/>
        </w:rPr>
        <w:t xml:space="preserve">D </w:t>
      </w:r>
      <w:r w:rsidR="00EF54B0" w:rsidRPr="00640C71">
        <w:rPr>
          <w:rFonts w:ascii="Arial" w:hAnsi="Arial" w:cs="Arial"/>
          <w:sz w:val="24"/>
        </w:rPr>
        <w:t>17.50 by 2028, which is a prime example of BHP’s cost leadership</w:t>
      </w:r>
      <w:r w:rsidR="00CD4033" w:rsidRPr="00640C71">
        <w:rPr>
          <w:rFonts w:ascii="Arial" w:hAnsi="Arial" w:cs="Arial"/>
          <w:sz w:val="24"/>
        </w:rPr>
        <w:t xml:space="preserve"> (Arnoldy, 2026)</w:t>
      </w:r>
      <w:r w:rsidR="00EF54B0" w:rsidRPr="00640C71">
        <w:rPr>
          <w:rFonts w:ascii="Arial" w:hAnsi="Arial" w:cs="Arial"/>
          <w:sz w:val="24"/>
        </w:rPr>
        <w:t>.</w:t>
      </w:r>
    </w:p>
    <w:p w14:paraId="50523853" w14:textId="43943069" w:rsidR="00301B95" w:rsidRPr="00640C71" w:rsidRDefault="00AF4276" w:rsidP="00AF4276">
      <w:pPr>
        <w:spacing w:line="360" w:lineRule="auto"/>
        <w:jc w:val="center"/>
        <w:rPr>
          <w:rFonts w:ascii="Arial" w:hAnsi="Arial" w:cs="Arial"/>
          <w:sz w:val="24"/>
        </w:rPr>
      </w:pPr>
      <w:r w:rsidRPr="00640C71">
        <w:rPr>
          <w:rFonts w:ascii="Arial" w:hAnsi="Arial" w:cs="Arial"/>
          <w:noProof/>
          <w:sz w:val="24"/>
          <w:lang w:eastAsia="en-IN"/>
        </w:rPr>
        <w:drawing>
          <wp:inline distT="0" distB="0" distL="0" distR="0" wp14:anchorId="271201A4" wp14:editId="512CBD6A">
            <wp:extent cx="5021580" cy="451753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27247" cy="4522628"/>
                    </a:xfrm>
                    <a:prstGeom prst="rect">
                      <a:avLst/>
                    </a:prstGeom>
                  </pic:spPr>
                </pic:pic>
              </a:graphicData>
            </a:graphic>
          </wp:inline>
        </w:drawing>
      </w:r>
    </w:p>
    <w:p w14:paraId="7B3D559F" w14:textId="0BA662BF" w:rsidR="00CF53DE" w:rsidRPr="00640C71" w:rsidRDefault="00CF53DE" w:rsidP="00CF53DE">
      <w:pPr>
        <w:spacing w:line="360" w:lineRule="auto"/>
        <w:jc w:val="center"/>
        <w:rPr>
          <w:rFonts w:ascii="Arial" w:hAnsi="Arial" w:cs="Arial"/>
          <w:b/>
          <w:sz w:val="24"/>
        </w:rPr>
      </w:pPr>
      <w:r w:rsidRPr="00640C71">
        <w:rPr>
          <w:rFonts w:ascii="Arial" w:hAnsi="Arial" w:cs="Arial"/>
          <w:b/>
          <w:sz w:val="24"/>
        </w:rPr>
        <w:t>Figure</w:t>
      </w:r>
      <w:r w:rsidR="00AA44B6" w:rsidRPr="00640C71">
        <w:rPr>
          <w:rFonts w:ascii="Arial" w:hAnsi="Arial" w:cs="Arial"/>
          <w:b/>
          <w:sz w:val="24"/>
        </w:rPr>
        <w:t xml:space="preserve"> </w:t>
      </w:r>
      <w:r w:rsidR="00462753" w:rsidRPr="00640C71">
        <w:rPr>
          <w:rFonts w:ascii="Arial" w:hAnsi="Arial" w:cs="Arial"/>
          <w:b/>
          <w:sz w:val="24"/>
        </w:rPr>
        <w:t>8</w:t>
      </w:r>
      <w:r w:rsidRPr="00640C71">
        <w:rPr>
          <w:rFonts w:ascii="Arial" w:hAnsi="Arial" w:cs="Arial"/>
          <w:b/>
          <w:sz w:val="24"/>
        </w:rPr>
        <w:t xml:space="preserve">: </w:t>
      </w:r>
      <w:r w:rsidR="005C1F80" w:rsidRPr="00640C71">
        <w:rPr>
          <w:rFonts w:ascii="Arial" w:hAnsi="Arial" w:cs="Arial"/>
          <w:b/>
          <w:sz w:val="24"/>
        </w:rPr>
        <w:t xml:space="preserve">Customised using </w:t>
      </w:r>
      <w:r w:rsidRPr="00640C71">
        <w:rPr>
          <w:rFonts w:ascii="Arial" w:hAnsi="Arial" w:cs="Arial"/>
          <w:b/>
          <w:sz w:val="24"/>
        </w:rPr>
        <w:t>Porter’s Generic Strategy Model</w:t>
      </w:r>
    </w:p>
    <w:p w14:paraId="2B769180" w14:textId="23A13A11" w:rsidR="00CF53DE" w:rsidRPr="00640C71" w:rsidRDefault="00CF53DE" w:rsidP="00CF53DE">
      <w:pPr>
        <w:spacing w:line="360" w:lineRule="auto"/>
        <w:jc w:val="center"/>
        <w:rPr>
          <w:rFonts w:ascii="Arial" w:hAnsi="Arial" w:cs="Arial"/>
          <w:sz w:val="24"/>
        </w:rPr>
      </w:pPr>
      <w:r w:rsidRPr="00640C71">
        <w:rPr>
          <w:rFonts w:ascii="Arial" w:hAnsi="Arial" w:cs="Arial"/>
          <w:sz w:val="24"/>
        </w:rPr>
        <w:t xml:space="preserve">(Source: </w:t>
      </w:r>
      <w:proofErr w:type="spellStart"/>
      <w:r w:rsidRPr="00640C71">
        <w:rPr>
          <w:rFonts w:ascii="Arial" w:hAnsi="Arial" w:cs="Arial"/>
          <w:sz w:val="24"/>
        </w:rPr>
        <w:t>Haoting</w:t>
      </w:r>
      <w:proofErr w:type="spellEnd"/>
      <w:r w:rsidRPr="00640C71">
        <w:rPr>
          <w:rFonts w:ascii="Arial" w:hAnsi="Arial" w:cs="Arial"/>
          <w:sz w:val="24"/>
        </w:rPr>
        <w:t>, 2023)</w:t>
      </w:r>
    </w:p>
    <w:p w14:paraId="422CAC71" w14:textId="50D833AE" w:rsidR="00881A4A" w:rsidRPr="00640C71" w:rsidRDefault="001E42CC" w:rsidP="00BE6170">
      <w:pPr>
        <w:spacing w:line="360" w:lineRule="auto"/>
        <w:jc w:val="both"/>
        <w:rPr>
          <w:rFonts w:ascii="Arial" w:hAnsi="Arial" w:cs="Arial"/>
          <w:sz w:val="24"/>
        </w:rPr>
      </w:pPr>
      <w:r w:rsidRPr="00640C71">
        <w:rPr>
          <w:rFonts w:ascii="Arial" w:hAnsi="Arial" w:cs="Arial"/>
          <w:sz w:val="24"/>
        </w:rPr>
        <w:t>Another reason for changing operational process and diverting towards another product portfolio is that consumers are leaning towards sustainable choices after EU’s Carbon Border Adjustment Mechanism (CBAM), which is landmark regulatory change globally</w:t>
      </w:r>
      <w:r w:rsidR="00D461C8" w:rsidRPr="00640C71">
        <w:rPr>
          <w:rFonts w:ascii="Arial" w:hAnsi="Arial" w:cs="Arial"/>
          <w:sz w:val="24"/>
        </w:rPr>
        <w:t xml:space="preserve"> (European Commission, 2023)</w:t>
      </w:r>
      <w:r w:rsidRPr="00640C71">
        <w:rPr>
          <w:rFonts w:ascii="Arial" w:hAnsi="Arial" w:cs="Arial"/>
          <w:sz w:val="24"/>
        </w:rPr>
        <w:t xml:space="preserve">. </w:t>
      </w:r>
    </w:p>
    <w:p w14:paraId="24CE0FDB" w14:textId="0A9E5662" w:rsidR="00881A4A" w:rsidRPr="00640C71" w:rsidRDefault="00881A4A" w:rsidP="00881A4A">
      <w:pPr>
        <w:spacing w:line="360" w:lineRule="auto"/>
        <w:jc w:val="center"/>
        <w:rPr>
          <w:rFonts w:ascii="Arial" w:hAnsi="Arial" w:cs="Arial"/>
          <w:sz w:val="24"/>
        </w:rPr>
      </w:pPr>
      <w:r w:rsidRPr="00640C71">
        <w:rPr>
          <w:rFonts w:ascii="Arial" w:hAnsi="Arial" w:cs="Arial"/>
          <w:noProof/>
          <w:sz w:val="24"/>
          <w:lang w:eastAsia="en-IN"/>
        </w:rPr>
        <w:drawing>
          <wp:inline distT="0" distB="0" distL="0" distR="0" wp14:anchorId="7764B561" wp14:editId="4D74D118">
            <wp:extent cx="5868300" cy="32689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82975" cy="3277155"/>
                    </a:xfrm>
                    <a:prstGeom prst="rect">
                      <a:avLst/>
                    </a:prstGeom>
                  </pic:spPr>
                </pic:pic>
              </a:graphicData>
            </a:graphic>
          </wp:inline>
        </w:drawing>
      </w:r>
    </w:p>
    <w:p w14:paraId="3CD09A84" w14:textId="35C9C6EA" w:rsidR="00881A4A" w:rsidRPr="00640C71" w:rsidRDefault="00881A4A" w:rsidP="00881A4A">
      <w:pPr>
        <w:spacing w:line="360" w:lineRule="auto"/>
        <w:jc w:val="center"/>
        <w:rPr>
          <w:rFonts w:ascii="Arial" w:hAnsi="Arial" w:cs="Arial"/>
          <w:sz w:val="24"/>
        </w:rPr>
      </w:pPr>
      <w:r w:rsidRPr="00640C71">
        <w:rPr>
          <w:rFonts w:ascii="Arial" w:hAnsi="Arial" w:cs="Arial"/>
          <w:b/>
          <w:sz w:val="24"/>
        </w:rPr>
        <w:t>Figure</w:t>
      </w:r>
      <w:r w:rsidR="00462753" w:rsidRPr="00640C71">
        <w:rPr>
          <w:rFonts w:ascii="Arial" w:hAnsi="Arial" w:cs="Arial"/>
          <w:b/>
          <w:sz w:val="24"/>
        </w:rPr>
        <w:t xml:space="preserve"> 9</w:t>
      </w:r>
      <w:r w:rsidRPr="00640C71">
        <w:rPr>
          <w:rFonts w:ascii="Arial" w:hAnsi="Arial" w:cs="Arial"/>
          <w:b/>
          <w:sz w:val="24"/>
        </w:rPr>
        <w:t xml:space="preserve">: </w:t>
      </w:r>
      <w:r w:rsidR="00314211" w:rsidRPr="00640C71">
        <w:rPr>
          <w:rFonts w:ascii="Arial" w:hAnsi="Arial" w:cs="Arial"/>
          <w:b/>
          <w:sz w:val="24"/>
        </w:rPr>
        <w:t>Overview of CBAM Mechanism</w:t>
      </w:r>
    </w:p>
    <w:p w14:paraId="3E2D2B58" w14:textId="495B4483" w:rsidR="00314211" w:rsidRPr="00640C71" w:rsidRDefault="00314211" w:rsidP="00881A4A">
      <w:pPr>
        <w:spacing w:line="360" w:lineRule="auto"/>
        <w:jc w:val="center"/>
        <w:rPr>
          <w:rFonts w:ascii="Arial" w:hAnsi="Arial" w:cs="Arial"/>
          <w:sz w:val="24"/>
        </w:rPr>
      </w:pPr>
      <w:r w:rsidRPr="00640C71">
        <w:rPr>
          <w:rFonts w:ascii="Arial" w:hAnsi="Arial" w:cs="Arial"/>
          <w:sz w:val="24"/>
        </w:rPr>
        <w:t xml:space="preserve">(Source: </w:t>
      </w:r>
      <w:r w:rsidR="007E3A67" w:rsidRPr="00640C71">
        <w:rPr>
          <w:rFonts w:ascii="Arial" w:hAnsi="Arial" w:cs="Arial"/>
          <w:sz w:val="24"/>
        </w:rPr>
        <w:t>Ramachandran</w:t>
      </w:r>
      <w:r w:rsidRPr="00640C71">
        <w:rPr>
          <w:rFonts w:ascii="Arial" w:hAnsi="Arial" w:cs="Arial"/>
          <w:sz w:val="24"/>
        </w:rPr>
        <w:t>, 2026)</w:t>
      </w:r>
    </w:p>
    <w:p w14:paraId="6AB3927E" w14:textId="46E04544" w:rsidR="00EF54B0" w:rsidRPr="00640C71" w:rsidRDefault="001E42CC" w:rsidP="00BE6170">
      <w:pPr>
        <w:spacing w:line="360" w:lineRule="auto"/>
        <w:jc w:val="both"/>
        <w:rPr>
          <w:rFonts w:ascii="Arial" w:hAnsi="Arial" w:cs="Arial"/>
          <w:sz w:val="24"/>
        </w:rPr>
      </w:pPr>
      <w:r w:rsidRPr="00640C71">
        <w:rPr>
          <w:rFonts w:ascii="Arial" w:hAnsi="Arial" w:cs="Arial"/>
          <w:sz w:val="24"/>
        </w:rPr>
        <w:t>Customers, wh</w:t>
      </w:r>
      <w:r w:rsidR="000904F2" w:rsidRPr="00640C71">
        <w:rPr>
          <w:rFonts w:ascii="Arial" w:hAnsi="Arial" w:cs="Arial"/>
          <w:sz w:val="24"/>
        </w:rPr>
        <w:t>o</w:t>
      </w:r>
      <w:r w:rsidRPr="00640C71">
        <w:rPr>
          <w:rFonts w:ascii="Arial" w:hAnsi="Arial" w:cs="Arial"/>
          <w:sz w:val="24"/>
        </w:rPr>
        <w:t xml:space="preserve"> in case BHP are metal manufacturer are willing to pay more for</w:t>
      </w:r>
      <w:r w:rsidR="000904F2" w:rsidRPr="00640C71">
        <w:rPr>
          <w:rFonts w:ascii="Arial" w:hAnsi="Arial" w:cs="Arial"/>
          <w:sz w:val="24"/>
        </w:rPr>
        <w:t xml:space="preserve"> a sustainable choice, considered as “</w:t>
      </w:r>
      <w:r w:rsidR="00E26A2A" w:rsidRPr="00640C71">
        <w:rPr>
          <w:rFonts w:ascii="Arial" w:hAnsi="Arial" w:cs="Arial"/>
          <w:sz w:val="24"/>
        </w:rPr>
        <w:t>G</w:t>
      </w:r>
      <w:r w:rsidR="000904F2" w:rsidRPr="00640C71">
        <w:rPr>
          <w:rFonts w:ascii="Arial" w:hAnsi="Arial" w:cs="Arial"/>
          <w:sz w:val="24"/>
        </w:rPr>
        <w:t>reen Premium”</w:t>
      </w:r>
      <w:r w:rsidR="00E26A2A" w:rsidRPr="00640C71">
        <w:rPr>
          <w:rFonts w:ascii="Arial" w:hAnsi="Arial" w:cs="Arial"/>
          <w:sz w:val="24"/>
        </w:rPr>
        <w:t xml:space="preserve"> (</w:t>
      </w:r>
      <w:proofErr w:type="spellStart"/>
      <w:r w:rsidR="00E26A2A" w:rsidRPr="00640C71">
        <w:rPr>
          <w:rFonts w:ascii="Arial" w:hAnsi="Arial" w:cs="Arial"/>
          <w:sz w:val="24"/>
        </w:rPr>
        <w:t>Circluor</w:t>
      </w:r>
      <w:proofErr w:type="spellEnd"/>
      <w:r w:rsidR="00E26A2A" w:rsidRPr="00640C71">
        <w:rPr>
          <w:rFonts w:ascii="Arial" w:hAnsi="Arial" w:cs="Arial"/>
          <w:sz w:val="24"/>
        </w:rPr>
        <w:t>, 2024)</w:t>
      </w:r>
      <w:r w:rsidR="000904F2" w:rsidRPr="00640C71">
        <w:rPr>
          <w:rFonts w:ascii="Arial" w:hAnsi="Arial" w:cs="Arial"/>
          <w:sz w:val="24"/>
        </w:rPr>
        <w:t xml:space="preserve">. Therefore, cost leadership race is slowly fading away with rise of Green supplier and ethical supply chain. </w:t>
      </w:r>
      <w:r w:rsidR="00F142A3" w:rsidRPr="00640C71">
        <w:rPr>
          <w:rFonts w:ascii="Arial" w:hAnsi="Arial" w:cs="Arial"/>
          <w:sz w:val="24"/>
        </w:rPr>
        <w:t>In this situation, competitive advantage of BHP relies heavily on developing a hybrid approach combining Cost Leadership with Differentiation through sustainability and technological integration.</w:t>
      </w:r>
    </w:p>
    <w:p w14:paraId="5B37C96E" w14:textId="77777777" w:rsidR="00625B42" w:rsidRPr="00640C71" w:rsidRDefault="00625B42">
      <w:pPr>
        <w:rPr>
          <w:rFonts w:ascii="Arial" w:hAnsi="Arial" w:cs="Arial"/>
          <w:b/>
          <w:sz w:val="24"/>
        </w:rPr>
      </w:pPr>
      <w:r w:rsidRPr="00640C71">
        <w:rPr>
          <w:rFonts w:ascii="Arial" w:hAnsi="Arial" w:cs="Arial"/>
          <w:b/>
          <w:sz w:val="24"/>
        </w:rPr>
        <w:br w:type="page"/>
      </w:r>
    </w:p>
    <w:p w14:paraId="31624EFB" w14:textId="44789526" w:rsidR="00E835BC" w:rsidRPr="00640C71" w:rsidRDefault="00032954" w:rsidP="00032954">
      <w:pPr>
        <w:pStyle w:val="Heading2"/>
        <w:rPr>
          <w:rFonts w:ascii="Arial" w:hAnsi="Arial" w:cs="Arial"/>
        </w:rPr>
      </w:pPr>
      <w:bookmarkStart w:id="6" w:name="_Toc241401297"/>
      <w:r w:rsidRPr="00640C71">
        <w:rPr>
          <w:rFonts w:ascii="Arial" w:hAnsi="Arial" w:cs="Arial"/>
        </w:rPr>
        <w:t xml:space="preserve">2.2 </w:t>
      </w:r>
      <w:r w:rsidR="00E835BC" w:rsidRPr="00640C71">
        <w:rPr>
          <w:rFonts w:ascii="Arial" w:hAnsi="Arial" w:cs="Arial"/>
        </w:rPr>
        <w:t>Strategic Growth: The Ansoff Matrix Analysis</w:t>
      </w:r>
      <w:bookmarkEnd w:id="6"/>
    </w:p>
    <w:p w14:paraId="063757CF" w14:textId="5CDB2C36" w:rsidR="00625B42" w:rsidRPr="00640C71" w:rsidRDefault="002B57DA" w:rsidP="00BE6170">
      <w:pPr>
        <w:spacing w:line="360" w:lineRule="auto"/>
        <w:jc w:val="both"/>
        <w:rPr>
          <w:rFonts w:ascii="Arial" w:hAnsi="Arial" w:cs="Arial"/>
          <w:sz w:val="24"/>
        </w:rPr>
      </w:pPr>
      <w:r w:rsidRPr="00640C71">
        <w:rPr>
          <w:rFonts w:ascii="Arial" w:hAnsi="Arial" w:cs="Arial"/>
          <w:sz w:val="24"/>
        </w:rPr>
        <w:t xml:space="preserve">Ansoff matrix </w:t>
      </w:r>
      <w:r w:rsidR="00613CF4" w:rsidRPr="00640C71">
        <w:rPr>
          <w:rFonts w:ascii="Arial" w:hAnsi="Arial" w:cs="Arial"/>
          <w:sz w:val="24"/>
        </w:rPr>
        <w:t xml:space="preserve">has been used to evaluate BHP’s growth and </w:t>
      </w:r>
      <w:r w:rsidR="00AD29F5" w:rsidRPr="00640C71">
        <w:rPr>
          <w:rFonts w:ascii="Arial" w:hAnsi="Arial" w:cs="Arial"/>
          <w:sz w:val="24"/>
        </w:rPr>
        <w:t xml:space="preserve">strategic pathway for developing new product portfolio during low-carbonisation modelling. In this transition, BHP has to re-arrange product segments and specification to attract existing and new consumers. </w:t>
      </w:r>
    </w:p>
    <w:tbl>
      <w:tblPr>
        <w:tblStyle w:val="TableGrid"/>
        <w:tblW w:w="0" w:type="auto"/>
        <w:tblLook w:val="04A0" w:firstRow="1" w:lastRow="0" w:firstColumn="1" w:lastColumn="0" w:noHBand="0" w:noVBand="1"/>
      </w:tblPr>
      <w:tblGrid>
        <w:gridCol w:w="4508"/>
        <w:gridCol w:w="4508"/>
      </w:tblGrid>
      <w:tr w:rsidR="00A21B4C" w:rsidRPr="00640C71" w14:paraId="6C77E01C" w14:textId="77777777" w:rsidTr="00A21B4C">
        <w:tc>
          <w:tcPr>
            <w:tcW w:w="4508" w:type="dxa"/>
            <w:shd w:val="clear" w:color="auto" w:fill="F4B083" w:themeFill="accent2" w:themeFillTint="99"/>
          </w:tcPr>
          <w:p w14:paraId="7DF76281" w14:textId="29A5797E" w:rsidR="00A21B4C" w:rsidRPr="00640C71" w:rsidRDefault="00A21B4C" w:rsidP="00A21B4C">
            <w:pPr>
              <w:spacing w:line="360" w:lineRule="auto"/>
              <w:jc w:val="center"/>
              <w:rPr>
                <w:rFonts w:ascii="Arial" w:hAnsi="Arial" w:cs="Arial"/>
                <w:b/>
                <w:sz w:val="24"/>
              </w:rPr>
            </w:pPr>
            <w:r w:rsidRPr="00640C71">
              <w:rPr>
                <w:rFonts w:ascii="Arial" w:hAnsi="Arial" w:cs="Arial"/>
                <w:b/>
                <w:sz w:val="24"/>
              </w:rPr>
              <w:t>Market Penetration</w:t>
            </w:r>
          </w:p>
        </w:tc>
        <w:tc>
          <w:tcPr>
            <w:tcW w:w="4508" w:type="dxa"/>
            <w:shd w:val="clear" w:color="auto" w:fill="F4B083" w:themeFill="accent2" w:themeFillTint="99"/>
          </w:tcPr>
          <w:p w14:paraId="168AF8CF" w14:textId="0EA363BB" w:rsidR="00A21B4C" w:rsidRPr="00640C71" w:rsidRDefault="00A21B4C" w:rsidP="00A21B4C">
            <w:pPr>
              <w:spacing w:line="360" w:lineRule="auto"/>
              <w:jc w:val="center"/>
              <w:rPr>
                <w:rFonts w:ascii="Arial" w:hAnsi="Arial" w:cs="Arial"/>
                <w:b/>
                <w:sz w:val="24"/>
              </w:rPr>
            </w:pPr>
            <w:r w:rsidRPr="00640C71">
              <w:rPr>
                <w:rFonts w:ascii="Arial" w:hAnsi="Arial" w:cs="Arial"/>
                <w:b/>
                <w:sz w:val="24"/>
              </w:rPr>
              <w:t>Product Development</w:t>
            </w:r>
          </w:p>
        </w:tc>
      </w:tr>
      <w:tr w:rsidR="00A21B4C" w:rsidRPr="00640C71" w14:paraId="518B00C0" w14:textId="77777777" w:rsidTr="00A21B4C">
        <w:tc>
          <w:tcPr>
            <w:tcW w:w="4508" w:type="dxa"/>
            <w:shd w:val="clear" w:color="auto" w:fill="FBE4D5" w:themeFill="accent2" w:themeFillTint="33"/>
          </w:tcPr>
          <w:p w14:paraId="4794FE05" w14:textId="77777777" w:rsidR="00A21B4C" w:rsidRPr="00640C71" w:rsidRDefault="00A21B4C" w:rsidP="00A21B4C">
            <w:pPr>
              <w:pStyle w:val="ListParagraph"/>
              <w:numPr>
                <w:ilvl w:val="0"/>
                <w:numId w:val="2"/>
              </w:numPr>
              <w:spacing w:line="360" w:lineRule="auto"/>
              <w:jc w:val="both"/>
              <w:rPr>
                <w:rFonts w:ascii="Arial" w:hAnsi="Arial" w:cs="Arial"/>
                <w:sz w:val="24"/>
              </w:rPr>
            </w:pPr>
            <w:r w:rsidRPr="00640C71">
              <w:rPr>
                <w:rFonts w:ascii="Arial" w:hAnsi="Arial" w:cs="Arial"/>
                <w:sz w:val="24"/>
              </w:rPr>
              <w:t>Iron Ore and Met Coal efficiency</w:t>
            </w:r>
          </w:p>
          <w:p w14:paraId="37EDBCAB" w14:textId="1467619E" w:rsidR="00A21B4C" w:rsidRPr="00640C71" w:rsidRDefault="00A21B4C" w:rsidP="00A21B4C">
            <w:pPr>
              <w:pStyle w:val="ListParagraph"/>
              <w:numPr>
                <w:ilvl w:val="0"/>
                <w:numId w:val="2"/>
              </w:numPr>
              <w:spacing w:line="360" w:lineRule="auto"/>
              <w:jc w:val="both"/>
              <w:rPr>
                <w:rFonts w:ascii="Arial" w:hAnsi="Arial" w:cs="Arial"/>
                <w:sz w:val="24"/>
              </w:rPr>
            </w:pPr>
            <w:r w:rsidRPr="00640C71">
              <w:rPr>
                <w:rFonts w:ascii="Arial" w:hAnsi="Arial" w:cs="Arial"/>
                <w:sz w:val="24"/>
              </w:rPr>
              <w:t>Western Australian Iron Ore price less than USD 17.50</w:t>
            </w:r>
            <w:r w:rsidR="00E448B6" w:rsidRPr="00640C71">
              <w:rPr>
                <w:rFonts w:ascii="Arial" w:hAnsi="Arial" w:cs="Arial"/>
                <w:sz w:val="24"/>
              </w:rPr>
              <w:t xml:space="preserve"> (Arnoldy, 2026)</w:t>
            </w:r>
          </w:p>
          <w:p w14:paraId="69183A8A" w14:textId="77777777" w:rsidR="00A21B4C" w:rsidRPr="00640C71" w:rsidRDefault="00A21B4C" w:rsidP="00A21B4C">
            <w:pPr>
              <w:pStyle w:val="ListParagraph"/>
              <w:numPr>
                <w:ilvl w:val="0"/>
                <w:numId w:val="2"/>
              </w:numPr>
              <w:spacing w:line="360" w:lineRule="auto"/>
              <w:jc w:val="both"/>
              <w:rPr>
                <w:rFonts w:ascii="Arial" w:hAnsi="Arial" w:cs="Arial"/>
                <w:sz w:val="24"/>
              </w:rPr>
            </w:pPr>
            <w:r w:rsidRPr="00640C71">
              <w:rPr>
                <w:rFonts w:ascii="Arial" w:hAnsi="Arial" w:cs="Arial"/>
                <w:sz w:val="24"/>
              </w:rPr>
              <w:t>Implementation of decarbonisation scopes at BHP mining sites</w:t>
            </w:r>
          </w:p>
          <w:p w14:paraId="4DDD73E1" w14:textId="333387FB" w:rsidR="00A21B4C" w:rsidRPr="00640C71" w:rsidRDefault="00A21B4C" w:rsidP="00A21B4C">
            <w:pPr>
              <w:pStyle w:val="ListParagraph"/>
              <w:numPr>
                <w:ilvl w:val="0"/>
                <w:numId w:val="2"/>
              </w:numPr>
              <w:spacing w:line="360" w:lineRule="auto"/>
              <w:jc w:val="both"/>
              <w:rPr>
                <w:rFonts w:ascii="Arial" w:hAnsi="Arial" w:cs="Arial"/>
                <w:sz w:val="24"/>
              </w:rPr>
            </w:pPr>
            <w:r w:rsidRPr="00640C71">
              <w:rPr>
                <w:rFonts w:ascii="Arial" w:hAnsi="Arial" w:cs="Arial"/>
                <w:sz w:val="24"/>
              </w:rPr>
              <w:t xml:space="preserve">Existing Customer retention </w:t>
            </w:r>
          </w:p>
        </w:tc>
        <w:tc>
          <w:tcPr>
            <w:tcW w:w="4508" w:type="dxa"/>
            <w:shd w:val="clear" w:color="auto" w:fill="FBE4D5" w:themeFill="accent2" w:themeFillTint="33"/>
          </w:tcPr>
          <w:p w14:paraId="66285B97" w14:textId="77777777" w:rsidR="00A21B4C" w:rsidRPr="00640C71" w:rsidRDefault="001D0A8E" w:rsidP="00A21B4C">
            <w:pPr>
              <w:pStyle w:val="ListParagraph"/>
              <w:numPr>
                <w:ilvl w:val="0"/>
                <w:numId w:val="2"/>
              </w:numPr>
              <w:spacing w:line="360" w:lineRule="auto"/>
              <w:rPr>
                <w:rFonts w:ascii="Arial" w:hAnsi="Arial" w:cs="Arial"/>
                <w:sz w:val="24"/>
              </w:rPr>
            </w:pPr>
            <w:r w:rsidRPr="00640C71">
              <w:rPr>
                <w:rFonts w:ascii="Arial" w:hAnsi="Arial" w:cs="Arial"/>
                <w:sz w:val="24"/>
              </w:rPr>
              <w:t xml:space="preserve">Development of </w:t>
            </w:r>
            <w:r w:rsidR="00A21B4C" w:rsidRPr="00640C71">
              <w:rPr>
                <w:rFonts w:ascii="Arial" w:hAnsi="Arial" w:cs="Arial"/>
                <w:sz w:val="24"/>
              </w:rPr>
              <w:t>DRI-grade Pilbara Iron Ore</w:t>
            </w:r>
          </w:p>
          <w:p w14:paraId="14B16D04" w14:textId="5D9CF4C3" w:rsidR="001D0A8E" w:rsidRPr="00640C71" w:rsidRDefault="001D0A8E" w:rsidP="00A21B4C">
            <w:pPr>
              <w:pStyle w:val="ListParagraph"/>
              <w:numPr>
                <w:ilvl w:val="0"/>
                <w:numId w:val="2"/>
              </w:numPr>
              <w:spacing w:line="360" w:lineRule="auto"/>
              <w:rPr>
                <w:rFonts w:ascii="Arial" w:hAnsi="Arial" w:cs="Arial"/>
                <w:sz w:val="24"/>
              </w:rPr>
            </w:pPr>
            <w:r w:rsidRPr="00640C71">
              <w:rPr>
                <w:rFonts w:ascii="Arial" w:hAnsi="Arial" w:cs="Arial"/>
                <w:sz w:val="24"/>
              </w:rPr>
              <w:t xml:space="preserve">Alternative power as Hydrogen based </w:t>
            </w:r>
            <w:proofErr w:type="spellStart"/>
            <w:r w:rsidRPr="00640C71">
              <w:rPr>
                <w:rFonts w:ascii="Arial" w:hAnsi="Arial" w:cs="Arial"/>
                <w:sz w:val="24"/>
              </w:rPr>
              <w:t>HyREX</w:t>
            </w:r>
            <w:proofErr w:type="spellEnd"/>
            <w:r w:rsidRPr="00640C71">
              <w:rPr>
                <w:rFonts w:ascii="Arial" w:hAnsi="Arial" w:cs="Arial"/>
                <w:sz w:val="24"/>
              </w:rPr>
              <w:t xml:space="preserve"> technology</w:t>
            </w:r>
            <w:r w:rsidR="003930A1" w:rsidRPr="00640C71">
              <w:rPr>
                <w:rFonts w:ascii="Arial" w:hAnsi="Arial" w:cs="Arial"/>
                <w:sz w:val="24"/>
              </w:rPr>
              <w:t xml:space="preserve"> (</w:t>
            </w:r>
            <w:r w:rsidR="003930A1" w:rsidRPr="00640C71">
              <w:rPr>
                <w:rFonts w:ascii="Arial" w:hAnsi="Arial" w:cs="Arial"/>
                <w:sz w:val="24"/>
                <w:szCs w:val="24"/>
              </w:rPr>
              <w:t xml:space="preserve">GMK </w:t>
            </w:r>
            <w:proofErr w:type="spellStart"/>
            <w:r w:rsidR="003930A1" w:rsidRPr="00640C71">
              <w:rPr>
                <w:rFonts w:ascii="Arial" w:hAnsi="Arial" w:cs="Arial"/>
                <w:sz w:val="24"/>
                <w:szCs w:val="24"/>
              </w:rPr>
              <w:t>Center</w:t>
            </w:r>
            <w:proofErr w:type="spellEnd"/>
            <w:r w:rsidR="003930A1" w:rsidRPr="00640C71">
              <w:rPr>
                <w:rFonts w:ascii="Arial" w:hAnsi="Arial" w:cs="Arial"/>
                <w:sz w:val="24"/>
                <w:szCs w:val="24"/>
              </w:rPr>
              <w:t>. 2025)</w:t>
            </w:r>
          </w:p>
          <w:p w14:paraId="43B3532F" w14:textId="248B4238" w:rsidR="001D0A8E" w:rsidRPr="00640C71" w:rsidRDefault="001D0A8E" w:rsidP="00A21B4C">
            <w:pPr>
              <w:pStyle w:val="ListParagraph"/>
              <w:numPr>
                <w:ilvl w:val="0"/>
                <w:numId w:val="2"/>
              </w:numPr>
              <w:spacing w:line="360" w:lineRule="auto"/>
              <w:rPr>
                <w:rFonts w:ascii="Arial" w:hAnsi="Arial" w:cs="Arial"/>
                <w:sz w:val="24"/>
              </w:rPr>
            </w:pPr>
            <w:r w:rsidRPr="00640C71">
              <w:rPr>
                <w:rFonts w:ascii="Arial" w:hAnsi="Arial" w:cs="Arial"/>
                <w:sz w:val="24"/>
              </w:rPr>
              <w:t>Integration of POSCO green technology</w:t>
            </w:r>
          </w:p>
        </w:tc>
      </w:tr>
      <w:tr w:rsidR="00A21B4C" w:rsidRPr="00640C71" w14:paraId="6DA698F5" w14:textId="77777777" w:rsidTr="00A21B4C">
        <w:tc>
          <w:tcPr>
            <w:tcW w:w="4508" w:type="dxa"/>
            <w:shd w:val="clear" w:color="auto" w:fill="F4B083" w:themeFill="accent2" w:themeFillTint="99"/>
          </w:tcPr>
          <w:p w14:paraId="5CA894F3" w14:textId="77CCD752" w:rsidR="00A21B4C" w:rsidRPr="00640C71" w:rsidRDefault="00A21B4C" w:rsidP="00A21B4C">
            <w:pPr>
              <w:spacing w:line="360" w:lineRule="auto"/>
              <w:jc w:val="center"/>
              <w:rPr>
                <w:rFonts w:ascii="Arial" w:hAnsi="Arial" w:cs="Arial"/>
                <w:b/>
                <w:sz w:val="24"/>
              </w:rPr>
            </w:pPr>
            <w:r w:rsidRPr="00640C71">
              <w:rPr>
                <w:rFonts w:ascii="Arial" w:hAnsi="Arial" w:cs="Arial"/>
                <w:b/>
                <w:sz w:val="24"/>
              </w:rPr>
              <w:t>Market Development</w:t>
            </w:r>
          </w:p>
        </w:tc>
        <w:tc>
          <w:tcPr>
            <w:tcW w:w="4508" w:type="dxa"/>
            <w:shd w:val="clear" w:color="auto" w:fill="F4B083" w:themeFill="accent2" w:themeFillTint="99"/>
          </w:tcPr>
          <w:p w14:paraId="4A6707E4" w14:textId="43D57B9B" w:rsidR="00A21B4C" w:rsidRPr="00640C71" w:rsidRDefault="00A21B4C" w:rsidP="00A21B4C">
            <w:pPr>
              <w:spacing w:line="360" w:lineRule="auto"/>
              <w:jc w:val="center"/>
              <w:rPr>
                <w:rFonts w:ascii="Arial" w:hAnsi="Arial" w:cs="Arial"/>
                <w:b/>
                <w:sz w:val="24"/>
              </w:rPr>
            </w:pPr>
            <w:r w:rsidRPr="00640C71">
              <w:rPr>
                <w:rFonts w:ascii="Arial" w:hAnsi="Arial" w:cs="Arial"/>
                <w:b/>
                <w:sz w:val="24"/>
              </w:rPr>
              <w:t>Diversification</w:t>
            </w:r>
          </w:p>
        </w:tc>
      </w:tr>
      <w:tr w:rsidR="00A21B4C" w:rsidRPr="00640C71" w14:paraId="21993AD4" w14:textId="77777777" w:rsidTr="00A21B4C">
        <w:tc>
          <w:tcPr>
            <w:tcW w:w="4508" w:type="dxa"/>
            <w:shd w:val="clear" w:color="auto" w:fill="FBE4D5" w:themeFill="accent2" w:themeFillTint="33"/>
          </w:tcPr>
          <w:p w14:paraId="121099CA" w14:textId="7CE1A216" w:rsidR="00A21B4C" w:rsidRPr="00640C71" w:rsidRDefault="001D0A8E" w:rsidP="001D0A8E">
            <w:pPr>
              <w:pStyle w:val="ListParagraph"/>
              <w:numPr>
                <w:ilvl w:val="0"/>
                <w:numId w:val="3"/>
              </w:numPr>
              <w:spacing w:line="360" w:lineRule="auto"/>
              <w:rPr>
                <w:rFonts w:ascii="Arial" w:hAnsi="Arial" w:cs="Arial"/>
                <w:sz w:val="24"/>
              </w:rPr>
            </w:pPr>
            <w:r w:rsidRPr="00640C71">
              <w:rPr>
                <w:rFonts w:ascii="Arial" w:hAnsi="Arial" w:cs="Arial"/>
                <w:sz w:val="24"/>
              </w:rPr>
              <w:t>Drifting towards Copper &amp; Nickel assets</w:t>
            </w:r>
            <w:r w:rsidR="00D3015A" w:rsidRPr="00640C71">
              <w:rPr>
                <w:rFonts w:ascii="Arial" w:hAnsi="Arial" w:cs="Arial"/>
                <w:sz w:val="24"/>
              </w:rPr>
              <w:t xml:space="preserve"> (</w:t>
            </w:r>
            <w:proofErr w:type="spellStart"/>
            <w:r w:rsidR="00D3015A" w:rsidRPr="00640C71">
              <w:rPr>
                <w:rFonts w:ascii="Arial" w:hAnsi="Arial" w:cs="Arial"/>
                <w:sz w:val="24"/>
              </w:rPr>
              <w:t>Circluor</w:t>
            </w:r>
            <w:proofErr w:type="spellEnd"/>
            <w:r w:rsidR="00D3015A" w:rsidRPr="00640C71">
              <w:rPr>
                <w:rFonts w:ascii="Arial" w:hAnsi="Arial" w:cs="Arial"/>
                <w:sz w:val="24"/>
              </w:rPr>
              <w:t>, 2024).</w:t>
            </w:r>
          </w:p>
          <w:p w14:paraId="41656554" w14:textId="77777777" w:rsidR="001D0A8E" w:rsidRPr="00640C71" w:rsidRDefault="001D0A8E" w:rsidP="001D0A8E">
            <w:pPr>
              <w:pStyle w:val="ListParagraph"/>
              <w:numPr>
                <w:ilvl w:val="0"/>
                <w:numId w:val="3"/>
              </w:numPr>
              <w:spacing w:line="360" w:lineRule="auto"/>
              <w:rPr>
                <w:rFonts w:ascii="Arial" w:hAnsi="Arial" w:cs="Arial"/>
                <w:sz w:val="24"/>
              </w:rPr>
            </w:pPr>
            <w:r w:rsidRPr="00640C71">
              <w:rPr>
                <w:rFonts w:ascii="Arial" w:hAnsi="Arial" w:cs="Arial"/>
                <w:sz w:val="24"/>
              </w:rPr>
              <w:t>Investing resource and time in EV battery chain</w:t>
            </w:r>
          </w:p>
          <w:p w14:paraId="70991357" w14:textId="77777777" w:rsidR="001D0A8E" w:rsidRPr="00640C71" w:rsidRDefault="001D0A8E" w:rsidP="001D0A8E">
            <w:pPr>
              <w:pStyle w:val="ListParagraph"/>
              <w:numPr>
                <w:ilvl w:val="0"/>
                <w:numId w:val="3"/>
              </w:numPr>
              <w:spacing w:line="360" w:lineRule="auto"/>
              <w:rPr>
                <w:rFonts w:ascii="Arial" w:hAnsi="Arial" w:cs="Arial"/>
                <w:sz w:val="24"/>
              </w:rPr>
            </w:pPr>
            <w:r w:rsidRPr="00640C71">
              <w:rPr>
                <w:rFonts w:ascii="Arial" w:hAnsi="Arial" w:cs="Arial"/>
                <w:sz w:val="24"/>
              </w:rPr>
              <w:t>Developing renewable infrastructure</w:t>
            </w:r>
          </w:p>
          <w:p w14:paraId="2B46D4C2" w14:textId="467124BD" w:rsidR="001D0A8E" w:rsidRPr="00640C71" w:rsidRDefault="001D0A8E" w:rsidP="001D0A8E">
            <w:pPr>
              <w:pStyle w:val="ListParagraph"/>
              <w:numPr>
                <w:ilvl w:val="0"/>
                <w:numId w:val="3"/>
              </w:numPr>
              <w:spacing w:line="360" w:lineRule="auto"/>
              <w:rPr>
                <w:rFonts w:ascii="Arial" w:hAnsi="Arial" w:cs="Arial"/>
                <w:sz w:val="24"/>
              </w:rPr>
            </w:pPr>
            <w:r w:rsidRPr="00640C71">
              <w:rPr>
                <w:rFonts w:ascii="Arial" w:hAnsi="Arial" w:cs="Arial"/>
                <w:sz w:val="24"/>
              </w:rPr>
              <w:t>Utilisation of global AI transformation and utility tool</w:t>
            </w:r>
          </w:p>
        </w:tc>
        <w:tc>
          <w:tcPr>
            <w:tcW w:w="4508" w:type="dxa"/>
            <w:shd w:val="clear" w:color="auto" w:fill="FBE4D5" w:themeFill="accent2" w:themeFillTint="33"/>
          </w:tcPr>
          <w:p w14:paraId="4F6248F4" w14:textId="77777777" w:rsidR="00A21B4C" w:rsidRPr="00640C71" w:rsidRDefault="00066ED8" w:rsidP="00066ED8">
            <w:pPr>
              <w:pStyle w:val="ListParagraph"/>
              <w:numPr>
                <w:ilvl w:val="0"/>
                <w:numId w:val="3"/>
              </w:numPr>
              <w:spacing w:line="360" w:lineRule="auto"/>
              <w:rPr>
                <w:rFonts w:ascii="Arial" w:hAnsi="Arial" w:cs="Arial"/>
                <w:sz w:val="24"/>
              </w:rPr>
            </w:pPr>
            <w:r w:rsidRPr="00640C71">
              <w:rPr>
                <w:rFonts w:ascii="Arial" w:hAnsi="Arial" w:cs="Arial"/>
                <w:sz w:val="24"/>
              </w:rPr>
              <w:t>Investing in sustainable agriculture</w:t>
            </w:r>
          </w:p>
          <w:p w14:paraId="46DF0FAA" w14:textId="77777777" w:rsidR="00066ED8" w:rsidRPr="00640C71" w:rsidRDefault="00066ED8" w:rsidP="00066ED8">
            <w:pPr>
              <w:pStyle w:val="ListParagraph"/>
              <w:numPr>
                <w:ilvl w:val="0"/>
                <w:numId w:val="3"/>
              </w:numPr>
              <w:spacing w:line="360" w:lineRule="auto"/>
              <w:rPr>
                <w:rFonts w:ascii="Arial" w:hAnsi="Arial" w:cs="Arial"/>
                <w:sz w:val="24"/>
              </w:rPr>
            </w:pPr>
            <w:r w:rsidRPr="00640C71">
              <w:rPr>
                <w:rFonts w:ascii="Arial" w:hAnsi="Arial" w:cs="Arial"/>
                <w:sz w:val="24"/>
              </w:rPr>
              <w:t>Detachment from direct steel supply to reduce carbon footprint</w:t>
            </w:r>
          </w:p>
          <w:p w14:paraId="575CE3BA" w14:textId="46F4F44F" w:rsidR="00066ED8" w:rsidRPr="00640C71" w:rsidRDefault="00066ED8" w:rsidP="00066ED8">
            <w:pPr>
              <w:pStyle w:val="ListParagraph"/>
              <w:numPr>
                <w:ilvl w:val="0"/>
                <w:numId w:val="3"/>
              </w:numPr>
              <w:spacing w:line="360" w:lineRule="auto"/>
              <w:rPr>
                <w:rFonts w:ascii="Arial" w:hAnsi="Arial" w:cs="Arial"/>
                <w:sz w:val="24"/>
              </w:rPr>
            </w:pPr>
            <w:r w:rsidRPr="00640C71">
              <w:rPr>
                <w:rFonts w:ascii="Arial" w:hAnsi="Arial" w:cs="Arial"/>
                <w:sz w:val="24"/>
              </w:rPr>
              <w:t>Entering eco-friendly market with low-carbon commodity market</w:t>
            </w:r>
          </w:p>
        </w:tc>
      </w:tr>
    </w:tbl>
    <w:p w14:paraId="6581B4F7" w14:textId="595C3587" w:rsidR="00A21B4C" w:rsidRPr="00640C71" w:rsidRDefault="00D5204E" w:rsidP="00D706F7">
      <w:pPr>
        <w:spacing w:line="360" w:lineRule="auto"/>
        <w:jc w:val="center"/>
        <w:rPr>
          <w:rFonts w:ascii="Arial" w:hAnsi="Arial" w:cs="Arial"/>
          <w:b/>
          <w:sz w:val="24"/>
        </w:rPr>
      </w:pPr>
      <w:r w:rsidRPr="00640C71">
        <w:rPr>
          <w:rFonts w:ascii="Arial" w:hAnsi="Arial" w:cs="Arial"/>
          <w:b/>
          <w:sz w:val="24"/>
        </w:rPr>
        <w:t>Figure</w:t>
      </w:r>
      <w:r w:rsidR="00AA44B6" w:rsidRPr="00640C71">
        <w:rPr>
          <w:rFonts w:ascii="Arial" w:hAnsi="Arial" w:cs="Arial"/>
          <w:b/>
          <w:sz w:val="24"/>
        </w:rPr>
        <w:t xml:space="preserve"> </w:t>
      </w:r>
      <w:r w:rsidR="00462753" w:rsidRPr="00640C71">
        <w:rPr>
          <w:rFonts w:ascii="Arial" w:hAnsi="Arial" w:cs="Arial"/>
          <w:b/>
          <w:sz w:val="24"/>
        </w:rPr>
        <w:t>10</w:t>
      </w:r>
      <w:r w:rsidRPr="00640C71">
        <w:rPr>
          <w:rFonts w:ascii="Arial" w:hAnsi="Arial" w:cs="Arial"/>
          <w:b/>
          <w:sz w:val="24"/>
        </w:rPr>
        <w:t>: Ansoff Matrix of BHP</w:t>
      </w:r>
    </w:p>
    <w:p w14:paraId="41FE9881" w14:textId="3690F52D" w:rsidR="00D5204E" w:rsidRPr="00640C71" w:rsidRDefault="00D5204E" w:rsidP="00D706F7">
      <w:pPr>
        <w:spacing w:line="360" w:lineRule="auto"/>
        <w:jc w:val="center"/>
        <w:rPr>
          <w:rFonts w:ascii="Arial" w:hAnsi="Arial" w:cs="Arial"/>
          <w:sz w:val="24"/>
        </w:rPr>
      </w:pPr>
      <w:r w:rsidRPr="00640C71">
        <w:rPr>
          <w:rFonts w:ascii="Arial" w:hAnsi="Arial" w:cs="Arial"/>
          <w:sz w:val="24"/>
        </w:rPr>
        <w:t>(Source: Zugay, 2023)</w:t>
      </w:r>
    </w:p>
    <w:p w14:paraId="0931B2F0" w14:textId="5C446FF2" w:rsidR="00E835BC" w:rsidRPr="00640C71" w:rsidRDefault="00032954" w:rsidP="00032954">
      <w:pPr>
        <w:pStyle w:val="Heading3"/>
        <w:rPr>
          <w:rFonts w:ascii="Arial" w:hAnsi="Arial" w:cs="Arial"/>
        </w:rPr>
      </w:pPr>
      <w:bookmarkStart w:id="7" w:name="_Toc241401298"/>
      <w:r w:rsidRPr="00640C71">
        <w:rPr>
          <w:rFonts w:ascii="Arial" w:hAnsi="Arial" w:cs="Arial"/>
        </w:rPr>
        <w:t xml:space="preserve">2.2.1 </w:t>
      </w:r>
      <w:r w:rsidR="00EC4F6D" w:rsidRPr="00640C71">
        <w:rPr>
          <w:rFonts w:ascii="Arial" w:hAnsi="Arial" w:cs="Arial"/>
        </w:rPr>
        <w:t>Market penetration for existing products</w:t>
      </w:r>
      <w:r w:rsidR="00A52CDE" w:rsidRPr="00640C71">
        <w:rPr>
          <w:rFonts w:ascii="Arial" w:hAnsi="Arial" w:cs="Arial"/>
        </w:rPr>
        <w:t xml:space="preserve"> in existing market</w:t>
      </w:r>
      <w:bookmarkEnd w:id="7"/>
    </w:p>
    <w:p w14:paraId="34EB90E3" w14:textId="00709E7E" w:rsidR="00EC4F6D" w:rsidRPr="00640C71" w:rsidRDefault="00A52CDE" w:rsidP="00EC4F6D">
      <w:pPr>
        <w:spacing w:line="360" w:lineRule="auto"/>
        <w:jc w:val="both"/>
        <w:rPr>
          <w:rFonts w:ascii="Arial" w:hAnsi="Arial" w:cs="Arial"/>
          <w:sz w:val="24"/>
        </w:rPr>
      </w:pPr>
      <w:r w:rsidRPr="00640C71">
        <w:rPr>
          <w:rFonts w:ascii="Arial" w:hAnsi="Arial" w:cs="Arial"/>
          <w:sz w:val="24"/>
        </w:rPr>
        <w:t>Market penetration element in Ansoff matrix stands for understanding organisation strategy to enter and capture a market. In case of BHP, existing market control is more important than expanding to a new market considering company’s long term loyalty and reliability. In Australia and established markets BHP needs to aim for core commodities and existing product offering like Iron Ore and Met Coal</w:t>
      </w:r>
      <w:r w:rsidR="00D3015A" w:rsidRPr="00640C71">
        <w:rPr>
          <w:rFonts w:ascii="Arial" w:hAnsi="Arial" w:cs="Arial"/>
          <w:sz w:val="24"/>
        </w:rPr>
        <w:t xml:space="preserve"> (IEEFA, 2026)</w:t>
      </w:r>
      <w:r w:rsidRPr="00640C71">
        <w:rPr>
          <w:rFonts w:ascii="Arial" w:hAnsi="Arial" w:cs="Arial"/>
          <w:sz w:val="24"/>
        </w:rPr>
        <w:t xml:space="preserve">. Therefore, market penetration in existing market solely relies on the product cost reduction maintaining a lower carbon emission. </w:t>
      </w:r>
    </w:p>
    <w:p w14:paraId="0BE2114A" w14:textId="0F4E9391" w:rsidR="006543B7" w:rsidRPr="00640C71" w:rsidRDefault="00032954" w:rsidP="00032954">
      <w:pPr>
        <w:pStyle w:val="Heading3"/>
        <w:rPr>
          <w:rFonts w:ascii="Arial" w:hAnsi="Arial" w:cs="Arial"/>
        </w:rPr>
      </w:pPr>
      <w:bookmarkStart w:id="8" w:name="_Toc241401299"/>
      <w:r w:rsidRPr="00640C71">
        <w:rPr>
          <w:rFonts w:ascii="Arial" w:hAnsi="Arial" w:cs="Arial"/>
        </w:rPr>
        <w:t xml:space="preserve">2.2.2 </w:t>
      </w:r>
      <w:r w:rsidR="006543B7" w:rsidRPr="00640C71">
        <w:rPr>
          <w:rFonts w:ascii="Arial" w:hAnsi="Arial" w:cs="Arial"/>
        </w:rPr>
        <w:t>Product Development</w:t>
      </w:r>
      <w:bookmarkEnd w:id="8"/>
    </w:p>
    <w:p w14:paraId="001EDCA6" w14:textId="77777777" w:rsidR="000C6425" w:rsidRPr="00640C71" w:rsidRDefault="005D6EB1" w:rsidP="006543B7">
      <w:pPr>
        <w:spacing w:line="360" w:lineRule="auto"/>
        <w:jc w:val="both"/>
        <w:rPr>
          <w:rFonts w:ascii="Arial" w:hAnsi="Arial" w:cs="Arial"/>
          <w:sz w:val="24"/>
        </w:rPr>
      </w:pPr>
      <w:r w:rsidRPr="00640C71">
        <w:rPr>
          <w:rFonts w:ascii="Arial" w:hAnsi="Arial" w:cs="Arial"/>
          <w:sz w:val="24"/>
        </w:rPr>
        <w:t xml:space="preserve">BHP needs to modify existing portfolio to retain existing customer, who consider sustainable choices through re-engineering </w:t>
      </w:r>
      <w:r w:rsidR="002E7981" w:rsidRPr="00640C71">
        <w:rPr>
          <w:rFonts w:ascii="Arial" w:hAnsi="Arial" w:cs="Arial"/>
          <w:sz w:val="24"/>
        </w:rPr>
        <w:t xml:space="preserve">raw materials for green operation. </w:t>
      </w:r>
    </w:p>
    <w:p w14:paraId="0D3650C5" w14:textId="5C99D6A2" w:rsidR="000C6425" w:rsidRPr="00640C71" w:rsidRDefault="000C6425" w:rsidP="000C6425">
      <w:pPr>
        <w:spacing w:line="360" w:lineRule="auto"/>
        <w:jc w:val="center"/>
        <w:rPr>
          <w:rFonts w:ascii="Arial" w:hAnsi="Arial" w:cs="Arial"/>
          <w:sz w:val="24"/>
        </w:rPr>
      </w:pPr>
      <w:r w:rsidRPr="00640C71">
        <w:rPr>
          <w:rFonts w:ascii="Arial" w:hAnsi="Arial" w:cs="Arial"/>
          <w:noProof/>
          <w:sz w:val="24"/>
          <w:lang w:eastAsia="en-IN"/>
        </w:rPr>
        <w:drawing>
          <wp:inline distT="0" distB="0" distL="0" distR="0" wp14:anchorId="14CBD9AC" wp14:editId="7F0CDF9E">
            <wp:extent cx="5014395" cy="5395428"/>
            <wp:effectExtent l="19050" t="19050" r="15240" b="152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14395" cy="5395428"/>
                    </a:xfrm>
                    <a:prstGeom prst="rect">
                      <a:avLst/>
                    </a:prstGeom>
                    <a:ln>
                      <a:solidFill>
                        <a:schemeClr val="tx1"/>
                      </a:solidFill>
                    </a:ln>
                  </pic:spPr>
                </pic:pic>
              </a:graphicData>
            </a:graphic>
          </wp:inline>
        </w:drawing>
      </w:r>
    </w:p>
    <w:p w14:paraId="2BEBB64C" w14:textId="2C4CC9AB" w:rsidR="000C6425" w:rsidRPr="00640C71" w:rsidRDefault="000C6425" w:rsidP="000C6425">
      <w:pPr>
        <w:spacing w:line="360" w:lineRule="auto"/>
        <w:jc w:val="center"/>
        <w:rPr>
          <w:rFonts w:ascii="Arial" w:hAnsi="Arial" w:cs="Arial"/>
          <w:b/>
          <w:sz w:val="24"/>
        </w:rPr>
      </w:pPr>
      <w:r w:rsidRPr="00640C71">
        <w:rPr>
          <w:rFonts w:ascii="Arial" w:hAnsi="Arial" w:cs="Arial"/>
          <w:b/>
          <w:sz w:val="24"/>
        </w:rPr>
        <w:t>Figure</w:t>
      </w:r>
      <w:r w:rsidR="00462753" w:rsidRPr="00640C71">
        <w:rPr>
          <w:rFonts w:ascii="Arial" w:hAnsi="Arial" w:cs="Arial"/>
          <w:b/>
          <w:sz w:val="24"/>
        </w:rPr>
        <w:t xml:space="preserve"> 11</w:t>
      </w:r>
      <w:r w:rsidRPr="00640C71">
        <w:rPr>
          <w:rFonts w:ascii="Arial" w:hAnsi="Arial" w:cs="Arial"/>
          <w:b/>
          <w:sz w:val="24"/>
        </w:rPr>
        <w:t xml:space="preserve">: News Source confirming BHP and China </w:t>
      </w:r>
      <w:proofErr w:type="spellStart"/>
      <w:r w:rsidRPr="00640C71">
        <w:rPr>
          <w:rFonts w:ascii="Arial" w:hAnsi="Arial" w:cs="Arial"/>
          <w:b/>
          <w:sz w:val="24"/>
        </w:rPr>
        <w:t>Baowu</w:t>
      </w:r>
      <w:proofErr w:type="spellEnd"/>
      <w:r w:rsidRPr="00640C71">
        <w:rPr>
          <w:rFonts w:ascii="Arial" w:hAnsi="Arial" w:cs="Arial"/>
          <w:b/>
          <w:sz w:val="24"/>
        </w:rPr>
        <w:t xml:space="preserve"> collaboration</w:t>
      </w:r>
    </w:p>
    <w:p w14:paraId="40617374" w14:textId="0DDBB780" w:rsidR="000C6425" w:rsidRPr="00640C71" w:rsidRDefault="000C6425" w:rsidP="000C6425">
      <w:pPr>
        <w:spacing w:line="360" w:lineRule="auto"/>
        <w:jc w:val="center"/>
        <w:rPr>
          <w:rFonts w:ascii="Arial" w:hAnsi="Arial" w:cs="Arial"/>
          <w:sz w:val="24"/>
        </w:rPr>
      </w:pPr>
      <w:r w:rsidRPr="00640C71">
        <w:rPr>
          <w:rFonts w:ascii="Arial" w:hAnsi="Arial" w:cs="Arial"/>
          <w:sz w:val="24"/>
        </w:rPr>
        <w:t xml:space="preserve">(Source: </w:t>
      </w:r>
      <w:proofErr w:type="spellStart"/>
      <w:r w:rsidRPr="00640C71">
        <w:rPr>
          <w:rFonts w:ascii="Arial" w:hAnsi="Arial" w:cs="Arial"/>
          <w:sz w:val="24"/>
        </w:rPr>
        <w:t>SteelRadar</w:t>
      </w:r>
      <w:proofErr w:type="spellEnd"/>
      <w:r w:rsidRPr="00640C71">
        <w:rPr>
          <w:rFonts w:ascii="Arial" w:hAnsi="Arial" w:cs="Arial"/>
          <w:sz w:val="24"/>
        </w:rPr>
        <w:t>, 2026)</w:t>
      </w:r>
    </w:p>
    <w:p w14:paraId="0F69DAA2" w14:textId="3B036B40" w:rsidR="006543B7" w:rsidRPr="00640C71" w:rsidRDefault="002E7981" w:rsidP="006543B7">
      <w:pPr>
        <w:spacing w:line="360" w:lineRule="auto"/>
        <w:jc w:val="both"/>
        <w:rPr>
          <w:rFonts w:ascii="Arial" w:hAnsi="Arial" w:cs="Arial"/>
          <w:sz w:val="24"/>
        </w:rPr>
      </w:pPr>
      <w:r w:rsidRPr="00640C71">
        <w:rPr>
          <w:rFonts w:ascii="Arial" w:hAnsi="Arial" w:cs="Arial"/>
          <w:sz w:val="24"/>
        </w:rPr>
        <w:t xml:space="preserve">Traditional iron ore needs carbon-heavy blast furnace, which can be avoided through partnership with China </w:t>
      </w:r>
      <w:proofErr w:type="spellStart"/>
      <w:r w:rsidRPr="00640C71">
        <w:rPr>
          <w:rFonts w:ascii="Arial" w:hAnsi="Arial" w:cs="Arial"/>
          <w:sz w:val="24"/>
        </w:rPr>
        <w:t>Baowu</w:t>
      </w:r>
      <w:proofErr w:type="spellEnd"/>
      <w:r w:rsidRPr="00640C71">
        <w:rPr>
          <w:rFonts w:ascii="Arial" w:hAnsi="Arial" w:cs="Arial"/>
          <w:sz w:val="24"/>
        </w:rPr>
        <w:t xml:space="preserve"> and POSCO as for processing of Pilbara Iron through Direct Reduced Iron (DRI) and Electric Smelting Furnace (ESF) application</w:t>
      </w:r>
      <w:r w:rsidR="00D42A0C" w:rsidRPr="00640C71">
        <w:rPr>
          <w:rFonts w:ascii="Arial" w:hAnsi="Arial" w:cs="Arial"/>
          <w:sz w:val="24"/>
        </w:rPr>
        <w:t xml:space="preserve"> (</w:t>
      </w:r>
      <w:proofErr w:type="spellStart"/>
      <w:r w:rsidR="00D42A0C" w:rsidRPr="00640C71">
        <w:rPr>
          <w:rFonts w:ascii="Arial" w:hAnsi="Arial" w:cs="Arial"/>
          <w:sz w:val="24"/>
        </w:rPr>
        <w:t>BigGo</w:t>
      </w:r>
      <w:proofErr w:type="spellEnd"/>
      <w:r w:rsidR="00D42A0C" w:rsidRPr="00640C71">
        <w:rPr>
          <w:rFonts w:ascii="Arial" w:hAnsi="Arial" w:cs="Arial"/>
          <w:sz w:val="24"/>
        </w:rPr>
        <w:t xml:space="preserve"> Finance, 2026)</w:t>
      </w:r>
      <w:r w:rsidRPr="00640C71">
        <w:rPr>
          <w:rFonts w:ascii="Arial" w:hAnsi="Arial" w:cs="Arial"/>
          <w:sz w:val="24"/>
        </w:rPr>
        <w:t xml:space="preserve">. </w:t>
      </w:r>
    </w:p>
    <w:p w14:paraId="46530EA7" w14:textId="661C8788" w:rsidR="005D6EB1" w:rsidRPr="00640C71" w:rsidRDefault="00032954" w:rsidP="00032954">
      <w:pPr>
        <w:pStyle w:val="Heading3"/>
        <w:rPr>
          <w:rFonts w:ascii="Arial" w:hAnsi="Arial" w:cs="Arial"/>
        </w:rPr>
      </w:pPr>
      <w:bookmarkStart w:id="9" w:name="_Toc241401300"/>
      <w:r w:rsidRPr="00640C71">
        <w:rPr>
          <w:rFonts w:ascii="Arial" w:hAnsi="Arial" w:cs="Arial"/>
        </w:rPr>
        <w:t xml:space="preserve">2.2.3 </w:t>
      </w:r>
      <w:r w:rsidR="005D6EB1" w:rsidRPr="00640C71">
        <w:rPr>
          <w:rFonts w:ascii="Arial" w:hAnsi="Arial" w:cs="Arial"/>
        </w:rPr>
        <w:t>Market Development</w:t>
      </w:r>
      <w:bookmarkEnd w:id="9"/>
    </w:p>
    <w:p w14:paraId="0D69F370" w14:textId="77777777" w:rsidR="00090E1B" w:rsidRPr="00640C71" w:rsidRDefault="005D6EB1" w:rsidP="006543B7">
      <w:pPr>
        <w:spacing w:line="360" w:lineRule="auto"/>
        <w:jc w:val="both"/>
        <w:rPr>
          <w:rFonts w:ascii="Arial" w:hAnsi="Arial" w:cs="Arial"/>
          <w:sz w:val="24"/>
        </w:rPr>
      </w:pPr>
      <w:r w:rsidRPr="00640C71">
        <w:rPr>
          <w:rFonts w:ascii="Arial" w:hAnsi="Arial" w:cs="Arial"/>
          <w:sz w:val="24"/>
        </w:rPr>
        <w:t>Environment conscious buyers can be retained through decarbonisation of metal extraction process.  In FY26, BHP has demonstrated this attempt at Escondido mine for demonstration of BHP oper</w:t>
      </w:r>
      <w:r w:rsidR="00090E1B" w:rsidRPr="00640C71">
        <w:rPr>
          <w:rFonts w:ascii="Arial" w:hAnsi="Arial" w:cs="Arial"/>
          <w:sz w:val="24"/>
        </w:rPr>
        <w:t xml:space="preserve">ating system. </w:t>
      </w:r>
    </w:p>
    <w:p w14:paraId="61F33D7F" w14:textId="6F5FF1A1" w:rsidR="00090E1B" w:rsidRPr="00640C71" w:rsidRDefault="005C6495" w:rsidP="005C6495">
      <w:pPr>
        <w:spacing w:line="360" w:lineRule="auto"/>
        <w:jc w:val="center"/>
        <w:rPr>
          <w:rFonts w:ascii="Arial" w:hAnsi="Arial" w:cs="Arial"/>
          <w:sz w:val="24"/>
        </w:rPr>
      </w:pPr>
      <w:r w:rsidRPr="00640C71">
        <w:rPr>
          <w:rFonts w:ascii="Arial" w:hAnsi="Arial" w:cs="Arial"/>
          <w:noProof/>
          <w:sz w:val="24"/>
          <w:lang w:eastAsia="en-IN"/>
        </w:rPr>
        <w:drawing>
          <wp:inline distT="0" distB="0" distL="0" distR="0" wp14:anchorId="4EC59DE1" wp14:editId="6BB1A82B">
            <wp:extent cx="3566160" cy="4036648"/>
            <wp:effectExtent l="19050" t="19050" r="15240" b="215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70437" cy="4041489"/>
                    </a:xfrm>
                    <a:prstGeom prst="rect">
                      <a:avLst/>
                    </a:prstGeom>
                    <a:ln>
                      <a:solidFill>
                        <a:schemeClr val="tx1"/>
                      </a:solidFill>
                    </a:ln>
                  </pic:spPr>
                </pic:pic>
              </a:graphicData>
            </a:graphic>
          </wp:inline>
        </w:drawing>
      </w:r>
    </w:p>
    <w:p w14:paraId="198D75EE" w14:textId="53F5BAAE" w:rsidR="005C6495" w:rsidRPr="00640C71" w:rsidRDefault="005C6495" w:rsidP="005C6495">
      <w:pPr>
        <w:spacing w:line="360" w:lineRule="auto"/>
        <w:jc w:val="center"/>
        <w:rPr>
          <w:rFonts w:ascii="Arial" w:hAnsi="Arial" w:cs="Arial"/>
          <w:b/>
          <w:sz w:val="24"/>
        </w:rPr>
      </w:pPr>
      <w:r w:rsidRPr="00640C71">
        <w:rPr>
          <w:rFonts w:ascii="Arial" w:hAnsi="Arial" w:cs="Arial"/>
          <w:b/>
          <w:sz w:val="24"/>
        </w:rPr>
        <w:t>Figure</w:t>
      </w:r>
      <w:r w:rsidR="00462753" w:rsidRPr="00640C71">
        <w:rPr>
          <w:rFonts w:ascii="Arial" w:hAnsi="Arial" w:cs="Arial"/>
          <w:b/>
          <w:sz w:val="24"/>
        </w:rPr>
        <w:t xml:space="preserve"> 12</w:t>
      </w:r>
      <w:r w:rsidRPr="00640C71">
        <w:rPr>
          <w:rFonts w:ascii="Arial" w:hAnsi="Arial" w:cs="Arial"/>
          <w:b/>
          <w:sz w:val="24"/>
        </w:rPr>
        <w:t>: Underlying EBITDA rise of BHP over last 5 year</w:t>
      </w:r>
    </w:p>
    <w:p w14:paraId="1A4E16B0" w14:textId="325D84B0" w:rsidR="005C6495" w:rsidRPr="00640C71" w:rsidRDefault="005C6495" w:rsidP="005C6495">
      <w:pPr>
        <w:spacing w:line="360" w:lineRule="auto"/>
        <w:jc w:val="center"/>
        <w:rPr>
          <w:rFonts w:ascii="Arial" w:hAnsi="Arial" w:cs="Arial"/>
          <w:sz w:val="24"/>
        </w:rPr>
      </w:pPr>
      <w:r w:rsidRPr="00640C71">
        <w:rPr>
          <w:rFonts w:ascii="Arial" w:hAnsi="Arial" w:cs="Arial"/>
          <w:sz w:val="24"/>
        </w:rPr>
        <w:t>(Source: BHP, 2025)</w:t>
      </w:r>
    </w:p>
    <w:p w14:paraId="53FE50CD" w14:textId="4B487461" w:rsidR="005D6EB1" w:rsidRPr="00640C71" w:rsidRDefault="00090E1B" w:rsidP="006543B7">
      <w:pPr>
        <w:spacing w:line="360" w:lineRule="auto"/>
        <w:jc w:val="both"/>
        <w:rPr>
          <w:rFonts w:ascii="Arial" w:hAnsi="Arial" w:cs="Arial"/>
          <w:sz w:val="24"/>
        </w:rPr>
      </w:pPr>
      <w:r w:rsidRPr="00640C71">
        <w:rPr>
          <w:rFonts w:ascii="Arial" w:hAnsi="Arial" w:cs="Arial"/>
          <w:sz w:val="24"/>
        </w:rPr>
        <w:t>BHP noted underlying EBITDA of USD 32.9 billion</w:t>
      </w:r>
      <w:r w:rsidR="005D6EB1" w:rsidRPr="00640C71">
        <w:rPr>
          <w:rFonts w:ascii="Arial" w:hAnsi="Arial" w:cs="Arial"/>
          <w:sz w:val="24"/>
        </w:rPr>
        <w:t xml:space="preserve"> in FY 2026 which </w:t>
      </w:r>
      <w:r w:rsidRPr="00640C71">
        <w:rPr>
          <w:rFonts w:ascii="Arial" w:hAnsi="Arial" w:cs="Arial"/>
          <w:sz w:val="24"/>
        </w:rPr>
        <w:t>was USD 26 billion in 2025</w:t>
      </w:r>
      <w:r w:rsidR="005D6EB1" w:rsidRPr="00640C71">
        <w:rPr>
          <w:rFonts w:ascii="Arial" w:hAnsi="Arial" w:cs="Arial"/>
          <w:sz w:val="24"/>
        </w:rPr>
        <w:t xml:space="preserve">. </w:t>
      </w:r>
      <w:r w:rsidR="00B75A09" w:rsidRPr="00640C71">
        <w:rPr>
          <w:rFonts w:ascii="Arial" w:hAnsi="Arial" w:cs="Arial"/>
          <w:sz w:val="24"/>
        </w:rPr>
        <w:t>Global electrification effort has been shown by BHP to move towards lower-carbon economy through leveraging copper and nickel assets</w:t>
      </w:r>
      <w:r w:rsidR="00C96EB4" w:rsidRPr="00640C71">
        <w:rPr>
          <w:rFonts w:ascii="Arial" w:hAnsi="Arial" w:cs="Arial"/>
          <w:sz w:val="24"/>
        </w:rPr>
        <w:t xml:space="preserve"> (Investing.com, 2026)</w:t>
      </w:r>
      <w:r w:rsidR="00B75A09" w:rsidRPr="00640C71">
        <w:rPr>
          <w:rFonts w:ascii="Arial" w:hAnsi="Arial" w:cs="Arial"/>
          <w:sz w:val="24"/>
        </w:rPr>
        <w:t>.</w:t>
      </w:r>
    </w:p>
    <w:p w14:paraId="5E6EA0F6" w14:textId="4707C6AD" w:rsidR="005D6EB1" w:rsidRPr="00640C71" w:rsidRDefault="00032954" w:rsidP="00032954">
      <w:pPr>
        <w:pStyle w:val="Heading3"/>
        <w:rPr>
          <w:rFonts w:ascii="Arial" w:hAnsi="Arial" w:cs="Arial"/>
        </w:rPr>
      </w:pPr>
      <w:bookmarkStart w:id="10" w:name="_Toc241401301"/>
      <w:r w:rsidRPr="00640C71">
        <w:rPr>
          <w:rFonts w:ascii="Arial" w:hAnsi="Arial" w:cs="Arial"/>
        </w:rPr>
        <w:t xml:space="preserve">2.2.4 </w:t>
      </w:r>
      <w:r w:rsidR="005D6EB1" w:rsidRPr="00640C71">
        <w:rPr>
          <w:rFonts w:ascii="Arial" w:hAnsi="Arial" w:cs="Arial"/>
        </w:rPr>
        <w:t>Diversification</w:t>
      </w:r>
      <w:bookmarkEnd w:id="10"/>
    </w:p>
    <w:p w14:paraId="07F95027" w14:textId="7D322B80" w:rsidR="00C96EB4" w:rsidRPr="00640C71" w:rsidRDefault="00430106" w:rsidP="006543B7">
      <w:pPr>
        <w:spacing w:line="360" w:lineRule="auto"/>
        <w:jc w:val="both"/>
        <w:rPr>
          <w:rFonts w:ascii="Arial" w:hAnsi="Arial" w:cs="Arial"/>
          <w:sz w:val="24"/>
        </w:rPr>
      </w:pPr>
      <w:r w:rsidRPr="00640C71">
        <w:rPr>
          <w:rFonts w:ascii="Arial" w:hAnsi="Arial" w:cs="Arial"/>
          <w:sz w:val="24"/>
        </w:rPr>
        <w:t xml:space="preserve">BHP invested significant capital of US 7 billion aiming for production in mid-2027 for potash production and encouraging green farming (NS Energy, 2025; </w:t>
      </w:r>
      <w:proofErr w:type="spellStart"/>
      <w:r w:rsidRPr="00640C71">
        <w:rPr>
          <w:rFonts w:ascii="Arial" w:hAnsi="Arial" w:cs="Arial"/>
          <w:sz w:val="24"/>
        </w:rPr>
        <w:t>BigGo</w:t>
      </w:r>
      <w:proofErr w:type="spellEnd"/>
      <w:r w:rsidRPr="00640C71">
        <w:rPr>
          <w:rFonts w:ascii="Arial" w:hAnsi="Arial" w:cs="Arial"/>
          <w:sz w:val="24"/>
        </w:rPr>
        <w:t xml:space="preserve"> Finance, 2026). Therefore, BHP is currently trying for adoption of Differentiation strategy as this can help with alternative resource procurement. De-carbonisation and reduction of operational footprint as seen from above analysis needs a </w:t>
      </w:r>
      <w:r w:rsidR="00333048" w:rsidRPr="00640C71">
        <w:rPr>
          <w:rFonts w:ascii="Arial" w:hAnsi="Arial" w:cs="Arial"/>
          <w:sz w:val="24"/>
        </w:rPr>
        <w:t>diversification</w:t>
      </w:r>
      <w:r w:rsidRPr="00640C71">
        <w:rPr>
          <w:rFonts w:ascii="Arial" w:hAnsi="Arial" w:cs="Arial"/>
          <w:sz w:val="24"/>
        </w:rPr>
        <w:t xml:space="preserve"> approach for ‘Lower-carbon’ products or ‘Green portfolio’.</w:t>
      </w:r>
    </w:p>
    <w:p w14:paraId="05A0EDF5" w14:textId="77777777" w:rsidR="00C96EB4" w:rsidRPr="00640C71" w:rsidRDefault="00C96EB4">
      <w:pPr>
        <w:rPr>
          <w:rFonts w:ascii="Arial" w:hAnsi="Arial" w:cs="Arial"/>
          <w:sz w:val="24"/>
        </w:rPr>
      </w:pPr>
      <w:r w:rsidRPr="00640C71">
        <w:rPr>
          <w:rFonts w:ascii="Arial" w:hAnsi="Arial" w:cs="Arial"/>
          <w:sz w:val="24"/>
        </w:rPr>
        <w:br w:type="page"/>
      </w:r>
    </w:p>
    <w:p w14:paraId="2121E1CB" w14:textId="77777777" w:rsidR="00C96EB4" w:rsidRPr="00640C71" w:rsidRDefault="00C96EB4" w:rsidP="00032954">
      <w:pPr>
        <w:pStyle w:val="Heading1"/>
        <w:rPr>
          <w:rFonts w:ascii="Arial" w:hAnsi="Arial" w:cs="Arial"/>
          <w:lang w:eastAsia="en-IN"/>
        </w:rPr>
      </w:pPr>
      <w:bookmarkStart w:id="11" w:name="_Toc241401302"/>
      <w:r w:rsidRPr="00640C71">
        <w:rPr>
          <w:rFonts w:ascii="Arial" w:hAnsi="Arial" w:cs="Arial"/>
          <w:lang w:eastAsia="en-IN"/>
        </w:rPr>
        <w:t>Task 3: Managerial and Professional Reflection</w:t>
      </w:r>
      <w:bookmarkEnd w:id="11"/>
    </w:p>
    <w:p w14:paraId="161610D9" w14:textId="383AFBB5" w:rsidR="00D706F7" w:rsidRPr="00640C71" w:rsidRDefault="002A0D70" w:rsidP="00032954">
      <w:pPr>
        <w:pStyle w:val="Heading2"/>
        <w:rPr>
          <w:rFonts w:ascii="Arial" w:hAnsi="Arial" w:cs="Arial"/>
        </w:rPr>
      </w:pPr>
      <w:bookmarkStart w:id="12" w:name="_Toc241401303"/>
      <w:r w:rsidRPr="00640C71">
        <w:rPr>
          <w:rFonts w:ascii="Arial" w:hAnsi="Arial" w:cs="Arial"/>
        </w:rPr>
        <w:t xml:space="preserve">3.1 </w:t>
      </w:r>
      <w:r w:rsidR="00D706F7" w:rsidRPr="00640C71">
        <w:rPr>
          <w:rFonts w:ascii="Arial" w:hAnsi="Arial" w:cs="Arial"/>
        </w:rPr>
        <w:t xml:space="preserve">Key decisions </w:t>
      </w:r>
      <w:r w:rsidRPr="00640C71">
        <w:rPr>
          <w:rFonts w:ascii="Arial" w:hAnsi="Arial" w:cs="Arial"/>
        </w:rPr>
        <w:t>made in the report</w:t>
      </w:r>
      <w:bookmarkEnd w:id="12"/>
    </w:p>
    <w:p w14:paraId="7A0F00E2" w14:textId="70AD7D78" w:rsidR="00A87886" w:rsidRPr="00640C71" w:rsidRDefault="00A87886" w:rsidP="00D706F7">
      <w:pPr>
        <w:spacing w:line="360" w:lineRule="auto"/>
        <w:jc w:val="both"/>
        <w:rPr>
          <w:rFonts w:ascii="Arial" w:hAnsi="Arial" w:cs="Arial"/>
          <w:sz w:val="24"/>
        </w:rPr>
      </w:pPr>
      <w:r w:rsidRPr="00640C71">
        <w:rPr>
          <w:rFonts w:ascii="Arial" w:hAnsi="Arial" w:cs="Arial"/>
          <w:sz w:val="24"/>
        </w:rPr>
        <w:t xml:space="preserve">In this marketing </w:t>
      </w:r>
      <w:r w:rsidR="00F22BFC" w:rsidRPr="00640C71">
        <w:rPr>
          <w:rFonts w:ascii="Arial" w:hAnsi="Arial" w:cs="Arial"/>
          <w:sz w:val="24"/>
        </w:rPr>
        <w:t>consultancy</w:t>
      </w:r>
      <w:r w:rsidRPr="00640C71">
        <w:rPr>
          <w:rFonts w:ascii="Arial" w:hAnsi="Arial" w:cs="Arial"/>
          <w:sz w:val="24"/>
        </w:rPr>
        <w:t xml:space="preserve"> report, BHP</w:t>
      </w:r>
      <w:r w:rsidR="00F22BFC" w:rsidRPr="00640C71">
        <w:rPr>
          <w:rFonts w:ascii="Arial" w:hAnsi="Arial" w:cs="Arial"/>
          <w:sz w:val="24"/>
        </w:rPr>
        <w:t xml:space="preserve"> Company has been selected</w:t>
      </w:r>
      <w:r w:rsidRPr="00640C71">
        <w:rPr>
          <w:rFonts w:ascii="Arial" w:hAnsi="Arial" w:cs="Arial"/>
          <w:sz w:val="24"/>
        </w:rPr>
        <w:t xml:space="preserve"> to restructure and </w:t>
      </w:r>
      <w:r w:rsidR="00F22BFC" w:rsidRPr="00640C71">
        <w:rPr>
          <w:rFonts w:ascii="Arial" w:hAnsi="Arial" w:cs="Arial"/>
          <w:sz w:val="24"/>
        </w:rPr>
        <w:t>adopt a carbon neutral model for survival.</w:t>
      </w:r>
      <w:r w:rsidR="00726E39" w:rsidRPr="00640C71">
        <w:rPr>
          <w:rFonts w:ascii="Arial" w:hAnsi="Arial" w:cs="Arial"/>
          <w:sz w:val="24"/>
        </w:rPr>
        <w:t xml:space="preserve"> </w:t>
      </w:r>
      <w:r w:rsidR="003A319E" w:rsidRPr="00640C71">
        <w:rPr>
          <w:rFonts w:ascii="Arial" w:hAnsi="Arial" w:cs="Arial"/>
          <w:sz w:val="24"/>
        </w:rPr>
        <w:t>Natural, Political-legal and Customer actors</w:t>
      </w:r>
      <w:r w:rsidR="00106938" w:rsidRPr="00640C71">
        <w:rPr>
          <w:rFonts w:ascii="Arial" w:hAnsi="Arial" w:cs="Arial"/>
          <w:sz w:val="24"/>
        </w:rPr>
        <w:t xml:space="preserve"> have been discussed by me to understand current ecological pressures on BHP. I have put emphasis on the Natural Environment as physical environmental risk and resource scarcity are most crucial challenge for BHP</w:t>
      </w:r>
      <w:r w:rsidR="00D3015A" w:rsidRPr="00640C71">
        <w:rPr>
          <w:rFonts w:ascii="Arial" w:hAnsi="Arial" w:cs="Arial"/>
          <w:sz w:val="24"/>
        </w:rPr>
        <w:t xml:space="preserve"> (BHP, 2025)</w:t>
      </w:r>
      <w:r w:rsidR="00106938" w:rsidRPr="00640C71">
        <w:rPr>
          <w:rFonts w:ascii="Arial" w:hAnsi="Arial" w:cs="Arial"/>
          <w:sz w:val="24"/>
        </w:rPr>
        <w:t xml:space="preserve">. </w:t>
      </w:r>
      <w:r w:rsidR="00407FB0" w:rsidRPr="00640C71">
        <w:rPr>
          <w:rFonts w:ascii="Arial" w:hAnsi="Arial" w:cs="Arial"/>
          <w:sz w:val="24"/>
        </w:rPr>
        <w:t xml:space="preserve">Secondly I selected Political-Legal environment, which show Australian Regulatory pressures on Metal and mining companies as well as policy changes suggested recently to safeguard carbon emission through operational mandates. Replacement of old Environmental Protection and Biodiversity Conservation Act has been controversial as per large companies as this can create approval delays and economic pressure. Lastly, customer actors have been selected by me to demonstrate commercial manifestation of macro-environmental forces. </w:t>
      </w:r>
      <w:r w:rsidR="00B47844" w:rsidRPr="00640C71">
        <w:rPr>
          <w:rFonts w:ascii="Arial" w:hAnsi="Arial" w:cs="Arial"/>
          <w:sz w:val="24"/>
        </w:rPr>
        <w:t xml:space="preserve">Potential partnerships with downstream clients like China </w:t>
      </w:r>
      <w:proofErr w:type="spellStart"/>
      <w:r w:rsidR="00B47844" w:rsidRPr="00640C71">
        <w:rPr>
          <w:rFonts w:ascii="Arial" w:hAnsi="Arial" w:cs="Arial"/>
          <w:sz w:val="24"/>
        </w:rPr>
        <w:t>Baowu</w:t>
      </w:r>
      <w:proofErr w:type="spellEnd"/>
      <w:r w:rsidR="00B47844" w:rsidRPr="00640C71">
        <w:rPr>
          <w:rFonts w:ascii="Arial" w:hAnsi="Arial" w:cs="Arial"/>
          <w:sz w:val="24"/>
        </w:rPr>
        <w:t xml:space="preserve"> needed sustainable alternatives rather than old business process of procuring raw materials</w:t>
      </w:r>
      <w:r w:rsidR="00D3015A" w:rsidRPr="00640C71">
        <w:rPr>
          <w:rFonts w:ascii="Arial" w:hAnsi="Arial" w:cs="Arial"/>
          <w:sz w:val="24"/>
        </w:rPr>
        <w:t xml:space="preserve"> (Jackson et al. 2026)</w:t>
      </w:r>
      <w:r w:rsidR="00B47844" w:rsidRPr="00640C71">
        <w:rPr>
          <w:rFonts w:ascii="Arial" w:hAnsi="Arial" w:cs="Arial"/>
          <w:sz w:val="24"/>
        </w:rPr>
        <w:t xml:space="preserve">. </w:t>
      </w:r>
    </w:p>
    <w:p w14:paraId="5155EB7A" w14:textId="226110E1" w:rsidR="002A0D70" w:rsidRPr="00640C71" w:rsidRDefault="002A0D70" w:rsidP="00032954">
      <w:pPr>
        <w:pStyle w:val="Heading2"/>
        <w:rPr>
          <w:rFonts w:ascii="Arial" w:hAnsi="Arial" w:cs="Arial"/>
        </w:rPr>
      </w:pPr>
      <w:bookmarkStart w:id="13" w:name="_Toc241401304"/>
      <w:r w:rsidRPr="00640C71">
        <w:rPr>
          <w:rFonts w:ascii="Arial" w:hAnsi="Arial" w:cs="Arial"/>
        </w:rPr>
        <w:t>3.2 Choice of environmental actors and growth strategies</w:t>
      </w:r>
      <w:bookmarkEnd w:id="13"/>
    </w:p>
    <w:p w14:paraId="0D84CA58" w14:textId="295603AB" w:rsidR="00B47844" w:rsidRPr="00640C71" w:rsidRDefault="00F22BFC" w:rsidP="00D706F7">
      <w:pPr>
        <w:spacing w:line="360" w:lineRule="auto"/>
        <w:jc w:val="both"/>
        <w:rPr>
          <w:rFonts w:ascii="Arial" w:hAnsi="Arial" w:cs="Arial"/>
          <w:sz w:val="24"/>
        </w:rPr>
      </w:pPr>
      <w:r w:rsidRPr="00640C71">
        <w:rPr>
          <w:rFonts w:ascii="Arial" w:hAnsi="Arial" w:cs="Arial"/>
          <w:sz w:val="24"/>
        </w:rPr>
        <w:t xml:space="preserve">In this case, I have selected BHP as </w:t>
      </w:r>
      <w:r w:rsidR="0069157A" w:rsidRPr="00640C71">
        <w:rPr>
          <w:rFonts w:ascii="Arial" w:hAnsi="Arial" w:cs="Arial"/>
          <w:sz w:val="24"/>
        </w:rPr>
        <w:t xml:space="preserve">a multinational entity undergoing strategic shift </w:t>
      </w:r>
      <w:r w:rsidR="0084776D" w:rsidRPr="00640C71">
        <w:rPr>
          <w:rFonts w:ascii="Arial" w:hAnsi="Arial" w:cs="Arial"/>
          <w:sz w:val="24"/>
        </w:rPr>
        <w:t xml:space="preserve">is crucial for organisational change noticed through strategic decisions and it </w:t>
      </w:r>
      <w:r w:rsidR="0069157A" w:rsidRPr="00640C71">
        <w:rPr>
          <w:rFonts w:ascii="Arial" w:hAnsi="Arial" w:cs="Arial"/>
          <w:sz w:val="24"/>
        </w:rPr>
        <w:t>can</w:t>
      </w:r>
      <w:r w:rsidRPr="00640C71">
        <w:rPr>
          <w:rFonts w:ascii="Arial" w:hAnsi="Arial" w:cs="Arial"/>
          <w:sz w:val="24"/>
        </w:rPr>
        <w:t xml:space="preserve"> alig</w:t>
      </w:r>
      <w:r w:rsidR="0069157A" w:rsidRPr="00640C71">
        <w:rPr>
          <w:rFonts w:ascii="Arial" w:hAnsi="Arial" w:cs="Arial"/>
          <w:sz w:val="24"/>
        </w:rPr>
        <w:t>n with</w:t>
      </w:r>
      <w:r w:rsidR="0084776D" w:rsidRPr="00640C71">
        <w:rPr>
          <w:rFonts w:ascii="Arial" w:hAnsi="Arial" w:cs="Arial"/>
          <w:sz w:val="24"/>
        </w:rPr>
        <w:t xml:space="preserve"> planned</w:t>
      </w:r>
      <w:r w:rsidR="0069157A" w:rsidRPr="00640C71">
        <w:rPr>
          <w:rFonts w:ascii="Arial" w:hAnsi="Arial" w:cs="Arial"/>
          <w:sz w:val="24"/>
        </w:rPr>
        <w:t xml:space="preserve"> sustainability objectives</w:t>
      </w:r>
      <w:r w:rsidRPr="00640C71">
        <w:rPr>
          <w:rFonts w:ascii="Arial" w:hAnsi="Arial" w:cs="Arial"/>
          <w:sz w:val="24"/>
        </w:rPr>
        <w:t xml:space="preserve">. Through detailed analysis of BHP’s environment friendly approach and sustainable choices, </w:t>
      </w:r>
      <w:r w:rsidR="0084776D" w:rsidRPr="00640C71">
        <w:rPr>
          <w:rFonts w:ascii="Arial" w:hAnsi="Arial" w:cs="Arial"/>
          <w:sz w:val="24"/>
        </w:rPr>
        <w:t>it is evident that BHP</w:t>
      </w:r>
      <w:r w:rsidRPr="00640C71">
        <w:rPr>
          <w:rFonts w:ascii="Arial" w:hAnsi="Arial" w:cs="Arial"/>
          <w:sz w:val="24"/>
        </w:rPr>
        <w:t xml:space="preserve"> has ma</w:t>
      </w:r>
      <w:r w:rsidR="00F01C7F" w:rsidRPr="00640C71">
        <w:rPr>
          <w:rFonts w:ascii="Arial" w:hAnsi="Arial" w:cs="Arial"/>
          <w:sz w:val="24"/>
        </w:rPr>
        <w:t>naged to adopt to a decarbonisation</w:t>
      </w:r>
      <w:r w:rsidRPr="00640C71">
        <w:rPr>
          <w:rFonts w:ascii="Arial" w:hAnsi="Arial" w:cs="Arial"/>
          <w:sz w:val="24"/>
        </w:rPr>
        <w:t xml:space="preserve"> </w:t>
      </w:r>
      <w:r w:rsidR="00F01C7F" w:rsidRPr="00640C71">
        <w:rPr>
          <w:rFonts w:ascii="Arial" w:hAnsi="Arial" w:cs="Arial"/>
          <w:sz w:val="24"/>
        </w:rPr>
        <w:t>init</w:t>
      </w:r>
      <w:r w:rsidR="00ED008F" w:rsidRPr="00640C71">
        <w:rPr>
          <w:rFonts w:ascii="Arial" w:hAnsi="Arial" w:cs="Arial"/>
          <w:sz w:val="24"/>
        </w:rPr>
        <w:t>iative (Skarn, 2024)</w:t>
      </w:r>
      <w:r w:rsidRPr="00640C71">
        <w:rPr>
          <w:rFonts w:ascii="Arial" w:hAnsi="Arial" w:cs="Arial"/>
          <w:sz w:val="24"/>
        </w:rPr>
        <w:t>. BHP’</w:t>
      </w:r>
      <w:r w:rsidR="00B47844" w:rsidRPr="00640C71">
        <w:rPr>
          <w:rFonts w:ascii="Arial" w:hAnsi="Arial" w:cs="Arial"/>
          <w:sz w:val="24"/>
        </w:rPr>
        <w:t>s traditional extraction and downstream process remains highly carbon intensive. During marketing environment analysis, three dimensions have been identified, which has the potential to change current sustainability mechanism of BHP.</w:t>
      </w:r>
      <w:r w:rsidRPr="00640C71">
        <w:rPr>
          <w:rFonts w:ascii="Arial" w:hAnsi="Arial" w:cs="Arial"/>
          <w:sz w:val="24"/>
        </w:rPr>
        <w:t xml:space="preserve"> </w:t>
      </w:r>
      <w:r w:rsidR="00B47844" w:rsidRPr="00640C71">
        <w:rPr>
          <w:rFonts w:ascii="Arial" w:hAnsi="Arial" w:cs="Arial"/>
          <w:sz w:val="24"/>
        </w:rPr>
        <w:t xml:space="preserve">I have used Porter’s Generic strategy for identification of company’s strategic change in the path of becoming sustainable. I have also used Ansoff Matrix to carve feasible strategic path for BHP through radical diversification and rather than aggressive new market development. </w:t>
      </w:r>
    </w:p>
    <w:p w14:paraId="0F4E5D3B" w14:textId="72E4D753" w:rsidR="002A0D70" w:rsidRPr="00640C71" w:rsidRDefault="002A0D70" w:rsidP="00032954">
      <w:pPr>
        <w:pStyle w:val="Heading2"/>
        <w:rPr>
          <w:rFonts w:ascii="Arial" w:hAnsi="Arial" w:cs="Arial"/>
        </w:rPr>
      </w:pPr>
      <w:bookmarkStart w:id="14" w:name="_Toc241401305"/>
      <w:r w:rsidRPr="00640C71">
        <w:rPr>
          <w:rFonts w:ascii="Arial" w:hAnsi="Arial" w:cs="Arial"/>
        </w:rPr>
        <w:t xml:space="preserve">3.3 Limitation, gap and </w:t>
      </w:r>
      <w:r w:rsidR="00F77856" w:rsidRPr="00640C71">
        <w:rPr>
          <w:rFonts w:ascii="Arial" w:hAnsi="Arial" w:cs="Arial"/>
        </w:rPr>
        <w:t>viewpoint of management consultant</w:t>
      </w:r>
      <w:bookmarkEnd w:id="14"/>
    </w:p>
    <w:p w14:paraId="1068FB42" w14:textId="68CFF942" w:rsidR="0017511D" w:rsidRPr="00640C71" w:rsidRDefault="00DF5FA2" w:rsidP="00D706F7">
      <w:pPr>
        <w:spacing w:line="360" w:lineRule="auto"/>
        <w:jc w:val="both"/>
        <w:rPr>
          <w:rFonts w:ascii="Arial" w:hAnsi="Arial" w:cs="Arial"/>
          <w:sz w:val="24"/>
        </w:rPr>
      </w:pPr>
      <w:r w:rsidRPr="00640C71">
        <w:rPr>
          <w:rFonts w:ascii="Arial" w:hAnsi="Arial" w:cs="Arial"/>
          <w:sz w:val="24"/>
        </w:rPr>
        <w:t xml:space="preserve">One of the main limitations of my analysis is to rely upon secondary data sources rather than direct access to organisation strategy, which is note directly available for large MNCs like BHP. External observation of this report can reveal limitations like </w:t>
      </w:r>
      <w:r w:rsidR="00386567" w:rsidRPr="00640C71">
        <w:rPr>
          <w:rFonts w:ascii="Arial" w:hAnsi="Arial" w:cs="Arial"/>
          <w:sz w:val="24"/>
        </w:rPr>
        <w:t>information bias through selecting successful initiatives only rather than analysis of failed attempt also. BHP published corporate reports, ESG disclosure, newspaper articles can only provide information asymmetry</w:t>
      </w:r>
      <w:r w:rsidR="00447F2F" w:rsidRPr="00640C71">
        <w:rPr>
          <w:rFonts w:ascii="Arial" w:hAnsi="Arial" w:cs="Arial"/>
          <w:sz w:val="24"/>
        </w:rPr>
        <w:t xml:space="preserve"> (BHP, 2026)</w:t>
      </w:r>
      <w:r w:rsidR="00386567" w:rsidRPr="00640C71">
        <w:rPr>
          <w:rFonts w:ascii="Arial" w:hAnsi="Arial" w:cs="Arial"/>
          <w:sz w:val="24"/>
        </w:rPr>
        <w:t xml:space="preserve">. </w:t>
      </w:r>
      <w:r w:rsidR="0064165D" w:rsidRPr="00640C71">
        <w:rPr>
          <w:rFonts w:ascii="Arial" w:hAnsi="Arial" w:cs="Arial"/>
          <w:sz w:val="24"/>
        </w:rPr>
        <w:t>Additi</w:t>
      </w:r>
      <w:r w:rsidR="00474DE4" w:rsidRPr="00640C71">
        <w:rPr>
          <w:rFonts w:ascii="Arial" w:hAnsi="Arial" w:cs="Arial"/>
          <w:sz w:val="24"/>
        </w:rPr>
        <w:t xml:space="preserve">onally, </w:t>
      </w:r>
      <w:r w:rsidR="0064165D" w:rsidRPr="00640C71">
        <w:rPr>
          <w:rFonts w:ascii="Arial" w:hAnsi="Arial" w:cs="Arial"/>
          <w:sz w:val="24"/>
        </w:rPr>
        <w:t>Ansoff matrix required geopolitical risk assessment</w:t>
      </w:r>
      <w:r w:rsidR="00474DE4" w:rsidRPr="00640C71">
        <w:rPr>
          <w:rFonts w:ascii="Arial" w:hAnsi="Arial" w:cs="Arial"/>
          <w:sz w:val="24"/>
        </w:rPr>
        <w:t xml:space="preserve">, which has not been done in this report to simplify strategic choices rather </w:t>
      </w:r>
      <w:r w:rsidR="002C732A" w:rsidRPr="00640C71">
        <w:rPr>
          <w:rFonts w:ascii="Arial" w:hAnsi="Arial" w:cs="Arial"/>
          <w:sz w:val="24"/>
        </w:rPr>
        <w:t>than Risk identification.</w:t>
      </w:r>
      <w:r w:rsidR="00631A76" w:rsidRPr="00640C71">
        <w:rPr>
          <w:rFonts w:ascii="Arial" w:hAnsi="Arial" w:cs="Arial"/>
          <w:sz w:val="24"/>
        </w:rPr>
        <w:t xml:space="preserve"> Lastly, proper acknowledgement and learning according to </w:t>
      </w:r>
      <w:r w:rsidR="00C550E9" w:rsidRPr="00640C71">
        <w:rPr>
          <w:rFonts w:ascii="Arial" w:hAnsi="Arial" w:cs="Arial"/>
          <w:sz w:val="24"/>
        </w:rPr>
        <w:t>foreign p</w:t>
      </w:r>
      <w:r w:rsidR="00D2509C" w:rsidRPr="00640C71">
        <w:rPr>
          <w:rFonts w:ascii="Arial" w:hAnsi="Arial" w:cs="Arial"/>
          <w:sz w:val="24"/>
        </w:rPr>
        <w:t>olicies is most appropriate.</w:t>
      </w:r>
    </w:p>
    <w:p w14:paraId="405114F2" w14:textId="6427549D" w:rsidR="00032954" w:rsidRPr="00640C71" w:rsidRDefault="00F77856" w:rsidP="00D706F7">
      <w:pPr>
        <w:spacing w:line="360" w:lineRule="auto"/>
        <w:jc w:val="both"/>
        <w:rPr>
          <w:rFonts w:ascii="Arial" w:hAnsi="Arial" w:cs="Arial"/>
          <w:sz w:val="24"/>
        </w:rPr>
      </w:pPr>
      <w:r w:rsidRPr="00640C71">
        <w:rPr>
          <w:rFonts w:ascii="Arial" w:hAnsi="Arial" w:cs="Arial"/>
          <w:sz w:val="24"/>
        </w:rPr>
        <w:t>From a management consultant perspective, it would have been more justified to access internal data from company and other proprietary to track real advancement towards sustainability initiatives. Assessment of financial viability of each investment and strategic plan is the primary responsibility</w:t>
      </w:r>
      <w:r w:rsidR="002231EA" w:rsidRPr="00640C71">
        <w:rPr>
          <w:rFonts w:ascii="Arial" w:hAnsi="Arial" w:cs="Arial"/>
          <w:sz w:val="24"/>
        </w:rPr>
        <w:t xml:space="preserve"> (Gutterman, 2023)</w:t>
      </w:r>
      <w:r w:rsidRPr="00640C71">
        <w:rPr>
          <w:rFonts w:ascii="Arial" w:hAnsi="Arial" w:cs="Arial"/>
          <w:sz w:val="24"/>
        </w:rPr>
        <w:t xml:space="preserve">. After calculation of Return on Investment on the entire electrification arrangement, it becomes mandatory to develop a simulation of scenario modelling, which helps understand reliability of the plan. Another important aspect of consultancy remains in measurement of organisation carbon emission to be matched with industry standards and competitors to ensure market leadership for BHP. </w:t>
      </w:r>
    </w:p>
    <w:p w14:paraId="1FE827CA" w14:textId="77777777" w:rsidR="00032954" w:rsidRPr="00640C71" w:rsidRDefault="00032954">
      <w:pPr>
        <w:rPr>
          <w:rFonts w:ascii="Arial" w:hAnsi="Arial" w:cs="Arial"/>
          <w:sz w:val="24"/>
        </w:rPr>
      </w:pPr>
      <w:r w:rsidRPr="00640C71">
        <w:rPr>
          <w:rFonts w:ascii="Arial" w:hAnsi="Arial" w:cs="Arial"/>
          <w:sz w:val="24"/>
        </w:rPr>
        <w:br w:type="page"/>
      </w:r>
    </w:p>
    <w:p w14:paraId="6ACA26ED" w14:textId="1C1E1CFA" w:rsidR="00F77856" w:rsidRPr="00640C71" w:rsidRDefault="00032954" w:rsidP="00032954">
      <w:pPr>
        <w:pStyle w:val="Heading1"/>
        <w:rPr>
          <w:rFonts w:ascii="Arial" w:hAnsi="Arial" w:cs="Arial"/>
        </w:rPr>
      </w:pPr>
      <w:bookmarkStart w:id="15" w:name="_Toc241401306"/>
      <w:r w:rsidRPr="00640C71">
        <w:rPr>
          <w:rFonts w:ascii="Arial" w:hAnsi="Arial" w:cs="Arial"/>
        </w:rPr>
        <w:t>Reference list</w:t>
      </w:r>
      <w:bookmarkEnd w:id="15"/>
    </w:p>
    <w:p w14:paraId="0257C444"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Ahmad, H., Yaqub, M. and Lee, S.H., 2024. Environmental-, social-, and governance-related factors for business investment and sustainability: A </w:t>
      </w:r>
      <w:proofErr w:type="spellStart"/>
      <w:r w:rsidRPr="00640C71">
        <w:rPr>
          <w:rFonts w:ascii="Arial" w:hAnsi="Arial" w:cs="Arial"/>
          <w:sz w:val="24"/>
          <w:szCs w:val="24"/>
        </w:rPr>
        <w:t>scientometric</w:t>
      </w:r>
      <w:proofErr w:type="spellEnd"/>
      <w:r w:rsidRPr="00640C71">
        <w:rPr>
          <w:rFonts w:ascii="Arial" w:hAnsi="Arial" w:cs="Arial"/>
          <w:sz w:val="24"/>
          <w:szCs w:val="24"/>
        </w:rPr>
        <w:t xml:space="preserve"> review of global trends. </w:t>
      </w:r>
      <w:r w:rsidRPr="00640C71">
        <w:rPr>
          <w:rFonts w:ascii="Arial" w:hAnsi="Arial" w:cs="Arial"/>
          <w:i/>
          <w:iCs/>
          <w:sz w:val="24"/>
          <w:szCs w:val="24"/>
        </w:rPr>
        <w:t>Environment, development and Sustainability</w:t>
      </w:r>
      <w:r w:rsidRPr="00640C71">
        <w:rPr>
          <w:rFonts w:ascii="Arial" w:hAnsi="Arial" w:cs="Arial"/>
          <w:sz w:val="24"/>
          <w:szCs w:val="24"/>
        </w:rPr>
        <w:t xml:space="preserve">, </w:t>
      </w:r>
      <w:r w:rsidRPr="00640C71">
        <w:rPr>
          <w:rFonts w:ascii="Arial" w:hAnsi="Arial" w:cs="Arial"/>
          <w:i/>
          <w:iCs/>
          <w:sz w:val="24"/>
          <w:szCs w:val="24"/>
        </w:rPr>
        <w:t>26</w:t>
      </w:r>
      <w:r w:rsidRPr="00640C71">
        <w:rPr>
          <w:rFonts w:ascii="Arial" w:hAnsi="Arial" w:cs="Arial"/>
          <w:sz w:val="24"/>
          <w:szCs w:val="24"/>
        </w:rPr>
        <w:t>(2), pp.2965-2987.</w:t>
      </w:r>
    </w:p>
    <w:p w14:paraId="7C111148"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rPr>
        <w:t>Arnoldy, M., (2026). Iron-ore output growth on the horizon for BHP in Australia, Brazil</w:t>
      </w:r>
      <w:r w:rsidRPr="00640C71">
        <w:rPr>
          <w:rFonts w:ascii="Arial" w:hAnsi="Arial" w:cs="Arial"/>
          <w:i/>
          <w:sz w:val="24"/>
        </w:rPr>
        <w:t>.</w:t>
      </w:r>
      <w:r w:rsidRPr="00640C71">
        <w:rPr>
          <w:rFonts w:ascii="Arial" w:hAnsi="Arial" w:cs="Arial"/>
          <w:sz w:val="24"/>
        </w:rPr>
        <w:t xml:space="preserve"> Available at: </w:t>
      </w:r>
      <w:hyperlink r:id="rId20" w:history="1">
        <w:r w:rsidRPr="00640C71">
          <w:rPr>
            <w:rStyle w:val="Hyperlink"/>
            <w:rFonts w:ascii="Arial" w:hAnsi="Arial" w:cs="Arial"/>
            <w:sz w:val="24"/>
          </w:rPr>
          <w:t>https://www.miningweekly.com/article/iron-ore-output-growth-on-the-horizon-for-bhp-in-australia-brazil-2026-02-17</w:t>
        </w:r>
      </w:hyperlink>
      <w:r w:rsidRPr="00640C71">
        <w:rPr>
          <w:rFonts w:ascii="Arial" w:hAnsi="Arial" w:cs="Arial"/>
          <w:sz w:val="24"/>
        </w:rPr>
        <w:t xml:space="preserve"> </w:t>
      </w:r>
      <w:r w:rsidRPr="00640C71">
        <w:rPr>
          <w:rFonts w:ascii="Arial" w:hAnsi="Arial" w:cs="Arial"/>
          <w:sz w:val="24"/>
          <w:szCs w:val="24"/>
        </w:rPr>
        <w:t>[Accessed: 11 September 2026]</w:t>
      </w:r>
    </w:p>
    <w:p w14:paraId="35D0FA49" w14:textId="77777777" w:rsidR="00905391" w:rsidRPr="00640C71" w:rsidRDefault="00905391" w:rsidP="002231EA">
      <w:pPr>
        <w:pStyle w:val="CommentText"/>
        <w:spacing w:line="360" w:lineRule="auto"/>
        <w:jc w:val="both"/>
        <w:rPr>
          <w:rFonts w:ascii="Arial" w:hAnsi="Arial" w:cs="Arial"/>
          <w:b/>
          <w:sz w:val="24"/>
          <w:szCs w:val="24"/>
        </w:rPr>
      </w:pPr>
      <w:r w:rsidRPr="00640C71">
        <w:rPr>
          <w:rFonts w:ascii="Arial" w:hAnsi="Arial" w:cs="Arial"/>
          <w:sz w:val="24"/>
          <w:szCs w:val="24"/>
        </w:rPr>
        <w:t xml:space="preserve">Australian Government (2025). </w:t>
      </w:r>
      <w:r w:rsidRPr="00640C71">
        <w:rPr>
          <w:rFonts w:ascii="Arial" w:hAnsi="Arial" w:cs="Arial"/>
          <w:i/>
          <w:sz w:val="24"/>
          <w:szCs w:val="24"/>
        </w:rPr>
        <w:t>Australia’s 2035 Nationally Determined Contribution</w:t>
      </w:r>
      <w:r w:rsidRPr="00640C71">
        <w:rPr>
          <w:rFonts w:ascii="Arial" w:hAnsi="Arial" w:cs="Arial"/>
          <w:sz w:val="24"/>
          <w:szCs w:val="24"/>
        </w:rPr>
        <w:t xml:space="preserve">. Available at: </w:t>
      </w:r>
      <w:hyperlink r:id="rId21" w:history="1">
        <w:r w:rsidRPr="00640C71">
          <w:rPr>
            <w:rStyle w:val="Hyperlink"/>
            <w:rFonts w:ascii="Arial" w:hAnsi="Arial" w:cs="Arial"/>
            <w:sz w:val="24"/>
            <w:szCs w:val="24"/>
          </w:rPr>
          <w:t>https://unfccc.int/sites/default/files/2025-09/Australias%20Second%20NDC.pdf</w:t>
        </w:r>
      </w:hyperlink>
      <w:r w:rsidRPr="00640C71">
        <w:rPr>
          <w:rFonts w:ascii="Arial" w:hAnsi="Arial" w:cs="Arial"/>
          <w:sz w:val="24"/>
          <w:szCs w:val="24"/>
        </w:rPr>
        <w:t xml:space="preserve"> [Accessed on 16 September 2026]</w:t>
      </w:r>
    </w:p>
    <w:p w14:paraId="2D1E8821"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BHP (2025). </w:t>
      </w:r>
      <w:r w:rsidRPr="00640C71">
        <w:rPr>
          <w:rFonts w:ascii="Arial" w:hAnsi="Arial" w:cs="Arial"/>
          <w:i/>
          <w:sz w:val="24"/>
          <w:szCs w:val="24"/>
        </w:rPr>
        <w:t xml:space="preserve">BHP and POSCO partner to advance hydrogen-based ironmaking technology. </w:t>
      </w:r>
      <w:r w:rsidRPr="00640C71">
        <w:rPr>
          <w:rFonts w:ascii="Arial" w:hAnsi="Arial" w:cs="Arial"/>
          <w:sz w:val="24"/>
          <w:szCs w:val="24"/>
        </w:rPr>
        <w:t xml:space="preserve">Available at: </w:t>
      </w:r>
      <w:hyperlink r:id="rId22" w:history="1">
        <w:r w:rsidRPr="00640C71">
          <w:rPr>
            <w:rStyle w:val="Hyperlink"/>
            <w:rFonts w:ascii="Arial" w:hAnsi="Arial" w:cs="Arial"/>
            <w:sz w:val="24"/>
            <w:szCs w:val="24"/>
          </w:rPr>
          <w:t>https://www.bhp.com/news/media-centre/releases/2025/10/bhp-and-posco-partner-to-advance-hydrogen-based-ironmaking-technology</w:t>
        </w:r>
      </w:hyperlink>
      <w:r w:rsidRPr="00640C71">
        <w:rPr>
          <w:rFonts w:ascii="Arial" w:hAnsi="Arial" w:cs="Arial"/>
          <w:sz w:val="24"/>
          <w:szCs w:val="24"/>
        </w:rPr>
        <w:t xml:space="preserve"> [Accessed: 11 September 2026]</w:t>
      </w:r>
    </w:p>
    <w:p w14:paraId="07592A04"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BHP (2025b).</w:t>
      </w:r>
      <w:r w:rsidRPr="00640C71">
        <w:rPr>
          <w:rFonts w:ascii="Arial" w:hAnsi="Arial" w:cs="Arial"/>
        </w:rPr>
        <w:t xml:space="preserve"> </w:t>
      </w:r>
      <w:proofErr w:type="spellStart"/>
      <w:r w:rsidRPr="00640C71">
        <w:rPr>
          <w:rFonts w:ascii="Arial" w:hAnsi="Arial" w:cs="Arial"/>
          <w:sz w:val="24"/>
          <w:szCs w:val="24"/>
        </w:rPr>
        <w:t>NeoSmelt</w:t>
      </w:r>
      <w:proofErr w:type="spellEnd"/>
      <w:r w:rsidRPr="00640C71">
        <w:rPr>
          <w:rFonts w:ascii="Arial" w:hAnsi="Arial" w:cs="Arial"/>
          <w:sz w:val="24"/>
          <w:szCs w:val="24"/>
        </w:rPr>
        <w:t xml:space="preserve"> welcomes Federal Government support and signs two new participants. Available at: </w:t>
      </w:r>
      <w:hyperlink r:id="rId23" w:history="1">
        <w:r w:rsidRPr="00640C71">
          <w:rPr>
            <w:rStyle w:val="Hyperlink"/>
            <w:rFonts w:ascii="Arial" w:hAnsi="Arial" w:cs="Arial"/>
            <w:sz w:val="24"/>
            <w:szCs w:val="24"/>
          </w:rPr>
          <w:t>https://www.bhp.com/news/media-centre/releases/2025/06/neosmelt-welcomes-federal-government-support-and-signs-two-new-participants</w:t>
        </w:r>
      </w:hyperlink>
      <w:r w:rsidRPr="00640C71">
        <w:rPr>
          <w:rFonts w:ascii="Arial" w:hAnsi="Arial" w:cs="Arial"/>
          <w:sz w:val="24"/>
          <w:szCs w:val="24"/>
        </w:rPr>
        <w:t xml:space="preserve"> [Accessed: 11 September 2026]</w:t>
      </w:r>
    </w:p>
    <w:p w14:paraId="02AD8EA2"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BHP (2026). BHP Annual Report, 2026. Available at: </w:t>
      </w:r>
      <w:hyperlink r:id="rId24" w:history="1">
        <w:r w:rsidRPr="00640C71">
          <w:rPr>
            <w:rStyle w:val="Hyperlink"/>
            <w:rFonts w:ascii="Arial" w:hAnsi="Arial" w:cs="Arial"/>
            <w:sz w:val="24"/>
            <w:szCs w:val="24"/>
          </w:rPr>
          <w:t>https://www.bhp.com/-/media/documents/investors/annual-reports/2026/260818_bhpannualreport2026</w:t>
        </w:r>
      </w:hyperlink>
      <w:r w:rsidRPr="00640C71">
        <w:rPr>
          <w:rFonts w:ascii="Arial" w:hAnsi="Arial" w:cs="Arial"/>
          <w:sz w:val="24"/>
          <w:szCs w:val="24"/>
        </w:rPr>
        <w:t xml:space="preserve"> [Accessed: 21 September 2026]</w:t>
      </w:r>
    </w:p>
    <w:p w14:paraId="574592A6"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BHP, (2024). </w:t>
      </w:r>
      <w:r w:rsidRPr="00640C71">
        <w:rPr>
          <w:rFonts w:ascii="Arial" w:hAnsi="Arial" w:cs="Arial"/>
          <w:i/>
          <w:sz w:val="24"/>
          <w:szCs w:val="24"/>
        </w:rPr>
        <w:t>BHP's Climate Transition Action Plan (CTAP) 2024</w:t>
      </w:r>
      <w:r w:rsidRPr="00640C71">
        <w:rPr>
          <w:rFonts w:ascii="Arial" w:hAnsi="Arial" w:cs="Arial"/>
          <w:sz w:val="24"/>
          <w:szCs w:val="24"/>
        </w:rPr>
        <w:t xml:space="preserve">. Available at: </w:t>
      </w:r>
      <w:hyperlink r:id="rId25" w:history="1">
        <w:r w:rsidRPr="00640C71">
          <w:rPr>
            <w:rStyle w:val="Hyperlink"/>
            <w:rFonts w:ascii="Arial" w:hAnsi="Arial" w:cs="Arial"/>
            <w:sz w:val="24"/>
            <w:szCs w:val="24"/>
          </w:rPr>
          <w:t>https://www.bhp.com/sustainability/climate-change/climate-transition-action-plan</w:t>
        </w:r>
      </w:hyperlink>
      <w:r w:rsidRPr="00640C71">
        <w:rPr>
          <w:rFonts w:ascii="Arial" w:hAnsi="Arial" w:cs="Arial"/>
          <w:sz w:val="24"/>
          <w:szCs w:val="24"/>
        </w:rPr>
        <w:t xml:space="preserve"> [Accessed: 21 September 2026]</w:t>
      </w:r>
    </w:p>
    <w:p w14:paraId="2317D42F" w14:textId="77777777" w:rsidR="00905391" w:rsidRPr="00640C71" w:rsidRDefault="00905391" w:rsidP="002231EA">
      <w:pPr>
        <w:spacing w:line="360" w:lineRule="auto"/>
        <w:jc w:val="both"/>
        <w:rPr>
          <w:rFonts w:ascii="Arial" w:hAnsi="Arial" w:cs="Arial"/>
          <w:sz w:val="24"/>
          <w:szCs w:val="24"/>
        </w:rPr>
      </w:pPr>
      <w:proofErr w:type="spellStart"/>
      <w:r w:rsidRPr="00640C71">
        <w:rPr>
          <w:rFonts w:ascii="Arial" w:hAnsi="Arial" w:cs="Arial"/>
          <w:sz w:val="24"/>
          <w:szCs w:val="24"/>
        </w:rPr>
        <w:t>BigGo</w:t>
      </w:r>
      <w:proofErr w:type="spellEnd"/>
      <w:r w:rsidRPr="00640C71">
        <w:rPr>
          <w:rFonts w:ascii="Arial" w:hAnsi="Arial" w:cs="Arial"/>
          <w:sz w:val="24"/>
          <w:szCs w:val="24"/>
        </w:rPr>
        <w:t xml:space="preserve"> Finance (2026). </w:t>
      </w:r>
      <w:r w:rsidRPr="00640C71">
        <w:rPr>
          <w:rFonts w:ascii="Arial" w:hAnsi="Arial" w:cs="Arial"/>
          <w:i/>
          <w:iCs/>
          <w:sz w:val="24"/>
          <w:szCs w:val="24"/>
        </w:rPr>
        <w:t xml:space="preserve">BHPLF H1 FY2026 earnings call - </w:t>
      </w:r>
      <w:proofErr w:type="spellStart"/>
      <w:r w:rsidRPr="00640C71">
        <w:rPr>
          <w:rFonts w:ascii="Arial" w:hAnsi="Arial" w:cs="Arial"/>
          <w:i/>
          <w:iCs/>
          <w:sz w:val="24"/>
          <w:szCs w:val="24"/>
        </w:rPr>
        <w:t>BigGo</w:t>
      </w:r>
      <w:proofErr w:type="spellEnd"/>
      <w:r w:rsidRPr="00640C71">
        <w:rPr>
          <w:rFonts w:ascii="Arial" w:hAnsi="Arial" w:cs="Arial"/>
          <w:i/>
          <w:iCs/>
          <w:sz w:val="24"/>
          <w:szCs w:val="24"/>
        </w:rPr>
        <w:t xml:space="preserve"> Finance</w:t>
      </w:r>
      <w:r w:rsidRPr="00640C71">
        <w:rPr>
          <w:rFonts w:ascii="Arial" w:hAnsi="Arial" w:cs="Arial"/>
          <w:sz w:val="24"/>
          <w:szCs w:val="24"/>
        </w:rPr>
        <w:t xml:space="preserve">. Available at: </w:t>
      </w:r>
      <w:hyperlink r:id="rId26" w:tgtFrame="_blank" w:history="1">
        <w:r w:rsidRPr="00640C71">
          <w:rPr>
            <w:rStyle w:val="Hyperlink"/>
            <w:rFonts w:ascii="Arial" w:hAnsi="Arial" w:cs="Arial"/>
            <w:sz w:val="24"/>
            <w:szCs w:val="24"/>
          </w:rPr>
          <w:t>https://finance.biggo.com/quote/BHPLF/earnings-call/US_BHPLF_2026-02-16</w:t>
        </w:r>
      </w:hyperlink>
      <w:r w:rsidRPr="00640C71">
        <w:rPr>
          <w:rFonts w:ascii="Arial" w:hAnsi="Arial" w:cs="Arial"/>
          <w:sz w:val="24"/>
          <w:szCs w:val="24"/>
        </w:rPr>
        <w:t xml:space="preserve"> [Accessed on 25 September 2026]</w:t>
      </w:r>
    </w:p>
    <w:p w14:paraId="6433CC70" w14:textId="77777777" w:rsidR="00905391" w:rsidRPr="00640C71" w:rsidRDefault="00905391" w:rsidP="002231EA">
      <w:pPr>
        <w:spacing w:line="360" w:lineRule="auto"/>
        <w:jc w:val="both"/>
        <w:rPr>
          <w:rFonts w:ascii="Arial" w:hAnsi="Arial" w:cs="Arial"/>
          <w:sz w:val="24"/>
          <w:szCs w:val="24"/>
        </w:rPr>
      </w:pPr>
      <w:proofErr w:type="spellStart"/>
      <w:r w:rsidRPr="00640C71">
        <w:rPr>
          <w:rFonts w:ascii="Arial" w:hAnsi="Arial" w:cs="Arial"/>
          <w:sz w:val="24"/>
        </w:rPr>
        <w:t>Bluescope</w:t>
      </w:r>
      <w:proofErr w:type="spellEnd"/>
      <w:r w:rsidRPr="00640C71">
        <w:rPr>
          <w:rFonts w:ascii="Arial" w:hAnsi="Arial" w:cs="Arial"/>
          <w:sz w:val="24"/>
        </w:rPr>
        <w:t xml:space="preserve">, (2026). </w:t>
      </w:r>
      <w:r w:rsidRPr="00640C71">
        <w:rPr>
          <w:rFonts w:ascii="Arial" w:hAnsi="Arial" w:cs="Arial"/>
          <w:i/>
          <w:sz w:val="24"/>
        </w:rPr>
        <w:t>BlueScope, BHP &amp; Rio Tinto select WA for Australia’s largest ironmaking ESF pilot plant.</w:t>
      </w:r>
      <w:r w:rsidRPr="00640C71">
        <w:rPr>
          <w:rFonts w:ascii="Arial" w:hAnsi="Arial" w:cs="Arial"/>
          <w:sz w:val="24"/>
        </w:rPr>
        <w:t xml:space="preserve"> Available at: </w:t>
      </w:r>
      <w:hyperlink r:id="rId27" w:history="1">
        <w:r w:rsidRPr="00640C71">
          <w:rPr>
            <w:rStyle w:val="Hyperlink"/>
            <w:rFonts w:ascii="Arial" w:hAnsi="Arial" w:cs="Arial"/>
            <w:sz w:val="24"/>
          </w:rPr>
          <w:t>https://www.bluescope.com/news/BlueScope-BHP-and-Rio-Tinto-select-WA-for-Australia-s-largest-ironmaking-ESF-pilot-plant</w:t>
        </w:r>
      </w:hyperlink>
      <w:r w:rsidRPr="00640C71">
        <w:rPr>
          <w:rFonts w:ascii="Arial" w:hAnsi="Arial" w:cs="Arial"/>
          <w:sz w:val="24"/>
        </w:rPr>
        <w:t xml:space="preserve"> </w:t>
      </w:r>
      <w:r w:rsidRPr="00640C71">
        <w:rPr>
          <w:rFonts w:ascii="Arial" w:hAnsi="Arial" w:cs="Arial"/>
          <w:sz w:val="24"/>
          <w:szCs w:val="24"/>
        </w:rPr>
        <w:t>[Accessed: 20 September 2026]</w:t>
      </w:r>
    </w:p>
    <w:p w14:paraId="3236DBD3"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Campbell, David. Business Strategy. London, Pearson, 2021.</w:t>
      </w:r>
    </w:p>
    <w:p w14:paraId="7D9C0025"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Campbell, David. Business Strategy. London, Pearson, 2021.</w:t>
      </w:r>
    </w:p>
    <w:p w14:paraId="64BE8B1E" w14:textId="77777777" w:rsidR="00905391" w:rsidRPr="00640C71" w:rsidRDefault="00905391" w:rsidP="002231EA">
      <w:pPr>
        <w:spacing w:line="360" w:lineRule="auto"/>
        <w:jc w:val="both"/>
        <w:rPr>
          <w:rFonts w:ascii="Arial" w:hAnsi="Arial" w:cs="Arial"/>
          <w:sz w:val="24"/>
          <w:szCs w:val="24"/>
        </w:rPr>
      </w:pPr>
      <w:proofErr w:type="spellStart"/>
      <w:r w:rsidRPr="00640C71">
        <w:rPr>
          <w:rFonts w:ascii="Arial" w:hAnsi="Arial" w:cs="Arial"/>
          <w:sz w:val="24"/>
        </w:rPr>
        <w:t>Circluor</w:t>
      </w:r>
      <w:proofErr w:type="spellEnd"/>
      <w:r w:rsidRPr="00640C71">
        <w:rPr>
          <w:rFonts w:ascii="Arial" w:hAnsi="Arial" w:cs="Arial"/>
          <w:sz w:val="24"/>
        </w:rPr>
        <w:t xml:space="preserve">, (2024). </w:t>
      </w:r>
      <w:r w:rsidRPr="00640C71">
        <w:rPr>
          <w:rFonts w:ascii="Arial" w:hAnsi="Arial" w:cs="Arial"/>
          <w:i/>
          <w:sz w:val="24"/>
        </w:rPr>
        <w:t>REUTERS: In search of the elusive green nickel premium</w:t>
      </w:r>
      <w:r w:rsidRPr="00640C71">
        <w:rPr>
          <w:rFonts w:ascii="Arial" w:hAnsi="Arial" w:cs="Arial"/>
          <w:sz w:val="24"/>
        </w:rPr>
        <w:t xml:space="preserve">. Available at:  </w:t>
      </w:r>
      <w:hyperlink r:id="rId28" w:history="1">
        <w:r w:rsidRPr="00640C71">
          <w:rPr>
            <w:rStyle w:val="Hyperlink"/>
            <w:rFonts w:ascii="Arial" w:hAnsi="Arial" w:cs="Arial"/>
            <w:sz w:val="24"/>
          </w:rPr>
          <w:t>https://circulor.com/articles/reuters-in-search-of-the-elusive-green-nickel-premium</w:t>
        </w:r>
      </w:hyperlink>
      <w:r w:rsidRPr="00640C71">
        <w:rPr>
          <w:rFonts w:ascii="Arial" w:hAnsi="Arial" w:cs="Arial"/>
          <w:sz w:val="24"/>
        </w:rPr>
        <w:t xml:space="preserve"> </w:t>
      </w:r>
      <w:r w:rsidRPr="00640C71">
        <w:rPr>
          <w:rFonts w:ascii="Arial" w:hAnsi="Arial" w:cs="Arial"/>
          <w:sz w:val="24"/>
          <w:szCs w:val="24"/>
        </w:rPr>
        <w:t>[Accessed: 13 September 2026]</w:t>
      </w:r>
    </w:p>
    <w:p w14:paraId="7CEBEB84" w14:textId="77777777" w:rsidR="00905391" w:rsidRPr="00640C71" w:rsidRDefault="00905391" w:rsidP="002231EA">
      <w:pPr>
        <w:pStyle w:val="CommentText"/>
        <w:spacing w:line="360" w:lineRule="auto"/>
        <w:jc w:val="both"/>
        <w:rPr>
          <w:rFonts w:ascii="Arial" w:hAnsi="Arial" w:cs="Arial"/>
          <w:sz w:val="24"/>
          <w:szCs w:val="24"/>
        </w:rPr>
      </w:pPr>
      <w:r w:rsidRPr="00640C71">
        <w:rPr>
          <w:rFonts w:ascii="Arial" w:hAnsi="Arial" w:cs="Arial"/>
          <w:sz w:val="24"/>
          <w:szCs w:val="24"/>
        </w:rPr>
        <w:t xml:space="preserve">dcceew.gov.au (2025). </w:t>
      </w:r>
      <w:r w:rsidRPr="00640C71">
        <w:rPr>
          <w:rFonts w:ascii="Arial" w:hAnsi="Arial" w:cs="Arial"/>
          <w:i/>
          <w:sz w:val="24"/>
          <w:szCs w:val="24"/>
        </w:rPr>
        <w:t>Climate change</w:t>
      </w:r>
      <w:r w:rsidRPr="00640C71">
        <w:rPr>
          <w:rFonts w:ascii="Arial" w:hAnsi="Arial" w:cs="Arial"/>
          <w:sz w:val="24"/>
          <w:szCs w:val="24"/>
        </w:rPr>
        <w:t xml:space="preserve">. Available at: </w:t>
      </w:r>
      <w:hyperlink r:id="rId29" w:history="1">
        <w:r w:rsidRPr="00640C71">
          <w:rPr>
            <w:rStyle w:val="Hyperlink"/>
            <w:rFonts w:ascii="Arial" w:hAnsi="Arial" w:cs="Arial"/>
            <w:sz w:val="24"/>
            <w:szCs w:val="24"/>
          </w:rPr>
          <w:t>https://www.dcceew.gov.au/climate-change/publications/australias-emissions-projections-2025</w:t>
        </w:r>
      </w:hyperlink>
      <w:r w:rsidRPr="00640C71">
        <w:rPr>
          <w:rFonts w:ascii="Arial" w:hAnsi="Arial" w:cs="Arial"/>
          <w:sz w:val="24"/>
          <w:szCs w:val="24"/>
        </w:rPr>
        <w:t xml:space="preserve"> [Accessed on 18 September 2026]</w:t>
      </w:r>
    </w:p>
    <w:p w14:paraId="01B71D32" w14:textId="77777777" w:rsidR="00905391" w:rsidRPr="00640C71" w:rsidRDefault="00905391" w:rsidP="002231EA">
      <w:pPr>
        <w:pStyle w:val="CommentText"/>
        <w:spacing w:line="360" w:lineRule="auto"/>
        <w:jc w:val="both"/>
        <w:rPr>
          <w:rFonts w:ascii="Arial" w:hAnsi="Arial" w:cs="Arial"/>
          <w:sz w:val="24"/>
          <w:szCs w:val="24"/>
        </w:rPr>
      </w:pPr>
      <w:r w:rsidRPr="00640C71">
        <w:rPr>
          <w:rFonts w:ascii="Arial" w:hAnsi="Arial" w:cs="Arial"/>
          <w:sz w:val="24"/>
          <w:szCs w:val="24"/>
        </w:rPr>
        <w:t xml:space="preserve">dcceew.gov.au (2025a). Net Zero. Available at: </w:t>
      </w:r>
      <w:hyperlink r:id="rId30" w:history="1">
        <w:r w:rsidRPr="00640C71">
          <w:rPr>
            <w:rStyle w:val="Hyperlink"/>
            <w:rFonts w:ascii="Arial" w:hAnsi="Arial" w:cs="Arial"/>
            <w:sz w:val="24"/>
            <w:szCs w:val="24"/>
          </w:rPr>
          <w:t>https://www.dcceew.gov.au/climate-change/emissions-reduction/net-zero</w:t>
        </w:r>
      </w:hyperlink>
      <w:r w:rsidRPr="00640C71">
        <w:rPr>
          <w:rFonts w:ascii="Arial" w:hAnsi="Arial" w:cs="Arial"/>
          <w:sz w:val="24"/>
          <w:szCs w:val="24"/>
        </w:rPr>
        <w:t xml:space="preserve"> [Accessed on 14 September 2026]</w:t>
      </w:r>
    </w:p>
    <w:p w14:paraId="68E7AC8D" w14:textId="77777777" w:rsidR="00905391" w:rsidRPr="00640C71" w:rsidRDefault="00905391" w:rsidP="002231EA">
      <w:pPr>
        <w:pStyle w:val="CommentText"/>
        <w:spacing w:line="360" w:lineRule="auto"/>
        <w:jc w:val="both"/>
        <w:rPr>
          <w:rFonts w:ascii="Arial" w:hAnsi="Arial" w:cs="Arial"/>
          <w:sz w:val="24"/>
          <w:szCs w:val="24"/>
        </w:rPr>
      </w:pPr>
      <w:r w:rsidRPr="00640C71">
        <w:rPr>
          <w:rFonts w:ascii="Arial" w:hAnsi="Arial" w:cs="Arial"/>
          <w:sz w:val="24"/>
          <w:szCs w:val="24"/>
        </w:rPr>
        <w:t xml:space="preserve">European Commission, (2023). </w:t>
      </w:r>
      <w:r w:rsidRPr="00640C71">
        <w:rPr>
          <w:rFonts w:ascii="Arial" w:hAnsi="Arial" w:cs="Arial"/>
          <w:i/>
          <w:sz w:val="24"/>
          <w:szCs w:val="24"/>
        </w:rPr>
        <w:t>Carbon Border Adjustment Mechanism (CBAM</w:t>
      </w:r>
      <w:r w:rsidRPr="00640C71">
        <w:rPr>
          <w:rFonts w:ascii="Arial" w:hAnsi="Arial" w:cs="Arial"/>
          <w:sz w:val="24"/>
          <w:szCs w:val="24"/>
        </w:rPr>
        <w:t xml:space="preserve">). Available at: </w:t>
      </w:r>
      <w:hyperlink r:id="rId31" w:history="1">
        <w:r w:rsidRPr="00640C71">
          <w:rPr>
            <w:rStyle w:val="Hyperlink"/>
            <w:rFonts w:ascii="Arial" w:hAnsi="Arial" w:cs="Arial"/>
            <w:sz w:val="24"/>
            <w:szCs w:val="24"/>
          </w:rPr>
          <w:t>https://trade.ec.europa.eu/access-to-markets/en/news/carbon-border-adjustment-mechanism-cbam</w:t>
        </w:r>
      </w:hyperlink>
      <w:r w:rsidRPr="00640C71">
        <w:rPr>
          <w:rFonts w:ascii="Arial" w:hAnsi="Arial" w:cs="Arial"/>
          <w:sz w:val="24"/>
          <w:szCs w:val="24"/>
        </w:rPr>
        <w:t xml:space="preserve"> [Accessed on 17 September 2026]</w:t>
      </w:r>
    </w:p>
    <w:p w14:paraId="1AD38F91"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GMK </w:t>
      </w:r>
      <w:proofErr w:type="spellStart"/>
      <w:r w:rsidRPr="00640C71">
        <w:rPr>
          <w:rFonts w:ascii="Arial" w:hAnsi="Arial" w:cs="Arial"/>
          <w:sz w:val="24"/>
          <w:szCs w:val="24"/>
        </w:rPr>
        <w:t>Center</w:t>
      </w:r>
      <w:proofErr w:type="spellEnd"/>
      <w:r w:rsidRPr="00640C71">
        <w:rPr>
          <w:rFonts w:ascii="Arial" w:hAnsi="Arial" w:cs="Arial"/>
          <w:sz w:val="24"/>
          <w:szCs w:val="24"/>
        </w:rPr>
        <w:t xml:space="preserve"> (2025) </w:t>
      </w:r>
      <w:r w:rsidRPr="00640C71">
        <w:rPr>
          <w:rFonts w:ascii="Arial" w:hAnsi="Arial" w:cs="Arial"/>
          <w:i/>
          <w:iCs/>
          <w:sz w:val="24"/>
          <w:szCs w:val="24"/>
        </w:rPr>
        <w:t>BHP increased iron ore production to 263 million tons in the 2024/2025 financial year</w:t>
      </w:r>
      <w:r w:rsidRPr="00640C71">
        <w:rPr>
          <w:rFonts w:ascii="Arial" w:hAnsi="Arial" w:cs="Arial"/>
          <w:sz w:val="24"/>
          <w:szCs w:val="24"/>
        </w:rPr>
        <w:t xml:space="preserve">. Available at: </w:t>
      </w:r>
      <w:hyperlink r:id="rId32" w:history="1">
        <w:r w:rsidRPr="00640C71">
          <w:rPr>
            <w:rStyle w:val="Hyperlink"/>
            <w:rFonts w:ascii="Arial" w:hAnsi="Arial" w:cs="Arial"/>
          </w:rPr>
          <w:t xml:space="preserve"> </w:t>
        </w:r>
        <w:r w:rsidRPr="00640C71">
          <w:rPr>
            <w:rStyle w:val="Hyperlink"/>
            <w:rFonts w:ascii="Arial" w:hAnsi="Arial" w:cs="Arial"/>
            <w:sz w:val="24"/>
            <w:szCs w:val="24"/>
          </w:rPr>
          <w:t>https://gmk.center/en/news/bhp-increased-iron-ore-production-to-263-million-tons-in-the-2024-2025-financial-year/</w:t>
        </w:r>
      </w:hyperlink>
      <w:r w:rsidRPr="00640C71">
        <w:rPr>
          <w:rFonts w:ascii="Arial" w:hAnsi="Arial" w:cs="Arial"/>
          <w:sz w:val="24"/>
          <w:szCs w:val="24"/>
        </w:rPr>
        <w:t xml:space="preserve"> [Accessed: 25 September 2026]</w:t>
      </w:r>
    </w:p>
    <w:p w14:paraId="41377F33"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Greening Australia, (2024). </w:t>
      </w:r>
      <w:r w:rsidRPr="00640C71">
        <w:rPr>
          <w:rFonts w:ascii="Arial" w:hAnsi="Arial" w:cs="Arial"/>
          <w:i/>
          <w:sz w:val="24"/>
          <w:szCs w:val="24"/>
        </w:rPr>
        <w:t>What does 'nature positive' mean? Why is it important?</w:t>
      </w:r>
      <w:r w:rsidRPr="00640C71">
        <w:rPr>
          <w:rFonts w:ascii="Arial" w:hAnsi="Arial" w:cs="Arial"/>
          <w:sz w:val="24"/>
          <w:szCs w:val="24"/>
        </w:rPr>
        <w:t xml:space="preserve"> Available at: </w:t>
      </w:r>
      <w:hyperlink r:id="rId33" w:history="1">
        <w:r w:rsidRPr="00640C71">
          <w:rPr>
            <w:rStyle w:val="Hyperlink"/>
            <w:rFonts w:ascii="Arial" w:hAnsi="Arial" w:cs="Arial"/>
            <w:sz w:val="24"/>
            <w:szCs w:val="24"/>
          </w:rPr>
          <w:t>https://www.greeningaustralia.org.au/what-does-nature-positive-mean-why-is-it-important/</w:t>
        </w:r>
      </w:hyperlink>
      <w:r w:rsidRPr="00640C71">
        <w:rPr>
          <w:rFonts w:ascii="Arial" w:hAnsi="Arial" w:cs="Arial"/>
          <w:sz w:val="24"/>
          <w:szCs w:val="24"/>
        </w:rPr>
        <w:t xml:space="preserve"> [Accessed: 21 September 2026]</w:t>
      </w:r>
    </w:p>
    <w:p w14:paraId="091792FC"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Grigg, A., McDonald, A., Wilkinson, M., and Toomey, J., (2026). </w:t>
      </w:r>
      <w:r w:rsidRPr="00640C71">
        <w:rPr>
          <w:rFonts w:ascii="Arial" w:hAnsi="Arial" w:cs="Arial"/>
          <w:i/>
          <w:sz w:val="24"/>
          <w:szCs w:val="24"/>
        </w:rPr>
        <w:t>BHP has pledged to hit net zero emissions by 2050. Inside the mining giant there are doubts.</w:t>
      </w:r>
      <w:r w:rsidRPr="00640C71">
        <w:rPr>
          <w:rFonts w:ascii="Arial" w:hAnsi="Arial" w:cs="Arial"/>
          <w:sz w:val="24"/>
          <w:szCs w:val="24"/>
        </w:rPr>
        <w:t xml:space="preserve"> Available at: </w:t>
      </w:r>
      <w:hyperlink r:id="rId34" w:history="1">
        <w:r w:rsidRPr="00640C71">
          <w:rPr>
            <w:rStyle w:val="Hyperlink"/>
            <w:rFonts w:ascii="Arial" w:hAnsi="Arial" w:cs="Arial"/>
            <w:sz w:val="24"/>
            <w:szCs w:val="24"/>
          </w:rPr>
          <w:t>https://www.abc.net.au/news/2026-05-26/bhp-net-zero-emissions-pledge-four-corners-leaked-documents/106720042</w:t>
        </w:r>
      </w:hyperlink>
      <w:r w:rsidRPr="00640C71">
        <w:rPr>
          <w:rFonts w:ascii="Arial" w:hAnsi="Arial" w:cs="Arial"/>
          <w:sz w:val="24"/>
          <w:szCs w:val="24"/>
        </w:rPr>
        <w:t xml:space="preserve"> [Accessed: 13 September 2026]</w:t>
      </w:r>
    </w:p>
    <w:p w14:paraId="686E7DA6"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Gutterman, A.S., 2023. Organizational performance and effectiveness. </w:t>
      </w:r>
      <w:r w:rsidRPr="00640C71">
        <w:rPr>
          <w:rFonts w:ascii="Arial" w:hAnsi="Arial" w:cs="Arial"/>
          <w:i/>
          <w:iCs/>
          <w:sz w:val="24"/>
          <w:szCs w:val="24"/>
        </w:rPr>
        <w:t>Available at SSRN 4532570</w:t>
      </w:r>
      <w:r w:rsidRPr="00640C71">
        <w:rPr>
          <w:rFonts w:ascii="Arial" w:hAnsi="Arial" w:cs="Arial"/>
          <w:sz w:val="24"/>
          <w:szCs w:val="24"/>
        </w:rPr>
        <w:t>.</w:t>
      </w:r>
    </w:p>
    <w:p w14:paraId="71D73AAB"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Huo, J. and Peng, C., 2023. Depletion of natural resources and environmental quality: Prospects of energy use, energy imports, and economic growth hindrances. </w:t>
      </w:r>
      <w:r w:rsidRPr="00640C71">
        <w:rPr>
          <w:rFonts w:ascii="Arial" w:hAnsi="Arial" w:cs="Arial"/>
          <w:i/>
          <w:iCs/>
          <w:sz w:val="24"/>
          <w:szCs w:val="24"/>
        </w:rPr>
        <w:t>Resources policy</w:t>
      </w:r>
      <w:r w:rsidRPr="00640C71">
        <w:rPr>
          <w:rFonts w:ascii="Arial" w:hAnsi="Arial" w:cs="Arial"/>
          <w:sz w:val="24"/>
          <w:szCs w:val="24"/>
        </w:rPr>
        <w:t xml:space="preserve">, </w:t>
      </w:r>
      <w:r w:rsidRPr="00640C71">
        <w:rPr>
          <w:rFonts w:ascii="Arial" w:hAnsi="Arial" w:cs="Arial"/>
          <w:i/>
          <w:iCs/>
          <w:sz w:val="24"/>
          <w:szCs w:val="24"/>
        </w:rPr>
        <w:t>86</w:t>
      </w:r>
      <w:r w:rsidRPr="00640C71">
        <w:rPr>
          <w:rFonts w:ascii="Arial" w:hAnsi="Arial" w:cs="Arial"/>
          <w:sz w:val="24"/>
          <w:szCs w:val="24"/>
        </w:rPr>
        <w:t>, p.104049.</w:t>
      </w:r>
    </w:p>
    <w:p w14:paraId="68F2AB81"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rPr>
        <w:t xml:space="preserve">IEEFA, (2026). BHP: Time to get real about steel technology change and met coal. Available at: </w:t>
      </w:r>
      <w:hyperlink r:id="rId35" w:history="1">
        <w:r w:rsidRPr="00640C71">
          <w:rPr>
            <w:rStyle w:val="Hyperlink"/>
            <w:rFonts w:ascii="Arial" w:hAnsi="Arial" w:cs="Arial"/>
            <w:sz w:val="24"/>
          </w:rPr>
          <w:t>https://ieefa.org/resources/bhp-time-get-real-about-steel-technology-change-and-met-coal</w:t>
        </w:r>
      </w:hyperlink>
      <w:r w:rsidRPr="00640C71">
        <w:rPr>
          <w:rFonts w:ascii="Arial" w:hAnsi="Arial" w:cs="Arial"/>
          <w:sz w:val="24"/>
        </w:rPr>
        <w:t xml:space="preserve"> </w:t>
      </w:r>
      <w:r w:rsidRPr="00640C71">
        <w:rPr>
          <w:rFonts w:ascii="Arial" w:hAnsi="Arial" w:cs="Arial"/>
          <w:sz w:val="24"/>
          <w:szCs w:val="24"/>
        </w:rPr>
        <w:t>[Accessed: 13 September 2026]</w:t>
      </w:r>
    </w:p>
    <w:p w14:paraId="40AA5798"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Investing.com (2026) </w:t>
      </w:r>
      <w:r w:rsidRPr="00640C71">
        <w:rPr>
          <w:rFonts w:ascii="Arial" w:hAnsi="Arial" w:cs="Arial"/>
          <w:i/>
          <w:iCs/>
          <w:sz w:val="24"/>
          <w:szCs w:val="24"/>
        </w:rPr>
        <w:t>BHP FY2026 slides: copper drives 54% of EBITDA, targets $50bn FCF</w:t>
      </w:r>
      <w:r w:rsidRPr="00640C71">
        <w:rPr>
          <w:rFonts w:ascii="Arial" w:hAnsi="Arial" w:cs="Arial"/>
          <w:sz w:val="24"/>
          <w:szCs w:val="24"/>
        </w:rPr>
        <w:t xml:space="preserve">. Available at: </w:t>
      </w:r>
      <w:hyperlink r:id="rId36" w:history="1">
        <w:r w:rsidRPr="00640C71">
          <w:rPr>
            <w:rStyle w:val="Hyperlink"/>
            <w:rFonts w:ascii="Arial" w:hAnsi="Arial" w:cs="Arial"/>
            <w:sz w:val="24"/>
            <w:szCs w:val="24"/>
          </w:rPr>
          <w:t>https://www.investing.com/news/company-news/bhp-fy2026-slides-copper-drives-54-of-ebitda-targets-50bn-fcf-93CH-4865396</w:t>
        </w:r>
      </w:hyperlink>
      <w:r w:rsidRPr="00640C71">
        <w:rPr>
          <w:rFonts w:ascii="Arial" w:hAnsi="Arial" w:cs="Arial"/>
          <w:sz w:val="24"/>
          <w:szCs w:val="24"/>
        </w:rPr>
        <w:t xml:space="preserve"> [Accessed on 18 September 2026]</w:t>
      </w:r>
    </w:p>
    <w:p w14:paraId="61EF32FD"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rPr>
        <w:t xml:space="preserve">Jackson, L., </w:t>
      </w:r>
      <w:proofErr w:type="spellStart"/>
      <w:r w:rsidRPr="00640C71">
        <w:rPr>
          <w:rFonts w:ascii="Arial" w:hAnsi="Arial" w:cs="Arial"/>
          <w:sz w:val="24"/>
        </w:rPr>
        <w:t>Ngul</w:t>
      </w:r>
      <w:proofErr w:type="spellEnd"/>
      <w:r w:rsidRPr="00640C71">
        <w:rPr>
          <w:rFonts w:ascii="Arial" w:hAnsi="Arial" w:cs="Arial"/>
          <w:sz w:val="24"/>
        </w:rPr>
        <w:t xml:space="preserve">, Y., and Burton, M., (2026). </w:t>
      </w:r>
      <w:r w:rsidRPr="00640C71">
        <w:rPr>
          <w:rFonts w:ascii="Arial" w:hAnsi="Arial" w:cs="Arial"/>
          <w:i/>
          <w:sz w:val="24"/>
        </w:rPr>
        <w:t xml:space="preserve">Top China steelmaker </w:t>
      </w:r>
      <w:proofErr w:type="spellStart"/>
      <w:r w:rsidRPr="00640C71">
        <w:rPr>
          <w:rFonts w:ascii="Arial" w:hAnsi="Arial" w:cs="Arial"/>
          <w:i/>
          <w:sz w:val="24"/>
        </w:rPr>
        <w:t>Baowu</w:t>
      </w:r>
      <w:proofErr w:type="spellEnd"/>
      <w:r w:rsidRPr="00640C71">
        <w:rPr>
          <w:rFonts w:ascii="Arial" w:hAnsi="Arial" w:cs="Arial"/>
          <w:i/>
          <w:sz w:val="24"/>
        </w:rPr>
        <w:t xml:space="preserve"> eyes stake in BHP iron ore mine, sources say.</w:t>
      </w:r>
      <w:r w:rsidRPr="00640C71">
        <w:rPr>
          <w:rFonts w:ascii="Arial" w:hAnsi="Arial" w:cs="Arial"/>
          <w:sz w:val="24"/>
        </w:rPr>
        <w:t xml:space="preserve"> Available at: </w:t>
      </w:r>
      <w:hyperlink r:id="rId37" w:history="1">
        <w:r w:rsidRPr="00640C71">
          <w:rPr>
            <w:rStyle w:val="Hyperlink"/>
            <w:rFonts w:ascii="Arial" w:hAnsi="Arial" w:cs="Arial"/>
            <w:sz w:val="24"/>
          </w:rPr>
          <w:t>https://www.reuters.com/world/asia-pacific/top-china-steelmaker-baowu-eyes-stake-bhp-iron-ore-mine-sources-say-2026-09-04/</w:t>
        </w:r>
      </w:hyperlink>
      <w:r w:rsidRPr="00640C71">
        <w:rPr>
          <w:rFonts w:ascii="Arial" w:hAnsi="Arial" w:cs="Arial"/>
          <w:sz w:val="24"/>
        </w:rPr>
        <w:t xml:space="preserve"> </w:t>
      </w:r>
      <w:r w:rsidRPr="00640C71">
        <w:rPr>
          <w:rFonts w:ascii="Arial" w:hAnsi="Arial" w:cs="Arial"/>
          <w:sz w:val="24"/>
          <w:szCs w:val="24"/>
        </w:rPr>
        <w:t>[Accessed: 20 September 2026]</w:t>
      </w:r>
    </w:p>
    <w:p w14:paraId="30840CC5"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Kotler, P., Armstrong, G., Harris, L.C. and He, H. (2024) Principles of marketing. 19</w:t>
      </w:r>
      <w:r w:rsidRPr="00640C71">
        <w:rPr>
          <w:rFonts w:ascii="Arial" w:hAnsi="Arial" w:cs="Arial"/>
          <w:sz w:val="24"/>
          <w:szCs w:val="24"/>
          <w:vertAlign w:val="superscript"/>
        </w:rPr>
        <w:t>th</w:t>
      </w:r>
      <w:r w:rsidRPr="00640C71">
        <w:rPr>
          <w:rFonts w:ascii="Arial" w:hAnsi="Arial" w:cs="Arial"/>
          <w:sz w:val="24"/>
          <w:szCs w:val="24"/>
        </w:rPr>
        <w:t xml:space="preserve"> </w:t>
      </w:r>
      <w:proofErr w:type="spellStart"/>
      <w:r w:rsidRPr="00640C71">
        <w:rPr>
          <w:rFonts w:ascii="Arial" w:hAnsi="Arial" w:cs="Arial"/>
          <w:sz w:val="24"/>
          <w:szCs w:val="24"/>
        </w:rPr>
        <w:t>edn</w:t>
      </w:r>
      <w:proofErr w:type="spellEnd"/>
      <w:r w:rsidRPr="00640C71">
        <w:rPr>
          <w:rFonts w:ascii="Arial" w:hAnsi="Arial" w:cs="Arial"/>
          <w:sz w:val="24"/>
          <w:szCs w:val="24"/>
        </w:rPr>
        <w:t>. Harlow: Pearson.</w:t>
      </w:r>
    </w:p>
    <w:p w14:paraId="54EABAE1"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Noor, R., 2026. Decarbonization in Australia’s Mining Sector: An Integrated Assessment based on Scope 1-2-3 Emissions. </w:t>
      </w:r>
      <w:r w:rsidRPr="00640C71">
        <w:rPr>
          <w:rFonts w:ascii="Arial" w:hAnsi="Arial" w:cs="Arial"/>
          <w:i/>
          <w:iCs/>
          <w:sz w:val="24"/>
          <w:szCs w:val="24"/>
        </w:rPr>
        <w:t>Available at SSRN 5947895</w:t>
      </w:r>
      <w:r w:rsidRPr="00640C71">
        <w:rPr>
          <w:rFonts w:ascii="Arial" w:hAnsi="Arial" w:cs="Arial"/>
          <w:sz w:val="24"/>
          <w:szCs w:val="24"/>
        </w:rPr>
        <w:t>.</w:t>
      </w:r>
    </w:p>
    <w:p w14:paraId="4C10375C"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NS Energy (2025) </w:t>
      </w:r>
      <w:r w:rsidRPr="00640C71">
        <w:rPr>
          <w:rFonts w:ascii="Arial" w:hAnsi="Arial" w:cs="Arial"/>
          <w:i/>
          <w:iCs/>
          <w:sz w:val="24"/>
          <w:szCs w:val="24"/>
        </w:rPr>
        <w:t>Jansen Potash Project, Canada</w:t>
      </w:r>
      <w:r w:rsidRPr="00640C71">
        <w:rPr>
          <w:rFonts w:ascii="Arial" w:hAnsi="Arial" w:cs="Arial"/>
          <w:sz w:val="24"/>
          <w:szCs w:val="24"/>
        </w:rPr>
        <w:t xml:space="preserve">. Available at: </w:t>
      </w:r>
      <w:hyperlink r:id="rId38" w:history="1">
        <w:r w:rsidRPr="00640C71">
          <w:rPr>
            <w:rStyle w:val="Hyperlink"/>
            <w:rFonts w:ascii="Arial" w:hAnsi="Arial" w:cs="Arial"/>
            <w:sz w:val="24"/>
            <w:szCs w:val="24"/>
          </w:rPr>
          <w:t>https://www.nsenergybusiness.com/projects/jansen-potash-project-canada/</w:t>
        </w:r>
      </w:hyperlink>
      <w:r w:rsidRPr="00640C71">
        <w:rPr>
          <w:rFonts w:ascii="Arial" w:hAnsi="Arial" w:cs="Arial"/>
          <w:sz w:val="24"/>
          <w:szCs w:val="24"/>
        </w:rPr>
        <w:t xml:space="preserve"> [Accessed on 25 September 2026]</w:t>
      </w:r>
    </w:p>
    <w:p w14:paraId="2528944C"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rPr>
        <w:t xml:space="preserve">phys.org, (2026).  </w:t>
      </w:r>
      <w:r w:rsidRPr="00640C71">
        <w:rPr>
          <w:rFonts w:ascii="Arial" w:hAnsi="Arial" w:cs="Arial"/>
          <w:i/>
          <w:sz w:val="24"/>
        </w:rPr>
        <w:t>Australia can get to zero carbon emissions, and grow the economy</w:t>
      </w:r>
      <w:r w:rsidRPr="00640C71">
        <w:rPr>
          <w:rFonts w:ascii="Arial" w:hAnsi="Arial" w:cs="Arial"/>
          <w:sz w:val="24"/>
        </w:rPr>
        <w:t xml:space="preserve">. Available at: </w:t>
      </w:r>
      <w:hyperlink r:id="rId39" w:history="1">
        <w:r w:rsidRPr="00640C71">
          <w:rPr>
            <w:rStyle w:val="Hyperlink"/>
            <w:rFonts w:ascii="Arial" w:hAnsi="Arial" w:cs="Arial"/>
            <w:sz w:val="24"/>
          </w:rPr>
          <w:t>https://phys.org/news/2014-09-australia-carbon-emissions-economy.html</w:t>
        </w:r>
      </w:hyperlink>
      <w:r w:rsidRPr="00640C71">
        <w:rPr>
          <w:rFonts w:ascii="Arial" w:hAnsi="Arial" w:cs="Arial"/>
          <w:sz w:val="24"/>
        </w:rPr>
        <w:t xml:space="preserve"> </w:t>
      </w:r>
      <w:r w:rsidRPr="00640C71">
        <w:rPr>
          <w:rFonts w:ascii="Arial" w:hAnsi="Arial" w:cs="Arial"/>
          <w:sz w:val="24"/>
          <w:szCs w:val="24"/>
        </w:rPr>
        <w:t>[Accessed on 15 September 2026]</w:t>
      </w:r>
    </w:p>
    <w:p w14:paraId="20CDF337" w14:textId="77777777" w:rsidR="00905391" w:rsidRPr="00640C71" w:rsidRDefault="00905391" w:rsidP="00881A4A">
      <w:pPr>
        <w:spacing w:line="360" w:lineRule="auto"/>
        <w:jc w:val="both"/>
        <w:rPr>
          <w:rStyle w:val="Hyperlink"/>
          <w:rFonts w:ascii="Arial" w:hAnsi="Arial" w:cs="Arial"/>
          <w:sz w:val="24"/>
          <w:szCs w:val="24"/>
        </w:rPr>
      </w:pPr>
      <w:r w:rsidRPr="00640C71">
        <w:rPr>
          <w:rFonts w:ascii="Arial" w:hAnsi="Arial" w:cs="Arial"/>
          <w:sz w:val="24"/>
          <w:szCs w:val="24"/>
        </w:rPr>
        <w:t xml:space="preserve">Ramachandran, A., (2026). </w:t>
      </w:r>
      <w:r w:rsidRPr="00640C71">
        <w:rPr>
          <w:rFonts w:ascii="Arial" w:hAnsi="Arial" w:cs="Arial"/>
          <w:i/>
          <w:sz w:val="24"/>
          <w:szCs w:val="24"/>
        </w:rPr>
        <w:t>The European Carbon Border Adjustment Mechanism (CBAM)</w:t>
      </w:r>
      <w:r w:rsidRPr="00640C71">
        <w:rPr>
          <w:rFonts w:ascii="Arial" w:hAnsi="Arial" w:cs="Arial"/>
          <w:sz w:val="24"/>
          <w:szCs w:val="24"/>
        </w:rPr>
        <w:t xml:space="preserve">. Available at: </w:t>
      </w:r>
      <w:hyperlink r:id="rId40" w:history="1">
        <w:r w:rsidRPr="00640C71">
          <w:rPr>
            <w:rStyle w:val="Hyperlink"/>
            <w:rFonts w:ascii="Arial" w:hAnsi="Arial" w:cs="Arial"/>
            <w:sz w:val="24"/>
            <w:szCs w:val="24"/>
          </w:rPr>
          <w:t>https://oneclicklca.com/en/resources/articles/european-carbon-border-adjustment-mechanism</w:t>
        </w:r>
      </w:hyperlink>
      <w:r w:rsidRPr="00640C71">
        <w:rPr>
          <w:rFonts w:ascii="Arial" w:hAnsi="Arial" w:cs="Arial"/>
          <w:sz w:val="24"/>
          <w:szCs w:val="24"/>
        </w:rPr>
        <w:t xml:space="preserve"> [Accessed on 17 September 2026]</w:t>
      </w:r>
    </w:p>
    <w:p w14:paraId="17F84306"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Skarn, (2024). BHP decarbonisation roadmap. Available at: </w:t>
      </w:r>
      <w:hyperlink r:id="rId41" w:history="1">
        <w:r w:rsidRPr="00640C71">
          <w:rPr>
            <w:rStyle w:val="Hyperlink"/>
            <w:rFonts w:ascii="Arial" w:hAnsi="Arial" w:cs="Arial"/>
            <w:sz w:val="24"/>
            <w:szCs w:val="24"/>
          </w:rPr>
          <w:t>https://www.skarnassociates.com/insights/bhp-decarbonisation-roadmap</w:t>
        </w:r>
      </w:hyperlink>
      <w:r w:rsidRPr="00640C71">
        <w:rPr>
          <w:rFonts w:ascii="Arial" w:hAnsi="Arial" w:cs="Arial"/>
          <w:sz w:val="24"/>
          <w:szCs w:val="24"/>
        </w:rPr>
        <w:t xml:space="preserve"> [Accessed: 16 September 2026]</w:t>
      </w:r>
    </w:p>
    <w:p w14:paraId="411B5017" w14:textId="1508EF41" w:rsidR="000C6425" w:rsidRPr="00640C71" w:rsidRDefault="000C6425" w:rsidP="002231EA">
      <w:pPr>
        <w:spacing w:line="360" w:lineRule="auto"/>
        <w:jc w:val="both"/>
        <w:rPr>
          <w:rFonts w:ascii="Arial" w:hAnsi="Arial" w:cs="Arial"/>
          <w:sz w:val="24"/>
          <w:szCs w:val="24"/>
        </w:rPr>
      </w:pPr>
      <w:proofErr w:type="spellStart"/>
      <w:r w:rsidRPr="00640C71">
        <w:rPr>
          <w:rFonts w:ascii="Arial" w:hAnsi="Arial" w:cs="Arial"/>
          <w:sz w:val="24"/>
          <w:szCs w:val="24"/>
        </w:rPr>
        <w:t>SteelRadar</w:t>
      </w:r>
      <w:proofErr w:type="spellEnd"/>
      <w:r w:rsidRPr="00640C71">
        <w:rPr>
          <w:rFonts w:ascii="Arial" w:hAnsi="Arial" w:cs="Arial"/>
          <w:sz w:val="24"/>
          <w:szCs w:val="24"/>
        </w:rPr>
        <w:t xml:space="preserve">, (2026), </w:t>
      </w:r>
      <w:r w:rsidRPr="00640C71">
        <w:rPr>
          <w:rFonts w:ascii="Arial" w:hAnsi="Arial" w:cs="Arial"/>
          <w:i/>
          <w:sz w:val="24"/>
          <w:szCs w:val="24"/>
        </w:rPr>
        <w:t xml:space="preserve">BHP and China </w:t>
      </w:r>
      <w:proofErr w:type="spellStart"/>
      <w:r w:rsidRPr="00640C71">
        <w:rPr>
          <w:rFonts w:ascii="Arial" w:hAnsi="Arial" w:cs="Arial"/>
          <w:i/>
          <w:sz w:val="24"/>
          <w:szCs w:val="24"/>
        </w:rPr>
        <w:t>Baowu</w:t>
      </w:r>
      <w:proofErr w:type="spellEnd"/>
      <w:r w:rsidRPr="00640C71">
        <w:rPr>
          <w:rFonts w:ascii="Arial" w:hAnsi="Arial" w:cs="Arial"/>
          <w:i/>
          <w:sz w:val="24"/>
          <w:szCs w:val="24"/>
        </w:rPr>
        <w:t xml:space="preserve"> cooperation of low carbon steel</w:t>
      </w:r>
      <w:r w:rsidRPr="00640C71">
        <w:rPr>
          <w:rFonts w:ascii="Arial" w:hAnsi="Arial" w:cs="Arial"/>
          <w:sz w:val="24"/>
          <w:szCs w:val="24"/>
        </w:rPr>
        <w:t xml:space="preserve">. Available at: </w:t>
      </w:r>
      <w:hyperlink r:id="rId42" w:history="1">
        <w:r w:rsidRPr="00640C71">
          <w:rPr>
            <w:rStyle w:val="Hyperlink"/>
            <w:rFonts w:ascii="Arial" w:hAnsi="Arial" w:cs="Arial"/>
            <w:sz w:val="24"/>
            <w:szCs w:val="24"/>
          </w:rPr>
          <w:t>https://www.steelradar.com/en/haber/bhp-and-china-baowu-renew-cooperation-on-low-carbon-steel/</w:t>
        </w:r>
      </w:hyperlink>
      <w:r w:rsidRPr="00640C71">
        <w:rPr>
          <w:rFonts w:ascii="Arial" w:hAnsi="Arial" w:cs="Arial"/>
          <w:sz w:val="24"/>
          <w:szCs w:val="24"/>
        </w:rPr>
        <w:t xml:space="preserve"> [Accessed: 11 September 2026]</w:t>
      </w:r>
    </w:p>
    <w:p w14:paraId="2A2FFFF1"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transitionasia.org, (2026). </w:t>
      </w:r>
      <w:r w:rsidRPr="00640C71">
        <w:rPr>
          <w:rFonts w:ascii="Arial" w:hAnsi="Arial" w:cs="Arial"/>
          <w:i/>
          <w:sz w:val="24"/>
          <w:szCs w:val="24"/>
        </w:rPr>
        <w:t>JFE AGM 2026 Information Pack</w:t>
      </w:r>
      <w:r w:rsidRPr="00640C71">
        <w:rPr>
          <w:rFonts w:ascii="Arial" w:hAnsi="Arial" w:cs="Arial"/>
          <w:sz w:val="24"/>
          <w:szCs w:val="24"/>
        </w:rPr>
        <w:t xml:space="preserve">. Available at: </w:t>
      </w:r>
      <w:hyperlink r:id="rId43" w:history="1">
        <w:r w:rsidRPr="00640C71">
          <w:rPr>
            <w:rStyle w:val="Hyperlink"/>
            <w:rFonts w:ascii="Arial" w:hAnsi="Arial" w:cs="Arial"/>
            <w:sz w:val="24"/>
            <w:szCs w:val="24"/>
          </w:rPr>
          <w:t>https://transitionasia.org/jfe-agm-2026-information-pack/</w:t>
        </w:r>
      </w:hyperlink>
      <w:r w:rsidRPr="00640C71">
        <w:rPr>
          <w:rStyle w:val="Hyperlink"/>
          <w:rFonts w:ascii="Arial" w:hAnsi="Arial" w:cs="Arial"/>
          <w:sz w:val="24"/>
          <w:szCs w:val="24"/>
        </w:rPr>
        <w:t xml:space="preserve"> </w:t>
      </w:r>
      <w:r w:rsidRPr="00640C71">
        <w:rPr>
          <w:rFonts w:ascii="Arial" w:hAnsi="Arial" w:cs="Arial"/>
          <w:sz w:val="24"/>
          <w:szCs w:val="24"/>
        </w:rPr>
        <w:t>[Accessed on 20 September 2026]</w:t>
      </w:r>
    </w:p>
    <w:p w14:paraId="0E7A9453" w14:textId="77777777" w:rsidR="00905391" w:rsidRPr="00640C71" w:rsidRDefault="00905391" w:rsidP="002231EA">
      <w:pPr>
        <w:spacing w:line="360" w:lineRule="auto"/>
        <w:jc w:val="both"/>
        <w:rPr>
          <w:rFonts w:ascii="Arial" w:hAnsi="Arial" w:cs="Arial"/>
          <w:sz w:val="24"/>
          <w:szCs w:val="24"/>
        </w:rPr>
      </w:pPr>
      <w:proofErr w:type="spellStart"/>
      <w:r w:rsidRPr="00640C71">
        <w:rPr>
          <w:rFonts w:ascii="Arial" w:hAnsi="Arial" w:cs="Arial"/>
          <w:sz w:val="24"/>
          <w:szCs w:val="24"/>
        </w:rPr>
        <w:t>Umbrex</w:t>
      </w:r>
      <w:proofErr w:type="spellEnd"/>
      <w:r w:rsidRPr="00640C71">
        <w:rPr>
          <w:rFonts w:ascii="Arial" w:hAnsi="Arial" w:cs="Arial"/>
          <w:sz w:val="24"/>
          <w:szCs w:val="24"/>
        </w:rPr>
        <w:t xml:space="preserve">, (2025). </w:t>
      </w:r>
      <w:r w:rsidRPr="00640C71">
        <w:rPr>
          <w:rFonts w:ascii="Arial" w:hAnsi="Arial" w:cs="Arial"/>
          <w:i/>
          <w:sz w:val="24"/>
          <w:szCs w:val="24"/>
        </w:rPr>
        <w:t>BHP Strategy and Business Model</w:t>
      </w:r>
      <w:r w:rsidRPr="00640C71">
        <w:rPr>
          <w:rFonts w:ascii="Arial" w:hAnsi="Arial" w:cs="Arial"/>
          <w:sz w:val="24"/>
          <w:szCs w:val="24"/>
        </w:rPr>
        <w:t xml:space="preserve">. Available at: </w:t>
      </w:r>
      <w:hyperlink r:id="rId44" w:history="1">
        <w:r w:rsidRPr="00640C71">
          <w:rPr>
            <w:rStyle w:val="Hyperlink"/>
            <w:rFonts w:ascii="Arial" w:hAnsi="Arial" w:cs="Arial"/>
            <w:sz w:val="24"/>
            <w:szCs w:val="24"/>
          </w:rPr>
          <w:t>https://umbrex.com/resources/company-profiles/bhp-group-ltd/</w:t>
        </w:r>
      </w:hyperlink>
      <w:r w:rsidRPr="00640C71">
        <w:rPr>
          <w:rFonts w:ascii="Arial" w:hAnsi="Arial" w:cs="Arial"/>
          <w:sz w:val="24"/>
          <w:szCs w:val="24"/>
        </w:rPr>
        <w:t xml:space="preserve"> [Accessed on 17 September 2026]</w:t>
      </w:r>
    </w:p>
    <w:p w14:paraId="0F98EA7B" w14:textId="77777777" w:rsidR="00905391" w:rsidRPr="00640C71" w:rsidRDefault="00905391" w:rsidP="002231EA">
      <w:pPr>
        <w:spacing w:line="360" w:lineRule="auto"/>
        <w:jc w:val="both"/>
        <w:rPr>
          <w:rStyle w:val="Hyperlink"/>
          <w:rFonts w:ascii="Arial" w:hAnsi="Arial" w:cs="Arial"/>
          <w:sz w:val="24"/>
          <w:szCs w:val="24"/>
        </w:rPr>
      </w:pPr>
      <w:r w:rsidRPr="00640C71">
        <w:rPr>
          <w:rFonts w:ascii="Arial" w:hAnsi="Arial" w:cs="Arial"/>
          <w:sz w:val="24"/>
          <w:szCs w:val="24"/>
        </w:rPr>
        <w:t xml:space="preserve">Varga, R., (2024). </w:t>
      </w:r>
      <w:r w:rsidRPr="00640C71">
        <w:rPr>
          <w:rFonts w:ascii="Arial" w:hAnsi="Arial" w:cs="Arial"/>
          <w:i/>
          <w:sz w:val="24"/>
          <w:szCs w:val="24"/>
        </w:rPr>
        <w:t>Mining giant BHP warned Albanese Government months ago ‘Nature Positive’ legislation would create big issues</w:t>
      </w:r>
      <w:r w:rsidRPr="00640C71">
        <w:rPr>
          <w:rFonts w:ascii="Arial" w:hAnsi="Arial" w:cs="Arial"/>
          <w:sz w:val="24"/>
          <w:szCs w:val="24"/>
        </w:rPr>
        <w:t xml:space="preserve">. Available at: </w:t>
      </w:r>
      <w:r w:rsidRPr="00640C71">
        <w:rPr>
          <w:rStyle w:val="Hyperlink"/>
          <w:rFonts w:ascii="Arial" w:hAnsi="Arial" w:cs="Arial"/>
          <w:sz w:val="24"/>
          <w:szCs w:val="24"/>
        </w:rPr>
        <w:t xml:space="preserve">https://thenightly.com.au/politics/mining-giant-bhp-warned-albanese-government-months-ago-nature-positive-legislation-would-create-big-issues-c-13932763 </w:t>
      </w:r>
      <w:r w:rsidRPr="00640C71">
        <w:rPr>
          <w:rFonts w:ascii="Arial" w:hAnsi="Arial" w:cs="Arial"/>
          <w:sz w:val="24"/>
          <w:szCs w:val="24"/>
        </w:rPr>
        <w:t>[Accessed on 18 September 2026]</w:t>
      </w:r>
    </w:p>
    <w:p w14:paraId="7868183E" w14:textId="77777777" w:rsidR="00905391" w:rsidRPr="00640C71" w:rsidRDefault="00905391" w:rsidP="002231EA">
      <w:pPr>
        <w:spacing w:line="360" w:lineRule="auto"/>
        <w:jc w:val="both"/>
        <w:rPr>
          <w:rFonts w:ascii="Arial" w:hAnsi="Arial" w:cs="Arial"/>
          <w:sz w:val="24"/>
          <w:szCs w:val="24"/>
        </w:rPr>
      </w:pPr>
      <w:r w:rsidRPr="00640C71">
        <w:rPr>
          <w:rFonts w:ascii="Arial" w:hAnsi="Arial" w:cs="Arial"/>
          <w:sz w:val="24"/>
          <w:szCs w:val="24"/>
        </w:rPr>
        <w:t xml:space="preserve">Yu, </w:t>
      </w:r>
      <w:proofErr w:type="spellStart"/>
      <w:r w:rsidRPr="00640C71">
        <w:rPr>
          <w:rFonts w:ascii="Arial" w:hAnsi="Arial" w:cs="Arial"/>
          <w:sz w:val="24"/>
          <w:szCs w:val="24"/>
        </w:rPr>
        <w:t>Haoting</w:t>
      </w:r>
      <w:proofErr w:type="spellEnd"/>
      <w:r w:rsidRPr="00640C71">
        <w:rPr>
          <w:rFonts w:ascii="Arial" w:hAnsi="Arial" w:cs="Arial"/>
          <w:sz w:val="24"/>
          <w:szCs w:val="24"/>
        </w:rPr>
        <w:t>. (2023). Strategies in Corporate Finance and Risks Assessment to Improve Profitability--Taking McDonald’s as an Example. Advances in Economics, Management and Political Sciences. 20. 72-80. 10.54254/2754-1169/20/20230175.</w:t>
      </w:r>
    </w:p>
    <w:p w14:paraId="4A4A662E" w14:textId="0FDA24E1" w:rsidR="00032954" w:rsidRPr="005F423B" w:rsidRDefault="00905391" w:rsidP="00032954">
      <w:pPr>
        <w:spacing w:line="360" w:lineRule="auto"/>
        <w:jc w:val="both"/>
        <w:rPr>
          <w:rFonts w:ascii="Arial" w:hAnsi="Arial" w:cs="Arial"/>
          <w:sz w:val="24"/>
          <w:szCs w:val="24"/>
        </w:rPr>
      </w:pPr>
      <w:r w:rsidRPr="00640C71">
        <w:rPr>
          <w:rFonts w:ascii="Arial" w:hAnsi="Arial" w:cs="Arial"/>
          <w:sz w:val="24"/>
          <w:szCs w:val="24"/>
        </w:rPr>
        <w:t xml:space="preserve">Zugay, B., 2023. </w:t>
      </w:r>
      <w:r w:rsidRPr="00640C71">
        <w:rPr>
          <w:rFonts w:ascii="Arial" w:hAnsi="Arial" w:cs="Arial"/>
          <w:i/>
          <w:iCs/>
          <w:sz w:val="24"/>
          <w:szCs w:val="24"/>
        </w:rPr>
        <w:t>Ansoff matrix</w:t>
      </w:r>
      <w:r w:rsidRPr="00640C71">
        <w:rPr>
          <w:rFonts w:ascii="Arial" w:hAnsi="Arial" w:cs="Arial"/>
          <w:sz w:val="24"/>
          <w:szCs w:val="24"/>
        </w:rPr>
        <w:t>. SAGE Publications, Inc..</w:t>
      </w:r>
    </w:p>
    <w:sectPr w:rsidR="00032954" w:rsidRPr="005F423B" w:rsidSect="008F4AD7">
      <w:footerReference w:type="default" r:id="rId4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F05E6" w14:textId="77777777" w:rsidR="00976135" w:rsidRDefault="00976135" w:rsidP="00BE6170">
      <w:pPr>
        <w:spacing w:after="0"/>
      </w:pPr>
      <w:r>
        <w:separator/>
      </w:r>
    </w:p>
  </w:endnote>
  <w:endnote w:type="continuationSeparator" w:id="0">
    <w:p w14:paraId="5C3CE3A1" w14:textId="77777777" w:rsidR="00976135" w:rsidRDefault="00976135" w:rsidP="00BE617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rPr>
      <w:id w:val="439115669"/>
      <w:docPartObj>
        <w:docPartGallery w:val="Page Numbers (Bottom of Page)"/>
        <w:docPartUnique/>
      </w:docPartObj>
    </w:sdtPr>
    <w:sdtEndPr>
      <w:rPr>
        <w:noProof/>
      </w:rPr>
    </w:sdtEndPr>
    <w:sdtContent>
      <w:p w14:paraId="200450B6" w14:textId="6C22C618" w:rsidR="0050362A" w:rsidRPr="00032954" w:rsidRDefault="0050362A">
        <w:pPr>
          <w:pStyle w:val="Footer"/>
          <w:jc w:val="right"/>
          <w:rPr>
            <w:rFonts w:ascii="Times New Roman" w:hAnsi="Times New Roman" w:cs="Times New Roman"/>
            <w:sz w:val="20"/>
          </w:rPr>
        </w:pPr>
        <w:r w:rsidRPr="00032954">
          <w:rPr>
            <w:rFonts w:ascii="Times New Roman" w:hAnsi="Times New Roman" w:cs="Times New Roman"/>
            <w:sz w:val="20"/>
          </w:rPr>
          <w:fldChar w:fldCharType="begin"/>
        </w:r>
        <w:r w:rsidRPr="00032954">
          <w:rPr>
            <w:rFonts w:ascii="Times New Roman" w:hAnsi="Times New Roman" w:cs="Times New Roman"/>
            <w:sz w:val="20"/>
          </w:rPr>
          <w:instrText xml:space="preserve"> PAGE   \* MERGEFORMAT </w:instrText>
        </w:r>
        <w:r w:rsidRPr="00032954">
          <w:rPr>
            <w:rFonts w:ascii="Times New Roman" w:hAnsi="Times New Roman" w:cs="Times New Roman"/>
            <w:sz w:val="20"/>
          </w:rPr>
          <w:fldChar w:fldCharType="separate"/>
        </w:r>
        <w:r w:rsidR="007820CD">
          <w:rPr>
            <w:rFonts w:ascii="Times New Roman" w:hAnsi="Times New Roman" w:cs="Times New Roman"/>
            <w:noProof/>
            <w:sz w:val="20"/>
          </w:rPr>
          <w:t>1</w:t>
        </w:r>
        <w:r w:rsidR="007820CD">
          <w:rPr>
            <w:rFonts w:ascii="Times New Roman" w:hAnsi="Times New Roman" w:cs="Times New Roman"/>
            <w:noProof/>
            <w:sz w:val="20"/>
          </w:rPr>
          <w:t>7</w:t>
        </w:r>
        <w:r w:rsidRPr="00032954">
          <w:rPr>
            <w:rFonts w:ascii="Times New Roman" w:hAnsi="Times New Roman" w:cs="Times New Roman"/>
            <w:noProof/>
            <w:sz w:val="20"/>
          </w:rPr>
          <w:fldChar w:fldCharType="end"/>
        </w:r>
      </w:p>
    </w:sdtContent>
  </w:sdt>
  <w:p w14:paraId="7D9D174D" w14:textId="77777777" w:rsidR="0050362A" w:rsidRPr="00032954" w:rsidRDefault="0050362A">
    <w:pPr>
      <w:pStyle w:val="Footer"/>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4F042" w14:textId="77777777" w:rsidR="00976135" w:rsidRDefault="00976135" w:rsidP="00BE6170">
      <w:pPr>
        <w:spacing w:after="0"/>
      </w:pPr>
      <w:r>
        <w:separator/>
      </w:r>
    </w:p>
  </w:footnote>
  <w:footnote w:type="continuationSeparator" w:id="0">
    <w:p w14:paraId="52DE3FC2" w14:textId="77777777" w:rsidR="00976135" w:rsidRDefault="00976135" w:rsidP="00BE617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75355"/>
    <w:multiLevelType w:val="hybridMultilevel"/>
    <w:tmpl w:val="8188B5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0A74602"/>
    <w:multiLevelType w:val="hybridMultilevel"/>
    <w:tmpl w:val="FF18D6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8E55B1D"/>
    <w:multiLevelType w:val="hybridMultilevel"/>
    <w:tmpl w:val="8DDEEB10"/>
    <w:lvl w:ilvl="0" w:tplc="40090001">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A050ABC"/>
    <w:multiLevelType w:val="hybridMultilevel"/>
    <w:tmpl w:val="591CF2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B8465BF"/>
    <w:multiLevelType w:val="multilevel"/>
    <w:tmpl w:val="DC1478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337704"/>
    <w:multiLevelType w:val="hybridMultilevel"/>
    <w:tmpl w:val="03EA83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3174936">
    <w:abstractNumId w:val="4"/>
  </w:num>
  <w:num w:numId="2" w16cid:durableId="1824272781">
    <w:abstractNumId w:val="3"/>
  </w:num>
  <w:num w:numId="3" w16cid:durableId="321348946">
    <w:abstractNumId w:val="0"/>
  </w:num>
  <w:num w:numId="4" w16cid:durableId="1869684826">
    <w:abstractNumId w:val="5"/>
  </w:num>
  <w:num w:numId="5" w16cid:durableId="476342699">
    <w:abstractNumId w:val="1"/>
  </w:num>
  <w:num w:numId="6" w16cid:durableId="10879208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F3F"/>
    <w:rsid w:val="0002771F"/>
    <w:rsid w:val="00032954"/>
    <w:rsid w:val="00045912"/>
    <w:rsid w:val="000658F0"/>
    <w:rsid w:val="00066ED8"/>
    <w:rsid w:val="000739DA"/>
    <w:rsid w:val="00077786"/>
    <w:rsid w:val="000904F2"/>
    <w:rsid w:val="00090E1B"/>
    <w:rsid w:val="000C6425"/>
    <w:rsid w:val="000D0F43"/>
    <w:rsid w:val="000D17B3"/>
    <w:rsid w:val="000D3BD5"/>
    <w:rsid w:val="000E27F6"/>
    <w:rsid w:val="000F01D0"/>
    <w:rsid w:val="00106938"/>
    <w:rsid w:val="00136859"/>
    <w:rsid w:val="0017511D"/>
    <w:rsid w:val="00193564"/>
    <w:rsid w:val="001D0A8E"/>
    <w:rsid w:val="001E42CC"/>
    <w:rsid w:val="001E652B"/>
    <w:rsid w:val="001F634E"/>
    <w:rsid w:val="00204A3F"/>
    <w:rsid w:val="00220E11"/>
    <w:rsid w:val="002231EA"/>
    <w:rsid w:val="00240684"/>
    <w:rsid w:val="00271A50"/>
    <w:rsid w:val="00293FA8"/>
    <w:rsid w:val="002A0D70"/>
    <w:rsid w:val="002B2FE1"/>
    <w:rsid w:val="002B57DA"/>
    <w:rsid w:val="002C732A"/>
    <w:rsid w:val="002E7981"/>
    <w:rsid w:val="00301B95"/>
    <w:rsid w:val="00314211"/>
    <w:rsid w:val="0032582A"/>
    <w:rsid w:val="00331978"/>
    <w:rsid w:val="00333048"/>
    <w:rsid w:val="00361137"/>
    <w:rsid w:val="00361B71"/>
    <w:rsid w:val="00386567"/>
    <w:rsid w:val="003930A1"/>
    <w:rsid w:val="00396133"/>
    <w:rsid w:val="003A319E"/>
    <w:rsid w:val="003B0054"/>
    <w:rsid w:val="003D5EF7"/>
    <w:rsid w:val="003E68B0"/>
    <w:rsid w:val="003F26C6"/>
    <w:rsid w:val="00407FB0"/>
    <w:rsid w:val="0041016B"/>
    <w:rsid w:val="00430106"/>
    <w:rsid w:val="00434145"/>
    <w:rsid w:val="00447F2F"/>
    <w:rsid w:val="00462753"/>
    <w:rsid w:val="00474DE4"/>
    <w:rsid w:val="00482FD2"/>
    <w:rsid w:val="004C3616"/>
    <w:rsid w:val="004D508E"/>
    <w:rsid w:val="0050362A"/>
    <w:rsid w:val="00507F08"/>
    <w:rsid w:val="00511F3F"/>
    <w:rsid w:val="005168F3"/>
    <w:rsid w:val="005525F2"/>
    <w:rsid w:val="00590F3A"/>
    <w:rsid w:val="005B287D"/>
    <w:rsid w:val="005C1F80"/>
    <w:rsid w:val="005C6495"/>
    <w:rsid w:val="005D6EB1"/>
    <w:rsid w:val="005F423B"/>
    <w:rsid w:val="0060571A"/>
    <w:rsid w:val="00613CF4"/>
    <w:rsid w:val="006169CD"/>
    <w:rsid w:val="00625B42"/>
    <w:rsid w:val="00631A76"/>
    <w:rsid w:val="00640C71"/>
    <w:rsid w:val="0064165D"/>
    <w:rsid w:val="006543B7"/>
    <w:rsid w:val="00663CAC"/>
    <w:rsid w:val="00663EE4"/>
    <w:rsid w:val="006729C7"/>
    <w:rsid w:val="0069157A"/>
    <w:rsid w:val="006A71D8"/>
    <w:rsid w:val="006F74E0"/>
    <w:rsid w:val="00712DCA"/>
    <w:rsid w:val="00726E39"/>
    <w:rsid w:val="00753575"/>
    <w:rsid w:val="00760C45"/>
    <w:rsid w:val="007820CD"/>
    <w:rsid w:val="007924EB"/>
    <w:rsid w:val="007B1E01"/>
    <w:rsid w:val="007C3B0B"/>
    <w:rsid w:val="007D6FC3"/>
    <w:rsid w:val="007E3A67"/>
    <w:rsid w:val="007E7412"/>
    <w:rsid w:val="00843B74"/>
    <w:rsid w:val="00843D4B"/>
    <w:rsid w:val="0084776D"/>
    <w:rsid w:val="00881490"/>
    <w:rsid w:val="00881A4A"/>
    <w:rsid w:val="008B0FA3"/>
    <w:rsid w:val="008E7FD6"/>
    <w:rsid w:val="008F4AD7"/>
    <w:rsid w:val="008F515A"/>
    <w:rsid w:val="00905391"/>
    <w:rsid w:val="00914F3A"/>
    <w:rsid w:val="0094180A"/>
    <w:rsid w:val="00943B87"/>
    <w:rsid w:val="00946C7D"/>
    <w:rsid w:val="0096237C"/>
    <w:rsid w:val="00976135"/>
    <w:rsid w:val="00995EC5"/>
    <w:rsid w:val="009C43B9"/>
    <w:rsid w:val="009D3864"/>
    <w:rsid w:val="009F26D3"/>
    <w:rsid w:val="00A21B4C"/>
    <w:rsid w:val="00A27FB7"/>
    <w:rsid w:val="00A52CDE"/>
    <w:rsid w:val="00A555E0"/>
    <w:rsid w:val="00A669DE"/>
    <w:rsid w:val="00A80717"/>
    <w:rsid w:val="00A82F1A"/>
    <w:rsid w:val="00A87886"/>
    <w:rsid w:val="00AA44B6"/>
    <w:rsid w:val="00AB6B1E"/>
    <w:rsid w:val="00AC2A15"/>
    <w:rsid w:val="00AC66C1"/>
    <w:rsid w:val="00AD0DF8"/>
    <w:rsid w:val="00AD29F5"/>
    <w:rsid w:val="00AE23B6"/>
    <w:rsid w:val="00AF4276"/>
    <w:rsid w:val="00AF5879"/>
    <w:rsid w:val="00B317DE"/>
    <w:rsid w:val="00B47844"/>
    <w:rsid w:val="00B5207A"/>
    <w:rsid w:val="00B6647B"/>
    <w:rsid w:val="00B75A09"/>
    <w:rsid w:val="00B919DD"/>
    <w:rsid w:val="00BC4755"/>
    <w:rsid w:val="00BE6170"/>
    <w:rsid w:val="00BF4E9F"/>
    <w:rsid w:val="00C06EC3"/>
    <w:rsid w:val="00C12D2C"/>
    <w:rsid w:val="00C1334F"/>
    <w:rsid w:val="00C221D1"/>
    <w:rsid w:val="00C550E9"/>
    <w:rsid w:val="00C91131"/>
    <w:rsid w:val="00C9230E"/>
    <w:rsid w:val="00C96EB4"/>
    <w:rsid w:val="00CA64B8"/>
    <w:rsid w:val="00CD4033"/>
    <w:rsid w:val="00CE710C"/>
    <w:rsid w:val="00CF53DE"/>
    <w:rsid w:val="00CF5B3A"/>
    <w:rsid w:val="00D2509C"/>
    <w:rsid w:val="00D2591F"/>
    <w:rsid w:val="00D3015A"/>
    <w:rsid w:val="00D42A0C"/>
    <w:rsid w:val="00D461C8"/>
    <w:rsid w:val="00D5204E"/>
    <w:rsid w:val="00D706F7"/>
    <w:rsid w:val="00D97FDD"/>
    <w:rsid w:val="00DB72DF"/>
    <w:rsid w:val="00DD1095"/>
    <w:rsid w:val="00DD7B23"/>
    <w:rsid w:val="00DE24FD"/>
    <w:rsid w:val="00DF32E5"/>
    <w:rsid w:val="00DF5FA2"/>
    <w:rsid w:val="00E12DFA"/>
    <w:rsid w:val="00E16D92"/>
    <w:rsid w:val="00E17A66"/>
    <w:rsid w:val="00E26A2A"/>
    <w:rsid w:val="00E26F64"/>
    <w:rsid w:val="00E448B6"/>
    <w:rsid w:val="00E57B2A"/>
    <w:rsid w:val="00E835BC"/>
    <w:rsid w:val="00E91F2C"/>
    <w:rsid w:val="00E93FC8"/>
    <w:rsid w:val="00EA48EA"/>
    <w:rsid w:val="00EB6CC1"/>
    <w:rsid w:val="00EC4F6D"/>
    <w:rsid w:val="00ED008F"/>
    <w:rsid w:val="00ED0BCD"/>
    <w:rsid w:val="00EE5898"/>
    <w:rsid w:val="00EF54B0"/>
    <w:rsid w:val="00F01C7F"/>
    <w:rsid w:val="00F05E33"/>
    <w:rsid w:val="00F10708"/>
    <w:rsid w:val="00F142A3"/>
    <w:rsid w:val="00F22BFC"/>
    <w:rsid w:val="00F23B72"/>
    <w:rsid w:val="00F269BF"/>
    <w:rsid w:val="00F30826"/>
    <w:rsid w:val="00F34741"/>
    <w:rsid w:val="00F53A6E"/>
    <w:rsid w:val="00F560CC"/>
    <w:rsid w:val="00F77856"/>
    <w:rsid w:val="00F90AE1"/>
    <w:rsid w:val="00F96B01"/>
    <w:rsid w:val="00FB3839"/>
    <w:rsid w:val="00FB7EB3"/>
    <w:rsid w:val="00FC51B8"/>
  </w:rsids>
  <m:mathPr>
    <m:mathFont m:val="Cambria Math"/>
    <m:brkBin m:val="before"/>
    <m:brkBinSub m:val="--"/>
    <m:smallFrac/>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A7028"/>
  <w15:chartTrackingRefBased/>
  <w15:docId w15:val="{FBA56D5A-7738-4006-B260-C7A963FDA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FDD"/>
  </w:style>
  <w:style w:type="paragraph" w:styleId="Heading1">
    <w:name w:val="heading 1"/>
    <w:basedOn w:val="Normal"/>
    <w:next w:val="Normal"/>
    <w:link w:val="Heading1Char"/>
    <w:uiPriority w:val="9"/>
    <w:qFormat/>
    <w:rsid w:val="00032954"/>
    <w:pPr>
      <w:spacing w:line="360" w:lineRule="auto"/>
      <w:jc w:val="both"/>
      <w:outlineLvl w:val="0"/>
    </w:pPr>
    <w:rPr>
      <w:rFonts w:ascii="Times New Roman" w:hAnsi="Times New Roman" w:cs="Times New Roman"/>
      <w:b/>
      <w:sz w:val="28"/>
    </w:rPr>
  </w:style>
  <w:style w:type="paragraph" w:styleId="Heading2">
    <w:name w:val="heading 2"/>
    <w:basedOn w:val="Normal"/>
    <w:next w:val="Normal"/>
    <w:link w:val="Heading2Char"/>
    <w:uiPriority w:val="9"/>
    <w:unhideWhenUsed/>
    <w:qFormat/>
    <w:rsid w:val="00032954"/>
    <w:pPr>
      <w:spacing w:line="360" w:lineRule="auto"/>
      <w:jc w:val="both"/>
      <w:outlineLvl w:val="1"/>
    </w:pPr>
    <w:rPr>
      <w:rFonts w:ascii="Times New Roman" w:hAnsi="Times New Roman" w:cs="Times New Roman"/>
      <w:b/>
      <w:sz w:val="24"/>
    </w:rPr>
  </w:style>
  <w:style w:type="paragraph" w:styleId="Heading3">
    <w:name w:val="heading 3"/>
    <w:basedOn w:val="Normal"/>
    <w:link w:val="Heading3Char"/>
    <w:uiPriority w:val="9"/>
    <w:qFormat/>
    <w:rsid w:val="00032954"/>
    <w:pPr>
      <w:spacing w:line="360" w:lineRule="auto"/>
      <w:jc w:val="both"/>
      <w:outlineLvl w:val="2"/>
    </w:pPr>
    <w:rPr>
      <w:rFonts w:ascii="Times New Roman" w:hAnsi="Times New Roman" w:cs="Times New Roman"/>
      <w:b/>
      <w:sz w:val="24"/>
    </w:rPr>
  </w:style>
  <w:style w:type="paragraph" w:styleId="Heading4">
    <w:name w:val="heading 4"/>
    <w:basedOn w:val="Normal"/>
    <w:next w:val="Normal"/>
    <w:link w:val="Heading4Char"/>
    <w:uiPriority w:val="9"/>
    <w:unhideWhenUsed/>
    <w:qFormat/>
    <w:rsid w:val="0003295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170"/>
    <w:pPr>
      <w:tabs>
        <w:tab w:val="center" w:pos="4513"/>
        <w:tab w:val="right" w:pos="9026"/>
      </w:tabs>
      <w:spacing w:after="0"/>
    </w:pPr>
  </w:style>
  <w:style w:type="character" w:customStyle="1" w:styleId="HeaderChar">
    <w:name w:val="Header Char"/>
    <w:basedOn w:val="DefaultParagraphFont"/>
    <w:link w:val="Header"/>
    <w:uiPriority w:val="99"/>
    <w:rsid w:val="00BE6170"/>
  </w:style>
  <w:style w:type="paragraph" w:styleId="Footer">
    <w:name w:val="footer"/>
    <w:basedOn w:val="Normal"/>
    <w:link w:val="FooterChar"/>
    <w:uiPriority w:val="99"/>
    <w:unhideWhenUsed/>
    <w:rsid w:val="00BE6170"/>
    <w:pPr>
      <w:tabs>
        <w:tab w:val="center" w:pos="4513"/>
        <w:tab w:val="right" w:pos="9026"/>
      </w:tabs>
      <w:spacing w:after="0"/>
    </w:pPr>
  </w:style>
  <w:style w:type="character" w:customStyle="1" w:styleId="FooterChar">
    <w:name w:val="Footer Char"/>
    <w:basedOn w:val="DefaultParagraphFont"/>
    <w:link w:val="Footer"/>
    <w:uiPriority w:val="99"/>
    <w:rsid w:val="00BE6170"/>
  </w:style>
  <w:style w:type="paragraph" w:styleId="ListParagraph">
    <w:name w:val="List Paragraph"/>
    <w:basedOn w:val="Normal"/>
    <w:uiPriority w:val="34"/>
    <w:qFormat/>
    <w:rsid w:val="00914F3A"/>
    <w:pPr>
      <w:ind w:left="720"/>
      <w:contextualSpacing/>
    </w:pPr>
  </w:style>
  <w:style w:type="character" w:styleId="CommentReference">
    <w:name w:val="annotation reference"/>
    <w:basedOn w:val="DefaultParagraphFont"/>
    <w:uiPriority w:val="99"/>
    <w:semiHidden/>
    <w:unhideWhenUsed/>
    <w:rsid w:val="00C221D1"/>
    <w:rPr>
      <w:sz w:val="16"/>
      <w:szCs w:val="16"/>
    </w:rPr>
  </w:style>
  <w:style w:type="paragraph" w:styleId="CommentText">
    <w:name w:val="annotation text"/>
    <w:basedOn w:val="Normal"/>
    <w:link w:val="CommentTextChar"/>
    <w:uiPriority w:val="99"/>
    <w:semiHidden/>
    <w:unhideWhenUsed/>
    <w:rsid w:val="00C221D1"/>
    <w:rPr>
      <w:sz w:val="20"/>
      <w:szCs w:val="20"/>
    </w:rPr>
  </w:style>
  <w:style w:type="character" w:customStyle="1" w:styleId="CommentTextChar">
    <w:name w:val="Comment Text Char"/>
    <w:basedOn w:val="DefaultParagraphFont"/>
    <w:link w:val="CommentText"/>
    <w:uiPriority w:val="99"/>
    <w:semiHidden/>
    <w:rsid w:val="00C221D1"/>
    <w:rPr>
      <w:sz w:val="20"/>
      <w:szCs w:val="20"/>
    </w:rPr>
  </w:style>
  <w:style w:type="paragraph" w:styleId="CommentSubject">
    <w:name w:val="annotation subject"/>
    <w:basedOn w:val="CommentText"/>
    <w:next w:val="CommentText"/>
    <w:link w:val="CommentSubjectChar"/>
    <w:uiPriority w:val="99"/>
    <w:semiHidden/>
    <w:unhideWhenUsed/>
    <w:rsid w:val="00C221D1"/>
    <w:rPr>
      <w:b/>
      <w:bCs/>
    </w:rPr>
  </w:style>
  <w:style w:type="character" w:customStyle="1" w:styleId="CommentSubjectChar">
    <w:name w:val="Comment Subject Char"/>
    <w:basedOn w:val="CommentTextChar"/>
    <w:link w:val="CommentSubject"/>
    <w:uiPriority w:val="99"/>
    <w:semiHidden/>
    <w:rsid w:val="00C221D1"/>
    <w:rPr>
      <w:b/>
      <w:bCs/>
      <w:sz w:val="20"/>
      <w:szCs w:val="20"/>
    </w:rPr>
  </w:style>
  <w:style w:type="paragraph" w:styleId="BalloonText">
    <w:name w:val="Balloon Text"/>
    <w:basedOn w:val="Normal"/>
    <w:link w:val="BalloonTextChar"/>
    <w:uiPriority w:val="99"/>
    <w:semiHidden/>
    <w:unhideWhenUsed/>
    <w:rsid w:val="00C221D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21D1"/>
    <w:rPr>
      <w:rFonts w:ascii="Segoe UI" w:hAnsi="Segoe UI" w:cs="Segoe UI"/>
      <w:sz w:val="18"/>
      <w:szCs w:val="18"/>
    </w:rPr>
  </w:style>
  <w:style w:type="character" w:styleId="Hyperlink">
    <w:name w:val="Hyperlink"/>
    <w:basedOn w:val="DefaultParagraphFont"/>
    <w:uiPriority w:val="99"/>
    <w:unhideWhenUsed/>
    <w:rsid w:val="000E27F6"/>
    <w:rPr>
      <w:color w:val="0563C1" w:themeColor="hyperlink"/>
      <w:u w:val="single"/>
    </w:rPr>
  </w:style>
  <w:style w:type="table" w:styleId="TableGrid">
    <w:name w:val="Table Grid"/>
    <w:basedOn w:val="TableNormal"/>
    <w:uiPriority w:val="39"/>
    <w:rsid w:val="00A21B4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96EB4"/>
    <w:pPr>
      <w:spacing w:before="100" w:beforeAutospacing="1"/>
    </w:pPr>
    <w:rPr>
      <w:rFonts w:ascii="Times New Roman" w:eastAsia="Times New Roman" w:hAnsi="Times New Roman" w:cs="Times New Roman"/>
      <w:sz w:val="24"/>
      <w:szCs w:val="24"/>
      <w:lang w:eastAsia="en-IN"/>
    </w:rPr>
  </w:style>
  <w:style w:type="character" w:customStyle="1" w:styleId="Heading3Char">
    <w:name w:val="Heading 3 Char"/>
    <w:basedOn w:val="DefaultParagraphFont"/>
    <w:link w:val="Heading3"/>
    <w:uiPriority w:val="9"/>
    <w:rsid w:val="00032954"/>
    <w:rPr>
      <w:rFonts w:ascii="Times New Roman" w:hAnsi="Times New Roman" w:cs="Times New Roman"/>
      <w:b/>
      <w:sz w:val="24"/>
    </w:rPr>
  </w:style>
  <w:style w:type="character" w:customStyle="1" w:styleId="Heading2Char">
    <w:name w:val="Heading 2 Char"/>
    <w:basedOn w:val="DefaultParagraphFont"/>
    <w:link w:val="Heading2"/>
    <w:uiPriority w:val="9"/>
    <w:rsid w:val="00032954"/>
    <w:rPr>
      <w:rFonts w:ascii="Times New Roman" w:hAnsi="Times New Roman" w:cs="Times New Roman"/>
      <w:b/>
      <w:sz w:val="24"/>
    </w:rPr>
  </w:style>
  <w:style w:type="character" w:customStyle="1" w:styleId="Heading1Char">
    <w:name w:val="Heading 1 Char"/>
    <w:basedOn w:val="DefaultParagraphFont"/>
    <w:link w:val="Heading1"/>
    <w:uiPriority w:val="9"/>
    <w:rsid w:val="00032954"/>
    <w:rPr>
      <w:rFonts w:ascii="Times New Roman" w:hAnsi="Times New Roman" w:cs="Times New Roman"/>
      <w:b/>
      <w:sz w:val="28"/>
    </w:rPr>
  </w:style>
  <w:style w:type="character" w:customStyle="1" w:styleId="Heading4Char">
    <w:name w:val="Heading 4 Char"/>
    <w:basedOn w:val="DefaultParagraphFont"/>
    <w:link w:val="Heading4"/>
    <w:uiPriority w:val="9"/>
    <w:rsid w:val="00032954"/>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032954"/>
    <w:pPr>
      <w:keepNext/>
      <w:keepLines/>
      <w:spacing w:before="240" w:after="0" w:afterAutospacing="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032954"/>
  </w:style>
  <w:style w:type="paragraph" w:styleId="TOC2">
    <w:name w:val="toc 2"/>
    <w:basedOn w:val="Normal"/>
    <w:next w:val="Normal"/>
    <w:autoRedefine/>
    <w:uiPriority w:val="39"/>
    <w:unhideWhenUsed/>
    <w:rsid w:val="00032954"/>
    <w:pPr>
      <w:ind w:left="220"/>
    </w:pPr>
  </w:style>
  <w:style w:type="paragraph" w:styleId="TOC3">
    <w:name w:val="toc 3"/>
    <w:basedOn w:val="Normal"/>
    <w:next w:val="Normal"/>
    <w:autoRedefine/>
    <w:uiPriority w:val="39"/>
    <w:unhideWhenUsed/>
    <w:rsid w:val="00032954"/>
    <w:pPr>
      <w:ind w:left="440"/>
    </w:pPr>
  </w:style>
  <w:style w:type="character" w:styleId="FollowedHyperlink">
    <w:name w:val="FollowedHyperlink"/>
    <w:basedOn w:val="DefaultParagraphFont"/>
    <w:uiPriority w:val="99"/>
    <w:semiHidden/>
    <w:unhideWhenUsed/>
    <w:rsid w:val="004D50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54801">
      <w:bodyDiv w:val="1"/>
      <w:marLeft w:val="0"/>
      <w:marRight w:val="0"/>
      <w:marTop w:val="0"/>
      <w:marBottom w:val="0"/>
      <w:divBdr>
        <w:top w:val="none" w:sz="0" w:space="0" w:color="auto"/>
        <w:left w:val="none" w:sz="0" w:space="0" w:color="auto"/>
        <w:bottom w:val="none" w:sz="0" w:space="0" w:color="auto"/>
        <w:right w:val="none" w:sz="0" w:space="0" w:color="auto"/>
      </w:divBdr>
    </w:div>
    <w:div w:id="548149416">
      <w:bodyDiv w:val="1"/>
      <w:marLeft w:val="0"/>
      <w:marRight w:val="0"/>
      <w:marTop w:val="0"/>
      <w:marBottom w:val="0"/>
      <w:divBdr>
        <w:top w:val="none" w:sz="0" w:space="0" w:color="auto"/>
        <w:left w:val="none" w:sz="0" w:space="0" w:color="auto"/>
        <w:bottom w:val="none" w:sz="0" w:space="0" w:color="auto"/>
        <w:right w:val="none" w:sz="0" w:space="0" w:color="auto"/>
      </w:divBdr>
      <w:divsChild>
        <w:div w:id="706026055">
          <w:marLeft w:val="0"/>
          <w:marRight w:val="0"/>
          <w:marTop w:val="0"/>
          <w:marBottom w:val="0"/>
          <w:divBdr>
            <w:top w:val="none" w:sz="0" w:space="0" w:color="auto"/>
            <w:left w:val="none" w:sz="0" w:space="0" w:color="auto"/>
            <w:bottom w:val="none" w:sz="0" w:space="0" w:color="auto"/>
            <w:right w:val="none" w:sz="0" w:space="0" w:color="auto"/>
          </w:divBdr>
          <w:divsChild>
            <w:div w:id="174471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7612">
      <w:bodyDiv w:val="1"/>
      <w:marLeft w:val="0"/>
      <w:marRight w:val="0"/>
      <w:marTop w:val="0"/>
      <w:marBottom w:val="0"/>
      <w:divBdr>
        <w:top w:val="none" w:sz="0" w:space="0" w:color="auto"/>
        <w:left w:val="none" w:sz="0" w:space="0" w:color="auto"/>
        <w:bottom w:val="none" w:sz="0" w:space="0" w:color="auto"/>
        <w:right w:val="none" w:sz="0" w:space="0" w:color="auto"/>
      </w:divBdr>
    </w:div>
    <w:div w:id="807744508">
      <w:bodyDiv w:val="1"/>
      <w:marLeft w:val="0"/>
      <w:marRight w:val="0"/>
      <w:marTop w:val="0"/>
      <w:marBottom w:val="0"/>
      <w:divBdr>
        <w:top w:val="none" w:sz="0" w:space="0" w:color="auto"/>
        <w:left w:val="none" w:sz="0" w:space="0" w:color="auto"/>
        <w:bottom w:val="none" w:sz="0" w:space="0" w:color="auto"/>
        <w:right w:val="none" w:sz="0" w:space="0" w:color="auto"/>
      </w:divBdr>
    </w:div>
    <w:div w:id="1126630058">
      <w:bodyDiv w:val="1"/>
      <w:marLeft w:val="0"/>
      <w:marRight w:val="0"/>
      <w:marTop w:val="0"/>
      <w:marBottom w:val="0"/>
      <w:divBdr>
        <w:top w:val="none" w:sz="0" w:space="0" w:color="auto"/>
        <w:left w:val="none" w:sz="0" w:space="0" w:color="auto"/>
        <w:bottom w:val="none" w:sz="0" w:space="0" w:color="auto"/>
        <w:right w:val="none" w:sz="0" w:space="0" w:color="auto"/>
      </w:divBdr>
    </w:div>
    <w:div w:id="1425766680">
      <w:bodyDiv w:val="1"/>
      <w:marLeft w:val="0"/>
      <w:marRight w:val="0"/>
      <w:marTop w:val="0"/>
      <w:marBottom w:val="0"/>
      <w:divBdr>
        <w:top w:val="none" w:sz="0" w:space="0" w:color="auto"/>
        <w:left w:val="none" w:sz="0" w:space="0" w:color="auto"/>
        <w:bottom w:val="none" w:sz="0" w:space="0" w:color="auto"/>
        <w:right w:val="none" w:sz="0" w:space="0" w:color="auto"/>
      </w:divBdr>
    </w:div>
    <w:div w:id="1429539149">
      <w:bodyDiv w:val="1"/>
      <w:marLeft w:val="0"/>
      <w:marRight w:val="0"/>
      <w:marTop w:val="0"/>
      <w:marBottom w:val="0"/>
      <w:divBdr>
        <w:top w:val="none" w:sz="0" w:space="0" w:color="auto"/>
        <w:left w:val="none" w:sz="0" w:space="0" w:color="auto"/>
        <w:bottom w:val="none" w:sz="0" w:space="0" w:color="auto"/>
        <w:right w:val="none" w:sz="0" w:space="0" w:color="auto"/>
      </w:divBdr>
      <w:divsChild>
        <w:div w:id="298072067">
          <w:marLeft w:val="0"/>
          <w:marRight w:val="0"/>
          <w:marTop w:val="0"/>
          <w:marBottom w:val="0"/>
          <w:divBdr>
            <w:top w:val="none" w:sz="0" w:space="0" w:color="auto"/>
            <w:left w:val="none" w:sz="0" w:space="0" w:color="auto"/>
            <w:bottom w:val="none" w:sz="0" w:space="0" w:color="auto"/>
            <w:right w:val="none" w:sz="0" w:space="0" w:color="auto"/>
          </w:divBdr>
          <w:divsChild>
            <w:div w:id="1304117326">
              <w:marLeft w:val="0"/>
              <w:marRight w:val="0"/>
              <w:marTop w:val="0"/>
              <w:marBottom w:val="0"/>
              <w:divBdr>
                <w:top w:val="none" w:sz="0" w:space="0" w:color="auto"/>
                <w:left w:val="none" w:sz="0" w:space="0" w:color="auto"/>
                <w:bottom w:val="none" w:sz="0" w:space="0" w:color="auto"/>
                <w:right w:val="none" w:sz="0" w:space="0" w:color="auto"/>
              </w:divBdr>
              <w:divsChild>
                <w:div w:id="337001408">
                  <w:marLeft w:val="0"/>
                  <w:marRight w:val="0"/>
                  <w:marTop w:val="0"/>
                  <w:marBottom w:val="0"/>
                  <w:divBdr>
                    <w:top w:val="none" w:sz="0" w:space="0" w:color="auto"/>
                    <w:left w:val="none" w:sz="0" w:space="0" w:color="auto"/>
                    <w:bottom w:val="none" w:sz="0" w:space="0" w:color="auto"/>
                    <w:right w:val="none" w:sz="0" w:space="0" w:color="auto"/>
                  </w:divBdr>
                  <w:divsChild>
                    <w:div w:id="687682280">
                      <w:marLeft w:val="0"/>
                      <w:marRight w:val="0"/>
                      <w:marTop w:val="0"/>
                      <w:marBottom w:val="0"/>
                      <w:divBdr>
                        <w:top w:val="none" w:sz="0" w:space="0" w:color="auto"/>
                        <w:left w:val="none" w:sz="0" w:space="0" w:color="auto"/>
                        <w:bottom w:val="none" w:sz="0" w:space="0" w:color="auto"/>
                        <w:right w:val="none" w:sz="0" w:space="0" w:color="auto"/>
                      </w:divBdr>
                      <w:divsChild>
                        <w:div w:id="14308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633912">
      <w:bodyDiv w:val="1"/>
      <w:marLeft w:val="0"/>
      <w:marRight w:val="0"/>
      <w:marTop w:val="0"/>
      <w:marBottom w:val="0"/>
      <w:divBdr>
        <w:top w:val="none" w:sz="0" w:space="0" w:color="auto"/>
        <w:left w:val="none" w:sz="0" w:space="0" w:color="auto"/>
        <w:bottom w:val="none" w:sz="0" w:space="0" w:color="auto"/>
        <w:right w:val="none" w:sz="0" w:space="0" w:color="auto"/>
      </w:divBdr>
    </w:div>
    <w:div w:id="1727952133">
      <w:bodyDiv w:val="1"/>
      <w:marLeft w:val="0"/>
      <w:marRight w:val="0"/>
      <w:marTop w:val="0"/>
      <w:marBottom w:val="0"/>
      <w:divBdr>
        <w:top w:val="none" w:sz="0" w:space="0" w:color="auto"/>
        <w:left w:val="none" w:sz="0" w:space="0" w:color="auto"/>
        <w:bottom w:val="none" w:sz="0" w:space="0" w:color="auto"/>
        <w:right w:val="none" w:sz="0" w:space="0" w:color="auto"/>
      </w:divBdr>
    </w:div>
    <w:div w:id="1794326185">
      <w:bodyDiv w:val="1"/>
      <w:marLeft w:val="0"/>
      <w:marRight w:val="0"/>
      <w:marTop w:val="0"/>
      <w:marBottom w:val="0"/>
      <w:divBdr>
        <w:top w:val="none" w:sz="0" w:space="0" w:color="auto"/>
        <w:left w:val="none" w:sz="0" w:space="0" w:color="auto"/>
        <w:bottom w:val="none" w:sz="0" w:space="0" w:color="auto"/>
        <w:right w:val="none" w:sz="0" w:space="0" w:color="auto"/>
      </w:divBdr>
      <w:divsChild>
        <w:div w:id="30419520">
          <w:marLeft w:val="39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yperlink" Target="https://finance.biggo.com/quote/BHPLF/earnings-call/US_BHPLF_2026-02-16?utm_source=gemini" TargetMode="External" /><Relationship Id="rId39" Type="http://schemas.openxmlformats.org/officeDocument/2006/relationships/hyperlink" Target="https://phys.org/news/2014-09-australia-carbon-emissions-economy.html" TargetMode="External" /><Relationship Id="rId3" Type="http://schemas.openxmlformats.org/officeDocument/2006/relationships/styles" Target="styles.xml" /><Relationship Id="rId21" Type="http://schemas.openxmlformats.org/officeDocument/2006/relationships/hyperlink" Target="https://unfccc.int/sites/default/files/2025-09/Australias%20Second%20NDC.pdf" TargetMode="External" /><Relationship Id="rId34" Type="http://schemas.openxmlformats.org/officeDocument/2006/relationships/hyperlink" Target="https://www.abc.net.au/news/2026-05-26/bhp-net-zero-emissions-pledge-four-corners-leaked-documents/106720042" TargetMode="External" /><Relationship Id="rId42" Type="http://schemas.openxmlformats.org/officeDocument/2006/relationships/hyperlink" Target="https://www.steelradar.com/en/haber/bhp-and-china-baowu-renew-cooperation-on-low-carbon-steel/" TargetMode="External" /><Relationship Id="rId47"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www.bhp.com/sustainability/climate-change/climate-transition-action-plan" TargetMode="External" /><Relationship Id="rId33" Type="http://schemas.openxmlformats.org/officeDocument/2006/relationships/hyperlink" Target="https://www.greeningaustralia.org.au/what-does-nature-positive-mean-why-is-it-important/" TargetMode="External" /><Relationship Id="rId38" Type="http://schemas.openxmlformats.org/officeDocument/2006/relationships/hyperlink" Target="https://www.nsenergybusiness.com/projects/jansen-potash-project-canada/" TargetMode="External" /><Relationship Id="rId46"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yperlink" Target="https://www.miningweekly.com/article/iron-ore-output-growth-on-the-horizon-for-bhp-in-australia-brazil-2026-02-17" TargetMode="External" /><Relationship Id="rId29" Type="http://schemas.openxmlformats.org/officeDocument/2006/relationships/hyperlink" Target="https://www.dcceew.gov.au/climate-change/publications/australias-emissions-projections-2025" TargetMode="External" /><Relationship Id="rId41" Type="http://schemas.openxmlformats.org/officeDocument/2006/relationships/hyperlink" Target="https://www.skarnassociates.com/insights/bhp-decarbonisation-roadmap"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bhp.com/-/media/documents/investors/annual-reports/2026/260818_bhpannualreport2026" TargetMode="External" /><Relationship Id="rId32" Type="http://schemas.openxmlformats.org/officeDocument/2006/relationships/hyperlink" Target="%20https://gmk.center/en/news/bhp-increased-iron-ore-production-to-263-million-tons-in-the-2024-2025-financial-year/" TargetMode="External" /><Relationship Id="rId37" Type="http://schemas.openxmlformats.org/officeDocument/2006/relationships/hyperlink" Target="https://www.reuters.com/world/asia-pacific/top-china-steelmaker-baowu-eyes-stake-bhp-iron-ore-mine-sources-say-2026-09-04/" TargetMode="External" /><Relationship Id="rId40" Type="http://schemas.openxmlformats.org/officeDocument/2006/relationships/hyperlink" Target="https://oneclicklca.com/en/resources/articles/european-carbon-border-adjustment-mechanism" TargetMode="External" /><Relationship Id="rId45"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www.bhp.com/news/media-centre/releases/2025/06/neosmelt-welcomes-federal-government-support-and-signs-two-new-participants" TargetMode="External" /><Relationship Id="rId28" Type="http://schemas.openxmlformats.org/officeDocument/2006/relationships/hyperlink" Target="https://circulor.com/articles/reuters-in-search-of-the-elusive-green-nickel-premium" TargetMode="External" /><Relationship Id="rId36" Type="http://schemas.openxmlformats.org/officeDocument/2006/relationships/hyperlink" Target="https://www.investing.com/news/company-news/bhp-fy2026-slides-copper-drives-54-of-ebitda-targets-50bn-fcf-93CH-4865396" TargetMode="Externa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hyperlink" Target="https://trade.ec.europa.eu/access-to-markets/en/news/carbon-border-adjustment-mechanism-cbam" TargetMode="External" /><Relationship Id="rId44" Type="http://schemas.openxmlformats.org/officeDocument/2006/relationships/hyperlink" Target="https://umbrex.com/resources/company-profiles/bhp-group-ltd/"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bhp.com/news/media-centre/releases/2025/10/bhp-and-posco-partner-to-advance-hydrogen-based-ironmaking-technology" TargetMode="External" /><Relationship Id="rId27" Type="http://schemas.openxmlformats.org/officeDocument/2006/relationships/hyperlink" Target="https://www.bluescope.com/news/BlueScope-BHP-and-Rio-Tinto-select-WA-for-Australia-s-largest-ironmaking-ESF-pilot-plant" TargetMode="External" /><Relationship Id="rId30" Type="http://schemas.openxmlformats.org/officeDocument/2006/relationships/hyperlink" Target="https://www.dcceew.gov.au/climate-change/emissions-reduction/net-zero" TargetMode="External" /><Relationship Id="rId35" Type="http://schemas.openxmlformats.org/officeDocument/2006/relationships/hyperlink" Target="https://ieefa.org/resources/bhp-time-get-real-about-steel-technology-change-and-met-coal" TargetMode="External" /><Relationship Id="rId43" Type="http://schemas.openxmlformats.org/officeDocument/2006/relationships/hyperlink" Target="https://transitionasia.org/jfe-agm-2026-information-pac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A0AD5-138C-4954-B8AD-A5AC7989E9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4509</Words>
  <Characters>25704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KHODA GORANIYA</cp:lastModifiedBy>
  <cp:revision>2</cp:revision>
  <dcterms:created xsi:type="dcterms:W3CDTF">2026-10-21T10:34:00Z</dcterms:created>
  <dcterms:modified xsi:type="dcterms:W3CDTF">2026-10-21T10:34:00Z</dcterms:modified>
</cp:coreProperties>
</file>