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2A921" w14:textId="77777777" w:rsidR="00750686" w:rsidRPr="00584730" w:rsidRDefault="00750686" w:rsidP="00584730">
      <w:pPr>
        <w:spacing w:line="480" w:lineRule="auto"/>
        <w:jc w:val="center"/>
        <w:rPr>
          <w:sz w:val="24"/>
          <w:szCs w:val="24"/>
          <w:u w:val="single"/>
        </w:rPr>
      </w:pPr>
      <w:r w:rsidRPr="00584730">
        <w:rPr>
          <w:sz w:val="24"/>
          <w:szCs w:val="24"/>
          <w:u w:val="single"/>
        </w:rPr>
        <w:t>Assignment 1 - Understanding crime, justice and punishment</w:t>
      </w:r>
    </w:p>
    <w:p w14:paraId="5FCF1687" w14:textId="77777777" w:rsidR="00750686" w:rsidRPr="00584730" w:rsidRDefault="00750686" w:rsidP="00584730">
      <w:pPr>
        <w:spacing w:line="480" w:lineRule="auto"/>
        <w:jc w:val="center"/>
        <w:rPr>
          <w:sz w:val="24"/>
          <w:szCs w:val="24"/>
          <w:u w:val="single"/>
        </w:rPr>
      </w:pPr>
      <w:r w:rsidRPr="00584730">
        <w:rPr>
          <w:sz w:val="24"/>
          <w:szCs w:val="24"/>
          <w:u w:val="single"/>
        </w:rPr>
        <w:t>BMLW5013</w:t>
      </w:r>
    </w:p>
    <w:p w14:paraId="26A01415" w14:textId="77777777" w:rsidR="00750686" w:rsidRPr="00584730" w:rsidRDefault="00750686" w:rsidP="00584730">
      <w:pPr>
        <w:spacing w:line="480" w:lineRule="auto"/>
        <w:jc w:val="center"/>
        <w:rPr>
          <w:sz w:val="24"/>
          <w:szCs w:val="24"/>
          <w:u w:val="single"/>
        </w:rPr>
      </w:pPr>
      <w:r w:rsidRPr="00584730">
        <w:rPr>
          <w:sz w:val="24"/>
          <w:szCs w:val="24"/>
          <w:u w:val="single"/>
        </w:rPr>
        <w:t>Laura knight</w:t>
      </w:r>
    </w:p>
    <w:p w14:paraId="662F37B4" w14:textId="77777777" w:rsidR="00750686" w:rsidRPr="00584730" w:rsidRDefault="00750686" w:rsidP="00584730">
      <w:pPr>
        <w:spacing w:line="480" w:lineRule="auto"/>
        <w:jc w:val="center"/>
        <w:rPr>
          <w:sz w:val="24"/>
          <w:szCs w:val="24"/>
          <w:u w:val="single"/>
        </w:rPr>
      </w:pPr>
    </w:p>
    <w:p w14:paraId="3C78D892" w14:textId="77777777" w:rsidR="00750686" w:rsidRPr="00584730" w:rsidRDefault="00750686" w:rsidP="00584730">
      <w:pPr>
        <w:spacing w:line="480" w:lineRule="auto"/>
        <w:jc w:val="center"/>
        <w:rPr>
          <w:sz w:val="24"/>
          <w:szCs w:val="24"/>
          <w:u w:val="single"/>
        </w:rPr>
      </w:pPr>
    </w:p>
    <w:p w14:paraId="03192D43" w14:textId="77777777" w:rsidR="00750686" w:rsidRPr="00584730" w:rsidRDefault="00750686" w:rsidP="00584730">
      <w:pPr>
        <w:spacing w:line="480" w:lineRule="auto"/>
        <w:jc w:val="center"/>
        <w:rPr>
          <w:sz w:val="24"/>
          <w:szCs w:val="24"/>
          <w:u w:val="single"/>
        </w:rPr>
      </w:pPr>
    </w:p>
    <w:p w14:paraId="77EA1D1B" w14:textId="77777777" w:rsidR="00750686" w:rsidRPr="00584730" w:rsidRDefault="00750686" w:rsidP="00584730">
      <w:pPr>
        <w:spacing w:line="480" w:lineRule="auto"/>
        <w:jc w:val="center"/>
        <w:rPr>
          <w:sz w:val="24"/>
          <w:szCs w:val="24"/>
          <w:u w:val="single"/>
        </w:rPr>
      </w:pPr>
    </w:p>
    <w:p w14:paraId="6B6B96BC" w14:textId="77777777" w:rsidR="00750686" w:rsidRPr="00584730" w:rsidRDefault="00750686" w:rsidP="00584730">
      <w:pPr>
        <w:spacing w:line="480" w:lineRule="auto"/>
        <w:jc w:val="center"/>
        <w:rPr>
          <w:sz w:val="24"/>
          <w:szCs w:val="24"/>
          <w:u w:val="single"/>
        </w:rPr>
      </w:pPr>
      <w:r w:rsidRPr="00584730">
        <w:rPr>
          <w:sz w:val="24"/>
          <w:szCs w:val="24"/>
          <w:u w:val="single"/>
        </w:rPr>
        <w:t>Is criminal behaviour innate or shaped by environment?</w:t>
      </w:r>
    </w:p>
    <w:p w14:paraId="198299DE" w14:textId="77777777" w:rsidR="00750686" w:rsidRPr="00584730" w:rsidRDefault="00750686" w:rsidP="00584730">
      <w:pPr>
        <w:spacing w:line="480" w:lineRule="auto"/>
        <w:jc w:val="center"/>
        <w:rPr>
          <w:sz w:val="24"/>
          <w:szCs w:val="24"/>
          <w:u w:val="single"/>
        </w:rPr>
      </w:pPr>
      <w:r w:rsidRPr="00584730">
        <w:rPr>
          <w:sz w:val="24"/>
          <w:szCs w:val="24"/>
          <w:u w:val="single"/>
        </w:rPr>
        <w:t>By Harrison Bright</w:t>
      </w:r>
    </w:p>
    <w:p w14:paraId="42559EF5" w14:textId="77777777" w:rsidR="00750686" w:rsidRPr="00584730" w:rsidRDefault="00750686" w:rsidP="00584730">
      <w:pPr>
        <w:spacing w:line="480" w:lineRule="auto"/>
        <w:rPr>
          <w:sz w:val="24"/>
          <w:szCs w:val="24"/>
        </w:rPr>
      </w:pPr>
    </w:p>
    <w:p w14:paraId="69BFF784" w14:textId="77777777" w:rsidR="00750686" w:rsidRPr="00584730" w:rsidRDefault="00750686" w:rsidP="00584730">
      <w:pPr>
        <w:spacing w:line="480" w:lineRule="auto"/>
        <w:rPr>
          <w:sz w:val="24"/>
          <w:szCs w:val="24"/>
        </w:rPr>
      </w:pPr>
    </w:p>
    <w:p w14:paraId="04876CFB" w14:textId="77777777" w:rsidR="00750686" w:rsidRPr="00584730" w:rsidRDefault="00750686" w:rsidP="00584730">
      <w:pPr>
        <w:spacing w:line="480" w:lineRule="auto"/>
        <w:rPr>
          <w:sz w:val="24"/>
          <w:szCs w:val="24"/>
        </w:rPr>
      </w:pPr>
    </w:p>
    <w:p w14:paraId="5A6C8D7B" w14:textId="77777777" w:rsidR="00750686" w:rsidRPr="00584730" w:rsidRDefault="00750686" w:rsidP="00584730">
      <w:pPr>
        <w:spacing w:line="480" w:lineRule="auto"/>
        <w:rPr>
          <w:sz w:val="24"/>
          <w:szCs w:val="24"/>
        </w:rPr>
      </w:pPr>
    </w:p>
    <w:p w14:paraId="117C9FA6" w14:textId="77777777" w:rsidR="00750686" w:rsidRPr="00584730" w:rsidRDefault="00750686" w:rsidP="00584730">
      <w:pPr>
        <w:spacing w:line="480" w:lineRule="auto"/>
        <w:rPr>
          <w:sz w:val="24"/>
          <w:szCs w:val="24"/>
        </w:rPr>
      </w:pPr>
    </w:p>
    <w:p w14:paraId="75054F5C" w14:textId="77777777" w:rsidR="00750686" w:rsidRPr="00584730" w:rsidRDefault="00750686" w:rsidP="00584730">
      <w:pPr>
        <w:spacing w:line="480" w:lineRule="auto"/>
        <w:rPr>
          <w:sz w:val="24"/>
          <w:szCs w:val="24"/>
        </w:rPr>
      </w:pPr>
    </w:p>
    <w:p w14:paraId="67C27521" w14:textId="77777777" w:rsidR="00750686" w:rsidRPr="00584730" w:rsidRDefault="00750686" w:rsidP="00584730">
      <w:pPr>
        <w:spacing w:line="480" w:lineRule="auto"/>
        <w:rPr>
          <w:sz w:val="24"/>
          <w:szCs w:val="24"/>
        </w:rPr>
      </w:pPr>
    </w:p>
    <w:p w14:paraId="2A1464CE" w14:textId="77777777" w:rsidR="00750686" w:rsidRPr="00584730" w:rsidRDefault="00750686" w:rsidP="00584730">
      <w:pPr>
        <w:spacing w:line="480" w:lineRule="auto"/>
        <w:rPr>
          <w:sz w:val="24"/>
          <w:szCs w:val="24"/>
        </w:rPr>
      </w:pPr>
    </w:p>
    <w:p w14:paraId="6B6C094D" w14:textId="77777777" w:rsidR="00750686" w:rsidRPr="00584730" w:rsidRDefault="00750686" w:rsidP="00584730">
      <w:pPr>
        <w:spacing w:line="480" w:lineRule="auto"/>
        <w:rPr>
          <w:sz w:val="24"/>
          <w:szCs w:val="24"/>
        </w:rPr>
      </w:pPr>
    </w:p>
    <w:p w14:paraId="2AADC057" w14:textId="77777777" w:rsidR="00750686" w:rsidRPr="00584730" w:rsidRDefault="00750686" w:rsidP="00584730">
      <w:pPr>
        <w:spacing w:line="480" w:lineRule="auto"/>
        <w:rPr>
          <w:sz w:val="24"/>
          <w:szCs w:val="24"/>
        </w:rPr>
      </w:pPr>
    </w:p>
    <w:p w14:paraId="66B89CB3" w14:textId="77777777" w:rsidR="00750686" w:rsidRPr="00584730" w:rsidRDefault="00750686" w:rsidP="00584730">
      <w:pPr>
        <w:spacing w:line="480" w:lineRule="auto"/>
        <w:rPr>
          <w:sz w:val="24"/>
          <w:szCs w:val="24"/>
        </w:rPr>
      </w:pPr>
      <w:r w:rsidRPr="00584730">
        <w:rPr>
          <w:sz w:val="24"/>
          <w:szCs w:val="24"/>
        </w:rPr>
        <w:lastRenderedPageBreak/>
        <w:t>This assignment will be discussing whether criminal behaviour is innate or shaped by the environment. It will be discussing how the environment around an individual can shape criminal behaviour, whilst looking at theories that apply. Specifically, it will analyse Subcultural Theory by Cohen and Differential Association by Sutherland, and how they relate to criminal behaviour. Eventually concluding, whilst applying the environmental theories with the evidence provided, if indeed criminal behaviour is innate or formed by the environment.</w:t>
      </w:r>
    </w:p>
    <w:p w14:paraId="536069B9" w14:textId="77777777" w:rsidR="00750686" w:rsidRPr="00584730" w:rsidRDefault="00750686" w:rsidP="00584730">
      <w:pPr>
        <w:spacing w:line="480" w:lineRule="auto"/>
        <w:rPr>
          <w:sz w:val="24"/>
          <w:szCs w:val="24"/>
        </w:rPr>
      </w:pPr>
    </w:p>
    <w:p w14:paraId="34C4D139" w14:textId="77777777" w:rsidR="00750686" w:rsidRPr="00584730" w:rsidRDefault="00750686" w:rsidP="00584730">
      <w:pPr>
        <w:spacing w:line="480" w:lineRule="auto"/>
        <w:rPr>
          <w:sz w:val="24"/>
          <w:szCs w:val="24"/>
        </w:rPr>
      </w:pPr>
      <w:r w:rsidRPr="00584730">
        <w:rPr>
          <w:sz w:val="24"/>
          <w:szCs w:val="24"/>
        </w:rPr>
        <w:t>Firstly, it must be established what environment is in relation to behaviour. Bechtel and Churchman (2002) describe environment as “comprised of mutually defining aspect, including physical (natural and built), interpersonal (</w:t>
      </w:r>
      <w:proofErr w:type="gramStart"/>
      <w:r w:rsidRPr="00584730">
        <w:rPr>
          <w:sz w:val="24"/>
          <w:szCs w:val="24"/>
        </w:rPr>
        <w:t>e.g.</w:t>
      </w:r>
      <w:proofErr w:type="gramEnd"/>
      <w:r w:rsidRPr="00584730">
        <w:rPr>
          <w:sz w:val="24"/>
          <w:szCs w:val="24"/>
        </w:rPr>
        <w:t xml:space="preserve"> friend, spouse), and sociocultural (rules of home, community, and culture”. This shows that a wide variety of things surrounding an individual can make up their environment.</w:t>
      </w:r>
    </w:p>
    <w:p w14:paraId="7D9B4A93" w14:textId="77777777" w:rsidR="00750686" w:rsidRPr="00584730" w:rsidRDefault="00750686" w:rsidP="00584730">
      <w:pPr>
        <w:spacing w:line="480" w:lineRule="auto"/>
        <w:rPr>
          <w:sz w:val="24"/>
          <w:szCs w:val="24"/>
        </w:rPr>
      </w:pPr>
      <w:r w:rsidRPr="00584730">
        <w:rPr>
          <w:sz w:val="24"/>
          <w:szCs w:val="24"/>
        </w:rPr>
        <w:t>The first theory to be discussed of how an environment can influence a criminal or criminal behaviour is Cohen’s Subcultural Theory.  Subcultural Theory is based on a group of people who feel they don’t fit into societal norms or meet the goals of society, such as having a well-paid job and having a family. They make their own subculture with others, known as delinquents. Within their groups, they then create their own goals and norms. These goals often include crime and makes a subculture where crime is deemed as acceptable, and something to achieve and brag about, as per Cohen (2011).</w:t>
      </w:r>
    </w:p>
    <w:p w14:paraId="4988E58F" w14:textId="77777777" w:rsidR="00750686" w:rsidRPr="00584730" w:rsidRDefault="00750686" w:rsidP="00584730">
      <w:pPr>
        <w:spacing w:line="480" w:lineRule="auto"/>
        <w:rPr>
          <w:sz w:val="24"/>
          <w:szCs w:val="24"/>
        </w:rPr>
      </w:pPr>
    </w:p>
    <w:p w14:paraId="23DB780A" w14:textId="77777777" w:rsidR="00750686" w:rsidRPr="00584730" w:rsidRDefault="00750686" w:rsidP="00584730">
      <w:pPr>
        <w:spacing w:line="480" w:lineRule="auto"/>
        <w:rPr>
          <w:sz w:val="24"/>
          <w:szCs w:val="24"/>
        </w:rPr>
      </w:pPr>
      <w:r w:rsidRPr="00584730">
        <w:rPr>
          <w:sz w:val="24"/>
          <w:szCs w:val="24"/>
        </w:rPr>
        <w:lastRenderedPageBreak/>
        <w:t xml:space="preserve">For example, in gangs it is deemed an achievement to commit crimes. This means those who may be considered outside the societal norms may be more susceptible into joining a gang or group like this, as it may give that individual a sense of belonging, they did not have before. Then once they are in the gang, they will join the culture of crime where it becomes a norm, </w:t>
      </w:r>
      <w:proofErr w:type="spellStart"/>
      <w:r w:rsidRPr="00584730">
        <w:rPr>
          <w:sz w:val="24"/>
          <w:szCs w:val="24"/>
        </w:rPr>
        <w:t>where as</w:t>
      </w:r>
      <w:proofErr w:type="spellEnd"/>
      <w:r w:rsidRPr="00584730">
        <w:rPr>
          <w:sz w:val="24"/>
          <w:szCs w:val="24"/>
        </w:rPr>
        <w:t xml:space="preserve"> before the gang they may have adhered to the usual societal norm that crime is bad. This shows the environment around the person (for example; the gang) has an effect on criminal behaviour.</w:t>
      </w:r>
    </w:p>
    <w:p w14:paraId="3598F059" w14:textId="77777777" w:rsidR="00750686" w:rsidRPr="00584730" w:rsidRDefault="00750686" w:rsidP="00584730">
      <w:pPr>
        <w:spacing w:line="480" w:lineRule="auto"/>
        <w:rPr>
          <w:sz w:val="24"/>
          <w:szCs w:val="24"/>
        </w:rPr>
      </w:pPr>
    </w:p>
    <w:p w14:paraId="47496292" w14:textId="77777777" w:rsidR="00750686" w:rsidRPr="00584730" w:rsidRDefault="00750686" w:rsidP="00584730">
      <w:pPr>
        <w:spacing w:line="480" w:lineRule="auto"/>
        <w:rPr>
          <w:sz w:val="24"/>
          <w:szCs w:val="24"/>
        </w:rPr>
      </w:pPr>
      <w:r w:rsidRPr="00584730">
        <w:rPr>
          <w:sz w:val="24"/>
          <w:szCs w:val="24"/>
        </w:rPr>
        <w:t>A vulnerable individual may be targeted as "gangs often prey on young and other vulnerable people, coercing them to become involved with crime. Violence may be threatened or used to ensure new recruits stay with the gang and carry out criminal activity to fund its existence and its hierarchy”, according to the CPS (2021). As such as "Gangs will exploit any vulnerabilities that a child or their family possess" as per Longfield (2019). This behaviour then becomes the new norm. The child who is in the gang will see this as normal day to day activity that is influenced by the surrounding environment. As they grow up, crime becomes a goal in the delinquent subculture of the gang. “Violence, robbery and sexual offences are 2.1 times more prevalent in the most income-deprived 10% of areas compared to the least income-deprived 10%” (Trust for London, 2022). Meaning those who do live in poorer areas are more likely to be victims of crimes. Therefore, if a child were to grow up in an area like this, they would be more exposed to crime, leading to behaviour like this being normalised. As such, there is a higher chance of people undertaking criminal behaviour who are from poorer areas.</w:t>
      </w:r>
    </w:p>
    <w:p w14:paraId="65574584" w14:textId="77777777" w:rsidR="00750686" w:rsidRPr="00584730" w:rsidRDefault="00750686" w:rsidP="00584730">
      <w:pPr>
        <w:spacing w:line="480" w:lineRule="auto"/>
        <w:rPr>
          <w:sz w:val="24"/>
          <w:szCs w:val="24"/>
        </w:rPr>
      </w:pPr>
    </w:p>
    <w:p w14:paraId="6012C7EC" w14:textId="77777777" w:rsidR="00750686" w:rsidRPr="00584730" w:rsidRDefault="00750686" w:rsidP="00584730">
      <w:pPr>
        <w:spacing w:line="480" w:lineRule="auto"/>
        <w:rPr>
          <w:sz w:val="24"/>
          <w:szCs w:val="24"/>
        </w:rPr>
      </w:pPr>
      <w:r w:rsidRPr="00584730">
        <w:rPr>
          <w:sz w:val="24"/>
          <w:szCs w:val="24"/>
        </w:rPr>
        <w:lastRenderedPageBreak/>
        <w:t>Another environmental theory is Differential association which was suggested by Sutherland (1947) who broke his theory into 3 concepts: normative conflict, differential association and differential group organisation. Differential association is where normal criminal activity in society translates into an individual committing crime. “Criminal behaviour is learned in a process of intimate groups" (Ross L, 2000). It is those around you in these groups that will teach and demonstrate crime. The individual will then be influenced to act in this way too.</w:t>
      </w:r>
    </w:p>
    <w:p w14:paraId="4B8C82F3" w14:textId="3D9EA1AD" w:rsidR="00750686" w:rsidRPr="00584730" w:rsidRDefault="00750686" w:rsidP="00584730">
      <w:pPr>
        <w:spacing w:line="480" w:lineRule="auto"/>
        <w:rPr>
          <w:sz w:val="24"/>
          <w:szCs w:val="24"/>
        </w:rPr>
      </w:pPr>
      <w:r w:rsidRPr="00584730">
        <w:rPr>
          <w:sz w:val="24"/>
          <w:szCs w:val="24"/>
        </w:rPr>
        <w:t>A few examples of differential association definitions include: "Everyone cheats on their taxes", "This isn't a real crime", “I can drive fine after a few beers". These definitions are favourable to crime and therefore help dictate and justify criminal behaviour becoming the new norm for individuals and groups. Definitions favourable to crime can be outweighed by those unfavourable (such as "Crime is bad"). So, whether criminal behaviour will take place is dependent on the definitions in the intimate groups around you.</w:t>
      </w:r>
    </w:p>
    <w:p w14:paraId="6888726D" w14:textId="77777777" w:rsidR="00750686" w:rsidRPr="00584730" w:rsidRDefault="00750686" w:rsidP="00584730">
      <w:pPr>
        <w:spacing w:line="480" w:lineRule="auto"/>
        <w:rPr>
          <w:sz w:val="24"/>
          <w:szCs w:val="24"/>
        </w:rPr>
      </w:pPr>
    </w:p>
    <w:p w14:paraId="559AAABE" w14:textId="77777777" w:rsidR="00750686" w:rsidRPr="00584730" w:rsidRDefault="00750686" w:rsidP="00584730">
      <w:pPr>
        <w:spacing w:line="480" w:lineRule="auto"/>
        <w:rPr>
          <w:sz w:val="24"/>
          <w:szCs w:val="24"/>
        </w:rPr>
      </w:pPr>
      <w:r w:rsidRPr="00584730">
        <w:rPr>
          <w:sz w:val="24"/>
          <w:szCs w:val="24"/>
        </w:rPr>
        <w:t>Therefore, if you are in an environment where there are more definitions favourable to crime than unfavorable, then you will be likely to undertake crime. (Ross L 2000). This could be demonstrated by a friendship group. If there are 10 people in the group and 7 of those people repeat definitions that are favourable to crime, then these will be the ones that are listened to because 7 is the majority. The majority around the individual favour crime and therefore the environment is made where crime is favourable. Whereas, if only 2 of the group favoured crime, it would be much more likely that the individual would lean towards the majority who think that crime is unfavourable.</w:t>
      </w:r>
    </w:p>
    <w:p w14:paraId="2995317D" w14:textId="77777777" w:rsidR="00750686" w:rsidRPr="00584730" w:rsidRDefault="00750686" w:rsidP="00584730">
      <w:pPr>
        <w:spacing w:line="480" w:lineRule="auto"/>
        <w:rPr>
          <w:sz w:val="24"/>
          <w:szCs w:val="24"/>
        </w:rPr>
      </w:pPr>
    </w:p>
    <w:p w14:paraId="5B98428E" w14:textId="7AF561FE" w:rsidR="00750686" w:rsidRPr="00584730" w:rsidRDefault="00750686" w:rsidP="00584730">
      <w:pPr>
        <w:spacing w:line="480" w:lineRule="auto"/>
        <w:rPr>
          <w:sz w:val="24"/>
          <w:szCs w:val="24"/>
        </w:rPr>
      </w:pPr>
      <w:r w:rsidRPr="00584730">
        <w:rPr>
          <w:sz w:val="24"/>
          <w:szCs w:val="24"/>
        </w:rPr>
        <w:lastRenderedPageBreak/>
        <w:t xml:space="preserve">In conclusion, criminal behaviour can be both innate and shaped. However, it is clearly demonstrated that the environment around an individual has a strong influence over criminal behaviour. Subcultural and differential association theory provides explanations and evidence of how the mentality of those around you can shape your behaviour. If those around the individual commit crime, or are inclined to favour crime, then criminal behaviour will become the </w:t>
      </w:r>
      <w:r w:rsidR="000C28DB" w:rsidRPr="00584730">
        <w:rPr>
          <w:sz w:val="24"/>
          <w:szCs w:val="24"/>
        </w:rPr>
        <w:t>therefore</w:t>
      </w:r>
      <w:r w:rsidRPr="00584730">
        <w:rPr>
          <w:sz w:val="24"/>
          <w:szCs w:val="24"/>
        </w:rPr>
        <w:t>, whilst criminal behaviour may be innate in some, it is certainly able to be shaped into anyone, dependant on their circumstances and environment.</w:t>
      </w:r>
    </w:p>
    <w:p w14:paraId="7B3E19A0" w14:textId="77777777" w:rsidR="00750686" w:rsidRPr="00584730" w:rsidRDefault="00750686" w:rsidP="00584730">
      <w:pPr>
        <w:spacing w:line="480" w:lineRule="auto"/>
        <w:rPr>
          <w:sz w:val="24"/>
          <w:szCs w:val="24"/>
        </w:rPr>
      </w:pPr>
    </w:p>
    <w:p w14:paraId="1869F960" w14:textId="77777777" w:rsidR="00750686" w:rsidRPr="00584730" w:rsidRDefault="00750686" w:rsidP="00584730">
      <w:pPr>
        <w:spacing w:line="480" w:lineRule="auto"/>
        <w:rPr>
          <w:sz w:val="24"/>
          <w:szCs w:val="24"/>
        </w:rPr>
      </w:pPr>
    </w:p>
    <w:p w14:paraId="3490A13B" w14:textId="77777777" w:rsidR="00750686" w:rsidRPr="00584730" w:rsidRDefault="00750686" w:rsidP="00584730">
      <w:pPr>
        <w:spacing w:line="480" w:lineRule="auto"/>
        <w:rPr>
          <w:sz w:val="24"/>
          <w:szCs w:val="24"/>
        </w:rPr>
      </w:pPr>
    </w:p>
    <w:p w14:paraId="2B86279B" w14:textId="77777777" w:rsidR="00750686" w:rsidRPr="00584730" w:rsidRDefault="00750686" w:rsidP="00584730">
      <w:pPr>
        <w:spacing w:line="480" w:lineRule="auto"/>
        <w:rPr>
          <w:sz w:val="24"/>
          <w:szCs w:val="24"/>
        </w:rPr>
      </w:pPr>
    </w:p>
    <w:p w14:paraId="54AA309C" w14:textId="77777777" w:rsidR="00750686" w:rsidRPr="00584730" w:rsidRDefault="00750686" w:rsidP="00584730">
      <w:pPr>
        <w:spacing w:line="480" w:lineRule="auto"/>
        <w:rPr>
          <w:sz w:val="24"/>
          <w:szCs w:val="24"/>
        </w:rPr>
      </w:pPr>
    </w:p>
    <w:p w14:paraId="2017BF91" w14:textId="77777777" w:rsidR="00750686" w:rsidRPr="00584730" w:rsidRDefault="00750686" w:rsidP="00584730">
      <w:pPr>
        <w:spacing w:line="480" w:lineRule="auto"/>
        <w:rPr>
          <w:sz w:val="24"/>
          <w:szCs w:val="24"/>
        </w:rPr>
      </w:pPr>
    </w:p>
    <w:p w14:paraId="4A1CF0EC" w14:textId="77777777" w:rsidR="00750686" w:rsidRPr="00584730" w:rsidRDefault="00750686" w:rsidP="00584730">
      <w:pPr>
        <w:spacing w:line="480" w:lineRule="auto"/>
        <w:rPr>
          <w:sz w:val="24"/>
          <w:szCs w:val="24"/>
        </w:rPr>
      </w:pPr>
    </w:p>
    <w:p w14:paraId="53536001" w14:textId="77777777" w:rsidR="00750686" w:rsidRPr="00584730" w:rsidRDefault="00750686" w:rsidP="00584730">
      <w:pPr>
        <w:spacing w:line="480" w:lineRule="auto"/>
        <w:rPr>
          <w:sz w:val="24"/>
          <w:szCs w:val="24"/>
        </w:rPr>
      </w:pPr>
    </w:p>
    <w:p w14:paraId="4096F123" w14:textId="77777777" w:rsidR="00750686" w:rsidRPr="00584730" w:rsidRDefault="00750686" w:rsidP="00584730">
      <w:pPr>
        <w:spacing w:line="480" w:lineRule="auto"/>
        <w:rPr>
          <w:sz w:val="24"/>
          <w:szCs w:val="24"/>
        </w:rPr>
      </w:pPr>
    </w:p>
    <w:p w14:paraId="79AD9F55" w14:textId="77777777" w:rsidR="00750686" w:rsidRPr="00584730" w:rsidRDefault="00750686" w:rsidP="00584730">
      <w:pPr>
        <w:spacing w:line="480" w:lineRule="auto"/>
        <w:rPr>
          <w:sz w:val="24"/>
          <w:szCs w:val="24"/>
        </w:rPr>
      </w:pPr>
    </w:p>
    <w:p w14:paraId="14C674FF" w14:textId="77777777" w:rsidR="00750686" w:rsidRPr="00584730" w:rsidRDefault="00750686" w:rsidP="00584730">
      <w:pPr>
        <w:spacing w:line="480" w:lineRule="auto"/>
        <w:rPr>
          <w:sz w:val="24"/>
          <w:szCs w:val="24"/>
        </w:rPr>
      </w:pPr>
    </w:p>
    <w:p w14:paraId="6DF81DA9" w14:textId="77777777" w:rsidR="00750686" w:rsidRDefault="00750686" w:rsidP="00584730">
      <w:pPr>
        <w:spacing w:line="480" w:lineRule="auto"/>
        <w:rPr>
          <w:sz w:val="24"/>
          <w:szCs w:val="24"/>
        </w:rPr>
      </w:pPr>
    </w:p>
    <w:p w14:paraId="4CAB0F5C" w14:textId="77777777" w:rsidR="001A1488" w:rsidRPr="00584730" w:rsidRDefault="001A1488" w:rsidP="00584730">
      <w:pPr>
        <w:spacing w:line="480" w:lineRule="auto"/>
        <w:rPr>
          <w:sz w:val="24"/>
          <w:szCs w:val="24"/>
        </w:rPr>
      </w:pPr>
    </w:p>
    <w:p w14:paraId="6296C657" w14:textId="77777777" w:rsidR="00750686" w:rsidRPr="00812FFC" w:rsidRDefault="00750686" w:rsidP="00584730">
      <w:pPr>
        <w:spacing w:line="480" w:lineRule="auto"/>
        <w:rPr>
          <w:sz w:val="24"/>
          <w:szCs w:val="24"/>
          <w:u w:val="single"/>
        </w:rPr>
      </w:pPr>
      <w:r w:rsidRPr="00812FFC">
        <w:rPr>
          <w:sz w:val="24"/>
          <w:szCs w:val="24"/>
          <w:u w:val="single"/>
        </w:rPr>
        <w:lastRenderedPageBreak/>
        <w:t>Bibliography</w:t>
      </w:r>
    </w:p>
    <w:p w14:paraId="4D43F1D0" w14:textId="16510B7A" w:rsidR="00750686" w:rsidRPr="00584730" w:rsidRDefault="00750686" w:rsidP="00584730">
      <w:pPr>
        <w:spacing w:line="480" w:lineRule="auto"/>
        <w:rPr>
          <w:sz w:val="24"/>
          <w:szCs w:val="24"/>
        </w:rPr>
      </w:pPr>
      <w:r w:rsidRPr="00584730">
        <w:rPr>
          <w:sz w:val="24"/>
          <w:szCs w:val="24"/>
        </w:rPr>
        <w:t>Bechtel, R. B., &amp; Churchman, A. (2002). Handbook of Environmental Psychology. New York: John Wiley &amp; Sons.</w:t>
      </w:r>
    </w:p>
    <w:p w14:paraId="42A09C38" w14:textId="77777777" w:rsidR="00750686" w:rsidRPr="00584730" w:rsidRDefault="00750686" w:rsidP="00584730">
      <w:pPr>
        <w:spacing w:line="480" w:lineRule="auto"/>
        <w:rPr>
          <w:sz w:val="24"/>
          <w:szCs w:val="24"/>
        </w:rPr>
      </w:pPr>
      <w:r w:rsidRPr="00584730">
        <w:rPr>
          <w:sz w:val="24"/>
          <w:szCs w:val="24"/>
        </w:rPr>
        <w:t>Cohen. (2011). Folk Devils and Moral Panics. London and New York: Routledge.</w:t>
      </w:r>
    </w:p>
    <w:p w14:paraId="2695DA26" w14:textId="75CF8F71" w:rsidR="00750686" w:rsidRPr="00584730" w:rsidRDefault="00750686" w:rsidP="00584730">
      <w:pPr>
        <w:spacing w:line="480" w:lineRule="auto"/>
        <w:rPr>
          <w:sz w:val="24"/>
          <w:szCs w:val="24"/>
        </w:rPr>
      </w:pPr>
      <w:r w:rsidRPr="00584730">
        <w:rPr>
          <w:sz w:val="24"/>
          <w:szCs w:val="24"/>
        </w:rPr>
        <w:t>Crown Prosecution Service. (2021, November 04). Gang Related Offences – Decision making in 'gang 'related offences. Retrieved from Crown Prosecution Service: https://www.cps.gov.uk/legal-guidance/gang-related-offences-decision-making</w:t>
      </w:r>
    </w:p>
    <w:p w14:paraId="5DDEBA6C" w14:textId="6EE8D8BC" w:rsidR="00750686" w:rsidRPr="00584730" w:rsidRDefault="00750686" w:rsidP="00584730">
      <w:pPr>
        <w:spacing w:line="480" w:lineRule="auto"/>
        <w:rPr>
          <w:sz w:val="24"/>
          <w:szCs w:val="24"/>
        </w:rPr>
      </w:pPr>
      <w:r w:rsidRPr="00584730">
        <w:rPr>
          <w:sz w:val="24"/>
          <w:szCs w:val="24"/>
        </w:rPr>
        <w:t xml:space="preserve">Longfield. (2019). Children's </w:t>
      </w:r>
      <w:r w:rsidR="001A1488" w:rsidRPr="00584730">
        <w:rPr>
          <w:sz w:val="24"/>
          <w:szCs w:val="24"/>
        </w:rPr>
        <w:t>Commissioner</w:t>
      </w:r>
      <w:r w:rsidRPr="00584730">
        <w:rPr>
          <w:sz w:val="24"/>
          <w:szCs w:val="24"/>
        </w:rPr>
        <w:t xml:space="preserve"> keeping kids safe. London: Children’s Commissioner for England.</w:t>
      </w:r>
    </w:p>
    <w:p w14:paraId="5075B971" w14:textId="7D460104" w:rsidR="00812FFC" w:rsidRPr="00584730" w:rsidRDefault="00750686" w:rsidP="00584730">
      <w:pPr>
        <w:spacing w:line="480" w:lineRule="auto"/>
        <w:rPr>
          <w:sz w:val="24"/>
          <w:szCs w:val="24"/>
        </w:rPr>
      </w:pPr>
      <w:r w:rsidRPr="00584730">
        <w:rPr>
          <w:sz w:val="24"/>
          <w:szCs w:val="24"/>
        </w:rPr>
        <w:t>Ross. (2000). Differential Association Theory. Volume 1: Historical, Conceptual and Theoretical Issues, 126.</w:t>
      </w:r>
    </w:p>
    <w:p w14:paraId="2D017B21" w14:textId="77777777" w:rsidR="00750686" w:rsidRPr="00584730" w:rsidRDefault="00750686" w:rsidP="00584730">
      <w:pPr>
        <w:spacing w:line="480" w:lineRule="auto"/>
        <w:rPr>
          <w:sz w:val="24"/>
          <w:szCs w:val="24"/>
        </w:rPr>
      </w:pPr>
      <w:r w:rsidRPr="00584730">
        <w:rPr>
          <w:sz w:val="24"/>
          <w:szCs w:val="24"/>
        </w:rPr>
        <w:t>Sutherland. (1947). Principles of Criminology. Fourth Edition.</w:t>
      </w:r>
    </w:p>
    <w:p w14:paraId="2CDD5F1B" w14:textId="09D5C71C" w:rsidR="00750686" w:rsidRDefault="00750686" w:rsidP="00584730">
      <w:pPr>
        <w:spacing w:line="480" w:lineRule="auto"/>
        <w:rPr>
          <w:sz w:val="24"/>
          <w:szCs w:val="24"/>
        </w:rPr>
      </w:pPr>
      <w:r w:rsidRPr="00584730">
        <w:rPr>
          <w:sz w:val="24"/>
          <w:szCs w:val="24"/>
        </w:rPr>
        <w:t xml:space="preserve">Trust for London. (2022). Crimes and income deprivation. Retrieved from Trust for </w:t>
      </w:r>
      <w:proofErr w:type="gramStart"/>
      <w:r w:rsidRPr="00584730">
        <w:rPr>
          <w:sz w:val="24"/>
          <w:szCs w:val="24"/>
        </w:rPr>
        <w:t>London :</w:t>
      </w:r>
      <w:proofErr w:type="gramEnd"/>
      <w:r w:rsidRPr="00584730">
        <w:rPr>
          <w:sz w:val="24"/>
          <w:szCs w:val="24"/>
        </w:rPr>
        <w:t xml:space="preserve"> </w:t>
      </w:r>
      <w:hyperlink r:id="rId5" w:history="1">
        <w:r w:rsidR="00812FFC" w:rsidRPr="004F3986">
          <w:rPr>
            <w:rStyle w:val="Hyperlink"/>
            <w:sz w:val="24"/>
            <w:szCs w:val="24"/>
          </w:rPr>
          <w:t>https://trustforlondon.org.uk/data/crime-and-income-deprivation/</w:t>
        </w:r>
      </w:hyperlink>
    </w:p>
    <w:p w14:paraId="1F9D0834" w14:textId="77777777" w:rsidR="00812FFC" w:rsidRPr="00584730" w:rsidRDefault="00812FFC" w:rsidP="00584730">
      <w:pPr>
        <w:spacing w:line="480" w:lineRule="auto"/>
        <w:rPr>
          <w:sz w:val="24"/>
          <w:szCs w:val="24"/>
        </w:rPr>
      </w:pPr>
    </w:p>
    <w:p w14:paraId="4396588A" w14:textId="77777777" w:rsidR="00750686" w:rsidRPr="00584730" w:rsidRDefault="00750686" w:rsidP="00584730">
      <w:pPr>
        <w:spacing w:line="480" w:lineRule="auto"/>
        <w:rPr>
          <w:sz w:val="24"/>
          <w:szCs w:val="24"/>
        </w:rPr>
      </w:pPr>
    </w:p>
    <w:p w14:paraId="79CF75C7" w14:textId="77777777" w:rsidR="00750686" w:rsidRPr="00584730" w:rsidRDefault="00750686" w:rsidP="00584730">
      <w:pPr>
        <w:spacing w:line="480" w:lineRule="auto"/>
        <w:rPr>
          <w:sz w:val="24"/>
          <w:szCs w:val="24"/>
        </w:rPr>
      </w:pPr>
    </w:p>
    <w:p w14:paraId="26E656B8" w14:textId="77777777" w:rsidR="00750686" w:rsidRPr="00584730" w:rsidRDefault="00750686" w:rsidP="00584730">
      <w:pPr>
        <w:spacing w:line="480" w:lineRule="auto"/>
        <w:rPr>
          <w:sz w:val="24"/>
          <w:szCs w:val="24"/>
        </w:rPr>
      </w:pPr>
    </w:p>
    <w:p w14:paraId="07B76869" w14:textId="77777777" w:rsidR="00735887" w:rsidRPr="00584730" w:rsidRDefault="00735887" w:rsidP="00584730">
      <w:pPr>
        <w:spacing w:line="480" w:lineRule="auto"/>
        <w:rPr>
          <w:sz w:val="24"/>
          <w:szCs w:val="24"/>
        </w:rPr>
      </w:pPr>
    </w:p>
    <w:sectPr w:rsidR="00735887" w:rsidRPr="00584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686"/>
    <w:rsid w:val="000C28DB"/>
    <w:rsid w:val="001A1488"/>
    <w:rsid w:val="003D3635"/>
    <w:rsid w:val="00584730"/>
    <w:rsid w:val="00735887"/>
    <w:rsid w:val="00750686"/>
    <w:rsid w:val="0076316F"/>
    <w:rsid w:val="00812FFC"/>
    <w:rsid w:val="00C210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D2620"/>
  <w15:chartTrackingRefBased/>
  <w15:docId w15:val="{70EB73FC-C4D0-4E38-BC93-4158EDECA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16F"/>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16F"/>
    <w:rPr>
      <w:rFonts w:asciiTheme="majorHAnsi" w:eastAsiaTheme="majorEastAsia" w:hAnsiTheme="majorHAnsi" w:cstheme="majorBidi"/>
      <w:color w:val="2F5496" w:themeColor="accent1" w:themeShade="BF"/>
      <w:kern w:val="0"/>
      <w:sz w:val="32"/>
      <w:szCs w:val="32"/>
      <w:lang w:val="en-US"/>
      <w14:ligatures w14:val="none"/>
    </w:rPr>
  </w:style>
  <w:style w:type="character" w:styleId="Hyperlink">
    <w:name w:val="Hyperlink"/>
    <w:basedOn w:val="DefaultParagraphFont"/>
    <w:uiPriority w:val="99"/>
    <w:unhideWhenUsed/>
    <w:rsid w:val="00812FFC"/>
    <w:rPr>
      <w:color w:val="0563C1" w:themeColor="hyperlink"/>
      <w:u w:val="single"/>
    </w:rPr>
  </w:style>
  <w:style w:type="character" w:styleId="UnresolvedMention">
    <w:name w:val="Unresolved Mention"/>
    <w:basedOn w:val="DefaultParagraphFont"/>
    <w:uiPriority w:val="99"/>
    <w:semiHidden/>
    <w:unhideWhenUsed/>
    <w:rsid w:val="00812F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trustforlondon.org.uk/data/crime-and-income-depriv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D294F-EA14-485C-BDBC-DC61ABB9C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1018</Words>
  <Characters>5804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Bright</dc:creator>
  <cp:keywords/>
  <dc:description/>
  <cp:lastModifiedBy>Harri Bright</cp:lastModifiedBy>
  <cp:revision>6</cp:revision>
  <dcterms:created xsi:type="dcterms:W3CDTF">2023-11-17T21:20:00Z</dcterms:created>
  <dcterms:modified xsi:type="dcterms:W3CDTF">2023-11-17T21:41:00Z</dcterms:modified>
</cp:coreProperties>
</file>