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721C920A" w:rsidR="009C337F" w:rsidRDefault="00452BB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Kevin Turner</w:t>
            </w:r>
          </w:p>
          <w:p w14:paraId="21134F60" w14:textId="77777777" w:rsidR="00452BBE" w:rsidRDefault="00452BBE" w:rsidP="005D3F07">
            <w:pPr>
              <w:overflowPunct/>
              <w:autoSpaceDE/>
              <w:autoSpaceDN/>
              <w:adjustRightInd/>
              <w:ind w:right="-957"/>
              <w:textAlignment w:val="auto"/>
              <w:rPr>
                <w:rFonts w:ascii="Times New Roman" w:hAnsi="Times New Roman" w:cs="Times New Roman"/>
                <w:b/>
                <w:color w:val="auto"/>
                <w:sz w:val="48"/>
              </w:rPr>
            </w:pPr>
          </w:p>
          <w:p w14:paraId="3A6EAAC7" w14:textId="7B44FFB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15892A5D" w:rsidR="00986B43" w:rsidRDefault="00452BB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Kevin.turner@wrexham.gov.uk</w:t>
            </w:r>
          </w:p>
          <w:p w14:paraId="24BF8736" w14:textId="77777777" w:rsidR="00452BBE" w:rsidRDefault="00452BBE" w:rsidP="005D3F07">
            <w:pPr>
              <w:overflowPunct/>
              <w:autoSpaceDE/>
              <w:autoSpaceDN/>
              <w:adjustRightInd/>
              <w:ind w:right="-957"/>
              <w:textAlignment w:val="auto"/>
              <w:rPr>
                <w:rFonts w:ascii="Times New Roman" w:hAnsi="Times New Roman" w:cs="Times New Roman"/>
                <w:b/>
                <w:color w:val="auto"/>
                <w:sz w:val="48"/>
              </w:rPr>
            </w:pPr>
          </w:p>
          <w:p w14:paraId="0DE696B2" w14:textId="7CD8D06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64E0C92" w:rsidR="0085230E" w:rsidRPr="005D3F07" w:rsidRDefault="00452BB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2421172</w:t>
            </w:r>
          </w:p>
          <w:p w14:paraId="06EAED6C" w14:textId="77777777" w:rsidR="00452BBE" w:rsidRDefault="00452BBE" w:rsidP="005D3F07">
            <w:pPr>
              <w:overflowPunct/>
              <w:autoSpaceDE/>
              <w:autoSpaceDN/>
              <w:adjustRightInd/>
              <w:ind w:right="-957"/>
              <w:textAlignment w:val="auto"/>
              <w:rPr>
                <w:rFonts w:ascii="Times New Roman" w:hAnsi="Times New Roman" w:cs="Times New Roman"/>
                <w:b/>
                <w:color w:val="auto"/>
                <w:sz w:val="48"/>
              </w:rPr>
            </w:pPr>
          </w:p>
          <w:p w14:paraId="5F84129B" w14:textId="62B2F84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10632"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2"/>
      </w:tblGrid>
      <w:tr w:rsidR="008B28E7" w:rsidRPr="008B28E7" w14:paraId="2E129DEE" w14:textId="77777777" w:rsidTr="00F46196">
        <w:tc>
          <w:tcPr>
            <w:tcW w:w="10632"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CB4BBC5" w14:textId="77777777" w:rsidR="003141BF" w:rsidRDefault="003141BF" w:rsidP="00FF7EBB">
            <w:pPr>
              <w:jc w:val="both"/>
              <w:rPr>
                <w:i/>
                <w:sz w:val="24"/>
                <w:szCs w:val="24"/>
              </w:rPr>
            </w:pPr>
          </w:p>
          <w:p w14:paraId="7406159E" w14:textId="77777777" w:rsidR="003141BF" w:rsidRDefault="003141BF" w:rsidP="00FF7EBB">
            <w:pPr>
              <w:jc w:val="both"/>
              <w:rPr>
                <w:i/>
                <w:sz w:val="24"/>
                <w:szCs w:val="24"/>
              </w:rPr>
            </w:pPr>
          </w:p>
          <w:p w14:paraId="5D02C85E" w14:textId="77777777" w:rsidR="003141BF" w:rsidRPr="003141BF" w:rsidRDefault="003141BF" w:rsidP="003141BF">
            <w:pPr>
              <w:spacing w:line="360" w:lineRule="auto"/>
              <w:jc w:val="both"/>
              <w:rPr>
                <w:sz w:val="24"/>
                <w:szCs w:val="24"/>
              </w:rPr>
            </w:pPr>
            <w:r w:rsidRPr="003141BF">
              <w:rPr>
                <w:sz w:val="24"/>
                <w:szCs w:val="24"/>
              </w:rPr>
              <w:t xml:space="preserve">Reflective Practice. </w:t>
            </w:r>
          </w:p>
          <w:p w14:paraId="4ECDACAB" w14:textId="77777777" w:rsidR="003141BF" w:rsidRPr="003141BF" w:rsidRDefault="003141BF" w:rsidP="003141BF">
            <w:pPr>
              <w:spacing w:line="360" w:lineRule="auto"/>
              <w:jc w:val="both"/>
              <w:rPr>
                <w:sz w:val="24"/>
                <w:szCs w:val="24"/>
                <w:u w:val="single"/>
              </w:rPr>
            </w:pPr>
            <w:r w:rsidRPr="003141BF">
              <w:rPr>
                <w:sz w:val="24"/>
                <w:szCs w:val="24"/>
                <w:u w:val="single"/>
              </w:rPr>
              <w:t>Introduction</w:t>
            </w:r>
          </w:p>
          <w:p w14:paraId="4365F2E3" w14:textId="77777777" w:rsidR="003141BF" w:rsidRPr="003141BF" w:rsidRDefault="003141BF" w:rsidP="003141BF">
            <w:pPr>
              <w:spacing w:line="360" w:lineRule="auto"/>
              <w:jc w:val="both"/>
              <w:rPr>
                <w:sz w:val="24"/>
                <w:szCs w:val="24"/>
              </w:rPr>
            </w:pPr>
            <w:r w:rsidRPr="003141BF">
              <w:rPr>
                <w:sz w:val="24"/>
                <w:szCs w:val="24"/>
              </w:rPr>
              <w:t>A review of Regional Safeguarding Boards in Wales highlighted serious incidents involving children (McManus, Ball, &amp; Almond, 2023). There were concerns that services in Wales were not meeting the needs of some vulnerable children and their parents, who experience complexities within the family home. This includes substance and alcohol misuse, domestic abuse, and mental health issues. In such circumstances there is an increased risk that a child's physical, social and emotional neglect will impair their development, which can potentially lead to poor health and impact a child in adulthood. This is also known as Adverse Childhood Experiences (ACE’s) (Social Care Wales 2025</w:t>
            </w:r>
            <w:bookmarkStart w:id="0" w:name="_Hlk115197622"/>
            <w:r w:rsidRPr="003141BF">
              <w:rPr>
                <w:sz w:val="24"/>
                <w:szCs w:val="24"/>
              </w:rPr>
              <w:t>, Dacre 2019, Levenson 2020 and The Welsh ACE Study 2015</w:t>
            </w:r>
            <w:bookmarkEnd w:id="0"/>
            <w:r w:rsidRPr="003141BF">
              <w:rPr>
                <w:sz w:val="24"/>
                <w:szCs w:val="24"/>
              </w:rPr>
              <w:t xml:space="preserve">). </w:t>
            </w:r>
          </w:p>
          <w:p w14:paraId="3923D558" w14:textId="77777777" w:rsidR="003141BF" w:rsidRPr="003141BF" w:rsidRDefault="003141BF" w:rsidP="003141BF">
            <w:pPr>
              <w:spacing w:line="360" w:lineRule="auto"/>
              <w:jc w:val="both"/>
              <w:rPr>
                <w:sz w:val="24"/>
                <w:szCs w:val="24"/>
              </w:rPr>
            </w:pPr>
          </w:p>
          <w:p w14:paraId="2EBC5382" w14:textId="77777777" w:rsidR="003141BF" w:rsidRPr="003141BF" w:rsidRDefault="003141BF" w:rsidP="003141BF">
            <w:pPr>
              <w:spacing w:line="360" w:lineRule="auto"/>
              <w:jc w:val="both"/>
              <w:rPr>
                <w:sz w:val="24"/>
                <w:szCs w:val="24"/>
              </w:rPr>
            </w:pPr>
            <w:r w:rsidRPr="003141BF">
              <w:rPr>
                <w:sz w:val="24"/>
                <w:szCs w:val="24"/>
              </w:rPr>
              <w:t xml:space="preserve">The Children and Families (Wales) Measure 2010 is a legislative framework that underpins an approach to support families with complex needs. This emphasises the importance of early intervention and multi-agency work with professional sectors, which may improve the outcomes for </w:t>
            </w:r>
            <w:r w:rsidRPr="003141BF">
              <w:rPr>
                <w:sz w:val="24"/>
                <w:szCs w:val="24"/>
              </w:rPr>
              <w:lastRenderedPageBreak/>
              <w:t xml:space="preserve">young children </w:t>
            </w:r>
            <w:bookmarkStart w:id="1" w:name="_Hlk206525556"/>
            <w:r w:rsidRPr="003141BF">
              <w:rPr>
                <w:sz w:val="24"/>
                <w:szCs w:val="24"/>
              </w:rPr>
              <w:t xml:space="preserve">(Welsh Government, 2010). </w:t>
            </w:r>
            <w:bookmarkEnd w:id="1"/>
            <w:r w:rsidRPr="003141BF">
              <w:rPr>
                <w:sz w:val="24"/>
                <w:szCs w:val="24"/>
              </w:rPr>
              <w:t>It helps guide social workers in identifying families who require additional support by collaboratively working with them to achieve achievable goals. This thereby prevents the escalation of problems and reduces the risk of children being placed on the Child Register or removed (Children and Families (Wales) Measure 2010). This is now a key element of my work, incorporated into Part 9 of the Social Services and Well-being (Wales) Act 2014.</w:t>
            </w:r>
          </w:p>
          <w:p w14:paraId="09DC6118" w14:textId="77777777" w:rsidR="003141BF" w:rsidRPr="003141BF" w:rsidRDefault="003141BF" w:rsidP="003141BF">
            <w:pPr>
              <w:spacing w:line="360" w:lineRule="auto"/>
              <w:jc w:val="both"/>
              <w:rPr>
                <w:sz w:val="24"/>
                <w:szCs w:val="24"/>
              </w:rPr>
            </w:pPr>
          </w:p>
          <w:p w14:paraId="66859867" w14:textId="77777777" w:rsidR="003141BF" w:rsidRPr="003141BF" w:rsidRDefault="003141BF" w:rsidP="003141BF">
            <w:pPr>
              <w:spacing w:line="360" w:lineRule="auto"/>
              <w:jc w:val="both"/>
              <w:rPr>
                <w:sz w:val="24"/>
                <w:szCs w:val="24"/>
              </w:rPr>
            </w:pPr>
            <w:r w:rsidRPr="003141BF">
              <w:rPr>
                <w:sz w:val="24"/>
                <w:szCs w:val="24"/>
              </w:rPr>
              <w:t>My service employs a multi-agency, person-centred approach to enhance collaboration for adults and children, particularly families (Social Services and Well-being (Wales) Act 2014, Part 9). I support families facing complex issues such as substance or alcohol misuse, mental health challenges, domestic abuse, and learning difficulties. This is designed to facilitate behavioural change and prevent children from entering care or being added to the Child Protection Register.</w:t>
            </w:r>
          </w:p>
          <w:p w14:paraId="2E349A96" w14:textId="77777777" w:rsidR="003141BF" w:rsidRPr="003141BF" w:rsidRDefault="003141BF" w:rsidP="003141BF">
            <w:pPr>
              <w:spacing w:line="360" w:lineRule="auto"/>
              <w:jc w:val="both"/>
              <w:rPr>
                <w:sz w:val="24"/>
                <w:szCs w:val="24"/>
              </w:rPr>
            </w:pPr>
          </w:p>
          <w:p w14:paraId="331B26F0" w14:textId="77777777" w:rsidR="003141BF" w:rsidRPr="003141BF" w:rsidRDefault="003141BF" w:rsidP="003141BF">
            <w:pPr>
              <w:spacing w:line="360" w:lineRule="auto"/>
              <w:jc w:val="both"/>
              <w:rPr>
                <w:sz w:val="24"/>
                <w:szCs w:val="24"/>
              </w:rPr>
            </w:pPr>
            <w:r w:rsidRPr="003141BF">
              <w:rPr>
                <w:sz w:val="24"/>
                <w:szCs w:val="24"/>
              </w:rPr>
              <w:t xml:space="preserve">The primary focus of my service is to concentrate </w:t>
            </w:r>
            <w:r w:rsidRPr="003141BF">
              <w:rPr>
                <w:i/>
                <w:iCs/>
                <w:sz w:val="24"/>
                <w:szCs w:val="24"/>
              </w:rPr>
              <w:t>not</w:t>
            </w:r>
            <w:r w:rsidRPr="003141BF">
              <w:rPr>
                <w:sz w:val="24"/>
                <w:szCs w:val="24"/>
              </w:rPr>
              <w:t xml:space="preserve"> on the problem but on the outcomes (de Shazer et al., 2007). This evidence-based practice is underpinned by core principles such as collaboration with multi-agency partners and a strengths-based approach that builds on family capabilities and resilience. It prioritises early intervention and engages all family members who show a willingness to make positive changes (Welsh Safeguarding Procedures, 2019). </w:t>
            </w:r>
            <w:bookmarkStart w:id="2" w:name="_Hlk210232777"/>
            <w:r w:rsidRPr="003141BF">
              <w:rPr>
                <w:sz w:val="24"/>
                <w:szCs w:val="24"/>
              </w:rPr>
              <w:t xml:space="preserve"> </w:t>
            </w:r>
            <w:bookmarkEnd w:id="2"/>
            <w:r w:rsidRPr="003141BF">
              <w:rPr>
                <w:sz w:val="24"/>
                <w:szCs w:val="24"/>
              </w:rPr>
              <w:t xml:space="preserve"> An example of evidence-based practices is De Shazer’s Solution-Focused Brief Therapy (SFBT) (De Shazer, S., 1985) and Motivational Interviewing (MI) (Miller and Rollnick, 1980). The techniques used are holistic, therapeutic, and citizen centred. Many of the families my service works with benefit from early intervention, which incorporates goal setting (Jones and Bramble, 2010) and coping strategies. </w:t>
            </w:r>
            <w:r w:rsidRPr="003141BF">
              <w:rPr>
                <w:rStyle w:val="kjasn"/>
                <w:sz w:val="24"/>
                <w:szCs w:val="24"/>
                <w:bdr w:val="none" w:sz="0" w:space="0" w:color="auto" w:frame="1"/>
              </w:rPr>
              <w:t>Fortune, A. E. &amp; Reid, W. J (2011) state th</w:t>
            </w:r>
            <w:r w:rsidRPr="003141BF">
              <w:rPr>
                <w:sz w:val="24"/>
                <w:szCs w:val="24"/>
              </w:rPr>
              <w:t xml:space="preserve">e approach involves identifying and exploring the family's problems, selecting the most distressing one for intervention, defining a goal to address it, setting tasks for both client and social worker, and evaluating progress. Evaluation determines if the goal is met and the problem is reduced or resolved (Fortune, A.E., Reid, W., 2011). </w:t>
            </w:r>
          </w:p>
          <w:p w14:paraId="33B192BD" w14:textId="77777777" w:rsidR="003141BF" w:rsidRPr="003141BF" w:rsidRDefault="003141BF" w:rsidP="003141BF">
            <w:pPr>
              <w:spacing w:line="360" w:lineRule="auto"/>
              <w:jc w:val="both"/>
              <w:rPr>
                <w:sz w:val="24"/>
                <w:szCs w:val="24"/>
              </w:rPr>
            </w:pPr>
          </w:p>
          <w:p w14:paraId="3E57366D" w14:textId="77777777" w:rsidR="003141BF" w:rsidRPr="003141BF" w:rsidRDefault="003141BF" w:rsidP="003141BF">
            <w:pPr>
              <w:spacing w:line="360" w:lineRule="auto"/>
              <w:jc w:val="both"/>
              <w:rPr>
                <w:sz w:val="24"/>
                <w:szCs w:val="24"/>
              </w:rPr>
            </w:pPr>
            <w:r w:rsidRPr="003141BF">
              <w:rPr>
                <w:sz w:val="24"/>
                <w:szCs w:val="24"/>
              </w:rPr>
              <w:t xml:space="preserve">Bronfenbrenner’s Ecological Development Theory (1979) identifies five layers that shape child development, which could include external influences such as parental workplaces, unemployment, local crime, rural settings, public transportation, and community factors (National Assembly for Wales, 2015; Social Care Wales, 2011). My service works intensively with families over a year, </w:t>
            </w:r>
            <w:r w:rsidRPr="003141BF">
              <w:rPr>
                <w:sz w:val="24"/>
                <w:szCs w:val="24"/>
              </w:rPr>
              <w:lastRenderedPageBreak/>
              <w:t>supporting change through personal experiences. Research highlights individuals as experts in their own lives (Miller et al.; Parton &amp; Byrne, 2000, 2007; Trevithick, 2005; Social Services Well-being (Wales) Act 2014), and Prochaska and DiClemente’s Cycle of Change model helps people navigate behavioural change from contemplation to Maintenance (Prochaska &amp; DiClemente, 1983).</w:t>
            </w:r>
          </w:p>
          <w:p w14:paraId="32CFBE4D" w14:textId="77777777" w:rsidR="003141BF" w:rsidRPr="003141BF" w:rsidRDefault="003141BF" w:rsidP="003141BF">
            <w:pPr>
              <w:spacing w:line="360" w:lineRule="auto"/>
              <w:jc w:val="both"/>
              <w:rPr>
                <w:sz w:val="24"/>
                <w:szCs w:val="24"/>
              </w:rPr>
            </w:pPr>
          </w:p>
          <w:p w14:paraId="66C46D7B" w14:textId="77777777" w:rsidR="003141BF" w:rsidRPr="003141BF" w:rsidRDefault="003141BF" w:rsidP="003141BF">
            <w:pPr>
              <w:spacing w:line="360" w:lineRule="auto"/>
              <w:jc w:val="both"/>
              <w:rPr>
                <w:sz w:val="24"/>
                <w:szCs w:val="24"/>
                <w:u w:val="single"/>
              </w:rPr>
            </w:pPr>
            <w:r w:rsidRPr="003141BF">
              <w:rPr>
                <w:sz w:val="24"/>
                <w:szCs w:val="24"/>
                <w:u w:val="single"/>
              </w:rPr>
              <w:t>Case Study.</w:t>
            </w:r>
          </w:p>
          <w:p w14:paraId="18A8FBE6" w14:textId="77777777" w:rsidR="003141BF" w:rsidRPr="003141BF" w:rsidRDefault="003141BF" w:rsidP="003141BF">
            <w:pPr>
              <w:spacing w:line="360" w:lineRule="auto"/>
              <w:jc w:val="both"/>
              <w:rPr>
                <w:color w:val="auto"/>
                <w:sz w:val="24"/>
                <w:szCs w:val="24"/>
              </w:rPr>
            </w:pPr>
            <w:r w:rsidRPr="003141BF">
              <w:rPr>
                <w:color w:val="auto"/>
                <w:sz w:val="24"/>
                <w:szCs w:val="24"/>
              </w:rPr>
              <w:t>I</w:t>
            </w:r>
            <w:r w:rsidRPr="003141BF">
              <w:rPr>
                <w:sz w:val="24"/>
                <w:szCs w:val="24"/>
              </w:rPr>
              <w:t xml:space="preserve"> was assigned to complete an intensive family assessment</w:t>
            </w:r>
            <w:r w:rsidRPr="003141BF">
              <w:rPr>
                <w:color w:val="auto"/>
                <w:sz w:val="24"/>
                <w:szCs w:val="24"/>
              </w:rPr>
              <w:t xml:space="preserve">. Sons (1) and (2) live with their father, who is currently unable to work due to ongoing mental health challenges, which place financial pressure on the household and contribute to stress within the family environment. They live in an area where employment is low and illicit drugs are easily accessible. The father finds this hard, as he is working towards abstinence. Sons(1) and (2) share a bedroom, which often leads to verbal and physical conflict in the family's two-bedroom home. Son(1) had shared with his schoolteacher that he feared going home because his father had been sending threatening messages using defamatory language, using voice notes on WhatsApp, and was including suicidal ideation. Son(1) disclosed that their father was angry and upset over an incident involving letting the dogs out into the street and was accusing Son(1) and Son (2) of being lazy around the home.  </w:t>
            </w:r>
            <w:r w:rsidRPr="003141BF">
              <w:rPr>
                <w:sz w:val="24"/>
                <w:szCs w:val="24"/>
              </w:rPr>
              <w:t xml:space="preserve">According to safeguarding guidance in Wales, everyone has a responsibility to report such concerns (SCW 2025 </w:t>
            </w:r>
            <w:r w:rsidRPr="003141BF">
              <w:rPr>
                <w:i/>
                <w:iCs/>
                <w:sz w:val="24"/>
                <w:szCs w:val="24"/>
              </w:rPr>
              <w:t>s.2).</w:t>
            </w:r>
            <w:r w:rsidRPr="003141BF">
              <w:rPr>
                <w:sz w:val="24"/>
                <w:szCs w:val="24"/>
              </w:rPr>
              <w:t xml:space="preserve"> Therefore, the school submitted a referral to Children's Services following the conversation with Son(1) regarding alleged emotional harm caused by their father. This is in line with section 130 of the Social Services Wellbeing (Wales) Act 2014, where it </w:t>
            </w:r>
            <w:proofErr w:type="gramStart"/>
            <w:r w:rsidRPr="003141BF">
              <w:rPr>
                <w:sz w:val="24"/>
                <w:szCs w:val="24"/>
              </w:rPr>
              <w:t>states</w:t>
            </w:r>
            <w:proofErr w:type="gramEnd"/>
            <w:r w:rsidRPr="003141BF">
              <w:rPr>
                <w:sz w:val="24"/>
                <w:szCs w:val="24"/>
              </w:rPr>
              <w:t xml:space="preserve"> </w:t>
            </w:r>
            <w:r w:rsidRPr="003141BF">
              <w:rPr>
                <w:i/>
                <w:iCs/>
                <w:sz w:val="24"/>
                <w:szCs w:val="24"/>
              </w:rPr>
              <w:t>“relevant partners have a duty to inform  XXX authority, if they have reasonable cause to suspect a child at risk of or experiencing abuse, neglect or other types of harm” (</w:t>
            </w:r>
            <w:r w:rsidRPr="003141BF">
              <w:rPr>
                <w:sz w:val="24"/>
                <w:szCs w:val="24"/>
              </w:rPr>
              <w:t>Social Services Wellbeing(Wales) Act 2014).</w:t>
            </w:r>
            <w:r w:rsidRPr="003141BF">
              <w:rPr>
                <w:color w:val="auto"/>
                <w:sz w:val="24"/>
                <w:szCs w:val="24"/>
              </w:rPr>
              <w:t xml:space="preserve"> </w:t>
            </w:r>
          </w:p>
          <w:p w14:paraId="25D475D5" w14:textId="77777777" w:rsidR="003141BF" w:rsidRPr="003141BF" w:rsidRDefault="003141BF" w:rsidP="003141BF">
            <w:pPr>
              <w:spacing w:line="360" w:lineRule="auto"/>
              <w:jc w:val="both"/>
              <w:rPr>
                <w:color w:val="auto"/>
                <w:sz w:val="24"/>
                <w:szCs w:val="24"/>
              </w:rPr>
            </w:pPr>
          </w:p>
          <w:p w14:paraId="2099EBF8" w14:textId="77777777" w:rsidR="00696451" w:rsidRPr="00FE3A6D" w:rsidRDefault="003141BF" w:rsidP="00696451">
            <w:pPr>
              <w:spacing w:line="360" w:lineRule="auto"/>
              <w:jc w:val="both"/>
              <w:rPr>
                <w:color w:val="auto"/>
                <w:sz w:val="24"/>
              </w:rPr>
            </w:pPr>
            <w:r w:rsidRPr="00696451">
              <w:rPr>
                <w:sz w:val="24"/>
                <w:szCs w:val="24"/>
              </w:rPr>
              <w:t>XXXX authority conducted a Section 47 inquiry. This is in accordance with its statutory duty to investigate when there is reasonable cause to suspect that a child residing or located within the area may be suffering or is likely to suffer significant harm (Children Act 1989, s.47). All agencies in Wales are guided by the statutory document ‘</w:t>
            </w:r>
            <w:bookmarkStart w:id="3" w:name="_Hlk206765640"/>
            <w:r w:rsidRPr="00696451">
              <w:rPr>
                <w:sz w:val="24"/>
                <w:szCs w:val="24"/>
              </w:rPr>
              <w:t xml:space="preserve">Working Together to Safeguard People’ </w:t>
            </w:r>
            <w:bookmarkEnd w:id="3"/>
            <w:r w:rsidRPr="00696451">
              <w:rPr>
                <w:sz w:val="24"/>
                <w:szCs w:val="24"/>
              </w:rPr>
              <w:t xml:space="preserve">(Welsh Government 2022; Cardiff University </w:t>
            </w:r>
            <w:proofErr w:type="spellStart"/>
            <w:r w:rsidRPr="00696451">
              <w:rPr>
                <w:sz w:val="24"/>
                <w:szCs w:val="24"/>
              </w:rPr>
              <w:t>n.d</w:t>
            </w:r>
            <w:proofErr w:type="spellEnd"/>
            <w:r w:rsidRPr="00696451">
              <w:rPr>
                <w:sz w:val="24"/>
                <w:szCs w:val="24"/>
              </w:rPr>
              <w:t xml:space="preserve">). This is a key element for multi-agency safeguarding practice in Wales and aligns with the duties under Part 7 of the Social Services and Well-being (Wales) Act 2014.  </w:t>
            </w:r>
            <w:r w:rsidR="00696451" w:rsidRPr="00696451">
              <w:rPr>
                <w:sz w:val="24"/>
              </w:rPr>
              <w:t xml:space="preserve">The ‘Children at Risk’ guidance (Welsh Government, 2018) was introduced in response to concerns about risks and vulnerabilities affecting children. In Wales, Section 47 of the </w:t>
            </w:r>
            <w:r w:rsidR="00696451" w:rsidRPr="00696451">
              <w:rPr>
                <w:sz w:val="24"/>
              </w:rPr>
              <w:lastRenderedPageBreak/>
              <w:t>Children Act 1989 incorporates important principles from the UNCRC</w:t>
            </w:r>
            <w:r w:rsidR="00696451" w:rsidRPr="00696451">
              <w:t xml:space="preserve">, </w:t>
            </w:r>
            <w:r w:rsidR="00696451" w:rsidRPr="00C8601E">
              <w:rPr>
                <w:sz w:val="24"/>
                <w:szCs w:val="24"/>
              </w:rPr>
              <w:t>specifically Articles 3, 12</w:t>
            </w:r>
            <w:r w:rsidR="00696451" w:rsidRPr="00821676">
              <w:rPr>
                <w:sz w:val="24"/>
                <w:szCs w:val="24"/>
              </w:rPr>
              <w:t>, and 19</w:t>
            </w:r>
            <w:r w:rsidR="00696451" w:rsidRPr="00696451">
              <w:t xml:space="preserve">, </w:t>
            </w:r>
            <w:r w:rsidR="00696451" w:rsidRPr="00696451">
              <w:rPr>
                <w:sz w:val="24"/>
              </w:rPr>
              <w:t>through the Welsh Government’s “due regard” obligation outlined in the Rights of Children and Young Persons (Wales) Measure 2011. Together, these frameworks promote safeguarding practices that place the needs and rights of children at the centre.</w:t>
            </w:r>
          </w:p>
          <w:p w14:paraId="55D978FB" w14:textId="4BFE3F6B" w:rsidR="003141BF" w:rsidRPr="003141BF" w:rsidRDefault="003141BF" w:rsidP="003141BF">
            <w:pPr>
              <w:spacing w:line="360" w:lineRule="auto"/>
              <w:jc w:val="both"/>
              <w:rPr>
                <w:sz w:val="24"/>
                <w:szCs w:val="24"/>
              </w:rPr>
            </w:pPr>
          </w:p>
          <w:p w14:paraId="13032534" w14:textId="77777777" w:rsidR="003141BF" w:rsidRPr="003141BF" w:rsidRDefault="003141BF" w:rsidP="003141BF">
            <w:pPr>
              <w:spacing w:line="360" w:lineRule="auto"/>
              <w:jc w:val="both"/>
              <w:rPr>
                <w:sz w:val="24"/>
                <w:szCs w:val="24"/>
              </w:rPr>
            </w:pPr>
            <w:r w:rsidRPr="003141BF">
              <w:rPr>
                <w:color w:val="auto"/>
                <w:sz w:val="24"/>
                <w:szCs w:val="24"/>
              </w:rPr>
              <w:t>I</w:t>
            </w:r>
            <w:r w:rsidRPr="003141BF">
              <w:rPr>
                <w:sz w:val="24"/>
                <w:szCs w:val="24"/>
              </w:rPr>
              <w:t xml:space="preserve"> was assigned to complete an intensive family assessment and invited to a multi-agency Child Protection Conference, arranged to collaboratively determine whether the children had experienced, or were at risk of, significant harm. As a result due to the concern raised, the children were placed on the Child Protection Register, which imposed a statutory obligation on XXX authority to ensure their protection and prevent further harm (Social Services wellbeing (Wales) Act 2014 </w:t>
            </w:r>
            <w:r w:rsidRPr="003141BF">
              <w:rPr>
                <w:i/>
                <w:iCs/>
                <w:sz w:val="24"/>
                <w:szCs w:val="24"/>
              </w:rPr>
              <w:t>s.7 pt.3)</w:t>
            </w:r>
            <w:r w:rsidRPr="003141BF">
              <w:rPr>
                <w:sz w:val="24"/>
                <w:szCs w:val="24"/>
              </w:rPr>
              <w:t>. The Human Rights Act 1998 obliges public authorities to uphold individual rights, presenting legal and ethical considerations for social workers, particularly regarding Article 8: the right to respect for private and family life (Human Rights Act  1998). Judicial decisions underscore the necessity of legal safeguards for children; notably, in A v UK (1999), the European Court of Human Rights ruled that states are required to protect individuals within their jurisdiction from torture or degrading treatment, with particular emphasis on children and vulnerable persons. The Children Act 1989 recognised ‘significant harm' as the criterion for mandatory intervention in family matters to serve the best interests of the child</w:t>
            </w:r>
            <w:r w:rsidRPr="003141BF">
              <w:rPr>
                <w:strike/>
                <w:sz w:val="24"/>
                <w:szCs w:val="24"/>
              </w:rPr>
              <w:t>.</w:t>
            </w:r>
            <w:r w:rsidRPr="003141BF">
              <w:rPr>
                <w:sz w:val="24"/>
                <w:szCs w:val="24"/>
              </w:rPr>
              <w:t xml:space="preserve"> There were no reports of any physical abuse,  XXX authority did not have to investigate this; however, physical restraint is illegal in Wales. The Children (Abolition of Defence of Reasonable Punishment) (Wales) Act 2020 was introduced to the Senedd in March 2019. It was passed in March 2020 and came into force on 21 March 2022 (Welsh Parliament 2020). </w:t>
            </w:r>
          </w:p>
          <w:p w14:paraId="7AB70491" w14:textId="77777777" w:rsidR="003141BF" w:rsidRPr="003141BF" w:rsidRDefault="003141BF" w:rsidP="003141BF">
            <w:pPr>
              <w:spacing w:line="360" w:lineRule="auto"/>
              <w:jc w:val="both"/>
              <w:rPr>
                <w:color w:val="auto"/>
                <w:sz w:val="24"/>
                <w:szCs w:val="24"/>
              </w:rPr>
            </w:pPr>
          </w:p>
          <w:p w14:paraId="5A373638" w14:textId="77777777" w:rsidR="003141BF" w:rsidRPr="003141BF" w:rsidRDefault="003141BF" w:rsidP="003141BF">
            <w:pPr>
              <w:spacing w:line="360" w:lineRule="auto"/>
              <w:jc w:val="both"/>
              <w:rPr>
                <w:sz w:val="24"/>
                <w:szCs w:val="24"/>
              </w:rPr>
            </w:pPr>
            <w:r w:rsidRPr="003141BF">
              <w:rPr>
                <w:sz w:val="24"/>
                <w:szCs w:val="24"/>
              </w:rPr>
              <w:t xml:space="preserve">After introducing myself and arranging a visit, I ensured the family had an Active Offer to express their language preference for the intervention, as per the Welsh Language Measures 2011 (Welsh Government, 2011, s. </w:t>
            </w:r>
            <w:r w:rsidRPr="003141BF">
              <w:rPr>
                <w:i/>
                <w:iCs/>
                <w:sz w:val="24"/>
                <w:szCs w:val="24"/>
              </w:rPr>
              <w:t>28</w:t>
            </w:r>
            <w:r w:rsidRPr="003141BF">
              <w:rPr>
                <w:sz w:val="24"/>
                <w:szCs w:val="24"/>
              </w:rPr>
              <w:t xml:space="preserve">). This approach is designed to ensure that all family members can participate and express their perspectives, and for me, as the social worker, to assess the risk and help access the right support and services that the family may need (Social Services and Well-being (Wales) Act 2014). I explained that it is essential to gather the viewpoints of all family members involved and consider their views, wishes, and feelings. The family chose English as their preferred language. However, if they had chosen Welsh, I would have ensured that all written </w:t>
            </w:r>
            <w:r w:rsidRPr="003141BF">
              <w:rPr>
                <w:sz w:val="24"/>
                <w:szCs w:val="24"/>
              </w:rPr>
              <w:lastRenderedPageBreak/>
              <w:t xml:space="preserve">materials provided to the family were available in both Welsh and English. And I would have made interpreter services accessible should any family member wish to communicate in Welsh or require support in either language. I was aware that the children’s father did not speak Welsh as his first language, but the children attended a Welsh-speaking school. I offered the children an interpreter, which they declined. I observed a distinct dynamic within the family's communication, the children would have to switch to English at home to communicate with their father, which Son(1) confirmed as being difficult and stated this would create subtle but notable tension in their interactions. For instance, during conversations in English, the children were often less expressive and more reserved, offering shorter responses and avoiding eye contact. This contrasted with their more animated and spontaneous communication style observed when speaking Welsh amongst their friends in school (Thomas, 2012). </w:t>
            </w:r>
          </w:p>
          <w:p w14:paraId="1327F2D0" w14:textId="77777777" w:rsidR="003141BF" w:rsidRPr="003141BF" w:rsidRDefault="003141BF" w:rsidP="003141BF">
            <w:pPr>
              <w:spacing w:line="360" w:lineRule="auto"/>
              <w:jc w:val="both"/>
              <w:rPr>
                <w:sz w:val="24"/>
                <w:szCs w:val="24"/>
              </w:rPr>
            </w:pPr>
          </w:p>
          <w:p w14:paraId="7E9AE1B0" w14:textId="77777777" w:rsidR="003141BF" w:rsidRPr="003141BF" w:rsidRDefault="003141BF" w:rsidP="003141BF">
            <w:pPr>
              <w:spacing w:line="360" w:lineRule="auto"/>
              <w:jc w:val="both"/>
              <w:rPr>
                <w:i/>
                <w:iCs/>
                <w:sz w:val="24"/>
                <w:szCs w:val="24"/>
              </w:rPr>
            </w:pPr>
            <w:r w:rsidRPr="003141BF">
              <w:rPr>
                <w:sz w:val="24"/>
                <w:szCs w:val="24"/>
              </w:rPr>
              <w:t xml:space="preserve">Ventress (2015) provides guidance for social work professionals: </w:t>
            </w:r>
            <w:r w:rsidRPr="003141BF">
              <w:rPr>
                <w:i/>
                <w:iCs/>
                <w:sz w:val="24"/>
                <w:szCs w:val="24"/>
              </w:rPr>
              <w:t xml:space="preserve">“Working directly with the adults to achieve change offers practice guidance for social care professionals, particularly within child protection and family support contexts” </w:t>
            </w:r>
            <w:r w:rsidRPr="003141BF">
              <w:rPr>
                <w:sz w:val="24"/>
                <w:szCs w:val="24"/>
              </w:rPr>
              <w:t>(Ventress 2015). My approach supported collaboration with both children and adults, encouraged adult participation, and promoted trauma-informed engagement. This maintained empathy alongside clear expectations and boundaries. Such practices are consistent with trauma-informed principles and strengths-based approaches, especially in safeguarding situations where adults</w:t>
            </w:r>
            <w:bookmarkStart w:id="4" w:name="_Hlk207020891"/>
            <w:r w:rsidRPr="003141BF">
              <w:rPr>
                <w:sz w:val="24"/>
                <w:szCs w:val="24"/>
              </w:rPr>
              <w:t>' behaviour directly impacts child wellbeing (Ventress, 2015</w:t>
            </w:r>
            <w:bookmarkEnd w:id="4"/>
            <w:r w:rsidRPr="003141BF">
              <w:rPr>
                <w:sz w:val="24"/>
                <w:szCs w:val="24"/>
              </w:rPr>
              <w:t>). Ventress (2015) aligns effectively with safeguarding and assessment frameworks, particularly when considered in the context of Section 7 of the Social Services and Well-being (Wales) Act 2014 and trauma-informed practice. (Ventress,2015; Social Services and Wellbeing (Wales) Act (2014),</w:t>
            </w:r>
            <w:r w:rsidRPr="003141BF">
              <w:rPr>
                <w:i/>
                <w:iCs/>
                <w:sz w:val="24"/>
                <w:szCs w:val="24"/>
              </w:rPr>
              <w:t xml:space="preserve"> pt. 7).</w:t>
            </w:r>
          </w:p>
          <w:p w14:paraId="16D10BC2" w14:textId="77777777" w:rsidR="003141BF" w:rsidRPr="003141BF" w:rsidRDefault="003141BF" w:rsidP="003141BF">
            <w:pPr>
              <w:spacing w:line="360" w:lineRule="auto"/>
              <w:jc w:val="both"/>
              <w:rPr>
                <w:i/>
                <w:iCs/>
                <w:sz w:val="24"/>
                <w:szCs w:val="24"/>
              </w:rPr>
            </w:pPr>
            <w:r w:rsidRPr="003141BF">
              <w:rPr>
                <w:i/>
                <w:iCs/>
                <w:sz w:val="24"/>
                <w:szCs w:val="24"/>
              </w:rPr>
              <w:t xml:space="preserve"> </w:t>
            </w:r>
          </w:p>
          <w:p w14:paraId="6CBCDDD3" w14:textId="77777777" w:rsidR="003141BF" w:rsidRPr="003141BF" w:rsidRDefault="003141BF" w:rsidP="003141BF">
            <w:pPr>
              <w:spacing w:line="360" w:lineRule="auto"/>
              <w:jc w:val="both"/>
              <w:rPr>
                <w:sz w:val="24"/>
                <w:szCs w:val="24"/>
              </w:rPr>
            </w:pPr>
            <w:r w:rsidRPr="003141BF">
              <w:rPr>
                <w:sz w:val="24"/>
                <w:szCs w:val="24"/>
              </w:rPr>
              <w:t xml:space="preserve">My role is to be open, honest, and transparent, and to build a professional relationship with the family that they can trust. I explained what my role entailed and stated that I would have to share information I deemed a concern with their assigned social worker. I would also take written and electronic notes and accurately record the information on a database to support my analysis and decision-making. Inaccurate record keeping may disrupt trust and distort professional analysis (SCW, 2017). </w:t>
            </w:r>
          </w:p>
          <w:p w14:paraId="2496EB61" w14:textId="77777777" w:rsidR="003141BF" w:rsidRPr="003141BF" w:rsidRDefault="003141BF" w:rsidP="003141BF">
            <w:pPr>
              <w:spacing w:line="360" w:lineRule="auto"/>
              <w:jc w:val="both"/>
              <w:rPr>
                <w:sz w:val="24"/>
                <w:szCs w:val="24"/>
              </w:rPr>
            </w:pPr>
          </w:p>
          <w:p w14:paraId="4CD0A84D" w14:textId="77777777" w:rsidR="003141BF" w:rsidRPr="003141BF" w:rsidRDefault="003141BF" w:rsidP="003141BF">
            <w:pPr>
              <w:spacing w:line="360" w:lineRule="auto"/>
              <w:jc w:val="both"/>
              <w:rPr>
                <w:sz w:val="24"/>
                <w:szCs w:val="24"/>
              </w:rPr>
            </w:pPr>
            <w:r w:rsidRPr="003141BF">
              <w:rPr>
                <w:sz w:val="24"/>
                <w:szCs w:val="24"/>
              </w:rPr>
              <w:lastRenderedPageBreak/>
              <w:t>On the first assessment day, I arrived punctually and was welcomed politely by the father, who invited me into the home. I waited to be offered a seat before beginning (SCW, 2017). I asked the father if he knew why I was there. The father was unclear on specifics but mentioned concerns about his communication with his sons and illicit drug use. He disputed claims that his behaviour was threatening and denied that his substance use was problematic. I responded by explaining the safeguarding duties under Part 7 of the Social Services and Well-being (Wales) Act 2014, which outlines the legal responsibility to protect children at risk of abuse or neglect, using accessible and non-jargonistic language (Welsh Government, 2014).</w:t>
            </w:r>
          </w:p>
          <w:p w14:paraId="7BD5776C" w14:textId="77777777" w:rsidR="003141BF" w:rsidRPr="003141BF" w:rsidRDefault="003141BF" w:rsidP="003141BF">
            <w:pPr>
              <w:spacing w:line="360" w:lineRule="auto"/>
              <w:jc w:val="both"/>
              <w:rPr>
                <w:sz w:val="24"/>
                <w:szCs w:val="24"/>
              </w:rPr>
            </w:pPr>
          </w:p>
          <w:p w14:paraId="47536830" w14:textId="77777777" w:rsidR="003141BF" w:rsidRPr="003141BF" w:rsidRDefault="003141BF" w:rsidP="003141BF">
            <w:pPr>
              <w:spacing w:line="360" w:lineRule="auto"/>
              <w:jc w:val="both"/>
              <w:rPr>
                <w:sz w:val="24"/>
                <w:szCs w:val="24"/>
              </w:rPr>
            </w:pPr>
            <w:r w:rsidRPr="003141BF">
              <w:rPr>
                <w:color w:val="auto"/>
                <w:sz w:val="24"/>
                <w:szCs w:val="24"/>
              </w:rPr>
              <w:t>The father discussed with me that he had severe mental health issues and had poor access to education, which had impacted his social awareness and inclusion in society. It was also disclosed that their mother had mental health issues and was unable to see her sons together due to their impact on her mental health. Therefore,  Sons (1) and (2) would see their mother alternately once a week. By adopting open questioning, as set out by SFBT</w:t>
            </w:r>
            <w:r w:rsidRPr="003141BF">
              <w:rPr>
                <w:sz w:val="24"/>
                <w:szCs w:val="24"/>
              </w:rPr>
              <w:t>, developed by Steve de Shazer and Minsoo Kim Berg during the 1980s. I was able to focus on a strengths-based, future-oriented model that has become widely used in social care, mental health, and safeguarding contexts (De Shazer and Dolan, 2007). George (1999) describes SFBT as “focuses on the client’s best hopes and preferred future, rather than the problem itself” (George et al., 1999) and empowers the family to produce their own solutions. I anticipated that information-gathering would require asking challenging questions, which might cause conflict. To eliminate this, I used a calm voice and offered reassurance to help de-escalate any tensions. Seden (2005) notes that social workers can reduce tension and elicit fewer defensive responses by calmly asking questions. Negotiation occurs when both the service user and social worker seek a mutually agreeable solution. Trevithick (2011) describes negotiation skills as essential tools for decision-making and collaboration in partnerships. I completed a therapeutic conversation with the father, where he constructed a vision of change, making the problem less present and manageable. By utilising the above skillset, the father acknowledged his family was in a crisis and wanted to access help and take steps to address the concerns raised by Children's Services. In doing so, help his sons(1) and (2) be removed from the Child Protection Register.</w:t>
            </w:r>
          </w:p>
          <w:p w14:paraId="65D0E050" w14:textId="77777777" w:rsidR="003141BF" w:rsidRPr="003141BF" w:rsidRDefault="003141BF" w:rsidP="003141BF">
            <w:pPr>
              <w:spacing w:line="360" w:lineRule="auto"/>
              <w:jc w:val="both"/>
              <w:rPr>
                <w:sz w:val="24"/>
                <w:szCs w:val="24"/>
              </w:rPr>
            </w:pPr>
          </w:p>
          <w:p w14:paraId="193A45F7" w14:textId="77777777" w:rsidR="003141BF" w:rsidRPr="003141BF" w:rsidRDefault="003141BF" w:rsidP="003141BF">
            <w:pPr>
              <w:spacing w:line="360" w:lineRule="auto"/>
              <w:jc w:val="both"/>
              <w:rPr>
                <w:sz w:val="24"/>
                <w:szCs w:val="24"/>
              </w:rPr>
            </w:pPr>
            <w:r w:rsidRPr="003141BF">
              <w:rPr>
                <w:sz w:val="24"/>
                <w:szCs w:val="24"/>
              </w:rPr>
              <w:lastRenderedPageBreak/>
              <w:t>On reflection, my professional judgement was that the father may face ongoing challenges in maintaining outcomes due to his learning needs and limited emotional awareness. It was agreed in supervision with my team manager that I should use visual aids to assist my intervention with the father. I applied De Bono’s (2017) Six Thinking Hats framework as a visual tool to facilitate communication and elicit thoughts and feelings from the father. For example, I employed the white hat approach, which involves me, as the family social worker, analysing information during the verbal stage. The red hat enables the expression of emotions, which can be connected to both verbal and non-verbal communication between the father and his two sons. The father describes the relationship between his two sons as sometimes confrontational, escalating to arguments. The black and blue hats helped the family identify challenges, consider potential solutions, and develop clear action steps while adhering to procedures and employing critical thinking and active listening skills. Overall, my approach proved to be a valuable means of determining the appropriate service methods to enhance care and support for the family. This included communication skills, parental skills, and advocacy for the children. I also employed the ‘Three-stage Theory practice,’ utilising my communication skills to gather information for constructing a comprehensive family profile (Collingwood, 2005). According to Maclean (2017), social work is structured around three fundamental questions: What? Why? and How? These questions play a crucial role in effective communication and establish a vital framework for social workers. My use of theory has enhanced my social work role, ensuring that my practice remains informed and grounded in evidence.</w:t>
            </w:r>
          </w:p>
          <w:p w14:paraId="6B9AD398" w14:textId="77777777" w:rsidR="003141BF" w:rsidRPr="003141BF" w:rsidRDefault="003141BF" w:rsidP="003141BF">
            <w:pPr>
              <w:spacing w:line="360" w:lineRule="auto"/>
              <w:jc w:val="both"/>
              <w:rPr>
                <w:sz w:val="24"/>
                <w:szCs w:val="24"/>
              </w:rPr>
            </w:pPr>
          </w:p>
          <w:p w14:paraId="2DB45745" w14:textId="77777777" w:rsidR="003141BF" w:rsidRPr="003141BF" w:rsidRDefault="003141BF" w:rsidP="003141BF">
            <w:pPr>
              <w:spacing w:line="360" w:lineRule="auto"/>
              <w:jc w:val="both"/>
              <w:rPr>
                <w:sz w:val="24"/>
                <w:szCs w:val="24"/>
              </w:rPr>
            </w:pPr>
            <w:r w:rsidRPr="003141BF">
              <w:rPr>
                <w:sz w:val="24"/>
                <w:szCs w:val="24"/>
              </w:rPr>
              <w:t xml:space="preserve">Concerns were noted regarding the impact of parental mental health on child welfare. I clarified that the mother had given consent for a Part Three Care and Support Needs Assessment </w:t>
            </w:r>
            <w:bookmarkStart w:id="5" w:name="_Hlk206839363"/>
            <w:r w:rsidRPr="003141BF">
              <w:rPr>
                <w:sz w:val="24"/>
                <w:szCs w:val="24"/>
              </w:rPr>
              <w:t>(Social Services Wellbeing (Wales) Act 2014,</w:t>
            </w:r>
            <w:r w:rsidRPr="003141BF">
              <w:rPr>
                <w:i/>
                <w:iCs/>
                <w:sz w:val="24"/>
                <w:szCs w:val="24"/>
              </w:rPr>
              <w:t>s.21</w:t>
            </w:r>
            <w:r w:rsidRPr="003141BF">
              <w:rPr>
                <w:sz w:val="24"/>
                <w:szCs w:val="24"/>
              </w:rPr>
              <w:t>),</w:t>
            </w:r>
            <w:bookmarkEnd w:id="5"/>
            <w:r w:rsidRPr="003141BF">
              <w:rPr>
                <w:sz w:val="24"/>
                <w:szCs w:val="24"/>
              </w:rPr>
              <w:t xml:space="preserve"> through which my collaboration with other agencies revealed additional information, notably mental health complexities and self-harm of both parents. Through collaboration with Children's Services, it was revealed that the mother did not exercise her parental rights in these matters, which might have prevented further risk to the children.  The father was not registered with a general practitioner or mental health team and had not sought professional assistance concerning his mental health. It was reported that he self-medicates daily with cannabis. To address this, I had discussions with the father that focused on his historical use of illicit drugs, which he was heavily exposed to throughout his formative years as a child. I explored his childhood experiences, which enabled me to discuss further the father's own ACEs and trauma to support his </w:t>
            </w:r>
            <w:r w:rsidRPr="003141BF">
              <w:rPr>
                <w:sz w:val="24"/>
                <w:szCs w:val="24"/>
              </w:rPr>
              <w:lastRenderedPageBreak/>
              <w:t xml:space="preserve">understanding of trauma in his children. Childhood trauma is characterised by prolonged, multiple, and chronic experiences that may affect a child's early development (National Child Traumatic Stress Network, 2000; </w:t>
            </w:r>
            <w:proofErr w:type="spellStart"/>
            <w:r w:rsidRPr="003141BF">
              <w:rPr>
                <w:sz w:val="24"/>
                <w:szCs w:val="24"/>
              </w:rPr>
              <w:t>Bessal</w:t>
            </w:r>
            <w:proofErr w:type="spellEnd"/>
            <w:r w:rsidRPr="003141BF">
              <w:rPr>
                <w:sz w:val="24"/>
                <w:szCs w:val="24"/>
              </w:rPr>
              <w:t xml:space="preserve"> &amp; Van der Kolk, 2008).  In my role as the family's Social Worker, I felt it was essential to acknowledge how trauma can affect both verbal and linguistic abilities, as well as receptive skills, due to the father's learning needs and understanding. Therefore, I used plain language, short sentences, visuals, and regular summaries so that we understood each other. I adjusted my pace and repetition. I simplified information, provided written and pictorial prompts, and used reflective listening. these adaptations reduced misunderstanding and improved engagement. This helped decrease anxiety. Levenson’s (2017) article is a significant contribution to trauma-informed social work practice, emphasising the integration of trauma awareness into frontline care and safeguarding (Levenson, 2017).</w:t>
            </w:r>
          </w:p>
          <w:p w14:paraId="7A84BF04" w14:textId="77777777" w:rsidR="003141BF" w:rsidRPr="003141BF" w:rsidRDefault="003141BF" w:rsidP="003141BF">
            <w:pPr>
              <w:spacing w:line="360" w:lineRule="auto"/>
              <w:jc w:val="both"/>
              <w:rPr>
                <w:sz w:val="24"/>
                <w:szCs w:val="24"/>
              </w:rPr>
            </w:pPr>
          </w:p>
          <w:p w14:paraId="51A0EB32" w14:textId="77777777" w:rsidR="003141BF" w:rsidRPr="003141BF" w:rsidRDefault="003141BF" w:rsidP="003141BF">
            <w:pPr>
              <w:spacing w:line="360" w:lineRule="auto"/>
              <w:jc w:val="both"/>
              <w:rPr>
                <w:sz w:val="24"/>
                <w:szCs w:val="24"/>
              </w:rPr>
            </w:pPr>
            <w:r w:rsidRPr="003141BF">
              <w:rPr>
                <w:sz w:val="24"/>
                <w:szCs w:val="24"/>
              </w:rPr>
              <w:t xml:space="preserve">In compliance with the Mental Capacity Act 2005, I determined whether either parent has a diagnosis that may affect their capacity to make decisions regarding their children’s safety or financial affairs (Mental Capacity Act 2005). The dilemma for me was determining which legal framework to apply in relation to the Mental Health Act 1983 and the Mental Capacity Act 2005. Gilburt (2021) suggests that research indicates professionals often interpret capacity, objection, and risk differently, resulting in inconsistent application of the law (Gilburt, 2021). To resolve this, I supported the father in accessing the XXX mental health unit, where he received recommendations to attend local help groups. I supported the father in finding the one he thought was best for him. I attended the first session to help with the father's social anxiety. I arranged for the father to register with his local GP and facilitate attendance for initial appointments, which demonstrated my ability to communicate and work in partnership with people needing support while maintaining professional boundaries. This helped enable the father to socialise outside the family home and build on his confidence. I was able to work collaboratively with the medical practice to arrange further appointments, and, with the father's consent, attended appointments when support was needed (SCW, 2017, 2.1). My assessment concluded that both parents possessed decision-making capacity, had now undertaken appropriate medical supervision, and were receiving the correct prescribed medications from their general practitioners. Therefore, did not pose an immediate risk to their children; however, the father continues his use of cannabis but has significantly reduced his use. </w:t>
            </w:r>
          </w:p>
          <w:p w14:paraId="256BC8FD" w14:textId="77777777" w:rsidR="003141BF" w:rsidRPr="003141BF" w:rsidRDefault="003141BF" w:rsidP="003141BF">
            <w:pPr>
              <w:spacing w:line="360" w:lineRule="auto"/>
              <w:jc w:val="both"/>
              <w:rPr>
                <w:sz w:val="24"/>
                <w:szCs w:val="24"/>
              </w:rPr>
            </w:pPr>
          </w:p>
          <w:p w14:paraId="330A53FF" w14:textId="77777777" w:rsidR="003141BF" w:rsidRPr="003141BF" w:rsidRDefault="003141BF" w:rsidP="003141BF">
            <w:pPr>
              <w:spacing w:line="360" w:lineRule="auto"/>
              <w:jc w:val="both"/>
              <w:rPr>
                <w:sz w:val="24"/>
                <w:szCs w:val="24"/>
              </w:rPr>
            </w:pPr>
            <w:r w:rsidRPr="003141BF">
              <w:rPr>
                <w:sz w:val="24"/>
                <w:szCs w:val="24"/>
              </w:rPr>
              <w:t>The father had listened to the advice I gave about exposure to the children to his use of cannabis and passive inhalation of smoke, even when smoking in the doorway, and how this could affect his sons' physical and mental health. The father agreed, and by the time of my next home visit, 72 hours later, the father had purchased a lock box and shelving to hide his cannabis in his room, and the keys were separate from the box. The father had started to sort out the shed in the back yard, with a seating area. He placed a television set and a radio, where he could smoke outside, out of the view of his sons. The father quoted, “My use of cannabis is not ideal, but from what I have used historically to where I am now, I think I am making progress”. I used MI techniques, open questioning, affirmations, reflective listening, and summarising (Miller and Rollnick, 2013). For example, I affirmed with, “You’ve shown a real understanding by how you’ve handled this,” and summarised by noting, “You’ve shared that safety is a priority and you’re not afraid to explore options.”</w:t>
            </w:r>
          </w:p>
          <w:p w14:paraId="2E453F6B" w14:textId="77777777" w:rsidR="003141BF" w:rsidRPr="003141BF" w:rsidRDefault="003141BF" w:rsidP="003141BF">
            <w:pPr>
              <w:spacing w:line="360" w:lineRule="auto"/>
              <w:jc w:val="both"/>
              <w:rPr>
                <w:sz w:val="24"/>
                <w:szCs w:val="24"/>
              </w:rPr>
            </w:pPr>
          </w:p>
          <w:p w14:paraId="319EC749" w14:textId="333056FD" w:rsidR="003141BF" w:rsidRPr="003141BF" w:rsidRDefault="003141BF" w:rsidP="003141BF">
            <w:pPr>
              <w:spacing w:line="360" w:lineRule="auto"/>
              <w:jc w:val="both"/>
              <w:rPr>
                <w:color w:val="auto"/>
                <w:sz w:val="24"/>
                <w:szCs w:val="24"/>
              </w:rPr>
            </w:pPr>
            <w:r w:rsidRPr="003141BF">
              <w:rPr>
                <w:sz w:val="24"/>
                <w:szCs w:val="24"/>
              </w:rPr>
              <w:t>Other concerns in this case included possible emotional harm to the children, such as exposure to verbal abuse and being blamed for their father's suicidal thoughts. My discussion focused on the father's disciplinary language and the words used that can emotionally harm his sons. With the consent of sons (1) and (2), through my intervention with them, I was able to share with their father how it had made them feel undermined and demoralised, how it had impacted their self-worth and created a lack of confidence. I was able to discuss the importance of listening to sons(1) and (2) of how they felt about how, as their father, spoke to them and the language used. Cowie (2019) emphasises that listening to a child or young person is vital, especially when making changes that affect their lives or address trauma (Cowie, p.45,</w:t>
            </w:r>
            <w:r w:rsidRPr="003141BF">
              <w:rPr>
                <w:i/>
                <w:iCs/>
                <w:sz w:val="24"/>
                <w:szCs w:val="24"/>
              </w:rPr>
              <w:t xml:space="preserve"> </w:t>
            </w:r>
            <w:r w:rsidRPr="003141BF">
              <w:rPr>
                <w:sz w:val="24"/>
                <w:szCs w:val="24"/>
              </w:rPr>
              <w:t xml:space="preserve">2019). I began by discussing emotional harm and how it affects a young person, and the impact it can have. </w:t>
            </w:r>
            <w:r w:rsidR="00314D23">
              <w:rPr>
                <w:sz w:val="24"/>
                <w:szCs w:val="24"/>
              </w:rPr>
              <w:t>I explained how e</w:t>
            </w:r>
            <w:r w:rsidRPr="003141BF">
              <w:rPr>
                <w:sz w:val="24"/>
                <w:szCs w:val="24"/>
              </w:rPr>
              <w:t xml:space="preserve">xposure to emotionally harmful language in disciplinary situations is recognised as a form of emotional abuse, classified within one of the ten ACE categories outlined in the original </w:t>
            </w:r>
            <w:proofErr w:type="spellStart"/>
            <w:r w:rsidRPr="003141BF">
              <w:rPr>
                <w:sz w:val="24"/>
                <w:szCs w:val="24"/>
              </w:rPr>
              <w:t>Felitti</w:t>
            </w:r>
            <w:proofErr w:type="spellEnd"/>
            <w:r w:rsidRPr="003141BF">
              <w:rPr>
                <w:sz w:val="24"/>
                <w:szCs w:val="24"/>
              </w:rPr>
              <w:t xml:space="preserve"> et al (1998) study. </w:t>
            </w:r>
            <w:proofErr w:type="spellStart"/>
            <w:r w:rsidRPr="003141BF">
              <w:rPr>
                <w:sz w:val="24"/>
                <w:szCs w:val="24"/>
              </w:rPr>
              <w:t>Felitti</w:t>
            </w:r>
            <w:proofErr w:type="spellEnd"/>
            <w:r w:rsidRPr="003141BF">
              <w:rPr>
                <w:sz w:val="24"/>
                <w:szCs w:val="24"/>
              </w:rPr>
              <w:t xml:space="preserve"> discusses ongoing research into trauma and ACEs, such as mental health issues, poverty, and physical or substance abuse, and their influence on early childhood development, thus highlighting the susceptibility of young people (</w:t>
            </w:r>
            <w:proofErr w:type="spellStart"/>
            <w:r w:rsidRPr="003141BF">
              <w:rPr>
                <w:sz w:val="24"/>
                <w:szCs w:val="24"/>
              </w:rPr>
              <w:t>Felitti</w:t>
            </w:r>
            <w:proofErr w:type="spellEnd"/>
            <w:r w:rsidRPr="003141BF">
              <w:rPr>
                <w:sz w:val="24"/>
                <w:szCs w:val="24"/>
              </w:rPr>
              <w:t xml:space="preserve">, 1998). Liddle et al. (2016) note that stigma associated with ACEs can create challenges for young people in disclosing their experiences (Liddle, 2016). Father listened and took the advice given. In a later session, son (2) recognised that his father had </w:t>
            </w:r>
            <w:r w:rsidRPr="003141BF">
              <w:rPr>
                <w:sz w:val="24"/>
                <w:szCs w:val="24"/>
              </w:rPr>
              <w:lastRenderedPageBreak/>
              <w:t>changed, now using the "I" messages model that avoids blame and supports child-centred communication by validating feelings and encouraging reflection (The Centre for Parenting Education, n.d.).</w:t>
            </w:r>
          </w:p>
          <w:p w14:paraId="33500613" w14:textId="77777777" w:rsidR="003141BF" w:rsidRPr="003141BF" w:rsidRDefault="003141BF" w:rsidP="003141BF">
            <w:pPr>
              <w:spacing w:line="360" w:lineRule="auto"/>
              <w:jc w:val="both"/>
              <w:rPr>
                <w:sz w:val="24"/>
                <w:szCs w:val="24"/>
              </w:rPr>
            </w:pPr>
          </w:p>
          <w:p w14:paraId="2005D67A" w14:textId="77777777" w:rsidR="003141BF" w:rsidRPr="003141BF" w:rsidRDefault="003141BF" w:rsidP="003141BF">
            <w:pPr>
              <w:spacing w:line="360" w:lineRule="auto"/>
              <w:jc w:val="both"/>
              <w:rPr>
                <w:sz w:val="24"/>
                <w:szCs w:val="24"/>
              </w:rPr>
            </w:pPr>
            <w:r w:rsidRPr="003141BF">
              <w:rPr>
                <w:sz w:val="24"/>
                <w:szCs w:val="24"/>
              </w:rPr>
              <w:t>Father shared that as a boy, he had historically suffered with his mental health, and had limited reading and writing skills, and left school at 12. he was stigmatised by teachers calling him names. According to the Ministry of Social Development (2011), individuals who are subjected to negative labels by teachers and professionals may develop low self-worth and diminished confidence when persistently criticised (Ministry of Social Development, 2011). The father noted that these negative perceptions were all he had experienced and acknowledged a lack of awareness regarding emotional harm or its potential impact on children.</w:t>
            </w:r>
            <w:r w:rsidRPr="003141BF">
              <w:rPr>
                <w:color w:val="auto"/>
                <w:sz w:val="24"/>
                <w:szCs w:val="24"/>
              </w:rPr>
              <w:t xml:space="preserve"> </w:t>
            </w:r>
          </w:p>
          <w:p w14:paraId="1B01DC6A" w14:textId="77777777" w:rsidR="003141BF" w:rsidRPr="003141BF" w:rsidRDefault="003141BF" w:rsidP="003141BF">
            <w:pPr>
              <w:spacing w:line="360" w:lineRule="auto"/>
              <w:jc w:val="both"/>
              <w:rPr>
                <w:sz w:val="24"/>
                <w:szCs w:val="24"/>
              </w:rPr>
            </w:pPr>
          </w:p>
          <w:p w14:paraId="31719D09" w14:textId="77777777" w:rsidR="003141BF" w:rsidRPr="003141BF" w:rsidRDefault="003141BF" w:rsidP="003141BF">
            <w:pPr>
              <w:spacing w:line="360" w:lineRule="auto"/>
              <w:jc w:val="both"/>
              <w:rPr>
                <w:sz w:val="24"/>
                <w:szCs w:val="24"/>
              </w:rPr>
            </w:pPr>
            <w:r w:rsidRPr="003141BF">
              <w:rPr>
                <w:sz w:val="24"/>
                <w:szCs w:val="24"/>
              </w:rPr>
              <w:t>During my intervention, the mother and father identified a difference in their co-parenting strategies. The father noted that his approach was less controlling, allowing the children to learn from their own mistakes, while the mother preferred a more structured parenting style. My colleague and I organised a joint session to address how these differing approaches could potentially confuse the children, especially when transitioning between individual parental households. We discussed how this adjustment period might impact the children's mental health, particularly as they attempt to accommodate both parents' expectations. It was agreed that the parents' relationship was strong, and they were open to suggestions, communicating their worries to each other.  It was suggested that co-operative parenting would benefit them. By communicating openly and respectfully, share decision-making about the children's welfare, coordinate schedules, rules, and routines across households, and prioritise the child’s emotional and developmental needs. This would promote stability, reduce conflict, and support the child’s secure attachment to both parents (Custody X Change, 2025).  A joint visit was arranged in a neutral location where a discussion would focus on the parents working collaboratively to achieve the best outcomes for their children.</w:t>
            </w:r>
          </w:p>
          <w:p w14:paraId="6EA22388" w14:textId="77777777" w:rsidR="003141BF" w:rsidRPr="003141BF" w:rsidRDefault="003141BF" w:rsidP="003141BF">
            <w:pPr>
              <w:spacing w:line="360" w:lineRule="auto"/>
              <w:jc w:val="both"/>
              <w:rPr>
                <w:sz w:val="24"/>
                <w:szCs w:val="24"/>
              </w:rPr>
            </w:pPr>
          </w:p>
          <w:p w14:paraId="5D39FA43" w14:textId="77777777" w:rsidR="003141BF" w:rsidRPr="003141BF" w:rsidRDefault="003141BF" w:rsidP="00F46196">
            <w:pPr>
              <w:spacing w:line="360" w:lineRule="auto"/>
              <w:jc w:val="both"/>
              <w:rPr>
                <w:sz w:val="24"/>
                <w:szCs w:val="24"/>
              </w:rPr>
            </w:pPr>
            <w:r w:rsidRPr="003141BF">
              <w:rPr>
                <w:sz w:val="24"/>
                <w:szCs w:val="24"/>
              </w:rPr>
              <w:t xml:space="preserve">The service I provided allowed me to visit the family three times a week; within that time, I was able to get to know the family well and observe the changes they made. They worked on improving their goal setting and achieving outcomes, thereby resolving the initial safeguarding concerns that placed the children on the Child Protection Register. The family had listened to and taken on board advice </w:t>
            </w:r>
            <w:r w:rsidRPr="003141BF">
              <w:rPr>
                <w:sz w:val="24"/>
                <w:szCs w:val="24"/>
              </w:rPr>
              <w:lastRenderedPageBreak/>
              <w:t>from me, as well as multiple agencies, and was proactively working to maintain their outcomes. I could see the father, who saw himself at the preparation stage of the Cycle of Change (Prochaska and DiClemente,1983), had progressed to the action stage and recognised that he still had a lot of hard work ahead to achieve maintenance, especially regarding his use of cannabis. Sons (1) and (2) acknowledged that their father was less angry and would be more receptive to discussions, stating that they were using the “I” message model, which was working well for all of them, as I had suggested. The family spend more time together, as a family, and the home is calmer. The father was less agitated and more stable due to medication and ongoing mental health group support. Sons (1) and (2) now collaboratively work with an advocate I requested, ensuring their voices, wishes, and feelings are heard in future core group meetings (Social Care Wales, 2017).</w:t>
            </w:r>
          </w:p>
          <w:p w14:paraId="1442BEE0" w14:textId="77777777" w:rsidR="003141BF" w:rsidRPr="003141BF" w:rsidRDefault="003141BF" w:rsidP="00F46196">
            <w:pPr>
              <w:spacing w:line="360" w:lineRule="auto"/>
              <w:jc w:val="both"/>
              <w:rPr>
                <w:sz w:val="24"/>
                <w:szCs w:val="24"/>
              </w:rPr>
            </w:pPr>
          </w:p>
          <w:p w14:paraId="5FA14561" w14:textId="46952AD8" w:rsidR="003141BF" w:rsidRPr="003141BF" w:rsidRDefault="003141BF" w:rsidP="00F46196">
            <w:pPr>
              <w:spacing w:line="360" w:lineRule="auto"/>
              <w:jc w:val="both"/>
              <w:rPr>
                <w:sz w:val="24"/>
                <w:szCs w:val="24"/>
              </w:rPr>
            </w:pPr>
            <w:r w:rsidRPr="003141BF">
              <w:rPr>
                <w:sz w:val="24"/>
                <w:szCs w:val="24"/>
              </w:rPr>
              <w:t>The family has successfully reduced their risk of significant harm, resulting in a decreased impact on the children. During my initial assessment, as part of SFBT,   I posed an individual scaling question to each family member: where would they rate themselves on a scale from 1 (the worst things can be) to 10 (the best things can be)? At that time, all family members rated themselves at 3. When asked the same question as the intensive stage of my intervention drew to a close, they indicated a score of 8. The outcomes and goal settings implemented have only just been put into effect; therefore, it is reasonable to say that the family remains at the action stage. My service supports families for 12 months to help achieve and maintain behavioural change. I advocated</w:t>
            </w:r>
            <w:r w:rsidR="005E5A28">
              <w:rPr>
                <w:sz w:val="24"/>
                <w:szCs w:val="24"/>
              </w:rPr>
              <w:t xml:space="preserve"> </w:t>
            </w:r>
            <w:r w:rsidRPr="003141BF">
              <w:rPr>
                <w:sz w:val="24"/>
                <w:szCs w:val="24"/>
              </w:rPr>
              <w:t>for the father and his sons (1) and (2) to continue their progress.  I did this at subsequent Case Conference meetings held every three months. I provided written reports and shared the work completed. I gave my professional opinion that the family should be removed from the Child Protection Register and placed on a care and support plan.  This was due to the indicators of significant harm having been reduced throughout the intervention. However, my recommendation for care and support would be to provide the family with further assistance to maintain the changes made. The Social Services Wellbeing (Wales) Act (2014), especially Part 4, Section 54, sets out legal requirements for creating and updating Care and Support Plans (Welsh Government 2014 Part 4, s.54).</w:t>
            </w:r>
          </w:p>
          <w:p w14:paraId="48EF884F" w14:textId="77777777" w:rsidR="003141BF" w:rsidRPr="003141BF" w:rsidRDefault="003141BF" w:rsidP="00F46196">
            <w:pPr>
              <w:spacing w:line="360" w:lineRule="auto"/>
              <w:jc w:val="both"/>
              <w:rPr>
                <w:sz w:val="24"/>
                <w:szCs w:val="24"/>
              </w:rPr>
            </w:pPr>
          </w:p>
          <w:p w14:paraId="284D1205" w14:textId="77777777" w:rsidR="003141BF" w:rsidRPr="003141BF" w:rsidRDefault="003141BF" w:rsidP="00F46196">
            <w:pPr>
              <w:spacing w:line="360" w:lineRule="auto"/>
              <w:jc w:val="both"/>
              <w:rPr>
                <w:sz w:val="24"/>
                <w:szCs w:val="24"/>
              </w:rPr>
            </w:pPr>
            <w:bookmarkStart w:id="6" w:name="_Hlk206777375"/>
          </w:p>
          <w:p w14:paraId="2FB9230F" w14:textId="77777777" w:rsidR="003141BF" w:rsidRPr="003141BF" w:rsidRDefault="003141BF" w:rsidP="00F46196">
            <w:pPr>
              <w:spacing w:line="360" w:lineRule="auto"/>
              <w:jc w:val="both"/>
              <w:rPr>
                <w:sz w:val="24"/>
                <w:szCs w:val="24"/>
              </w:rPr>
            </w:pPr>
            <w:r w:rsidRPr="003141BF">
              <w:rPr>
                <w:sz w:val="24"/>
                <w:szCs w:val="24"/>
              </w:rPr>
              <w:lastRenderedPageBreak/>
              <w:t>Reflective practice is vital for developing my professional insight and accountability (Rolfe, Freshwater and Jasper, 2001). Using Rolfe et al.’s (2001) “What, So What, Now What” model, I evaluated my assessment, which was thorough and contributed to the family achieving their outcomes and goals. Feedback highlighted that I was approachable, non-judgmental, and communicated clearly without jargon. The father and sons said they felt listened to, and the children said that my use of humour helped them feel comfortable, and that the methods used, including cards and games, were inventive for engaging with them. Their progress was evident in the adoption of safeguarding measures and eventual removal from the Child Protection Register. Hearing the family’s views was crucial for my development as a practitioner. I identified a need for further training in addiction and mental health, particularly in understanding the distinctions between the Mental Health Act 1983 and the Mental Capacity Act 2005, to enhance future practice and support more complex needs effectively.</w:t>
            </w:r>
          </w:p>
          <w:p w14:paraId="6C82B6BC" w14:textId="77777777" w:rsidR="003141BF" w:rsidRPr="003141BF" w:rsidRDefault="003141BF" w:rsidP="00F46196">
            <w:pPr>
              <w:spacing w:line="360" w:lineRule="auto"/>
              <w:jc w:val="both"/>
              <w:rPr>
                <w:sz w:val="24"/>
                <w:szCs w:val="24"/>
              </w:rPr>
            </w:pPr>
          </w:p>
          <w:p w14:paraId="6DA944A7" w14:textId="77777777" w:rsidR="003141BF" w:rsidRPr="003141BF" w:rsidRDefault="003141BF" w:rsidP="00F46196">
            <w:pPr>
              <w:spacing w:line="360" w:lineRule="auto"/>
              <w:jc w:val="both"/>
              <w:rPr>
                <w:sz w:val="24"/>
                <w:szCs w:val="24"/>
              </w:rPr>
            </w:pPr>
          </w:p>
          <w:p w14:paraId="11BBAC56" w14:textId="32DDE4CF" w:rsidR="003141BF" w:rsidRPr="003141BF" w:rsidRDefault="003141BF" w:rsidP="00F46196">
            <w:pPr>
              <w:spacing w:line="360" w:lineRule="auto"/>
              <w:jc w:val="both"/>
              <w:rPr>
                <w:sz w:val="24"/>
                <w:szCs w:val="24"/>
              </w:rPr>
            </w:pPr>
            <w:r w:rsidRPr="003141BF">
              <w:rPr>
                <w:sz w:val="24"/>
                <w:szCs w:val="24"/>
              </w:rPr>
              <w:t>Word count 439</w:t>
            </w:r>
            <w:r w:rsidR="00BE2A40">
              <w:rPr>
                <w:sz w:val="24"/>
                <w:szCs w:val="24"/>
              </w:rPr>
              <w:t>9</w:t>
            </w:r>
          </w:p>
          <w:bookmarkEnd w:id="6"/>
          <w:p w14:paraId="67CF27D8" w14:textId="77777777" w:rsidR="003141BF" w:rsidRDefault="003141BF" w:rsidP="00F46196">
            <w:pPr>
              <w:spacing w:line="360" w:lineRule="auto"/>
              <w:jc w:val="both"/>
              <w:rPr>
                <w:rFonts w:cstheme="minorHAnsi"/>
                <w:highlight w:val="yellow"/>
              </w:rPr>
            </w:pPr>
          </w:p>
          <w:p w14:paraId="11388A0D" w14:textId="77777777" w:rsidR="003141BF" w:rsidRPr="00740A4A" w:rsidRDefault="003141BF" w:rsidP="00F46196">
            <w:pPr>
              <w:spacing w:line="360" w:lineRule="auto"/>
              <w:jc w:val="both"/>
              <w:rPr>
                <w:u w:val="single"/>
              </w:rPr>
            </w:pPr>
            <w:r>
              <w:rPr>
                <w:u w:val="single"/>
              </w:rPr>
              <w:t xml:space="preserve"> </w:t>
            </w:r>
          </w:p>
          <w:p w14:paraId="29DC8229" w14:textId="77777777" w:rsidR="003141BF" w:rsidRPr="003141BF" w:rsidRDefault="003141BF" w:rsidP="00F46196">
            <w:pPr>
              <w:spacing w:line="360" w:lineRule="auto"/>
              <w:jc w:val="both"/>
              <w:rPr>
                <w:iCs/>
                <w:sz w:val="24"/>
                <w:szCs w:val="24"/>
              </w:rPr>
            </w:pPr>
          </w:p>
          <w:p w14:paraId="701D8D4D" w14:textId="38C2B218" w:rsidR="00D3203C" w:rsidRDefault="00D3203C" w:rsidP="00F46196">
            <w:pPr>
              <w:spacing w:line="360" w:lineRule="auto"/>
              <w:jc w:val="both"/>
              <w:rPr>
                <w:i/>
                <w:sz w:val="24"/>
                <w:szCs w:val="24"/>
              </w:rPr>
            </w:pPr>
          </w:p>
          <w:p w14:paraId="20370495" w14:textId="79B79501" w:rsidR="00D3203C" w:rsidRDefault="00D3203C" w:rsidP="00F46196">
            <w:pPr>
              <w:spacing w:line="360" w:lineRule="auto"/>
              <w:jc w:val="both"/>
              <w:rPr>
                <w:i/>
                <w:sz w:val="24"/>
                <w:szCs w:val="24"/>
              </w:rPr>
            </w:pPr>
          </w:p>
          <w:p w14:paraId="12DC2F24" w14:textId="24094196" w:rsidR="00D3203C" w:rsidRDefault="00D3203C" w:rsidP="00F46196">
            <w:pPr>
              <w:spacing w:line="360" w:lineRule="auto"/>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12B57" w14:textId="77777777" w:rsidR="009966F3" w:rsidRDefault="009966F3">
      <w:r>
        <w:separator/>
      </w:r>
    </w:p>
  </w:endnote>
  <w:endnote w:type="continuationSeparator" w:id="0">
    <w:p w14:paraId="69336378" w14:textId="77777777" w:rsidR="009966F3" w:rsidRDefault="009966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3CE0B" w14:textId="77777777" w:rsidR="009966F3" w:rsidRDefault="009966F3">
      <w:r>
        <w:separator/>
      </w:r>
    </w:p>
  </w:footnote>
  <w:footnote w:type="continuationSeparator" w:id="0">
    <w:p w14:paraId="4C56CB99" w14:textId="77777777" w:rsidR="009966F3" w:rsidRDefault="009966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1F9B"/>
    <w:rsid w:val="00054A07"/>
    <w:rsid w:val="00055D43"/>
    <w:rsid w:val="00056FAC"/>
    <w:rsid w:val="00057751"/>
    <w:rsid w:val="00062E39"/>
    <w:rsid w:val="00064063"/>
    <w:rsid w:val="0006581A"/>
    <w:rsid w:val="00074461"/>
    <w:rsid w:val="000766EC"/>
    <w:rsid w:val="00080E58"/>
    <w:rsid w:val="000825BD"/>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03AE"/>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1BF"/>
    <w:rsid w:val="00314D23"/>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71CE"/>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2BBE"/>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19C"/>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5A28"/>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451"/>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1676"/>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3521"/>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9C7"/>
    <w:rsid w:val="00991FDA"/>
    <w:rsid w:val="00992ACA"/>
    <w:rsid w:val="009966F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A40"/>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01E"/>
    <w:rsid w:val="00C87A74"/>
    <w:rsid w:val="00C92C71"/>
    <w:rsid w:val="00C93F8F"/>
    <w:rsid w:val="00CA0894"/>
    <w:rsid w:val="00CA3593"/>
    <w:rsid w:val="00CA5726"/>
    <w:rsid w:val="00CA7E6A"/>
    <w:rsid w:val="00CB258E"/>
    <w:rsid w:val="00CB3C8F"/>
    <w:rsid w:val="00CC02F1"/>
    <w:rsid w:val="00CC1122"/>
    <w:rsid w:val="00CC11A6"/>
    <w:rsid w:val="00CC135E"/>
    <w:rsid w:val="00CC512C"/>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34B4"/>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746D"/>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56EF"/>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4A40"/>
    <w:rsid w:val="00F06573"/>
    <w:rsid w:val="00F10A08"/>
    <w:rsid w:val="00F15354"/>
    <w:rsid w:val="00F22AC5"/>
    <w:rsid w:val="00F254D1"/>
    <w:rsid w:val="00F32B82"/>
    <w:rsid w:val="00F34C86"/>
    <w:rsid w:val="00F4043E"/>
    <w:rsid w:val="00F41795"/>
    <w:rsid w:val="00F41BBC"/>
    <w:rsid w:val="00F444F0"/>
    <w:rsid w:val="00F446FF"/>
    <w:rsid w:val="00F45521"/>
    <w:rsid w:val="00F46196"/>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kjasn">
    <w:name w:val="kjasn"/>
    <w:basedOn w:val="DefaultParagraphFont"/>
    <w:rsid w:val="00314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14</Pages>
  <Words>4613</Words>
  <Characters>25512</Characters>
  <Application>Microsoft Office Word</Application>
  <DocSecurity>0</DocSecurity>
  <Lines>404</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kevin turner</cp:lastModifiedBy>
  <cp:revision>18</cp:revision>
  <cp:lastPrinted>2020-02-11T19:20:00Z</cp:lastPrinted>
  <dcterms:created xsi:type="dcterms:W3CDTF">2022-09-29T11:34:00Z</dcterms:created>
  <dcterms:modified xsi:type="dcterms:W3CDTF">2025-10-07T18:13:00Z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6e48b860-be47-4bd6-8602-7e5d6df6f921</vt:lpwstr>
  </property>
</Properties>
</file>