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rPr>
          <w:color w:val="000000"/>
        </w:rPr>
        <w:t>Campus Cluedo user research and mobile interface design</w:t>
      </w:r>
    </w:p>
    <w:p>
      <w:pPr>
        <w:pStyle w:val="Subtitle"/>
      </w:pPr>
      <w:r>
        <w:rPr>
          <w:color w:val="000000"/>
        </w:rPr>
        <w:t>Initial research report and wireframe storyboards</w:t>
      </w:r>
    </w:p>
    <w:p>
      <w:r>
        <w:t>ACCB6017 Usability Engineering</w:t>
        <w:br/>
        <w:t>Component 1 Technical Report</w:t>
        <w:br/>
        <w:t>Name Yana Eskieva</w:t>
        <w:br/>
        <w:t>Student ID ____________________</w:t>
        <w:br/>
        <w:t>Level 6 Computing Science</w:t>
      </w:r>
    </w:p>
    <w:p>
      <w:r>
        <w:t>Module Tutor Nassir Ibrahim</w:t>
      </w:r>
    </w:p>
    <w:p>
      <w:pPr>
        <w:pStyle w:val="Heading1"/>
      </w:pPr>
      <w:r>
        <w:t>Introduction</w:t>
      </w:r>
    </w:p>
    <w:p>
      <w:r>
        <w:t>Campus Cluedo is a proposed mobile deduction game set in a fictional version of UWTSD. Between three and eight players investigate the murder of a fictional Vice-Chancellor by identifying a suspect, weapon and location. My aim is to make the rules easy to follow without taking away the challenge of solving the mystery. This report reviews the available questionnaire responses, introduces four provisional personas and explains the mobile wireframes. It also sets out how the prototype will be tested. No participants have tested these storyboards yet.</w:t>
      </w:r>
    </w:p>
    <w:p>
      <w:pPr>
        <w:pStyle w:val="Heading1"/>
      </w:pPr>
      <w:r>
        <w:t>A Four detailed personas and associated scenarios</w:t>
      </w:r>
    </w:p>
    <w:p>
      <w:pPr>
        <w:pStyle w:val="Heading2"/>
      </w:pPr>
      <w:r>
        <w:t>A1 Research methods and questionnaire findings</w:t>
      </w:r>
    </w:p>
    <w:p>
      <w:r>
        <w:t>The available research is a questionnaire export containing two responses. Its six open questions ask about university connection, gaming experience, willingness to play, learning support, frustrations and reasons to play again. A written questionnaire gives people time to consider their answers, but it does not allow immediate clarification when a response is unclear. Follow-up interviews would help explore these answers in more depth [1]. The export contains no evidence of interviews or focus groups, and does not establish how participants were recruited or whether consent was recorded.</w:t>
      </w:r>
    </w:p>
    <w:p>
      <w:r>
        <w:t>I refer to the respondents as P01 and P02 and exclude names, email fields and timestamps. I reviewed the answers against each question and grouped them under learning needs, motivation and barriers. With only two records, these are descriptive observations rather than representative findings. Appendix A preserves the relevant answers so that the connection between the evidence and my interpretation can be checked.</w:t>
      </w:r>
    </w:p>
    <w:p>
      <w:r>
        <w:t>P02 identifies as a student and answers “No” to both playing mobile games or Cluedo and willingness to play the proposed game. “Game description” is the requested learning support, “Waste of time” describes frustration, and “Money prize” is the stated replay incentive. These answers indicate a potential barrier to engagement, rather than enthusiasm for the concept. They support a concise explanation before joining and further investigation of perceived value. A cash reward is not adopted: one preference does not establish a suitable or sustainable game requirement.</w:t>
      </w:r>
    </w:p>
    <w:p>
      <w:r>
        <w:t>P01 provides “Da”, “Ne”, “Sled”, “Malko”, “Aichal” and “Do”. Some resemble transliterated words, but their intended meanings in this questionnaire are not sufficiently clear. They are retained as ambiguous, without translating them into invented preferences. A follow-up should ask the respondent to explain each answer in their preferred language. P01 is therefore excluded from substantive preference claims, leaving one interpretable response.</w:t>
      </w:r>
    </w:p>
    <w:p>
      <w:r>
        <w:t>The questionnaire does not establish age, campus, access requirements, device, caring responsibilities or detailed behaviours. Four validated personas cannot be derived from it. The personas below are provisional hypotheses, with P02 informing only the reluctant beginner. Further recruitment should deliberately include different study arrangements, gaming confidence and access needs. This would reduce the risk of designing around convenient contacts. All additional participation should be voluntary, with permission to use anonymised answers and an opportunity to skip questions.</w:t>
      </w:r>
    </w:p>
    <w:p>
      <w:pPr>
        <w:pStyle w:val="Heading1"/>
      </w:pPr>
      <w:r>
        <w:t>A2 Personas and associated scenarios</w:t>
      </w:r>
    </w:p>
    <w:p>
      <w:r>
        <w:t>The following names and personal circumstances are fictional. I use these provisional personas to explore different design needs, rather than claim that four people were interviewed. Alex has limited support from P02; the other profiles need further primary research. Personas can help designers communicate user needs and keep a clear design focus [5]. Here, that benefit depends on replacing assumptions with evidence. User requirements describe what each person needs to do; experience requirements describe how the interaction should feel. Appendix B gives provisional MoSCoW priorities.</w:t>
      </w:r>
    </w:p>
    <w:p>
      <w:pPr>
        <w:pStyle w:val="Heading2"/>
      </w:pPr>
      <w:r>
        <w:t>Maya the social player</w:t>
      </w:r>
    </w:p>
    <w:p>
      <w:r>
        <w:t>Maya is a proposed 20-year-old undergraduate who regularly plays mobile games and wants to join classmates quickly. Her goal is shared competition during agreed leisure time. Repetitive explanations and unclear waiting states could interrupt play. In her scenario, she enters a friend’s room code, chooses an available character and checks her notebook while waiting. She needs a visible readiness indicator, optional instructions and an unmistakable turn notification. The intended experience is social involvement and control. Gaming confidence, short-session preferences and this scenario remain assumptions.</w:t>
      </w:r>
    </w:p>
    <w:p>
      <w:pPr>
        <w:pStyle w:val="Heading2"/>
      </w:pPr>
      <w:r>
        <w:t>Daniel the mature commuter</w:t>
      </w:r>
    </w:p>
    <w:p>
      <w:r>
        <w:t>Daniel is a proposed 42-year-old student balancing commuting, work and family commitments. He uses everyday apps confidently but is unfamiliar with deduction games. His goal is to participate without extensive preparation. In his scenario, he completes a short tutorial before an evening match, opens contextual help and reconnects after a brief interruption. He needs readable rules, clear progress and preserved game state. Confidence and reassurance are the experience goals. Neither his circumstances nor a preference for reconnection has been demonstrated by the questionnaire.</w:t>
      </w:r>
    </w:p>
    <w:p>
      <w:pPr>
        <w:pStyle w:val="Heading2"/>
      </w:pPr>
      <w:r>
        <w:t>Lewis the player needing precise control alternatives</w:t>
      </w:r>
    </w:p>
    <w:p>
      <w:r>
        <w:t>Lewis is a proposed 30-year-old part-time student who enjoys strategy games and experiences a hand tremor. His goal is independent participation without accidental actions. In his scenario, he chooses a reachable room from a list instead of dragging a token, then corrects a notebook entry using Undo. He needs separated controls, tap alternatives and reversible edits. The desired experience is autonomy and confidence that outcomes reflect reasoning. This access scenario requires validation with relevant users; no disability is attributed to either respondent.</w:t>
      </w:r>
    </w:p>
    <w:p>
      <w:pPr>
        <w:pStyle w:val="Heading2"/>
      </w:pPr>
      <w:r>
        <w:t>Alex the reluctant beginner</w:t>
      </w:r>
    </w:p>
    <w:p>
      <w:r>
        <w:t>Alex represents a student who does not currently play these games and questions their value. This behavioural starting point follows P02, although the name is fictional and no age or personal history is inferred. In the scenario, Alex opens an invitation, reads the game description and chooses whether to continue. Requirements include a clear explanation, an optional demonstration and an uncomplicated exit. The intended experience is informed choice without pressure. The research does not establish whether these changes would persuade Alex to play, and the reward preference requires clarification.</w:t>
      </w:r>
    </w:p>
    <w:p>
      <w:pPr>
        <w:pStyle w:val="Heading1"/>
      </w:pPr>
      <w:r>
        <w:t>B Usability issues to be addressed</w:t>
      </w:r>
    </w:p>
    <w:p>
      <w:r>
        <w:t>Nielsen’s usability framework helps explain my decisions about learnability, efficiency and error handling [2]. Players should be concentrating on the mystery rather than remembering how the controls work. The notebook therefore keeps recorded evidence visible and separates cards actually seen from personal guesses. It supports recognition without automatically solving the game. Sweller’s research links demanding problem-solving processes with the mental capacity available for learning [6]. I apply this cautiously: a short tutorial introduces one action at a time, while the notebook reduces the need to remember earlier evidence. These are design hypotheses, not proof that this interface reduces cognitive load.</w:t>
      </w:r>
    </w:p>
    <w:p>
      <w:r>
        <w:t>The bottom navigation consistently offers Board, Notebook and Cards, with words alongside symbols. Each screen has a clear title. On the board, players can see whose turn it is, where they are and what they can do next. Moving produces a written confirmation of the destination; making a suggestion produces a message explaining whose response is awaited. This applies Nielsen’s visibility and feedback principles [2]. Players can go back without losing selections. I reserve confirmation for consequential actions so that routine play does not become a sequence of unnecessary prompts.</w:t>
      </w:r>
    </w:p>
    <w:p>
      <w:r>
        <w:t>A final accusation is reviewed before submission, with an explicit warning that an incorrect accusation removes further accusation opportunities. The player can still show cards when required. Ordinary suggestions remain available during active turns. Distinct labels and a review screen address the risk of confusing these operations. Invalid room codes produce a specific error and retain the entered value. Reconnection preserves private information and disables turn actions until the game state is synchronised.</w:t>
      </w:r>
    </w:p>
    <w:p>
      <w:r>
        <w:t>Accessibility is an initial design requirement, not evidence that this prototype is already accessible. Controls are proposed at least 44 by 44 CSS pixels, exceeding WCAG 2.2’s 24-by-24 minimum target criterion in its standard case. Normal text should meet 4.5:1 contrast, and colour must not be the only information channel [4]. Movement has a list alternative, sound is optional, and large-text and reduced-motion settings are specified. Screen-reader names, focus order and actual text reflow need testing in an implemented prototype; static drawings cannot demonstrate them.</w:t>
      </w:r>
    </w:p>
    <w:p>
      <w:r>
        <w:t>A usable game also needs to feel worth playing. Hassenzahl and Tractinsky describe user experience as extending beyond task performance [3]. Sweetser and Wyeth’s GameFlow model identifies clear goals, feedback, control and social interaction among the elements of enjoyment [7]. This supports a visible objective, understandable turn messages and a lobby that shows who is ready. Their initial evaluation concerned strategy games, so the model guides questions rather than guarantees enjoyment here. P02’s lack of interest challenges my assumption that a university theme will appeal to students. Testing must therefore ask about boredom, confidence and willingness to continue as well as successful actions.</w:t>
      </w:r>
    </w:p>
    <w:p>
      <w:pPr>
        <w:pStyle w:val="Heading1"/>
      </w:pPr>
      <w:r>
        <w:t>C Initial wireframe storyboards</w:t>
      </w:r>
    </w:p>
    <w:p>
      <w:r>
        <w:t>Appendix C presents eighteen screens at a logical mobile viewport of 390 by 844 pixels. They are wireframes rather than final colour artwork. Numbered links specify the action and destination, including returns and error states. A fictionalised Birmingham campus is proposed, with six abstract locations rather than an asserted geographical map. Characters represent an undergraduate, researcher, lecturer, librarian, IT technician, student support adviser, security officer and Students’ Union representative. All are fictional and have equivalent abilities.</w:t>
      </w:r>
    </w:p>
    <w:p>
      <w:r>
        <w:t>The initial variant supports three to eight players on separate devices. One suspect, weapon and location are hidden as the solution; remaining cards are dealt privately. On each turn, a player moves one edge along the six-room route shown on S05, then may suggest a suspect and weapon in their current room. In turn order, the first other player holding a matching card privately selects one to show. If nobody can disprove the suggestion, that outcome is displayed. These simplified movement rules avoid adding dice and corridor controls to the first mobile prototype.</w:t>
      </w:r>
    </w:p>
    <w:p>
      <w:r>
        <w:t>S01–S04 cover orientation, creation, joining and readiness. S01 offers an explanation before commitment, directly addressing P02’s learning request. S05 is the main board: a legible route and a reachable-room list present the same movement options. Selecting a destination on S06 requires confirmation before returning to the updated board. S07–S09 separate public suggestions from a responder’s private card selection and the recipient’s private reveal. A waiting message prevents the absence of an immediate card from appearing to be an error.</w:t>
      </w:r>
    </w:p>
    <w:p>
      <w:r>
        <w:t>S10 groups notebook entries by suspect, weapon and location. Players choose Unknown, Ruled out or Possible and can undo an edit. S11 allows inspection of their own cards without exposing them on the shared turn log. S12–S14 distinguish accusation selection, consequence review and outcome. Success ends the match; an incorrect accusation returns to the board with further accusations disabled. S15–S18 provide tutorial, settings, invalid-code recovery and reconnection. These branches are necessary because the successful journey alone would hide important usability risks.</w:t>
      </w:r>
    </w:p>
    <w:p>
      <w:r>
        <w:t>The trade-off is information density. A complete map, cards and notebook cannot all remain readable at once on a phone. Dedicated views reduce crowding but increase navigation. A persistent turn banner and preserved selections are intended to maintain context. The main board and notebook illustrated below show this approach; its effectiveness remains a testable proposition rather than an established result.</w:t>
      </w:r>
    </w:p>
    <w:p>
      <w:pPr>
        <w:keepNext/>
      </w:pPr>
      <w:r>
        <w:drawing>
          <wp:inline xmlns:a="http://schemas.openxmlformats.org/drawingml/2006/main" xmlns:pic="http://schemas.openxmlformats.org/drawingml/2006/picture">
            <wp:extent cx="6309360" cy="4860544"/>
            <wp:docPr id="1" name="Picture 1"/>
            <wp:cNvGraphicFramePr>
              <a:graphicFrameLocks noChangeAspect="1"/>
            </wp:cNvGraphicFramePr>
            <a:graphic>
              <a:graphicData uri="http://schemas.openxmlformats.org/drawingml/2006/picture">
                <pic:pic>
                  <pic:nvPicPr>
                    <pic:cNvPr id="0" name="main.png"/>
                    <pic:cNvPicPr/>
                  </pic:nvPicPr>
                  <pic:blipFill>
                    <a:blip r:embed="rId9"/>
                    <a:stretch>
                      <a:fillRect/>
                    </a:stretch>
                  </pic:blipFill>
                  <pic:spPr>
                    <a:xfrm>
                      <a:off x="0" y="0"/>
                      <a:ext cx="6309360" cy="4860544"/>
                    </a:xfrm>
                    <a:prstGeom prst="rect"/>
                  </pic:spPr>
                </pic:pic>
              </a:graphicData>
            </a:graphic>
          </wp:inline>
        </w:drawing>
      </w:r>
    </w:p>
    <w:p>
      <w:pPr>
        <w:keepNext w:val="0"/>
        <w:spacing w:before="0" w:after="0"/>
      </w:pPr>
      <w:r>
        <w:rPr>
          <w:sz w:val="16"/>
        </w:rPr>
        <w:t>Figure 1  Main board and private notebook concepts. Full interaction branches appear in Appendix C.</w:t>
      </w:r>
    </w:p>
    <w:p>
      <w:pPr>
        <w:pStyle w:val="Heading1"/>
      </w:pPr>
      <w:r>
        <w:t>D Feedback collection process on storyboard design</w:t>
      </w:r>
    </w:p>
    <w:p>
      <w:r>
        <w:t>The questionnaire concerns the game concept, so it cannot establish the usability of these storyboards. P02 requested a game description but described mobile-game frustration as “Waste of time” and showed no interest in playing. This questions the assumed appeal of a university theme. No positive prototype feedback, observed task success or emotional response to the wireframes has yet been collected.</w:t>
      </w:r>
    </w:p>
    <w:p>
      <w:r>
        <w:t>I plan to recruit six to eight potential users across the provisional persona contexts: confident players, beginners, students with competing commitments and people who can assess the control alternatives. Screening will establish relevant experience and preferences. Participation will be voluntary; any gaps in coverage will be reported.</w:t>
      </w:r>
    </w:p>
    <w:p>
      <w:r>
        <w:t>Participants will view the wireframes at phone scale and attempt to join, identify the current player, move, suggest, interpret a private card, edit a note and review an accusation. I will switch screens without teaching the controls and, with consent, record comments, errors, assistance and completion [1]. Static drawings cannot establish touch accuracy or screen-reader compatibility.</w:t>
      </w:r>
    </w:p>
    <w:p>
      <w:r>
        <w:t>After each task, participants will rate ease from 1 to 5 and explain their choice. Separate questions will explore confidence, enjoyment, frustration and willingness to continue [3], [7]. I will distinguish observations from opinions, compare contexts using counts, and prioritise blocking errors, accidental accusations and private-card exposure. Revisions will be retested. Future work includes an interactive prototype and accessibility testing before final colour design. Appendix D provides the uncompleted record.</w:t>
      </w:r>
    </w:p>
    <w:p>
      <w:pPr>
        <w:pStyle w:val="Heading1"/>
      </w:pPr>
      <w:r>
        <w:t>Conclusion</w:t>
      </w:r>
    </w:p>
    <w:p>
      <w:r>
        <w:t>The wireframes cover the main journey from joining a game to reviewing an accusation, including private evidence and recovery from errors. The strongest current research finding is that the concept needs a clear explanation and may not appeal to every student. Two questionnaire responses cannot validate four personas, and planned testing cannot stand in for collected feedback. My next step is to clarify the ambiguous answers, recruit across the proposed user contexts and test the storyboards before developing the full colour design.</w:t>
      </w:r>
    </w:p>
    <w:p>
      <w:r>
        <w:t>Main report word count approximately 2093, excluding references, captions and appendices. Check the module rules for whether appendices count towards the 2500 word limit.</w:t>
      </w:r>
    </w:p>
    <w:p>
      <w:r>
        <w:br w:type="page"/>
      </w:r>
    </w:p>
    <w:p>
      <w:pPr>
        <w:pStyle w:val="Heading1"/>
      </w:pPr>
      <w:r>
        <w:rPr>
          <w:color w:val="000000"/>
        </w:rPr>
        <w:t>References</w:t>
      </w:r>
    </w:p>
    <w:p>
      <w:r>
        <w:t>[1] Y. Rogers, H. Sharp and J. Preece, Interaction Design: Beyond Human–Computer Interaction, 6th ed. Wiley, 2023. https://www.wiley.com/en-us/interaction-design-beyond-human-computer-interaction-6th-edition-p-9781119901099</w:t>
      </w:r>
    </w:p>
    <w:p>
      <w:r>
        <w:t>[2] J. Nielsen, Usability Engineering. Academic Press, 1993. https://www.nngroup.com/books/usability-engineering/</w:t>
      </w:r>
    </w:p>
    <w:p>
      <w:r>
        <w:t>[3] M. Hassenzahl and N. Tractinsky, “User experience — a research agenda,” Behaviour &amp; Information Technology, vol. 25, no. 2, pp. 91–97, 2006. doi: 10.1080/01449290500330331.</w:t>
      </w:r>
    </w:p>
    <w:p>
      <w:r>
        <w:t>[4] World Wide Web Consortium, Web Content Accessibility Guidelines (WCAG) 2.2, W3C Recommendation. [Online]. Available: https://www.w3.org/TR/WCAG22/. Accessed: 25 October 2026.</w:t>
      </w:r>
    </w:p>
    <w:p>
      <w:pPr/>
      <w:r>
        <w:t>[5] T. Miaskiewicz and K. A. Kozar, “Personas and user-centered design: How can personas benefit product design processes?,” Design Studies, vol. 32, no. 5, pp. 417–430, 2011. doi: 10.1016/j.destud.2011.03.003.</w:t>
      </w:r>
    </w:p>
    <w:p>
      <w:pPr/>
      <w:r>
        <w:t>[6] J. Sweller, “Cognitive load during problem solving: Effects on learning,” Cognitive Science, vol. 12, no. 2, pp. 257–285, 1988. doi: 10.1207/s15516709cog1202_4.</w:t>
      </w:r>
    </w:p>
    <w:p>
      <w:pPr/>
      <w:r>
        <w:t>[7] P. Sweetser and P. Wyeth, “GameFlow: A model for evaluating player enjoyment in games,” Computers in Entertainment, vol. 3, no. 3, art. 3, 2005. doi: 10.1145/1077246.1077253.</w:t>
      </w:r>
    </w:p>
    <w:p>
      <w:r>
        <w:t>Six of the seven external references are books or journal articles, exceeding the required two thirds. Primary research source: Game CLUEDO(1-2)(1).xlsx, Sheet1, rows 2–3, questionnaire responses recorded on 5 October 2026.</w:t>
      </w:r>
    </w:p>
    <w:p>
      <w:r>
        <w:br w:type="page"/>
      </w:r>
    </w:p>
    <w:p>
      <w:pPr>
        <w:pStyle w:val="Heading1"/>
      </w:pPr>
      <w:r>
        <w:t>Appendices</w:t>
      </w:r>
    </w:p>
    <w:p>
      <w:pPr>
        <w:pStyle w:val="Heading1"/>
      </w:pPr>
      <w:r>
        <w:rPr>
          <w:color w:val="000000"/>
        </w:rPr>
        <w:t>Appendix A Questionnaire evidence</w:t>
      </w:r>
    </w:p>
    <w:p>
      <w:r>
        <w:t>Participant identifiers follow spreadsheet row order. Original short answers are preserved; demographic or behavioural details are not added.</w:t>
      </w:r>
    </w:p>
    <w:tbl>
      <w:tblPr>
        <w:tblW w:type="auto" w:w="0"/>
        <w:tblLayout w:type="fixed"/>
        <w:tblLook w:firstColumn="1" w:firstRow="1" w:lastColumn="0" w:lastRow="0" w:noHBand="0" w:noVBand="1" w:val="04A0"/>
      </w:tblPr>
      <w:tblGrid>
        <w:gridCol w:w="3360"/>
        <w:gridCol w:w="3360"/>
        <w:gridCol w:w="3360"/>
      </w:tblGrid>
      <w:tr>
        <w:trPr>
          <w:tblHeader/>
        </w:trPr>
        <w:tc>
          <w:tcPr>
            <w:tcW w:type="dxa" w:w="5184"/>
            <w:tcBorders>
              <w:top w:val="single" w:sz="4" w:color="D9D9D9"/>
              <w:left w:val="single" w:sz="4" w:color="D9D9D9"/>
              <w:bottom w:val="single" w:sz="4" w:color="D9D9D9"/>
              <w:right w:val="single" w:sz="4" w:color="D9D9D9"/>
            </w:tcBorders>
            <w:shd w:fill="E7E7E7"/>
          </w:tcPr>
          <w:p>
            <w:pPr>
              <w:spacing w:after="100" w:before="100"/>
            </w:pPr>
            <w:r>
              <w:rPr>
                <w:b/>
                <w:sz w:val="18"/>
              </w:rPr>
              <w:t>Question</w:t>
            </w:r>
          </w:p>
        </w:tc>
        <w:tc>
          <w:tcPr>
            <w:tcW w:type="dxa" w:w="1872"/>
            <w:tcBorders>
              <w:top w:val="single" w:sz="4" w:color="D9D9D9"/>
              <w:left w:val="single" w:sz="4" w:color="D9D9D9"/>
              <w:bottom w:val="single" w:sz="4" w:color="D9D9D9"/>
              <w:right w:val="single" w:sz="4" w:color="D9D9D9"/>
            </w:tcBorders>
            <w:shd w:fill="E7E7E7"/>
          </w:tcPr>
          <w:p>
            <w:pPr>
              <w:spacing w:after="100" w:before="100"/>
            </w:pPr>
            <w:r>
              <w:rPr>
                <w:b/>
                <w:sz w:val="18"/>
              </w:rPr>
              <w:t>P01</w:t>
            </w:r>
          </w:p>
        </w:tc>
        <w:tc>
          <w:tcPr>
            <w:tcW w:type="dxa" w:w="2736"/>
            <w:tcBorders>
              <w:top w:val="single" w:sz="4" w:color="D9D9D9"/>
              <w:left w:val="single" w:sz="4" w:color="D9D9D9"/>
              <w:bottom w:val="single" w:sz="4" w:color="D9D9D9"/>
              <w:right w:val="single" w:sz="4" w:color="D9D9D9"/>
            </w:tcBorders>
            <w:shd w:fill="E7E7E7"/>
          </w:tcPr>
          <w:p>
            <w:pPr>
              <w:spacing w:after="100" w:before="100"/>
            </w:pPr>
            <w:r>
              <w:rPr>
                <w:b/>
                <w:sz w:val="18"/>
              </w:rPr>
              <w:t>P02</w:t>
            </w:r>
          </w:p>
        </w:tc>
      </w:tr>
      <w:tr>
        <w:trPr/>
        <w:tc>
          <w:tcPr>
            <w:tcW w:type="dxa" w:w="5184"/>
            <w:tcBorders>
              <w:top w:val="single" w:sz="4" w:color="D9D9D9"/>
              <w:left w:val="single" w:sz="4" w:color="D9D9D9"/>
              <w:bottom w:val="single" w:sz="4" w:color="D9D9D9"/>
              <w:right w:val="single" w:sz="4" w:color="D9D9D9"/>
            </w:tcBorders>
          </w:tcPr>
          <w:p>
            <w:pPr>
              <w:spacing w:after="100" w:before="100"/>
            </w:pPr>
            <w:r>
              <w:rPr>
                <w:b w:val="0"/>
                <w:sz w:val="18"/>
              </w:rPr>
              <w:t>University connection</w:t>
            </w:r>
          </w:p>
        </w:tc>
        <w:tc>
          <w:tcPr>
            <w:tcW w:type="dxa" w:w="1872"/>
            <w:tcBorders>
              <w:top w:val="single" w:sz="4" w:color="D9D9D9"/>
              <w:left w:val="single" w:sz="4" w:color="D9D9D9"/>
              <w:bottom w:val="single" w:sz="4" w:color="D9D9D9"/>
              <w:right w:val="single" w:sz="4" w:color="D9D9D9"/>
            </w:tcBorders>
          </w:tcPr>
          <w:p>
            <w:pPr>
              <w:spacing w:after="100" w:before="100"/>
            </w:pPr>
            <w:r>
              <w:rPr>
                <w:b w:val="0"/>
                <w:sz w:val="18"/>
              </w:rPr>
              <w:t>Da</w:t>
            </w:r>
          </w:p>
        </w:tc>
        <w:tc>
          <w:tcPr>
            <w:tcW w:type="dxa" w:w="2736"/>
            <w:tcBorders>
              <w:top w:val="single" w:sz="4" w:color="D9D9D9"/>
              <w:left w:val="single" w:sz="4" w:color="D9D9D9"/>
              <w:bottom w:val="single" w:sz="4" w:color="D9D9D9"/>
              <w:right w:val="single" w:sz="4" w:color="D9D9D9"/>
            </w:tcBorders>
          </w:tcPr>
          <w:p>
            <w:pPr>
              <w:spacing w:after="100" w:before="100"/>
            </w:pPr>
            <w:r>
              <w:rPr>
                <w:b w:val="0"/>
                <w:sz w:val="18"/>
              </w:rPr>
              <w:t>Student</w:t>
            </w:r>
          </w:p>
        </w:tc>
      </w:tr>
      <w:tr>
        <w:trPr/>
        <w:tc>
          <w:tcPr>
            <w:tcW w:type="dxa" w:w="5184"/>
            <w:tcBorders>
              <w:top w:val="single" w:sz="4" w:color="D9D9D9"/>
              <w:left w:val="single" w:sz="4" w:color="D9D9D9"/>
              <w:bottom w:val="single" w:sz="4" w:color="D9D9D9"/>
              <w:right w:val="single" w:sz="4" w:color="D9D9D9"/>
            </w:tcBorders>
          </w:tcPr>
          <w:p>
            <w:pPr>
              <w:spacing w:after="100" w:before="100"/>
            </w:pPr>
            <w:r>
              <w:rPr>
                <w:b w:val="0"/>
                <w:sz w:val="18"/>
              </w:rPr>
              <w:t>Mobile games or Cluedo</w:t>
            </w:r>
          </w:p>
        </w:tc>
        <w:tc>
          <w:tcPr>
            <w:tcW w:type="dxa" w:w="1872"/>
            <w:tcBorders>
              <w:top w:val="single" w:sz="4" w:color="D9D9D9"/>
              <w:left w:val="single" w:sz="4" w:color="D9D9D9"/>
              <w:bottom w:val="single" w:sz="4" w:color="D9D9D9"/>
              <w:right w:val="single" w:sz="4" w:color="D9D9D9"/>
            </w:tcBorders>
          </w:tcPr>
          <w:p>
            <w:pPr>
              <w:spacing w:after="100" w:before="100"/>
            </w:pPr>
            <w:r>
              <w:rPr>
                <w:b w:val="0"/>
                <w:sz w:val="18"/>
              </w:rPr>
              <w:t>Ne</w:t>
            </w:r>
          </w:p>
        </w:tc>
        <w:tc>
          <w:tcPr>
            <w:tcW w:type="dxa" w:w="2736"/>
            <w:tcBorders>
              <w:top w:val="single" w:sz="4" w:color="D9D9D9"/>
              <w:left w:val="single" w:sz="4" w:color="D9D9D9"/>
              <w:bottom w:val="single" w:sz="4" w:color="D9D9D9"/>
              <w:right w:val="single" w:sz="4" w:color="D9D9D9"/>
            </w:tcBorders>
          </w:tcPr>
          <w:p>
            <w:pPr>
              <w:spacing w:after="100" w:before="100"/>
            </w:pPr>
            <w:r>
              <w:rPr>
                <w:b w:val="0"/>
                <w:sz w:val="18"/>
              </w:rPr>
              <w:t>No</w:t>
            </w:r>
          </w:p>
        </w:tc>
      </w:tr>
      <w:tr>
        <w:trPr/>
        <w:tc>
          <w:tcPr>
            <w:tcW w:type="dxa" w:w="5184"/>
            <w:tcBorders>
              <w:top w:val="single" w:sz="4" w:color="D9D9D9"/>
              <w:left w:val="single" w:sz="4" w:color="D9D9D9"/>
              <w:bottom w:val="single" w:sz="4" w:color="D9D9D9"/>
              <w:right w:val="single" w:sz="4" w:color="D9D9D9"/>
            </w:tcBorders>
          </w:tcPr>
          <w:p>
            <w:pPr>
              <w:spacing w:after="100" w:before="100"/>
            </w:pPr>
            <w:r>
              <w:rPr>
                <w:b w:val="0"/>
                <w:sz w:val="18"/>
              </w:rPr>
              <w:t>Would play and with whom</w:t>
            </w:r>
          </w:p>
        </w:tc>
        <w:tc>
          <w:tcPr>
            <w:tcW w:type="dxa" w:w="1872"/>
            <w:tcBorders>
              <w:top w:val="single" w:sz="4" w:color="D9D9D9"/>
              <w:left w:val="single" w:sz="4" w:color="D9D9D9"/>
              <w:bottom w:val="single" w:sz="4" w:color="D9D9D9"/>
              <w:right w:val="single" w:sz="4" w:color="D9D9D9"/>
            </w:tcBorders>
          </w:tcPr>
          <w:p>
            <w:pPr>
              <w:spacing w:after="100" w:before="100"/>
            </w:pPr>
            <w:r>
              <w:rPr>
                <w:b w:val="0"/>
                <w:sz w:val="18"/>
              </w:rPr>
              <w:t>Sled</w:t>
            </w:r>
          </w:p>
        </w:tc>
        <w:tc>
          <w:tcPr>
            <w:tcW w:type="dxa" w:w="2736"/>
            <w:tcBorders>
              <w:top w:val="single" w:sz="4" w:color="D9D9D9"/>
              <w:left w:val="single" w:sz="4" w:color="D9D9D9"/>
              <w:bottom w:val="single" w:sz="4" w:color="D9D9D9"/>
              <w:right w:val="single" w:sz="4" w:color="D9D9D9"/>
            </w:tcBorders>
          </w:tcPr>
          <w:p>
            <w:pPr>
              <w:spacing w:after="100" w:before="100"/>
            </w:pPr>
            <w:r>
              <w:rPr>
                <w:b w:val="0"/>
                <w:sz w:val="18"/>
              </w:rPr>
              <w:t>No</w:t>
            </w:r>
          </w:p>
        </w:tc>
      </w:tr>
      <w:tr>
        <w:trPr/>
        <w:tc>
          <w:tcPr>
            <w:tcW w:type="dxa" w:w="5184"/>
            <w:tcBorders>
              <w:top w:val="single" w:sz="4" w:color="D9D9D9"/>
              <w:left w:val="single" w:sz="4" w:color="D9D9D9"/>
              <w:bottom w:val="single" w:sz="4" w:color="D9D9D9"/>
              <w:right w:val="single" w:sz="4" w:color="D9D9D9"/>
            </w:tcBorders>
          </w:tcPr>
          <w:p>
            <w:pPr>
              <w:spacing w:after="100" w:before="100"/>
            </w:pPr>
            <w:r>
              <w:rPr>
                <w:b w:val="0"/>
                <w:sz w:val="18"/>
              </w:rPr>
              <w:t>Learning support</w:t>
            </w:r>
          </w:p>
        </w:tc>
        <w:tc>
          <w:tcPr>
            <w:tcW w:type="dxa" w:w="1872"/>
            <w:tcBorders>
              <w:top w:val="single" w:sz="4" w:color="D9D9D9"/>
              <w:left w:val="single" w:sz="4" w:color="D9D9D9"/>
              <w:bottom w:val="single" w:sz="4" w:color="D9D9D9"/>
              <w:right w:val="single" w:sz="4" w:color="D9D9D9"/>
            </w:tcBorders>
          </w:tcPr>
          <w:p>
            <w:pPr>
              <w:spacing w:after="100" w:before="100"/>
            </w:pPr>
            <w:r>
              <w:rPr>
                <w:b w:val="0"/>
                <w:sz w:val="18"/>
              </w:rPr>
              <w:t>Malko</w:t>
            </w:r>
          </w:p>
        </w:tc>
        <w:tc>
          <w:tcPr>
            <w:tcW w:type="dxa" w:w="2736"/>
            <w:tcBorders>
              <w:top w:val="single" w:sz="4" w:color="D9D9D9"/>
              <w:left w:val="single" w:sz="4" w:color="D9D9D9"/>
              <w:bottom w:val="single" w:sz="4" w:color="D9D9D9"/>
              <w:right w:val="single" w:sz="4" w:color="D9D9D9"/>
            </w:tcBorders>
          </w:tcPr>
          <w:p>
            <w:pPr>
              <w:spacing w:after="100" w:before="100"/>
            </w:pPr>
            <w:r>
              <w:rPr>
                <w:b w:val="0"/>
                <w:sz w:val="18"/>
              </w:rPr>
              <w:t>Game description</w:t>
            </w:r>
          </w:p>
        </w:tc>
      </w:tr>
      <w:tr>
        <w:trPr/>
        <w:tc>
          <w:tcPr>
            <w:tcW w:type="dxa" w:w="5184"/>
            <w:tcBorders>
              <w:top w:val="single" w:sz="4" w:color="D9D9D9"/>
              <w:left w:val="single" w:sz="4" w:color="D9D9D9"/>
              <w:bottom w:val="single" w:sz="4" w:color="D9D9D9"/>
              <w:right w:val="single" w:sz="4" w:color="D9D9D9"/>
            </w:tcBorders>
          </w:tcPr>
          <w:p>
            <w:pPr>
              <w:spacing w:after="100" w:before="100"/>
            </w:pPr>
            <w:r>
              <w:rPr>
                <w:b w:val="0"/>
                <w:sz w:val="18"/>
              </w:rPr>
              <w:t>Frustrations</w:t>
            </w:r>
          </w:p>
        </w:tc>
        <w:tc>
          <w:tcPr>
            <w:tcW w:type="dxa" w:w="1872"/>
            <w:tcBorders>
              <w:top w:val="single" w:sz="4" w:color="D9D9D9"/>
              <w:left w:val="single" w:sz="4" w:color="D9D9D9"/>
              <w:bottom w:val="single" w:sz="4" w:color="D9D9D9"/>
              <w:right w:val="single" w:sz="4" w:color="D9D9D9"/>
            </w:tcBorders>
          </w:tcPr>
          <w:p>
            <w:pPr>
              <w:spacing w:after="100" w:before="100"/>
            </w:pPr>
            <w:r>
              <w:rPr>
                <w:b w:val="0"/>
                <w:sz w:val="18"/>
              </w:rPr>
              <w:t>Aichal</w:t>
            </w:r>
          </w:p>
        </w:tc>
        <w:tc>
          <w:tcPr>
            <w:tcW w:type="dxa" w:w="2736"/>
            <w:tcBorders>
              <w:top w:val="single" w:sz="4" w:color="D9D9D9"/>
              <w:left w:val="single" w:sz="4" w:color="D9D9D9"/>
              <w:bottom w:val="single" w:sz="4" w:color="D9D9D9"/>
              <w:right w:val="single" w:sz="4" w:color="D9D9D9"/>
            </w:tcBorders>
          </w:tcPr>
          <w:p>
            <w:pPr>
              <w:spacing w:after="100" w:before="100"/>
            </w:pPr>
            <w:r>
              <w:rPr>
                <w:b w:val="0"/>
                <w:sz w:val="18"/>
              </w:rPr>
              <w:t>Waste of time</w:t>
            </w:r>
          </w:p>
        </w:tc>
      </w:tr>
      <w:tr>
        <w:trPr/>
        <w:tc>
          <w:tcPr>
            <w:tcW w:type="dxa" w:w="5184"/>
            <w:tcBorders>
              <w:top w:val="single" w:sz="4" w:color="D9D9D9"/>
              <w:left w:val="single" w:sz="4" w:color="D9D9D9"/>
              <w:bottom w:val="single" w:sz="4" w:color="D9D9D9"/>
              <w:right w:val="single" w:sz="4" w:color="D9D9D9"/>
            </w:tcBorders>
          </w:tcPr>
          <w:p>
            <w:pPr>
              <w:spacing w:after="100" w:before="100"/>
            </w:pPr>
            <w:r>
              <w:rPr>
                <w:b w:val="0"/>
                <w:sz w:val="18"/>
              </w:rPr>
              <w:t>Replay motivation</w:t>
            </w:r>
          </w:p>
        </w:tc>
        <w:tc>
          <w:tcPr>
            <w:tcW w:type="dxa" w:w="1872"/>
            <w:tcBorders>
              <w:top w:val="single" w:sz="4" w:color="D9D9D9"/>
              <w:left w:val="single" w:sz="4" w:color="D9D9D9"/>
              <w:bottom w:val="single" w:sz="4" w:color="D9D9D9"/>
              <w:right w:val="single" w:sz="4" w:color="D9D9D9"/>
            </w:tcBorders>
          </w:tcPr>
          <w:p>
            <w:pPr>
              <w:spacing w:after="100" w:before="100"/>
            </w:pPr>
            <w:r>
              <w:rPr>
                <w:b w:val="0"/>
                <w:sz w:val="18"/>
              </w:rPr>
              <w:t>Do</w:t>
            </w:r>
          </w:p>
        </w:tc>
        <w:tc>
          <w:tcPr>
            <w:tcW w:type="dxa" w:w="2736"/>
            <w:tcBorders>
              <w:top w:val="single" w:sz="4" w:color="D9D9D9"/>
              <w:left w:val="single" w:sz="4" w:color="D9D9D9"/>
              <w:bottom w:val="single" w:sz="4" w:color="D9D9D9"/>
              <w:right w:val="single" w:sz="4" w:color="D9D9D9"/>
            </w:tcBorders>
          </w:tcPr>
          <w:p>
            <w:pPr>
              <w:spacing w:after="100" w:before="100"/>
            </w:pPr>
            <w:r>
              <w:rPr>
                <w:b w:val="0"/>
                <w:sz w:val="18"/>
              </w:rPr>
              <w:t>Money prize</w:t>
            </w:r>
          </w:p>
        </w:tc>
      </w:tr>
    </w:tbl>
    <w:p>
      <w:r>
        <w:t>Interpretation: P01 requires clarification throughout. P02 supports a beginner explanation and investigation of low perceived value. No access need, age or campus is established. The questionnaire is not a prototype evaluation.</w:t>
      </w:r>
    </w:p>
    <w:p>
      <w:pPr>
        <w:pStyle w:val="Heading2"/>
      </w:pPr>
      <w:r>
        <w:rPr>
          <w:color w:val="000000"/>
        </w:rPr>
        <w:t>Follow up questions</w:t>
      </w:r>
    </w:p>
    <w:p>
      <w:r>
        <w:t>Please explain any unclear answer in your preferred language.</w:t>
      </w:r>
    </w:p>
    <w:p>
      <w:r>
        <w:t>What would make this game worth your time, apart from a prize?</w:t>
      </w:r>
    </w:p>
    <w:p>
      <w:r>
        <w:t>What device would you use and when would you play?</w:t>
      </w:r>
    </w:p>
    <w:p>
      <w:r>
        <w:t>What helps you use mobile controls comfortably? No diagnosis is required.</w:t>
      </w:r>
    </w:p>
    <w:p>
      <w:r>
        <w:t>Would you be willing to try a paper prototype and comment on it?</w:t>
      </w:r>
    </w:p>
    <w:p>
      <w:r>
        <w:br w:type="page"/>
      </w:r>
    </w:p>
    <w:p>
      <w:pPr>
        <w:pStyle w:val="Heading1"/>
      </w:pPr>
      <w:r>
        <w:rPr>
          <w:color w:val="000000"/>
        </w:rPr>
        <w:t>Appendix B MoSCoW requirements</w:t>
      </w:r>
    </w:p>
    <w:p>
      <w:r>
        <w:t>P02 denotes direct questionnaire evidence. H denotes an unvalidated persona hypothesis. L denotes literature or a design principle. Brief denotes the assessment or the proposed game rules. Priorities concern this prototype iteration.</w:t>
      </w:r>
    </w:p>
    <w:tbl>
      <w:tblPr>
        <w:tblW w:type="auto" w:w="0"/>
        <w:tblLayout w:type="fixed"/>
        <w:tblLook w:firstColumn="1" w:firstRow="1" w:lastColumn="0" w:lastRow="0" w:noHBand="0" w:noVBand="1" w:val="04A0"/>
      </w:tblPr>
      <w:tblGrid>
        <w:gridCol w:w="3360"/>
        <w:gridCol w:w="3360"/>
        <w:gridCol w:w="3360"/>
      </w:tblGrid>
      <w:tr>
        <w:trPr>
          <w:tblHeader/>
        </w:trPr>
        <w:tc>
          <w:tcPr>
            <w:tcW w:type="dxa" w:w="1512"/>
            <w:tcBorders>
              <w:top w:val="single" w:sz="4" w:color="D9D9D9"/>
              <w:left w:val="single" w:sz="4" w:color="D9D9D9"/>
              <w:bottom w:val="single" w:sz="4" w:color="D9D9D9"/>
              <w:right w:val="single" w:sz="4" w:color="D9D9D9"/>
            </w:tcBorders>
            <w:shd w:fill="E7E7E7"/>
          </w:tcPr>
          <w:p>
            <w:pPr>
              <w:spacing w:after="100" w:before="100"/>
            </w:pPr>
            <w:r>
              <w:rPr>
                <w:b/>
                <w:sz w:val="18"/>
              </w:rPr>
              <w:t>ID and priority</w:t>
            </w:r>
          </w:p>
        </w:tc>
        <w:tc>
          <w:tcPr>
            <w:tcW w:type="dxa" w:w="5688"/>
            <w:tcBorders>
              <w:top w:val="single" w:sz="4" w:color="D9D9D9"/>
              <w:left w:val="single" w:sz="4" w:color="D9D9D9"/>
              <w:bottom w:val="single" w:sz="4" w:color="D9D9D9"/>
              <w:right w:val="single" w:sz="4" w:color="D9D9D9"/>
            </w:tcBorders>
            <w:shd w:fill="E7E7E7"/>
          </w:tcPr>
          <w:p>
            <w:pPr>
              <w:spacing w:after="100" w:before="100"/>
            </w:pPr>
            <w:r>
              <w:rPr>
                <w:b/>
                <w:sz w:val="18"/>
              </w:rPr>
              <w:t>Requirement</w:t>
            </w:r>
          </w:p>
        </w:tc>
        <w:tc>
          <w:tcPr>
            <w:tcW w:type="dxa" w:w="2592"/>
            <w:tcBorders>
              <w:top w:val="single" w:sz="4" w:color="D9D9D9"/>
              <w:left w:val="single" w:sz="4" w:color="D9D9D9"/>
              <w:bottom w:val="single" w:sz="4" w:color="D9D9D9"/>
              <w:right w:val="single" w:sz="4" w:color="D9D9D9"/>
            </w:tcBorders>
            <w:shd w:fill="E7E7E7"/>
          </w:tcPr>
          <w:p>
            <w:pPr>
              <w:spacing w:after="100" w:before="100"/>
            </w:pPr>
            <w:r>
              <w:rPr>
                <w:b/>
                <w:sz w:val="18"/>
              </w:rPr>
              <w:t>Basis and persona</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R01 Must</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Create or join a private game for 3–8 players.</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Brief; all</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R02 Must</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Show turn, current room and legal actions.</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L [2]; all</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R03 Must</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Offer a concise game description before joining.</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P02; Alex</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R04 Must</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Keep cards and notebook private.</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Game rules; all</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R05 Must</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Separate suggestion from accusation and confirm accusation consequences.</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L [2]; Daniel, Lewis</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R06 Must</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Label locations and offer tap-based movement.</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L [4], H; Lewis</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R07 Must</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Use text alongside symbols; do not rely on sound or colour.</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L [4]; all</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R08 Must</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Support confidence and informed choice; allow cancel and exit.</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L [2], P02; Alex</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R09 Should</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Provide optional tutorial and contextual help.</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P02, H; Alex, Daniel</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R10 Should</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Allow reversible notebook entries during waiting turns.</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L [2], H; Maya, Lewis</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R11 Should</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Preserve state and explain reconnection.</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H; Daniel</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R12 Should</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Support larger text and reduced motion.</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L [4]; all</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R13 Should</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Support enjoyable social play; assess enjoyment separately.</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L [3], H; Maya</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R14 Could</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Add optional vibration and computer practice.</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H; Maya, Daniel</w:t>
            </w:r>
          </w:p>
        </w:tc>
      </w:tr>
      <w:tr>
        <w:trPr/>
        <w:tc>
          <w:tcPr>
            <w:tcW w:type="dxa" w:w="1512"/>
            <w:tcBorders>
              <w:top w:val="single" w:sz="4" w:color="D9D9D9"/>
              <w:left w:val="single" w:sz="4" w:color="D9D9D9"/>
              <w:bottom w:val="single" w:sz="4" w:color="D9D9D9"/>
              <w:right w:val="single" w:sz="4" w:color="D9D9D9"/>
            </w:tcBorders>
          </w:tcPr>
          <w:p>
            <w:pPr>
              <w:spacing w:after="100" w:before="100"/>
            </w:pPr>
            <w:r>
              <w:rPr>
                <w:b w:val="0"/>
                <w:sz w:val="18"/>
              </w:rPr>
              <w:t>R15 Won’t</w:t>
            </w:r>
          </w:p>
        </w:tc>
        <w:tc>
          <w:tcPr>
            <w:tcW w:type="dxa" w:w="5688"/>
            <w:tcBorders>
              <w:top w:val="single" w:sz="4" w:color="D9D9D9"/>
              <w:left w:val="single" w:sz="4" w:color="D9D9D9"/>
              <w:bottom w:val="single" w:sz="4" w:color="D9D9D9"/>
              <w:right w:val="single" w:sz="4" w:color="D9D9D9"/>
            </w:tcBorders>
          </w:tcPr>
          <w:p>
            <w:pPr>
              <w:spacing w:after="100" w:before="100"/>
            </w:pPr>
            <w:r>
              <w:rPr>
                <w:b w:val="0"/>
                <w:sz w:val="18"/>
              </w:rPr>
              <w:t>Public chat, cash prizes and multiple campus boards in this iteration.</w:t>
            </w:r>
          </w:p>
        </w:tc>
        <w:tc>
          <w:tcPr>
            <w:tcW w:type="dxa" w:w="2592"/>
            <w:tcBorders>
              <w:top w:val="single" w:sz="4" w:color="D9D9D9"/>
              <w:left w:val="single" w:sz="4" w:color="D9D9D9"/>
              <w:bottom w:val="single" w:sz="4" w:color="D9D9D9"/>
              <w:right w:val="single" w:sz="4" w:color="D9D9D9"/>
            </w:tcBorders>
          </w:tcPr>
          <w:p>
            <w:pPr>
              <w:spacing w:after="100" w:before="100"/>
            </w:pPr>
            <w:r>
              <w:rPr>
                <w:b w:val="0"/>
                <w:sz w:val="18"/>
              </w:rPr>
              <w:t>Scope decision; no validated demand</w:t>
            </w:r>
          </w:p>
        </w:tc>
      </w:tr>
    </w:tbl>
    <w:p>
      <w:r>
        <w:br w:type="page"/>
      </w:r>
    </w:p>
    <w:p>
      <w:pPr>
        <w:pStyle w:val="Heading1"/>
      </w:pPr>
      <w:r>
        <w:rPr>
          <w:color w:val="000000"/>
        </w:rPr>
        <w:t>Appendix C Storyboards 1 of 6</w:t>
      </w:r>
    </w:p>
    <w:p>
      <w:r>
        <w:drawing>
          <wp:inline xmlns:a="http://schemas.openxmlformats.org/drawingml/2006/main" xmlns:pic="http://schemas.openxmlformats.org/drawingml/2006/picture">
            <wp:extent cx="6400800" cy="4930987"/>
            <wp:docPr id="2" name="Picture 2"/>
            <wp:cNvGraphicFramePr>
              <a:graphicFrameLocks noChangeAspect="1"/>
            </wp:cNvGraphicFramePr>
            <a:graphic>
              <a:graphicData uri="http://schemas.openxmlformats.org/drawingml/2006/picture">
                <pic:pic>
                  <pic:nvPicPr>
                    <pic:cNvPr id="0" name="wire0.png"/>
                    <pic:cNvPicPr/>
                  </pic:nvPicPr>
                  <pic:blipFill>
                    <a:blip r:embed="rId10"/>
                    <a:stretch>
                      <a:fillRect/>
                    </a:stretch>
                  </pic:blipFill>
                  <pic:spPr>
                    <a:xfrm>
                      <a:off x="0" y="0"/>
                      <a:ext cx="6400800" cy="4930987"/>
                    </a:xfrm>
                    <a:prstGeom prst="rect"/>
                  </pic:spPr>
                </pic:pic>
              </a:graphicData>
            </a:graphic>
          </wp:inline>
        </w:drawing>
      </w:r>
    </w:p>
    <w:p>
      <w:r>
        <w:t>Journey: S01 Create → S02 Create room → S04. S01 Join → S03 → S04, or S17 if invalid. Tutorial and settings return to their opening screen.</w:t>
      </w:r>
    </w:p>
    <w:p>
      <w:r>
        <w:br w:type="page"/>
      </w:r>
    </w:p>
    <w:p>
      <w:pPr>
        <w:pStyle w:val="Heading1"/>
      </w:pPr>
      <w:r>
        <w:rPr>
          <w:color w:val="000000"/>
        </w:rPr>
        <w:t>Appendix C Storyboards 2 of 6</w:t>
      </w:r>
    </w:p>
    <w:p>
      <w:r>
        <w:drawing>
          <wp:inline xmlns:a="http://schemas.openxmlformats.org/drawingml/2006/main" xmlns:pic="http://schemas.openxmlformats.org/drawingml/2006/picture">
            <wp:extent cx="6400800" cy="4930987"/>
            <wp:docPr id="3" name="Picture 3"/>
            <wp:cNvGraphicFramePr>
              <a:graphicFrameLocks noChangeAspect="1"/>
            </wp:cNvGraphicFramePr>
            <a:graphic>
              <a:graphicData uri="http://schemas.openxmlformats.org/drawingml/2006/picture">
                <pic:pic>
                  <pic:nvPicPr>
                    <pic:cNvPr id="0" name="wire1.png"/>
                    <pic:cNvPicPr/>
                  </pic:nvPicPr>
                  <pic:blipFill>
                    <a:blip r:embed="rId11"/>
                    <a:stretch>
                      <a:fillRect/>
                    </a:stretch>
                  </pic:blipFill>
                  <pic:spPr>
                    <a:xfrm>
                      <a:off x="0" y="0"/>
                      <a:ext cx="6400800" cy="4930987"/>
                    </a:xfrm>
                    <a:prstGeom prst="rect"/>
                  </pic:spPr>
                </pic:pic>
              </a:graphicData>
            </a:graphic>
          </wp:inline>
        </w:drawing>
      </w:r>
    </w:p>
    <w:p>
      <w:r>
        <w:t>S04 Start → S05 only when at least three players are ready. S05 Move → S06 → S05. The six rooms form a cycle; one edge is permitted per turn. All roles appear in the scrollable lobby selector.</w:t>
      </w:r>
    </w:p>
    <w:p>
      <w:r>
        <w:br w:type="page"/>
      </w:r>
    </w:p>
    <w:p>
      <w:pPr>
        <w:pStyle w:val="Heading1"/>
      </w:pPr>
      <w:r>
        <w:rPr>
          <w:color w:val="000000"/>
        </w:rPr>
        <w:t>Appendix C Storyboards 3 of 6</w:t>
      </w:r>
    </w:p>
    <w:p>
      <w:r>
        <w:drawing>
          <wp:inline xmlns:a="http://schemas.openxmlformats.org/drawingml/2006/main" xmlns:pic="http://schemas.openxmlformats.org/drawingml/2006/picture">
            <wp:extent cx="6400800" cy="4930987"/>
            <wp:docPr id="4" name="Picture 4"/>
            <wp:cNvGraphicFramePr>
              <a:graphicFrameLocks noChangeAspect="1"/>
            </wp:cNvGraphicFramePr>
            <a:graphic>
              <a:graphicData uri="http://schemas.openxmlformats.org/drawingml/2006/picture">
                <pic:pic>
                  <pic:nvPicPr>
                    <pic:cNvPr id="0" name="wire2.png"/>
                    <pic:cNvPicPr/>
                  </pic:nvPicPr>
                  <pic:blipFill>
                    <a:blip r:embed="rId12"/>
                    <a:stretch>
                      <a:fillRect/>
                    </a:stretch>
                  </pic:blipFill>
                  <pic:spPr>
                    <a:xfrm>
                      <a:off x="0" y="0"/>
                      <a:ext cx="6400800" cy="4930987"/>
                    </a:xfrm>
                    <a:prstGeom prst="rect"/>
                  </pic:spPr>
                </pic:pic>
              </a:graphicData>
            </a:graphic>
          </wp:inline>
        </w:drawing>
      </w:r>
    </w:p>
    <w:p>
      <w:r>
        <w:t>S05 Suggest → S07 → S08 → S09 → S05 or S10. S08 represents two distinct device views: requester waits; eligible responder privately chooses. Players with no match are skipped automatically.</w:t>
      </w:r>
    </w:p>
    <w:p>
      <w:r>
        <w:br w:type="page"/>
      </w:r>
    </w:p>
    <w:p>
      <w:pPr>
        <w:pStyle w:val="Heading1"/>
      </w:pPr>
      <w:r>
        <w:rPr>
          <w:color w:val="000000"/>
        </w:rPr>
        <w:t>Appendix C Storyboards 4 of 6</w:t>
      </w:r>
    </w:p>
    <w:p>
      <w:r>
        <w:drawing>
          <wp:inline xmlns:a="http://schemas.openxmlformats.org/drawingml/2006/main" xmlns:pic="http://schemas.openxmlformats.org/drawingml/2006/picture">
            <wp:extent cx="6400800" cy="4930987"/>
            <wp:docPr id="5" name="Picture 5"/>
            <wp:cNvGraphicFramePr>
              <a:graphicFrameLocks noChangeAspect="1"/>
            </wp:cNvGraphicFramePr>
            <a:graphic>
              <a:graphicData uri="http://schemas.openxmlformats.org/drawingml/2006/picture">
                <pic:pic>
                  <pic:nvPicPr>
                    <pic:cNvPr id="0" name="wire3.png"/>
                    <pic:cNvPicPr/>
                  </pic:nvPicPr>
                  <pic:blipFill>
                    <a:blip r:embed="rId13"/>
                    <a:stretch>
                      <a:fillRect/>
                    </a:stretch>
                  </pic:blipFill>
                  <pic:spPr>
                    <a:xfrm>
                      <a:off x="0" y="0"/>
                      <a:ext cx="6400800" cy="4930987"/>
                    </a:xfrm>
                    <a:prstGeom prst="rect"/>
                  </pic:spPr>
                </pic:pic>
              </a:graphicData>
            </a:graphic>
          </wp:inline>
        </w:drawing>
      </w:r>
    </w:p>
    <w:p>
      <w:r>
        <w:t>S05 opens S10, S11 or S12. Notebook edits are private and reversible. S12 Review → S13; incomplete selections remain on S12 with inline errors. Each panel represents a separate screen.</w:t>
      </w:r>
    </w:p>
    <w:p>
      <w:r>
        <w:br w:type="page"/>
      </w:r>
    </w:p>
    <w:p>
      <w:pPr>
        <w:pStyle w:val="Heading1"/>
      </w:pPr>
      <w:r>
        <w:rPr>
          <w:color w:val="000000"/>
        </w:rPr>
        <w:t>Appendix C Storyboards 5 of 6</w:t>
      </w:r>
    </w:p>
    <w:p>
      <w:r>
        <w:drawing>
          <wp:inline xmlns:a="http://schemas.openxmlformats.org/drawingml/2006/main" xmlns:pic="http://schemas.openxmlformats.org/drawingml/2006/picture">
            <wp:extent cx="6400800" cy="4930987"/>
            <wp:docPr id="6" name="Picture 6"/>
            <wp:cNvGraphicFramePr>
              <a:graphicFrameLocks noChangeAspect="1"/>
            </wp:cNvGraphicFramePr>
            <a:graphic>
              <a:graphicData uri="http://schemas.openxmlformats.org/drawingml/2006/picture">
                <pic:pic>
                  <pic:nvPicPr>
                    <pic:cNvPr id="0" name="wire4.png"/>
                    <pic:cNvPicPr/>
                  </pic:nvPicPr>
                  <pic:blipFill>
                    <a:blip r:embed="rId14"/>
                    <a:stretch>
                      <a:fillRect/>
                    </a:stretch>
                  </pic:blipFill>
                  <pic:spPr>
                    <a:xfrm>
                      <a:off x="0" y="0"/>
                      <a:ext cx="6400800" cy="4930987"/>
                    </a:xfrm>
                    <a:prstGeom prst="rect"/>
                  </pic:spPr>
                </pic:pic>
              </a:graphicData>
            </a:graphic>
          </wp:inline>
        </w:drawing>
      </w:r>
    </w:p>
    <w:p>
      <w:r>
        <w:t>S13 Correct → S14. Incorrect → S05 with accusations disabled. If all players exhaust accusations, S14 reveals the solution with no winner. S15 returns to its opener; ending a turn advances the active player.</w:t>
      </w:r>
    </w:p>
    <w:p>
      <w:r>
        <w:br w:type="page"/>
      </w:r>
    </w:p>
    <w:p>
      <w:pPr>
        <w:pStyle w:val="Heading1"/>
      </w:pPr>
      <w:r>
        <w:rPr>
          <w:color w:val="000000"/>
        </w:rPr>
        <w:t>Appendix C Storyboards 6 of 6</w:t>
      </w:r>
    </w:p>
    <w:p>
      <w:r>
        <w:drawing>
          <wp:inline xmlns:a="http://schemas.openxmlformats.org/drawingml/2006/main" xmlns:pic="http://schemas.openxmlformats.org/drawingml/2006/picture">
            <wp:extent cx="6400800" cy="4930987"/>
            <wp:docPr id="7" name="Picture 7"/>
            <wp:cNvGraphicFramePr>
              <a:graphicFrameLocks noChangeAspect="1"/>
            </wp:cNvGraphicFramePr>
            <a:graphic>
              <a:graphicData uri="http://schemas.openxmlformats.org/drawingml/2006/picture">
                <pic:pic>
                  <pic:nvPicPr>
                    <pic:cNvPr id="0" name="wire5.png"/>
                    <pic:cNvPicPr/>
                  </pic:nvPicPr>
                  <pic:blipFill>
                    <a:blip r:embed="rId15"/>
                    <a:stretch>
                      <a:fillRect/>
                    </a:stretch>
                  </pic:blipFill>
                  <pic:spPr>
                    <a:xfrm>
                      <a:off x="0" y="0"/>
                      <a:ext cx="6400800" cy="4930987"/>
                    </a:xfrm>
                    <a:prstGeom prst="rect"/>
                  </pic:spPr>
                </pic:pic>
              </a:graphicData>
            </a:graphic>
          </wp:inline>
        </w:drawing>
      </w:r>
    </w:p>
    <w:p>
      <w:r>
        <w:t>S16 returns to its opener. S17 Edit → S03 preserves the code. Any live-game screen may enter S18. Successful reconnection restores the prior view with refreshed state; leave requires confirmation.</w:t>
      </w:r>
    </w:p>
    <w:p>
      <w:r>
        <w:br w:type="page"/>
      </w:r>
    </w:p>
    <w:p>
      <w:pPr>
        <w:pStyle w:val="Heading1"/>
      </w:pPr>
      <w:r>
        <w:rPr>
          <w:color w:val="000000"/>
        </w:rPr>
        <w:t>Appendix D Prototype testing record</w:t>
      </w:r>
    </w:p>
    <w:p>
      <w:r>
        <w:t>Planned form. No prototype sessions have been completed. Duplicate this record for each consenting participant. Use anonymous codes and do not include unnecessary personal information.</w:t>
      </w:r>
    </w:p>
    <w:p>
      <w:r>
        <w:t>Participant code __________  Date __________</w:t>
        <w:br/>
        <w:t>Gaming familiarity __________  Relevant persona context __________</w:t>
        <w:br/>
        <w:t>Device or phone-sized paper __________  Permission recorded __________</w:t>
      </w:r>
    </w:p>
    <w:tbl>
      <w:tblPr>
        <w:tblW w:type="auto" w:w="0"/>
        <w:tblLayout w:type="fixed"/>
        <w:tblLook w:firstColumn="1" w:firstRow="1" w:lastColumn="0" w:lastRow="0" w:noHBand="0" w:noVBand="1" w:val="04A0"/>
      </w:tblPr>
      <w:tblGrid>
        <w:gridCol w:w="3360"/>
        <w:gridCol w:w="3360"/>
        <w:gridCol w:w="3360"/>
      </w:tblGrid>
      <w:tr>
        <w:trPr>
          <w:tblHeader/>
        </w:trPr>
        <w:tc>
          <w:tcPr>
            <w:tcW w:type="dxa" w:w="3168"/>
            <w:tcBorders>
              <w:top w:val="single" w:sz="4" w:color="D9D9D9"/>
              <w:left w:val="single" w:sz="4" w:color="D9D9D9"/>
              <w:bottom w:val="single" w:sz="4" w:color="D9D9D9"/>
              <w:right w:val="single" w:sz="4" w:color="D9D9D9"/>
            </w:tcBorders>
            <w:shd w:fill="E7E7E7"/>
          </w:tcPr>
          <w:p>
            <w:pPr>
              <w:spacing w:after="100" w:before="100"/>
            </w:pPr>
            <w:r>
              <w:rPr>
                <w:b/>
                <w:sz w:val="18"/>
              </w:rPr>
              <w:t>Task</w:t>
            </w:r>
          </w:p>
        </w:tc>
        <w:tc>
          <w:tcPr>
            <w:tcW w:type="dxa" w:w="2160"/>
            <w:tcBorders>
              <w:top w:val="single" w:sz="4" w:color="D9D9D9"/>
              <w:left w:val="single" w:sz="4" w:color="D9D9D9"/>
              <w:bottom w:val="single" w:sz="4" w:color="D9D9D9"/>
              <w:right w:val="single" w:sz="4" w:color="D9D9D9"/>
            </w:tcBorders>
            <w:shd w:fill="E7E7E7"/>
          </w:tcPr>
          <w:p>
            <w:pPr>
              <w:spacing w:after="100" w:before="100"/>
            </w:pPr>
            <w:r>
              <w:rPr>
                <w:b/>
                <w:sz w:val="18"/>
              </w:rPr>
              <w:t>Success or assistance</w:t>
            </w:r>
          </w:p>
        </w:tc>
        <w:tc>
          <w:tcPr>
            <w:tcW w:type="dxa" w:w="4464"/>
            <w:tcBorders>
              <w:top w:val="single" w:sz="4" w:color="D9D9D9"/>
              <w:left w:val="single" w:sz="4" w:color="D9D9D9"/>
              <w:bottom w:val="single" w:sz="4" w:color="D9D9D9"/>
              <w:right w:val="single" w:sz="4" w:color="D9D9D9"/>
            </w:tcBorders>
            <w:shd w:fill="E7E7E7"/>
          </w:tcPr>
          <w:p>
            <w:pPr>
              <w:spacing w:after="100" w:before="100"/>
            </w:pPr>
            <w:r>
              <w:rPr>
                <w:b/>
                <w:sz w:val="18"/>
              </w:rPr>
              <w:t>Observation and exact comment</w:t>
            </w:r>
          </w:p>
        </w:tc>
      </w:tr>
      <w:tr>
        <w:trPr/>
        <w:tc>
          <w:tcPr>
            <w:tcW w:type="dxa" w:w="3168"/>
            <w:tcBorders>
              <w:top w:val="single" w:sz="4" w:color="D9D9D9"/>
              <w:left w:val="single" w:sz="4" w:color="D9D9D9"/>
              <w:bottom w:val="single" w:sz="4" w:color="D9D9D9"/>
              <w:right w:val="single" w:sz="4" w:color="D9D9D9"/>
            </w:tcBorders>
          </w:tcPr>
          <w:p>
            <w:pPr>
              <w:spacing w:after="100" w:before="100"/>
            </w:pPr>
            <w:r>
              <w:rPr>
                <w:b w:val="0"/>
                <w:sz w:val="18"/>
              </w:rPr>
              <w:t>Join a room</w:t>
            </w:r>
          </w:p>
        </w:tc>
        <w:tc>
          <w:tcPr>
            <w:tcW w:type="dxa" w:w="2160"/>
            <w:tcBorders>
              <w:top w:val="single" w:sz="4" w:color="D9D9D9"/>
              <w:left w:val="single" w:sz="4" w:color="D9D9D9"/>
              <w:bottom w:val="single" w:sz="4" w:color="D9D9D9"/>
              <w:right w:val="single" w:sz="4" w:color="D9D9D9"/>
            </w:tcBorders>
          </w:tcPr>
          <w:p>
            <w:pPr>
              <w:spacing w:after="100" w:before="100"/>
            </w:pPr>
            <w:r>
              <w:rPr>
                <w:b w:val="0"/>
                <w:sz w:val="18"/>
              </w:rPr>
              <w:t>Not tested</w:t>
            </w:r>
          </w:p>
        </w:tc>
        <w:tc>
          <w:tcPr>
            <w:tcW w:type="dxa" w:w="4464"/>
            <w:tcBorders>
              <w:top w:val="single" w:sz="4" w:color="D9D9D9"/>
              <w:left w:val="single" w:sz="4" w:color="D9D9D9"/>
              <w:bottom w:val="single" w:sz="4" w:color="D9D9D9"/>
              <w:right w:val="single" w:sz="4" w:color="D9D9D9"/>
            </w:tcBorders>
          </w:tcPr>
          <w:p>
            <w:pPr>
              <w:spacing w:after="100" w:before="100"/>
            </w:pPr>
            <w:r>
              <w:rPr>
                <w:b w:val="0"/>
                <w:sz w:val="18"/>
              </w:rPr>
            </w:r>
          </w:p>
        </w:tc>
      </w:tr>
      <w:tr>
        <w:trPr/>
        <w:tc>
          <w:tcPr>
            <w:tcW w:type="dxa" w:w="3168"/>
            <w:tcBorders>
              <w:top w:val="single" w:sz="4" w:color="D9D9D9"/>
              <w:left w:val="single" w:sz="4" w:color="D9D9D9"/>
              <w:bottom w:val="single" w:sz="4" w:color="D9D9D9"/>
              <w:right w:val="single" w:sz="4" w:color="D9D9D9"/>
            </w:tcBorders>
          </w:tcPr>
          <w:p>
            <w:pPr>
              <w:spacing w:after="100" w:before="100"/>
            </w:pPr>
            <w:r>
              <w:rPr>
                <w:b w:val="0"/>
                <w:sz w:val="18"/>
              </w:rPr>
              <w:t>Identify current player</w:t>
            </w:r>
          </w:p>
        </w:tc>
        <w:tc>
          <w:tcPr>
            <w:tcW w:type="dxa" w:w="2160"/>
            <w:tcBorders>
              <w:top w:val="single" w:sz="4" w:color="D9D9D9"/>
              <w:left w:val="single" w:sz="4" w:color="D9D9D9"/>
              <w:bottom w:val="single" w:sz="4" w:color="D9D9D9"/>
              <w:right w:val="single" w:sz="4" w:color="D9D9D9"/>
            </w:tcBorders>
          </w:tcPr>
          <w:p>
            <w:pPr>
              <w:spacing w:after="100" w:before="100"/>
            </w:pPr>
            <w:r>
              <w:rPr>
                <w:b w:val="0"/>
                <w:sz w:val="18"/>
              </w:rPr>
              <w:t>Not tested</w:t>
            </w:r>
          </w:p>
        </w:tc>
        <w:tc>
          <w:tcPr>
            <w:tcW w:type="dxa" w:w="4464"/>
            <w:tcBorders>
              <w:top w:val="single" w:sz="4" w:color="D9D9D9"/>
              <w:left w:val="single" w:sz="4" w:color="D9D9D9"/>
              <w:bottom w:val="single" w:sz="4" w:color="D9D9D9"/>
              <w:right w:val="single" w:sz="4" w:color="D9D9D9"/>
            </w:tcBorders>
          </w:tcPr>
          <w:p>
            <w:pPr>
              <w:spacing w:after="100" w:before="100"/>
            </w:pPr>
            <w:r>
              <w:rPr>
                <w:b w:val="0"/>
                <w:sz w:val="18"/>
              </w:rPr>
            </w:r>
          </w:p>
        </w:tc>
      </w:tr>
      <w:tr>
        <w:trPr/>
        <w:tc>
          <w:tcPr>
            <w:tcW w:type="dxa" w:w="3168"/>
            <w:tcBorders>
              <w:top w:val="single" w:sz="4" w:color="D9D9D9"/>
              <w:left w:val="single" w:sz="4" w:color="D9D9D9"/>
              <w:bottom w:val="single" w:sz="4" w:color="D9D9D9"/>
              <w:right w:val="single" w:sz="4" w:color="D9D9D9"/>
            </w:tcBorders>
          </w:tcPr>
          <w:p>
            <w:pPr>
              <w:spacing w:after="100" w:before="100"/>
            </w:pPr>
            <w:r>
              <w:rPr>
                <w:b w:val="0"/>
                <w:sz w:val="18"/>
              </w:rPr>
              <w:t>Move one legal edge</w:t>
            </w:r>
          </w:p>
        </w:tc>
        <w:tc>
          <w:tcPr>
            <w:tcW w:type="dxa" w:w="2160"/>
            <w:tcBorders>
              <w:top w:val="single" w:sz="4" w:color="D9D9D9"/>
              <w:left w:val="single" w:sz="4" w:color="D9D9D9"/>
              <w:bottom w:val="single" w:sz="4" w:color="D9D9D9"/>
              <w:right w:val="single" w:sz="4" w:color="D9D9D9"/>
            </w:tcBorders>
          </w:tcPr>
          <w:p>
            <w:pPr>
              <w:spacing w:after="100" w:before="100"/>
            </w:pPr>
            <w:r>
              <w:rPr>
                <w:b w:val="0"/>
                <w:sz w:val="18"/>
              </w:rPr>
              <w:t>Not tested</w:t>
            </w:r>
          </w:p>
        </w:tc>
        <w:tc>
          <w:tcPr>
            <w:tcW w:type="dxa" w:w="4464"/>
            <w:tcBorders>
              <w:top w:val="single" w:sz="4" w:color="D9D9D9"/>
              <w:left w:val="single" w:sz="4" w:color="D9D9D9"/>
              <w:bottom w:val="single" w:sz="4" w:color="D9D9D9"/>
              <w:right w:val="single" w:sz="4" w:color="D9D9D9"/>
            </w:tcBorders>
          </w:tcPr>
          <w:p>
            <w:pPr>
              <w:spacing w:after="100" w:before="100"/>
            </w:pPr>
            <w:r>
              <w:rPr>
                <w:b w:val="0"/>
                <w:sz w:val="18"/>
              </w:rPr>
            </w:r>
          </w:p>
        </w:tc>
      </w:tr>
      <w:tr>
        <w:trPr/>
        <w:tc>
          <w:tcPr>
            <w:tcW w:type="dxa" w:w="3168"/>
            <w:tcBorders>
              <w:top w:val="single" w:sz="4" w:color="D9D9D9"/>
              <w:left w:val="single" w:sz="4" w:color="D9D9D9"/>
              <w:bottom w:val="single" w:sz="4" w:color="D9D9D9"/>
              <w:right w:val="single" w:sz="4" w:color="D9D9D9"/>
            </w:tcBorders>
          </w:tcPr>
          <w:p>
            <w:pPr>
              <w:spacing w:after="100" w:before="100"/>
            </w:pPr>
            <w:r>
              <w:rPr>
                <w:b w:val="0"/>
                <w:sz w:val="18"/>
              </w:rPr>
              <w:t>Make a suggestion</w:t>
            </w:r>
          </w:p>
        </w:tc>
        <w:tc>
          <w:tcPr>
            <w:tcW w:type="dxa" w:w="2160"/>
            <w:tcBorders>
              <w:top w:val="single" w:sz="4" w:color="D9D9D9"/>
              <w:left w:val="single" w:sz="4" w:color="D9D9D9"/>
              <w:bottom w:val="single" w:sz="4" w:color="D9D9D9"/>
              <w:right w:val="single" w:sz="4" w:color="D9D9D9"/>
            </w:tcBorders>
          </w:tcPr>
          <w:p>
            <w:pPr>
              <w:spacing w:after="100" w:before="100"/>
            </w:pPr>
            <w:r>
              <w:rPr>
                <w:b w:val="0"/>
                <w:sz w:val="18"/>
              </w:rPr>
              <w:t>Not tested</w:t>
            </w:r>
          </w:p>
        </w:tc>
        <w:tc>
          <w:tcPr>
            <w:tcW w:type="dxa" w:w="4464"/>
            <w:tcBorders>
              <w:top w:val="single" w:sz="4" w:color="D9D9D9"/>
              <w:left w:val="single" w:sz="4" w:color="D9D9D9"/>
              <w:bottom w:val="single" w:sz="4" w:color="D9D9D9"/>
              <w:right w:val="single" w:sz="4" w:color="D9D9D9"/>
            </w:tcBorders>
          </w:tcPr>
          <w:p>
            <w:pPr>
              <w:spacing w:after="100" w:before="100"/>
            </w:pPr>
            <w:r>
              <w:rPr>
                <w:b w:val="0"/>
                <w:sz w:val="18"/>
              </w:rPr>
            </w:r>
          </w:p>
        </w:tc>
      </w:tr>
      <w:tr>
        <w:trPr/>
        <w:tc>
          <w:tcPr>
            <w:tcW w:type="dxa" w:w="3168"/>
            <w:tcBorders>
              <w:top w:val="single" w:sz="4" w:color="D9D9D9"/>
              <w:left w:val="single" w:sz="4" w:color="D9D9D9"/>
              <w:bottom w:val="single" w:sz="4" w:color="D9D9D9"/>
              <w:right w:val="single" w:sz="4" w:color="D9D9D9"/>
            </w:tcBorders>
          </w:tcPr>
          <w:p>
            <w:pPr>
              <w:spacing w:after="100" w:before="100"/>
            </w:pPr>
            <w:r>
              <w:rPr>
                <w:b w:val="0"/>
                <w:sz w:val="18"/>
              </w:rPr>
              <w:t>Interpret private evidence</w:t>
            </w:r>
          </w:p>
        </w:tc>
        <w:tc>
          <w:tcPr>
            <w:tcW w:type="dxa" w:w="2160"/>
            <w:tcBorders>
              <w:top w:val="single" w:sz="4" w:color="D9D9D9"/>
              <w:left w:val="single" w:sz="4" w:color="D9D9D9"/>
              <w:bottom w:val="single" w:sz="4" w:color="D9D9D9"/>
              <w:right w:val="single" w:sz="4" w:color="D9D9D9"/>
            </w:tcBorders>
          </w:tcPr>
          <w:p>
            <w:pPr>
              <w:spacing w:after="100" w:before="100"/>
            </w:pPr>
            <w:r>
              <w:rPr>
                <w:b w:val="0"/>
                <w:sz w:val="18"/>
              </w:rPr>
              <w:t>Not tested</w:t>
            </w:r>
          </w:p>
        </w:tc>
        <w:tc>
          <w:tcPr>
            <w:tcW w:type="dxa" w:w="4464"/>
            <w:tcBorders>
              <w:top w:val="single" w:sz="4" w:color="D9D9D9"/>
              <w:left w:val="single" w:sz="4" w:color="D9D9D9"/>
              <w:bottom w:val="single" w:sz="4" w:color="D9D9D9"/>
              <w:right w:val="single" w:sz="4" w:color="D9D9D9"/>
            </w:tcBorders>
          </w:tcPr>
          <w:p>
            <w:pPr>
              <w:spacing w:after="100" w:before="100"/>
            </w:pPr>
            <w:r>
              <w:rPr>
                <w:b w:val="0"/>
                <w:sz w:val="18"/>
              </w:rPr>
            </w:r>
          </w:p>
        </w:tc>
      </w:tr>
      <w:tr>
        <w:trPr/>
        <w:tc>
          <w:tcPr>
            <w:tcW w:type="dxa" w:w="3168"/>
            <w:tcBorders>
              <w:top w:val="single" w:sz="4" w:color="D9D9D9"/>
              <w:left w:val="single" w:sz="4" w:color="D9D9D9"/>
              <w:bottom w:val="single" w:sz="4" w:color="D9D9D9"/>
              <w:right w:val="single" w:sz="4" w:color="D9D9D9"/>
            </w:tcBorders>
          </w:tcPr>
          <w:p>
            <w:pPr>
              <w:spacing w:after="100" w:before="100"/>
            </w:pPr>
            <w:r>
              <w:rPr>
                <w:b w:val="0"/>
                <w:sz w:val="18"/>
              </w:rPr>
              <w:t>Edit and undo a note</w:t>
            </w:r>
          </w:p>
        </w:tc>
        <w:tc>
          <w:tcPr>
            <w:tcW w:type="dxa" w:w="2160"/>
            <w:tcBorders>
              <w:top w:val="single" w:sz="4" w:color="D9D9D9"/>
              <w:left w:val="single" w:sz="4" w:color="D9D9D9"/>
              <w:bottom w:val="single" w:sz="4" w:color="D9D9D9"/>
              <w:right w:val="single" w:sz="4" w:color="D9D9D9"/>
            </w:tcBorders>
          </w:tcPr>
          <w:p>
            <w:pPr>
              <w:spacing w:after="100" w:before="100"/>
            </w:pPr>
            <w:r>
              <w:rPr>
                <w:b w:val="0"/>
                <w:sz w:val="18"/>
              </w:rPr>
              <w:t>Not tested</w:t>
            </w:r>
          </w:p>
        </w:tc>
        <w:tc>
          <w:tcPr>
            <w:tcW w:type="dxa" w:w="4464"/>
            <w:tcBorders>
              <w:top w:val="single" w:sz="4" w:color="D9D9D9"/>
              <w:left w:val="single" w:sz="4" w:color="D9D9D9"/>
              <w:bottom w:val="single" w:sz="4" w:color="D9D9D9"/>
              <w:right w:val="single" w:sz="4" w:color="D9D9D9"/>
            </w:tcBorders>
          </w:tcPr>
          <w:p>
            <w:pPr>
              <w:spacing w:after="100" w:before="100"/>
            </w:pPr>
            <w:r>
              <w:rPr>
                <w:b w:val="0"/>
                <w:sz w:val="18"/>
              </w:rPr>
            </w:r>
          </w:p>
        </w:tc>
      </w:tr>
      <w:tr>
        <w:trPr/>
        <w:tc>
          <w:tcPr>
            <w:tcW w:type="dxa" w:w="3168"/>
            <w:tcBorders>
              <w:top w:val="single" w:sz="4" w:color="D9D9D9"/>
              <w:left w:val="single" w:sz="4" w:color="D9D9D9"/>
              <w:bottom w:val="single" w:sz="4" w:color="D9D9D9"/>
              <w:right w:val="single" w:sz="4" w:color="D9D9D9"/>
            </w:tcBorders>
          </w:tcPr>
          <w:p>
            <w:pPr>
              <w:spacing w:after="100" w:before="100"/>
            </w:pPr>
            <w:r>
              <w:rPr>
                <w:b w:val="0"/>
                <w:sz w:val="18"/>
              </w:rPr>
              <w:t>Review and cancel accusation</w:t>
            </w:r>
          </w:p>
        </w:tc>
        <w:tc>
          <w:tcPr>
            <w:tcW w:type="dxa" w:w="2160"/>
            <w:tcBorders>
              <w:top w:val="single" w:sz="4" w:color="D9D9D9"/>
              <w:left w:val="single" w:sz="4" w:color="D9D9D9"/>
              <w:bottom w:val="single" w:sz="4" w:color="D9D9D9"/>
              <w:right w:val="single" w:sz="4" w:color="D9D9D9"/>
            </w:tcBorders>
          </w:tcPr>
          <w:p>
            <w:pPr>
              <w:spacing w:after="100" w:before="100"/>
            </w:pPr>
            <w:r>
              <w:rPr>
                <w:b w:val="0"/>
                <w:sz w:val="18"/>
              </w:rPr>
              <w:t>Not tested</w:t>
            </w:r>
          </w:p>
        </w:tc>
        <w:tc>
          <w:tcPr>
            <w:tcW w:type="dxa" w:w="4464"/>
            <w:tcBorders>
              <w:top w:val="single" w:sz="4" w:color="D9D9D9"/>
              <w:left w:val="single" w:sz="4" w:color="D9D9D9"/>
              <w:bottom w:val="single" w:sz="4" w:color="D9D9D9"/>
              <w:right w:val="single" w:sz="4" w:color="D9D9D9"/>
            </w:tcBorders>
          </w:tcPr>
          <w:p>
            <w:pPr>
              <w:spacing w:after="100" w:before="100"/>
            </w:pPr>
            <w:r>
              <w:rPr>
                <w:b w:val="0"/>
                <w:sz w:val="18"/>
              </w:rPr>
            </w:r>
          </w:p>
        </w:tc>
      </w:tr>
    </w:tbl>
    <w:p>
      <w:r>
        <w:t>Ask after each task: How easy was that, from 1 (very difficult) to 5 (very easy)? Why?</w:t>
        <w:br/>
        <w:t>Ask afterwards: How confident did you feel? What was enjoyable or frustrating? Would you play again? What should change first?</w:t>
      </w:r>
    </w:p>
    <w:p>
      <w:r>
        <w:t>Analysis record: Issue __________ Evidence __________ Affected context __________ Severity __________ Proposed revision __________ Retest result __________</w:t>
      </w:r>
    </w:p>
    <w:p>
      <w:r>
        <w:t>Report positive and negative findings after testing. Separate observed behaviour, participant opinion and designer interpretation. Compare actual reactions with the confidence and enjoyment goals; do not complete these fields using predicted answers.</w:t>
      </w:r>
    </w:p>
    <w:sectPr w:rsidR="00FC693F" w:rsidRPr="0006063C" w:rsidSect="00034616">
      <w:pgSz w:w="12240" w:h="15840"/>
      <w:pgMar w:top="1008" w:right="1080" w:bottom="1008"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40" w:line="259" w:lineRule="auto"/>
    </w:pPr>
    <w:rPr>
      <w:rFonts w:ascii="Calibri" w:hAnsi="Calibri"/>
      <w:color w:val="000000"/>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Calibri" w:hAnsi="Calibr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Calibri" w:hAnsi="Calibr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ascii="Calibri" w:hAnsi="Calibr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ascii="Calibri" w:hAnsi="Calibri"/>
      <w:color w:val="000000"/>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ascii="Calibri" w:hAnsi="Calibri"/>
      <w:i/>
      <w:iCs/>
      <w:color w:val="000000"/>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image" Target="media/image1.png"/><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Campus Cluedo User Research and Mobile Interface Design</dc:title>
  <dc:subject/>
  <dc:creator>Yana Eskieva</dc:creator>
  <cp:keywords/>
  <dc:description>generated by python-docx</dc:description>
  <cp:lastModifiedBy/>
  <cp:revision>1</cp:revision>
  <dcterms:created xsi:type="dcterms:W3CDTF">2013-12-23T23:15:00Z</dcterms:created>
  <dcterms:modified xsi:type="dcterms:W3CDTF">2013-12-23T23:15:00Z</dcterms:modified>
  <cp:category/>
</cp:coreProperties>
</file>