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30E0" w14:textId="77777777" w:rsidR="00CF3568" w:rsidRDefault="004D2F90">
      <w:pPr>
        <w:spacing w:line="240" w:lineRule="auto"/>
        <w:jc w:val="center"/>
        <w:rPr>
          <w:sz w:val="32"/>
          <w:szCs w:val="32"/>
        </w:rPr>
      </w:pPr>
      <w:r>
        <w:rPr>
          <w:sz w:val="32"/>
          <w:szCs w:val="32"/>
        </w:rPr>
        <w:t xml:space="preserve"> Module: BMSW5101</w:t>
      </w:r>
    </w:p>
    <w:p w14:paraId="659FBE37" w14:textId="77777777" w:rsidR="00CF3568" w:rsidRDefault="004D2F90">
      <w:pPr>
        <w:spacing w:line="240" w:lineRule="auto"/>
        <w:jc w:val="center"/>
      </w:pPr>
      <w:r>
        <w:rPr>
          <w:sz w:val="32"/>
          <w:szCs w:val="32"/>
        </w:rPr>
        <w:t xml:space="preserve">Name:Ivone Mota </w:t>
      </w:r>
    </w:p>
    <w:p w14:paraId="3C5130B4" w14:textId="77777777" w:rsidR="00CF3568" w:rsidRDefault="004D2F90">
      <w:pPr>
        <w:spacing w:line="240" w:lineRule="auto"/>
        <w:jc w:val="center"/>
      </w:pPr>
      <w:r>
        <w:rPr>
          <w:sz w:val="32"/>
          <w:szCs w:val="32"/>
        </w:rPr>
        <w:t>Student number: 2132598</w:t>
      </w:r>
    </w:p>
    <w:p w14:paraId="11C63260" w14:textId="77777777" w:rsidR="00CF3568" w:rsidRDefault="004D2F90">
      <w:pPr>
        <w:jc w:val="center"/>
        <w:rPr>
          <w:b/>
          <w:sz w:val="40"/>
          <w:szCs w:val="40"/>
        </w:rPr>
      </w:pPr>
      <w:r>
        <w:rPr>
          <w:b/>
          <w:sz w:val="40"/>
          <w:szCs w:val="40"/>
        </w:rPr>
        <w:t>Developing workplace critical thinking</w:t>
      </w:r>
    </w:p>
    <w:p w14:paraId="7B873D33" w14:textId="77777777" w:rsidR="00CF3568" w:rsidRDefault="00CF3568"/>
    <w:p w14:paraId="0E43D3CD" w14:textId="77777777" w:rsidR="00CF3568" w:rsidRDefault="00CF3568"/>
    <w:p w14:paraId="5B212621" w14:textId="77777777" w:rsidR="00CF3568" w:rsidRDefault="00CF3568"/>
    <w:p w14:paraId="21C0A4D8" w14:textId="77777777" w:rsidR="00CF3568" w:rsidRDefault="004D2F90">
      <w:pPr>
        <w:spacing w:line="259" w:lineRule="auto"/>
        <w:jc w:val="left"/>
      </w:pPr>
      <w:r>
        <w:br w:type="page"/>
      </w:r>
    </w:p>
    <w:p w14:paraId="7680B8AC" w14:textId="77777777" w:rsidR="00CF3568" w:rsidRDefault="004D2F90">
      <w:pPr>
        <w:keepNext/>
        <w:keepLines/>
        <w:pBdr>
          <w:top w:val="nil"/>
          <w:left w:val="nil"/>
          <w:bottom w:val="nil"/>
          <w:right w:val="nil"/>
          <w:between w:val="nil"/>
        </w:pBdr>
        <w:spacing w:before="240" w:after="0" w:line="259" w:lineRule="auto"/>
        <w:jc w:val="left"/>
        <w:rPr>
          <w:color w:val="2F5496"/>
          <w:sz w:val="32"/>
          <w:szCs w:val="32"/>
        </w:rPr>
      </w:pPr>
      <w:r>
        <w:rPr>
          <w:color w:val="2F5496"/>
          <w:sz w:val="32"/>
          <w:szCs w:val="32"/>
        </w:rPr>
        <w:t>Contents</w:t>
      </w:r>
    </w:p>
    <w:sdt>
      <w:sdtPr>
        <w:id w:val="-737709774"/>
        <w:docPartObj>
          <w:docPartGallery w:val="Table of Contents"/>
          <w:docPartUnique/>
        </w:docPartObj>
      </w:sdtPr>
      <w:sdtEndPr/>
      <w:sdtContent>
        <w:p w14:paraId="4339A641" w14:textId="77777777" w:rsidR="00CF3568" w:rsidRDefault="004D2F90">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b/>
                <w:color w:val="000000"/>
              </w:rPr>
              <w:t>Introduction</w:t>
            </w:r>
            <w:r>
              <w:rPr>
                <w:b/>
                <w:color w:val="000000"/>
              </w:rPr>
              <w:tab/>
              <w:t>3</w:t>
            </w:r>
          </w:hyperlink>
        </w:p>
        <w:p w14:paraId="15ABEA8D" w14:textId="77777777" w:rsidR="00CF3568" w:rsidRDefault="00E7720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0j0zll">
            <w:r w:rsidR="004D2F90">
              <w:rPr>
                <w:b/>
                <w:color w:val="000000"/>
              </w:rPr>
              <w:t>Part 01- Report</w:t>
            </w:r>
            <w:r w:rsidR="004D2F90">
              <w:rPr>
                <w:b/>
                <w:color w:val="000000"/>
              </w:rPr>
              <w:tab/>
              <w:t>4</w:t>
            </w:r>
          </w:hyperlink>
        </w:p>
        <w:p w14:paraId="7F51DC04"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fob9te">
            <w:r w:rsidR="004D2F90">
              <w:rPr>
                <w:color w:val="000000"/>
              </w:rPr>
              <w:t>Introduction</w:t>
            </w:r>
            <w:r w:rsidR="004D2F90">
              <w:rPr>
                <w:color w:val="000000"/>
              </w:rPr>
              <w:tab/>
              <w:t>4</w:t>
            </w:r>
          </w:hyperlink>
        </w:p>
        <w:p w14:paraId="02727985"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znysh7">
            <w:r w:rsidR="004D2F90">
              <w:rPr>
                <w:color w:val="000000"/>
              </w:rPr>
              <w:t>Overview of Sainsbury</w:t>
            </w:r>
            <w:r w:rsidR="004D2F90">
              <w:rPr>
                <w:color w:val="000000"/>
              </w:rPr>
              <w:tab/>
              <w:t>4</w:t>
            </w:r>
          </w:hyperlink>
        </w:p>
        <w:p w14:paraId="7CACA4BA"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et92p0">
            <w:r w:rsidR="004D2F90">
              <w:rPr>
                <w:color w:val="000000"/>
              </w:rPr>
              <w:t>Importance of Critical Thinking within the Organisation</w:t>
            </w:r>
            <w:r w:rsidR="004D2F90">
              <w:rPr>
                <w:color w:val="000000"/>
              </w:rPr>
              <w:tab/>
              <w:t>5</w:t>
            </w:r>
          </w:hyperlink>
        </w:p>
        <w:p w14:paraId="0638635F"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tyjcwt">
            <w:r w:rsidR="004D2F90">
              <w:rPr>
                <w:color w:val="000000"/>
              </w:rPr>
              <w:t>Beliefs, Attitudes, and Values at Sainsbury's</w:t>
            </w:r>
            <w:r w:rsidR="004D2F90">
              <w:rPr>
                <w:color w:val="000000"/>
              </w:rPr>
              <w:tab/>
              <w:t>6</w:t>
            </w:r>
          </w:hyperlink>
        </w:p>
        <w:p w14:paraId="3C48D7DA"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dy6vkm">
            <w:r w:rsidR="004D2F90">
              <w:rPr>
                <w:color w:val="000000"/>
              </w:rPr>
              <w:t>Sainsbury's Employee Beliefs, Attitudes, &amp; Values: Pandemic-Era Workplace Impact</w:t>
            </w:r>
            <w:r w:rsidR="004D2F90">
              <w:rPr>
                <w:color w:val="000000"/>
              </w:rPr>
              <w:tab/>
              <w:t>7</w:t>
            </w:r>
          </w:hyperlink>
        </w:p>
        <w:p w14:paraId="518DA3B4"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t3h5sf">
            <w:r w:rsidR="004D2F90">
              <w:rPr>
                <w:color w:val="000000"/>
              </w:rPr>
              <w:t>Interpreting Management Theories Through Diverse Beliefs, Attitudes, and Values in the Context of Sainsbury's and the COVID-19 Pandemic</w:t>
            </w:r>
            <w:r w:rsidR="004D2F90">
              <w:rPr>
                <w:color w:val="000000"/>
              </w:rPr>
              <w:tab/>
              <w:t>8</w:t>
            </w:r>
          </w:hyperlink>
        </w:p>
        <w:p w14:paraId="41CE249B"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4d34og8">
            <w:r w:rsidR="004D2F90">
              <w:rPr>
                <w:color w:val="000000"/>
              </w:rPr>
              <w:t>Applying Critical Thinking Models to Analyse Workplace Dynamics Amid COVID-19</w:t>
            </w:r>
            <w:r w:rsidR="004D2F90">
              <w:rPr>
                <w:color w:val="000000"/>
              </w:rPr>
              <w:tab/>
              <w:t>9</w:t>
            </w:r>
          </w:hyperlink>
        </w:p>
        <w:p w14:paraId="1C5F1D96"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s8eyo1">
            <w:r w:rsidR="004D2F90">
              <w:rPr>
                <w:color w:val="000000"/>
              </w:rPr>
              <w:t>Recommendations for Post-COVID Organisational Changes at Sainsbury's</w:t>
            </w:r>
            <w:r w:rsidR="004D2F90">
              <w:rPr>
                <w:color w:val="000000"/>
              </w:rPr>
              <w:tab/>
              <w:t>11</w:t>
            </w:r>
          </w:hyperlink>
        </w:p>
        <w:p w14:paraId="07FEBDB7"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7dp8vu">
            <w:r w:rsidR="004D2F90">
              <w:rPr>
                <w:color w:val="000000"/>
              </w:rPr>
              <w:t>Conclusion</w:t>
            </w:r>
            <w:r w:rsidR="004D2F90">
              <w:rPr>
                <w:color w:val="000000"/>
              </w:rPr>
              <w:tab/>
              <w:t>12</w:t>
            </w:r>
          </w:hyperlink>
        </w:p>
        <w:p w14:paraId="52C0CE20" w14:textId="77777777" w:rsidR="00CF3568" w:rsidRDefault="00E7720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rdcrjn">
            <w:r w:rsidR="004D2F90">
              <w:rPr>
                <w:b/>
                <w:color w:val="000000"/>
              </w:rPr>
              <w:t>Part 02- Reflective Journal</w:t>
            </w:r>
            <w:r w:rsidR="004D2F90">
              <w:rPr>
                <w:b/>
                <w:color w:val="000000"/>
              </w:rPr>
              <w:tab/>
              <w:t>13</w:t>
            </w:r>
          </w:hyperlink>
        </w:p>
        <w:p w14:paraId="49B087C1"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6in1rg">
            <w:r w:rsidR="004D2F90">
              <w:rPr>
                <w:color w:val="000000"/>
              </w:rPr>
              <w:t>Introduction: Navigating the Complexities of Beliefs, Attitudes, &amp; Values in the Workplace</w:t>
            </w:r>
            <w:r w:rsidR="004D2F90">
              <w:rPr>
                <w:color w:val="000000"/>
              </w:rPr>
              <w:tab/>
              <w:t>13</w:t>
            </w:r>
          </w:hyperlink>
        </w:p>
        <w:p w14:paraId="1454C0B2"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lnxbz9">
            <w:r w:rsidR="004D2F90">
              <w:rPr>
                <w:color w:val="000000"/>
              </w:rPr>
              <w:t>Understanding the Underlying Elements</w:t>
            </w:r>
            <w:r w:rsidR="004D2F90">
              <w:rPr>
                <w:color w:val="000000"/>
              </w:rPr>
              <w:tab/>
              <w:t>13</w:t>
            </w:r>
          </w:hyperlink>
        </w:p>
        <w:p w14:paraId="12712E61"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5nkun2">
            <w:r w:rsidR="004D2F90">
              <w:rPr>
                <w:color w:val="000000"/>
              </w:rPr>
              <w:t>Weeks 1-3: Laying the Foundation</w:t>
            </w:r>
            <w:r w:rsidR="004D2F90">
              <w:rPr>
                <w:color w:val="000000"/>
              </w:rPr>
              <w:tab/>
              <w:t>13</w:t>
            </w:r>
          </w:hyperlink>
        </w:p>
        <w:p w14:paraId="1B0CFE2E"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ksv4uv">
            <w:r w:rsidR="004D2F90">
              <w:rPr>
                <w:color w:val="000000"/>
              </w:rPr>
              <w:t>Weeks 4-6: Introspection and Organisational Alignment</w:t>
            </w:r>
            <w:r w:rsidR="004D2F90">
              <w:rPr>
                <w:color w:val="000000"/>
              </w:rPr>
              <w:tab/>
              <w:t>14</w:t>
            </w:r>
          </w:hyperlink>
        </w:p>
        <w:p w14:paraId="5C7FF45D"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44sinio">
            <w:r w:rsidR="004D2F90">
              <w:rPr>
                <w:color w:val="000000"/>
              </w:rPr>
              <w:t>Weeks 7-9: Applying Critical Analysis</w:t>
            </w:r>
            <w:r w:rsidR="004D2F90">
              <w:rPr>
                <w:color w:val="000000"/>
              </w:rPr>
              <w:tab/>
              <w:t>16</w:t>
            </w:r>
          </w:hyperlink>
        </w:p>
        <w:p w14:paraId="33CE82D4"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jxsxqh">
            <w:r w:rsidR="004D2F90">
              <w:rPr>
                <w:color w:val="000000"/>
              </w:rPr>
              <w:t>Synthesis and Growth</w:t>
            </w:r>
            <w:r w:rsidR="004D2F90">
              <w:rPr>
                <w:color w:val="000000"/>
              </w:rPr>
              <w:tab/>
              <w:t>17</w:t>
            </w:r>
          </w:hyperlink>
        </w:p>
        <w:p w14:paraId="147DE033" w14:textId="77777777" w:rsidR="00CF3568" w:rsidRDefault="00E7720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z337ya">
            <w:r w:rsidR="004D2F90">
              <w:rPr>
                <w:color w:val="000000"/>
              </w:rPr>
              <w:t>Concluding Remark of the Holistic Journey</w:t>
            </w:r>
            <w:r w:rsidR="004D2F90">
              <w:rPr>
                <w:color w:val="000000"/>
              </w:rPr>
              <w:tab/>
              <w:t>18</w:t>
            </w:r>
          </w:hyperlink>
        </w:p>
        <w:p w14:paraId="3C0ECE8F" w14:textId="77777777" w:rsidR="00CF3568" w:rsidRDefault="00E7720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j2qqm3">
            <w:r w:rsidR="004D2F90">
              <w:rPr>
                <w:b/>
                <w:color w:val="000000"/>
              </w:rPr>
              <w:t>Conclusion</w:t>
            </w:r>
            <w:r w:rsidR="004D2F90">
              <w:rPr>
                <w:b/>
                <w:color w:val="000000"/>
              </w:rPr>
              <w:tab/>
              <w:t>19</w:t>
            </w:r>
          </w:hyperlink>
        </w:p>
        <w:p w14:paraId="1F17091C" w14:textId="77777777" w:rsidR="00CF3568" w:rsidRDefault="00E7720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y810tw">
            <w:r w:rsidR="004D2F90">
              <w:rPr>
                <w:b/>
                <w:color w:val="000000"/>
              </w:rPr>
              <w:t>References</w:t>
            </w:r>
            <w:r w:rsidR="004D2F90">
              <w:rPr>
                <w:b/>
                <w:color w:val="000000"/>
              </w:rPr>
              <w:tab/>
              <w:t>20</w:t>
            </w:r>
          </w:hyperlink>
        </w:p>
        <w:p w14:paraId="51C543BF" w14:textId="77777777" w:rsidR="00CF3568" w:rsidRDefault="004D2F90">
          <w:r>
            <w:fldChar w:fldCharType="end"/>
          </w:r>
        </w:p>
      </w:sdtContent>
    </w:sdt>
    <w:p w14:paraId="17C4E8A8" w14:textId="77777777" w:rsidR="00CF3568" w:rsidRDefault="004D2F90">
      <w:pPr>
        <w:pStyle w:val="Heading1"/>
      </w:pPr>
      <w:bookmarkStart w:id="0" w:name="_gjdgxs" w:colFirst="0" w:colLast="0"/>
      <w:bookmarkEnd w:id="0"/>
      <w:r>
        <w:t>Introduction</w:t>
      </w:r>
    </w:p>
    <w:p w14:paraId="781E2894" w14:textId="77777777" w:rsidR="00CF3568" w:rsidRDefault="004D2F90">
      <w:r>
        <w:t>The complex interaction of beliefs, attitudes, and values provides insight into workplace behaviour, culture, and resilience in today's fast-paced enterprises. An in-depth report on the effects of these factors within the context of a selected Organisation is combined with a reflective learning notebook recording individual insights gained from weekly sessions to form this all-encompassing assignment. Organisational attitudes and the transforming impact of post-COVID adaptation are explored as the report delves into the intricacies of building resilient enterprises. Introspection, self-evaluation, and the use of critical thinking frameworks are all part of the unfolding personal growth tale that the reflective notebook reveals at the same time. These parts, taken as a whole, provide a more complete picture, one that considers both the macro and micro levels of Organisational and personal growth.</w:t>
      </w:r>
    </w:p>
    <w:p w14:paraId="3807B4C5" w14:textId="77777777" w:rsidR="00CF3568" w:rsidRDefault="00CF3568"/>
    <w:p w14:paraId="1AAEBEEA" w14:textId="77777777" w:rsidR="00CF3568" w:rsidRDefault="00CF3568"/>
    <w:p w14:paraId="3CDEC637" w14:textId="77777777" w:rsidR="00CF3568" w:rsidRDefault="004D2F90">
      <w:pPr>
        <w:spacing w:line="259" w:lineRule="auto"/>
        <w:jc w:val="left"/>
      </w:pPr>
      <w:r>
        <w:br w:type="page"/>
      </w:r>
    </w:p>
    <w:p w14:paraId="4966F017" w14:textId="77777777" w:rsidR="00CF3568" w:rsidRDefault="004D2F90">
      <w:pPr>
        <w:pStyle w:val="Heading1"/>
      </w:pPr>
      <w:bookmarkStart w:id="1" w:name="_30j0zll" w:colFirst="0" w:colLast="0"/>
      <w:bookmarkEnd w:id="1"/>
      <w:r>
        <w:t>Part 01- Report</w:t>
      </w:r>
    </w:p>
    <w:p w14:paraId="0D158078" w14:textId="77777777" w:rsidR="00CF3568" w:rsidRDefault="004D2F90">
      <w:pPr>
        <w:pStyle w:val="Heading2"/>
      </w:pPr>
      <w:bookmarkStart w:id="2" w:name="_1fob9te" w:colFirst="0" w:colLast="0"/>
      <w:bookmarkEnd w:id="2"/>
      <w:r>
        <w:t>Introduction</w:t>
      </w:r>
    </w:p>
    <w:p w14:paraId="0CEE3478" w14:textId="77777777" w:rsidR="00CF3568" w:rsidRDefault="004D2F90">
      <w:r>
        <w:t xml:space="preserve">Sainsbury's has been chosen to illustrate the understanding of this report where I have an interest in analysing the leadership and management activities of this leading superstore. Companies like Sainsbury's face tremendous challenges in a dynamic market affected by the COVID-19 epidemic (Pantano, 2020). In this report, we explore the complex relationship between an Organisation's culture and its values. This investigation gives insights into proposed adjustments that can improve adaptation, resilience, and success in the changing post-COVID environment by examining their impact on workplace behaviour and matching them with management theories. </w:t>
      </w:r>
    </w:p>
    <w:p w14:paraId="295F8DE7" w14:textId="77777777" w:rsidR="00CF3568" w:rsidRDefault="00CF3568"/>
    <w:p w14:paraId="51D39422" w14:textId="77777777" w:rsidR="00CF3568" w:rsidRDefault="004D2F90">
      <w:pPr>
        <w:pStyle w:val="Heading2"/>
      </w:pPr>
      <w:bookmarkStart w:id="3" w:name="_3znysh7" w:colFirst="0" w:colLast="0"/>
      <w:bookmarkEnd w:id="3"/>
      <w:r>
        <w:t>Overview of Sainsbury</w:t>
      </w:r>
    </w:p>
    <w:p w14:paraId="3CE6C58D" w14:textId="77777777" w:rsidR="00CF3568" w:rsidRDefault="004D2F90">
      <w:r>
        <w:t>Sainsbury's, a major British grocery business, has been selected as the subject of this investigation. Sainsbury's is a formidable competitor in the grocery store market because of its long history and large footprint. The British grocery business Sainsbury's is well renowned for its extensive assortment of high-quality products, excellent customer service, and active involvement in environmental preservation initiatives (Aluko, 2017). Because of its important position in the fiercely competitive British retail sector, the corporation has its corporate headquarters in London. The following sections of this essay examine how Organisational beliefs, attitudes, and value systems at Sainsbury's influence employee behaviour at work as well as the company's strategy transition to a post-COVID mentality as a means of overcoming present challenges and fortifying internal resilience.</w:t>
      </w:r>
    </w:p>
    <w:p w14:paraId="7C358CF5" w14:textId="77777777" w:rsidR="00CF3568" w:rsidRDefault="00CF3568"/>
    <w:p w14:paraId="2D6D91EF" w14:textId="77777777" w:rsidR="00CF3568" w:rsidRDefault="00CF3568"/>
    <w:p w14:paraId="5F844C1F" w14:textId="77777777" w:rsidR="00CF3568" w:rsidRDefault="00CF3568"/>
    <w:p w14:paraId="71693A58" w14:textId="77777777" w:rsidR="00CF3568" w:rsidRDefault="00CF3568"/>
    <w:p w14:paraId="6CF03030" w14:textId="77777777" w:rsidR="00CF3568" w:rsidRDefault="004D2F90">
      <w:pPr>
        <w:spacing w:line="259" w:lineRule="auto"/>
        <w:jc w:val="left"/>
      </w:pPr>
      <w:r>
        <w:br w:type="page"/>
      </w:r>
    </w:p>
    <w:p w14:paraId="557582C5" w14:textId="77777777" w:rsidR="00CF3568" w:rsidRDefault="004D2F90">
      <w:pPr>
        <w:pStyle w:val="Heading2"/>
      </w:pPr>
      <w:bookmarkStart w:id="4" w:name="_2et92p0" w:colFirst="0" w:colLast="0"/>
      <w:bookmarkEnd w:id="4"/>
      <w:r>
        <w:t>Importance of Critical Thinking within the Organisation</w:t>
      </w:r>
    </w:p>
    <w:p w14:paraId="1826979C" w14:textId="77777777" w:rsidR="00CF3568" w:rsidRDefault="004D2F90">
      <w:r>
        <w:t>Sainsbury's is a well-known supermarket chain with a long and illustrious history in the retail industry. It was formed in the United Kingdom (Sainsbury's, 2023). The well-known British grocery business Sainsbury's is praised for its extensive assortment of high-quality goods, laser-like emphasis on providing excellent customer service, and forward-thinking attitude toward environmental responsibility. The company's headquarters are in London, which reflects the company's significance in the British retail market.</w:t>
      </w:r>
    </w:p>
    <w:p w14:paraId="1B92FF8F" w14:textId="77777777" w:rsidR="00CF3568" w:rsidRDefault="004D2F90">
      <w:r>
        <w:t>Following the extraordinary COVID-19 outbreak and subsequent store-wide lockdowns, critical thinking has been elevated to a core skill at Sainsbury's. Quick thinking, inventive problem-solving, and the ability to deal with uncertainty were all required given the situation (Lai, 2017). The ability to think critically has helped the staff at Sainsbury's evaluate circumstances, weigh risks, and develop novel approaches. The ability to critically examine data, foresee trends, and make informed decisions became crucial as supply chains experienced disruptions and customer behaviours changed radically.</w:t>
      </w:r>
    </w:p>
    <w:p w14:paraId="7162DA27" w14:textId="77777777" w:rsidR="00CF3568" w:rsidRDefault="004D2F90">
      <w:r>
        <w:t>At Sainsbury's, a culture of resilience has been established in part because of an emphasis on critical thinking. The group's ability to critically think through problems has resulted in a timely revaluation of plans, fast implementation of operational adjustments, and a focus on safety during lockdowns (Bhatti, 2020). Sainsbury's has been able to quickly adapt to shifting government rules and consumer needs because of the team's improved communication and teamwork thanks to this capability.</w:t>
      </w:r>
    </w:p>
    <w:p w14:paraId="7857F5C3" w14:textId="77777777" w:rsidR="00CF3568" w:rsidRDefault="004D2F90">
      <w:r>
        <w:t>The crucial importance of critical thinking within Sainsbury's has been highlighted by the recent COVID-19 outbreak. It has shown how important it is to train workers to be flexible, creative, and able to make sound judgments even when faced with ambiguity (Lai, 2017). Cultivating critical thinking remains fundamental to Sainsbury's resilience, expansion, and sustained success in an ever-changing retail sector as the company deals with the fallout from the epidemic and prepares for future difficulties.</w:t>
      </w:r>
    </w:p>
    <w:p w14:paraId="617C33BF" w14:textId="77777777" w:rsidR="00CF3568" w:rsidRDefault="004D2F90">
      <w:pPr>
        <w:spacing w:line="259" w:lineRule="auto"/>
        <w:jc w:val="left"/>
      </w:pPr>
      <w:r>
        <w:br w:type="page"/>
      </w:r>
    </w:p>
    <w:p w14:paraId="74DA149A" w14:textId="77777777" w:rsidR="00CF3568" w:rsidRDefault="004D2F90">
      <w:pPr>
        <w:pStyle w:val="Heading2"/>
      </w:pPr>
      <w:bookmarkStart w:id="5" w:name="_tyjcwt" w:colFirst="0" w:colLast="0"/>
      <w:bookmarkEnd w:id="5"/>
      <w:r>
        <w:t>Beliefs, Attitudes, and Values at Sainsbury's</w:t>
      </w:r>
    </w:p>
    <w:p w14:paraId="6D555F90" w14:textId="77777777" w:rsidR="00CF3568" w:rsidRDefault="004D2F90">
      <w:r>
        <w:t>Workplace culture and conduct are heavily influenced by people's beliefs, attitudes, and values. Employees' perspectives, participation, and contributions to the workplace are all shaped by these factors to varying degrees. Let's examine the divergences in workplace views, attitudes, and values:</w:t>
      </w:r>
    </w:p>
    <w:p w14:paraId="7F400EAB" w14:textId="77777777" w:rsidR="00CF3568" w:rsidRDefault="004D2F90">
      <w:r>
        <w:rPr>
          <w:b/>
        </w:rPr>
        <w:t>Beliefs at Sainsbury's:</w:t>
      </w:r>
      <w:r>
        <w:t xml:space="preserve"> Employees at Sainsbury's may have their own opinions regarding the extent to which the company values product and customer satisfaction. Customer and staff experiences, as well as the company's public image, contribute to the formation of these opinions (Akter, 2012). For instance, if a worker is under the impression that Sainsbury's values supplying fresh and sustainable goods to customers, they are more likely to prioritize doing so in their work.</w:t>
      </w:r>
    </w:p>
    <w:p w14:paraId="577FC3F6" w14:textId="77777777" w:rsidR="00CF3568" w:rsidRDefault="004D2F90">
      <w:r>
        <w:rPr>
          <w:b/>
        </w:rPr>
        <w:t>Attitudes at Sainsbury's:</w:t>
      </w:r>
      <w:r>
        <w:t xml:space="preserve"> The way staff at Sainsbury's think about their jobs and interact with customers might be affected by the company's culture (Anglim, 2019). An employee with a pro-teamwork mindset would look for ways to collaborate with coworkers to solve problems or provide better service to customers. An employee's unfavourable outlook on change might have a chilling effect on the Organisation's ability to adapt to novel circumstances.</w:t>
      </w:r>
    </w:p>
    <w:p w14:paraId="5B8D885C" w14:textId="77777777" w:rsidR="00CF3568" w:rsidRDefault="004D2F90">
      <w:r>
        <w:rPr>
          <w:b/>
        </w:rPr>
        <w:t>Values at Sainsbury's:</w:t>
      </w:r>
      <w:r>
        <w:t xml:space="preserve"> Employees at Sainsbury's are expected to conduct themselves in accordance with the company's values (Jones, 2018). An employee that places a premium on honesty would likely prefer open and honest communication with both customers and coworkers. The commitment of Sainsbury to sustainability has the potential to influence staff attitudes and behaviour in ways that are advantageous to the environment, the neighbourhood, and the business as a whole.</w:t>
      </w:r>
    </w:p>
    <w:p w14:paraId="5FB52303" w14:textId="77777777" w:rsidR="00CF3568" w:rsidRDefault="004D2F90">
      <w:r>
        <w:rPr>
          <w:b/>
        </w:rPr>
        <w:t>Analysing the Differences at Sainsbury's:</w:t>
      </w:r>
      <w:r>
        <w:t xml:space="preserve"> An employee may take delight in offering consumers great service if they have confidence in the company's commitment to quality. This reflects Sainsbury's commitment to its customers. The values of Sainsbury's, such as community involvement, might have an impact on how employees think. Participation in volunteer activities may show how an employee embodies both their own beliefs and those of the Organisation (Akter, 2012). The common beliefs, behaviours, and values of Sainsbury's employees form the foundation of corporate culture. By balancing these variables, Sainsbury's will be able to create an office environment that promotes politeness, customer focus, and adherence to the fundamental principles that define the Organisation.</w:t>
      </w:r>
    </w:p>
    <w:p w14:paraId="430D1204" w14:textId="77777777" w:rsidR="00CF3568" w:rsidRDefault="004D2F90">
      <w:pPr>
        <w:pStyle w:val="Heading2"/>
      </w:pPr>
      <w:bookmarkStart w:id="6" w:name="_3dy6vkm" w:colFirst="0" w:colLast="0"/>
      <w:bookmarkEnd w:id="6"/>
      <w:r>
        <w:t>Sainsbury's Employee Beliefs, Attitudes, &amp; Values: Pandemic-Era Workplace Impact</w:t>
      </w:r>
    </w:p>
    <w:p w14:paraId="6778FAD1" w14:textId="77777777" w:rsidR="00CF3568" w:rsidRDefault="004D2F90">
      <w:r>
        <w:t>After the COVID-19 pandemic, it is more crucial than ever for individuals to examine their worldviews and comprehend how they influence their behaviour at work. Let's explore this assessment in the context of Sainsbury's employees:</w:t>
      </w:r>
    </w:p>
    <w:p w14:paraId="273B1C30" w14:textId="77777777" w:rsidR="00CF3568" w:rsidRDefault="004D2F90">
      <w:r>
        <w:rPr>
          <w:b/>
        </w:rPr>
        <w:t>Beliefs:</w:t>
      </w:r>
      <w:r>
        <w:t xml:space="preserve"> Staff members at Sainsbury's may have preconceived views regarding the company's capacity to address a pandemic, guarantee the safety of its personnel, and adjust to novel circumstances (Ypapanti, 2021). Employees of Sainsbury's who feel that the company values them as people are more likely to take workplace safety seriously. Workers may act more carefully or express concerns about their working conditions if they are unsure about the company's commitment, on the other hand.</w:t>
      </w:r>
    </w:p>
    <w:p w14:paraId="21B5255F" w14:textId="77777777" w:rsidR="00CF3568" w:rsidRDefault="004D2F90">
      <w:r>
        <w:rPr>
          <w:b/>
        </w:rPr>
        <w:t>Attitudes:</w:t>
      </w:r>
      <w:r>
        <w:t xml:space="preserve"> Different attitudes among Sainsbury's employees may be seen depending on how seriously they view the pandemic threat. Those that are open-minded and eager to learn might be fast to incorporate new safety measures and make routine improvements. Employees with a gloomy view, on the other hand, can be more resistant to changes or more outspoken about their dissatisfaction as a result of the pandemic. </w:t>
      </w:r>
    </w:p>
    <w:p w14:paraId="3D676F60" w14:textId="77777777" w:rsidR="00CF3568" w:rsidRDefault="004D2F90">
      <w:r>
        <w:rPr>
          <w:b/>
        </w:rPr>
        <w:t>Values:</w:t>
      </w:r>
      <w:r>
        <w:t xml:space="preserve"> Employee behaviour during the epidemic may be influenced by Sainsbury's fundamental values, which include putting the needs of the customer first and participating in the community (Sharma, 2022). Strongly concerned staff members could go above and beyond to ensure that clients are safe inside the store. Teamwork-oriented employees may be more willing to cooperate to meet the problems posed by the pandemic. </w:t>
      </w:r>
    </w:p>
    <w:p w14:paraId="442882C0" w14:textId="77777777" w:rsidR="00CF3568" w:rsidRDefault="004D2F90">
      <w:r>
        <w:rPr>
          <w:b/>
        </w:rPr>
        <w:t xml:space="preserve">Impact on Workplace Behaviour: </w:t>
      </w:r>
      <w:r>
        <w:t>During the pandemic, people's activities at work are greatly influenced by the critical assessment of their own beliefs, attitudes, and values. Trust in the company's decisions is more likely to be exhibited by workers whose values are congruent with those of the business (Ypapanti, 2021). The ability to sustain high levels of customer service in a socially distancing atmosphere, for example, may be the consequence of a proactive approach to problem-solving and creativity prompted by a belief in one's adaptability and resilience.</w:t>
      </w:r>
    </w:p>
    <w:p w14:paraId="612CE786" w14:textId="77777777" w:rsidR="00CF3568" w:rsidRDefault="004D2F90">
      <w:r>
        <w:t>Staff members who share the company's commitment to, say, community participation, may be encouraged to take an active role in relief efforts aimed at assisting their neighbourhoods. However, inconsistencies in conduct and decreased motivation may result from a misalignment of individual attitudes and those of the company. Sainsbury's staff should think carefully about their own personal views, attitudes, and values in light of the epidemic, as these will shape the company's overall reaction. Employees can adjust their behaviour and contribute to a coherent response by first identifying areas of alignment and then potential inconsistencies. By taking stock of how their thoughts and attitudes affect the company as a whole, Sainsbury's employees can help it weather these trying times with greater fortitude and success.</w:t>
      </w:r>
    </w:p>
    <w:p w14:paraId="12BAEF7A" w14:textId="77777777" w:rsidR="00CF3568" w:rsidRDefault="00CF3568"/>
    <w:p w14:paraId="2881CF19" w14:textId="77777777" w:rsidR="00CF3568" w:rsidRDefault="00CF3568">
      <w:pPr>
        <w:spacing w:line="259" w:lineRule="auto"/>
        <w:jc w:val="left"/>
      </w:pPr>
    </w:p>
    <w:p w14:paraId="16F2B944" w14:textId="77777777" w:rsidR="00CF3568" w:rsidRDefault="004D2F90">
      <w:pPr>
        <w:pStyle w:val="Heading2"/>
      </w:pPr>
      <w:bookmarkStart w:id="7" w:name="_1t3h5sf" w:colFirst="0" w:colLast="0"/>
      <w:bookmarkEnd w:id="7"/>
      <w:r>
        <w:t>Interpreting Management Theories Through Diverse Beliefs, Attitudes, and Values in the Context of Sainsbury's and the COVID-19 Pandemic</w:t>
      </w:r>
    </w:p>
    <w:p w14:paraId="78BA2E9B" w14:textId="77777777" w:rsidR="00CF3568" w:rsidRDefault="004D2F90">
      <w:r>
        <w:t>In this in-depth study, we examine how a critical review of management theories can be used to elucidate how people's unique worldviews shape their understanding of a given theory (Eagly, 2017). Our attention is narrowed to a single management theory, the Contingency Theory, in light of the numerous problems caused by the ongoing COVID-19 epidemic.</w:t>
      </w:r>
    </w:p>
    <w:p w14:paraId="199AE666" w14:textId="77777777" w:rsidR="00CF3568" w:rsidRDefault="004D2F90">
      <w:r>
        <w:rPr>
          <w:b/>
        </w:rPr>
        <w:t>Contingency Theory:</w:t>
      </w:r>
      <w:r>
        <w:t xml:space="preserve"> A cornerstone of contemporary management theory, the Contingency Theory emphasizes the idea that Organisations are inherently dynamic systems that cannot be managed with a cookie-cutter approach (McAdam, 2019). It emphasizes the need of considering the current situation when determining the best approach to management. Exploring the pandemic landscape via the lens of employees' divergent interpretations of this hypothesis reveals a complex and nuanced scene.</w:t>
      </w:r>
    </w:p>
    <w:p w14:paraId="668594B8" w14:textId="77777777" w:rsidR="00CF3568" w:rsidRDefault="004D2F90">
      <w:r>
        <w:rPr>
          <w:b/>
        </w:rPr>
        <w:t>Interpretation based on Beliefs:</w:t>
      </w:r>
      <w:r>
        <w:t xml:space="preserve"> The Contingency Theory has a strong emotional resonance for a worker who strongly believes in the importance of flexibility and adaptability (Mikes, 2014). This person may see the hypothesis as conclusive proof that it is essential to adjust managerial tactics in light of the novel difficulties posed by the pandemic. Such convictions foster an innate respect for the theory's claim that effective management requires adapting methods to the unique circumstances at hand.</w:t>
      </w:r>
    </w:p>
    <w:p w14:paraId="2DA7437E" w14:textId="77777777" w:rsidR="00CF3568" w:rsidRDefault="004D2F90">
      <w:r>
        <w:rPr>
          <w:b/>
        </w:rPr>
        <w:t>Interpretation based on Attitudes:</w:t>
      </w:r>
      <w:r>
        <w:t xml:space="preserve"> The philosophy of the Contingency Theory strongly resonates with a worker who has a healthy respect for change (Jones, 2018). This person may see it as a rallying cry to constantly evaluate the changing scenario and adjust management strategies accordingly. Their outlook on adaptation is consistent with the theory's core tenants, as they see it as a method for making well-informed choices under conditions of uncertainty.</w:t>
      </w:r>
    </w:p>
    <w:p w14:paraId="04D4FACA" w14:textId="77777777" w:rsidR="00CF3568" w:rsidRDefault="004D2F90">
      <w:r>
        <w:rPr>
          <w:b/>
        </w:rPr>
        <w:t>Interpretation based on Values:</w:t>
      </w:r>
      <w:r>
        <w:t xml:space="preserve"> Employees that place a premium on innovation, flexibility, and dynamic problem-solving are naturally drawn to the Contingency Theory and its potential as a source of inspiration for novel approaches (Bhatti, 2020). They pick up on the underlying recognition that in uncertain times, development may be stymied by a dogmatic devotion to a single management method. These people discover common ground between their innate beliefs and the theory's paradigm because their values are inextricably tied to the theory's emphasis on building personalized methods.</w:t>
      </w:r>
    </w:p>
    <w:p w14:paraId="79A5CBD4" w14:textId="77777777" w:rsidR="00CF3568" w:rsidRDefault="004D2F90">
      <w:r>
        <w:t>On the other hand, the Contingency Theory is approached with some care by those who place a premium on consistency and stability. Their reading emphasizes the risks associated with constant shifts in leadership, especially in times of crisis. Despite the theory's rallying cry for adaptation, such people, in keeping with their principles, may prefer more traditional techniques. The conflict that emerges when people's views, attitudes, and values are at odds with the theory is highlighted by their point of view.</w:t>
      </w:r>
    </w:p>
    <w:p w14:paraId="688989E9" w14:textId="77777777" w:rsidR="00CF3568" w:rsidRDefault="00CF3568">
      <w:pPr>
        <w:spacing w:line="259" w:lineRule="auto"/>
        <w:jc w:val="left"/>
      </w:pPr>
    </w:p>
    <w:p w14:paraId="7F7CA042" w14:textId="77777777" w:rsidR="00CF3568" w:rsidRDefault="004D2F90">
      <w:pPr>
        <w:pStyle w:val="Heading2"/>
      </w:pPr>
      <w:bookmarkStart w:id="8" w:name="_4d34og8" w:colFirst="0" w:colLast="0"/>
      <w:bookmarkEnd w:id="8"/>
      <w:r>
        <w:t>Applying Critical Thinking Models to Analyse Workplace Dynamics Amid COVID-19</w:t>
      </w:r>
    </w:p>
    <w:p w14:paraId="6B1D0467" w14:textId="77777777" w:rsidR="00CF3568" w:rsidRDefault="004D2F90">
      <w:r>
        <w:t>Applying critical thinking frameworks helps us better understand how different people bring their own sets of views, attitudes, and values into the workplace, which is especially relevant as Sainsbury's faces the problems of the COVID-19 epidemic and lockdowns. Examining this issue via the lenses of the RED Model, DE BONO'S 6 THINKING HATS METHOD, the Alfaro Lefevre 4-Circle CT Model, and Benner's Novice to Expert Theory should yield some interesting results.</w:t>
      </w:r>
    </w:p>
    <w:p w14:paraId="533EC9FE" w14:textId="77777777" w:rsidR="00CF3568" w:rsidRDefault="004D2F90">
      <w:r>
        <w:rPr>
          <w:b/>
        </w:rPr>
        <w:t>RED Model:</w:t>
      </w:r>
    </w:p>
    <w:p w14:paraId="2AD808BD" w14:textId="77777777" w:rsidR="00CF3568" w:rsidRDefault="004D2F90">
      <w:r>
        <w:t>Sainsbury's workers' understanding of management theories in the context of COVID-19 was evaluated using the RED Model (Recognize assumptions, Evaluate arguments, Draw conclusions). The steps in the model help workers recognize the presumptions they're making, assess the validity of arguments for and against various management approaches, and arrive at reasonable conclusions (Karbalaei, 2012). An employee who places a premium on flexibility (assumption) might, in light of the epidemic, weigh the pros and cons of using Contingency Theory (assessment). This methodical strategy gives workers the agency to connect their understanding with sound logic.</w:t>
      </w:r>
    </w:p>
    <w:p w14:paraId="3CD410FA" w14:textId="77777777" w:rsidR="00CF3568" w:rsidRDefault="004D2F90">
      <w:r>
        <w:rPr>
          <w:b/>
        </w:rPr>
        <w:t>DE BONO’S 6 THINKING HATS METHOD:</w:t>
      </w:r>
    </w:p>
    <w:p w14:paraId="2E9C2A40" w14:textId="77777777" w:rsidR="00CF3568" w:rsidRDefault="004D2F90">
      <w:r>
        <w:t>The DE BONO'S 6 THINKING HATS METHOD provides a structure for employees at Sainsbury's to methodically explore different points of view. Staff members use a variety of "hats," each of which represents a distinct perspective (e.g., analytical, optimistic, critical). During the pandemic, a worker who places a high value on certainty (black hat) might weigh the benefits of Contingency Theory against the risks it poses (Kivunja, 2015). By stepping into the shoes of an opposing viewpoint, we can gain a more nuanced understanding of the theory's consequences and better account for its complexity.</w:t>
      </w:r>
    </w:p>
    <w:p w14:paraId="380DB483" w14:textId="77777777" w:rsidR="00CF3568" w:rsidRDefault="004D2F90">
      <w:r>
        <w:rPr>
          <w:b/>
        </w:rPr>
        <w:t>Benner’s Novice to Expert Theory:</w:t>
      </w:r>
    </w:p>
    <w:p w14:paraId="00D2E893" w14:textId="77777777" w:rsidR="00CF3568" w:rsidRDefault="004D2F90">
      <w:r>
        <w:t>How Sainsbury's employees' interpretations change over time can be understood by applying Benner's Novice to Expert Theory. Managerial novices may approach rule-based theories like Taylor's Scientific Management with a lack of flexibility (Thomas, 2017). However, as they learn from their mistakes and adjust to the new realities of the pandemic, their understanding may change. Expert workers may adopt frameworks such as the Contingency Theory, showcasing their mastery of adjusting solutions to various epidemic scenarios. This idea emphasizes the ever-changing character of employees' interpretations as they develop from inexperienced to proficient.</w:t>
      </w:r>
    </w:p>
    <w:p w14:paraId="363100DB" w14:textId="77777777" w:rsidR="00CF3568" w:rsidRDefault="004D2F90">
      <w:r>
        <w:t>By using these critical thinking models, we can better understand how various points of view regarding Sainsbury's during COVID-19 interact with various theories of management. By applying these frameworks, we unearth depths of comprehension that equip workers to face the pandemic's problems with confidence, flexibility, and well-considered choices.</w:t>
      </w:r>
    </w:p>
    <w:p w14:paraId="10FAA6E8" w14:textId="77777777" w:rsidR="00CF3568" w:rsidRDefault="00CF3568"/>
    <w:p w14:paraId="7AE1CCF2" w14:textId="77777777" w:rsidR="00CF3568" w:rsidRDefault="00CF3568"/>
    <w:p w14:paraId="438068BC" w14:textId="77777777" w:rsidR="00CF3568" w:rsidRDefault="00CF3568"/>
    <w:p w14:paraId="303EC1B3" w14:textId="77777777" w:rsidR="00CF3568" w:rsidRDefault="00CF3568">
      <w:pPr>
        <w:spacing w:line="259" w:lineRule="auto"/>
        <w:jc w:val="left"/>
      </w:pPr>
    </w:p>
    <w:p w14:paraId="7299BBDA" w14:textId="77777777" w:rsidR="00CF3568" w:rsidRDefault="004D2F90">
      <w:pPr>
        <w:pStyle w:val="Heading2"/>
      </w:pPr>
      <w:bookmarkStart w:id="9" w:name="_2s8eyo1" w:colFirst="0" w:colLast="0"/>
      <w:bookmarkEnd w:id="9"/>
      <w:r>
        <w:t>Recommendations for Post-COVID Organisational Changes at Sainsbury's</w:t>
      </w:r>
    </w:p>
    <w:p w14:paraId="0EC89382" w14:textId="77777777" w:rsidR="00CF3568" w:rsidRDefault="004D2F90">
      <w:r>
        <w:t>Several suggestions materialize from the critical examination of Sainsbury's ideas, attitudes, and values during the COVID-19 epidemic. These suggestions are made with the hope of bolstering the Organisation's strengths, fixing its current problems, and preparing it for the future.</w:t>
      </w:r>
      <w:r>
        <w:rPr>
          <w:noProof/>
        </w:rPr>
        <mc:AlternateContent>
          <mc:Choice Requires="wpg">
            <w:drawing>
              <wp:anchor distT="0" distB="0" distL="114300" distR="114300" simplePos="0" relativeHeight="251658240" behindDoc="0" locked="0" layoutInCell="1" hidden="0" allowOverlap="1" wp14:anchorId="5B446096" wp14:editId="693A41AB">
                <wp:simplePos x="0" y="0"/>
                <wp:positionH relativeFrom="column">
                  <wp:posOffset>25401</wp:posOffset>
                </wp:positionH>
                <wp:positionV relativeFrom="paragraph">
                  <wp:posOffset>927100</wp:posOffset>
                </wp:positionV>
                <wp:extent cx="5924550" cy="3054350"/>
                <wp:effectExtent l="0" t="0" r="0" b="0"/>
                <wp:wrapTopAndBottom distT="0" distB="0"/>
                <wp:docPr id="1" name=""/>
                <wp:cNvGraphicFramePr/>
                <a:graphic xmlns:a="http://schemas.openxmlformats.org/drawingml/2006/main">
                  <a:graphicData uri="http://schemas.microsoft.com/office/word/2010/wordprocessingGroup">
                    <wpg:wgp>
                      <wpg:cNvGrpSpPr/>
                      <wpg:grpSpPr>
                        <a:xfrm>
                          <a:off x="0" y="0"/>
                          <a:ext cx="5924550" cy="3054350"/>
                          <a:chOff x="0" y="0"/>
                          <a:chExt cx="5930925" cy="3054350"/>
                        </a:xfrm>
                      </wpg:grpSpPr>
                      <wpg:grpSp>
                        <wpg:cNvPr id="2" name="Group 2"/>
                        <wpg:cNvGrpSpPr/>
                        <wpg:grpSpPr>
                          <a:xfrm>
                            <a:off x="0" y="0"/>
                            <a:ext cx="5924550" cy="3054350"/>
                            <a:chOff x="0" y="0"/>
                            <a:chExt cx="5924550" cy="3054350"/>
                          </a:xfrm>
                        </wpg:grpSpPr>
                        <wps:wsp>
                          <wps:cNvPr id="3" name="Rectangle 3"/>
                          <wps:cNvSpPr/>
                          <wps:spPr>
                            <a:xfrm>
                              <a:off x="0" y="0"/>
                              <a:ext cx="5924550" cy="3054350"/>
                            </a:xfrm>
                            <a:prstGeom prst="rect">
                              <a:avLst/>
                            </a:prstGeom>
                            <a:noFill/>
                            <a:ln>
                              <a:noFill/>
                            </a:ln>
                          </wps:spPr>
                          <wps:txbx>
                            <w:txbxContent>
                              <w:p w14:paraId="226B84FC"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4" name="Rectangle 4"/>
                          <wps:cNvSpPr/>
                          <wps:spPr>
                            <a:xfrm>
                              <a:off x="0" y="279954"/>
                              <a:ext cx="5924550" cy="327600"/>
                            </a:xfrm>
                            <a:prstGeom prst="rect">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5E6425E9"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5" name="Rectangle: Rounded Corners 5"/>
                          <wps:cNvSpPr/>
                          <wps:spPr>
                            <a:xfrm>
                              <a:off x="296227" y="88074"/>
                              <a:ext cx="4147184" cy="383760"/>
                            </a:xfrm>
                            <a:prstGeom prst="roundRect">
                              <a:avLst>
                                <a:gd name="adj" fmla="val 16667"/>
                              </a:avLst>
                            </a:prstGeom>
                            <a:solidFill>
                              <a:srgbClr val="599BD5"/>
                            </a:solidFill>
                            <a:ln w="12700" cap="flat" cmpd="sng">
                              <a:solidFill>
                                <a:schemeClr val="lt1"/>
                              </a:solidFill>
                              <a:prstDash val="solid"/>
                              <a:miter lim="800000"/>
                              <a:headEnd type="none" w="sm" len="sm"/>
                              <a:tailEnd type="none" w="sm" len="sm"/>
                            </a:ln>
                          </wps:spPr>
                          <wps:txbx>
                            <w:txbxContent>
                              <w:p w14:paraId="39080D48"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6" name="Text Box 6"/>
                          <wps:cNvSpPr txBox="1"/>
                          <wps:spPr>
                            <a:xfrm>
                              <a:off x="314961" y="106808"/>
                              <a:ext cx="4109716" cy="346292"/>
                            </a:xfrm>
                            <a:prstGeom prst="rect">
                              <a:avLst/>
                            </a:prstGeom>
                            <a:noFill/>
                            <a:ln>
                              <a:noFill/>
                            </a:ln>
                          </wps:spPr>
                          <wps:txbx>
                            <w:txbxContent>
                              <w:p w14:paraId="5EA4AE4D" w14:textId="77777777" w:rsidR="00CF3568" w:rsidRDefault="004D2F90">
                                <w:pPr>
                                  <w:spacing w:after="0" w:line="215" w:lineRule="auto"/>
                                  <w:jc w:val="left"/>
                                  <w:textDirection w:val="btLr"/>
                                </w:pPr>
                                <w:r>
                                  <w:rPr>
                                    <w:rFonts w:ascii="Calibri" w:eastAsia="Calibri" w:hAnsi="Calibri" w:cs="Calibri"/>
                                    <w:color w:val="000000"/>
                                    <w:sz w:val="26"/>
                                  </w:rPr>
                                  <w:t>Flexible Work Policies</w:t>
                                </w:r>
                              </w:p>
                            </w:txbxContent>
                          </wps:txbx>
                          <wps:bodyPr spcFirstLastPara="1" wrap="square" lIns="156750" tIns="0" rIns="156750" bIns="0" anchor="ctr" anchorCtr="0">
                            <a:noAutofit/>
                          </wps:bodyPr>
                        </wps:wsp>
                        <wps:wsp>
                          <wps:cNvPr id="7" name="Rectangle 7"/>
                          <wps:cNvSpPr/>
                          <wps:spPr>
                            <a:xfrm>
                              <a:off x="0" y="869634"/>
                              <a:ext cx="5924550" cy="327600"/>
                            </a:xfrm>
                            <a:prstGeom prst="rect">
                              <a:avLst/>
                            </a:prstGeom>
                            <a:solidFill>
                              <a:schemeClr val="lt1">
                                <a:alpha val="89803"/>
                              </a:schemeClr>
                            </a:solidFill>
                            <a:ln w="12700" cap="flat" cmpd="sng">
                              <a:solidFill>
                                <a:srgbClr val="52CBCC"/>
                              </a:solidFill>
                              <a:prstDash val="solid"/>
                              <a:miter lim="800000"/>
                              <a:headEnd type="none" w="sm" len="sm"/>
                              <a:tailEnd type="none" w="sm" len="sm"/>
                            </a:ln>
                          </wps:spPr>
                          <wps:txbx>
                            <w:txbxContent>
                              <w:p w14:paraId="4AD24BD3"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8" name="Rectangle: Rounded Corners 8"/>
                          <wps:cNvSpPr/>
                          <wps:spPr>
                            <a:xfrm>
                              <a:off x="296227" y="677754"/>
                              <a:ext cx="4147184" cy="383760"/>
                            </a:xfrm>
                            <a:prstGeom prst="roundRect">
                              <a:avLst>
                                <a:gd name="adj" fmla="val 16667"/>
                              </a:avLst>
                            </a:prstGeom>
                            <a:solidFill>
                              <a:srgbClr val="52CBCC"/>
                            </a:solidFill>
                            <a:ln w="12700" cap="flat" cmpd="sng">
                              <a:solidFill>
                                <a:schemeClr val="lt1"/>
                              </a:solidFill>
                              <a:prstDash val="solid"/>
                              <a:miter lim="800000"/>
                              <a:headEnd type="none" w="sm" len="sm"/>
                              <a:tailEnd type="none" w="sm" len="sm"/>
                            </a:ln>
                          </wps:spPr>
                          <wps:txbx>
                            <w:txbxContent>
                              <w:p w14:paraId="0A11A8C2"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9" name="Text Box 9"/>
                          <wps:cNvSpPr txBox="1"/>
                          <wps:spPr>
                            <a:xfrm>
                              <a:off x="314961" y="696488"/>
                              <a:ext cx="4109716" cy="346292"/>
                            </a:xfrm>
                            <a:prstGeom prst="rect">
                              <a:avLst/>
                            </a:prstGeom>
                            <a:noFill/>
                            <a:ln>
                              <a:noFill/>
                            </a:ln>
                          </wps:spPr>
                          <wps:txbx>
                            <w:txbxContent>
                              <w:p w14:paraId="7702157B" w14:textId="77777777" w:rsidR="00CF3568" w:rsidRDefault="004D2F90">
                                <w:pPr>
                                  <w:spacing w:after="0" w:line="215" w:lineRule="auto"/>
                                  <w:jc w:val="left"/>
                                  <w:textDirection w:val="btLr"/>
                                </w:pPr>
                                <w:r>
                                  <w:rPr>
                                    <w:rFonts w:ascii="Calibri" w:eastAsia="Calibri" w:hAnsi="Calibri" w:cs="Calibri"/>
                                    <w:color w:val="000000"/>
                                    <w:sz w:val="26"/>
                                  </w:rPr>
                                  <w:t>Empowerment through Training</w:t>
                                </w:r>
                              </w:p>
                            </w:txbxContent>
                          </wps:txbx>
                          <wps:bodyPr spcFirstLastPara="1" wrap="square" lIns="156750" tIns="0" rIns="156750" bIns="0" anchor="ctr" anchorCtr="0">
                            <a:noAutofit/>
                          </wps:bodyPr>
                        </wps:wsp>
                        <wps:wsp>
                          <wps:cNvPr id="10" name="Rectangle 10"/>
                          <wps:cNvSpPr/>
                          <wps:spPr>
                            <a:xfrm>
                              <a:off x="0" y="1459315"/>
                              <a:ext cx="5924550" cy="327600"/>
                            </a:xfrm>
                            <a:prstGeom prst="rect">
                              <a:avLst/>
                            </a:prstGeom>
                            <a:solidFill>
                              <a:schemeClr val="lt1">
                                <a:alpha val="89803"/>
                              </a:schemeClr>
                            </a:solidFill>
                            <a:ln w="12700" cap="flat" cmpd="sng">
                              <a:solidFill>
                                <a:srgbClr val="4CC38C"/>
                              </a:solidFill>
                              <a:prstDash val="solid"/>
                              <a:miter lim="800000"/>
                              <a:headEnd type="none" w="sm" len="sm"/>
                              <a:tailEnd type="none" w="sm" len="sm"/>
                            </a:ln>
                          </wps:spPr>
                          <wps:txbx>
                            <w:txbxContent>
                              <w:p w14:paraId="44EECAC3"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11" name="Rectangle: Rounded Corners 11"/>
                          <wps:cNvSpPr/>
                          <wps:spPr>
                            <a:xfrm>
                              <a:off x="296227" y="1267435"/>
                              <a:ext cx="4147184" cy="383760"/>
                            </a:xfrm>
                            <a:prstGeom prst="roundRect">
                              <a:avLst>
                                <a:gd name="adj" fmla="val 16667"/>
                              </a:avLst>
                            </a:prstGeom>
                            <a:solidFill>
                              <a:srgbClr val="4CC38C"/>
                            </a:solidFill>
                            <a:ln w="12700" cap="flat" cmpd="sng">
                              <a:solidFill>
                                <a:schemeClr val="lt1"/>
                              </a:solidFill>
                              <a:prstDash val="solid"/>
                              <a:miter lim="800000"/>
                              <a:headEnd type="none" w="sm" len="sm"/>
                              <a:tailEnd type="none" w="sm" len="sm"/>
                            </a:ln>
                          </wps:spPr>
                          <wps:txbx>
                            <w:txbxContent>
                              <w:p w14:paraId="5B5D8A7D"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12" name="Text Box 12"/>
                          <wps:cNvSpPr txBox="1"/>
                          <wps:spPr>
                            <a:xfrm>
                              <a:off x="314961" y="1286169"/>
                              <a:ext cx="4109716" cy="346292"/>
                            </a:xfrm>
                            <a:prstGeom prst="rect">
                              <a:avLst/>
                            </a:prstGeom>
                            <a:noFill/>
                            <a:ln>
                              <a:noFill/>
                            </a:ln>
                          </wps:spPr>
                          <wps:txbx>
                            <w:txbxContent>
                              <w:p w14:paraId="6B4812A5" w14:textId="77777777" w:rsidR="00CF3568" w:rsidRDefault="004D2F90">
                                <w:pPr>
                                  <w:spacing w:after="0" w:line="215" w:lineRule="auto"/>
                                  <w:jc w:val="left"/>
                                  <w:textDirection w:val="btLr"/>
                                </w:pPr>
                                <w:r>
                                  <w:rPr>
                                    <w:rFonts w:ascii="Calibri" w:eastAsia="Calibri" w:hAnsi="Calibri" w:cs="Calibri"/>
                                    <w:color w:val="000000"/>
                                    <w:sz w:val="26"/>
                                  </w:rPr>
                                  <w:t>Ethical and Sustainable Practices</w:t>
                                </w:r>
                              </w:p>
                            </w:txbxContent>
                          </wps:txbx>
                          <wps:bodyPr spcFirstLastPara="1" wrap="square" lIns="156750" tIns="0" rIns="156750" bIns="0" anchor="ctr" anchorCtr="0">
                            <a:noAutofit/>
                          </wps:bodyPr>
                        </wps:wsp>
                        <wps:wsp>
                          <wps:cNvPr id="13" name="Rectangle 13"/>
                          <wps:cNvSpPr/>
                          <wps:spPr>
                            <a:xfrm>
                              <a:off x="0" y="2048995"/>
                              <a:ext cx="5924550" cy="327600"/>
                            </a:xfrm>
                            <a:prstGeom prst="rect">
                              <a:avLst/>
                            </a:prstGeom>
                            <a:solidFill>
                              <a:schemeClr val="lt1">
                                <a:alpha val="89803"/>
                              </a:schemeClr>
                            </a:solidFill>
                            <a:ln w="12700" cap="flat" cmpd="sng">
                              <a:solidFill>
                                <a:srgbClr val="46BA4E"/>
                              </a:solidFill>
                              <a:prstDash val="solid"/>
                              <a:miter lim="800000"/>
                              <a:headEnd type="none" w="sm" len="sm"/>
                              <a:tailEnd type="none" w="sm" len="sm"/>
                            </a:ln>
                          </wps:spPr>
                          <wps:txbx>
                            <w:txbxContent>
                              <w:p w14:paraId="709C2D1A"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14" name="Rectangle: Rounded Corners 14"/>
                          <wps:cNvSpPr/>
                          <wps:spPr>
                            <a:xfrm>
                              <a:off x="296227" y="1857115"/>
                              <a:ext cx="4147184" cy="383760"/>
                            </a:xfrm>
                            <a:prstGeom prst="roundRect">
                              <a:avLst>
                                <a:gd name="adj" fmla="val 16667"/>
                              </a:avLst>
                            </a:prstGeom>
                            <a:solidFill>
                              <a:srgbClr val="46BA4E"/>
                            </a:solidFill>
                            <a:ln w="12700" cap="flat" cmpd="sng">
                              <a:solidFill>
                                <a:schemeClr val="lt1"/>
                              </a:solidFill>
                              <a:prstDash val="solid"/>
                              <a:miter lim="800000"/>
                              <a:headEnd type="none" w="sm" len="sm"/>
                              <a:tailEnd type="none" w="sm" len="sm"/>
                            </a:ln>
                          </wps:spPr>
                          <wps:txbx>
                            <w:txbxContent>
                              <w:p w14:paraId="3B282E9C"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15" name="Text Box 15"/>
                          <wps:cNvSpPr txBox="1"/>
                          <wps:spPr>
                            <a:xfrm>
                              <a:off x="314961" y="1875849"/>
                              <a:ext cx="4109716" cy="346292"/>
                            </a:xfrm>
                            <a:prstGeom prst="rect">
                              <a:avLst/>
                            </a:prstGeom>
                            <a:noFill/>
                            <a:ln>
                              <a:noFill/>
                            </a:ln>
                          </wps:spPr>
                          <wps:txbx>
                            <w:txbxContent>
                              <w:p w14:paraId="452E515C" w14:textId="77777777" w:rsidR="00CF3568" w:rsidRDefault="004D2F90">
                                <w:pPr>
                                  <w:spacing w:after="0" w:line="215" w:lineRule="auto"/>
                                  <w:jc w:val="left"/>
                                  <w:textDirection w:val="btLr"/>
                                </w:pPr>
                                <w:r>
                                  <w:rPr>
                                    <w:rFonts w:ascii="Calibri" w:eastAsia="Calibri" w:hAnsi="Calibri" w:cs="Calibri"/>
                                    <w:color w:val="000000"/>
                                    <w:sz w:val="26"/>
                                  </w:rPr>
                                  <w:t>Cross-Functional Collaboration</w:t>
                                </w:r>
                              </w:p>
                            </w:txbxContent>
                          </wps:txbx>
                          <wps:bodyPr spcFirstLastPara="1" wrap="square" lIns="156750" tIns="0" rIns="156750" bIns="0" anchor="ctr" anchorCtr="0">
                            <a:noAutofit/>
                          </wps:bodyPr>
                        </wps:wsp>
                        <wps:wsp>
                          <wps:cNvPr id="16" name="Rectangle 16"/>
                          <wps:cNvSpPr/>
                          <wps:spPr>
                            <a:xfrm>
                              <a:off x="0" y="2638675"/>
                              <a:ext cx="5924550" cy="327600"/>
                            </a:xfrm>
                            <a:prstGeom prst="rect">
                              <a:avLst/>
                            </a:prstGeom>
                            <a:solidFill>
                              <a:schemeClr val="lt1">
                                <a:alpha val="89803"/>
                              </a:schemeClr>
                            </a:solidFill>
                            <a:ln w="12700" cap="flat" cmpd="sng">
                              <a:solidFill>
                                <a:srgbClr val="6FAB46"/>
                              </a:solidFill>
                              <a:prstDash val="solid"/>
                              <a:miter lim="800000"/>
                              <a:headEnd type="none" w="sm" len="sm"/>
                              <a:tailEnd type="none" w="sm" len="sm"/>
                            </a:ln>
                          </wps:spPr>
                          <wps:txbx>
                            <w:txbxContent>
                              <w:p w14:paraId="5863200E"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17" name="Rectangle: Rounded Corners 17"/>
                          <wps:cNvSpPr/>
                          <wps:spPr>
                            <a:xfrm>
                              <a:off x="296227" y="2446795"/>
                              <a:ext cx="4147184" cy="383760"/>
                            </a:xfrm>
                            <a:prstGeom prst="roundRect">
                              <a:avLst>
                                <a:gd name="adj" fmla="val 16667"/>
                              </a:avLst>
                            </a:prstGeom>
                            <a:solidFill>
                              <a:srgbClr val="6FAB46"/>
                            </a:solidFill>
                            <a:ln w="12700" cap="flat" cmpd="sng">
                              <a:solidFill>
                                <a:schemeClr val="lt1"/>
                              </a:solidFill>
                              <a:prstDash val="solid"/>
                              <a:miter lim="800000"/>
                              <a:headEnd type="none" w="sm" len="sm"/>
                              <a:tailEnd type="none" w="sm" len="sm"/>
                            </a:ln>
                          </wps:spPr>
                          <wps:txbx>
                            <w:txbxContent>
                              <w:p w14:paraId="1FAA557B" w14:textId="77777777" w:rsidR="00CF3568" w:rsidRDefault="00CF3568">
                                <w:pPr>
                                  <w:spacing w:after="0" w:line="240" w:lineRule="auto"/>
                                  <w:jc w:val="left"/>
                                  <w:textDirection w:val="btLr"/>
                                </w:pPr>
                              </w:p>
                            </w:txbxContent>
                          </wps:txbx>
                          <wps:bodyPr spcFirstLastPara="1" wrap="square" lIns="91425" tIns="91425" rIns="91425" bIns="91425" anchor="ctr" anchorCtr="0">
                            <a:noAutofit/>
                          </wps:bodyPr>
                        </wps:wsp>
                        <wps:wsp>
                          <wps:cNvPr id="18" name="Text Box 18"/>
                          <wps:cNvSpPr txBox="1"/>
                          <wps:spPr>
                            <a:xfrm>
                              <a:off x="314961" y="2465529"/>
                              <a:ext cx="4109716" cy="346292"/>
                            </a:xfrm>
                            <a:prstGeom prst="rect">
                              <a:avLst/>
                            </a:prstGeom>
                            <a:noFill/>
                            <a:ln>
                              <a:noFill/>
                            </a:ln>
                          </wps:spPr>
                          <wps:txbx>
                            <w:txbxContent>
                              <w:p w14:paraId="21E29468" w14:textId="77777777" w:rsidR="00CF3568" w:rsidRDefault="004D2F90">
                                <w:pPr>
                                  <w:spacing w:after="0" w:line="215" w:lineRule="auto"/>
                                  <w:jc w:val="left"/>
                                  <w:textDirection w:val="btLr"/>
                                </w:pPr>
                                <w:r>
                                  <w:rPr>
                                    <w:rFonts w:ascii="Calibri" w:eastAsia="Calibri" w:hAnsi="Calibri" w:cs="Calibri"/>
                                    <w:color w:val="000000"/>
                                    <w:sz w:val="26"/>
                                  </w:rPr>
                                  <w:t>Inclusive Decision-Making</w:t>
                                </w:r>
                              </w:p>
                            </w:txbxContent>
                          </wps:txbx>
                          <wps:bodyPr spcFirstLastPara="1" wrap="square" lIns="156750" tIns="0" rIns="156750" bIns="0"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927100</wp:posOffset>
                </wp:positionV>
                <wp:extent cx="5924550" cy="305435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924550" cy="3054350"/>
                        </a:xfrm>
                        <a:prstGeom prst="rect"/>
                        <a:ln/>
                      </pic:spPr>
                    </pic:pic>
                  </a:graphicData>
                </a:graphic>
              </wp:anchor>
            </w:drawing>
          </mc:Fallback>
        </mc:AlternateContent>
      </w:r>
    </w:p>
    <w:p w14:paraId="3FCF98B3" w14:textId="77777777" w:rsidR="00CF3568" w:rsidRDefault="004D2F90">
      <w:pPr>
        <w:pBdr>
          <w:top w:val="nil"/>
          <w:left w:val="nil"/>
          <w:bottom w:val="nil"/>
          <w:right w:val="nil"/>
          <w:between w:val="nil"/>
        </w:pBdr>
        <w:spacing w:after="200" w:line="240" w:lineRule="auto"/>
        <w:jc w:val="center"/>
        <w:rPr>
          <w:i/>
          <w:color w:val="8496B0"/>
          <w:sz w:val="22"/>
          <w:szCs w:val="22"/>
        </w:rPr>
      </w:pPr>
      <w:r>
        <w:rPr>
          <w:i/>
          <w:color w:val="8496B0"/>
          <w:sz w:val="22"/>
          <w:szCs w:val="22"/>
        </w:rPr>
        <w:t>Figure 1: Recommendations for Post-COVID Organisational Changes at Sainsbury's (Chatterjee, 2022)</w:t>
      </w:r>
    </w:p>
    <w:p w14:paraId="1A21E6E4" w14:textId="77777777" w:rsidR="00CF3568" w:rsidRDefault="004D2F90">
      <w:pPr>
        <w:numPr>
          <w:ilvl w:val="0"/>
          <w:numId w:val="1"/>
        </w:numPr>
      </w:pPr>
      <w:r>
        <w:rPr>
          <w:b/>
        </w:rPr>
        <w:t>Flexible Work Policies:</w:t>
      </w:r>
      <w:r>
        <w:t xml:space="preserve"> First, adopt policies that allow for telecommuting and varying work schedules (Trzupek, 2020). The shift reflects the modern emphasis on work-life harmony. Sainsbury's may gain the loyalty and satisfaction of workers who put personal safety and family first throughout the pandemic.</w:t>
      </w:r>
    </w:p>
    <w:p w14:paraId="21A386D5" w14:textId="77777777" w:rsidR="00CF3568" w:rsidRDefault="004D2F90">
      <w:pPr>
        <w:numPr>
          <w:ilvl w:val="0"/>
          <w:numId w:val="1"/>
        </w:numPr>
      </w:pPr>
      <w:r>
        <w:rPr>
          <w:b/>
        </w:rPr>
        <w:t>Empowerment through Training:</w:t>
      </w:r>
      <w:r>
        <w:t xml:space="preserve"> Secondly, encourage independence by providing your staff with training that will help them adjust to new situations and make educated choices (Zappalà, 2021). Investing in staff members' professional development is consistent with a culture that values growth and flexibility. Staff members who have received this type of training report feeling better prepared and capable to deal with difficult situations.</w:t>
      </w:r>
    </w:p>
    <w:p w14:paraId="1978503B" w14:textId="77777777" w:rsidR="00CF3568" w:rsidRDefault="004D2F90">
      <w:pPr>
        <w:numPr>
          <w:ilvl w:val="0"/>
          <w:numId w:val="1"/>
        </w:numPr>
      </w:pPr>
      <w:r>
        <w:rPr>
          <w:b/>
        </w:rPr>
        <w:t>Ethical and Sustainable Practices:</w:t>
      </w:r>
      <w:r>
        <w:t xml:space="preserve"> Increase attention to sustainable practices and ethical sourcing. Customers that care about social justice appreciate businesses that share their values of social and environmental responsibility (Chatterjee, 2022). By incorporating these principles into daily operations, the company stands to gain a loyal customer base that shares its beliefs.</w:t>
      </w:r>
    </w:p>
    <w:p w14:paraId="37AA9969" w14:textId="77777777" w:rsidR="00CF3568" w:rsidRDefault="004D2F90">
      <w:pPr>
        <w:numPr>
          <w:ilvl w:val="0"/>
          <w:numId w:val="1"/>
        </w:numPr>
      </w:pPr>
      <w:r>
        <w:rPr>
          <w:b/>
        </w:rPr>
        <w:t>Cross-Functional Collaboration:</w:t>
      </w:r>
      <w:r>
        <w:t xml:space="preserve"> Fourth, promote collaboration across functional lines so that problems can be approached from different angles (Trzupek, 2020). This fits well with the idea that cooperation and harmony are highly valued. Working with a team that has a range of personalities can help generate novel ideas and distribute the burden of crisis management more fairly.</w:t>
      </w:r>
    </w:p>
    <w:p w14:paraId="26CC30E8" w14:textId="77777777" w:rsidR="00CF3568" w:rsidRDefault="004D2F90">
      <w:pPr>
        <w:numPr>
          <w:ilvl w:val="0"/>
          <w:numId w:val="1"/>
        </w:numPr>
      </w:pPr>
      <w:r>
        <w:rPr>
          <w:b/>
        </w:rPr>
        <w:t>Inclusive Decision-Making:</w:t>
      </w:r>
      <w:r>
        <w:t xml:space="preserve"> Adopt methods of deliberation that consider a range of perspectives. The virtues of tolerance and acceptance are reflected in this shift (Zappalà, 2021). Employees with varying opinions will feel more included and invested in the Organisation if they are given a voice.</w:t>
      </w:r>
    </w:p>
    <w:p w14:paraId="027CED02" w14:textId="77777777" w:rsidR="00CF3568" w:rsidRDefault="004D2F90">
      <w:r>
        <w:t>Sainsbury's may bring its beliefs, attitudes, and value systems into alignment through the implementation of these suggestions. This harmony does more than only solve today's problems; it also makes us more resilient tomorrow. The company is repositioning itself for success in the post-COVID retail environment by remaining true to its founding beliefs as it adjusts to the new normal.</w:t>
      </w:r>
    </w:p>
    <w:p w14:paraId="0D9D0619" w14:textId="77777777" w:rsidR="00CF3568" w:rsidRDefault="00CF3568"/>
    <w:p w14:paraId="5BFFB28B" w14:textId="77777777" w:rsidR="00CF3568" w:rsidRDefault="00CF3568">
      <w:pPr>
        <w:spacing w:line="259" w:lineRule="auto"/>
        <w:jc w:val="left"/>
      </w:pPr>
    </w:p>
    <w:p w14:paraId="7B715795" w14:textId="77777777" w:rsidR="00CF3568" w:rsidRDefault="004D2F90">
      <w:pPr>
        <w:pStyle w:val="Heading2"/>
      </w:pPr>
      <w:bookmarkStart w:id="10" w:name="_17dp8vu" w:colFirst="0" w:colLast="0"/>
      <w:bookmarkEnd w:id="10"/>
      <w:r>
        <w:t>Conclusion</w:t>
      </w:r>
    </w:p>
    <w:p w14:paraId="4639EE35" w14:textId="77777777" w:rsidR="00CF3568" w:rsidRDefault="004D2F90">
      <w:r>
        <w:t>Ultimately, the COVID-19 epidemic highlights the vital importance of Sainsbury's Organisational beliefs, attitudes, and value systems in determining employee behaviour. Given their complex interplay, it's clear that bringing them into line with management theories and suggested adjustments is crucial. Sainsbury's will be better able to weather the storms of the present and prepare for the opportunities of the future if it prioritizes the growth of its most valuable asset: its people. This paper highlights the dynamic connection between the Organisation's success and its core beliefs, attitudes, and values as well as its effective methods in the face of extraordinary uncertainty.</w:t>
      </w:r>
    </w:p>
    <w:p w14:paraId="3774437E" w14:textId="77777777" w:rsidR="00CF3568" w:rsidRDefault="00CF3568">
      <w:pPr>
        <w:spacing w:line="259" w:lineRule="auto"/>
        <w:jc w:val="left"/>
      </w:pPr>
    </w:p>
    <w:p w14:paraId="024E0342" w14:textId="77777777" w:rsidR="00CF3568" w:rsidRDefault="004D2F90">
      <w:pPr>
        <w:pStyle w:val="Heading1"/>
      </w:pPr>
      <w:bookmarkStart w:id="11" w:name="_3rdcrjn" w:colFirst="0" w:colLast="0"/>
      <w:bookmarkEnd w:id="11"/>
      <w:r>
        <w:t>Part 02- Reflective Journal</w:t>
      </w:r>
    </w:p>
    <w:p w14:paraId="05DF9D39" w14:textId="77777777" w:rsidR="00CF3568" w:rsidRDefault="004D2F90">
      <w:pPr>
        <w:pStyle w:val="Heading2"/>
      </w:pPr>
      <w:bookmarkStart w:id="12" w:name="_26in1rg" w:colFirst="0" w:colLast="0"/>
      <w:bookmarkEnd w:id="12"/>
      <w:r>
        <w:t>Introduction: Navigating the Complexities of Beliefs, Attitudes, &amp; Values in the Workplace</w:t>
      </w:r>
    </w:p>
    <w:p w14:paraId="6E9F478F" w14:textId="77777777" w:rsidR="00CF3568" w:rsidRDefault="004D2F90">
      <w:r>
        <w:t>Beginning with Week 1 and continuing through Week 9, I was guided through the complex terrain of my ideas, attitudes, and values in the context of the workplace by a rich tapestry of insights, introspection, and practical applications. This journal documents my growth as a learner and draws attention to the practical ramifications of my expanding perspective.</w:t>
      </w:r>
    </w:p>
    <w:p w14:paraId="6F891E18" w14:textId="77777777" w:rsidR="00CF3568" w:rsidRDefault="00CF3568"/>
    <w:p w14:paraId="7A547F84" w14:textId="77777777" w:rsidR="00CF3568" w:rsidRDefault="004D2F90">
      <w:pPr>
        <w:pStyle w:val="Heading2"/>
      </w:pPr>
      <w:bookmarkStart w:id="13" w:name="_lnxbz9" w:colFirst="0" w:colLast="0"/>
      <w:bookmarkEnd w:id="13"/>
      <w:r>
        <w:t>Understanding the Underlying Elements</w:t>
      </w:r>
    </w:p>
    <w:p w14:paraId="16ACF473" w14:textId="77777777" w:rsidR="00CF3568" w:rsidRDefault="004D2F90">
      <w:r>
        <w:t>The complex relationship between personal and professional ideals has fascinated me from the beginning of this module. Although they are all interrelated, how these three factors affect human behaviour and group dynamics are somewhat different. As firm convictions, beliefs serve as the cornerstone around which one constructs one's character traits and moral compass. Throughout the first several weeks, I participated in activities that showed how our beliefs form our attitudes, which in turn affects the values-driven decisions we make. This basic comprehension paved the way for a more in-depth investigation into their consequences inside the intricate web of the workplace.</w:t>
      </w:r>
    </w:p>
    <w:p w14:paraId="042A9F3F" w14:textId="77777777" w:rsidR="00CF3568" w:rsidRDefault="004D2F90">
      <w:r>
        <w:t>Real-world utility resulted from a deeper understanding of these foundational principles. I learned this lesson the hard way as I struggled through scenarios and participated in conversations during practical exercises and came to understand how our ideas work as glasses through which we view the world. Our attitudes are formed by our interpretations, which in turn govern our emotional reactions and subsequent behaviour (Young, 2015). Looking back on my experience so far, I can see that understanding people's varying perspectives, worldviews, and values is crucial to navigating the complexities of human behaviour in the workplace. This comprehension is the cornerstone upon which the rest of my educational path rests.</w:t>
      </w:r>
    </w:p>
    <w:p w14:paraId="722BE197" w14:textId="77777777" w:rsidR="00CF3568" w:rsidRDefault="00CF3568"/>
    <w:p w14:paraId="187A566B" w14:textId="77777777" w:rsidR="00CF3568" w:rsidRDefault="004D2F90">
      <w:pPr>
        <w:pStyle w:val="Heading2"/>
      </w:pPr>
      <w:bookmarkStart w:id="14" w:name="_35nkun2" w:colFirst="0" w:colLast="0"/>
      <w:bookmarkEnd w:id="14"/>
      <w:r>
        <w:t>Weeks 1-3: Laying the Foundation</w:t>
      </w:r>
    </w:p>
    <w:p w14:paraId="28520464" w14:textId="77777777" w:rsidR="00CF3568" w:rsidRDefault="004D2F90">
      <w:r>
        <w:t>The first three weeks of this learning adventure were marked by a deep dive into the nuanced realm of workplace ideas, attitudes, and values. These weeks laid the groundwork for deeper knowledge in the weeks to come by revealing the essential distinctions and relationships between these parts. As I engaged myself in the teachings, the nuanced but critical differences in worldview were clear to me. As per Saxena (2014), our beliefs are the bedrock of our theoretical framework, and they shape how we see the world. Our thoughts and actions are shaped by our attitudes, the emotional responses we have toward certain topics. Our values, the unchanging principles by which we make choices, serve as a moral compass.</w:t>
      </w:r>
    </w:p>
    <w:p w14:paraId="6D7F28AC" w14:textId="77777777" w:rsidR="00CF3568" w:rsidRDefault="004D2F90">
      <w:r>
        <w:t>During this stage, participants engaged in hands-on activities that helped clarify the functions of these components under normal conditions. Through these structured exchanges, I was able to understand how our beliefs serve as the foundation for forming our attitudes and, in turn, guiding our behaviours to reflect our core values (Cletus, 2018). This realization unveiled the web of interdependencies that exists inside the framework of the workplace. These first few weeks were crucial because I was able to have a firm grasp on the fundamental aspects that drive behaviour and relationships in the workplace, which set me up for success moving forward. These factors are not separate from one another; rather, they work together to mould our actions and the connections we make. With this new information in hand, I went into the following weeks with an increased sense of excitement and anticipation, ready to investigate the deeper meanings and applications of beliefs, attitudes, and values in the business setting.</w:t>
      </w:r>
    </w:p>
    <w:p w14:paraId="42483F1A" w14:textId="77777777" w:rsidR="00CF3568" w:rsidRDefault="004D2F90">
      <w:r>
        <w:t>Looking back, I can see that weeks 1-3 were the foundation upon which my growing understanding was built. The insight I got here laid the groundwork for my subsequent work with more complex scenarios and critical analysis in the coming weeks. Because of this solid grounding in the subtleties of people's ideas, attitudes, and values, I set out on this introspective journey prepared to learn more about the complex dynamics at play in the business world.</w:t>
      </w:r>
    </w:p>
    <w:p w14:paraId="68A9A295" w14:textId="77777777" w:rsidR="00CF3568" w:rsidRDefault="00CF3568"/>
    <w:p w14:paraId="4ECF1BAC" w14:textId="77777777" w:rsidR="00CF3568" w:rsidRDefault="004D2F90">
      <w:pPr>
        <w:pStyle w:val="Heading2"/>
      </w:pPr>
      <w:bookmarkStart w:id="15" w:name="_1ksv4uv" w:colFirst="0" w:colLast="0"/>
      <w:bookmarkEnd w:id="15"/>
      <w:r>
        <w:t>Weeks 4-6: Introspection and Organisational Alignment</w:t>
      </w:r>
    </w:p>
    <w:p w14:paraId="7A6584C0" w14:textId="77777777" w:rsidR="00CF3568" w:rsidRDefault="004D2F90">
      <w:r>
        <w:t>In Weeks 4 and 6, the focus shifts to introspection and the alignment of personal beliefs, attitudes, and values with those of the Organisation, marking a turning point in the transformative journey through this module. These past few weeks have been a watershed moment in my reflective learning; they have prompted in-depth self-evaluation and given me a greater appreciation for the importance of harmony between my individuality and the workings of any given Organisation (Hu, 2012). The focus of the investigation shifted from the world around me to an examination of my thoughts, sentiments, and ideals. This self-exploration has been an exciting journey to new insights into how my deepest beliefs shape my professional outlook, conduct, and decisions. Because of this, I had to examine where my own beliefs coincided or deviated from those held by my employer.</w:t>
      </w:r>
    </w:p>
    <w:p w14:paraId="23A2AFD7" w14:textId="77777777" w:rsidR="00CF3568" w:rsidRDefault="004D2F90">
      <w:r>
        <w:t>By taking this introspective trip, I was able to discover areas where my values and those of the company were congruent. For instance, the company's emphasis on teamwork jived with my belief in the efficacy of cooperation. My passionate participation in group initiatives and collaborative efforts reflected this resonation. This agreement highlighted the value of congruence since it is the matching of individual and group ideals that fosters optimism and reliability in performance. However, by looking inward, I was able to see where I was out of whack. There were obvious conflicts between my values and those of the company. Such differences sparked internal tension and shed light on the complex relationship between one's values and the expectations of others, as opined by Cletus (2018).</w:t>
      </w:r>
    </w:p>
    <w:p w14:paraId="334088C6" w14:textId="77777777" w:rsidR="00CF3568" w:rsidRDefault="004D2F90">
      <w:r>
        <w:t>My understanding of the importance of having core values and beliefs that are congruent with those of the company was a major turning point for me between weeks four through six. The self-exploration helped me become more self-aware, which in turn helped me be more genuine and empathetic in my professional dealings. It shed light on the link between congruence and increased involvement, happiness at work, and meaning in life (Chu, 2016). These past several weeks have served as a timely reminder of the fluidity of workplace views, attitudes, and values. When employees' values and those of their employer coincide, it creates a synergistic relationship that helps build a strong, committed team. This phase of introspection prepared me to use management theories in the next weeks by helping me to understand how my ideas, attitudes, and values shape my interpretations and relationships with others.</w:t>
      </w:r>
    </w:p>
    <w:p w14:paraId="4DCBDA36" w14:textId="77777777" w:rsidR="00CF3568" w:rsidRDefault="004D2F90">
      <w:r>
        <w:t>Looking back, Weeks 4–6 were a time of reflection and alignment that helped me better grasp the interconnected web of my ideas and values. This stage shed light on the far-reaching effect of congruence on behaviour and engagement in the workplace, demonstrating the significance of authenticity and alignment in propelling a healthy Organisational culture.</w:t>
      </w:r>
    </w:p>
    <w:p w14:paraId="207F31FF" w14:textId="77777777" w:rsidR="00CF3568" w:rsidRDefault="00CF3568">
      <w:pPr>
        <w:spacing w:line="259" w:lineRule="auto"/>
        <w:jc w:val="left"/>
      </w:pPr>
    </w:p>
    <w:p w14:paraId="4AADB816" w14:textId="77777777" w:rsidR="00CF3568" w:rsidRDefault="00CF3568">
      <w:pPr>
        <w:spacing w:line="259" w:lineRule="auto"/>
        <w:jc w:val="left"/>
      </w:pPr>
    </w:p>
    <w:p w14:paraId="057C0388" w14:textId="77777777" w:rsidR="00CF3568" w:rsidRDefault="004D2F90">
      <w:pPr>
        <w:pStyle w:val="Heading2"/>
      </w:pPr>
      <w:bookmarkStart w:id="16" w:name="_44sinio" w:colFirst="0" w:colLast="0"/>
      <w:bookmarkEnd w:id="16"/>
      <w:r>
        <w:t>Weeks 7-9: Applying Critical Analysis</w:t>
      </w:r>
    </w:p>
    <w:p w14:paraId="01A01C3A" w14:textId="77777777" w:rsidR="00CF3568" w:rsidRDefault="004D2F90">
      <w:r>
        <w:t>Applying critical analysis to management ideas marked a new chapter of my journey through this illuminating curriculum during Weeks 7 through 9. Over these weeks, we dove deep into how individuals' backgrounds, experiences, and perspectives might lead them to interpret management theories in various ways (Chatterjee, 2022). This in-depth analysis clarified the complexity of human cognition and the influence of personal biases on how we comprehend theoretical frameworks.</w:t>
      </w:r>
    </w:p>
    <w:p w14:paraId="766789CD" w14:textId="77777777" w:rsidR="00CF3568" w:rsidRDefault="004D2F90">
      <w:r>
        <w:t>I was able to research a variety of management concepts during this phase and evaluate them utilizing the Alfaro Lefevre 4-Circle CT Model. This idea got me thinking about how different worldviews and value systems can lead to conflicting findings on the same body of evidence (Alfaro-LeFevre, 2016). This experiment illustrated the intricate nature of the human mind and the crucial role that unique experiences and viewpoints play in forming our perceptions. I learned the benefits of compassion and flexibility in my interpretation of management ideas via this critical thinking exercise. Depending on one's worldview and predispositions, one can respond to the same theory in a variety of ways. This revelation reinforced the value of understanding and appreciating other points of view.</w:t>
      </w:r>
    </w:p>
    <w:p w14:paraId="7D1E682B" w14:textId="77777777" w:rsidR="00CF3568" w:rsidRDefault="004D2F90">
      <w:r>
        <w:t>The seventh through ninth weeks featured a lot of thoughtful discussions and a developing comprehension of the nuances of belief-driven interpretation. I was put in circumstances where different worldviews produced different readings of the same theory. I was able to learn more about how my perspective shapes how I perceive things and how perspective impacts how much I understand through this project (Oakley, 2020). These recent weeks have provided an important opportunity to reflect on the flexibility of knowledge interpretation and the need of fostering a range of opinions in the workplace. I was able to broaden my perspective and create a subtle technique for interacting with opposing theoretical frameworks and points of view by putting the Alfaro Lefevre 4-Circle CT Model to use.</w:t>
      </w:r>
    </w:p>
    <w:p w14:paraId="128F382E" w14:textId="77777777" w:rsidR="00CF3568" w:rsidRDefault="004D2F90">
      <w:r>
        <w:t>In sum, Weeks 7–9 were an intriguing excursion into the world of critical analysis, during which I used empathy and an open mind to investigate how different perspectives on management theories stem from fundamentally different assumptions. This stage drilled into me the importance of seeing things from other people's viewpoints, giving me more ammunition for communicating and working with others across differences in the workplace.</w:t>
      </w:r>
    </w:p>
    <w:p w14:paraId="1B6AE83F" w14:textId="77777777" w:rsidR="00CF3568" w:rsidRDefault="004D2F90">
      <w:pPr>
        <w:pStyle w:val="Heading2"/>
      </w:pPr>
      <w:bookmarkStart w:id="17" w:name="_2jxsxqh" w:colFirst="0" w:colLast="0"/>
      <w:bookmarkEnd w:id="17"/>
      <w:r>
        <w:t>Synthesis and Growth</w:t>
      </w:r>
    </w:p>
    <w:p w14:paraId="6F5C80D1" w14:textId="77777777" w:rsidR="00CF3568" w:rsidRDefault="004D2F90">
      <w:r>
        <w:t>When I think back over the past nine weeks, I am amazed at how many new perspectives and developments have come together in my mind. Beliefs, attitudes, and values are no more immaterial forces at play in the workplace; they are active agents in shaping communication, decision-making, and the overall character of a company (Ladicky, 2014). My learning journey's turning point occurred during the self-assessment phase, which lasted from Weeks 4 to 6. My self-analysis revealed some startling realizations about how well my worldview meshes with the core ideals of the company. Thanks to this reflection, I now have a better understanding of how my values shape my actions at work. I learned that when my beliefs and those of the Organisation are aligned, I feel more at home in my role and am more invested in its success.</w:t>
      </w:r>
    </w:p>
    <w:p w14:paraId="4AC6BA27" w14:textId="77777777" w:rsidR="00CF3568" w:rsidRDefault="004D2F90">
      <w:r>
        <w:t>My horizons were broadened by applying critical thinking to management theory in Weeks 7–9. The Alfaro Lefevre 4-Circle CT Model helped me visualize how different people's perspectives on a theory stem from their varying values, priorities, and worldviews. My viewpoint on effective communication in a complex workplace has been shaped by this experience, which highlighted the importance of empathy in comprehending different points of view, as per Cakula (2021). My professional and personal development have both benefited from this compilation of events. My knowledge of workplace dynamics has grown from my first few weeks of observing and making note of the nuances between people's beliefs, attitudes, and values to my more recent critical application of management theories.</w:t>
      </w:r>
    </w:p>
    <w:p w14:paraId="44E0371F" w14:textId="77777777" w:rsidR="00CF3568" w:rsidRDefault="004D2F90">
      <w:r>
        <w:t>My ability for empathy and open-mindedness has grown as I've navigated a society shaped by a wide range of beliefs, attitudes, and values. My capacity to have fruitful discussions with coworkers who hold contrasting views is a manifestation of this development (Cakula, 2021). Understanding the interdependence of individual and group goals has strengthened my dedication to fostering cooperation at work. The accumulation of this education has given me the ability to make substantial contributions at work. Now that I know how ideas shape attitudes and values, I'm better equipped to deal with complex situations by recognizing the underlying motivations at play. As a result, we are better able to work together to resolve conflicts and appreciate the rich tapestry of perspectives that informs our shared history.</w:t>
      </w:r>
    </w:p>
    <w:p w14:paraId="68AF68A4" w14:textId="77777777" w:rsidR="00CF3568" w:rsidRDefault="004D2F90">
      <w:r>
        <w:t>The end of this introspective notebook serves as a sobering reminder that my journey has only just begun. I intend to apply everything I've learned to create a work environment where everyone feels safe to be themselves and where different points of view are valued. This program has provided me with a toolkit that will help me succeed in my current role and position while also preparing me to make a positive impact on the professional community at large.</w:t>
      </w:r>
    </w:p>
    <w:p w14:paraId="2C4E4740" w14:textId="77777777" w:rsidR="00CF3568" w:rsidRDefault="00CF3568"/>
    <w:p w14:paraId="52103CC3" w14:textId="77777777" w:rsidR="00CF3568" w:rsidRDefault="004D2F90">
      <w:pPr>
        <w:pStyle w:val="Heading2"/>
      </w:pPr>
      <w:bookmarkStart w:id="18" w:name="_z337ya" w:colFirst="0" w:colLast="0"/>
      <w:bookmarkEnd w:id="18"/>
      <w:r>
        <w:t xml:space="preserve">Concluding Remark of the Holistic Journey </w:t>
      </w:r>
    </w:p>
    <w:p w14:paraId="53F7EEDD" w14:textId="77777777" w:rsidR="00CF3568" w:rsidRDefault="004D2F90">
      <w:r>
        <w:t>Overall, the trip from Week 1 through Week 9 has been an in-depth look at the complex dynamics at play between individual and group values, attitudes, and beliefs on the job. I have gained a deeper appreciation for the roles that self-reflection, critical analysis, and introspection play in shaping behaviour, interpersonal dynamics, and company culture. The knowledge I've gained has equipped me with the abilities I need to support people, communicate effectively, and more closely align my values with those of my company. This self-reflective learning experience has not only advanced my professional career but also hardened my resolve to contribute positively in a diverse workplace.</w:t>
      </w:r>
    </w:p>
    <w:p w14:paraId="69936EF2" w14:textId="77777777" w:rsidR="00CF3568" w:rsidRDefault="00CF3568"/>
    <w:p w14:paraId="581431E0" w14:textId="77777777" w:rsidR="00CF3568" w:rsidRDefault="00CF3568"/>
    <w:p w14:paraId="19CA30CC" w14:textId="77777777" w:rsidR="00CF3568" w:rsidRDefault="00CF3568"/>
    <w:p w14:paraId="7CBED474" w14:textId="77777777" w:rsidR="00CF3568" w:rsidRDefault="00CF3568"/>
    <w:p w14:paraId="3FE957E2" w14:textId="77777777" w:rsidR="00CF3568" w:rsidRDefault="004D2F90">
      <w:pPr>
        <w:spacing w:line="259" w:lineRule="auto"/>
        <w:jc w:val="left"/>
      </w:pPr>
      <w:r>
        <w:br w:type="page"/>
      </w:r>
    </w:p>
    <w:p w14:paraId="75DD4899" w14:textId="77777777" w:rsidR="00CF3568" w:rsidRDefault="004D2F90">
      <w:pPr>
        <w:pStyle w:val="Heading1"/>
      </w:pPr>
      <w:bookmarkStart w:id="19" w:name="_3j2qqm3" w:colFirst="0" w:colLast="0"/>
      <w:bookmarkEnd w:id="19"/>
      <w:r>
        <w:t>Conclusion</w:t>
      </w:r>
    </w:p>
    <w:p w14:paraId="45370B12" w14:textId="77777777" w:rsidR="00CF3568" w:rsidRDefault="004D2F90">
      <w:r>
        <w:t>This project explores the complex terrain of group dynamics and individual development to reveal a confluence of macro and microelements in the working world. The report's examination of a selected Organisation's beliefs, attitudes, and values provides the groundwork for robust post-COVID adjustments. At the same time, the reflective learning diary documents an individual's journey, illuminating how contemplation, analysis, and self-awareness add depth to one's comprehension of professional conduct. Collectively, these sections highlight the need for empathy, open-mindedness, and alignment in creating harmonious workplaces, as well as the symbiotic interaction between Organisational and personal factors. This double-pronged investigation not only acknowledges the transforming power of self-discovery in the quest for professional success but also sheds light on the broader terrain of human interaction inside companies.</w:t>
      </w:r>
    </w:p>
    <w:p w14:paraId="6BB0842F" w14:textId="77777777" w:rsidR="00CF3568" w:rsidRDefault="00CF3568"/>
    <w:p w14:paraId="6DCBE653" w14:textId="77777777" w:rsidR="00CF3568" w:rsidRDefault="00CF3568"/>
    <w:p w14:paraId="424FE388" w14:textId="77777777" w:rsidR="00CF3568" w:rsidRDefault="004D2F90">
      <w:pPr>
        <w:spacing w:line="259" w:lineRule="auto"/>
        <w:jc w:val="left"/>
      </w:pPr>
      <w:r>
        <w:br w:type="page"/>
      </w:r>
    </w:p>
    <w:p w14:paraId="0DD8A91B" w14:textId="77777777" w:rsidR="00CF3568" w:rsidRDefault="004D2F90">
      <w:pPr>
        <w:pStyle w:val="Heading1"/>
      </w:pPr>
      <w:bookmarkStart w:id="20" w:name="_1y810tw" w:colFirst="0" w:colLast="0"/>
      <w:bookmarkEnd w:id="20"/>
      <w:r>
        <w:t>References</w:t>
      </w:r>
    </w:p>
    <w:p w14:paraId="4BDC3C56" w14:textId="77777777" w:rsidR="00CF3568" w:rsidRDefault="004D2F90">
      <w:pPr>
        <w:spacing w:after="180"/>
        <w:ind w:left="450" w:hanging="450"/>
      </w:pPr>
      <w:r>
        <w:t>Akter, S., 2012. Employee Satisfaction of SAINSBURY'S An Exploratory Study. </w:t>
      </w:r>
      <w:r>
        <w:rPr>
          <w:i/>
        </w:rPr>
        <w:t>International Journal of Academic Research in Business and Social Sciences</w:t>
      </w:r>
      <w:r>
        <w:t>, </w:t>
      </w:r>
      <w:r>
        <w:rPr>
          <w:i/>
        </w:rPr>
        <w:t>2</w:t>
      </w:r>
      <w:r>
        <w:t>(8), p.316.</w:t>
      </w:r>
    </w:p>
    <w:p w14:paraId="5B038CAD" w14:textId="77777777" w:rsidR="00CF3568" w:rsidRDefault="004D2F90">
      <w:pPr>
        <w:spacing w:after="180"/>
        <w:ind w:left="450" w:hanging="450"/>
      </w:pPr>
      <w:r>
        <w:t>Alfaro-LeFevre, R., 2016. Critical thinking indicators. </w:t>
      </w:r>
      <w:r>
        <w:rPr>
          <w:i/>
        </w:rPr>
        <w:t>Stuart. Teaching Smart</w:t>
      </w:r>
      <w:r>
        <w:t>.</w:t>
      </w:r>
    </w:p>
    <w:p w14:paraId="3238B618" w14:textId="77777777" w:rsidR="00CF3568" w:rsidRDefault="004D2F90">
      <w:pPr>
        <w:spacing w:after="180"/>
        <w:ind w:left="450" w:hanging="450"/>
      </w:pPr>
      <w:r>
        <w:t>Aluko, O. and Knight, H., 2017. From corner store to superstore: a historical analysis of Sainsbury’s co-evolution. </w:t>
      </w:r>
      <w:r>
        <w:rPr>
          <w:i/>
        </w:rPr>
        <w:t>Journal of Management History</w:t>
      </w:r>
      <w:r>
        <w:t>, </w:t>
      </w:r>
      <w:r>
        <w:rPr>
          <w:i/>
        </w:rPr>
        <w:t>23</w:t>
      </w:r>
      <w:r>
        <w:t>(4), pp.423-435.</w:t>
      </w:r>
    </w:p>
    <w:p w14:paraId="44AE8A1D" w14:textId="77777777" w:rsidR="00CF3568" w:rsidRDefault="004D2F90">
      <w:pPr>
        <w:spacing w:after="180"/>
        <w:ind w:left="450" w:hanging="450"/>
      </w:pPr>
      <w:r>
        <w:t>Anglim, J., Sojo, V., Ashford, L.J., Newman, A. and Marty, A., 2019. Predicting employee attitudes to workplace diversity from personality, values, and cognitive ability. </w:t>
      </w:r>
      <w:r>
        <w:rPr>
          <w:i/>
        </w:rPr>
        <w:t>Journal of Research in Personality</w:t>
      </w:r>
      <w:r>
        <w:t>, </w:t>
      </w:r>
      <w:r>
        <w:rPr>
          <w:i/>
        </w:rPr>
        <w:t>83</w:t>
      </w:r>
      <w:r>
        <w:t>, p.103865.</w:t>
      </w:r>
    </w:p>
    <w:p w14:paraId="76F55ABD" w14:textId="77777777" w:rsidR="00CF3568" w:rsidRDefault="004D2F90">
      <w:pPr>
        <w:spacing w:after="180"/>
        <w:ind w:left="450" w:hanging="450"/>
      </w:pPr>
      <w:r>
        <w:t>Bhatti, A., Akram, H., Basit, H.M., Khan, A.U., Raza, S.M. and Naqvi, M.B., 2020. E-commerce trends during COVID-19 Pandemic. </w:t>
      </w:r>
      <w:r>
        <w:rPr>
          <w:i/>
        </w:rPr>
        <w:t>International Journal of Future Generation Communication and Networking</w:t>
      </w:r>
      <w:r>
        <w:t>, </w:t>
      </w:r>
      <w:r>
        <w:rPr>
          <w:i/>
        </w:rPr>
        <w:t>13</w:t>
      </w:r>
      <w:r>
        <w:t xml:space="preserve">(2), pp.1449-1452. </w:t>
      </w:r>
    </w:p>
    <w:p w14:paraId="3DA70D8E" w14:textId="77777777" w:rsidR="00CF3568" w:rsidRDefault="004D2F90">
      <w:pPr>
        <w:spacing w:after="180"/>
        <w:ind w:left="450" w:hanging="450"/>
      </w:pPr>
      <w:r>
        <w:t>Cakula, S. and Pratt, M., 2021. Communication Technologies in a Remote Workplace. </w:t>
      </w:r>
      <w:r>
        <w:rPr>
          <w:i/>
        </w:rPr>
        <w:t>Baltic Journal of Modern Computing</w:t>
      </w:r>
      <w:r>
        <w:t>, </w:t>
      </w:r>
      <w:r>
        <w:rPr>
          <w:i/>
        </w:rPr>
        <w:t>9</w:t>
      </w:r>
      <w:r>
        <w:t>(2).</w:t>
      </w:r>
    </w:p>
    <w:p w14:paraId="4CBFD508" w14:textId="77777777" w:rsidR="00CF3568" w:rsidRDefault="004D2F90">
      <w:pPr>
        <w:spacing w:after="180"/>
        <w:ind w:left="450" w:hanging="450"/>
      </w:pPr>
      <w:r>
        <w:t>Chatterjee, S., Chaudhuri, R., Vrontis, D. and Thrassou, A., 2022. Workforce service quality in the post-COVID-19 era: from the perspective of organisation data-driven competency. </w:t>
      </w:r>
      <w:r>
        <w:rPr>
          <w:i/>
        </w:rPr>
        <w:t>Production Planning &amp; Control</w:t>
      </w:r>
      <w:r>
        <w:t xml:space="preserve">, pp.1-14. </w:t>
      </w:r>
    </w:p>
    <w:p w14:paraId="765C6294" w14:textId="77777777" w:rsidR="00CF3568" w:rsidRDefault="004D2F90">
      <w:pPr>
        <w:spacing w:after="180"/>
        <w:ind w:left="450" w:hanging="450"/>
      </w:pPr>
      <w:r>
        <w:t>Chu, V., Fitzgerald, T. and Thomaz, A.L., 2016, March. Learning object affordances by leveraging the combination of human-guidance and self-exploration. In </w:t>
      </w:r>
      <w:r>
        <w:rPr>
          <w:i/>
        </w:rPr>
        <w:t>2016 11th ACM/IEEE international conference on human-robot interaction (HRI)</w:t>
      </w:r>
      <w:r>
        <w:t xml:space="preserve"> (pp. 221-228). IEEE. </w:t>
      </w:r>
    </w:p>
    <w:p w14:paraId="513EBD54" w14:textId="77777777" w:rsidR="00CF3568" w:rsidRDefault="004D2F90">
      <w:pPr>
        <w:spacing w:after="180"/>
        <w:ind w:left="450" w:hanging="450"/>
      </w:pPr>
      <w:r>
        <w:t>Cletus, H.E., Mahmood, N.A., Umar, A. and Ibrahim, A.D., 2018. Prospects and challenges of workplace diversity in modern day organizations: A critical review. </w:t>
      </w:r>
      <w:r>
        <w:rPr>
          <w:i/>
        </w:rPr>
        <w:t>HOLISTICA–Journal of Business and Public Administration</w:t>
      </w:r>
      <w:r>
        <w:t>, </w:t>
      </w:r>
      <w:r>
        <w:rPr>
          <w:i/>
        </w:rPr>
        <w:t>9</w:t>
      </w:r>
      <w:r>
        <w:t xml:space="preserve">(2), pp.35-52. </w:t>
      </w:r>
    </w:p>
    <w:p w14:paraId="6EF21934" w14:textId="77777777" w:rsidR="00CF3568" w:rsidRDefault="004D2F90">
      <w:pPr>
        <w:spacing w:after="180"/>
        <w:ind w:left="450" w:hanging="450"/>
      </w:pPr>
      <w:r>
        <w:t>Eagly, A.H. and Chin, J.L., 2017. Diversity and leadership in a changing world. </w:t>
      </w:r>
      <w:r>
        <w:rPr>
          <w:i/>
        </w:rPr>
        <w:t>American psychologist</w:t>
      </w:r>
      <w:r>
        <w:t>, </w:t>
      </w:r>
      <w:r>
        <w:rPr>
          <w:i/>
        </w:rPr>
        <w:t>65</w:t>
      </w:r>
      <w:r>
        <w:t xml:space="preserve">(3), p.216. </w:t>
      </w:r>
    </w:p>
    <w:p w14:paraId="58BDC9FD" w14:textId="77777777" w:rsidR="00CF3568" w:rsidRDefault="004D2F90">
      <w:pPr>
        <w:spacing w:after="180"/>
        <w:ind w:left="450" w:hanging="450"/>
      </w:pPr>
      <w:r>
        <w:t>Hu, Q., Dinev, T., Hart, P. and Cooke, D., 2012. Managing employee compliance with information security policies: The critical role of top management and organizational culture. </w:t>
      </w:r>
      <w:r>
        <w:rPr>
          <w:i/>
        </w:rPr>
        <w:t>Decision Sciences</w:t>
      </w:r>
      <w:r>
        <w:t>, </w:t>
      </w:r>
      <w:r>
        <w:rPr>
          <w:i/>
        </w:rPr>
        <w:t>43</w:t>
      </w:r>
      <w:r>
        <w:t xml:space="preserve">(4), pp.615-660. </w:t>
      </w:r>
    </w:p>
    <w:p w14:paraId="03FAD08C" w14:textId="77777777" w:rsidR="00CF3568" w:rsidRDefault="004D2F90">
      <w:pPr>
        <w:spacing w:after="180"/>
        <w:ind w:left="450" w:hanging="450"/>
      </w:pPr>
      <w:r>
        <w:t>Jones, J.S., Murray, S.R. and Tapp, S.R., 2018. Generational differences in the workplace. </w:t>
      </w:r>
      <w:r>
        <w:rPr>
          <w:i/>
        </w:rPr>
        <w:t>Journal of Business Diversity</w:t>
      </w:r>
      <w:r>
        <w:t>, </w:t>
      </w:r>
      <w:r>
        <w:rPr>
          <w:i/>
        </w:rPr>
        <w:t>18</w:t>
      </w:r>
      <w:r>
        <w:t xml:space="preserve">(2). </w:t>
      </w:r>
    </w:p>
    <w:p w14:paraId="481F31F9" w14:textId="77777777" w:rsidR="00CF3568" w:rsidRDefault="004D2F90">
      <w:pPr>
        <w:spacing w:after="180"/>
        <w:ind w:left="450" w:hanging="450"/>
      </w:pPr>
      <w:r>
        <w:t>Karbalaei, A., 2012. Critical thinking and academic achievement. </w:t>
      </w:r>
      <w:r>
        <w:rPr>
          <w:i/>
        </w:rPr>
        <w:t>Íkala, revista de lenguaje y cultura</w:t>
      </w:r>
      <w:r>
        <w:t>, </w:t>
      </w:r>
      <w:r>
        <w:rPr>
          <w:i/>
        </w:rPr>
        <w:t>17</w:t>
      </w:r>
      <w:r>
        <w:t>(2), pp.121-128.</w:t>
      </w:r>
    </w:p>
    <w:p w14:paraId="6FCCF040" w14:textId="77777777" w:rsidR="00CF3568" w:rsidRDefault="004D2F90">
      <w:pPr>
        <w:spacing w:after="180"/>
        <w:ind w:left="450" w:hanging="450"/>
      </w:pPr>
      <w:r>
        <w:t>Kivunja, C., 2015. Using De Bono’s six thinking hats model to teach critical thinking and problem solving skills essential for success in the 21st century economy. </w:t>
      </w:r>
      <w:r>
        <w:rPr>
          <w:i/>
        </w:rPr>
        <w:t>Creative Education</w:t>
      </w:r>
      <w:r>
        <w:t>, </w:t>
      </w:r>
      <w:r>
        <w:rPr>
          <w:i/>
        </w:rPr>
        <w:t>6</w:t>
      </w:r>
      <w:r>
        <w:t>(03), p.380.</w:t>
      </w:r>
    </w:p>
    <w:p w14:paraId="2429BC71" w14:textId="77777777" w:rsidR="00CF3568" w:rsidRDefault="004D2F90">
      <w:pPr>
        <w:spacing w:after="180"/>
        <w:ind w:left="450" w:hanging="450"/>
      </w:pPr>
      <w:r>
        <w:t>Ladicky, L., Shi, J. and Pollefeys, M., 2014. Pulling things out of perspective. In </w:t>
      </w:r>
      <w:r>
        <w:rPr>
          <w:i/>
        </w:rPr>
        <w:t>Proceedings of the IEEE conference on computer vision and pattern recognition</w:t>
      </w:r>
      <w:r>
        <w:t xml:space="preserve"> (pp. 89-96). </w:t>
      </w:r>
    </w:p>
    <w:p w14:paraId="702EF1D2" w14:textId="77777777" w:rsidR="00CF3568" w:rsidRDefault="004D2F90">
      <w:pPr>
        <w:spacing w:after="180"/>
        <w:ind w:left="450" w:hanging="450"/>
      </w:pPr>
      <w:r>
        <w:t>Lai, E.R., 2017. Critical thinking: A literature review. </w:t>
      </w:r>
      <w:r>
        <w:rPr>
          <w:i/>
        </w:rPr>
        <w:t>Pearson's Research Reports</w:t>
      </w:r>
      <w:r>
        <w:t>, </w:t>
      </w:r>
      <w:r>
        <w:rPr>
          <w:i/>
        </w:rPr>
        <w:t>6</w:t>
      </w:r>
      <w:r>
        <w:t>(1), pp.40-41.</w:t>
      </w:r>
    </w:p>
    <w:p w14:paraId="53FFFD06" w14:textId="77777777" w:rsidR="00CF3568" w:rsidRDefault="004D2F90">
      <w:pPr>
        <w:spacing w:after="180"/>
        <w:ind w:left="450" w:hanging="450"/>
      </w:pPr>
      <w:r>
        <w:t>McAdam, R., Miller, K. and McSorley, C., 2019. Towards a contingency theory perspective of quality management in enabling strategic alignment. </w:t>
      </w:r>
      <w:r>
        <w:rPr>
          <w:i/>
        </w:rPr>
        <w:t>International Journal of Production Economics</w:t>
      </w:r>
      <w:r>
        <w:t>, </w:t>
      </w:r>
      <w:r>
        <w:rPr>
          <w:i/>
        </w:rPr>
        <w:t>207</w:t>
      </w:r>
      <w:r>
        <w:t>, pp.195-209.</w:t>
      </w:r>
    </w:p>
    <w:p w14:paraId="1E9AB310" w14:textId="77777777" w:rsidR="00CF3568" w:rsidRDefault="004D2F90">
      <w:pPr>
        <w:spacing w:after="180"/>
        <w:ind w:left="450" w:hanging="450"/>
      </w:pPr>
      <w:r>
        <w:t xml:space="preserve">Mikes, A. and Kaplan, R.S., 2014, October. Towards a contingency theory of enterprise risk management. AAA. </w:t>
      </w:r>
    </w:p>
    <w:p w14:paraId="2FD42529" w14:textId="77777777" w:rsidR="00CF3568" w:rsidRDefault="004D2F90">
      <w:pPr>
        <w:spacing w:after="180"/>
        <w:ind w:left="450" w:hanging="450"/>
      </w:pPr>
      <w:r>
        <w:t xml:space="preserve">Oakley, R.S., 2020. To See, To Do, To Be. </w:t>
      </w:r>
    </w:p>
    <w:p w14:paraId="78A26025" w14:textId="77777777" w:rsidR="00CF3568" w:rsidRDefault="004D2F90">
      <w:pPr>
        <w:spacing w:after="180"/>
        <w:ind w:left="450" w:hanging="450"/>
      </w:pPr>
      <w:r>
        <w:t>Pantano, E., Pizzi, G., Scarpi, D. and Dennis, C., 2020. Competing during a pandemic? Retailers’ ups and downs during the COVID-19 outbreak. </w:t>
      </w:r>
      <w:r>
        <w:rPr>
          <w:i/>
        </w:rPr>
        <w:t>Journal of Business research</w:t>
      </w:r>
      <w:r>
        <w:t>, </w:t>
      </w:r>
      <w:r>
        <w:rPr>
          <w:i/>
        </w:rPr>
        <w:t>116</w:t>
      </w:r>
      <w:r>
        <w:t xml:space="preserve">, pp.209-213. </w:t>
      </w:r>
    </w:p>
    <w:p w14:paraId="084F6BDF" w14:textId="77777777" w:rsidR="00CF3568" w:rsidRDefault="004D2F90">
      <w:pPr>
        <w:spacing w:after="180"/>
        <w:ind w:left="450" w:hanging="450"/>
      </w:pPr>
      <w:r>
        <w:t xml:space="preserve">Sainsbury's (2023). </w:t>
      </w:r>
      <w:r>
        <w:rPr>
          <w:i/>
        </w:rPr>
        <w:t>Sainsbury’s</w:t>
      </w:r>
      <w:r>
        <w:t xml:space="preserve">. [online] Sainsburys.co.uk. Available at: </w:t>
      </w:r>
      <w:hyperlink r:id="rId8">
        <w:r>
          <w:rPr>
            <w:color w:val="0563C1"/>
            <w:u w:val="single"/>
          </w:rPr>
          <w:t>https://www.sainsburys.co.uk/</w:t>
        </w:r>
      </w:hyperlink>
      <w:r>
        <w:t>.</w:t>
      </w:r>
    </w:p>
    <w:p w14:paraId="69EA0A39" w14:textId="77777777" w:rsidR="00CF3568" w:rsidRDefault="004D2F90">
      <w:pPr>
        <w:spacing w:after="180"/>
        <w:ind w:left="450" w:hanging="450"/>
      </w:pPr>
      <w:r>
        <w:t>Saxena, A., 2014. Workforce diversity: A key to improve productivity. </w:t>
      </w:r>
      <w:r>
        <w:rPr>
          <w:i/>
        </w:rPr>
        <w:t>Procedia economics and finance</w:t>
      </w:r>
      <w:r>
        <w:t>, </w:t>
      </w:r>
      <w:r>
        <w:rPr>
          <w:i/>
        </w:rPr>
        <w:t>11</w:t>
      </w:r>
      <w:r>
        <w:t xml:space="preserve">, pp.76-85. </w:t>
      </w:r>
    </w:p>
    <w:p w14:paraId="52972019" w14:textId="77777777" w:rsidR="00CF3568" w:rsidRDefault="004D2F90">
      <w:pPr>
        <w:spacing w:after="180"/>
        <w:ind w:left="450" w:hanging="450"/>
      </w:pPr>
      <w:r>
        <w:t>Sharma, D.N.K. and Kumar, N., 2022. </w:t>
      </w:r>
      <w:r>
        <w:rPr>
          <w:i/>
        </w:rPr>
        <w:t>Post-Pandemic Human Resource Management: Challenges and Opportunities</w:t>
      </w:r>
      <w:r>
        <w:t xml:space="preserve">. SSRN. </w:t>
      </w:r>
    </w:p>
    <w:p w14:paraId="0AB72E6F" w14:textId="77777777" w:rsidR="00CF3568" w:rsidRDefault="004D2F90">
      <w:pPr>
        <w:spacing w:after="180"/>
        <w:ind w:left="450" w:hanging="450"/>
      </w:pPr>
      <w:r>
        <w:t>Thomas, C.M. and Kellgren, M., 2017. Benner’s novice to expert model: An application for simulation facilitators. </w:t>
      </w:r>
      <w:r>
        <w:rPr>
          <w:i/>
        </w:rPr>
        <w:t>Nursing science quarterly</w:t>
      </w:r>
      <w:r>
        <w:t>, </w:t>
      </w:r>
      <w:r>
        <w:rPr>
          <w:i/>
        </w:rPr>
        <w:t>30</w:t>
      </w:r>
      <w:r>
        <w:t>(3), pp.227-234.</w:t>
      </w:r>
    </w:p>
    <w:p w14:paraId="307D1983" w14:textId="77777777" w:rsidR="00CF3568" w:rsidRDefault="004D2F90">
      <w:pPr>
        <w:spacing w:after="180"/>
        <w:ind w:left="450" w:hanging="450"/>
      </w:pPr>
      <w:r>
        <w:t>Trzupek, B., 2020. PKI is key to securing a post-Covid remote workforce. </w:t>
      </w:r>
      <w:r>
        <w:rPr>
          <w:i/>
        </w:rPr>
        <w:t>Computer Fraud &amp; Security</w:t>
      </w:r>
      <w:r>
        <w:t>, </w:t>
      </w:r>
      <w:r>
        <w:rPr>
          <w:i/>
        </w:rPr>
        <w:t>2020</w:t>
      </w:r>
      <w:r>
        <w:t xml:space="preserve">(10), pp.11-13. </w:t>
      </w:r>
    </w:p>
    <w:p w14:paraId="4A48917A" w14:textId="77777777" w:rsidR="00CF3568" w:rsidRDefault="004D2F90">
      <w:pPr>
        <w:spacing w:after="180"/>
        <w:ind w:left="450" w:hanging="450"/>
      </w:pPr>
      <w:r>
        <w:t>Young, W., Davis, M., McNeill, I.M., Malhotra, B., Russell, S., Unsworth, K. and Clegg, C.W., 2015. Changing behaviour: Successful environmental programmes in the workplace. </w:t>
      </w:r>
      <w:r>
        <w:rPr>
          <w:i/>
        </w:rPr>
        <w:t>Business Strategy and the Environment</w:t>
      </w:r>
      <w:r>
        <w:t>, </w:t>
      </w:r>
      <w:r>
        <w:rPr>
          <w:i/>
        </w:rPr>
        <w:t>24</w:t>
      </w:r>
      <w:r>
        <w:t xml:space="preserve">(8), pp.689-703. </w:t>
      </w:r>
    </w:p>
    <w:p w14:paraId="5D01DBD2" w14:textId="77777777" w:rsidR="00CF3568" w:rsidRDefault="004D2F90">
      <w:pPr>
        <w:spacing w:after="180"/>
        <w:ind w:left="450" w:hanging="450"/>
      </w:pPr>
      <w:r>
        <w:t xml:space="preserve">Ypapanti, A. and Constantoglou, M., 2021. The Impact of Leadership on the Motivation of Hotel Employee During the Pandemic Era: Evidence from Greece. </w:t>
      </w:r>
    </w:p>
    <w:p w14:paraId="2B5AF3B6" w14:textId="77777777" w:rsidR="00CF3568" w:rsidRDefault="004D2F90">
      <w:pPr>
        <w:spacing w:after="180"/>
        <w:ind w:left="450" w:hanging="450"/>
      </w:pPr>
      <w:r>
        <w:t>Zappalà, S., Toscano, F. and Topa, G., 2021. The implementation of a remote work program in an italian municipality before covid-19: Suggestions to hr officers for the post-covid-19 era. </w:t>
      </w:r>
      <w:r>
        <w:rPr>
          <w:i/>
        </w:rPr>
        <w:t>European Journal of Investigation in Health, Psychology and Education</w:t>
      </w:r>
      <w:r>
        <w:t>, </w:t>
      </w:r>
      <w:r>
        <w:rPr>
          <w:i/>
        </w:rPr>
        <w:t>11</w:t>
      </w:r>
      <w:r>
        <w:t>(3), pp.866-877.</w:t>
      </w:r>
    </w:p>
    <w:sectPr w:rsidR="00CF356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3C2EE" w14:textId="77777777" w:rsidR="004D2F90" w:rsidRDefault="004D2F90">
      <w:pPr>
        <w:spacing w:after="0" w:line="240" w:lineRule="auto"/>
      </w:pPr>
      <w:r>
        <w:separator/>
      </w:r>
    </w:p>
  </w:endnote>
  <w:endnote w:type="continuationSeparator" w:id="0">
    <w:p w14:paraId="70E3C70F" w14:textId="77777777" w:rsidR="004D2F90" w:rsidRDefault="004D2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C46F4" w14:textId="77777777" w:rsidR="00CF3568" w:rsidRDefault="004D2F9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E7720A">
      <w:rPr>
        <w:color w:val="000000"/>
      </w:rPr>
      <w:fldChar w:fldCharType="separate"/>
    </w:r>
    <w:r>
      <w:rPr>
        <w:color w:val="000000"/>
      </w:rPr>
      <w:fldChar w:fldCharType="end"/>
    </w:r>
  </w:p>
  <w:p w14:paraId="276B00CB" w14:textId="77777777" w:rsidR="00CF3568" w:rsidRDefault="00CF356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61B87" w14:textId="77777777" w:rsidR="004D2F90" w:rsidRDefault="004D2F90">
      <w:pPr>
        <w:spacing w:after="0" w:line="240" w:lineRule="auto"/>
      </w:pPr>
      <w:r>
        <w:separator/>
      </w:r>
    </w:p>
  </w:footnote>
  <w:footnote w:type="continuationSeparator" w:id="0">
    <w:p w14:paraId="46516D6D" w14:textId="77777777" w:rsidR="004D2F90" w:rsidRDefault="004D2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65745"/>
    <w:multiLevelType w:val="multilevel"/>
    <w:tmpl w:val="FFFFFFFF"/>
    <w:lvl w:ilvl="0">
      <w:start w:val="1"/>
      <w:numFmt w:val="bullet"/>
      <w:lvlText w:val="✔"/>
      <w:lvlJc w:val="left"/>
      <w:pPr>
        <w:ind w:left="360" w:hanging="360"/>
      </w:pPr>
      <w:rPr>
        <w:rFonts w:ascii="Noto Sans Symbols" w:eastAsia="Noto Sans Symbols" w:hAnsi="Noto Sans Symbols" w:cs="Noto Sans Symbols"/>
        <w:b/>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16cid:durableId="42481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68"/>
    <w:rsid w:val="004D2F90"/>
    <w:rsid w:val="00880661"/>
    <w:rsid w:val="00AD32A2"/>
    <w:rsid w:val="00CF3568"/>
    <w:rsid w:val="00D22E1D"/>
    <w:rsid w:val="00E7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6482B0"/>
  <w15:docId w15:val="{BB567000-1E3A-F648-9B80-294EDC2F3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bottom w:val="single" w:sz="4" w:space="1" w:color="000000"/>
      </w:pBdr>
      <w:spacing w:before="240" w:after="0" w:line="240" w:lineRule="auto"/>
      <w:outlineLvl w:val="0"/>
    </w:pPr>
    <w:rPr>
      <w:b/>
      <w:color w:val="4472C4"/>
      <w:sz w:val="32"/>
      <w:szCs w:val="32"/>
    </w:rPr>
  </w:style>
  <w:style w:type="paragraph" w:styleId="Heading2">
    <w:name w:val="heading 2"/>
    <w:basedOn w:val="Normal"/>
    <w:next w:val="Normal"/>
    <w:uiPriority w:val="9"/>
    <w:unhideWhenUsed/>
    <w:qFormat/>
    <w:pPr>
      <w:keepNext/>
      <w:keepLines/>
      <w:spacing w:before="160" w:after="120" w:line="240" w:lineRule="auto"/>
      <w:outlineLvl w:val="1"/>
    </w:pPr>
    <w:rPr>
      <w:b/>
      <w:color w:val="4472C4"/>
      <w:sz w:val="28"/>
      <w:szCs w:val="28"/>
    </w:rPr>
  </w:style>
  <w:style w:type="paragraph" w:styleId="Heading3">
    <w:name w:val="heading 3"/>
    <w:basedOn w:val="Normal"/>
    <w:next w:val="Normal"/>
    <w:uiPriority w:val="9"/>
    <w:semiHidden/>
    <w:unhideWhenUsed/>
    <w:qFormat/>
    <w:pPr>
      <w:keepNext/>
      <w:keepLines/>
      <w:spacing w:before="40" w:after="0"/>
      <w:outlineLvl w:val="2"/>
    </w:pPr>
    <w:rPr>
      <w:color w:val="4472C4"/>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insburys.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6002</Words>
  <Characters>34215</Characters>
  <Application>Microsoft Office Word</Application>
  <DocSecurity>0</DocSecurity>
  <Lines>285</Lines>
  <Paragraphs>80</Paragraphs>
  <ScaleCrop>false</ScaleCrop>
  <Company/>
  <LinksUpToDate>false</LinksUpToDate>
  <CharactersWithSpaces>40137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Sofia Moreno</cp:lastModifiedBy>
  <cp:revision>2</cp:revision>
  <dcterms:created xsi:type="dcterms:W3CDTF">2023-08-23T23:30:00Z</dcterms:created>
  <dcterms:modified xsi:type="dcterms:W3CDTF">2023-08-23T23:30:00Z</dcterms:modified>
</cp:coreProperties>
</file>