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D854B" w14:textId="26414FC7" w:rsidR="00861A3A" w:rsidRPr="00861A3A" w:rsidRDefault="003359A7" w:rsidP="00861A3A">
      <w:pPr>
        <w:spacing w:line="480" w:lineRule="auto"/>
        <w:rPr>
          <w:rFonts w:ascii="Arial" w:hAnsi="Arial" w:cs="Arial"/>
          <w:color w:val="000000"/>
        </w:rPr>
      </w:pPr>
      <w:r>
        <w:rPr>
          <w:rStyle w:val="contentcontrolboundarysink"/>
          <w:rFonts w:ascii="Arial" w:hAnsi="Arial" w:cs="Arial"/>
          <w:color w:val="000000"/>
        </w:rPr>
        <w:t>​</w:t>
      </w:r>
      <w:r w:rsidR="00861A3A" w:rsidRPr="00861A3A">
        <w:rPr>
          <w:rFonts w:ascii="Arial" w:hAnsi="Arial" w:cs="Arial"/>
          <w:color w:val="000000"/>
        </w:rPr>
        <w:t xml:space="preserve">I acknowledge the use of Google Scholar, </w:t>
      </w:r>
      <w:hyperlink r:id="rId7" w:tgtFrame="_blank" w:history="1">
        <w:r w:rsidR="00861A3A" w:rsidRPr="00861A3A">
          <w:rPr>
            <w:rStyle w:val="Hyperlink"/>
            <w:rFonts w:ascii="Arial" w:hAnsi="Arial" w:cs="Arial"/>
          </w:rPr>
          <w:t>https://scholar.google.com/</w:t>
        </w:r>
      </w:hyperlink>
      <w:r w:rsidR="00861A3A" w:rsidRPr="00861A3A">
        <w:rPr>
          <w:rFonts w:ascii="Arial" w:hAnsi="Arial" w:cs="Arial"/>
          <w:color w:val="000000"/>
        </w:rPr>
        <w:t>  on multiple dates to search for papers relevant to my assignment. I used the prompt(s):  </w:t>
      </w:r>
    </w:p>
    <w:p w14:paraId="7E6F5486" w14:textId="6809DDB9" w:rsidR="00861A3A" w:rsidRPr="00861A3A" w:rsidRDefault="00861A3A" w:rsidP="00861A3A">
      <w:pPr>
        <w:spacing w:line="480" w:lineRule="auto"/>
        <w:rPr>
          <w:rFonts w:ascii="Arial" w:hAnsi="Arial" w:cs="Arial"/>
          <w:color w:val="000000"/>
        </w:rPr>
      </w:pPr>
      <w:r w:rsidRPr="00861A3A">
        <w:rPr>
          <w:rFonts w:ascii="Arial" w:hAnsi="Arial" w:cs="Arial"/>
          <w:color w:val="000000"/>
        </w:rPr>
        <w:t xml:space="preserve">1. </w:t>
      </w:r>
      <w:r w:rsidR="00EA026E">
        <w:rPr>
          <w:rFonts w:ascii="Arial" w:hAnsi="Arial" w:cs="Arial"/>
          <w:color w:val="000000"/>
        </w:rPr>
        <w:t>Poverty statistics UK</w:t>
      </w:r>
      <w:r w:rsidRPr="00861A3A">
        <w:rPr>
          <w:rFonts w:ascii="Arial" w:hAnsi="Arial" w:cs="Arial"/>
          <w:color w:val="000000"/>
        </w:rPr>
        <w:t> </w:t>
      </w:r>
    </w:p>
    <w:p w14:paraId="100AA76C" w14:textId="69F6D04C" w:rsidR="00861A3A" w:rsidRPr="00861A3A" w:rsidRDefault="00861A3A" w:rsidP="00861A3A">
      <w:pPr>
        <w:spacing w:line="480" w:lineRule="auto"/>
        <w:rPr>
          <w:rFonts w:ascii="Arial" w:hAnsi="Arial" w:cs="Arial"/>
          <w:color w:val="000000"/>
        </w:rPr>
      </w:pPr>
      <w:r w:rsidRPr="00861A3A">
        <w:rPr>
          <w:rFonts w:ascii="Arial" w:hAnsi="Arial" w:cs="Arial"/>
          <w:color w:val="000000"/>
        </w:rPr>
        <w:t xml:space="preserve">2. </w:t>
      </w:r>
      <w:r w:rsidR="00EA026E">
        <w:rPr>
          <w:rFonts w:ascii="Arial" w:hAnsi="Arial" w:cs="Arial"/>
          <w:color w:val="000000"/>
        </w:rPr>
        <w:t>Joseph Rowntree poverty</w:t>
      </w:r>
      <w:r w:rsidRPr="00861A3A">
        <w:rPr>
          <w:rFonts w:ascii="Arial" w:hAnsi="Arial" w:cs="Arial"/>
          <w:color w:val="000000"/>
        </w:rPr>
        <w:t> </w:t>
      </w:r>
    </w:p>
    <w:p w14:paraId="03C58EC3" w14:textId="0CD35C44" w:rsidR="00861A3A" w:rsidRPr="00861A3A" w:rsidRDefault="00861A3A" w:rsidP="00861A3A">
      <w:pPr>
        <w:spacing w:line="480" w:lineRule="auto"/>
        <w:rPr>
          <w:rFonts w:ascii="Arial" w:hAnsi="Arial" w:cs="Arial"/>
          <w:color w:val="000000"/>
        </w:rPr>
      </w:pPr>
      <w:r w:rsidRPr="00861A3A">
        <w:rPr>
          <w:rFonts w:ascii="Arial" w:hAnsi="Arial" w:cs="Arial"/>
          <w:color w:val="000000"/>
        </w:rPr>
        <w:t xml:space="preserve">3. </w:t>
      </w:r>
      <w:r w:rsidR="00A85F34">
        <w:rPr>
          <w:rFonts w:ascii="Arial" w:hAnsi="Arial" w:cs="Arial"/>
          <w:color w:val="000000"/>
        </w:rPr>
        <w:t>Theories cognitive development</w:t>
      </w:r>
      <w:r w:rsidRPr="00861A3A">
        <w:rPr>
          <w:rFonts w:ascii="Arial" w:hAnsi="Arial" w:cs="Arial"/>
          <w:color w:val="000000"/>
        </w:rPr>
        <w:t> </w:t>
      </w:r>
      <w:r w:rsidR="00A85F34">
        <w:rPr>
          <w:rFonts w:ascii="Arial" w:hAnsi="Arial" w:cs="Arial"/>
          <w:color w:val="000000"/>
        </w:rPr>
        <w:t>and systemic</w:t>
      </w:r>
    </w:p>
    <w:p w14:paraId="4D028EFA" w14:textId="0B43156A" w:rsidR="00861A3A" w:rsidRPr="00861A3A" w:rsidRDefault="00861A3A" w:rsidP="00861A3A">
      <w:pPr>
        <w:spacing w:line="480" w:lineRule="auto"/>
        <w:rPr>
          <w:rFonts w:ascii="Arial" w:hAnsi="Arial" w:cs="Arial"/>
          <w:color w:val="000000"/>
        </w:rPr>
      </w:pPr>
      <w:r w:rsidRPr="00861A3A">
        <w:rPr>
          <w:rFonts w:ascii="Arial" w:hAnsi="Arial" w:cs="Arial"/>
          <w:color w:val="000000"/>
        </w:rPr>
        <w:t xml:space="preserve">4. </w:t>
      </w:r>
      <w:r w:rsidR="009C4D48">
        <w:rPr>
          <w:rFonts w:ascii="Arial" w:hAnsi="Arial" w:cs="Arial"/>
          <w:color w:val="000000"/>
        </w:rPr>
        <w:t>Parental mental health poverty</w:t>
      </w:r>
      <w:r w:rsidRPr="00861A3A">
        <w:rPr>
          <w:rFonts w:ascii="Arial" w:hAnsi="Arial" w:cs="Arial"/>
          <w:color w:val="000000"/>
        </w:rPr>
        <w:t> </w:t>
      </w:r>
    </w:p>
    <w:p w14:paraId="7633F93D" w14:textId="2C94B782" w:rsidR="00861A3A" w:rsidRPr="00861A3A" w:rsidRDefault="00861A3A" w:rsidP="00861A3A">
      <w:pPr>
        <w:spacing w:line="480" w:lineRule="auto"/>
        <w:rPr>
          <w:rFonts w:ascii="Arial" w:hAnsi="Arial" w:cs="Arial"/>
          <w:color w:val="000000"/>
        </w:rPr>
      </w:pPr>
      <w:r w:rsidRPr="00861A3A">
        <w:rPr>
          <w:rFonts w:ascii="Arial" w:hAnsi="Arial" w:cs="Arial"/>
          <w:color w:val="000000"/>
        </w:rPr>
        <w:t xml:space="preserve">5. </w:t>
      </w:r>
      <w:r w:rsidR="009C4D48">
        <w:rPr>
          <w:rFonts w:ascii="Arial" w:hAnsi="Arial" w:cs="Arial"/>
          <w:color w:val="000000"/>
        </w:rPr>
        <w:t>Childhood trauma poverty</w:t>
      </w:r>
      <w:r w:rsidRPr="00861A3A">
        <w:rPr>
          <w:rFonts w:ascii="Arial" w:hAnsi="Arial" w:cs="Arial"/>
          <w:color w:val="000000"/>
        </w:rPr>
        <w:t> </w:t>
      </w:r>
    </w:p>
    <w:p w14:paraId="42ED92FE" w14:textId="6F183AE1" w:rsidR="00861A3A" w:rsidRPr="00861A3A" w:rsidRDefault="00861A3A" w:rsidP="00861A3A">
      <w:pPr>
        <w:spacing w:line="480" w:lineRule="auto"/>
        <w:rPr>
          <w:rFonts w:ascii="Arial" w:hAnsi="Arial" w:cs="Arial"/>
          <w:color w:val="000000"/>
        </w:rPr>
      </w:pPr>
      <w:r w:rsidRPr="00861A3A">
        <w:rPr>
          <w:rFonts w:ascii="Arial" w:hAnsi="Arial" w:cs="Arial"/>
          <w:color w:val="000000"/>
        </w:rPr>
        <w:t xml:space="preserve">6. </w:t>
      </w:r>
      <w:r w:rsidR="00694E91">
        <w:rPr>
          <w:rFonts w:ascii="Arial" w:hAnsi="Arial" w:cs="Arial"/>
          <w:color w:val="000000"/>
        </w:rPr>
        <w:t>Cognitive impacts poverty</w:t>
      </w:r>
      <w:r w:rsidRPr="00861A3A">
        <w:rPr>
          <w:rFonts w:ascii="Arial" w:hAnsi="Arial" w:cs="Arial"/>
          <w:color w:val="000000"/>
        </w:rPr>
        <w:t> </w:t>
      </w:r>
    </w:p>
    <w:p w14:paraId="2F2D019A" w14:textId="08C28608" w:rsidR="00861A3A" w:rsidRPr="00861A3A" w:rsidRDefault="00861A3A" w:rsidP="00861A3A">
      <w:pPr>
        <w:spacing w:line="480" w:lineRule="auto"/>
        <w:rPr>
          <w:rFonts w:ascii="Arial" w:hAnsi="Arial" w:cs="Arial"/>
          <w:color w:val="000000"/>
        </w:rPr>
      </w:pPr>
      <w:r w:rsidRPr="00861A3A">
        <w:rPr>
          <w:rFonts w:ascii="Arial" w:hAnsi="Arial" w:cs="Arial"/>
          <w:color w:val="000000"/>
        </w:rPr>
        <w:t xml:space="preserve">7. </w:t>
      </w:r>
      <w:r w:rsidR="007D1234">
        <w:rPr>
          <w:rFonts w:ascii="Arial" w:hAnsi="Arial" w:cs="Arial"/>
          <w:color w:val="000000"/>
        </w:rPr>
        <w:t>Allostatic load</w:t>
      </w:r>
      <w:r w:rsidRPr="00861A3A">
        <w:rPr>
          <w:rFonts w:ascii="Arial" w:hAnsi="Arial" w:cs="Arial"/>
          <w:color w:val="000000"/>
        </w:rPr>
        <w:t>  </w:t>
      </w:r>
    </w:p>
    <w:p w14:paraId="2C22B4E7" w14:textId="6C2A256F" w:rsidR="00861A3A" w:rsidRDefault="00AF3B48" w:rsidP="00861A3A">
      <w:pPr>
        <w:spacing w:line="480" w:lineRule="auto"/>
        <w:rPr>
          <w:rFonts w:ascii="Arial" w:hAnsi="Arial" w:cs="Arial"/>
          <w:color w:val="000000"/>
        </w:rPr>
      </w:pPr>
      <w:r>
        <w:rPr>
          <w:rFonts w:ascii="Arial" w:hAnsi="Arial" w:cs="Arial"/>
          <w:color w:val="000000"/>
        </w:rPr>
        <w:t>8</w:t>
      </w:r>
      <w:r w:rsidR="00861A3A" w:rsidRPr="00861A3A">
        <w:rPr>
          <w:rFonts w:ascii="Arial" w:hAnsi="Arial" w:cs="Arial"/>
          <w:color w:val="000000"/>
        </w:rPr>
        <w:t xml:space="preserve">. </w:t>
      </w:r>
      <w:r w:rsidR="007D1234">
        <w:rPr>
          <w:rFonts w:ascii="Arial" w:hAnsi="Arial" w:cs="Arial"/>
          <w:color w:val="000000"/>
        </w:rPr>
        <w:t>Government initiatives poverty</w:t>
      </w:r>
      <w:r w:rsidR="00861A3A" w:rsidRPr="00861A3A">
        <w:rPr>
          <w:rFonts w:ascii="Arial" w:hAnsi="Arial" w:cs="Arial"/>
          <w:color w:val="000000"/>
        </w:rPr>
        <w:t> </w:t>
      </w:r>
    </w:p>
    <w:p w14:paraId="7B4B6DFC" w14:textId="49F61720" w:rsidR="00AF3B48" w:rsidRPr="00861A3A" w:rsidRDefault="00AF3B48" w:rsidP="00861A3A">
      <w:pPr>
        <w:spacing w:line="480" w:lineRule="auto"/>
        <w:rPr>
          <w:rFonts w:ascii="Arial" w:hAnsi="Arial" w:cs="Arial"/>
          <w:color w:val="000000"/>
        </w:rPr>
      </w:pPr>
      <w:r>
        <w:rPr>
          <w:rFonts w:ascii="Arial" w:hAnsi="Arial" w:cs="Arial"/>
          <w:color w:val="000000"/>
        </w:rPr>
        <w:t>9. Culture differences poverty</w:t>
      </w:r>
    </w:p>
    <w:p w14:paraId="4127D7D7" w14:textId="77777777" w:rsidR="00AF3B48" w:rsidRDefault="00861A3A" w:rsidP="00861A3A">
      <w:pPr>
        <w:spacing w:line="480" w:lineRule="auto"/>
        <w:rPr>
          <w:rFonts w:ascii="Arial" w:hAnsi="Arial" w:cs="Arial"/>
          <w:color w:val="000000"/>
        </w:rPr>
      </w:pPr>
      <w:r w:rsidRPr="00861A3A">
        <w:rPr>
          <w:rFonts w:ascii="Arial" w:hAnsi="Arial" w:cs="Arial"/>
          <w:color w:val="000000"/>
        </w:rPr>
        <w:t>  </w:t>
      </w:r>
    </w:p>
    <w:p w14:paraId="191B9451" w14:textId="6841D8D2" w:rsidR="00861A3A" w:rsidRPr="00861A3A" w:rsidRDefault="00861A3A" w:rsidP="00861A3A">
      <w:pPr>
        <w:spacing w:line="480" w:lineRule="auto"/>
        <w:rPr>
          <w:rFonts w:ascii="Arial" w:hAnsi="Arial" w:cs="Arial"/>
          <w:color w:val="000000"/>
        </w:rPr>
      </w:pPr>
      <w:r w:rsidRPr="00861A3A">
        <w:rPr>
          <w:rFonts w:ascii="Arial" w:hAnsi="Arial" w:cs="Arial"/>
          <w:color w:val="000000"/>
        </w:rPr>
        <w:t>I confirm that I have not presented any AI generated text as my own work. I confirm I have copies of my drafts, notes, and other resources I used before, and after the use of Google scholar  </w:t>
      </w:r>
    </w:p>
    <w:p w14:paraId="2C01F3CC" w14:textId="5215992D" w:rsidR="00273EAE" w:rsidRDefault="00273EAE" w:rsidP="005257ED">
      <w:pPr>
        <w:spacing w:line="480" w:lineRule="auto"/>
        <w:rPr>
          <w:rStyle w:val="contentcontrolboundarysink"/>
          <w:rFonts w:ascii="Arial" w:hAnsi="Arial" w:cs="Arial"/>
          <w:color w:val="000000"/>
        </w:rPr>
      </w:pPr>
    </w:p>
    <w:p w14:paraId="34F35B08" w14:textId="77777777" w:rsidR="00273EAE" w:rsidRDefault="00273EAE">
      <w:pPr>
        <w:rPr>
          <w:rStyle w:val="contentcontrolboundarysink"/>
          <w:rFonts w:ascii="Arial" w:hAnsi="Arial" w:cs="Arial"/>
          <w:color w:val="000000"/>
        </w:rPr>
      </w:pPr>
      <w:r>
        <w:rPr>
          <w:rStyle w:val="contentcontrolboundarysink"/>
          <w:rFonts w:ascii="Arial" w:hAnsi="Arial" w:cs="Arial"/>
          <w:color w:val="000000"/>
        </w:rPr>
        <w:br w:type="page"/>
      </w:r>
    </w:p>
    <w:p w14:paraId="3B32C9DA" w14:textId="61F2A6BC" w:rsidR="00273EAE" w:rsidRDefault="005257ED" w:rsidP="005257ED">
      <w:pPr>
        <w:spacing w:line="480" w:lineRule="auto"/>
        <w:rPr>
          <w:rFonts w:ascii="Arial" w:hAnsi="Arial" w:cs="Arial"/>
          <w:b/>
          <w:bCs/>
        </w:rPr>
      </w:pPr>
      <w:r w:rsidRPr="00BF4867">
        <w:rPr>
          <w:rFonts w:ascii="Arial" w:hAnsi="Arial" w:cs="Arial"/>
          <w:b/>
          <w:bCs/>
        </w:rPr>
        <w:lastRenderedPageBreak/>
        <w:t>Good morning</w:t>
      </w:r>
    </w:p>
    <w:p w14:paraId="6C466169" w14:textId="2150FE26" w:rsidR="005257ED" w:rsidRPr="00BF4867" w:rsidRDefault="005257ED" w:rsidP="005257ED">
      <w:pPr>
        <w:spacing w:line="480" w:lineRule="auto"/>
        <w:rPr>
          <w:rFonts w:ascii="Arial" w:hAnsi="Arial" w:cs="Arial"/>
        </w:rPr>
      </w:pPr>
      <w:r w:rsidRPr="00BF4867">
        <w:rPr>
          <w:rFonts w:ascii="Arial" w:hAnsi="Arial" w:cs="Arial"/>
        </w:rPr>
        <w:t>My name is Emma Williams, and this presentation is part of the module Understanding Trauma and the Mental Health Needs of the Child. ECCY7007</w:t>
      </w:r>
    </w:p>
    <w:p w14:paraId="6313EB42" w14:textId="77777777" w:rsidR="005257ED" w:rsidRPr="00BF4867" w:rsidRDefault="005257ED" w:rsidP="005257ED">
      <w:pPr>
        <w:spacing w:line="480" w:lineRule="auto"/>
        <w:rPr>
          <w:rFonts w:ascii="Arial" w:hAnsi="Arial" w:cs="Arial"/>
        </w:rPr>
      </w:pPr>
      <w:r w:rsidRPr="00BF4867">
        <w:rPr>
          <w:rFonts w:ascii="Arial" w:hAnsi="Arial" w:cs="Arial"/>
        </w:rPr>
        <w:t>Today, the presentation will discuss:</w:t>
      </w:r>
    </w:p>
    <w:p w14:paraId="0E353565" w14:textId="77777777" w:rsidR="005257ED" w:rsidRPr="00BF4867" w:rsidRDefault="005257ED" w:rsidP="005257ED">
      <w:pPr>
        <w:spacing w:line="480" w:lineRule="auto"/>
        <w:rPr>
          <w:rFonts w:ascii="Arial" w:hAnsi="Arial" w:cs="Arial"/>
        </w:rPr>
      </w:pPr>
      <w:r w:rsidRPr="00BF4867">
        <w:rPr>
          <w:rFonts w:ascii="Arial" w:hAnsi="Arial" w:cs="Arial"/>
        </w:rPr>
        <w:t>The Impact of Poverty on the child’s lifelong development while exploring relevant Theoretical Frameworks in relation to the specific age range from birth to 11 years old</w:t>
      </w:r>
    </w:p>
    <w:p w14:paraId="2A4E252E" w14:textId="77777777" w:rsidR="005257ED" w:rsidRPr="00BF4867" w:rsidRDefault="005257ED" w:rsidP="005257ED">
      <w:pPr>
        <w:spacing w:line="480" w:lineRule="auto"/>
        <w:rPr>
          <w:rFonts w:ascii="Arial" w:hAnsi="Arial" w:cs="Arial"/>
        </w:rPr>
      </w:pPr>
      <w:r w:rsidRPr="00BF4867">
        <w:rPr>
          <w:rFonts w:ascii="Arial" w:hAnsi="Arial" w:cs="Arial"/>
        </w:rPr>
        <w:t>Slide 2</w:t>
      </w:r>
    </w:p>
    <w:p w14:paraId="12F5261D" w14:textId="77777777" w:rsidR="005257ED" w:rsidRPr="00BF4867" w:rsidRDefault="005257ED" w:rsidP="005257ED">
      <w:pPr>
        <w:spacing w:line="480" w:lineRule="auto"/>
        <w:rPr>
          <w:rFonts w:ascii="Arial" w:hAnsi="Arial" w:cs="Arial"/>
        </w:rPr>
      </w:pPr>
      <w:r w:rsidRPr="00BF4867">
        <w:rPr>
          <w:rFonts w:ascii="Arial" w:hAnsi="Arial" w:cs="Arial"/>
          <w:b/>
          <w:bCs/>
        </w:rPr>
        <w:t xml:space="preserve">What is poverty? </w:t>
      </w:r>
      <w:r w:rsidRPr="00BF4867">
        <w:rPr>
          <w:rFonts w:ascii="Arial" w:hAnsi="Arial" w:cs="Arial"/>
        </w:rPr>
        <w:br/>
      </w:r>
      <w:r w:rsidRPr="00BF4867">
        <w:rPr>
          <w:rFonts w:ascii="Arial" w:hAnsi="Arial" w:cs="Arial"/>
          <w:lang w:val="en-US"/>
        </w:rPr>
        <w:t>Historically, Rowntree defined poverty as the inability to meet basic needs like food, shelter, and clothing. More recently, the Social Metrics Commission (2023) expands this definition to include insufficient resources for essential needs and societal participation.</w:t>
      </w:r>
    </w:p>
    <w:p w14:paraId="61C3D630" w14:textId="64CE2B69" w:rsidR="005257ED" w:rsidRPr="00BF4867" w:rsidRDefault="005257ED" w:rsidP="005257ED">
      <w:pPr>
        <w:spacing w:line="480" w:lineRule="auto"/>
        <w:rPr>
          <w:rFonts w:ascii="Arial" w:hAnsi="Arial" w:cs="Arial"/>
        </w:rPr>
      </w:pPr>
      <w:r w:rsidRPr="00BF4867">
        <w:rPr>
          <w:rFonts w:ascii="Arial" w:hAnsi="Arial" w:cs="Arial"/>
          <w:lang w:val="en-US"/>
        </w:rPr>
        <w:t>Poverty significantly impacts children’s growth and development from birth to age 11, often causing mental health issues and developmental delays</w:t>
      </w:r>
      <w:r w:rsidR="00B93E71" w:rsidRPr="00BF4867">
        <w:rPr>
          <w:rFonts w:ascii="Arial" w:hAnsi="Arial" w:cs="Arial"/>
          <w:lang w:val="en-US"/>
        </w:rPr>
        <w:t>. Chronic</w:t>
      </w:r>
      <w:r w:rsidRPr="00BF4867">
        <w:rPr>
          <w:rFonts w:ascii="Arial" w:hAnsi="Arial" w:cs="Arial"/>
          <w:lang w:val="en-US"/>
        </w:rPr>
        <w:t xml:space="preserve"> stress disrupts brain maturation, emotional regulation, and academic readiness, with parental financial pressures compounding these effects</w:t>
      </w:r>
      <w:r>
        <w:rPr>
          <w:rFonts w:ascii="Arial" w:hAnsi="Arial" w:cs="Arial"/>
          <w:lang w:val="en-US"/>
        </w:rPr>
        <w:t xml:space="preserve"> </w:t>
      </w:r>
      <w:r w:rsidRPr="00BF4867">
        <w:rPr>
          <w:rFonts w:ascii="Arial" w:hAnsi="Arial" w:cs="Arial"/>
          <w:lang w:val="en-US"/>
        </w:rPr>
        <w:t>(Nelson &amp; Gabard-Durnam, 2020; Perrin et al., 2020).</w:t>
      </w:r>
    </w:p>
    <w:p w14:paraId="30FCDD5C" w14:textId="77777777" w:rsidR="005257ED" w:rsidRPr="00BF4867" w:rsidRDefault="005257ED" w:rsidP="005257ED">
      <w:pPr>
        <w:spacing w:line="480" w:lineRule="auto"/>
        <w:rPr>
          <w:rFonts w:ascii="Arial" w:hAnsi="Arial" w:cs="Arial"/>
        </w:rPr>
      </w:pPr>
      <w:r w:rsidRPr="00BF4867">
        <w:rPr>
          <w:rFonts w:ascii="Arial" w:hAnsi="Arial" w:cs="Arial"/>
          <w:lang w:val="en-US"/>
        </w:rPr>
        <w:t>Globally, over 350 million children live in chronic poverty. In the UK, 4.2 million children (29%) were below the poverty line in 2023, driven by rising living costs, job insecurity, and reduced welfare support.</w:t>
      </w:r>
    </w:p>
    <w:p w14:paraId="6FC4D7CE" w14:textId="77777777" w:rsidR="005257ED" w:rsidRPr="00BF4867" w:rsidRDefault="005257ED" w:rsidP="005257ED">
      <w:pPr>
        <w:spacing w:line="480" w:lineRule="auto"/>
        <w:rPr>
          <w:rFonts w:ascii="Arial" w:hAnsi="Arial" w:cs="Arial"/>
        </w:rPr>
      </w:pPr>
      <w:r w:rsidRPr="00BF4867">
        <w:rPr>
          <w:rFonts w:ascii="Arial" w:hAnsi="Arial" w:cs="Arial"/>
        </w:rPr>
        <w:t xml:space="preserve">Absolute poverty refers to the inability to meet basic survival needs, such as food, shelter, and healthcare (Wang, 2022). UNICEF (2023) estimates over 150 million </w:t>
      </w:r>
      <w:r w:rsidRPr="00BF4867">
        <w:rPr>
          <w:rFonts w:ascii="Arial" w:hAnsi="Arial" w:cs="Arial"/>
        </w:rPr>
        <w:lastRenderedPageBreak/>
        <w:t>children globally live in absolute poverty, with 50% facing severe health issues due to chronic malnutrition and preventable illnesses (Morris, 2022).</w:t>
      </w:r>
    </w:p>
    <w:p w14:paraId="6D97DB51" w14:textId="77777777" w:rsidR="005257ED" w:rsidRPr="00BF4867" w:rsidRDefault="005257ED" w:rsidP="005257ED">
      <w:pPr>
        <w:spacing w:line="480" w:lineRule="auto"/>
        <w:rPr>
          <w:rFonts w:ascii="Arial" w:hAnsi="Arial" w:cs="Arial"/>
        </w:rPr>
      </w:pPr>
      <w:r w:rsidRPr="00BF4867">
        <w:rPr>
          <w:rFonts w:ascii="Arial" w:hAnsi="Arial" w:cs="Arial"/>
        </w:rPr>
        <w:t>Relative poverty, on the other hand is The inability to meet socially accepted living standards (Townsend. 1979).</w:t>
      </w:r>
      <w:r>
        <w:rPr>
          <w:rFonts w:ascii="Arial" w:hAnsi="Arial" w:cs="Arial"/>
        </w:rPr>
        <w:t xml:space="preserve"> D</w:t>
      </w:r>
      <w:r w:rsidRPr="00BF4867">
        <w:rPr>
          <w:rFonts w:ascii="Arial" w:hAnsi="Arial" w:cs="Arial"/>
        </w:rPr>
        <w:t>efined in the UK as living on less than 60% of median household income (Samiyeva, 2022). Children in relative poverty experience a 25% educational attainment gap and are three times more likely to face social exclusion (Chen et al., 2021; Sylva &amp; Eisenstadt, 2024).</w:t>
      </w:r>
    </w:p>
    <w:p w14:paraId="75C59866" w14:textId="77777777" w:rsidR="005257ED" w:rsidRPr="00BF4867" w:rsidRDefault="005257ED" w:rsidP="005257ED">
      <w:pPr>
        <w:spacing w:line="480" w:lineRule="auto"/>
        <w:rPr>
          <w:rFonts w:ascii="Arial" w:hAnsi="Arial" w:cs="Arial"/>
        </w:rPr>
      </w:pPr>
      <w:r w:rsidRPr="00BF4867">
        <w:rPr>
          <w:rFonts w:ascii="Arial" w:hAnsi="Arial" w:cs="Arial"/>
        </w:rPr>
        <w:t>This distinction underscores the dual challenge of addressing immediate survival needs in absolute poverty while tackling systemic inequality in relative poverty (Akarçeşme et al., 2024). Focusing solely on absolute poverty risks overlooking the long-term social impacts of relative poverty (Birkmann et al., 2022).</w:t>
      </w:r>
    </w:p>
    <w:p w14:paraId="38748980" w14:textId="77777777" w:rsidR="005257ED" w:rsidRPr="00BF4867" w:rsidRDefault="005257ED" w:rsidP="005257ED">
      <w:pPr>
        <w:spacing w:line="480" w:lineRule="auto"/>
        <w:rPr>
          <w:rFonts w:ascii="Arial" w:hAnsi="Arial" w:cs="Arial"/>
        </w:rPr>
      </w:pPr>
      <w:r w:rsidRPr="00BF4867">
        <w:rPr>
          <w:rFonts w:ascii="Arial" w:hAnsi="Arial" w:cs="Arial"/>
          <w:b/>
          <w:bCs/>
        </w:rPr>
        <w:t>Situational vs. Generational Poverty</w:t>
      </w:r>
      <w:r w:rsidRPr="00BF4867">
        <w:rPr>
          <w:rFonts w:ascii="Arial" w:hAnsi="Arial" w:cs="Arial"/>
        </w:rPr>
        <w:br/>
        <w:t>Situational poverty arises from temporary financial instability, such as job loss or illness, and often leads to academic and emotional setbacks, with a 30% drop in performance compared to peers (Şengönül, 2021). However, early interventions, such as tutoring and counselling, can help children recover within two years (Johnson et al., 2020).</w:t>
      </w:r>
    </w:p>
    <w:p w14:paraId="69CBC47F" w14:textId="77777777" w:rsidR="005257ED" w:rsidRPr="00BF4867" w:rsidRDefault="005257ED" w:rsidP="005257ED">
      <w:pPr>
        <w:spacing w:line="480" w:lineRule="auto"/>
        <w:rPr>
          <w:rFonts w:ascii="Arial" w:hAnsi="Arial" w:cs="Arial"/>
        </w:rPr>
      </w:pPr>
      <w:r w:rsidRPr="00BF4867">
        <w:rPr>
          <w:rFonts w:ascii="Arial" w:hAnsi="Arial" w:cs="Arial"/>
        </w:rPr>
        <w:t>Generational poverty persists due to systemic barriers like limited education and unstable employment, leaving children with an 80% higher risk of poor outcomes in adulthood (Parolin et al., 2023). Addressing generational poverty requires systemic reforms, but targeted efforts, like scholarships and mentorships, can also disrupt poverty cycles within a single generation (Rahmadi &amp; Rozamuri, 2024).</w:t>
      </w:r>
    </w:p>
    <w:p w14:paraId="493E238A" w14:textId="77777777" w:rsidR="005257ED" w:rsidRPr="00BF4867" w:rsidRDefault="005257ED" w:rsidP="005257ED">
      <w:pPr>
        <w:spacing w:line="480" w:lineRule="auto"/>
        <w:rPr>
          <w:rFonts w:ascii="Arial" w:hAnsi="Arial" w:cs="Arial"/>
        </w:rPr>
      </w:pPr>
      <w:r w:rsidRPr="00BF4867">
        <w:rPr>
          <w:rFonts w:ascii="Arial" w:hAnsi="Arial" w:cs="Arial"/>
        </w:rPr>
        <w:t>This comparison highlights the need for both immediate interventions and sustained reforms to address poverty's multifaceted impacts.</w:t>
      </w:r>
    </w:p>
    <w:p w14:paraId="6FE63215" w14:textId="77777777" w:rsidR="005257ED" w:rsidRPr="00BF4867" w:rsidRDefault="005257ED" w:rsidP="005257ED">
      <w:pPr>
        <w:spacing w:line="480" w:lineRule="auto"/>
        <w:rPr>
          <w:rFonts w:ascii="Arial" w:hAnsi="Arial" w:cs="Arial"/>
        </w:rPr>
      </w:pPr>
      <w:r w:rsidRPr="00BF4867">
        <w:rPr>
          <w:rFonts w:ascii="Arial" w:hAnsi="Arial" w:cs="Arial"/>
          <w:b/>
          <w:bCs/>
        </w:rPr>
        <w:lastRenderedPageBreak/>
        <w:t>Moving on,</w:t>
      </w:r>
      <w:r w:rsidRPr="00BF4867">
        <w:rPr>
          <w:rFonts w:ascii="Arial" w:hAnsi="Arial" w:cs="Arial"/>
        </w:rPr>
        <w:t xml:space="preserve"> we will now revisit relative and absolute poverty to explore their prevalence using recent data.</w:t>
      </w:r>
    </w:p>
    <w:p w14:paraId="6D1C3E5F" w14:textId="77777777" w:rsidR="005257ED" w:rsidRPr="00BF4867" w:rsidRDefault="005257ED" w:rsidP="005257ED">
      <w:pPr>
        <w:spacing w:line="480" w:lineRule="auto"/>
        <w:rPr>
          <w:rFonts w:ascii="Arial" w:hAnsi="Arial" w:cs="Arial"/>
        </w:rPr>
      </w:pPr>
      <w:r w:rsidRPr="00BF4867">
        <w:rPr>
          <w:rFonts w:ascii="Arial" w:hAnsi="Arial" w:cs="Arial"/>
        </w:rPr>
        <w:t>Relative child poverty in the UK as of 2023 stands at approximately 30%, affecting 4.3 million children (Hayre &amp; Pollock, 2023).</w:t>
      </w:r>
    </w:p>
    <w:p w14:paraId="6F91AE55" w14:textId="77777777" w:rsidR="005257ED" w:rsidRPr="00BF4867" w:rsidRDefault="005257ED" w:rsidP="005257ED">
      <w:pPr>
        <w:spacing w:line="480" w:lineRule="auto"/>
        <w:rPr>
          <w:rFonts w:ascii="Arial" w:hAnsi="Arial" w:cs="Arial"/>
        </w:rPr>
      </w:pPr>
      <w:r w:rsidRPr="00BF4867">
        <w:rPr>
          <w:rFonts w:ascii="Arial" w:hAnsi="Arial" w:cs="Arial"/>
        </w:rPr>
        <w:t>Under Labour governments from 1997 to 2011, press targeted policies reduced child poverty from 33% to 27%</w:t>
      </w:r>
      <w:r>
        <w:rPr>
          <w:rFonts w:ascii="Arial" w:hAnsi="Arial" w:cs="Arial"/>
        </w:rPr>
        <w:t xml:space="preserve">. </w:t>
      </w:r>
      <w:r w:rsidRPr="00BF4867">
        <w:rPr>
          <w:rFonts w:ascii="Arial" w:hAnsi="Arial" w:cs="Arial"/>
        </w:rPr>
        <w:t>However, from 2011 to 2023, press half of this progress was reversed, with relative poverty rates rising, especially among families with three or more children, due to policy changes (Social Metrics Commission. 2023)</w:t>
      </w:r>
    </w:p>
    <w:p w14:paraId="42D9DB67" w14:textId="77777777" w:rsidR="005257ED" w:rsidRPr="00BF4867" w:rsidRDefault="005257ED" w:rsidP="005257ED">
      <w:pPr>
        <w:spacing w:line="480" w:lineRule="auto"/>
        <w:rPr>
          <w:rFonts w:ascii="Arial" w:hAnsi="Arial" w:cs="Arial"/>
        </w:rPr>
      </w:pPr>
      <w:r w:rsidRPr="00BF4867">
        <w:rPr>
          <w:rFonts w:ascii="Arial" w:hAnsi="Arial" w:cs="Arial"/>
        </w:rPr>
        <w:t>Absolute child poverty has shown a steady decline since 1997, while relative child poverty rates have followed a U-shaped trend, rising again after 2013–14 (Samiyeva, 2022). Graph 2 press</w:t>
      </w:r>
    </w:p>
    <w:p w14:paraId="3AC2E73E" w14:textId="77777777" w:rsidR="005257ED" w:rsidRPr="00BF4867" w:rsidRDefault="005257ED" w:rsidP="005257ED">
      <w:pPr>
        <w:spacing w:line="480" w:lineRule="auto"/>
        <w:rPr>
          <w:rFonts w:ascii="Arial" w:hAnsi="Arial" w:cs="Arial"/>
        </w:rPr>
      </w:pPr>
      <w:r w:rsidRPr="00BF4867">
        <w:rPr>
          <w:rFonts w:ascii="Arial" w:hAnsi="Arial" w:cs="Arial"/>
        </w:rPr>
        <w:t>In 2013, 34% of children in families with three or more children lived in relative poverty. By 2022–23, this figure had risen to 46%.</w:t>
      </w:r>
    </w:p>
    <w:p w14:paraId="622E13C8" w14:textId="77777777" w:rsidR="005257ED" w:rsidRPr="00BF4867" w:rsidRDefault="005257ED" w:rsidP="005257ED">
      <w:pPr>
        <w:spacing w:line="480" w:lineRule="auto"/>
        <w:rPr>
          <w:rFonts w:ascii="Arial" w:hAnsi="Arial" w:cs="Arial"/>
        </w:rPr>
      </w:pPr>
      <w:r w:rsidRPr="00BF4867">
        <w:rPr>
          <w:rFonts w:ascii="Arial" w:hAnsi="Arial" w:cs="Arial"/>
        </w:rPr>
        <w:t>This increase correlates with the implementation of the two-child limit, which restricts additional child tax credits or universal credit for most third or subsequent children.</w:t>
      </w:r>
    </w:p>
    <w:p w14:paraId="1CB9CCD4" w14:textId="77777777" w:rsidR="005257ED" w:rsidRPr="00BF4867" w:rsidRDefault="005257ED" w:rsidP="005257ED">
      <w:pPr>
        <w:spacing w:line="480" w:lineRule="auto"/>
        <w:rPr>
          <w:rFonts w:ascii="Arial" w:hAnsi="Arial" w:cs="Arial"/>
        </w:rPr>
      </w:pPr>
      <w:r w:rsidRPr="00BF4867">
        <w:rPr>
          <w:rFonts w:ascii="Arial" w:hAnsi="Arial" w:cs="Arial"/>
        </w:rPr>
        <w:t>These graphs illustrate the shifting landscape of child poverty, highlighting the interplay between policy decisions, economic factors, and their profound implications for children’s well-being as we delve deeper into its developmental impact.</w:t>
      </w:r>
    </w:p>
    <w:p w14:paraId="1EF3AD72" w14:textId="77777777" w:rsidR="005257ED" w:rsidRPr="00BF4867" w:rsidRDefault="005257ED" w:rsidP="005257ED">
      <w:pPr>
        <w:spacing w:line="480" w:lineRule="auto"/>
        <w:rPr>
          <w:rFonts w:ascii="Arial" w:hAnsi="Arial" w:cs="Arial"/>
        </w:rPr>
      </w:pPr>
      <w:r w:rsidRPr="00BF4867">
        <w:rPr>
          <w:rFonts w:ascii="Arial" w:hAnsi="Arial" w:cs="Arial"/>
        </w:rPr>
        <w:t>Slide 5</w:t>
      </w:r>
    </w:p>
    <w:p w14:paraId="0551AC62" w14:textId="77777777" w:rsidR="005257ED" w:rsidRPr="00BF4867" w:rsidRDefault="005257ED" w:rsidP="005257ED">
      <w:pPr>
        <w:spacing w:line="480" w:lineRule="auto"/>
        <w:rPr>
          <w:rFonts w:ascii="Arial" w:hAnsi="Arial" w:cs="Arial"/>
        </w:rPr>
      </w:pPr>
      <w:r w:rsidRPr="00BF4867">
        <w:rPr>
          <w:rFonts w:ascii="Arial" w:hAnsi="Arial" w:cs="Arial"/>
        </w:rPr>
        <w:t>Piaget's theory of cognitive development highlights how poverty affects children's learning across stages.</w:t>
      </w:r>
    </w:p>
    <w:p w14:paraId="294EE765" w14:textId="77777777" w:rsidR="005257ED" w:rsidRPr="00BF4867" w:rsidRDefault="005257ED" w:rsidP="005257ED">
      <w:pPr>
        <w:tabs>
          <w:tab w:val="left" w:pos="720"/>
        </w:tabs>
        <w:spacing w:line="480" w:lineRule="auto"/>
        <w:rPr>
          <w:rFonts w:ascii="Arial" w:hAnsi="Arial" w:cs="Arial"/>
        </w:rPr>
      </w:pPr>
      <w:r w:rsidRPr="00BF4867">
        <w:rPr>
          <w:rFonts w:ascii="Arial" w:hAnsi="Arial" w:cs="Arial"/>
          <w:b/>
          <w:bCs/>
        </w:rPr>
        <w:lastRenderedPageBreak/>
        <w:t>Sensorimotor Stage (0–2 years):</w:t>
      </w:r>
      <w:r w:rsidRPr="00BF4867">
        <w:rPr>
          <w:rFonts w:ascii="Arial" w:hAnsi="Arial" w:cs="Arial"/>
        </w:rPr>
        <w:t xml:space="preserve"> Restricted access to safe, stimulating environments in poverty hinders sensory and motor development (Tamblyn et al., 2023).</w:t>
      </w:r>
    </w:p>
    <w:p w14:paraId="530FE595" w14:textId="77777777" w:rsidR="005257ED" w:rsidRPr="00BF4867" w:rsidRDefault="005257ED" w:rsidP="005257ED">
      <w:pPr>
        <w:tabs>
          <w:tab w:val="left" w:pos="720"/>
        </w:tabs>
        <w:spacing w:line="480" w:lineRule="auto"/>
        <w:rPr>
          <w:rFonts w:ascii="Arial" w:hAnsi="Arial" w:cs="Arial"/>
        </w:rPr>
      </w:pPr>
      <w:r w:rsidRPr="00BF4867">
        <w:rPr>
          <w:rFonts w:ascii="Arial" w:hAnsi="Arial" w:cs="Arial"/>
          <w:b/>
          <w:bCs/>
        </w:rPr>
        <w:t>Preoperational Stage (2–7 years):</w:t>
      </w:r>
      <w:r w:rsidRPr="00BF4867">
        <w:rPr>
          <w:rFonts w:ascii="Arial" w:hAnsi="Arial" w:cs="Arial"/>
        </w:rPr>
        <w:t xml:space="preserve"> The "word gap" in low-income families (Hart &amp; Risley, 1995) limits language exposure, impacting cognitive growth and engagement (Cave, 2024).</w:t>
      </w:r>
    </w:p>
    <w:p w14:paraId="23E76171" w14:textId="77777777" w:rsidR="005257ED" w:rsidRPr="00BF4867" w:rsidRDefault="005257ED" w:rsidP="005257ED">
      <w:pPr>
        <w:tabs>
          <w:tab w:val="left" w:pos="720"/>
        </w:tabs>
        <w:spacing w:line="480" w:lineRule="auto"/>
        <w:rPr>
          <w:rFonts w:ascii="Arial" w:hAnsi="Arial" w:cs="Arial"/>
        </w:rPr>
      </w:pPr>
      <w:r w:rsidRPr="00BF4867">
        <w:rPr>
          <w:rFonts w:ascii="Arial" w:hAnsi="Arial" w:cs="Arial"/>
          <w:b/>
          <w:bCs/>
        </w:rPr>
        <w:t>Concrete Operational Stage (7–11 years):</w:t>
      </w:r>
      <w:r w:rsidRPr="00BF4867">
        <w:rPr>
          <w:rFonts w:ascii="Arial" w:hAnsi="Arial" w:cs="Arial"/>
        </w:rPr>
        <w:t xml:space="preserve"> Poverty delays logical reasoning and academic skill development due to inadequate resources (Emerson, 2024).</w:t>
      </w:r>
    </w:p>
    <w:p w14:paraId="7E91FD7F" w14:textId="77777777" w:rsidR="005257ED" w:rsidRPr="00BF4867" w:rsidRDefault="005257ED" w:rsidP="005257ED">
      <w:pPr>
        <w:tabs>
          <w:tab w:val="left" w:pos="720"/>
        </w:tabs>
        <w:spacing w:line="480" w:lineRule="auto"/>
        <w:rPr>
          <w:rFonts w:ascii="Arial" w:hAnsi="Arial" w:cs="Arial"/>
        </w:rPr>
      </w:pPr>
      <w:r w:rsidRPr="00BF4867">
        <w:rPr>
          <w:rFonts w:ascii="Arial" w:hAnsi="Arial" w:cs="Arial"/>
          <w:b/>
          <w:bCs/>
        </w:rPr>
        <w:t>Formal Operational Stage (11+ years):</w:t>
      </w:r>
      <w:r w:rsidRPr="00BF4867">
        <w:rPr>
          <w:rFonts w:ascii="Arial" w:hAnsi="Arial" w:cs="Arial"/>
        </w:rPr>
        <w:t xml:space="preserve"> Earlier developmental gaps impede abstract thinking and problem-solving (Navarro, 2024).</w:t>
      </w:r>
    </w:p>
    <w:p w14:paraId="41B6DBFC" w14:textId="77777777" w:rsidR="005257ED" w:rsidRPr="00BF4867" w:rsidRDefault="005257ED" w:rsidP="005257ED">
      <w:pPr>
        <w:spacing w:line="480" w:lineRule="auto"/>
        <w:rPr>
          <w:rFonts w:ascii="Arial" w:hAnsi="Arial" w:cs="Arial"/>
        </w:rPr>
      </w:pPr>
      <w:r w:rsidRPr="00BF4867">
        <w:rPr>
          <w:rFonts w:ascii="Arial" w:hAnsi="Arial" w:cs="Arial"/>
        </w:rPr>
        <w:t>However, Piaget's stages have been critiqued for rigidity, as children in poverty may develop resilience and practical skills but struggle with abstract reasoning due to educational constraints (Young, 2024; King, 2024).</w:t>
      </w:r>
    </w:p>
    <w:p w14:paraId="1F222D4A" w14:textId="77777777" w:rsidR="005257ED" w:rsidRPr="00BF4867" w:rsidRDefault="005257ED" w:rsidP="005257ED">
      <w:pPr>
        <w:spacing w:line="480" w:lineRule="auto"/>
        <w:rPr>
          <w:rFonts w:ascii="Arial" w:hAnsi="Arial" w:cs="Arial"/>
        </w:rPr>
      </w:pPr>
      <w:r w:rsidRPr="00BF4867">
        <w:rPr>
          <w:rFonts w:ascii="Arial" w:hAnsi="Arial" w:cs="Arial"/>
          <w:b/>
          <w:bCs/>
        </w:rPr>
        <w:t>Bronfenbrenner’s Ecological Systems Theory</w:t>
      </w:r>
      <w:r w:rsidRPr="00BF4867">
        <w:rPr>
          <w:rFonts w:ascii="Arial" w:hAnsi="Arial" w:cs="Arial"/>
        </w:rPr>
        <w:t xml:space="preserve"> provides a broader lens, focusing on environmental factors.</w:t>
      </w:r>
    </w:p>
    <w:p w14:paraId="7D302215" w14:textId="77777777" w:rsidR="005257ED" w:rsidRPr="00BF4867" w:rsidRDefault="005257ED" w:rsidP="005257ED">
      <w:pPr>
        <w:tabs>
          <w:tab w:val="left" w:pos="720"/>
        </w:tabs>
        <w:spacing w:line="480" w:lineRule="auto"/>
        <w:rPr>
          <w:rFonts w:ascii="Arial" w:hAnsi="Arial" w:cs="Arial"/>
        </w:rPr>
      </w:pPr>
      <w:r w:rsidRPr="00BF4867">
        <w:rPr>
          <w:rFonts w:ascii="Arial" w:hAnsi="Arial" w:cs="Arial"/>
        </w:rPr>
        <w:t>Microsystem influences, like family stress, and exosystem barriers, such as underfunded schools, compound poverty's effects on development (Shaw, 2024).</w:t>
      </w:r>
    </w:p>
    <w:p w14:paraId="3A98744B" w14:textId="77777777" w:rsidR="005257ED" w:rsidRPr="00BF4867" w:rsidRDefault="005257ED" w:rsidP="005257ED">
      <w:pPr>
        <w:tabs>
          <w:tab w:val="left" w:pos="720"/>
        </w:tabs>
        <w:spacing w:line="480" w:lineRule="auto"/>
        <w:rPr>
          <w:rFonts w:ascii="Arial" w:hAnsi="Arial" w:cs="Arial"/>
        </w:rPr>
      </w:pPr>
      <w:r w:rsidRPr="00BF4867">
        <w:rPr>
          <w:rFonts w:ascii="Arial" w:hAnsi="Arial" w:cs="Arial"/>
        </w:rPr>
        <w:t>A systematic review showed that interconnected factors, such as food security and parental education, significantly impact child outcomes (Tong et al., 2024).</w:t>
      </w:r>
    </w:p>
    <w:p w14:paraId="05B2340C" w14:textId="77777777" w:rsidR="005257ED" w:rsidRPr="00BF4867" w:rsidRDefault="005257ED" w:rsidP="005257ED">
      <w:pPr>
        <w:spacing w:line="480" w:lineRule="auto"/>
        <w:rPr>
          <w:rFonts w:ascii="Arial" w:hAnsi="Arial" w:cs="Arial"/>
        </w:rPr>
      </w:pPr>
      <w:r w:rsidRPr="00BF4867">
        <w:rPr>
          <w:rFonts w:ascii="Arial" w:hAnsi="Arial" w:cs="Arial"/>
        </w:rPr>
        <w:t>Critiques suggest the theory's broad scope complicates targeted interventions and overlooks the unequal weight of societal imbalances (Elliott &amp; Davis, 2020). Its limited empirical testing also challenges practical application (Spear &amp; Kirkman, 2024).</w:t>
      </w:r>
    </w:p>
    <w:p w14:paraId="208358D3" w14:textId="77777777" w:rsidR="005257ED" w:rsidRPr="00BF4867" w:rsidRDefault="005257ED" w:rsidP="005257ED">
      <w:pPr>
        <w:spacing w:line="480" w:lineRule="auto"/>
        <w:rPr>
          <w:rFonts w:ascii="Arial" w:hAnsi="Arial" w:cs="Arial"/>
        </w:rPr>
      </w:pPr>
      <w:r w:rsidRPr="003A6448">
        <w:rPr>
          <w:rFonts w:ascii="Arial" w:hAnsi="Arial" w:cs="Arial"/>
        </w:rPr>
        <w:lastRenderedPageBreak/>
        <w:t>Maslow’s Hierarchy of Needs</w:t>
      </w:r>
      <w:r w:rsidRPr="00BF4867">
        <w:rPr>
          <w:rFonts w:ascii="Arial" w:hAnsi="Arial" w:cs="Arial"/>
        </w:rPr>
        <w:t xml:space="preserve"> complements these theories by linking unmet basic needs</w:t>
      </w:r>
      <w:r>
        <w:rPr>
          <w:rFonts w:ascii="Arial" w:hAnsi="Arial" w:cs="Arial"/>
        </w:rPr>
        <w:t xml:space="preserve">, </w:t>
      </w:r>
      <w:r w:rsidRPr="00BF4867">
        <w:rPr>
          <w:rFonts w:ascii="Arial" w:hAnsi="Arial" w:cs="Arial"/>
        </w:rPr>
        <w:t>like food and safety</w:t>
      </w:r>
      <w:r>
        <w:rPr>
          <w:rFonts w:ascii="Arial" w:hAnsi="Arial" w:cs="Arial"/>
        </w:rPr>
        <w:t xml:space="preserve"> </w:t>
      </w:r>
      <w:r w:rsidRPr="00BF4867">
        <w:rPr>
          <w:rFonts w:ascii="Arial" w:hAnsi="Arial" w:cs="Arial"/>
        </w:rPr>
        <w:t>to disrupted cognitive and emotional development. Together, these frameworks underscore the multifaceted impact of poverty and the need for integrated approaches to support children’s growth.</w:t>
      </w:r>
    </w:p>
    <w:p w14:paraId="69F34D6C" w14:textId="77777777" w:rsidR="005257ED" w:rsidRPr="00BF4867" w:rsidRDefault="005257ED" w:rsidP="005257ED">
      <w:pPr>
        <w:spacing w:line="480" w:lineRule="auto"/>
        <w:rPr>
          <w:rFonts w:ascii="Arial" w:hAnsi="Arial" w:cs="Arial"/>
        </w:rPr>
      </w:pPr>
      <w:r w:rsidRPr="00BF4867">
        <w:rPr>
          <w:rFonts w:ascii="Arial" w:hAnsi="Arial" w:cs="Arial"/>
        </w:rPr>
        <w:t>Slide 6</w:t>
      </w:r>
    </w:p>
    <w:p w14:paraId="35EE1FF9" w14:textId="77777777" w:rsidR="005257ED" w:rsidRPr="00BF4867" w:rsidRDefault="005257ED" w:rsidP="005257ED">
      <w:pPr>
        <w:spacing w:line="480" w:lineRule="auto"/>
        <w:rPr>
          <w:rFonts w:ascii="Arial" w:hAnsi="Arial" w:cs="Arial"/>
        </w:rPr>
      </w:pPr>
      <w:r w:rsidRPr="00BF4867">
        <w:rPr>
          <w:rFonts w:ascii="Arial" w:hAnsi="Arial" w:cs="Arial"/>
        </w:rPr>
        <w:t>Piaget’s theory highlights active exploration as vital for cognitive growth, yet poverty-induced stress disrupts this process (Saitadze &amp; Lalayants, 2021)</w:t>
      </w:r>
    </w:p>
    <w:p w14:paraId="0B4D50FA" w14:textId="77777777" w:rsidR="005257ED" w:rsidRPr="00BF4867" w:rsidRDefault="005257ED" w:rsidP="005257ED">
      <w:pPr>
        <w:spacing w:line="480" w:lineRule="auto"/>
        <w:rPr>
          <w:rFonts w:ascii="Arial" w:hAnsi="Arial" w:cs="Arial"/>
        </w:rPr>
      </w:pPr>
      <w:r w:rsidRPr="00BF4867">
        <w:rPr>
          <w:rFonts w:ascii="Arial" w:hAnsi="Arial" w:cs="Arial"/>
        </w:rPr>
        <w:t>Research suggests by Age seven, children from low-income households fall behind academically with gaps widening by age 11 (Ayala et al., 2024).</w:t>
      </w:r>
    </w:p>
    <w:p w14:paraId="30283F2B" w14:textId="77777777" w:rsidR="005257ED" w:rsidRPr="00BF4867" w:rsidRDefault="005257ED" w:rsidP="005257ED">
      <w:pPr>
        <w:spacing w:line="480" w:lineRule="auto"/>
        <w:rPr>
          <w:rFonts w:ascii="Arial" w:hAnsi="Arial" w:cs="Arial"/>
        </w:rPr>
      </w:pPr>
      <w:r w:rsidRPr="00BF4867">
        <w:rPr>
          <w:rFonts w:ascii="Arial" w:hAnsi="Arial" w:cs="Arial"/>
        </w:rPr>
        <w:t>Chronic stress impacts the prefrontal cortex and amygdala, impairing emotional regulation, attention, and problem-solving (Breitenbach et al., 2021). These deficits hinder academic performance and peer relationships (Fagan &amp; Wildfeuer, 2022).</w:t>
      </w:r>
    </w:p>
    <w:p w14:paraId="130C1EE1" w14:textId="77777777" w:rsidR="005257ED" w:rsidRPr="00BF4867" w:rsidRDefault="005257ED" w:rsidP="005257ED">
      <w:pPr>
        <w:spacing w:line="480" w:lineRule="auto"/>
        <w:rPr>
          <w:rFonts w:ascii="Arial" w:hAnsi="Arial" w:cs="Arial"/>
        </w:rPr>
      </w:pPr>
      <w:r w:rsidRPr="00BF4867">
        <w:rPr>
          <w:rFonts w:ascii="Arial" w:hAnsi="Arial" w:cs="Arial"/>
        </w:rPr>
        <w:t>Stress and Emotional Well-being</w:t>
      </w:r>
    </w:p>
    <w:p w14:paraId="53095170" w14:textId="77777777" w:rsidR="005257ED" w:rsidRPr="00BF4867" w:rsidRDefault="005257ED" w:rsidP="005257ED">
      <w:pPr>
        <w:spacing w:line="480" w:lineRule="auto"/>
        <w:rPr>
          <w:rFonts w:ascii="Arial" w:hAnsi="Arial" w:cs="Arial"/>
        </w:rPr>
      </w:pPr>
      <w:r w:rsidRPr="00BF4867">
        <w:rPr>
          <w:rFonts w:ascii="Arial" w:hAnsi="Arial" w:cs="Arial"/>
        </w:rPr>
        <w:t>Research shows that poverty-related stressors, such as postnatal depression which is (40% more prevalent in mothers in poverty), disrupts secure attachment formation, critical for emotional safety and trust (Wang et al., 2021; Speranza et al., 2024).</w:t>
      </w:r>
    </w:p>
    <w:p w14:paraId="27861C44" w14:textId="77777777" w:rsidR="005257ED" w:rsidRPr="00BF4867" w:rsidRDefault="005257ED" w:rsidP="005257ED">
      <w:pPr>
        <w:spacing w:line="480" w:lineRule="auto"/>
        <w:rPr>
          <w:rFonts w:ascii="Arial" w:hAnsi="Arial" w:cs="Arial"/>
        </w:rPr>
      </w:pPr>
      <w:r w:rsidRPr="00BF4867">
        <w:rPr>
          <w:rFonts w:ascii="Arial" w:hAnsi="Arial" w:cs="Arial"/>
        </w:rPr>
        <w:t>Insecure attachment fosters withdrawal, aggression, or hypervigilance, a heightened state of alertness that hinders focus, trust, and social skills (Alpuğan, 2024; Bourne et al., 2022).</w:t>
      </w:r>
    </w:p>
    <w:p w14:paraId="5EF729BA" w14:textId="77777777" w:rsidR="005257ED" w:rsidRPr="00BF4867" w:rsidRDefault="005257ED" w:rsidP="005257ED">
      <w:pPr>
        <w:spacing w:line="480" w:lineRule="auto"/>
        <w:rPr>
          <w:rFonts w:ascii="Arial" w:hAnsi="Arial" w:cs="Arial"/>
        </w:rPr>
      </w:pPr>
      <w:r w:rsidRPr="00BF4867">
        <w:rPr>
          <w:rFonts w:ascii="Arial" w:hAnsi="Arial" w:cs="Arial"/>
        </w:rPr>
        <w:t xml:space="preserve">Chronic Stress </w:t>
      </w:r>
    </w:p>
    <w:p w14:paraId="4B08BA48" w14:textId="77777777" w:rsidR="005257ED" w:rsidRPr="00BF4867" w:rsidRDefault="005257ED" w:rsidP="005257ED">
      <w:pPr>
        <w:spacing w:line="480" w:lineRule="auto"/>
        <w:rPr>
          <w:rFonts w:ascii="Arial" w:hAnsi="Arial" w:cs="Arial"/>
        </w:rPr>
      </w:pPr>
      <w:r w:rsidRPr="00BF4867">
        <w:rPr>
          <w:rFonts w:ascii="Arial" w:hAnsi="Arial" w:cs="Arial"/>
        </w:rPr>
        <w:t>Adverse Childhood Experiences (ACEs), such as maltreatment and poverty, amplify emotional challenges and elevate Allostatic Load , a marker of stress dysregulation across body systems (Davis et al., 2021).</w:t>
      </w:r>
    </w:p>
    <w:p w14:paraId="28DF43B5" w14:textId="77777777" w:rsidR="005257ED" w:rsidRPr="00BF4867" w:rsidRDefault="005257ED" w:rsidP="005257ED">
      <w:pPr>
        <w:spacing w:line="480" w:lineRule="auto"/>
        <w:rPr>
          <w:rFonts w:ascii="Arial" w:hAnsi="Arial" w:cs="Arial"/>
        </w:rPr>
      </w:pPr>
      <w:r w:rsidRPr="00BF4867">
        <w:rPr>
          <w:rFonts w:ascii="Arial" w:hAnsi="Arial" w:cs="Arial"/>
        </w:rPr>
        <w:lastRenderedPageBreak/>
        <w:t>A longitudinal study found that children exposed to high poverty-induced stress had significantly elevated AL, correlating with higher rates of anxiety and depressive disorders into adolescence and adulthood (Breitenbach et al., 2023). These findings underscore the long-term physical and emotional vulnerabilities stemming from sustained poverty-related stress.</w:t>
      </w:r>
    </w:p>
    <w:p w14:paraId="183551A5" w14:textId="77777777" w:rsidR="005257ED" w:rsidRPr="00BF4867" w:rsidRDefault="005257ED" w:rsidP="005257ED">
      <w:pPr>
        <w:spacing w:line="480" w:lineRule="auto"/>
        <w:rPr>
          <w:rFonts w:ascii="Arial" w:hAnsi="Arial" w:cs="Arial"/>
        </w:rPr>
      </w:pPr>
      <w:r w:rsidRPr="00BF4867">
        <w:rPr>
          <w:rFonts w:ascii="Arial" w:hAnsi="Arial" w:cs="Arial"/>
        </w:rPr>
        <w:t>Family Stress and Abuse</w:t>
      </w:r>
    </w:p>
    <w:p w14:paraId="5089E714" w14:textId="77777777" w:rsidR="005257ED" w:rsidRPr="00BF4867" w:rsidRDefault="005257ED" w:rsidP="005257ED">
      <w:pPr>
        <w:spacing w:line="480" w:lineRule="auto"/>
        <w:rPr>
          <w:rFonts w:ascii="Arial" w:hAnsi="Arial" w:cs="Arial"/>
        </w:rPr>
      </w:pPr>
      <w:r w:rsidRPr="00BF4867">
        <w:rPr>
          <w:rFonts w:ascii="Arial" w:hAnsi="Arial" w:cs="Arial"/>
        </w:rPr>
        <w:t>Financial strain in families often increases the risk of substance misuse as a coping mechanism, leading to neglect or abuse (Meulewaeter et al., 2022).</w:t>
      </w:r>
    </w:p>
    <w:p w14:paraId="5572D6B0" w14:textId="77777777" w:rsidR="005257ED" w:rsidRPr="00BF4867" w:rsidRDefault="005257ED" w:rsidP="005257ED">
      <w:pPr>
        <w:spacing w:line="480" w:lineRule="auto"/>
        <w:rPr>
          <w:rFonts w:ascii="Arial" w:hAnsi="Arial" w:cs="Arial"/>
        </w:rPr>
      </w:pPr>
      <w:r w:rsidRPr="00BF4867">
        <w:rPr>
          <w:rFonts w:ascii="Arial" w:hAnsi="Arial" w:cs="Arial"/>
        </w:rPr>
        <w:t>Children in poverty are twice as likely to face abuse compared to peers, with severe cases often resulting in foster care placements (NSPCC, 2023).</w:t>
      </w:r>
    </w:p>
    <w:p w14:paraId="31A2F169" w14:textId="77777777" w:rsidR="005257ED" w:rsidRPr="00BF4867" w:rsidRDefault="005257ED" w:rsidP="005257ED">
      <w:pPr>
        <w:spacing w:line="480" w:lineRule="auto"/>
        <w:rPr>
          <w:rFonts w:ascii="Arial" w:hAnsi="Arial" w:cs="Arial"/>
        </w:rPr>
      </w:pPr>
      <w:r w:rsidRPr="00BF4867">
        <w:rPr>
          <w:rFonts w:ascii="Arial" w:hAnsi="Arial" w:cs="Arial"/>
        </w:rPr>
        <w:t>While foster care prioritises safety, unstable placements exacerbate emotional vulnerability, leading to long-term difficulties with trust, healthy relationships and emotional regulation (Sewester, 2024).</w:t>
      </w:r>
    </w:p>
    <w:p w14:paraId="531409F5" w14:textId="77777777" w:rsidR="005257ED" w:rsidRPr="00BF4867" w:rsidRDefault="005257ED" w:rsidP="005257ED">
      <w:pPr>
        <w:spacing w:line="480" w:lineRule="auto"/>
        <w:rPr>
          <w:rFonts w:ascii="Arial" w:hAnsi="Arial" w:cs="Arial"/>
        </w:rPr>
      </w:pPr>
      <w:r w:rsidRPr="00BF4867">
        <w:rPr>
          <w:rFonts w:ascii="Arial" w:hAnsi="Arial" w:cs="Arial"/>
        </w:rPr>
        <w:t>Slide 7</w:t>
      </w:r>
    </w:p>
    <w:p w14:paraId="42CEDA6A" w14:textId="77777777" w:rsidR="005257ED" w:rsidRPr="00BF4867" w:rsidRDefault="005257ED" w:rsidP="005257ED">
      <w:pPr>
        <w:spacing w:line="480" w:lineRule="auto"/>
        <w:rPr>
          <w:rFonts w:ascii="Arial" w:hAnsi="Arial" w:cs="Arial"/>
        </w:rPr>
      </w:pPr>
      <w:r w:rsidRPr="00BF4867">
        <w:rPr>
          <w:rFonts w:ascii="Arial" w:hAnsi="Arial" w:cs="Arial"/>
        </w:rPr>
        <w:t>Physical and Cognitive Development</w:t>
      </w:r>
    </w:p>
    <w:p w14:paraId="149DE941" w14:textId="77777777" w:rsidR="005257ED" w:rsidRPr="00BF4867" w:rsidRDefault="005257ED" w:rsidP="005257ED">
      <w:pPr>
        <w:spacing w:line="480" w:lineRule="auto"/>
        <w:rPr>
          <w:rFonts w:ascii="Arial" w:hAnsi="Arial" w:cs="Arial"/>
        </w:rPr>
      </w:pPr>
      <w:r w:rsidRPr="00BF4867">
        <w:rPr>
          <w:rFonts w:ascii="Arial" w:hAnsi="Arial" w:cs="Arial"/>
        </w:rPr>
        <w:t xml:space="preserve">Health Challenges and Brain Development </w:t>
      </w:r>
    </w:p>
    <w:p w14:paraId="090A26CD" w14:textId="4E2F9EE4" w:rsidR="005257ED" w:rsidRPr="00BF4867" w:rsidRDefault="005257ED" w:rsidP="005257ED">
      <w:pPr>
        <w:spacing w:line="480" w:lineRule="auto"/>
        <w:rPr>
          <w:rFonts w:ascii="Arial" w:hAnsi="Arial" w:cs="Arial"/>
        </w:rPr>
      </w:pPr>
      <w:r w:rsidRPr="00BF4867">
        <w:rPr>
          <w:rFonts w:ascii="Arial" w:hAnsi="Arial" w:cs="Arial"/>
        </w:rPr>
        <w:t xml:space="preserve">Poverty significantly affects children’s physical health, increasing the risks of malnutrition, stunted growth, obesity, asthma, and cardiovascular diseases (McCabe et al., 2024). Research shows, Children in poverty have a 38% higher </w:t>
      </w:r>
      <w:r w:rsidR="00B93E71" w:rsidRPr="00BF4867">
        <w:rPr>
          <w:rFonts w:ascii="Arial" w:hAnsi="Arial" w:cs="Arial"/>
        </w:rPr>
        <w:t>prevalence</w:t>
      </w:r>
      <w:r w:rsidRPr="00BF4867">
        <w:rPr>
          <w:rFonts w:ascii="Arial" w:hAnsi="Arial" w:cs="Arial"/>
        </w:rPr>
        <w:t xml:space="preserve"> to obesity (McCabe et al., 2024; National Center for Health Statistics, 2024).</w:t>
      </w:r>
    </w:p>
    <w:p w14:paraId="657F4530" w14:textId="77777777" w:rsidR="005257ED" w:rsidRPr="00BF4867" w:rsidRDefault="005257ED" w:rsidP="005257ED">
      <w:pPr>
        <w:spacing w:line="480" w:lineRule="auto"/>
        <w:rPr>
          <w:rFonts w:ascii="Arial" w:hAnsi="Arial" w:cs="Arial"/>
        </w:rPr>
      </w:pPr>
      <w:r w:rsidRPr="00BF4867">
        <w:rPr>
          <w:rFonts w:ascii="Arial" w:hAnsi="Arial" w:cs="Arial"/>
        </w:rPr>
        <w:t xml:space="preserve">A 17-year longitudinal study revealed that lower socioeconomic status (SES) correlates with reduced cortical grey matter, subcortical volumes, and slower </w:t>
      </w:r>
      <w:r w:rsidRPr="00BF4867">
        <w:rPr>
          <w:rFonts w:ascii="Arial" w:hAnsi="Arial" w:cs="Arial"/>
        </w:rPr>
        <w:lastRenderedPageBreak/>
        <w:t>subcortical growth, contributing to poorer cognitive, physical and psychiatric outcomes in adulthood (Barch et al., 2022).</w:t>
      </w:r>
    </w:p>
    <w:p w14:paraId="5E8E1D8C" w14:textId="77777777" w:rsidR="005257ED" w:rsidRPr="00BF4867" w:rsidRDefault="005257ED" w:rsidP="005257ED">
      <w:pPr>
        <w:spacing w:line="480" w:lineRule="auto"/>
        <w:rPr>
          <w:rFonts w:ascii="Arial" w:hAnsi="Arial" w:cs="Arial"/>
        </w:rPr>
      </w:pPr>
      <w:r w:rsidRPr="00BF4867">
        <w:rPr>
          <w:rFonts w:ascii="Arial" w:hAnsi="Arial" w:cs="Arial"/>
        </w:rPr>
        <w:t>Children in poverty often lack opportunities for regular exercise, Limited access to safe outdoor spaces and nutritious food not only compromises physical fitness but also affects brain development, including memory and problem-solving abilities (Ostermeier et al., 2024). Additionally, untreated health conditions like asthma lead to increased school absenteeism, hindering both cognitive development and social participation (Norman et al., 2024).</w:t>
      </w:r>
    </w:p>
    <w:p w14:paraId="0D107F45" w14:textId="77777777" w:rsidR="005257ED" w:rsidRPr="00BF4867" w:rsidRDefault="005257ED" w:rsidP="005257ED">
      <w:pPr>
        <w:spacing w:line="480" w:lineRule="auto"/>
        <w:rPr>
          <w:rFonts w:ascii="Arial" w:hAnsi="Arial" w:cs="Arial"/>
        </w:rPr>
      </w:pPr>
      <w:r w:rsidRPr="00BF4867">
        <w:rPr>
          <w:rFonts w:ascii="Arial" w:hAnsi="Arial" w:cs="Arial"/>
        </w:rPr>
        <w:t>However, A study on poverty reduction measured brain activity through EEG in 1,000 low-income infants whose mothers received either large or nominal cash gifts. Infants in the high-cash group exhibited increased high-frequency EEG power, suggesting enhanced neuroplasticity (Troller-Renfree et al., 2022).</w:t>
      </w:r>
    </w:p>
    <w:p w14:paraId="4CEF33C3" w14:textId="77777777" w:rsidR="005257ED" w:rsidRPr="00BF4867" w:rsidRDefault="005257ED" w:rsidP="005257ED">
      <w:pPr>
        <w:spacing w:line="480" w:lineRule="auto"/>
        <w:rPr>
          <w:rFonts w:ascii="Arial" w:hAnsi="Arial" w:cs="Arial"/>
        </w:rPr>
      </w:pPr>
      <w:r w:rsidRPr="00BF4867">
        <w:rPr>
          <w:rFonts w:ascii="Arial" w:hAnsi="Arial" w:cs="Arial"/>
        </w:rPr>
        <w:t>Critique: While promising, this intervention’s long-term developmental effects are unclear. Uncontrolled environmental and familial factors may also influence outcomes, complicating causal attributions. Ethical concerns about repeated EEG monitoring on infants highlight the need for cautious application.</w:t>
      </w:r>
    </w:p>
    <w:p w14:paraId="0FA19470" w14:textId="77777777" w:rsidR="005257ED" w:rsidRPr="00BF4867" w:rsidRDefault="005257ED" w:rsidP="005257ED">
      <w:pPr>
        <w:spacing w:line="480" w:lineRule="auto"/>
        <w:rPr>
          <w:rFonts w:ascii="Arial" w:hAnsi="Arial" w:cs="Arial"/>
        </w:rPr>
      </w:pPr>
      <w:r w:rsidRPr="00BF4867">
        <w:rPr>
          <w:rFonts w:ascii="Arial" w:hAnsi="Arial" w:cs="Arial"/>
        </w:rPr>
        <w:t> Slide 8</w:t>
      </w:r>
    </w:p>
    <w:p w14:paraId="44C842F0" w14:textId="77777777" w:rsidR="005257ED" w:rsidRPr="00BF4867" w:rsidRDefault="005257ED" w:rsidP="005257ED">
      <w:pPr>
        <w:spacing w:line="480" w:lineRule="auto"/>
        <w:rPr>
          <w:rFonts w:ascii="Arial" w:hAnsi="Arial" w:cs="Arial"/>
        </w:rPr>
      </w:pPr>
      <w:r w:rsidRPr="00BF4867">
        <w:rPr>
          <w:rFonts w:ascii="Arial" w:hAnsi="Arial" w:cs="Arial"/>
        </w:rPr>
        <w:t>Social Development and Bullying</w:t>
      </w:r>
    </w:p>
    <w:p w14:paraId="51BCB825" w14:textId="77777777" w:rsidR="005257ED" w:rsidRPr="00BF4867" w:rsidRDefault="005257ED" w:rsidP="005257ED">
      <w:pPr>
        <w:spacing w:line="480" w:lineRule="auto"/>
        <w:rPr>
          <w:rFonts w:ascii="Arial" w:hAnsi="Arial" w:cs="Arial"/>
        </w:rPr>
      </w:pPr>
      <w:r w:rsidRPr="00BF4867">
        <w:rPr>
          <w:rFonts w:ascii="Arial" w:hAnsi="Arial" w:cs="Arial"/>
        </w:rPr>
        <w:t>Children from low-income families face higher rates of bullying and social exclusion due to stigma associated with their socioeconomic status, negatively impacting self-esteem, social integration, and academic performance (Chen et al., 2021; Kirkbride et al., 2024).</w:t>
      </w:r>
    </w:p>
    <w:p w14:paraId="4FF13DCE" w14:textId="77777777" w:rsidR="005257ED" w:rsidRPr="00BF4867" w:rsidRDefault="005257ED" w:rsidP="005257ED">
      <w:pPr>
        <w:spacing w:line="480" w:lineRule="auto"/>
        <w:rPr>
          <w:rFonts w:ascii="Arial" w:hAnsi="Arial" w:cs="Arial"/>
        </w:rPr>
      </w:pPr>
      <w:r w:rsidRPr="00BF4867">
        <w:rPr>
          <w:rFonts w:ascii="Arial" w:hAnsi="Arial" w:cs="Arial"/>
        </w:rPr>
        <w:lastRenderedPageBreak/>
        <w:t>A study found that 45% of children in poverty reported bullying or social exclusion, compared to just 15% from higher-income families. Resource-limited schools in lower-income areas exacerbate this divide (Frazier et al., 2021).</w:t>
      </w:r>
    </w:p>
    <w:p w14:paraId="74DCE3EB" w14:textId="77777777" w:rsidR="005257ED" w:rsidRPr="00BF4867" w:rsidRDefault="005257ED" w:rsidP="005257ED">
      <w:pPr>
        <w:spacing w:line="480" w:lineRule="auto"/>
        <w:rPr>
          <w:rFonts w:ascii="Arial" w:hAnsi="Arial" w:cs="Arial"/>
        </w:rPr>
      </w:pPr>
      <w:r w:rsidRPr="00BF4867">
        <w:rPr>
          <w:rFonts w:ascii="Arial" w:hAnsi="Arial" w:cs="Arial"/>
        </w:rPr>
        <w:t>Cultural and Environmental Influences</w:t>
      </w:r>
      <w:r w:rsidRPr="00BF4867">
        <w:rPr>
          <w:rFonts w:ascii="Arial" w:hAnsi="Arial" w:cs="Arial"/>
        </w:rPr>
        <w:br/>
        <w:t>The impact of social stigma varies across cultural contexts. In Western, individualistic societies, an emphasis on material wealth and personal success often frames poverty as personal failure, intensifying stigma and fostering exclusion (Inglis et al., 2023). In contrast, Asian collectivist societies may provide protective factors through strong family and community support. However, children in these settings can still experience distress due to societal expectations or pressure to contribute financially to their families (Huang et al., 2022).</w:t>
      </w:r>
    </w:p>
    <w:p w14:paraId="5920B7A3" w14:textId="77777777" w:rsidR="005257ED" w:rsidRPr="00BF4867" w:rsidRDefault="005257ED" w:rsidP="005257ED">
      <w:pPr>
        <w:spacing w:line="480" w:lineRule="auto"/>
        <w:rPr>
          <w:rFonts w:ascii="Arial" w:hAnsi="Arial" w:cs="Arial"/>
        </w:rPr>
      </w:pPr>
      <w:r w:rsidRPr="00BF4867">
        <w:rPr>
          <w:rFonts w:ascii="Arial" w:hAnsi="Arial" w:cs="Arial"/>
        </w:rPr>
        <w:t>Theoretical Perspectives and Interventions</w:t>
      </w:r>
    </w:p>
    <w:p w14:paraId="5731DF6D" w14:textId="77777777" w:rsidR="005257ED" w:rsidRPr="00BF4867" w:rsidRDefault="005257ED" w:rsidP="005257ED">
      <w:pPr>
        <w:spacing w:line="480" w:lineRule="auto"/>
        <w:rPr>
          <w:rFonts w:ascii="Arial" w:hAnsi="Arial" w:cs="Arial"/>
        </w:rPr>
      </w:pPr>
      <w:r w:rsidRPr="00BF4867">
        <w:rPr>
          <w:rFonts w:ascii="Arial" w:hAnsi="Arial" w:cs="Arial"/>
        </w:rPr>
        <w:t xml:space="preserve">Bronfenbrenner’s Ecological Systems Theory emphasises the role of environmental factors, such as access to healthcare and safe play areas, in shaping development. However, Not all children in collectivist societies, such as those in parts of Asia, equally benefit from support structures (Brooks-Gunn et al., 2022). </w:t>
      </w:r>
    </w:p>
    <w:p w14:paraId="2F553210" w14:textId="77777777" w:rsidR="005257ED" w:rsidRPr="00BF4867" w:rsidRDefault="005257ED" w:rsidP="005257ED">
      <w:pPr>
        <w:spacing w:line="480" w:lineRule="auto"/>
        <w:rPr>
          <w:rFonts w:ascii="Arial" w:hAnsi="Arial" w:cs="Arial"/>
        </w:rPr>
      </w:pPr>
      <w:r w:rsidRPr="00BF4867">
        <w:rPr>
          <w:rFonts w:ascii="Arial" w:hAnsi="Arial" w:cs="Arial"/>
        </w:rPr>
        <w:t>To summarise, Early support programmes focused on nutrition, physical activity, and healthcare access can enhance resilience, brain development, and social integration. A study revealed that stable caregiver relationships significantly mitigate adverse outcomes (Gou et al., 2024). However, sustained funding and systemic reforms are essential to maximize their long-term effectiveness (Miller et al., 2024).</w:t>
      </w:r>
    </w:p>
    <w:p w14:paraId="726E6501" w14:textId="77777777" w:rsidR="005257ED" w:rsidRPr="00BF4867" w:rsidRDefault="005257ED" w:rsidP="005257ED">
      <w:pPr>
        <w:spacing w:line="480" w:lineRule="auto"/>
        <w:rPr>
          <w:rFonts w:ascii="Arial" w:hAnsi="Arial" w:cs="Arial"/>
        </w:rPr>
      </w:pPr>
      <w:r w:rsidRPr="00BF4867">
        <w:rPr>
          <w:rFonts w:ascii="Arial" w:hAnsi="Arial" w:cs="Arial"/>
        </w:rPr>
        <w:t>Slide 9</w:t>
      </w:r>
    </w:p>
    <w:p w14:paraId="1025C55C" w14:textId="77777777" w:rsidR="005257ED" w:rsidRPr="00BF4867" w:rsidRDefault="005257ED" w:rsidP="005257ED">
      <w:pPr>
        <w:spacing w:line="480" w:lineRule="auto"/>
        <w:rPr>
          <w:rFonts w:ascii="Arial" w:hAnsi="Arial" w:cs="Arial"/>
        </w:rPr>
      </w:pPr>
      <w:r w:rsidRPr="00BF4867">
        <w:rPr>
          <w:rFonts w:ascii="Arial" w:hAnsi="Arial" w:cs="Arial"/>
        </w:rPr>
        <w:t>The long-term impact of childhood poverty spans multiple areas, including educational attainment, health, and social mobility.</w:t>
      </w:r>
    </w:p>
    <w:p w14:paraId="141126C7" w14:textId="77777777" w:rsidR="005257ED" w:rsidRPr="00BF4867" w:rsidRDefault="005257ED" w:rsidP="005257ED">
      <w:pPr>
        <w:spacing w:line="480" w:lineRule="auto"/>
        <w:rPr>
          <w:rFonts w:ascii="Arial" w:hAnsi="Arial" w:cs="Arial"/>
        </w:rPr>
      </w:pPr>
      <w:r w:rsidRPr="00BF4867">
        <w:rPr>
          <w:rFonts w:ascii="Arial" w:hAnsi="Arial" w:cs="Arial"/>
        </w:rPr>
        <w:lastRenderedPageBreak/>
        <w:t>Children from low-income households often face significant educational challenges, with many underperforming in subjects like reading and math by age 11, leading to a persistent achievement gap (Keating et al., 2023; Herbaut, 2021). These disparities limit their opportunities for higher education and future employment, as growing up in poverty is linked to lower lifetime earnings and unstable jobs due to inadequate access to quality education and skill-building resources (Green et al., 2023).</w:t>
      </w:r>
    </w:p>
    <w:p w14:paraId="7109574A" w14:textId="77777777" w:rsidR="005257ED" w:rsidRPr="00BF4867" w:rsidRDefault="005257ED" w:rsidP="005257ED">
      <w:pPr>
        <w:spacing w:line="480" w:lineRule="auto"/>
        <w:rPr>
          <w:rFonts w:ascii="Arial" w:hAnsi="Arial" w:cs="Arial"/>
        </w:rPr>
      </w:pPr>
      <w:r w:rsidRPr="00BF4867">
        <w:rPr>
          <w:rFonts w:ascii="Arial" w:hAnsi="Arial" w:cs="Arial"/>
        </w:rPr>
        <w:t>Mental health conditions are also more prevalent among children from low-income families, with these issues continuing into adulthood. Children from impoverished backgrounds are twice as likely to develop mental health conditions like anxiety and depression, often exacerbated by Adverse Childhood Experiences (ACEs), which disrupt emotional regulation and increase the risk of PTSD, substance misuse, and emotional instability later in life (Smith et al., 2021).</w:t>
      </w:r>
    </w:p>
    <w:p w14:paraId="0E66982A" w14:textId="77777777" w:rsidR="005257ED" w:rsidRDefault="005257ED" w:rsidP="005257ED">
      <w:pPr>
        <w:spacing w:line="480" w:lineRule="auto"/>
        <w:rPr>
          <w:rFonts w:ascii="Arial" w:hAnsi="Arial" w:cs="Arial"/>
        </w:rPr>
      </w:pPr>
      <w:r w:rsidRPr="00BF4867">
        <w:rPr>
          <w:rFonts w:ascii="Arial" w:hAnsi="Arial" w:cs="Arial"/>
        </w:rPr>
        <w:t>Chronic stress, reflected in heightened AL, disrupts bodily systems, leading to long-term conditions such as cardiovascular disease, obesity, and metabolic disorders. A longitudinal study found a strong dose-response relationship between household income and mortality, with the lowest-income group experiencing higher mortality rates (Liu et al., 2022).</w:t>
      </w:r>
    </w:p>
    <w:p w14:paraId="10E8347D" w14:textId="77777777" w:rsidR="005257ED" w:rsidRPr="00BF4867" w:rsidRDefault="005257ED" w:rsidP="005257ED">
      <w:pPr>
        <w:spacing w:line="480" w:lineRule="auto"/>
        <w:rPr>
          <w:rFonts w:ascii="Arial" w:hAnsi="Arial" w:cs="Arial"/>
        </w:rPr>
      </w:pPr>
      <w:r w:rsidRPr="00BF4867">
        <w:rPr>
          <w:rFonts w:ascii="Arial" w:hAnsi="Arial" w:cs="Arial"/>
        </w:rPr>
        <w:t>In Wales, adults in poverty-stricken areas live 17 years less than those in higher-income areas, costing approximately 350 million pounds annually for acute services (Public Health Wales, 2025). Early interventions targeting health inequities can help mitigate these effects, reduce AL, and foster resilience (Finlay et al., 2022).</w:t>
      </w:r>
    </w:p>
    <w:p w14:paraId="37325FD9" w14:textId="77777777" w:rsidR="005257ED" w:rsidRDefault="005257ED" w:rsidP="005257ED">
      <w:pPr>
        <w:spacing w:line="480" w:lineRule="auto"/>
        <w:rPr>
          <w:rFonts w:ascii="Arial" w:hAnsi="Arial" w:cs="Arial"/>
        </w:rPr>
      </w:pPr>
      <w:r w:rsidRPr="00BF4867">
        <w:rPr>
          <w:rFonts w:ascii="Arial" w:hAnsi="Arial" w:cs="Arial"/>
        </w:rPr>
        <w:t xml:space="preserve">The cycle of poverty is also perpetuated across generations. Children raised in poverty are more likely to remain impoverished as adults due to limited access to quality education, healthcare, and stable employment opportunities, reinforcing </w:t>
      </w:r>
      <w:r w:rsidRPr="00BF4867">
        <w:rPr>
          <w:rFonts w:ascii="Arial" w:hAnsi="Arial" w:cs="Arial"/>
        </w:rPr>
        <w:lastRenderedPageBreak/>
        <w:t xml:space="preserve">systemic inequalities (Young, 2024). This continuation of disadvantage is supported by Bronfenbrenner’s Macrosystem, which highlights the role of societal structures and policies in maintaining these disparities. </w:t>
      </w:r>
    </w:p>
    <w:p w14:paraId="2293E9C4" w14:textId="77777777" w:rsidR="005257ED" w:rsidRPr="00BF4867" w:rsidRDefault="005257ED" w:rsidP="005257ED">
      <w:pPr>
        <w:spacing w:line="480" w:lineRule="auto"/>
        <w:rPr>
          <w:rFonts w:ascii="Arial" w:hAnsi="Arial" w:cs="Arial"/>
        </w:rPr>
      </w:pPr>
      <w:r w:rsidRPr="00BF4867">
        <w:rPr>
          <w:rFonts w:ascii="Arial" w:hAnsi="Arial" w:cs="Arial"/>
        </w:rPr>
        <w:t>Additionally, Maslow’s Hierarchy of Needs illustrates how the lack of foundational resources, such as safety and food security, inhibits the development of self-confidence and independence, making it more difficult for individuals to break the cycle of poverty.</w:t>
      </w:r>
    </w:p>
    <w:p w14:paraId="1F7BC731" w14:textId="77777777" w:rsidR="005257ED" w:rsidRPr="00BF4867" w:rsidRDefault="005257ED" w:rsidP="005257ED">
      <w:pPr>
        <w:spacing w:line="480" w:lineRule="auto"/>
        <w:rPr>
          <w:rFonts w:ascii="Arial" w:hAnsi="Arial" w:cs="Arial"/>
        </w:rPr>
      </w:pPr>
      <w:r w:rsidRPr="00BF4867">
        <w:rPr>
          <w:rFonts w:ascii="Arial" w:hAnsi="Arial" w:cs="Arial"/>
        </w:rPr>
        <w:t>In summary, childhood poverty has long-lasting effects on education, health, social mobility, and intergenerational outcomes. Addressing these challenges requires a comprehensive approach, including early interventions, improved healthcare, better educational support, and systemic reforms to break the cycle of poverty and promote long-term well-being..</w:t>
      </w:r>
    </w:p>
    <w:p w14:paraId="6A95651C" w14:textId="77777777" w:rsidR="005257ED" w:rsidRPr="00BF4867" w:rsidRDefault="005257ED" w:rsidP="005257ED">
      <w:pPr>
        <w:spacing w:line="480" w:lineRule="auto"/>
        <w:rPr>
          <w:rFonts w:ascii="Arial" w:hAnsi="Arial" w:cs="Arial"/>
        </w:rPr>
      </w:pPr>
      <w:r w:rsidRPr="00BF4867">
        <w:rPr>
          <w:rFonts w:ascii="Arial" w:hAnsi="Arial" w:cs="Arial"/>
        </w:rPr>
        <w:t>Slide 10</w:t>
      </w:r>
    </w:p>
    <w:p w14:paraId="0054D9DD" w14:textId="77777777" w:rsidR="005257ED" w:rsidRPr="00BF4867" w:rsidRDefault="005257ED" w:rsidP="005257ED">
      <w:pPr>
        <w:spacing w:line="480" w:lineRule="auto"/>
        <w:rPr>
          <w:rFonts w:ascii="Arial" w:hAnsi="Arial" w:cs="Arial"/>
        </w:rPr>
      </w:pPr>
      <w:r w:rsidRPr="00BF4867">
        <w:rPr>
          <w:rFonts w:ascii="Arial" w:hAnsi="Arial" w:cs="Arial"/>
        </w:rPr>
        <w:t>Moving beyond blame</w:t>
      </w:r>
    </w:p>
    <w:p w14:paraId="52369BF8" w14:textId="77777777" w:rsidR="005257ED" w:rsidRPr="00BF4867" w:rsidRDefault="005257ED" w:rsidP="005257ED">
      <w:pPr>
        <w:spacing w:line="480" w:lineRule="auto"/>
        <w:rPr>
          <w:rFonts w:ascii="Arial" w:hAnsi="Arial" w:cs="Arial"/>
        </w:rPr>
      </w:pPr>
      <w:r w:rsidRPr="00BF4867">
        <w:rPr>
          <w:rFonts w:ascii="Arial" w:hAnsi="Arial" w:cs="Arial"/>
        </w:rPr>
        <w:t>When it comes to the question of who is to blame for the impact of poverty on child development, it’s important to recognise that both parents and governments have roles, but their responsibilities differ.</w:t>
      </w:r>
    </w:p>
    <w:p w14:paraId="140A6B24" w14:textId="77777777" w:rsidR="005257ED" w:rsidRPr="00BF4867" w:rsidRDefault="005257ED" w:rsidP="005257ED">
      <w:pPr>
        <w:spacing w:line="480" w:lineRule="auto"/>
        <w:rPr>
          <w:rFonts w:ascii="Arial" w:hAnsi="Arial" w:cs="Arial"/>
        </w:rPr>
      </w:pPr>
      <w:r w:rsidRPr="00BF4867">
        <w:rPr>
          <w:rFonts w:ascii="Arial" w:hAnsi="Arial" w:cs="Arial"/>
        </w:rPr>
        <w:t xml:space="preserve">Parental Responsibility: </w:t>
      </w:r>
    </w:p>
    <w:p w14:paraId="6EBCF11C" w14:textId="77777777" w:rsidR="005257ED" w:rsidRPr="00BF4867" w:rsidRDefault="005257ED" w:rsidP="005257ED">
      <w:pPr>
        <w:spacing w:line="480" w:lineRule="auto"/>
        <w:rPr>
          <w:rFonts w:ascii="Arial" w:hAnsi="Arial" w:cs="Arial"/>
        </w:rPr>
      </w:pPr>
      <w:r w:rsidRPr="00BF4867">
        <w:rPr>
          <w:rFonts w:ascii="Arial" w:hAnsi="Arial" w:cs="Arial"/>
        </w:rPr>
        <w:t>Parents have a direct impact on their children's immediate environment, including providing emotional support, discipline, and access to resources like education, food, meeting basic needs as Maslow’s theory pertains.</w:t>
      </w:r>
    </w:p>
    <w:p w14:paraId="617A9F61" w14:textId="77777777" w:rsidR="005257ED" w:rsidRPr="00BF4867" w:rsidRDefault="005257ED" w:rsidP="005257ED">
      <w:pPr>
        <w:spacing w:line="480" w:lineRule="auto"/>
        <w:rPr>
          <w:rFonts w:ascii="Arial" w:hAnsi="Arial" w:cs="Arial"/>
        </w:rPr>
      </w:pPr>
      <w:r w:rsidRPr="00BF4867">
        <w:rPr>
          <w:rFonts w:ascii="Arial" w:hAnsi="Arial" w:cs="Arial"/>
        </w:rPr>
        <w:lastRenderedPageBreak/>
        <w:t>However, factors like neglect or substance misuse can make poverty’s effects worse (NSPCC, 2023). Parents may also face pressures that limit their ability to focus on long-term goals due to survival-focused priorities (Brady. 2023).</w:t>
      </w:r>
    </w:p>
    <w:p w14:paraId="38412EC5" w14:textId="77777777" w:rsidR="005257ED" w:rsidRPr="00BF4867" w:rsidRDefault="005257ED" w:rsidP="005257ED">
      <w:pPr>
        <w:spacing w:line="480" w:lineRule="auto"/>
        <w:rPr>
          <w:rFonts w:ascii="Arial" w:hAnsi="Arial" w:cs="Arial"/>
        </w:rPr>
      </w:pPr>
      <w:r w:rsidRPr="00BF4867">
        <w:rPr>
          <w:rFonts w:ascii="Arial" w:hAnsi="Arial" w:cs="Arial"/>
        </w:rPr>
        <w:t>Nevertheless, it’s crucial to note that chronic stress and lack of resources, often caused by systemic inequalities, significantly constrain parents' ability to provide optimal care (Hock et al., 2024).</w:t>
      </w:r>
    </w:p>
    <w:p w14:paraId="37AC0FF0" w14:textId="77777777" w:rsidR="005257ED" w:rsidRPr="00BF4867" w:rsidRDefault="005257ED" w:rsidP="005257ED">
      <w:pPr>
        <w:spacing w:line="480" w:lineRule="auto"/>
        <w:rPr>
          <w:rFonts w:ascii="Arial" w:hAnsi="Arial" w:cs="Arial"/>
        </w:rPr>
      </w:pPr>
      <w:r w:rsidRPr="00BF4867">
        <w:rPr>
          <w:rFonts w:ascii="Arial" w:hAnsi="Arial" w:cs="Arial"/>
        </w:rPr>
        <w:t>Government Responsibility:</w:t>
      </w:r>
      <w:r w:rsidRPr="00BF4867">
        <w:rPr>
          <w:rFonts w:ascii="Arial" w:hAnsi="Arial" w:cs="Arial"/>
        </w:rPr>
        <w:br/>
        <w:t>Governments shape the structural environment affecting families. Economic inequality, inadequate social welfare policies, and poor-quality services, such as education and healthcare in underfunded areas, perpetuate cycles of poverty (Joseph Rowntree Foundation, 2023). A lack of investment in early intervention programmes further worsens long-term impacts (McGowan et al., 2021).</w:t>
      </w:r>
    </w:p>
    <w:p w14:paraId="5EEC31E4" w14:textId="77777777" w:rsidR="005257ED" w:rsidRPr="00BF4867" w:rsidRDefault="005257ED" w:rsidP="005257ED">
      <w:pPr>
        <w:spacing w:line="480" w:lineRule="auto"/>
        <w:rPr>
          <w:rFonts w:ascii="Arial" w:hAnsi="Arial" w:cs="Arial"/>
        </w:rPr>
      </w:pPr>
      <w:r w:rsidRPr="00BF4867">
        <w:rPr>
          <w:rFonts w:ascii="Arial" w:hAnsi="Arial" w:cs="Arial"/>
        </w:rPr>
        <w:t>While government policies are critical, their implementation is often hindered by political priorities or bureaucracy (Knill et al., 2024).</w:t>
      </w:r>
    </w:p>
    <w:p w14:paraId="2642F183" w14:textId="77777777" w:rsidR="005257ED" w:rsidRPr="00BF4867" w:rsidRDefault="005257ED" w:rsidP="005257ED">
      <w:pPr>
        <w:spacing w:line="480" w:lineRule="auto"/>
        <w:rPr>
          <w:rFonts w:ascii="Arial" w:hAnsi="Arial" w:cs="Arial"/>
        </w:rPr>
      </w:pPr>
      <w:r w:rsidRPr="00BF4867">
        <w:rPr>
          <w:rFonts w:ascii="Arial" w:hAnsi="Arial" w:cs="Arial"/>
        </w:rPr>
        <w:t>In summary, blaming either parents or governments alone oversimplifies the issue. Parents play a direct role, but their capacity to support their children is deeply influenced by systemic factors (Spencer, 2024). Governments must address structural inequities and create an environment that supports families, providing policies that integrate family support with broader systemic reforms to break the cycle of poverty and promote positive child development (NSPCC, 2023).</w:t>
      </w:r>
    </w:p>
    <w:p w14:paraId="713807D4" w14:textId="77777777" w:rsidR="005257ED" w:rsidRPr="00BF4867" w:rsidRDefault="005257ED" w:rsidP="005257ED">
      <w:pPr>
        <w:spacing w:line="480" w:lineRule="auto"/>
        <w:rPr>
          <w:rFonts w:ascii="Arial" w:hAnsi="Arial" w:cs="Arial"/>
        </w:rPr>
      </w:pPr>
      <w:r w:rsidRPr="00BF4867">
        <w:rPr>
          <w:rFonts w:ascii="Arial" w:hAnsi="Arial" w:cs="Arial"/>
        </w:rPr>
        <w:t>Slide 11</w:t>
      </w:r>
    </w:p>
    <w:p w14:paraId="0D9136AC" w14:textId="77777777" w:rsidR="005257ED" w:rsidRPr="00BF4867" w:rsidRDefault="005257ED" w:rsidP="005257ED">
      <w:pPr>
        <w:spacing w:line="480" w:lineRule="auto"/>
        <w:rPr>
          <w:rFonts w:ascii="Arial" w:hAnsi="Arial" w:cs="Arial"/>
        </w:rPr>
      </w:pPr>
      <w:r w:rsidRPr="00BF4867">
        <w:rPr>
          <w:rFonts w:ascii="Arial" w:hAnsi="Arial" w:cs="Arial"/>
          <w:lang w:val="en-US"/>
        </w:rPr>
        <w:t xml:space="preserve">Addressing the impact of poverty requires effective, multi-faceted interventions. In the UK, early childhood education programs like the Early Years Foundation Stage (EYFS) significantly improve cognitive, social, and emotional outcomes for </w:t>
      </w:r>
      <w:r w:rsidRPr="00BF4867">
        <w:rPr>
          <w:rFonts w:ascii="Arial" w:hAnsi="Arial" w:cs="Arial"/>
          <w:lang w:val="en-US"/>
        </w:rPr>
        <w:lastRenderedPageBreak/>
        <w:t>disadvantaged children. A longitudinal study found that children in EYFS-based settings were more likely to start school with stronger literacy and numeracy skills (Forrester et al., 2022). Sustained parental involvement is crucial to maintaining these benefits (Bamsey et al., 2021). Financial support schemes, such as Healthy Start, enhance child well-being and nutrition while alleviating poverty-related stress (Theis &amp; White, 2021). Despite these successes, broader challenges like access to quality education and healthcare remain unaddressed, necessitating systemic reforms (Friedline et al., 2021). Policies such as the two-child limit exacerbate child poverty, with their removal projected to lift 540,000 children out of poverty at an annual cost of £2.5 billion (Henry &amp; Wernham, 2024). The Pupil Premium improves academic and social-emotional outcomes but varies in effectiveness across regions, while access to affordable childcare and safe play spaces supports low-income families’ development (Gorard et al., 2023; Gemmell et al., 2023). For sustained impact, these initiatives must align within a comprehensive strategy addressing systemic inequalities (Taylor, 2022).</w:t>
      </w:r>
    </w:p>
    <w:p w14:paraId="16EB1245" w14:textId="77777777" w:rsidR="005257ED" w:rsidRPr="00BF4867" w:rsidRDefault="005257ED" w:rsidP="005257ED">
      <w:pPr>
        <w:spacing w:line="480" w:lineRule="auto"/>
        <w:rPr>
          <w:rFonts w:ascii="Arial" w:hAnsi="Arial" w:cs="Arial"/>
        </w:rPr>
      </w:pPr>
      <w:r w:rsidRPr="00BF4867">
        <w:rPr>
          <w:rFonts w:ascii="Arial" w:hAnsi="Arial" w:cs="Arial"/>
        </w:rPr>
        <w:t>Slide 12</w:t>
      </w:r>
    </w:p>
    <w:p w14:paraId="532893DE" w14:textId="77777777" w:rsidR="005257ED" w:rsidRPr="00BF4867" w:rsidRDefault="005257ED" w:rsidP="005257ED">
      <w:pPr>
        <w:spacing w:line="480" w:lineRule="auto"/>
        <w:rPr>
          <w:rFonts w:ascii="Arial" w:hAnsi="Arial" w:cs="Arial"/>
        </w:rPr>
      </w:pPr>
      <w:r w:rsidRPr="00BF4867">
        <w:rPr>
          <w:rFonts w:ascii="Arial" w:hAnsi="Arial" w:cs="Arial"/>
          <w:lang w:val="en-US"/>
        </w:rPr>
        <w:t>Childhood poverty profoundly affects physical, cognitive, emotional, and social development, with lasting consequences for adulthood, such as mental health issues, chronic illnesses, and perpetuation of intergenerational poverty. Early interventions, including access to education, healthcare, and family support, are critical in fostering resilience and mitigating these effects. Addressing systemic inequalities through government investment in social welfare programs and reforms can create opportunities for all children to thrive. Ultimately, tackling childhood poverty requires a unified effort from parents, communities, and policymakers to ensure positive developmental outcomes and long-term well-being.</w:t>
      </w:r>
    </w:p>
    <w:p w14:paraId="56BD8B55" w14:textId="77777777" w:rsidR="005257ED" w:rsidRPr="00BF4867" w:rsidRDefault="005257ED" w:rsidP="005257ED">
      <w:pPr>
        <w:spacing w:line="480" w:lineRule="auto"/>
        <w:rPr>
          <w:rFonts w:ascii="Arial" w:hAnsi="Arial" w:cs="Arial"/>
        </w:rPr>
      </w:pPr>
      <w:r w:rsidRPr="00BF4867">
        <w:rPr>
          <w:rFonts w:ascii="Arial" w:hAnsi="Arial" w:cs="Arial"/>
        </w:rPr>
        <w:lastRenderedPageBreak/>
        <w:t>Slide 13</w:t>
      </w:r>
    </w:p>
    <w:p w14:paraId="409713FF" w14:textId="77777777" w:rsidR="005257ED" w:rsidRPr="00BF4867" w:rsidRDefault="005257ED" w:rsidP="005257ED">
      <w:pPr>
        <w:spacing w:line="480" w:lineRule="auto"/>
        <w:rPr>
          <w:rFonts w:ascii="Arial" w:hAnsi="Arial" w:cs="Arial"/>
        </w:rPr>
      </w:pPr>
      <w:r w:rsidRPr="00BF4867">
        <w:rPr>
          <w:rFonts w:ascii="Arial" w:hAnsi="Arial" w:cs="Arial"/>
        </w:rPr>
        <w:t>Thank you all for your attention and participation today. I hope this discussion has highlighted the profound impact poverty has on children's development and the importance of targeted policies and interventions. If you have any questions or thoughts, I'd be happy to discuss them further.</w:t>
      </w:r>
    </w:p>
    <w:p w14:paraId="003ADE61" w14:textId="7EE6E87D" w:rsidR="005257ED" w:rsidRDefault="005257ED" w:rsidP="00BE68C4">
      <w:pPr>
        <w:pStyle w:val="paragraph"/>
        <w:spacing w:before="0" w:after="0" w:line="480" w:lineRule="auto"/>
        <w:ind w:left="450" w:hanging="450"/>
        <w:textAlignment w:val="baseline"/>
        <w:rPr>
          <w:rStyle w:val="contentcontrolboundarysink"/>
          <w:rFonts w:ascii="Arial" w:eastAsiaTheme="majorEastAsia" w:hAnsi="Arial" w:cs="Arial"/>
          <w:color w:val="000000"/>
        </w:rPr>
      </w:pPr>
    </w:p>
    <w:p w14:paraId="42EB70FC" w14:textId="77777777" w:rsidR="005257ED" w:rsidRDefault="005257ED">
      <w:pPr>
        <w:rPr>
          <w:rStyle w:val="contentcontrolboundarysink"/>
          <w:rFonts w:ascii="Arial" w:eastAsiaTheme="majorEastAsia" w:hAnsi="Arial" w:cs="Arial"/>
          <w:color w:val="000000"/>
          <w:kern w:val="0"/>
          <w:lang w:eastAsia="en-GB"/>
          <w14:ligatures w14:val="none"/>
        </w:rPr>
      </w:pPr>
      <w:r>
        <w:rPr>
          <w:rStyle w:val="contentcontrolboundarysink"/>
          <w:rFonts w:ascii="Arial" w:eastAsiaTheme="majorEastAsia" w:hAnsi="Arial" w:cs="Arial"/>
          <w:color w:val="000000"/>
        </w:rPr>
        <w:br w:type="page"/>
      </w:r>
    </w:p>
    <w:p w14:paraId="5FFC783F" w14:textId="6E5A606F" w:rsidR="005257ED" w:rsidRDefault="005257ED" w:rsidP="005257ED">
      <w:pPr>
        <w:pStyle w:val="paragraph"/>
        <w:spacing w:before="0" w:after="0" w:line="480" w:lineRule="auto"/>
        <w:ind w:left="450" w:hanging="450"/>
        <w:jc w:val="center"/>
        <w:textAlignment w:val="baseline"/>
        <w:rPr>
          <w:rFonts w:ascii="Arial" w:hAnsi="Arial" w:cs="Arial"/>
          <w:color w:val="000000" w:themeColor="text1"/>
        </w:rPr>
      </w:pPr>
      <w:r>
        <w:rPr>
          <w:rFonts w:ascii="Arial" w:hAnsi="Arial" w:cs="Arial"/>
          <w:color w:val="000000" w:themeColor="text1"/>
        </w:rPr>
        <w:lastRenderedPageBreak/>
        <w:t>References</w:t>
      </w:r>
    </w:p>
    <w:p w14:paraId="1434368A" w14:textId="5CE533AE" w:rsidR="003359A7" w:rsidRPr="00BE68C4" w:rsidRDefault="003359A7" w:rsidP="00BE68C4">
      <w:pPr>
        <w:pStyle w:val="paragraph"/>
        <w:spacing w:before="0" w:after="0" w:line="480" w:lineRule="auto"/>
        <w:ind w:left="450" w:hanging="450"/>
        <w:textAlignment w:val="baseline"/>
        <w:rPr>
          <w:rFonts w:ascii="Arial" w:eastAsiaTheme="majorEastAsia" w:hAnsi="Arial" w:cs="Arial"/>
          <w:color w:val="000000"/>
        </w:rPr>
      </w:pPr>
      <w:r w:rsidRPr="00BE68C4">
        <w:rPr>
          <w:rFonts w:ascii="Arial" w:hAnsi="Arial" w:cs="Arial"/>
          <w:color w:val="000000" w:themeColor="text1"/>
        </w:rPr>
        <w:t xml:space="preserve"> </w:t>
      </w:r>
      <w:proofErr w:type="spellStart"/>
      <w:r w:rsidRPr="00BE68C4">
        <w:rPr>
          <w:rFonts w:ascii="Arial" w:eastAsiaTheme="majorEastAsia" w:hAnsi="Arial" w:cs="Arial"/>
          <w:color w:val="000000"/>
        </w:rPr>
        <w:t>Akarçeşme</w:t>
      </w:r>
      <w:proofErr w:type="spellEnd"/>
      <w:r w:rsidRPr="00BE68C4">
        <w:rPr>
          <w:rFonts w:ascii="Arial" w:eastAsiaTheme="majorEastAsia" w:hAnsi="Arial" w:cs="Arial"/>
          <w:color w:val="000000"/>
        </w:rPr>
        <w:t>, S., Aranguiz, A., Lemmens, A., &amp; Cantillon, B. (2024). Reaching the  European 2030 poverty target: The imperative to balance the EU social agenda.</w:t>
      </w:r>
      <w:r w:rsidRPr="00BE68C4">
        <w:rPr>
          <w:rFonts w:ascii="Arial" w:eastAsiaTheme="majorEastAsia" w:hAnsi="Arial" w:cs="Arial"/>
          <w:i/>
          <w:iCs/>
          <w:color w:val="000000"/>
        </w:rPr>
        <w:t> European Journal of Social Security, 26</w:t>
      </w:r>
      <w:r w:rsidRPr="00BE68C4">
        <w:rPr>
          <w:rFonts w:ascii="Arial" w:eastAsiaTheme="majorEastAsia" w:hAnsi="Arial" w:cs="Arial"/>
          <w:color w:val="000000"/>
        </w:rPr>
        <w:t>(3), 347–368</w:t>
      </w:r>
      <w:r w:rsidR="00257E94" w:rsidRPr="00BE68C4">
        <w:rPr>
          <w:rFonts w:ascii="Arial" w:eastAsiaTheme="majorEastAsia" w:hAnsi="Arial" w:cs="Arial"/>
        </w:rPr>
        <w:t xml:space="preserve"> </w:t>
      </w:r>
      <w:hyperlink r:id="rId8" w:history="1">
        <w:r w:rsidR="00257E94" w:rsidRPr="00BE68C4">
          <w:rPr>
            <w:rStyle w:val="Hyperlink"/>
            <w:rFonts w:ascii="Arial" w:eastAsiaTheme="majorEastAsia" w:hAnsi="Arial" w:cs="Arial"/>
          </w:rPr>
          <w:t>https://doi.org/10.1177/13882627241270404</w:t>
        </w:r>
      </w:hyperlink>
    </w:p>
    <w:p w14:paraId="4B6F67CC" w14:textId="12809A03"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​Alpuğan, Z. (2024). The Impact of Early Childhood Adversity on Neurodevelopment: A Comprehensive Review.</w:t>
      </w:r>
      <w:r w:rsidRPr="003359A7">
        <w:rPr>
          <w:rFonts w:ascii="Arial" w:eastAsiaTheme="majorEastAsia" w:hAnsi="Arial" w:cs="Arial"/>
          <w:i/>
          <w:iCs/>
          <w:color w:val="000000"/>
        </w:rPr>
        <w:t> The Journal of Neurobehavioral Sciences, 11</w:t>
      </w:r>
      <w:r w:rsidRPr="003359A7">
        <w:rPr>
          <w:rFonts w:ascii="Arial" w:eastAsiaTheme="majorEastAsia" w:hAnsi="Arial" w:cs="Arial"/>
          <w:color w:val="000000"/>
        </w:rPr>
        <w:t>(2), 45–59.</w:t>
      </w:r>
      <w:r w:rsidR="005230ED" w:rsidRPr="00BE68C4">
        <w:rPr>
          <w:rFonts w:ascii="Arial" w:eastAsiaTheme="majorEastAsia" w:hAnsi="Arial" w:cs="Arial"/>
          <w:color w:val="000000"/>
        </w:rPr>
        <w:t xml:space="preserve"> </w:t>
      </w:r>
      <w:hyperlink r:id="rId9" w:history="1">
        <w:r w:rsidR="00257E94" w:rsidRPr="00BE68C4">
          <w:rPr>
            <w:rStyle w:val="Hyperlink"/>
            <w:rFonts w:ascii="Arial" w:eastAsiaTheme="majorEastAsia" w:hAnsi="Arial" w:cs="Arial"/>
          </w:rPr>
          <w:t>https://doi.org/10.32739/uha.jnbs.11.1539116</w:t>
        </w:r>
      </w:hyperlink>
    </w:p>
    <w:p w14:paraId="78302246"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Ayala, M. C., Strasser, K., </w:t>
      </w:r>
      <w:proofErr w:type="spellStart"/>
      <w:r w:rsidRPr="003359A7">
        <w:rPr>
          <w:rFonts w:ascii="Arial" w:eastAsiaTheme="majorEastAsia" w:hAnsi="Arial" w:cs="Arial"/>
          <w:color w:val="000000"/>
        </w:rPr>
        <w:t>Susperreguy</w:t>
      </w:r>
      <w:proofErr w:type="spellEnd"/>
      <w:r w:rsidRPr="003359A7">
        <w:rPr>
          <w:rFonts w:ascii="Arial" w:eastAsiaTheme="majorEastAsia" w:hAnsi="Arial" w:cs="Arial"/>
          <w:color w:val="000000"/>
        </w:rPr>
        <w:t>, M. I., &amp; Castillo, K. (2024). Socioeconomic gaps in specific mathematical skills at different ages in primary school. </w:t>
      </w:r>
      <w:r w:rsidRPr="003359A7">
        <w:rPr>
          <w:rFonts w:ascii="Arial" w:eastAsiaTheme="majorEastAsia" w:hAnsi="Arial" w:cs="Arial"/>
          <w:i/>
          <w:iCs/>
          <w:color w:val="000000"/>
        </w:rPr>
        <w:t>Journal of Educational Psychology</w:t>
      </w:r>
      <w:r w:rsidRPr="003359A7">
        <w:rPr>
          <w:rFonts w:ascii="Arial" w:eastAsiaTheme="majorEastAsia" w:hAnsi="Arial" w:cs="Arial"/>
          <w:color w:val="000000"/>
        </w:rPr>
        <w:t>, </w:t>
      </w:r>
      <w:r w:rsidRPr="003359A7">
        <w:rPr>
          <w:rFonts w:ascii="Arial" w:eastAsiaTheme="majorEastAsia" w:hAnsi="Arial" w:cs="Arial"/>
          <w:i/>
          <w:iCs/>
          <w:color w:val="000000"/>
        </w:rPr>
        <w:t>116</w:t>
      </w:r>
      <w:r w:rsidRPr="003359A7">
        <w:rPr>
          <w:rFonts w:ascii="Arial" w:eastAsiaTheme="majorEastAsia" w:hAnsi="Arial" w:cs="Arial"/>
          <w:color w:val="000000"/>
        </w:rPr>
        <w:t>(5), 762.</w:t>
      </w:r>
    </w:p>
    <w:p w14:paraId="7F0A2403" w14:textId="35EFB405"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Back, I. d. C., Barros, N. F. d., &amp; Caramelli, B. (2022). Lifestyle, inadequate environments in childhood and their effects on adult cardiovascular health.</w:t>
      </w:r>
      <w:r w:rsidRPr="003359A7">
        <w:rPr>
          <w:rFonts w:ascii="Arial" w:eastAsiaTheme="majorEastAsia" w:hAnsi="Arial" w:cs="Arial"/>
          <w:i/>
          <w:iCs/>
          <w:color w:val="000000"/>
        </w:rPr>
        <w:t> </w:t>
      </w:r>
      <w:proofErr w:type="spellStart"/>
      <w:r w:rsidRPr="003359A7">
        <w:rPr>
          <w:rFonts w:ascii="Arial" w:eastAsiaTheme="majorEastAsia" w:hAnsi="Arial" w:cs="Arial"/>
          <w:i/>
          <w:iCs/>
          <w:color w:val="000000"/>
        </w:rPr>
        <w:t>Jornal</w:t>
      </w:r>
      <w:proofErr w:type="spellEnd"/>
      <w:r w:rsidRPr="003359A7">
        <w:rPr>
          <w:rFonts w:ascii="Arial" w:eastAsiaTheme="majorEastAsia" w:hAnsi="Arial" w:cs="Arial"/>
          <w:i/>
          <w:iCs/>
          <w:color w:val="000000"/>
        </w:rPr>
        <w:t xml:space="preserve"> De </w:t>
      </w:r>
      <w:proofErr w:type="spellStart"/>
      <w:r w:rsidRPr="003359A7">
        <w:rPr>
          <w:rFonts w:ascii="Arial" w:eastAsiaTheme="majorEastAsia" w:hAnsi="Arial" w:cs="Arial"/>
          <w:i/>
          <w:iCs/>
          <w:color w:val="000000"/>
        </w:rPr>
        <w:t>Pediatria</w:t>
      </w:r>
      <w:proofErr w:type="spellEnd"/>
      <w:r w:rsidRPr="003359A7">
        <w:rPr>
          <w:rFonts w:ascii="Arial" w:eastAsiaTheme="majorEastAsia" w:hAnsi="Arial" w:cs="Arial"/>
          <w:i/>
          <w:iCs/>
          <w:color w:val="000000"/>
        </w:rPr>
        <w:t>, 98</w:t>
      </w:r>
      <w:r w:rsidRPr="003359A7">
        <w:rPr>
          <w:rFonts w:ascii="Arial" w:eastAsiaTheme="majorEastAsia" w:hAnsi="Arial" w:cs="Arial"/>
          <w:color w:val="000000"/>
        </w:rPr>
        <w:t>(</w:t>
      </w:r>
      <w:proofErr w:type="spellStart"/>
      <w:r w:rsidRPr="003359A7">
        <w:rPr>
          <w:rFonts w:ascii="Arial" w:eastAsiaTheme="majorEastAsia" w:hAnsi="Arial" w:cs="Arial"/>
          <w:color w:val="000000"/>
        </w:rPr>
        <w:t>suppl</w:t>
      </w:r>
      <w:proofErr w:type="spellEnd"/>
      <w:r w:rsidRPr="003359A7">
        <w:rPr>
          <w:rFonts w:ascii="Arial" w:eastAsiaTheme="majorEastAsia" w:hAnsi="Arial" w:cs="Arial"/>
          <w:color w:val="000000"/>
        </w:rPr>
        <w:t xml:space="preserve"> 1), 19–26.</w:t>
      </w:r>
      <w:r w:rsidR="00DE26E3" w:rsidRPr="00BE68C4">
        <w:rPr>
          <w:rFonts w:ascii="Arial" w:eastAsiaTheme="majorEastAsia" w:hAnsi="Arial" w:cs="Arial"/>
          <w:color w:val="000000"/>
        </w:rPr>
        <w:t xml:space="preserve"> </w:t>
      </w:r>
      <w:hyperlink r:id="rId10" w:tgtFrame="_blank" w:tooltip="Persistent link using digital object identifier" w:history="1">
        <w:r w:rsidR="006F0104" w:rsidRPr="00BE68C4">
          <w:rPr>
            <w:rStyle w:val="Hyperlink"/>
            <w:rFonts w:ascii="Arial" w:eastAsiaTheme="majorEastAsia" w:hAnsi="Arial" w:cs="Arial"/>
          </w:rPr>
          <w:t>https://doi.org/10.1016/j.jped.2021.09.005</w:t>
        </w:r>
      </w:hyperlink>
    </w:p>
    <w:p w14:paraId="26217BD7"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Bamsey, V., Georgeson, J., Healy, A., &amp; </w:t>
      </w:r>
      <w:proofErr w:type="spellStart"/>
      <w:r w:rsidRPr="003359A7">
        <w:rPr>
          <w:rFonts w:ascii="Arial" w:eastAsiaTheme="majorEastAsia" w:hAnsi="Arial" w:cs="Arial"/>
          <w:color w:val="000000"/>
        </w:rPr>
        <w:t>ÓCaoimh</w:t>
      </w:r>
      <w:proofErr w:type="spellEnd"/>
      <w:r w:rsidRPr="003359A7">
        <w:rPr>
          <w:rFonts w:ascii="Arial" w:eastAsiaTheme="majorEastAsia" w:hAnsi="Arial" w:cs="Arial"/>
          <w:color w:val="000000"/>
        </w:rPr>
        <w:t xml:space="preserve">, B. (2021). Mapping the Landscape: practitioners views on the Early Years Foundation Stage. </w:t>
      </w:r>
      <w:hyperlink r:id="rId11">
        <w:r w:rsidRPr="003359A7">
          <w:rPr>
            <w:rStyle w:val="Hyperlink"/>
            <w:rFonts w:ascii="Arial" w:eastAsiaTheme="majorEastAsia" w:hAnsi="Arial" w:cs="Arial"/>
          </w:rPr>
          <w:t>https://early-education.org.uk/wp-content/uploads/2021/12/Mapping-the-Landscape-survey-report.pdf</w:t>
        </w:r>
      </w:hyperlink>
    </w:p>
    <w:p w14:paraId="0760264E" w14:textId="68B829A8"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Barch, D. M., Donohue, M. R., Elsayed, N. M., Gilbert, K., Harms, M. P., </w:t>
      </w:r>
      <w:proofErr w:type="spellStart"/>
      <w:r w:rsidRPr="003359A7">
        <w:rPr>
          <w:rFonts w:ascii="Arial" w:eastAsiaTheme="majorEastAsia" w:hAnsi="Arial" w:cs="Arial"/>
          <w:color w:val="000000"/>
        </w:rPr>
        <w:t>Hennefield</w:t>
      </w:r>
      <w:proofErr w:type="spellEnd"/>
      <w:r w:rsidRPr="003359A7">
        <w:rPr>
          <w:rFonts w:ascii="Arial" w:eastAsiaTheme="majorEastAsia" w:hAnsi="Arial" w:cs="Arial"/>
          <w:color w:val="000000"/>
        </w:rPr>
        <w:t xml:space="preserve">, L., Herzberg, M., Kandala, S., Karcher, N. R., Jackson, J. J., Luking, K. R., Rappaport, B. I., Sanders, A., Taylor, R., Tillman, R., Vogel, A. C., Whalen, D., &amp; </w:t>
      </w:r>
      <w:r w:rsidRPr="003359A7">
        <w:rPr>
          <w:rFonts w:ascii="Arial" w:eastAsiaTheme="majorEastAsia" w:hAnsi="Arial" w:cs="Arial"/>
          <w:color w:val="000000"/>
        </w:rPr>
        <w:lastRenderedPageBreak/>
        <w:t xml:space="preserve">Luby, J. L. (2022). </w:t>
      </w:r>
      <w:r w:rsidR="001C3F2C" w:rsidRPr="00BE68C4">
        <w:rPr>
          <w:rFonts w:ascii="Arial" w:eastAsiaTheme="majorEastAsia" w:hAnsi="Arial" w:cs="Arial"/>
          <w:color w:val="000000"/>
        </w:rPr>
        <w:t xml:space="preserve">: </w:t>
      </w:r>
      <w:hyperlink r:id="rId12" w:history="1">
        <w:r w:rsidR="001C3F2C" w:rsidRPr="00BE68C4">
          <w:rPr>
            <w:rStyle w:val="Hyperlink"/>
            <w:rFonts w:ascii="Arial" w:eastAsiaTheme="majorEastAsia" w:hAnsi="Arial" w:cs="Arial"/>
          </w:rPr>
          <w:t>https://www.sciencedirect.com/science/article/pii/S2451902221001968</w:t>
        </w:r>
      </w:hyperlink>
    </w:p>
    <w:p w14:paraId="48ED6AFF" w14:textId="29C5CCB7"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Beasley, L. O., Jespersen, J. E., Morris, A. S., Farra, A., &amp; Hays-</w:t>
      </w:r>
      <w:proofErr w:type="spellStart"/>
      <w:r w:rsidRPr="003359A7">
        <w:rPr>
          <w:rFonts w:ascii="Arial" w:eastAsiaTheme="majorEastAsia" w:hAnsi="Arial" w:cs="Arial"/>
          <w:color w:val="000000"/>
        </w:rPr>
        <w:t>Grudo</w:t>
      </w:r>
      <w:proofErr w:type="spellEnd"/>
      <w:r w:rsidRPr="003359A7">
        <w:rPr>
          <w:rFonts w:ascii="Arial" w:eastAsiaTheme="majorEastAsia" w:hAnsi="Arial" w:cs="Arial"/>
          <w:color w:val="000000"/>
        </w:rPr>
        <w:t>, J. (2022). Parenting challenges and opportunities among families living in poverty.</w:t>
      </w:r>
      <w:r w:rsidRPr="003359A7">
        <w:rPr>
          <w:rFonts w:ascii="Arial" w:eastAsiaTheme="majorEastAsia" w:hAnsi="Arial" w:cs="Arial"/>
          <w:i/>
          <w:iCs/>
          <w:color w:val="000000"/>
        </w:rPr>
        <w:t> Social Sciences, 11</w:t>
      </w:r>
      <w:r w:rsidRPr="003359A7">
        <w:rPr>
          <w:rFonts w:ascii="Arial" w:eastAsiaTheme="majorEastAsia" w:hAnsi="Arial" w:cs="Arial"/>
          <w:color w:val="000000"/>
        </w:rPr>
        <w:t>(3), 119.</w:t>
      </w:r>
      <w:r w:rsidR="00243E56" w:rsidRPr="00BE68C4">
        <w:rPr>
          <w:rFonts w:ascii="Arial" w:eastAsiaTheme="majorEastAsia" w:hAnsi="Arial" w:cs="Arial"/>
          <w:color w:val="000000"/>
        </w:rPr>
        <w:t xml:space="preserve">  </w:t>
      </w:r>
      <w:hyperlink r:id="rId13" w:history="1">
        <w:r w:rsidR="00243E56" w:rsidRPr="00BE68C4">
          <w:rPr>
            <w:rStyle w:val="Hyperlink"/>
            <w:rFonts w:ascii="Arial" w:eastAsiaTheme="majorEastAsia" w:hAnsi="Arial" w:cs="Arial"/>
          </w:rPr>
          <w:t>https://doi.org/10.3390/socsci11030119</w:t>
        </w:r>
      </w:hyperlink>
    </w:p>
    <w:p w14:paraId="3C506D1B" w14:textId="704BCBDD"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Birkmann, J., </w:t>
      </w:r>
      <w:proofErr w:type="spellStart"/>
      <w:r w:rsidRPr="003359A7">
        <w:rPr>
          <w:rFonts w:ascii="Arial" w:eastAsiaTheme="majorEastAsia" w:hAnsi="Arial" w:cs="Arial"/>
          <w:color w:val="000000"/>
        </w:rPr>
        <w:t>Liwenga</w:t>
      </w:r>
      <w:proofErr w:type="spellEnd"/>
      <w:r w:rsidRPr="003359A7">
        <w:rPr>
          <w:rFonts w:ascii="Arial" w:eastAsiaTheme="majorEastAsia" w:hAnsi="Arial" w:cs="Arial"/>
          <w:color w:val="000000"/>
        </w:rPr>
        <w:t xml:space="preserve">, E., Pandey, R., Boyd, E., </w:t>
      </w:r>
      <w:proofErr w:type="spellStart"/>
      <w:r w:rsidRPr="003359A7">
        <w:rPr>
          <w:rFonts w:ascii="Arial" w:eastAsiaTheme="majorEastAsia" w:hAnsi="Arial" w:cs="Arial"/>
          <w:color w:val="000000"/>
        </w:rPr>
        <w:t>Djalante</w:t>
      </w:r>
      <w:proofErr w:type="spellEnd"/>
      <w:r w:rsidRPr="003359A7">
        <w:rPr>
          <w:rFonts w:ascii="Arial" w:eastAsiaTheme="majorEastAsia" w:hAnsi="Arial" w:cs="Arial"/>
          <w:color w:val="000000"/>
        </w:rPr>
        <w:t xml:space="preserve">, R., </w:t>
      </w:r>
      <w:proofErr w:type="spellStart"/>
      <w:r w:rsidRPr="003359A7">
        <w:rPr>
          <w:rFonts w:ascii="Arial" w:eastAsiaTheme="majorEastAsia" w:hAnsi="Arial" w:cs="Arial"/>
          <w:color w:val="000000"/>
        </w:rPr>
        <w:t>Gemenne</w:t>
      </w:r>
      <w:proofErr w:type="spellEnd"/>
      <w:r w:rsidRPr="003359A7">
        <w:rPr>
          <w:rFonts w:ascii="Arial" w:eastAsiaTheme="majorEastAsia" w:hAnsi="Arial" w:cs="Arial"/>
          <w:color w:val="000000"/>
        </w:rPr>
        <w:t>, F., Leal Filho, W., Pinho, P., Stringer, L., &amp; Wrathall, D. (2022a). Poverty, livelihoods and sustainable development.</w:t>
      </w:r>
      <w:r w:rsidR="00412767" w:rsidRPr="00BE68C4">
        <w:rPr>
          <w:rFonts w:ascii="Arial" w:eastAsiaTheme="majorEastAsia" w:hAnsi="Arial" w:cs="Arial"/>
          <w:color w:val="000000"/>
        </w:rPr>
        <w:t xml:space="preserve"> </w:t>
      </w:r>
      <w:hyperlink r:id="rId14" w:history="1">
        <w:r w:rsidR="00E62D50" w:rsidRPr="00BE68C4">
          <w:rPr>
            <w:rStyle w:val="Hyperlink"/>
            <w:rFonts w:ascii="Arial" w:eastAsiaTheme="majorEastAsia" w:hAnsi="Arial" w:cs="Arial"/>
          </w:rPr>
          <w:t>https://doi.org/10.1017/9781009325844.010</w:t>
        </w:r>
      </w:hyperlink>
    </w:p>
    <w:p w14:paraId="239B309E"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Bourne, S. V., Korom, M., &amp; Dozier, M. (2022). Consequences of inadequate caregiving for children’s attachment, neurobiological development, and adaptive functioning.</w:t>
      </w:r>
      <w:r w:rsidRPr="003359A7">
        <w:rPr>
          <w:rFonts w:ascii="Arial" w:eastAsiaTheme="majorEastAsia" w:hAnsi="Arial" w:cs="Arial"/>
          <w:i/>
          <w:iCs/>
          <w:color w:val="000000"/>
        </w:rPr>
        <w:t> Clinical Child and Family Psychology Review, 25</w:t>
      </w:r>
      <w:r w:rsidRPr="003359A7">
        <w:rPr>
          <w:rFonts w:ascii="Arial" w:eastAsiaTheme="majorEastAsia" w:hAnsi="Arial" w:cs="Arial"/>
          <w:color w:val="000000"/>
        </w:rPr>
        <w:t>(1), 166–181.</w:t>
      </w:r>
    </w:p>
    <w:p w14:paraId="593217FD"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Brady, D. (2023). Poverty, not the poor.</w:t>
      </w:r>
      <w:r w:rsidRPr="003359A7">
        <w:rPr>
          <w:rFonts w:ascii="Arial" w:eastAsiaTheme="majorEastAsia" w:hAnsi="Arial" w:cs="Arial"/>
          <w:i/>
          <w:iCs/>
          <w:color w:val="000000"/>
        </w:rPr>
        <w:t> Science Advances, 9</w:t>
      </w:r>
      <w:r w:rsidRPr="003359A7">
        <w:rPr>
          <w:rFonts w:ascii="Arial" w:eastAsiaTheme="majorEastAsia" w:hAnsi="Arial" w:cs="Arial"/>
          <w:color w:val="000000"/>
        </w:rPr>
        <w:t>(34), eadg1469.</w:t>
      </w:r>
    </w:p>
    <w:p w14:paraId="27A758C8" w14:textId="4B587EB6"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Breitenbach, M., Kapferer, E., Sedmak, C., Breitenbach, M., Kapferer, E., &amp; Sedmak, C. (2021). The unhealthy relationship between stress and poverty. </w:t>
      </w:r>
      <w:r w:rsidRPr="003359A7">
        <w:rPr>
          <w:rFonts w:ascii="Arial" w:eastAsiaTheme="majorEastAsia" w:hAnsi="Arial" w:cs="Arial"/>
          <w:i/>
          <w:iCs/>
          <w:color w:val="000000"/>
        </w:rPr>
        <w:t>Stress and Poverty: A Cross-Disciplinary Investigation of Stress in Cells, Individuals, and Society</w:t>
      </w:r>
      <w:r w:rsidRPr="003359A7">
        <w:rPr>
          <w:rFonts w:ascii="Arial" w:eastAsiaTheme="majorEastAsia" w:hAnsi="Arial" w:cs="Arial"/>
          <w:color w:val="000000"/>
        </w:rPr>
        <w:t>, 123-146.</w:t>
      </w:r>
      <w:r w:rsidR="007F5802" w:rsidRPr="00BE68C4">
        <w:rPr>
          <w:rFonts w:ascii="Arial" w:eastAsiaTheme="majorEastAsia" w:hAnsi="Arial" w:cs="Arial"/>
          <w:color w:val="000000"/>
        </w:rPr>
        <w:t xml:space="preserve"> </w:t>
      </w:r>
      <w:hyperlink r:id="rId15" w:history="1">
        <w:r w:rsidR="007F5802" w:rsidRPr="00BE68C4">
          <w:rPr>
            <w:rStyle w:val="Hyperlink"/>
            <w:rFonts w:ascii="Arial" w:eastAsiaTheme="majorEastAsia" w:hAnsi="Arial" w:cs="Arial"/>
          </w:rPr>
          <w:t>https://doi.org/10.1126/science.1251872</w:t>
        </w:r>
      </w:hyperlink>
    </w:p>
    <w:p w14:paraId="4C7FEC60"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Bronfenbrenner, U. (1979). The Ecology of Human Development: Experiments by Nature and Design. Cambridge, MA: Harvard University Press.</w:t>
      </w:r>
    </w:p>
    <w:p w14:paraId="629BEE39"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Brooks-Gunn, J., Klebanov, P., Liaw, F. R., &amp; Duncan, G. (2021). Toward an understanding of the effects of poverty upon children. In </w:t>
      </w:r>
      <w:r w:rsidRPr="003359A7">
        <w:rPr>
          <w:rFonts w:ascii="Arial" w:eastAsiaTheme="majorEastAsia" w:hAnsi="Arial" w:cs="Arial"/>
          <w:i/>
          <w:iCs/>
          <w:color w:val="000000"/>
        </w:rPr>
        <w:t>Children of poverty</w:t>
      </w:r>
      <w:r w:rsidRPr="003359A7">
        <w:rPr>
          <w:rFonts w:ascii="Arial" w:eastAsiaTheme="majorEastAsia" w:hAnsi="Arial" w:cs="Arial"/>
          <w:color w:val="000000"/>
        </w:rPr>
        <w:t> (pp. 3-41). Routledge.</w:t>
      </w:r>
    </w:p>
    <w:p w14:paraId="130EE843" w14:textId="683470C5" w:rsidR="003359A7" w:rsidRPr="00BE68C4" w:rsidRDefault="003359A7" w:rsidP="00BE68C4">
      <w:pPr>
        <w:pStyle w:val="paragraph"/>
        <w:spacing w:after="0" w:line="480" w:lineRule="auto"/>
        <w:ind w:left="450" w:hanging="450"/>
        <w:textAlignment w:val="baseline"/>
        <w:rPr>
          <w:rFonts w:ascii="Arial" w:eastAsiaTheme="majorEastAsia" w:hAnsi="Arial" w:cs="Arial"/>
          <w:i/>
          <w:iCs/>
          <w:color w:val="000000"/>
        </w:rPr>
      </w:pPr>
      <w:r w:rsidRPr="003359A7">
        <w:rPr>
          <w:rFonts w:ascii="Arial" w:eastAsiaTheme="majorEastAsia" w:hAnsi="Arial" w:cs="Arial"/>
          <w:color w:val="000000"/>
        </w:rPr>
        <w:lastRenderedPageBreak/>
        <w:t>Cave, R. (2024). No title.</w:t>
      </w:r>
      <w:r w:rsidRPr="003359A7">
        <w:rPr>
          <w:rFonts w:ascii="Arial" w:eastAsiaTheme="majorEastAsia" w:hAnsi="Arial" w:cs="Arial"/>
          <w:i/>
          <w:iCs/>
          <w:color w:val="000000"/>
        </w:rPr>
        <w:t> A Comparative Case Study Analysis of Early Intervention Programs: Closing the Language Gap in Children of Low Socioeconomic Status during Early Childhood</w:t>
      </w:r>
      <w:r w:rsidR="00B85972" w:rsidRPr="00BE68C4">
        <w:rPr>
          <w:rFonts w:ascii="Arial" w:eastAsiaTheme="majorEastAsia" w:hAnsi="Arial" w:cs="Arial"/>
          <w:i/>
          <w:iCs/>
          <w:color w:val="000000"/>
        </w:rPr>
        <w:t xml:space="preserve">. </w:t>
      </w:r>
      <w:hyperlink r:id="rId16" w:history="1">
        <w:r w:rsidR="00B85972" w:rsidRPr="00BE68C4">
          <w:rPr>
            <w:rStyle w:val="Hyperlink"/>
            <w:rFonts w:ascii="Arial" w:eastAsiaTheme="majorEastAsia" w:hAnsi="Arial" w:cs="Arial"/>
            <w:i/>
            <w:iCs/>
          </w:rPr>
          <w:t>https://www.proquest.com/dissertations-theses/comparative-case-study-analysis-early/docview/3062319037/se-2</w:t>
        </w:r>
      </w:hyperlink>
    </w:p>
    <w:p w14:paraId="3DF106DD" w14:textId="2955407B"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Chen, J., Wang, Z., Wong, H., &amp; Tang, V. M. (2021). Child deprivation as a mediator of the relationships between family poverty, bullying victimization, and psychological distress.</w:t>
      </w:r>
      <w:r w:rsidRPr="003359A7">
        <w:rPr>
          <w:rFonts w:ascii="Arial" w:eastAsiaTheme="majorEastAsia" w:hAnsi="Arial" w:cs="Arial"/>
          <w:i/>
          <w:iCs/>
          <w:color w:val="000000"/>
        </w:rPr>
        <w:t> Child Indicators Research, 14</w:t>
      </w:r>
      <w:r w:rsidRPr="003359A7">
        <w:rPr>
          <w:rFonts w:ascii="Arial" w:eastAsiaTheme="majorEastAsia" w:hAnsi="Arial" w:cs="Arial"/>
          <w:color w:val="000000"/>
        </w:rPr>
        <w:t>(5), 2001–2019.</w:t>
      </w:r>
      <w:r w:rsidR="00D4033C" w:rsidRPr="00BE68C4">
        <w:rPr>
          <w:rFonts w:ascii="Arial" w:eastAsiaTheme="majorEastAsia" w:hAnsi="Arial" w:cs="Arial"/>
          <w:color w:val="000000"/>
        </w:rPr>
        <w:t xml:space="preserve"> </w:t>
      </w:r>
      <w:hyperlink r:id="rId17" w:history="1">
        <w:r w:rsidR="00D4033C" w:rsidRPr="00BE68C4">
          <w:rPr>
            <w:rStyle w:val="Hyperlink"/>
            <w:rFonts w:ascii="Arial" w:eastAsiaTheme="majorEastAsia" w:hAnsi="Arial" w:cs="Arial"/>
          </w:rPr>
          <w:t>https://doi.org/10.1007/s12187-021-09835-y</w:t>
        </w:r>
      </w:hyperlink>
    </w:p>
    <w:p w14:paraId="62A132C9" w14:textId="35228792"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Davis, J. P., Tucker, J. S., Stein, B. D., &amp; D'Amico, E. J. (2021). Longitudinal effects of adverse childhood experiences on substance use transition patterns during young adulthood.</w:t>
      </w:r>
      <w:r w:rsidRPr="003359A7">
        <w:rPr>
          <w:rFonts w:ascii="Arial" w:eastAsiaTheme="majorEastAsia" w:hAnsi="Arial" w:cs="Arial"/>
          <w:i/>
          <w:iCs/>
          <w:color w:val="000000"/>
        </w:rPr>
        <w:t> Child Abuse &amp; Neglect, 120</w:t>
      </w:r>
      <w:r w:rsidRPr="003359A7">
        <w:rPr>
          <w:rFonts w:ascii="Arial" w:eastAsiaTheme="majorEastAsia" w:hAnsi="Arial" w:cs="Arial"/>
          <w:color w:val="000000"/>
        </w:rPr>
        <w:t>, 105201.</w:t>
      </w:r>
      <w:r w:rsidR="006238DA" w:rsidRPr="00BE68C4">
        <w:rPr>
          <w:rFonts w:ascii="Arial" w:eastAsiaTheme="minorHAnsi" w:hAnsi="Arial" w:cs="Arial"/>
          <w:kern w:val="2"/>
          <w:lang w:eastAsia="en-US"/>
          <w14:ligatures w14:val="standardContextual"/>
        </w:rPr>
        <w:t xml:space="preserve"> </w:t>
      </w:r>
      <w:r w:rsidR="006238DA" w:rsidRPr="00BE68C4">
        <w:rPr>
          <w:rFonts w:ascii="Arial" w:eastAsiaTheme="majorEastAsia" w:hAnsi="Arial" w:cs="Arial"/>
          <w:color w:val="000000"/>
        </w:rPr>
        <w:t xml:space="preserve">: </w:t>
      </w:r>
      <w:hyperlink r:id="rId18" w:history="1">
        <w:r w:rsidR="006238DA" w:rsidRPr="00BE68C4">
          <w:rPr>
            <w:rStyle w:val="Hyperlink"/>
            <w:rFonts w:ascii="Arial" w:eastAsiaTheme="majorEastAsia" w:hAnsi="Arial" w:cs="Arial"/>
          </w:rPr>
          <w:t>https://www.sciencedirect.com/science/article/pii/S014521342100274X</w:t>
        </w:r>
      </w:hyperlink>
    </w:p>
    <w:p w14:paraId="5D263570" w14:textId="05A68A4B"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Decerf</w:t>
      </w:r>
      <w:proofErr w:type="spellEnd"/>
      <w:r w:rsidRPr="003359A7">
        <w:rPr>
          <w:rFonts w:ascii="Arial" w:eastAsiaTheme="majorEastAsia" w:hAnsi="Arial" w:cs="Arial"/>
          <w:color w:val="000000"/>
        </w:rPr>
        <w:t>, B. (2021). Combining absolute and relative poverty: income poverty measurement with two poverty lines.</w:t>
      </w:r>
      <w:r w:rsidRPr="003359A7">
        <w:rPr>
          <w:rFonts w:ascii="Arial" w:eastAsiaTheme="majorEastAsia" w:hAnsi="Arial" w:cs="Arial"/>
          <w:i/>
          <w:iCs/>
          <w:color w:val="000000"/>
        </w:rPr>
        <w:t> Social Choice and Welfare, 56</w:t>
      </w:r>
      <w:r w:rsidRPr="003359A7">
        <w:rPr>
          <w:rFonts w:ascii="Arial" w:eastAsiaTheme="majorEastAsia" w:hAnsi="Arial" w:cs="Arial"/>
          <w:color w:val="000000"/>
        </w:rPr>
        <w:t>(2), 325–362.</w:t>
      </w:r>
      <w:r w:rsidR="002108D9" w:rsidRPr="00BE68C4">
        <w:rPr>
          <w:rFonts w:ascii="Arial" w:hAnsi="Arial" w:cs="Arial"/>
        </w:rPr>
        <w:t xml:space="preserve"> </w:t>
      </w:r>
      <w:hyperlink r:id="rId19" w:history="1">
        <w:r w:rsidR="002108D9" w:rsidRPr="00BE68C4">
          <w:rPr>
            <w:rStyle w:val="Hyperlink"/>
            <w:rFonts w:ascii="Arial" w:eastAsiaTheme="majorEastAsia" w:hAnsi="Arial" w:cs="Arial"/>
          </w:rPr>
          <w:t>https://link.springer.com/article/10.1007/s00355-020-01279-7</w:t>
        </w:r>
      </w:hyperlink>
    </w:p>
    <w:p w14:paraId="1DDD0386"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Dennis, S. N. (2024). No title.</w:t>
      </w:r>
      <w:r w:rsidRPr="003359A7">
        <w:rPr>
          <w:rFonts w:ascii="Arial" w:eastAsiaTheme="majorEastAsia" w:hAnsi="Arial" w:cs="Arial"/>
          <w:i/>
          <w:iCs/>
          <w:color w:val="000000"/>
        </w:rPr>
        <w:t> How Post-Trauma-Focused Therapy Helps with Emotional Attachment, Communication, and Trust with Children Adopted from State Custody,</w:t>
      </w:r>
    </w:p>
    <w:p w14:paraId="34D6EAC0" w14:textId="014C76FB"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Elliott, S., &amp; Davis, J. M. (2020). Challenging taken-for-granted ideas in early childhood education: A critique of Bronfenbrenner’s ecological systems theory in the age of post-humanism.</w:t>
      </w:r>
      <w:r w:rsidRPr="003359A7">
        <w:rPr>
          <w:rFonts w:ascii="Arial" w:eastAsiaTheme="majorEastAsia" w:hAnsi="Arial" w:cs="Arial"/>
          <w:i/>
          <w:iCs/>
          <w:color w:val="000000"/>
        </w:rPr>
        <w:t xml:space="preserve"> Research Handbook on </w:t>
      </w:r>
      <w:proofErr w:type="spellStart"/>
      <w:r w:rsidRPr="003359A7">
        <w:rPr>
          <w:rFonts w:ascii="Arial" w:eastAsiaTheme="majorEastAsia" w:hAnsi="Arial" w:cs="Arial"/>
          <w:i/>
          <w:iCs/>
          <w:color w:val="000000"/>
        </w:rPr>
        <w:t>Childhoodnature</w:t>
      </w:r>
      <w:proofErr w:type="spellEnd"/>
      <w:r w:rsidRPr="003359A7">
        <w:rPr>
          <w:rFonts w:ascii="Arial" w:eastAsiaTheme="majorEastAsia" w:hAnsi="Arial" w:cs="Arial"/>
          <w:i/>
          <w:iCs/>
          <w:color w:val="000000"/>
        </w:rPr>
        <w:t>: Assemblages of Childhood and Nature Research, </w:t>
      </w:r>
      <w:r w:rsidRPr="003359A7">
        <w:rPr>
          <w:rFonts w:ascii="Arial" w:eastAsiaTheme="majorEastAsia" w:hAnsi="Arial" w:cs="Arial"/>
          <w:color w:val="000000"/>
        </w:rPr>
        <w:t>, 1119–1154.</w:t>
      </w:r>
      <w:r w:rsidR="001837A3" w:rsidRPr="00BE68C4">
        <w:rPr>
          <w:rFonts w:ascii="Arial" w:eastAsiaTheme="majorEastAsia" w:hAnsi="Arial" w:cs="Arial"/>
          <w:color w:val="000000"/>
        </w:rPr>
        <w:t xml:space="preserve"> </w:t>
      </w:r>
      <w:hyperlink r:id="rId20" w:history="1">
        <w:r w:rsidR="001837A3" w:rsidRPr="00BE68C4">
          <w:rPr>
            <w:rStyle w:val="Hyperlink"/>
            <w:rFonts w:ascii="Arial" w:eastAsiaTheme="majorEastAsia" w:hAnsi="Arial" w:cs="Arial"/>
          </w:rPr>
          <w:t>https://doi.org/10.1007/978-3-319-67286-1_60</w:t>
        </w:r>
      </w:hyperlink>
    </w:p>
    <w:p w14:paraId="33F886B1"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Emerson, A. N. (2024). No title.</w:t>
      </w:r>
      <w:r w:rsidRPr="003359A7">
        <w:rPr>
          <w:rFonts w:ascii="Arial" w:eastAsiaTheme="majorEastAsia" w:hAnsi="Arial" w:cs="Arial"/>
          <w:i/>
          <w:iCs/>
          <w:color w:val="000000"/>
        </w:rPr>
        <w:t> </w:t>
      </w:r>
      <w:proofErr w:type="spellStart"/>
      <w:r w:rsidRPr="003359A7">
        <w:rPr>
          <w:rFonts w:ascii="Arial" w:eastAsiaTheme="majorEastAsia" w:hAnsi="Arial" w:cs="Arial"/>
          <w:i/>
          <w:iCs/>
          <w:color w:val="000000"/>
        </w:rPr>
        <w:t>Unraveling</w:t>
      </w:r>
      <w:proofErr w:type="spellEnd"/>
      <w:r w:rsidRPr="003359A7">
        <w:rPr>
          <w:rFonts w:ascii="Arial" w:eastAsiaTheme="majorEastAsia" w:hAnsi="Arial" w:cs="Arial"/>
          <w:i/>
          <w:iCs/>
          <w:color w:val="000000"/>
        </w:rPr>
        <w:t xml:space="preserve"> the Puzzle of Developmental Delays: A Case Study of Parent and Educator Perspectives in an Urban Private Childcare Environment,</w:t>
      </w:r>
    </w:p>
    <w:p w14:paraId="6053FDF4" w14:textId="063E98C6"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Fagan, J., &amp; Wildfeuer, R. (2022). Low-income parental risk and engagement in early childhood and child social-emotional functioning in middle childhood.</w:t>
      </w:r>
      <w:r w:rsidRPr="003359A7">
        <w:rPr>
          <w:rFonts w:ascii="Arial" w:eastAsiaTheme="majorEastAsia" w:hAnsi="Arial" w:cs="Arial"/>
          <w:i/>
          <w:iCs/>
          <w:color w:val="000000"/>
        </w:rPr>
        <w:t> Journal of Child and Family Studies, 31</w:t>
      </w:r>
      <w:r w:rsidRPr="003359A7">
        <w:rPr>
          <w:rFonts w:ascii="Arial" w:eastAsiaTheme="majorEastAsia" w:hAnsi="Arial" w:cs="Arial"/>
          <w:color w:val="000000"/>
        </w:rPr>
        <w:t>(1), 70–85.</w:t>
      </w:r>
      <w:r w:rsidR="0081152D" w:rsidRPr="00BE68C4">
        <w:rPr>
          <w:rFonts w:ascii="Arial" w:eastAsiaTheme="majorEastAsia" w:hAnsi="Arial" w:cs="Arial"/>
          <w:color w:val="000000"/>
        </w:rPr>
        <w:t xml:space="preserve"> </w:t>
      </w:r>
      <w:hyperlink r:id="rId21" w:history="1">
        <w:r w:rsidR="0081152D" w:rsidRPr="00BE68C4">
          <w:rPr>
            <w:rStyle w:val="Hyperlink"/>
            <w:rFonts w:ascii="Arial" w:eastAsiaTheme="majorEastAsia" w:hAnsi="Arial" w:cs="Arial"/>
          </w:rPr>
          <w:t>https://doi.org/10.1007/s10826-021-02204-x</w:t>
        </w:r>
      </w:hyperlink>
    </w:p>
    <w:p w14:paraId="114268B0" w14:textId="2655FF87"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Finlay, S., Roth, C., </w:t>
      </w:r>
      <w:proofErr w:type="spellStart"/>
      <w:r w:rsidRPr="003359A7">
        <w:rPr>
          <w:rFonts w:ascii="Arial" w:eastAsiaTheme="majorEastAsia" w:hAnsi="Arial" w:cs="Arial"/>
          <w:color w:val="000000"/>
        </w:rPr>
        <w:t>Zimsen</w:t>
      </w:r>
      <w:proofErr w:type="spellEnd"/>
      <w:r w:rsidRPr="003359A7">
        <w:rPr>
          <w:rFonts w:ascii="Arial" w:eastAsiaTheme="majorEastAsia" w:hAnsi="Arial" w:cs="Arial"/>
          <w:color w:val="000000"/>
        </w:rPr>
        <w:t>, T., Bridson, T. L., Sarnyai, Z., &amp; McDermott, B. (2022). Adverse childhood experiences and allostatic load: A systematic review.</w:t>
      </w:r>
      <w:r w:rsidRPr="003359A7">
        <w:rPr>
          <w:rFonts w:ascii="Arial" w:eastAsiaTheme="majorEastAsia" w:hAnsi="Arial" w:cs="Arial"/>
          <w:i/>
          <w:iCs/>
          <w:color w:val="000000"/>
        </w:rPr>
        <w:t xml:space="preserve"> Neuroscience &amp; </w:t>
      </w:r>
      <w:proofErr w:type="spellStart"/>
      <w:r w:rsidRPr="003359A7">
        <w:rPr>
          <w:rFonts w:ascii="Arial" w:eastAsiaTheme="majorEastAsia" w:hAnsi="Arial" w:cs="Arial"/>
          <w:i/>
          <w:iCs/>
          <w:color w:val="000000"/>
        </w:rPr>
        <w:t>Biobehavioral</w:t>
      </w:r>
      <w:proofErr w:type="spellEnd"/>
      <w:r w:rsidRPr="003359A7">
        <w:rPr>
          <w:rFonts w:ascii="Arial" w:eastAsiaTheme="majorEastAsia" w:hAnsi="Arial" w:cs="Arial"/>
          <w:i/>
          <w:iCs/>
          <w:color w:val="000000"/>
        </w:rPr>
        <w:t xml:space="preserve"> Reviews, 136</w:t>
      </w:r>
      <w:r w:rsidRPr="003359A7">
        <w:rPr>
          <w:rFonts w:ascii="Arial" w:eastAsiaTheme="majorEastAsia" w:hAnsi="Arial" w:cs="Arial"/>
          <w:color w:val="000000"/>
        </w:rPr>
        <w:t>, 104605. 10.1016/j.neubiorev.2022.104605</w:t>
      </w:r>
      <w:r w:rsidR="00F54191" w:rsidRPr="00BE68C4">
        <w:rPr>
          <w:rFonts w:ascii="Arial" w:eastAsiaTheme="majorEastAsia" w:hAnsi="Arial" w:cs="Arial"/>
          <w:color w:val="000000"/>
        </w:rPr>
        <w:t xml:space="preserve">. </w:t>
      </w:r>
      <w:hyperlink r:id="rId22" w:history="1">
        <w:r w:rsidR="00F54191" w:rsidRPr="00BE68C4">
          <w:rPr>
            <w:rStyle w:val="Hyperlink"/>
            <w:rFonts w:ascii="Arial" w:eastAsiaTheme="majorEastAsia" w:hAnsi="Arial" w:cs="Arial"/>
          </w:rPr>
          <w:t>https://doi.org/10.1016/j.neubiorev.2022.104605</w:t>
        </w:r>
      </w:hyperlink>
    </w:p>
    <w:p w14:paraId="3BB6E2C2"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Forrester, G., Pugh, J., Hudson, R., &amp; Rowley, J. (2021). Understanding the World in the Early Years Foundation Stage: practitioners’ perspectives of best practice and effective provision. Education 3-13, 50(8), 1072–1084. </w:t>
      </w:r>
      <w:hyperlink r:id="rId23">
        <w:r w:rsidRPr="003359A7">
          <w:rPr>
            <w:rStyle w:val="Hyperlink"/>
            <w:rFonts w:ascii="Arial" w:eastAsiaTheme="majorEastAsia" w:hAnsi="Arial" w:cs="Arial"/>
          </w:rPr>
          <w:t>https://doi.org/10.1080/03004279.2021.1930095</w:t>
        </w:r>
      </w:hyperlink>
    </w:p>
    <w:p w14:paraId="7225F681"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Frazier, A. D., Cross, J. R., Cross, T. L., &amp; Kim, M. (2021). “The Spirit Is Willing”: A Study of School Climate, Bullying, Self-Efficacy, and Resilience in High-Ability Low-Income Youth. </w:t>
      </w:r>
      <w:r w:rsidRPr="003359A7">
        <w:rPr>
          <w:rFonts w:ascii="Arial" w:eastAsiaTheme="majorEastAsia" w:hAnsi="Arial" w:cs="Arial"/>
          <w:i/>
          <w:iCs/>
          <w:color w:val="000000"/>
        </w:rPr>
        <w:t>Roeper Review</w:t>
      </w:r>
      <w:r w:rsidRPr="003359A7">
        <w:rPr>
          <w:rFonts w:ascii="Arial" w:eastAsiaTheme="majorEastAsia" w:hAnsi="Arial" w:cs="Arial"/>
          <w:color w:val="000000"/>
        </w:rPr>
        <w:t>, </w:t>
      </w:r>
      <w:r w:rsidRPr="003359A7">
        <w:rPr>
          <w:rFonts w:ascii="Arial" w:eastAsiaTheme="majorEastAsia" w:hAnsi="Arial" w:cs="Arial"/>
          <w:i/>
          <w:iCs/>
          <w:color w:val="000000"/>
        </w:rPr>
        <w:t>43</w:t>
      </w:r>
      <w:r w:rsidRPr="003359A7">
        <w:rPr>
          <w:rFonts w:ascii="Arial" w:eastAsiaTheme="majorEastAsia" w:hAnsi="Arial" w:cs="Arial"/>
          <w:color w:val="000000"/>
        </w:rPr>
        <w:t>(1), 7-20.</w:t>
      </w:r>
    </w:p>
    <w:p w14:paraId="356E9E63" w14:textId="21949D27"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Friedline, T., Chen, Z., &amp; Morrow, S. (2021). Families’ financial stress &amp; well-being: The importance of the economy and economic environments.</w:t>
      </w:r>
      <w:r w:rsidRPr="003359A7">
        <w:rPr>
          <w:rFonts w:ascii="Arial" w:eastAsiaTheme="majorEastAsia" w:hAnsi="Arial" w:cs="Arial"/>
          <w:i/>
          <w:iCs/>
          <w:color w:val="000000"/>
        </w:rPr>
        <w:t> Journal of Family and Economic Issues, 42</w:t>
      </w:r>
      <w:r w:rsidRPr="003359A7">
        <w:rPr>
          <w:rFonts w:ascii="Arial" w:eastAsiaTheme="majorEastAsia" w:hAnsi="Arial" w:cs="Arial"/>
          <w:color w:val="000000"/>
        </w:rPr>
        <w:t>, 34–51.</w:t>
      </w:r>
      <w:r w:rsidR="00BA5541" w:rsidRPr="00BE68C4">
        <w:rPr>
          <w:rFonts w:ascii="Arial" w:eastAsiaTheme="majorEastAsia" w:hAnsi="Arial" w:cs="Arial"/>
          <w:color w:val="000000"/>
        </w:rPr>
        <w:t xml:space="preserve"> </w:t>
      </w:r>
      <w:hyperlink r:id="rId24" w:history="1">
        <w:r w:rsidR="00BA5541" w:rsidRPr="00BE68C4">
          <w:rPr>
            <w:rStyle w:val="Hyperlink"/>
            <w:rFonts w:ascii="Arial" w:eastAsiaTheme="majorEastAsia" w:hAnsi="Arial" w:cs="Arial"/>
          </w:rPr>
          <w:t>https://doi.org/10.1007/s10834-020-09694-9</w:t>
        </w:r>
      </w:hyperlink>
    </w:p>
    <w:p w14:paraId="6FBF089D"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 xml:space="preserve">Gemmell, E., Ramsden, R., </w:t>
      </w:r>
      <w:proofErr w:type="spellStart"/>
      <w:r w:rsidRPr="003359A7">
        <w:rPr>
          <w:rFonts w:ascii="Arial" w:eastAsiaTheme="majorEastAsia" w:hAnsi="Arial" w:cs="Arial"/>
          <w:color w:val="000000"/>
        </w:rPr>
        <w:t>Brussoni</w:t>
      </w:r>
      <w:proofErr w:type="spellEnd"/>
      <w:r w:rsidRPr="003359A7">
        <w:rPr>
          <w:rFonts w:ascii="Arial" w:eastAsiaTheme="majorEastAsia" w:hAnsi="Arial" w:cs="Arial"/>
          <w:color w:val="000000"/>
        </w:rPr>
        <w:t xml:space="preserve">, M., &amp; Brauer, M. (2023). Influence of neighbourhood built environments on the outdoor free play of young children: A systematic, mixed-studies review and thematic synthesis. Journal of urban health, 100(1), 118-150. </w:t>
      </w:r>
      <w:hyperlink r:id="rId25">
        <w:r w:rsidRPr="003359A7">
          <w:rPr>
            <w:rStyle w:val="Hyperlink"/>
            <w:rFonts w:ascii="Arial" w:eastAsiaTheme="majorEastAsia" w:hAnsi="Arial" w:cs="Arial"/>
          </w:rPr>
          <w:t>https://doi.org/10.1007/s11524-022-00696-6</w:t>
        </w:r>
      </w:hyperlink>
    </w:p>
    <w:p w14:paraId="0EBA6846"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Gorard</w:t>
      </w:r>
      <w:proofErr w:type="spellEnd"/>
      <w:r w:rsidRPr="003359A7">
        <w:rPr>
          <w:rFonts w:ascii="Arial" w:eastAsiaTheme="majorEastAsia" w:hAnsi="Arial" w:cs="Arial"/>
          <w:color w:val="000000"/>
        </w:rPr>
        <w:t xml:space="preserve">, S., Siddiqui, N., &amp; See, B. H. (2023). Lessons for addressing educational disadvantage from a range of studies. Cogent Education, 10(2), 2262258. </w:t>
      </w:r>
      <w:hyperlink r:id="rId26">
        <w:r w:rsidRPr="003359A7">
          <w:rPr>
            <w:rStyle w:val="Hyperlink"/>
            <w:rFonts w:ascii="Arial" w:eastAsiaTheme="majorEastAsia" w:hAnsi="Arial" w:cs="Arial"/>
          </w:rPr>
          <w:t>https://doi.org/10.1080/2331186X.2023.2262258</w:t>
        </w:r>
      </w:hyperlink>
    </w:p>
    <w:p w14:paraId="203EF503" w14:textId="57693442"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Gou, Y., Cheng, S., Kang, M., Zhou, R., Liu, C., Hui, J., Liu, Y., Wang, B., Shi, P., &amp; Zhang, F. (2024). Association of Allostatic Load With Depression, Anxiety, and Suicide: A Prospective Cohort Study.</w:t>
      </w:r>
      <w:r w:rsidRPr="003359A7">
        <w:rPr>
          <w:rFonts w:ascii="Arial" w:eastAsiaTheme="majorEastAsia" w:hAnsi="Arial" w:cs="Arial"/>
          <w:i/>
          <w:iCs/>
          <w:color w:val="000000"/>
        </w:rPr>
        <w:t> Biological Psychiatry, </w:t>
      </w:r>
      <w:r w:rsidRPr="003359A7">
        <w:rPr>
          <w:rFonts w:ascii="Arial" w:eastAsiaTheme="majorEastAsia" w:hAnsi="Arial" w:cs="Arial"/>
          <w:color w:val="000000"/>
        </w:rPr>
        <w:t>10.1016/j.biopsych.2024.09.026</w:t>
      </w:r>
      <w:r w:rsidR="003C26E4" w:rsidRPr="00BE68C4">
        <w:rPr>
          <w:rFonts w:ascii="Arial" w:eastAsiaTheme="majorEastAsia" w:hAnsi="Arial" w:cs="Arial"/>
          <w:color w:val="000000"/>
        </w:rPr>
        <w:t xml:space="preserve">. </w:t>
      </w:r>
      <w:hyperlink r:id="rId27" w:history="1">
        <w:r w:rsidR="003C26E4" w:rsidRPr="00BE68C4">
          <w:rPr>
            <w:rStyle w:val="Hyperlink"/>
            <w:rFonts w:ascii="Arial" w:eastAsiaTheme="majorEastAsia" w:hAnsi="Arial" w:cs="Arial"/>
          </w:rPr>
          <w:t>https://doi.org/10.1016/j.biopsych.2024.09.026</w:t>
        </w:r>
      </w:hyperlink>
    </w:p>
    <w:p w14:paraId="2A4A34AE" w14:textId="4FB94641"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Green, K. M., Doherty, E. E., &amp; Bugbee, B. A. (2023). Can early disadvantage be overcome? A life course approach to understanding how disadvantage, education, and social integration impact mortality into middle adulthood among a Black American cohort.</w:t>
      </w:r>
      <w:r w:rsidRPr="003359A7">
        <w:rPr>
          <w:rFonts w:ascii="Arial" w:eastAsiaTheme="majorEastAsia" w:hAnsi="Arial" w:cs="Arial"/>
          <w:i/>
          <w:iCs/>
          <w:color w:val="000000"/>
        </w:rPr>
        <w:t> Prevention Science, 24</w:t>
      </w:r>
      <w:r w:rsidRPr="003359A7">
        <w:rPr>
          <w:rFonts w:ascii="Arial" w:eastAsiaTheme="majorEastAsia" w:hAnsi="Arial" w:cs="Arial"/>
          <w:color w:val="000000"/>
        </w:rPr>
        <w:t>(5), 829–840.</w:t>
      </w:r>
      <w:r w:rsidR="003C26E4" w:rsidRPr="00BE68C4">
        <w:rPr>
          <w:rFonts w:ascii="Arial" w:eastAsiaTheme="majorEastAsia" w:hAnsi="Arial" w:cs="Arial"/>
          <w:color w:val="000000"/>
        </w:rPr>
        <w:t xml:space="preserve"> </w:t>
      </w:r>
      <w:hyperlink r:id="rId28" w:history="1">
        <w:r w:rsidR="003C26E4" w:rsidRPr="00BE68C4">
          <w:rPr>
            <w:rStyle w:val="Hyperlink"/>
            <w:rFonts w:ascii="Arial" w:eastAsiaTheme="majorEastAsia" w:hAnsi="Arial" w:cs="Arial"/>
          </w:rPr>
          <w:t>https://doi.org/10.1007/s11121-022-01408-x</w:t>
        </w:r>
      </w:hyperlink>
    </w:p>
    <w:p w14:paraId="5084EE2A" w14:textId="4520736C" w:rsidR="00AB69BE" w:rsidRPr="00BE68C4" w:rsidRDefault="00AB69BE" w:rsidP="00BE68C4">
      <w:pPr>
        <w:pStyle w:val="paragraph"/>
        <w:spacing w:after="0" w:line="480" w:lineRule="auto"/>
        <w:ind w:left="450" w:hanging="450"/>
        <w:textAlignment w:val="baseline"/>
        <w:rPr>
          <w:rFonts w:ascii="Arial" w:eastAsiaTheme="majorEastAsia" w:hAnsi="Arial" w:cs="Arial"/>
          <w:color w:val="000000"/>
        </w:rPr>
      </w:pPr>
      <w:r w:rsidRPr="00BE68C4">
        <w:rPr>
          <w:rFonts w:ascii="Arial" w:eastAsiaTheme="majorEastAsia" w:hAnsi="Arial" w:cs="Arial"/>
          <w:color w:val="000000"/>
        </w:rPr>
        <w:t>Hart, B., Risley, T. R., &amp; Kirby, J. R. (1997). [Meaningful differences in the everyday experience of young American children].</w:t>
      </w:r>
      <w:r w:rsidRPr="00BE68C4">
        <w:rPr>
          <w:rFonts w:ascii="Arial" w:eastAsiaTheme="majorEastAsia" w:hAnsi="Arial" w:cs="Arial"/>
          <w:i/>
          <w:iCs/>
          <w:color w:val="000000"/>
        </w:rPr>
        <w:t> Canadian Journal of Education, 22</w:t>
      </w:r>
      <w:r w:rsidRPr="00BE68C4">
        <w:rPr>
          <w:rFonts w:ascii="Arial" w:eastAsiaTheme="majorEastAsia" w:hAnsi="Arial" w:cs="Arial"/>
          <w:color w:val="000000"/>
        </w:rPr>
        <w:t xml:space="preserve">(3), 323. </w:t>
      </w:r>
      <w:hyperlink r:id="rId29" w:history="1">
        <w:r w:rsidRPr="00BE68C4">
          <w:rPr>
            <w:rStyle w:val="Hyperlink"/>
            <w:rFonts w:ascii="Arial" w:eastAsiaTheme="majorEastAsia" w:hAnsi="Arial" w:cs="Arial"/>
          </w:rPr>
          <w:t>https://www.proquest.com/scholarly-journals/meaningful-differences-everyday-experience-young/docview/215377356/se-2</w:t>
        </w:r>
      </w:hyperlink>
    </w:p>
    <w:p w14:paraId="05950D97" w14:textId="57BA5C8F" w:rsidR="003359A7" w:rsidRPr="003359A7" w:rsidRDefault="00AB69BE" w:rsidP="00BE68C4">
      <w:pPr>
        <w:pStyle w:val="paragraph"/>
        <w:spacing w:after="0" w:line="480" w:lineRule="auto"/>
        <w:ind w:left="450" w:hanging="450"/>
        <w:textAlignment w:val="baseline"/>
        <w:rPr>
          <w:rFonts w:ascii="Arial" w:eastAsiaTheme="majorEastAsia" w:hAnsi="Arial" w:cs="Arial"/>
          <w:color w:val="000000"/>
        </w:rPr>
      </w:pPr>
      <w:r w:rsidRPr="00BE68C4">
        <w:rPr>
          <w:rFonts w:ascii="Arial" w:eastAsiaTheme="majorEastAsia" w:hAnsi="Arial" w:cs="Arial"/>
          <w:color w:val="000000"/>
        </w:rPr>
        <w:lastRenderedPageBreak/>
        <w:t>H</w:t>
      </w:r>
      <w:r w:rsidR="003359A7" w:rsidRPr="003359A7">
        <w:rPr>
          <w:rFonts w:ascii="Arial" w:eastAsiaTheme="majorEastAsia" w:hAnsi="Arial" w:cs="Arial"/>
          <w:color w:val="000000"/>
        </w:rPr>
        <w:t>ayre, J., &amp; Pollock, A. M. (2022). Children in poverty: Time for action to address rising inequalities in the United Kingdom.</w:t>
      </w:r>
      <w:r w:rsidR="003359A7" w:rsidRPr="003359A7">
        <w:rPr>
          <w:rFonts w:ascii="Arial" w:eastAsiaTheme="majorEastAsia" w:hAnsi="Arial" w:cs="Arial"/>
          <w:i/>
          <w:iCs/>
          <w:color w:val="000000"/>
        </w:rPr>
        <w:t> Poverty &amp; Public Policy, 14</w:t>
      </w:r>
      <w:r w:rsidR="003359A7" w:rsidRPr="003359A7">
        <w:rPr>
          <w:rFonts w:ascii="Arial" w:eastAsiaTheme="majorEastAsia" w:hAnsi="Arial" w:cs="Arial"/>
          <w:color w:val="000000"/>
        </w:rPr>
        <w:t>(4), 423–436.</w:t>
      </w:r>
    </w:p>
    <w:p w14:paraId="42371CEB"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Henry, A., &amp; </w:t>
      </w:r>
      <w:proofErr w:type="spellStart"/>
      <w:r w:rsidRPr="003359A7">
        <w:rPr>
          <w:rFonts w:ascii="Arial" w:eastAsiaTheme="majorEastAsia" w:hAnsi="Arial" w:cs="Arial"/>
          <w:color w:val="000000"/>
        </w:rPr>
        <w:t>Wernham</w:t>
      </w:r>
      <w:proofErr w:type="spellEnd"/>
      <w:r w:rsidRPr="003359A7">
        <w:rPr>
          <w:rFonts w:ascii="Arial" w:eastAsiaTheme="majorEastAsia" w:hAnsi="Arial" w:cs="Arial"/>
          <w:color w:val="000000"/>
        </w:rPr>
        <w:t xml:space="preserve">, T. (2024, October 3). </w:t>
      </w:r>
      <w:r w:rsidRPr="003359A7">
        <w:rPr>
          <w:rFonts w:ascii="Arial" w:eastAsiaTheme="majorEastAsia" w:hAnsi="Arial" w:cs="Arial"/>
          <w:i/>
          <w:iCs/>
          <w:color w:val="000000"/>
        </w:rPr>
        <w:t>Child poverty: Trends and policy options</w:t>
      </w:r>
      <w:r w:rsidRPr="003359A7">
        <w:rPr>
          <w:rFonts w:ascii="Arial" w:eastAsiaTheme="majorEastAsia" w:hAnsi="Arial" w:cs="Arial"/>
          <w:color w:val="000000"/>
        </w:rPr>
        <w:t xml:space="preserve">. Institute for Fiscal Studies. Retrieved January 3, 2025, from </w:t>
      </w:r>
      <w:hyperlink r:id="rId30">
        <w:r w:rsidRPr="003359A7">
          <w:rPr>
            <w:rStyle w:val="Hyperlink"/>
            <w:rFonts w:ascii="Arial" w:eastAsiaTheme="majorEastAsia" w:hAnsi="Arial" w:cs="Arial"/>
          </w:rPr>
          <w:t>https://ifs.org.uk/publications/child-poverty-trends-and-policy-options</w:t>
        </w:r>
      </w:hyperlink>
    </w:p>
    <w:p w14:paraId="575D2CA6"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Herbaut</w:t>
      </w:r>
      <w:proofErr w:type="spellEnd"/>
      <w:r w:rsidRPr="003359A7">
        <w:rPr>
          <w:rFonts w:ascii="Arial" w:eastAsiaTheme="majorEastAsia" w:hAnsi="Arial" w:cs="Arial"/>
          <w:color w:val="000000"/>
        </w:rPr>
        <w:t>, E. (2021). Overcoming failure in higher education: Social inequalities and compensatory advantage in dropout patterns.</w:t>
      </w:r>
      <w:r w:rsidRPr="003359A7">
        <w:rPr>
          <w:rFonts w:ascii="Arial" w:eastAsiaTheme="majorEastAsia" w:hAnsi="Arial" w:cs="Arial"/>
          <w:i/>
          <w:iCs/>
          <w:color w:val="000000"/>
        </w:rPr>
        <w:t xml:space="preserve"> Acta </w:t>
      </w:r>
      <w:proofErr w:type="spellStart"/>
      <w:r w:rsidRPr="003359A7">
        <w:rPr>
          <w:rFonts w:ascii="Arial" w:eastAsiaTheme="majorEastAsia" w:hAnsi="Arial" w:cs="Arial"/>
          <w:i/>
          <w:iCs/>
          <w:color w:val="000000"/>
        </w:rPr>
        <w:t>Sociologica</w:t>
      </w:r>
      <w:proofErr w:type="spellEnd"/>
      <w:r w:rsidRPr="003359A7">
        <w:rPr>
          <w:rFonts w:ascii="Arial" w:eastAsiaTheme="majorEastAsia" w:hAnsi="Arial" w:cs="Arial"/>
          <w:i/>
          <w:iCs/>
          <w:color w:val="000000"/>
        </w:rPr>
        <w:t>, 64</w:t>
      </w:r>
      <w:r w:rsidRPr="003359A7">
        <w:rPr>
          <w:rFonts w:ascii="Arial" w:eastAsiaTheme="majorEastAsia" w:hAnsi="Arial" w:cs="Arial"/>
          <w:color w:val="000000"/>
        </w:rPr>
        <w:t>(4), 383–402.</w:t>
      </w:r>
    </w:p>
    <w:p w14:paraId="2C86CEDF" w14:textId="2448D6A0"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Hock, E. S., Blank, L., Fairbrother, H., Clowes, M., Cuevas, D. C., Booth, A., Clair, A., &amp; Goyder, E. (2024). Exploring the impact of housing insecurity on the health and wellbeing of children and young people in the United Kingdom: a qualitative systematic review.</w:t>
      </w:r>
      <w:r w:rsidRPr="003359A7">
        <w:rPr>
          <w:rFonts w:ascii="Arial" w:eastAsiaTheme="majorEastAsia" w:hAnsi="Arial" w:cs="Arial"/>
          <w:i/>
          <w:iCs/>
          <w:color w:val="000000"/>
        </w:rPr>
        <w:t> BMC Public Health, 24</w:t>
      </w:r>
      <w:r w:rsidRPr="003359A7">
        <w:rPr>
          <w:rFonts w:ascii="Arial" w:eastAsiaTheme="majorEastAsia" w:hAnsi="Arial" w:cs="Arial"/>
          <w:color w:val="000000"/>
        </w:rPr>
        <w:t>(1), 2453.</w:t>
      </w:r>
      <w:r w:rsidR="00E9072E" w:rsidRPr="00BE68C4">
        <w:rPr>
          <w:rFonts w:ascii="Arial" w:eastAsiaTheme="majorEastAsia" w:hAnsi="Arial" w:cs="Arial"/>
          <w:color w:val="000000"/>
        </w:rPr>
        <w:t xml:space="preserve"> </w:t>
      </w:r>
      <w:hyperlink r:id="rId31" w:history="1">
        <w:r w:rsidR="00E9072E" w:rsidRPr="00BE68C4">
          <w:rPr>
            <w:rStyle w:val="Hyperlink"/>
            <w:rFonts w:ascii="Arial" w:eastAsiaTheme="majorEastAsia" w:hAnsi="Arial" w:cs="Arial"/>
          </w:rPr>
          <w:t>https://doi.org/10.1186/s12889-024-19735-9</w:t>
        </w:r>
      </w:hyperlink>
    </w:p>
    <w:p w14:paraId="4ABB106F"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Hoynes, H., Joyce, R., &amp; Waters, T. (2024). Benefits and tax credits. Oxford Open Economics, 3(Supplement_1), i1142-i1181. </w:t>
      </w:r>
      <w:hyperlink r:id="rId32">
        <w:r w:rsidRPr="003359A7">
          <w:rPr>
            <w:rStyle w:val="Hyperlink"/>
            <w:rFonts w:ascii="Arial" w:eastAsiaTheme="majorEastAsia" w:hAnsi="Arial" w:cs="Arial"/>
          </w:rPr>
          <w:t>https://doi.org/10.1093/ooec/odad022</w:t>
        </w:r>
      </w:hyperlink>
    </w:p>
    <w:p w14:paraId="057260D9" w14:textId="3C6B85A8"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Huang, T., Leung, A. K. Y., </w:t>
      </w:r>
      <w:proofErr w:type="spellStart"/>
      <w:r w:rsidRPr="003359A7">
        <w:rPr>
          <w:rFonts w:ascii="Arial" w:eastAsiaTheme="majorEastAsia" w:hAnsi="Arial" w:cs="Arial"/>
          <w:color w:val="000000"/>
        </w:rPr>
        <w:t>Eom</w:t>
      </w:r>
      <w:proofErr w:type="spellEnd"/>
      <w:r w:rsidRPr="003359A7">
        <w:rPr>
          <w:rFonts w:ascii="Arial" w:eastAsiaTheme="majorEastAsia" w:hAnsi="Arial" w:cs="Arial"/>
          <w:color w:val="000000"/>
        </w:rPr>
        <w:t>, K., &amp; Tam, K. P. (2022). Important to me and my society: How culture influences the roles of personal values and perceived group values in environmental engagements via collectivistic orientation. </w:t>
      </w:r>
      <w:r w:rsidRPr="003359A7">
        <w:rPr>
          <w:rFonts w:ascii="Arial" w:eastAsiaTheme="majorEastAsia" w:hAnsi="Arial" w:cs="Arial"/>
          <w:i/>
          <w:iCs/>
          <w:color w:val="000000"/>
        </w:rPr>
        <w:t>Journal of Environmental Psychology</w:t>
      </w:r>
      <w:r w:rsidRPr="003359A7">
        <w:rPr>
          <w:rFonts w:ascii="Arial" w:eastAsiaTheme="majorEastAsia" w:hAnsi="Arial" w:cs="Arial"/>
          <w:color w:val="000000"/>
        </w:rPr>
        <w:t>, </w:t>
      </w:r>
      <w:r w:rsidRPr="003359A7">
        <w:rPr>
          <w:rFonts w:ascii="Arial" w:eastAsiaTheme="majorEastAsia" w:hAnsi="Arial" w:cs="Arial"/>
          <w:i/>
          <w:iCs/>
          <w:color w:val="000000"/>
        </w:rPr>
        <w:t>80</w:t>
      </w:r>
      <w:r w:rsidRPr="003359A7">
        <w:rPr>
          <w:rFonts w:ascii="Arial" w:eastAsiaTheme="majorEastAsia" w:hAnsi="Arial" w:cs="Arial"/>
          <w:color w:val="000000"/>
        </w:rPr>
        <w:t>, 101774.</w:t>
      </w:r>
      <w:r w:rsidR="00994371" w:rsidRPr="00BE68C4">
        <w:rPr>
          <w:rFonts w:ascii="Arial" w:eastAsiaTheme="majorEastAsia" w:hAnsi="Arial" w:cs="Arial"/>
          <w:color w:val="000000"/>
        </w:rPr>
        <w:t xml:space="preserve"> </w:t>
      </w:r>
      <w:hyperlink r:id="rId33" w:history="1">
        <w:r w:rsidR="00994371" w:rsidRPr="00BE68C4">
          <w:rPr>
            <w:rStyle w:val="Hyperlink"/>
            <w:rFonts w:ascii="Arial" w:eastAsiaTheme="majorEastAsia" w:hAnsi="Arial" w:cs="Arial"/>
          </w:rPr>
          <w:t>https://doi.org/10.1016/j.jenvp.2022.101774</w:t>
        </w:r>
      </w:hyperlink>
    </w:p>
    <w:p w14:paraId="0FFA153D"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Hughes, K., &amp; Tarrant, A. (2023). </w:t>
      </w:r>
      <w:r w:rsidRPr="003359A7">
        <w:rPr>
          <w:rFonts w:ascii="Arial" w:eastAsiaTheme="majorEastAsia" w:hAnsi="Arial" w:cs="Arial"/>
          <w:i/>
          <w:iCs/>
          <w:color w:val="000000"/>
        </w:rPr>
        <w:t>Men, families, and poverty: Tracing the intergenerational trajectories of place-based hardship</w:t>
      </w:r>
      <w:r w:rsidRPr="003359A7">
        <w:rPr>
          <w:rFonts w:ascii="Arial" w:eastAsiaTheme="majorEastAsia" w:hAnsi="Arial" w:cs="Arial"/>
          <w:color w:val="000000"/>
        </w:rPr>
        <w:t>. Springer.</w:t>
      </w:r>
    </w:p>
    <w:p w14:paraId="080D85AD" w14:textId="357706C5"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Inglis, G., Jenkins, P., McHardy, F., </w:t>
      </w:r>
      <w:proofErr w:type="spellStart"/>
      <w:r w:rsidRPr="003359A7">
        <w:rPr>
          <w:rFonts w:ascii="Arial" w:eastAsiaTheme="majorEastAsia" w:hAnsi="Arial" w:cs="Arial"/>
          <w:color w:val="000000"/>
        </w:rPr>
        <w:t>Sosu</w:t>
      </w:r>
      <w:proofErr w:type="spellEnd"/>
      <w:r w:rsidRPr="003359A7">
        <w:rPr>
          <w:rFonts w:ascii="Arial" w:eastAsiaTheme="majorEastAsia" w:hAnsi="Arial" w:cs="Arial"/>
          <w:color w:val="000000"/>
        </w:rPr>
        <w:t>, E., &amp; Wilson, C. (2023). Poverty stigma, mental health, and well</w:t>
      </w:r>
      <w:r w:rsidRPr="003359A7">
        <w:rPr>
          <w:rFonts w:ascii="Cambria Math" w:eastAsiaTheme="majorEastAsia" w:hAnsi="Cambria Math" w:cs="Cambria Math"/>
          <w:color w:val="000000"/>
        </w:rPr>
        <w:t>‐</w:t>
      </w:r>
      <w:r w:rsidRPr="003359A7">
        <w:rPr>
          <w:rFonts w:ascii="Arial" w:eastAsiaTheme="majorEastAsia" w:hAnsi="Arial" w:cs="Arial"/>
          <w:color w:val="000000"/>
        </w:rPr>
        <w:t>being: A rapid review and synthesis of quantitative and qualitative research. </w:t>
      </w:r>
      <w:r w:rsidRPr="003359A7">
        <w:rPr>
          <w:rFonts w:ascii="Arial" w:eastAsiaTheme="majorEastAsia" w:hAnsi="Arial" w:cs="Arial"/>
          <w:i/>
          <w:iCs/>
          <w:color w:val="000000"/>
        </w:rPr>
        <w:t>Journal of Community &amp; Applied Social Psychology</w:t>
      </w:r>
      <w:r w:rsidRPr="003359A7">
        <w:rPr>
          <w:rFonts w:ascii="Arial" w:eastAsiaTheme="majorEastAsia" w:hAnsi="Arial" w:cs="Arial"/>
          <w:color w:val="000000"/>
        </w:rPr>
        <w:t>, </w:t>
      </w:r>
      <w:r w:rsidRPr="003359A7">
        <w:rPr>
          <w:rFonts w:ascii="Arial" w:eastAsiaTheme="majorEastAsia" w:hAnsi="Arial" w:cs="Arial"/>
          <w:i/>
          <w:iCs/>
          <w:color w:val="000000"/>
        </w:rPr>
        <w:t>33</w:t>
      </w:r>
      <w:r w:rsidRPr="003359A7">
        <w:rPr>
          <w:rFonts w:ascii="Arial" w:eastAsiaTheme="majorEastAsia" w:hAnsi="Arial" w:cs="Arial"/>
          <w:color w:val="000000"/>
        </w:rPr>
        <w:t>(4), 783-806.</w:t>
      </w:r>
      <w:r w:rsidR="00994371" w:rsidRPr="00BE68C4">
        <w:rPr>
          <w:rFonts w:ascii="Arial" w:eastAsiaTheme="majorEastAsia" w:hAnsi="Arial" w:cs="Arial"/>
          <w:color w:val="000000"/>
        </w:rPr>
        <w:t xml:space="preserve"> </w:t>
      </w:r>
      <w:hyperlink r:id="rId34" w:history="1">
        <w:r w:rsidR="00994371" w:rsidRPr="00BE68C4">
          <w:rPr>
            <w:rStyle w:val="Hyperlink"/>
            <w:rFonts w:ascii="Arial" w:eastAsiaTheme="majorEastAsia" w:hAnsi="Arial" w:cs="Arial"/>
          </w:rPr>
          <w:t>https://onlinelibrary.wiley.com/doi/pdf/10.1002/casp.2677</w:t>
        </w:r>
      </w:hyperlink>
    </w:p>
    <w:p w14:paraId="09CE0063"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Jia, P., Cao, X., Yang, H., Dai, S., He, P., Huang, G., Wu, T., &amp; Wang, Y. (2021). Green space access in the neighbourhood and childhood obesity.</w:t>
      </w:r>
      <w:r w:rsidRPr="003359A7">
        <w:rPr>
          <w:rFonts w:ascii="Arial" w:eastAsiaTheme="majorEastAsia" w:hAnsi="Arial" w:cs="Arial"/>
          <w:i/>
          <w:iCs/>
          <w:color w:val="000000"/>
        </w:rPr>
        <w:t> Obesity Reviews, 22</w:t>
      </w:r>
      <w:r w:rsidRPr="003359A7">
        <w:rPr>
          <w:rFonts w:ascii="Arial" w:eastAsiaTheme="majorEastAsia" w:hAnsi="Arial" w:cs="Arial"/>
          <w:color w:val="000000"/>
        </w:rPr>
        <w:t>, e13100.</w:t>
      </w:r>
    </w:p>
    <w:p w14:paraId="3EF194D4" w14:textId="70AEDFFF"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Johnson, B. T., &amp; Tawfik, A. A. (2022). First, second, and third-order barriers to information literacy and inquiry-based learning for teachers in poverty contexts.</w:t>
      </w:r>
      <w:r w:rsidRPr="003359A7">
        <w:rPr>
          <w:rFonts w:ascii="Arial" w:eastAsiaTheme="majorEastAsia" w:hAnsi="Arial" w:cs="Arial"/>
          <w:i/>
          <w:iCs/>
          <w:color w:val="000000"/>
        </w:rPr>
        <w:t> Educational Technology Research and Development, 70</w:t>
      </w:r>
      <w:r w:rsidRPr="003359A7">
        <w:rPr>
          <w:rFonts w:ascii="Arial" w:eastAsiaTheme="majorEastAsia" w:hAnsi="Arial" w:cs="Arial"/>
          <w:color w:val="000000"/>
        </w:rPr>
        <w:t>(4), 1221–1246.</w:t>
      </w:r>
      <w:r w:rsidR="003D36CB" w:rsidRPr="00BE68C4">
        <w:rPr>
          <w:rFonts w:ascii="Arial" w:eastAsiaTheme="majorEastAsia" w:hAnsi="Arial" w:cs="Arial"/>
          <w:color w:val="000000"/>
        </w:rPr>
        <w:t xml:space="preserve"> </w:t>
      </w:r>
      <w:hyperlink r:id="rId35" w:history="1">
        <w:r w:rsidR="003D36CB" w:rsidRPr="00BE68C4">
          <w:rPr>
            <w:rStyle w:val="Hyperlink"/>
            <w:rFonts w:ascii="Arial" w:eastAsiaTheme="majorEastAsia" w:hAnsi="Arial" w:cs="Arial"/>
          </w:rPr>
          <w:t>https://link.springer.com/article/10.1007/s11423-022-10124-w</w:t>
        </w:r>
      </w:hyperlink>
    </w:p>
    <w:p w14:paraId="54E77210"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Joseph Rowntree Foundation. (2023). </w:t>
      </w:r>
      <w:r w:rsidRPr="003359A7">
        <w:rPr>
          <w:rFonts w:ascii="Arial" w:eastAsiaTheme="majorEastAsia" w:hAnsi="Arial" w:cs="Arial"/>
          <w:i/>
          <w:iCs/>
          <w:color w:val="000000"/>
        </w:rPr>
        <w:t>Poverty and inequality report</w:t>
      </w:r>
      <w:r w:rsidRPr="003359A7">
        <w:rPr>
          <w:rFonts w:ascii="Arial" w:eastAsiaTheme="majorEastAsia" w:hAnsi="Arial" w:cs="Arial"/>
          <w:color w:val="000000"/>
        </w:rPr>
        <w:t xml:space="preserve">. </w:t>
      </w:r>
      <w:hyperlink r:id="rId36">
        <w:r w:rsidRPr="003359A7">
          <w:rPr>
            <w:rStyle w:val="Hyperlink"/>
            <w:rFonts w:ascii="Arial" w:eastAsiaTheme="majorEastAsia" w:hAnsi="Arial" w:cs="Arial"/>
          </w:rPr>
          <w:t>https://www.jrf.org.uk/uk-poverty-2023-the-essential-guide-to-understanding-poverty-in-the-uk</w:t>
        </w:r>
      </w:hyperlink>
    </w:p>
    <w:p w14:paraId="4E0FC2FA"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Keating, M., Harmon, T., &amp; Arnold, D. H. (2022). Relations between parental math beliefs and emergent math skills among preschoolers from low-income households.</w:t>
      </w:r>
      <w:r w:rsidRPr="003359A7">
        <w:rPr>
          <w:rFonts w:ascii="Arial" w:eastAsiaTheme="majorEastAsia" w:hAnsi="Arial" w:cs="Arial"/>
          <w:i/>
          <w:iCs/>
          <w:color w:val="000000"/>
        </w:rPr>
        <w:t> Early Child Development and Care, 192</w:t>
      </w:r>
      <w:r w:rsidRPr="003359A7">
        <w:rPr>
          <w:rFonts w:ascii="Arial" w:eastAsiaTheme="majorEastAsia" w:hAnsi="Arial" w:cs="Arial"/>
          <w:color w:val="000000"/>
        </w:rPr>
        <w:t>(9), 1359–1367.</w:t>
      </w:r>
    </w:p>
    <w:p w14:paraId="4DB7D1A1"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King, D. D., Lopiano, G., &amp; </w:t>
      </w:r>
      <w:proofErr w:type="spellStart"/>
      <w:r w:rsidRPr="003359A7">
        <w:rPr>
          <w:rFonts w:ascii="Arial" w:eastAsiaTheme="majorEastAsia" w:hAnsi="Arial" w:cs="Arial"/>
          <w:color w:val="000000"/>
        </w:rPr>
        <w:t>Fattoracci</w:t>
      </w:r>
      <w:proofErr w:type="spellEnd"/>
      <w:r w:rsidRPr="003359A7">
        <w:rPr>
          <w:rFonts w:ascii="Arial" w:eastAsiaTheme="majorEastAsia" w:hAnsi="Arial" w:cs="Arial"/>
          <w:color w:val="000000"/>
        </w:rPr>
        <w:t>, E. S. (2024). A stigma-conscious framework for resilience and posttraumatic change. </w:t>
      </w:r>
      <w:r w:rsidRPr="003359A7">
        <w:rPr>
          <w:rFonts w:ascii="Arial" w:eastAsiaTheme="majorEastAsia" w:hAnsi="Arial" w:cs="Arial"/>
          <w:i/>
          <w:iCs/>
          <w:color w:val="000000"/>
        </w:rPr>
        <w:t>American Psychologist</w:t>
      </w:r>
      <w:r w:rsidRPr="003359A7">
        <w:rPr>
          <w:rFonts w:ascii="Arial" w:eastAsiaTheme="majorEastAsia" w:hAnsi="Arial" w:cs="Arial"/>
          <w:color w:val="000000"/>
        </w:rPr>
        <w:t>, </w:t>
      </w:r>
      <w:r w:rsidRPr="003359A7">
        <w:rPr>
          <w:rFonts w:ascii="Arial" w:eastAsiaTheme="majorEastAsia" w:hAnsi="Arial" w:cs="Arial"/>
          <w:i/>
          <w:iCs/>
          <w:color w:val="000000"/>
        </w:rPr>
        <w:t>79</w:t>
      </w:r>
      <w:r w:rsidRPr="003359A7">
        <w:rPr>
          <w:rFonts w:ascii="Arial" w:eastAsiaTheme="majorEastAsia" w:hAnsi="Arial" w:cs="Arial"/>
          <w:color w:val="000000"/>
        </w:rPr>
        <w:t>(8), 1155.</w:t>
      </w:r>
    </w:p>
    <w:p w14:paraId="1FF1DB0B"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 xml:space="preserve">Kirkbride, J. B., Anglin, D. M., Colman, I., </w:t>
      </w:r>
      <w:proofErr w:type="spellStart"/>
      <w:r w:rsidRPr="003359A7">
        <w:rPr>
          <w:rFonts w:ascii="Arial" w:eastAsiaTheme="majorEastAsia" w:hAnsi="Arial" w:cs="Arial"/>
          <w:color w:val="000000"/>
        </w:rPr>
        <w:t>Dykxhoorn</w:t>
      </w:r>
      <w:proofErr w:type="spellEnd"/>
      <w:r w:rsidRPr="003359A7">
        <w:rPr>
          <w:rFonts w:ascii="Arial" w:eastAsiaTheme="majorEastAsia" w:hAnsi="Arial" w:cs="Arial"/>
          <w:color w:val="000000"/>
        </w:rPr>
        <w:t xml:space="preserve">, J., Jones, P. B., </w:t>
      </w:r>
      <w:proofErr w:type="spellStart"/>
      <w:r w:rsidRPr="003359A7">
        <w:rPr>
          <w:rFonts w:ascii="Arial" w:eastAsiaTheme="majorEastAsia" w:hAnsi="Arial" w:cs="Arial"/>
          <w:color w:val="000000"/>
        </w:rPr>
        <w:t>Patalay</w:t>
      </w:r>
      <w:proofErr w:type="spellEnd"/>
      <w:r w:rsidRPr="003359A7">
        <w:rPr>
          <w:rFonts w:ascii="Arial" w:eastAsiaTheme="majorEastAsia" w:hAnsi="Arial" w:cs="Arial"/>
          <w:color w:val="000000"/>
        </w:rPr>
        <w:t xml:space="preserve">, P., Pitman, A., Soneson, E., </w:t>
      </w:r>
      <w:proofErr w:type="spellStart"/>
      <w:r w:rsidRPr="003359A7">
        <w:rPr>
          <w:rFonts w:ascii="Arial" w:eastAsiaTheme="majorEastAsia" w:hAnsi="Arial" w:cs="Arial"/>
          <w:color w:val="000000"/>
        </w:rPr>
        <w:t>Steare</w:t>
      </w:r>
      <w:proofErr w:type="spellEnd"/>
      <w:r w:rsidRPr="003359A7">
        <w:rPr>
          <w:rFonts w:ascii="Arial" w:eastAsiaTheme="majorEastAsia" w:hAnsi="Arial" w:cs="Arial"/>
          <w:color w:val="000000"/>
        </w:rPr>
        <w:t>, T., &amp; Wright, T. (2024). The social determinants of mental health and disorder: evidence, prevention and recommendations.</w:t>
      </w:r>
      <w:r w:rsidRPr="003359A7">
        <w:rPr>
          <w:rFonts w:ascii="Arial" w:eastAsiaTheme="majorEastAsia" w:hAnsi="Arial" w:cs="Arial"/>
          <w:i/>
          <w:iCs/>
          <w:color w:val="000000"/>
        </w:rPr>
        <w:t> World Psychiatry, 23</w:t>
      </w:r>
      <w:r w:rsidRPr="003359A7">
        <w:rPr>
          <w:rFonts w:ascii="Arial" w:eastAsiaTheme="majorEastAsia" w:hAnsi="Arial" w:cs="Arial"/>
          <w:color w:val="000000"/>
        </w:rPr>
        <w:t>(1), 58.</w:t>
      </w:r>
    </w:p>
    <w:p w14:paraId="1C6CE866"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Knill, C., Steinebach, Y., &amp; Zink, D. (2024). How policy growth affects policy implementation: bureaucratic overload and policy triage. Journal of European Public Policy, 31(2), 324-351. </w:t>
      </w:r>
      <w:hyperlink r:id="rId37">
        <w:r w:rsidRPr="003359A7">
          <w:rPr>
            <w:rStyle w:val="Hyperlink"/>
            <w:rFonts w:ascii="Arial" w:eastAsiaTheme="majorEastAsia" w:hAnsi="Arial" w:cs="Arial"/>
          </w:rPr>
          <w:t>https://doi.org/10.1080/13501763.2022.2158208</w:t>
        </w:r>
      </w:hyperlink>
    </w:p>
    <w:p w14:paraId="191C5BC3" w14:textId="38B9326E"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Latino, F., &amp; Tafuri, F. (2023). Physical Activity and Academic Performance in School-Age Children: A Systematic Review.</w:t>
      </w:r>
      <w:r w:rsidRPr="003359A7">
        <w:rPr>
          <w:rFonts w:ascii="Arial" w:eastAsiaTheme="majorEastAsia" w:hAnsi="Arial" w:cs="Arial"/>
          <w:i/>
          <w:iCs/>
          <w:color w:val="000000"/>
        </w:rPr>
        <w:t> Sustainability, 15</w:t>
      </w:r>
      <w:r w:rsidRPr="003359A7">
        <w:rPr>
          <w:rFonts w:ascii="Arial" w:eastAsiaTheme="majorEastAsia" w:hAnsi="Arial" w:cs="Arial"/>
          <w:color w:val="000000"/>
        </w:rPr>
        <w:t>(8), 6616.</w:t>
      </w:r>
      <w:r w:rsidR="00C463BF" w:rsidRPr="00BE68C4">
        <w:rPr>
          <w:rFonts w:ascii="Arial" w:eastAsiaTheme="majorEastAsia" w:hAnsi="Arial" w:cs="Arial"/>
          <w:color w:val="000000"/>
        </w:rPr>
        <w:t xml:space="preserve"> </w:t>
      </w:r>
      <w:hyperlink r:id="rId38" w:history="1">
        <w:r w:rsidR="00C463BF" w:rsidRPr="00BE68C4">
          <w:rPr>
            <w:rStyle w:val="Hyperlink"/>
            <w:rFonts w:ascii="Arial" w:eastAsiaTheme="majorEastAsia" w:hAnsi="Arial" w:cs="Arial"/>
          </w:rPr>
          <w:t>https://doi.org/10.3390/su15086616</w:t>
        </w:r>
      </w:hyperlink>
    </w:p>
    <w:p w14:paraId="6FF8FEFC" w14:textId="2BF86355"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Li, Y., Wu, W., &amp; Wang, Y. (2021a). Global poverty dynamics and resilience building for sustainable poverty reduction.</w:t>
      </w:r>
      <w:r w:rsidRPr="003359A7">
        <w:rPr>
          <w:rFonts w:ascii="Arial" w:eastAsiaTheme="majorEastAsia" w:hAnsi="Arial" w:cs="Arial"/>
          <w:i/>
          <w:iCs/>
          <w:color w:val="000000"/>
        </w:rPr>
        <w:t> Journal of Geographical Sciences, 31</w:t>
      </w:r>
      <w:r w:rsidRPr="003359A7">
        <w:rPr>
          <w:rFonts w:ascii="Arial" w:eastAsiaTheme="majorEastAsia" w:hAnsi="Arial" w:cs="Arial"/>
          <w:color w:val="000000"/>
        </w:rPr>
        <w:t>(8), 1159–1170.</w:t>
      </w:r>
      <w:r w:rsidR="00D657AD" w:rsidRPr="00BE68C4">
        <w:rPr>
          <w:rFonts w:ascii="Arial" w:eastAsiaTheme="majorEastAsia" w:hAnsi="Arial" w:cs="Arial"/>
          <w:color w:val="000000"/>
        </w:rPr>
        <w:t xml:space="preserve"> </w:t>
      </w:r>
      <w:hyperlink r:id="rId39" w:history="1">
        <w:r w:rsidR="00D657AD" w:rsidRPr="00BE68C4">
          <w:rPr>
            <w:rStyle w:val="Hyperlink"/>
            <w:rFonts w:ascii="Arial" w:eastAsiaTheme="majorEastAsia" w:hAnsi="Arial" w:cs="Arial"/>
          </w:rPr>
          <w:t>https://doi.org/10.1007/s11442-021-1890-4</w:t>
        </w:r>
      </w:hyperlink>
    </w:p>
    <w:p w14:paraId="3E5AFDC3"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Liu, L., et al. (2022). Impacts of poverty and lifestyles on mortality: A cohort study in predominantly low-income Americans. </w:t>
      </w:r>
      <w:r w:rsidRPr="003359A7">
        <w:rPr>
          <w:rFonts w:ascii="Arial" w:eastAsiaTheme="majorEastAsia" w:hAnsi="Arial" w:cs="Arial"/>
          <w:i/>
          <w:iCs/>
          <w:color w:val="000000"/>
        </w:rPr>
        <w:t>American Journal of Preventive Medicine</w:t>
      </w:r>
      <w:r w:rsidRPr="003359A7">
        <w:rPr>
          <w:rFonts w:ascii="Arial" w:eastAsiaTheme="majorEastAsia" w:hAnsi="Arial" w:cs="Arial"/>
          <w:color w:val="000000"/>
        </w:rPr>
        <w:t xml:space="preserve">, 67(1), 15-23. </w:t>
      </w:r>
      <w:hyperlink r:id="rId40">
        <w:r w:rsidRPr="003359A7">
          <w:rPr>
            <w:rStyle w:val="Hyperlink"/>
            <w:rFonts w:ascii="Arial" w:eastAsiaTheme="majorEastAsia" w:hAnsi="Arial" w:cs="Arial"/>
          </w:rPr>
          <w:t>https://doi.org/10.1016/j.amepre.2024.02.015</w:t>
        </w:r>
      </w:hyperlink>
    </w:p>
    <w:p w14:paraId="43C5F130"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Macassa, G., Rodrigues, C., Barros, H., &amp; Marttila, A. (2021). Experiences of involuntary job loss and health during the economic crisis in Portugal. </w:t>
      </w:r>
      <w:r w:rsidRPr="003359A7">
        <w:rPr>
          <w:rFonts w:ascii="Arial" w:eastAsiaTheme="majorEastAsia" w:hAnsi="Arial" w:cs="Arial"/>
          <w:i/>
          <w:iCs/>
          <w:color w:val="000000"/>
        </w:rPr>
        <w:t>Porto biomedical journal</w:t>
      </w:r>
      <w:r w:rsidRPr="003359A7">
        <w:rPr>
          <w:rFonts w:ascii="Arial" w:eastAsiaTheme="majorEastAsia" w:hAnsi="Arial" w:cs="Arial"/>
          <w:color w:val="000000"/>
        </w:rPr>
        <w:t>, </w:t>
      </w:r>
      <w:r w:rsidRPr="003359A7">
        <w:rPr>
          <w:rFonts w:ascii="Arial" w:eastAsiaTheme="majorEastAsia" w:hAnsi="Arial" w:cs="Arial"/>
          <w:i/>
          <w:iCs/>
          <w:color w:val="000000"/>
        </w:rPr>
        <w:t>6</w:t>
      </w:r>
      <w:r w:rsidRPr="003359A7">
        <w:rPr>
          <w:rFonts w:ascii="Arial" w:eastAsiaTheme="majorEastAsia" w:hAnsi="Arial" w:cs="Arial"/>
          <w:color w:val="000000"/>
        </w:rPr>
        <w:t>(1), e121.</w:t>
      </w:r>
    </w:p>
    <w:p w14:paraId="1BC2A5FE"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Maslow, A. H. (1943). A Theory of Human Motivation. Psychological Review, 50(4), 370–396.</w:t>
      </w:r>
    </w:p>
    <w:p w14:paraId="1566B5CD"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 xml:space="preserve">McCabe, R., Pollack, R., Broadbent, P., Thomson, R. M., </w:t>
      </w:r>
      <w:proofErr w:type="spellStart"/>
      <w:r w:rsidRPr="003359A7">
        <w:rPr>
          <w:rFonts w:ascii="Arial" w:eastAsiaTheme="majorEastAsia" w:hAnsi="Arial" w:cs="Arial"/>
          <w:color w:val="000000"/>
        </w:rPr>
        <w:t>Igelström</w:t>
      </w:r>
      <w:proofErr w:type="spellEnd"/>
      <w:r w:rsidRPr="003359A7">
        <w:rPr>
          <w:rFonts w:ascii="Arial" w:eastAsiaTheme="majorEastAsia" w:hAnsi="Arial" w:cs="Arial"/>
          <w:color w:val="000000"/>
        </w:rPr>
        <w:t xml:space="preserve">, E., Pearce, A., ... &amp; </w:t>
      </w:r>
      <w:proofErr w:type="spellStart"/>
      <w:r w:rsidRPr="003359A7">
        <w:rPr>
          <w:rFonts w:ascii="Arial" w:eastAsiaTheme="majorEastAsia" w:hAnsi="Arial" w:cs="Arial"/>
          <w:color w:val="000000"/>
        </w:rPr>
        <w:t>Katikireddi</w:t>
      </w:r>
      <w:proofErr w:type="spellEnd"/>
      <w:r w:rsidRPr="003359A7">
        <w:rPr>
          <w:rFonts w:ascii="Arial" w:eastAsiaTheme="majorEastAsia" w:hAnsi="Arial" w:cs="Arial"/>
          <w:color w:val="000000"/>
        </w:rPr>
        <w:t>, S. V. (2024). Implications of child poverty reduction targets for public health and health inequalities in England: a modelling study between 2024 and 2033. </w:t>
      </w:r>
      <w:r w:rsidRPr="003359A7">
        <w:rPr>
          <w:rFonts w:ascii="Arial" w:eastAsiaTheme="majorEastAsia" w:hAnsi="Arial" w:cs="Arial"/>
          <w:i/>
          <w:iCs/>
          <w:color w:val="000000"/>
        </w:rPr>
        <w:t xml:space="preserve">J </w:t>
      </w:r>
      <w:proofErr w:type="spellStart"/>
      <w:r w:rsidRPr="003359A7">
        <w:rPr>
          <w:rFonts w:ascii="Arial" w:eastAsiaTheme="majorEastAsia" w:hAnsi="Arial" w:cs="Arial"/>
          <w:i/>
          <w:iCs/>
          <w:color w:val="000000"/>
        </w:rPr>
        <w:t>Epidemiol</w:t>
      </w:r>
      <w:proofErr w:type="spellEnd"/>
      <w:r w:rsidRPr="003359A7">
        <w:rPr>
          <w:rFonts w:ascii="Arial" w:eastAsiaTheme="majorEastAsia" w:hAnsi="Arial" w:cs="Arial"/>
          <w:i/>
          <w:iCs/>
          <w:color w:val="000000"/>
        </w:rPr>
        <w:t xml:space="preserve"> Community Health</w:t>
      </w:r>
      <w:r w:rsidRPr="003359A7">
        <w:rPr>
          <w:rFonts w:ascii="Arial" w:eastAsiaTheme="majorEastAsia" w:hAnsi="Arial" w:cs="Arial"/>
          <w:color w:val="000000"/>
        </w:rPr>
        <w:t>, </w:t>
      </w:r>
      <w:r w:rsidRPr="003359A7">
        <w:rPr>
          <w:rFonts w:ascii="Arial" w:eastAsiaTheme="majorEastAsia" w:hAnsi="Arial" w:cs="Arial"/>
          <w:i/>
          <w:iCs/>
          <w:color w:val="000000"/>
        </w:rPr>
        <w:t>78</w:t>
      </w:r>
      <w:r w:rsidRPr="003359A7">
        <w:rPr>
          <w:rFonts w:ascii="Arial" w:eastAsiaTheme="majorEastAsia" w:hAnsi="Arial" w:cs="Arial"/>
          <w:color w:val="000000"/>
        </w:rPr>
        <w:t>(10), 632-640.</w:t>
      </w:r>
    </w:p>
    <w:p w14:paraId="2059399D" w14:textId="2D1473A3"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McGowan, V. J., Buckner, S., Mead, R., McGill, E., </w:t>
      </w:r>
      <w:proofErr w:type="spellStart"/>
      <w:r w:rsidRPr="003359A7">
        <w:rPr>
          <w:rFonts w:ascii="Arial" w:eastAsiaTheme="majorEastAsia" w:hAnsi="Arial" w:cs="Arial"/>
          <w:color w:val="000000"/>
        </w:rPr>
        <w:t>Ronzi</w:t>
      </w:r>
      <w:proofErr w:type="spellEnd"/>
      <w:r w:rsidRPr="003359A7">
        <w:rPr>
          <w:rFonts w:ascii="Arial" w:eastAsiaTheme="majorEastAsia" w:hAnsi="Arial" w:cs="Arial"/>
          <w:color w:val="000000"/>
        </w:rPr>
        <w:t>, S., Beyer, F., &amp; Bambra, C. (2021). Examining the effectiveness of place-based interventions to improve public health and reduce health inequalities: an umbrella review.</w:t>
      </w:r>
      <w:r w:rsidRPr="003359A7">
        <w:rPr>
          <w:rFonts w:ascii="Arial" w:eastAsiaTheme="majorEastAsia" w:hAnsi="Arial" w:cs="Arial"/>
          <w:i/>
          <w:iCs/>
          <w:color w:val="000000"/>
        </w:rPr>
        <w:t> BMC Public Health, 21</w:t>
      </w:r>
      <w:r w:rsidRPr="003359A7">
        <w:rPr>
          <w:rFonts w:ascii="Arial" w:eastAsiaTheme="majorEastAsia" w:hAnsi="Arial" w:cs="Arial"/>
          <w:color w:val="000000"/>
        </w:rPr>
        <w:t>, 1–17.</w:t>
      </w:r>
      <w:r w:rsidR="00380506" w:rsidRPr="00BE68C4">
        <w:rPr>
          <w:rFonts w:ascii="Arial" w:eastAsiaTheme="majorEastAsia" w:hAnsi="Arial" w:cs="Arial"/>
          <w:color w:val="000000"/>
        </w:rPr>
        <w:t xml:space="preserve"> </w:t>
      </w:r>
      <w:hyperlink r:id="rId41" w:history="1">
        <w:r w:rsidR="00380506" w:rsidRPr="00BE68C4">
          <w:rPr>
            <w:rStyle w:val="Hyperlink"/>
            <w:rFonts w:ascii="Arial" w:eastAsiaTheme="majorEastAsia" w:hAnsi="Arial" w:cs="Arial"/>
          </w:rPr>
          <w:t>https://doi.org/10.1186/s12889-021-11852-z</w:t>
        </w:r>
      </w:hyperlink>
    </w:p>
    <w:p w14:paraId="1A040219"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McLoyd, V. C. (2021). Poverty, parenting, and policy: Meeting the support needs of poor parents. In </w:t>
      </w:r>
      <w:r w:rsidRPr="003359A7">
        <w:rPr>
          <w:rFonts w:ascii="Arial" w:eastAsiaTheme="majorEastAsia" w:hAnsi="Arial" w:cs="Arial"/>
          <w:i/>
          <w:iCs/>
          <w:color w:val="000000"/>
        </w:rPr>
        <w:t>Children of poverty</w:t>
      </w:r>
      <w:r w:rsidRPr="003359A7">
        <w:rPr>
          <w:rFonts w:ascii="Arial" w:eastAsiaTheme="majorEastAsia" w:hAnsi="Arial" w:cs="Arial"/>
          <w:color w:val="000000"/>
        </w:rPr>
        <w:t> (pp. 269-303). Routledge.</w:t>
      </w:r>
    </w:p>
    <w:p w14:paraId="26D12631" w14:textId="0891B1AE"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Megari, K., &amp; </w:t>
      </w:r>
      <w:proofErr w:type="spellStart"/>
      <w:r w:rsidRPr="003359A7">
        <w:rPr>
          <w:rFonts w:ascii="Arial" w:eastAsiaTheme="majorEastAsia" w:hAnsi="Arial" w:cs="Arial"/>
          <w:color w:val="000000"/>
        </w:rPr>
        <w:t>Miliadi</w:t>
      </w:r>
      <w:proofErr w:type="spellEnd"/>
      <w:r w:rsidRPr="003359A7">
        <w:rPr>
          <w:rFonts w:ascii="Arial" w:eastAsiaTheme="majorEastAsia" w:hAnsi="Arial" w:cs="Arial"/>
          <w:color w:val="000000"/>
        </w:rPr>
        <w:t>, V. (2024). The neuropsychology of early childhood and infancy.</w:t>
      </w:r>
      <w:r w:rsidRPr="003359A7">
        <w:rPr>
          <w:rFonts w:ascii="Arial" w:eastAsiaTheme="majorEastAsia" w:hAnsi="Arial" w:cs="Arial"/>
          <w:i/>
          <w:iCs/>
          <w:color w:val="000000"/>
        </w:rPr>
        <w:t> International Journal of Developmental Neuroscience, 84</w:t>
      </w:r>
      <w:r w:rsidRPr="003359A7">
        <w:rPr>
          <w:rFonts w:ascii="Arial" w:eastAsiaTheme="majorEastAsia" w:hAnsi="Arial" w:cs="Arial"/>
          <w:color w:val="000000"/>
        </w:rPr>
        <w:t>(8), 807–816.</w:t>
      </w:r>
      <w:r w:rsidR="00C25834" w:rsidRPr="00BE68C4">
        <w:rPr>
          <w:rFonts w:ascii="Arial" w:eastAsiaTheme="majorEastAsia" w:hAnsi="Arial" w:cs="Arial"/>
          <w:color w:val="000000"/>
        </w:rPr>
        <w:t xml:space="preserve"> </w:t>
      </w:r>
      <w:hyperlink r:id="rId42" w:history="1">
        <w:r w:rsidR="00C25834" w:rsidRPr="00BE68C4">
          <w:rPr>
            <w:rStyle w:val="Hyperlink"/>
            <w:rFonts w:ascii="Arial" w:eastAsiaTheme="majorEastAsia" w:hAnsi="Arial" w:cs="Arial"/>
          </w:rPr>
          <w:t>https://doi.org/10.1002/jdn.10381</w:t>
        </w:r>
      </w:hyperlink>
    </w:p>
    <w:p w14:paraId="40B2E69D" w14:textId="34ADA5A3"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Meulewaeter</w:t>
      </w:r>
      <w:proofErr w:type="spellEnd"/>
      <w:r w:rsidRPr="003359A7">
        <w:rPr>
          <w:rFonts w:ascii="Arial" w:eastAsiaTheme="majorEastAsia" w:hAnsi="Arial" w:cs="Arial"/>
          <w:color w:val="000000"/>
        </w:rPr>
        <w:t xml:space="preserve">, F., De </w:t>
      </w:r>
      <w:proofErr w:type="spellStart"/>
      <w:r w:rsidRPr="003359A7">
        <w:rPr>
          <w:rFonts w:ascii="Arial" w:eastAsiaTheme="majorEastAsia" w:hAnsi="Arial" w:cs="Arial"/>
          <w:color w:val="000000"/>
        </w:rPr>
        <w:t>Schauwer</w:t>
      </w:r>
      <w:proofErr w:type="spellEnd"/>
      <w:r w:rsidRPr="003359A7">
        <w:rPr>
          <w:rFonts w:ascii="Arial" w:eastAsiaTheme="majorEastAsia" w:hAnsi="Arial" w:cs="Arial"/>
          <w:color w:val="000000"/>
        </w:rPr>
        <w:t xml:space="preserve">, E., De Pauw, S. S., &amp; </w:t>
      </w:r>
      <w:proofErr w:type="spellStart"/>
      <w:r w:rsidRPr="003359A7">
        <w:rPr>
          <w:rFonts w:ascii="Arial" w:eastAsiaTheme="majorEastAsia" w:hAnsi="Arial" w:cs="Arial"/>
          <w:color w:val="000000"/>
        </w:rPr>
        <w:t>Vanderplasschen</w:t>
      </w:r>
      <w:proofErr w:type="spellEnd"/>
      <w:r w:rsidRPr="003359A7">
        <w:rPr>
          <w:rFonts w:ascii="Arial" w:eastAsiaTheme="majorEastAsia" w:hAnsi="Arial" w:cs="Arial"/>
          <w:color w:val="000000"/>
        </w:rPr>
        <w:t>, W. (2022). “I grew up amidst alcohol and drugs:” a qualitative study on the lived experiences of parental substance use among adults who developed substance use disorders themselves.</w:t>
      </w:r>
      <w:r w:rsidRPr="003359A7">
        <w:rPr>
          <w:rFonts w:ascii="Arial" w:eastAsiaTheme="majorEastAsia" w:hAnsi="Arial" w:cs="Arial"/>
          <w:i/>
          <w:iCs/>
          <w:color w:val="000000"/>
        </w:rPr>
        <w:t> Frontiers in Psychiatry, 13</w:t>
      </w:r>
      <w:r w:rsidRPr="003359A7">
        <w:rPr>
          <w:rFonts w:ascii="Arial" w:eastAsiaTheme="majorEastAsia" w:hAnsi="Arial" w:cs="Arial"/>
          <w:color w:val="000000"/>
        </w:rPr>
        <w:t>, 768802.</w:t>
      </w:r>
      <w:r w:rsidR="00533984" w:rsidRPr="00BE68C4">
        <w:rPr>
          <w:rFonts w:ascii="Arial" w:eastAsiaTheme="majorEastAsia" w:hAnsi="Arial" w:cs="Arial"/>
          <w:color w:val="000000"/>
        </w:rPr>
        <w:t xml:space="preserve"> </w:t>
      </w:r>
      <w:hyperlink r:id="rId43" w:history="1">
        <w:r w:rsidR="00533984" w:rsidRPr="00BE68C4">
          <w:rPr>
            <w:rStyle w:val="Hyperlink"/>
            <w:rFonts w:ascii="Arial" w:eastAsiaTheme="majorEastAsia" w:hAnsi="Arial" w:cs="Arial"/>
          </w:rPr>
          <w:t>https://doi.org/10.3389/fpsyt.2022.768802</w:t>
        </w:r>
      </w:hyperlink>
    </w:p>
    <w:p w14:paraId="2A45F372"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Miller, E. B., Canfield, C. F., Roby, E., </w:t>
      </w:r>
      <w:proofErr w:type="spellStart"/>
      <w:r w:rsidRPr="003359A7">
        <w:rPr>
          <w:rFonts w:ascii="Arial" w:eastAsiaTheme="majorEastAsia" w:hAnsi="Arial" w:cs="Arial"/>
          <w:color w:val="000000"/>
        </w:rPr>
        <w:t>Wippick</w:t>
      </w:r>
      <w:proofErr w:type="spellEnd"/>
      <w:r w:rsidRPr="003359A7">
        <w:rPr>
          <w:rFonts w:ascii="Arial" w:eastAsiaTheme="majorEastAsia" w:hAnsi="Arial" w:cs="Arial"/>
          <w:color w:val="000000"/>
        </w:rPr>
        <w:t>, H., Shaw, D. S., Mendelsohn, A. L., &amp; Morris</w:t>
      </w:r>
      <w:r w:rsidRPr="003359A7">
        <w:rPr>
          <w:rFonts w:ascii="Cambria Math" w:eastAsiaTheme="majorEastAsia" w:hAnsi="Cambria Math" w:cs="Cambria Math"/>
          <w:color w:val="000000"/>
        </w:rPr>
        <w:t>‐</w:t>
      </w:r>
      <w:r w:rsidRPr="003359A7">
        <w:rPr>
          <w:rFonts w:ascii="Arial" w:eastAsiaTheme="majorEastAsia" w:hAnsi="Arial" w:cs="Arial"/>
          <w:color w:val="000000"/>
        </w:rPr>
        <w:t>Perez, P. A. (2024). Enhancing early language and literacy skills for racial/ethnic minority children with low incomes through a randomized clinical trial: The mediating role of cognitively stimulating parent–child interactions. </w:t>
      </w:r>
      <w:r w:rsidRPr="003359A7">
        <w:rPr>
          <w:rFonts w:ascii="Arial" w:eastAsiaTheme="majorEastAsia" w:hAnsi="Arial" w:cs="Arial"/>
          <w:i/>
          <w:iCs/>
          <w:color w:val="000000"/>
        </w:rPr>
        <w:t>Child Development</w:t>
      </w:r>
      <w:r w:rsidRPr="003359A7">
        <w:rPr>
          <w:rFonts w:ascii="Arial" w:eastAsiaTheme="majorEastAsia" w:hAnsi="Arial" w:cs="Arial"/>
          <w:color w:val="000000"/>
        </w:rPr>
        <w:t>, </w:t>
      </w:r>
      <w:r w:rsidRPr="003359A7">
        <w:rPr>
          <w:rFonts w:ascii="Arial" w:eastAsiaTheme="majorEastAsia" w:hAnsi="Arial" w:cs="Arial"/>
          <w:i/>
          <w:iCs/>
          <w:color w:val="000000"/>
        </w:rPr>
        <w:t>95</w:t>
      </w:r>
      <w:r w:rsidRPr="003359A7">
        <w:rPr>
          <w:rFonts w:ascii="Arial" w:eastAsiaTheme="majorEastAsia" w:hAnsi="Arial" w:cs="Arial"/>
          <w:color w:val="000000"/>
        </w:rPr>
        <w:t>(4), 1172-1185.</w:t>
      </w:r>
    </w:p>
    <w:p w14:paraId="58993128" w14:textId="3FA6A2BF"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 xml:space="preserve">Modi, K., </w:t>
      </w:r>
      <w:proofErr w:type="spellStart"/>
      <w:r w:rsidRPr="003359A7">
        <w:rPr>
          <w:rFonts w:ascii="Arial" w:eastAsiaTheme="majorEastAsia" w:hAnsi="Arial" w:cs="Arial"/>
          <w:color w:val="000000"/>
        </w:rPr>
        <w:t>Kasana</w:t>
      </w:r>
      <w:proofErr w:type="spellEnd"/>
      <w:r w:rsidRPr="003359A7">
        <w:rPr>
          <w:rFonts w:ascii="Arial" w:eastAsiaTheme="majorEastAsia" w:hAnsi="Arial" w:cs="Arial"/>
          <w:color w:val="000000"/>
        </w:rPr>
        <w:t>, S., Azam, A., &amp; Madhavan, L. (2021). Education, poverty and social exclusion: assessment of youth leaving care. </w:t>
      </w:r>
      <w:r w:rsidRPr="003359A7">
        <w:rPr>
          <w:rFonts w:ascii="Arial" w:eastAsiaTheme="majorEastAsia" w:hAnsi="Arial" w:cs="Arial"/>
          <w:i/>
          <w:iCs/>
          <w:color w:val="000000"/>
        </w:rPr>
        <w:t>SN Social Sciences</w:t>
      </w:r>
      <w:r w:rsidRPr="003359A7">
        <w:rPr>
          <w:rFonts w:ascii="Arial" w:eastAsiaTheme="majorEastAsia" w:hAnsi="Arial" w:cs="Arial"/>
          <w:color w:val="000000"/>
        </w:rPr>
        <w:t>, </w:t>
      </w:r>
      <w:r w:rsidRPr="003359A7">
        <w:rPr>
          <w:rFonts w:ascii="Arial" w:eastAsiaTheme="majorEastAsia" w:hAnsi="Arial" w:cs="Arial"/>
          <w:i/>
          <w:iCs/>
          <w:color w:val="000000"/>
        </w:rPr>
        <w:t>1</w:t>
      </w:r>
      <w:r w:rsidRPr="003359A7">
        <w:rPr>
          <w:rFonts w:ascii="Arial" w:eastAsiaTheme="majorEastAsia" w:hAnsi="Arial" w:cs="Arial"/>
          <w:color w:val="000000"/>
        </w:rPr>
        <w:t>(4), 82.</w:t>
      </w:r>
      <w:r w:rsidR="00E73ABD" w:rsidRPr="00BE68C4">
        <w:rPr>
          <w:rFonts w:ascii="Arial" w:eastAsiaTheme="majorEastAsia" w:hAnsi="Arial" w:cs="Arial"/>
          <w:color w:val="000000"/>
        </w:rPr>
        <w:t xml:space="preserve">  </w:t>
      </w:r>
      <w:hyperlink r:id="rId44" w:history="1">
        <w:r w:rsidR="00E73ABD" w:rsidRPr="00BE68C4">
          <w:rPr>
            <w:rStyle w:val="Hyperlink"/>
            <w:rFonts w:ascii="Arial" w:eastAsiaTheme="majorEastAsia" w:hAnsi="Arial" w:cs="Arial"/>
          </w:rPr>
          <w:t>https://doi.org/10.1007/s43545-021-00102-z</w:t>
        </w:r>
      </w:hyperlink>
    </w:p>
    <w:p w14:paraId="07FFB615" w14:textId="161A4854"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Morris, K. (2022). Faces of hunger: an intersectional approach to children's right to food in the United Kingdom.</w:t>
      </w:r>
      <w:r w:rsidRPr="003359A7">
        <w:rPr>
          <w:rFonts w:ascii="Arial" w:eastAsiaTheme="majorEastAsia" w:hAnsi="Arial" w:cs="Arial"/>
          <w:i/>
          <w:iCs/>
          <w:color w:val="000000"/>
        </w:rPr>
        <w:t> Journal of Law and Society, 49</w:t>
      </w:r>
      <w:r w:rsidRPr="003359A7">
        <w:rPr>
          <w:rFonts w:ascii="Arial" w:eastAsiaTheme="majorEastAsia" w:hAnsi="Arial" w:cs="Arial"/>
          <w:color w:val="000000"/>
        </w:rPr>
        <w:t>(4), 726–752.</w:t>
      </w:r>
      <w:r w:rsidR="006A6DD0" w:rsidRPr="00BE68C4">
        <w:rPr>
          <w:rFonts w:ascii="Arial" w:eastAsiaTheme="majorEastAsia" w:hAnsi="Arial" w:cs="Arial"/>
          <w:color w:val="000000"/>
        </w:rPr>
        <w:t xml:space="preserve"> </w:t>
      </w:r>
      <w:hyperlink r:id="rId45" w:history="1">
        <w:r w:rsidR="006A6DD0" w:rsidRPr="00BE68C4">
          <w:rPr>
            <w:rStyle w:val="Hyperlink"/>
            <w:rFonts w:ascii="Arial" w:eastAsiaTheme="majorEastAsia" w:hAnsi="Arial" w:cs="Arial"/>
          </w:rPr>
          <w:t>https://doi.org/10.1111/jols.12397</w:t>
        </w:r>
      </w:hyperlink>
    </w:p>
    <w:p w14:paraId="77F90257"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Navarro, B. (2024). Increasing Social-Emotional Development in Early Childhood.</w:t>
      </w:r>
    </w:p>
    <w:p w14:paraId="26DBC515"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Nelson, C. A., &amp; Gabard-</w:t>
      </w:r>
      <w:proofErr w:type="spellStart"/>
      <w:r w:rsidRPr="003359A7">
        <w:rPr>
          <w:rFonts w:ascii="Arial" w:eastAsiaTheme="majorEastAsia" w:hAnsi="Arial" w:cs="Arial"/>
          <w:color w:val="000000"/>
        </w:rPr>
        <w:t>Durnam</w:t>
      </w:r>
      <w:proofErr w:type="spellEnd"/>
      <w:r w:rsidRPr="003359A7">
        <w:rPr>
          <w:rFonts w:ascii="Arial" w:eastAsiaTheme="majorEastAsia" w:hAnsi="Arial" w:cs="Arial"/>
          <w:color w:val="000000"/>
        </w:rPr>
        <w:t>, L. J. (2020). Early adversity and critical periods: neurodevelopmental consequences of violating the expectable environment.</w:t>
      </w:r>
      <w:r w:rsidRPr="003359A7">
        <w:rPr>
          <w:rFonts w:ascii="Arial" w:eastAsiaTheme="majorEastAsia" w:hAnsi="Arial" w:cs="Arial"/>
          <w:i/>
          <w:iCs/>
          <w:color w:val="000000"/>
        </w:rPr>
        <w:t> Trends in Neurosciences, 43</w:t>
      </w:r>
      <w:r w:rsidRPr="003359A7">
        <w:rPr>
          <w:rFonts w:ascii="Arial" w:eastAsiaTheme="majorEastAsia" w:hAnsi="Arial" w:cs="Arial"/>
          <w:color w:val="000000"/>
        </w:rPr>
        <w:t>(3), 133–143.</w:t>
      </w:r>
    </w:p>
    <w:p w14:paraId="58248BAC" w14:textId="2909587E"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Newson, L., &amp; Abayomi, J. (2024). Reframing interventions for optimal child nutrition and childhood obesity: the importance of considering psychological factors. </w:t>
      </w:r>
      <w:r w:rsidRPr="003359A7">
        <w:rPr>
          <w:rFonts w:ascii="Arial" w:eastAsiaTheme="majorEastAsia" w:hAnsi="Arial" w:cs="Arial"/>
          <w:i/>
          <w:iCs/>
          <w:color w:val="000000"/>
        </w:rPr>
        <w:t>Proceedings of the Nutrition Society</w:t>
      </w:r>
      <w:r w:rsidRPr="003359A7">
        <w:rPr>
          <w:rFonts w:ascii="Arial" w:eastAsiaTheme="majorEastAsia" w:hAnsi="Arial" w:cs="Arial"/>
          <w:color w:val="000000"/>
        </w:rPr>
        <w:t>, 1-31.</w:t>
      </w:r>
      <w:r w:rsidR="006A6DD0" w:rsidRPr="00BE68C4">
        <w:rPr>
          <w:rFonts w:ascii="Arial" w:eastAsiaTheme="majorEastAsia" w:hAnsi="Arial" w:cs="Arial"/>
          <w:color w:val="000000"/>
        </w:rPr>
        <w:t xml:space="preserve"> </w:t>
      </w:r>
      <w:hyperlink r:id="rId46" w:history="1">
        <w:r w:rsidR="00795C3D" w:rsidRPr="00BE68C4">
          <w:rPr>
            <w:rStyle w:val="Hyperlink"/>
            <w:rFonts w:ascii="Arial" w:eastAsiaTheme="majorEastAsia" w:hAnsi="Arial" w:cs="Arial"/>
          </w:rPr>
          <w:t>https://doi.org/10.1017/S0029665124000028</w:t>
        </w:r>
      </w:hyperlink>
    </w:p>
    <w:p w14:paraId="0D0F258C"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Norman, Å., Malek, M. E., Nyberg, G., Patterson, E., &amp; </w:t>
      </w:r>
      <w:proofErr w:type="spellStart"/>
      <w:r w:rsidRPr="003359A7">
        <w:rPr>
          <w:rFonts w:ascii="Arial" w:eastAsiaTheme="majorEastAsia" w:hAnsi="Arial" w:cs="Arial"/>
          <w:color w:val="000000"/>
        </w:rPr>
        <w:t>Elinder</w:t>
      </w:r>
      <w:proofErr w:type="spellEnd"/>
      <w:r w:rsidRPr="003359A7">
        <w:rPr>
          <w:rFonts w:ascii="Arial" w:eastAsiaTheme="majorEastAsia" w:hAnsi="Arial" w:cs="Arial"/>
          <w:color w:val="000000"/>
        </w:rPr>
        <w:t>, L. S. (2024). Effects of Universal School-Based Parental Support for Children’s Healthy Diet and Physical Activity—the Healthy School Start Plus Cluster–Randomised Controlled Trial. </w:t>
      </w:r>
      <w:r w:rsidRPr="003359A7">
        <w:rPr>
          <w:rFonts w:ascii="Arial" w:eastAsiaTheme="majorEastAsia" w:hAnsi="Arial" w:cs="Arial"/>
          <w:i/>
          <w:iCs/>
          <w:color w:val="000000"/>
        </w:rPr>
        <w:t>Prevention Science</w:t>
      </w:r>
      <w:r w:rsidRPr="003359A7">
        <w:rPr>
          <w:rFonts w:ascii="Arial" w:eastAsiaTheme="majorEastAsia" w:hAnsi="Arial" w:cs="Arial"/>
          <w:color w:val="000000"/>
        </w:rPr>
        <w:t>, </w:t>
      </w:r>
      <w:r w:rsidRPr="003359A7">
        <w:rPr>
          <w:rFonts w:ascii="Arial" w:eastAsiaTheme="majorEastAsia" w:hAnsi="Arial" w:cs="Arial"/>
          <w:i/>
          <w:iCs/>
          <w:color w:val="000000"/>
        </w:rPr>
        <w:t>25</w:t>
      </w:r>
      <w:r w:rsidRPr="003359A7">
        <w:rPr>
          <w:rFonts w:ascii="Arial" w:eastAsiaTheme="majorEastAsia" w:hAnsi="Arial" w:cs="Arial"/>
          <w:color w:val="000000"/>
        </w:rPr>
        <w:t>(6), 963-977.</w:t>
      </w:r>
    </w:p>
    <w:p w14:paraId="19201A18"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NSPCC. (2023, November 15). </w:t>
      </w:r>
      <w:r w:rsidRPr="003359A7">
        <w:rPr>
          <w:rFonts w:ascii="Arial" w:eastAsiaTheme="majorEastAsia" w:hAnsi="Arial" w:cs="Arial"/>
          <w:i/>
          <w:iCs/>
          <w:color w:val="000000"/>
        </w:rPr>
        <w:t>Why children must be at the heart of the next government</w:t>
      </w:r>
      <w:r w:rsidRPr="003359A7">
        <w:rPr>
          <w:rFonts w:ascii="Arial" w:eastAsiaTheme="majorEastAsia" w:hAnsi="Arial" w:cs="Arial"/>
          <w:color w:val="000000"/>
        </w:rPr>
        <w:t xml:space="preserve">. NSPCC. </w:t>
      </w:r>
      <w:hyperlink r:id="rId47">
        <w:r w:rsidRPr="003359A7">
          <w:rPr>
            <w:rStyle w:val="Hyperlink"/>
            <w:rFonts w:ascii="Arial" w:eastAsiaTheme="majorEastAsia" w:hAnsi="Arial" w:cs="Arial"/>
          </w:rPr>
          <w:t>https://www.nspcc.org.uk/about-us/news-opinion/2023/2023-11-15-why-children-must-be-at-the-heart-of-the-next-government/</w:t>
        </w:r>
      </w:hyperlink>
    </w:p>
    <w:p w14:paraId="7F95C0F7"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 xml:space="preserve">Oberg, C., Hodges, H. R., Gander, S., </w:t>
      </w:r>
      <w:proofErr w:type="spellStart"/>
      <w:r w:rsidRPr="003359A7">
        <w:rPr>
          <w:rFonts w:ascii="Arial" w:eastAsiaTheme="majorEastAsia" w:hAnsi="Arial" w:cs="Arial"/>
          <w:color w:val="000000"/>
        </w:rPr>
        <w:t>Nathawad</w:t>
      </w:r>
      <w:proofErr w:type="spellEnd"/>
      <w:r w:rsidRPr="003359A7">
        <w:rPr>
          <w:rFonts w:ascii="Arial" w:eastAsiaTheme="majorEastAsia" w:hAnsi="Arial" w:cs="Arial"/>
          <w:color w:val="000000"/>
        </w:rPr>
        <w:t>, R., &amp; Cutts, D. (2022). The impact of COVID-19 on children's lives in the United States: Amplified inequities and a just path to recovery.</w:t>
      </w:r>
      <w:r w:rsidRPr="003359A7">
        <w:rPr>
          <w:rFonts w:ascii="Arial" w:eastAsiaTheme="majorEastAsia" w:hAnsi="Arial" w:cs="Arial"/>
          <w:i/>
          <w:iCs/>
          <w:color w:val="000000"/>
        </w:rPr>
        <w:t> Current Problems in Pediatric and Adolescent Health Care, 52</w:t>
      </w:r>
      <w:r w:rsidRPr="003359A7">
        <w:rPr>
          <w:rFonts w:ascii="Arial" w:eastAsiaTheme="majorEastAsia" w:hAnsi="Arial" w:cs="Arial"/>
          <w:color w:val="000000"/>
        </w:rPr>
        <w:t>(7), 101181.</w:t>
      </w:r>
    </w:p>
    <w:p w14:paraId="2F18B10D" w14:textId="3A79C4A0"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O’Donnell, A. W., Redmond, G., Gardner, A. A., Wang, J. J., &amp; Mooney, A. (2024). Extracurricular activity participation, school belonging, and depressed mood: A test of the compensation hypothesis during adolescence. </w:t>
      </w:r>
      <w:r w:rsidRPr="003359A7">
        <w:rPr>
          <w:rFonts w:ascii="Arial" w:eastAsiaTheme="majorEastAsia" w:hAnsi="Arial" w:cs="Arial"/>
          <w:i/>
          <w:iCs/>
          <w:color w:val="000000"/>
        </w:rPr>
        <w:t>Applied Developmental Science</w:t>
      </w:r>
      <w:r w:rsidRPr="003359A7">
        <w:rPr>
          <w:rFonts w:ascii="Arial" w:eastAsiaTheme="majorEastAsia" w:hAnsi="Arial" w:cs="Arial"/>
          <w:color w:val="000000"/>
        </w:rPr>
        <w:t>, </w:t>
      </w:r>
      <w:r w:rsidRPr="003359A7">
        <w:rPr>
          <w:rFonts w:ascii="Arial" w:eastAsiaTheme="majorEastAsia" w:hAnsi="Arial" w:cs="Arial"/>
          <w:i/>
          <w:iCs/>
          <w:color w:val="000000"/>
        </w:rPr>
        <w:t>28</w:t>
      </w:r>
      <w:r w:rsidRPr="003359A7">
        <w:rPr>
          <w:rFonts w:ascii="Arial" w:eastAsiaTheme="majorEastAsia" w:hAnsi="Arial" w:cs="Arial"/>
          <w:color w:val="000000"/>
        </w:rPr>
        <w:t>(4), 596-611.</w:t>
      </w:r>
      <w:r w:rsidR="0061683F" w:rsidRPr="00BE68C4">
        <w:rPr>
          <w:rFonts w:ascii="Arial" w:eastAsiaTheme="majorEastAsia" w:hAnsi="Arial" w:cs="Arial"/>
          <w:color w:val="000000"/>
        </w:rPr>
        <w:t xml:space="preserve"> </w:t>
      </w:r>
      <w:hyperlink r:id="rId48" w:history="1">
        <w:r w:rsidR="0061683F" w:rsidRPr="00BE68C4">
          <w:rPr>
            <w:rStyle w:val="Hyperlink"/>
            <w:rFonts w:ascii="Arial" w:eastAsiaTheme="majorEastAsia" w:hAnsi="Arial" w:cs="Arial"/>
          </w:rPr>
          <w:t>https://doi.org/10.1080/10888691.2023.2260745</w:t>
        </w:r>
      </w:hyperlink>
    </w:p>
    <w:p w14:paraId="614D1A29"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O'Neill, J., Cameron, C. E., Leone, L. A., &amp; </w:t>
      </w:r>
      <w:proofErr w:type="spellStart"/>
      <w:r w:rsidRPr="003359A7">
        <w:rPr>
          <w:rFonts w:ascii="Arial" w:eastAsiaTheme="majorEastAsia" w:hAnsi="Arial" w:cs="Arial"/>
          <w:color w:val="000000"/>
        </w:rPr>
        <w:t>Orom</w:t>
      </w:r>
      <w:proofErr w:type="spellEnd"/>
      <w:r w:rsidRPr="003359A7">
        <w:rPr>
          <w:rFonts w:ascii="Arial" w:eastAsiaTheme="majorEastAsia" w:hAnsi="Arial" w:cs="Arial"/>
          <w:color w:val="000000"/>
        </w:rPr>
        <w:t>, H. (2021). Financial scarcity is indirectly related to multiple aspects of executive function through stress and the strength of association depends on childhood poverty.</w:t>
      </w:r>
      <w:r w:rsidRPr="003359A7">
        <w:rPr>
          <w:rFonts w:ascii="Arial" w:eastAsiaTheme="majorEastAsia" w:hAnsi="Arial" w:cs="Arial"/>
          <w:i/>
          <w:iCs/>
          <w:color w:val="000000"/>
        </w:rPr>
        <w:t> Journal of Theoretical Social Psychology, 5</w:t>
      </w:r>
      <w:r w:rsidRPr="003359A7">
        <w:rPr>
          <w:rFonts w:ascii="Arial" w:eastAsiaTheme="majorEastAsia" w:hAnsi="Arial" w:cs="Arial"/>
          <w:color w:val="000000"/>
        </w:rPr>
        <w:t>(4), 464–477.</w:t>
      </w:r>
    </w:p>
    <w:p w14:paraId="65F179F3" w14:textId="7311E03D"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Ostermeier, E., Gilliland, J., Irwin, J. D., Seabrook, J. A., &amp; Tucker, P. (2024). Developing community-based physical activity interventions and recreational programming for children in rural and smaller urban centres: a qualitative exploration of service provider and parent experiences. </w:t>
      </w:r>
      <w:r w:rsidRPr="003359A7">
        <w:rPr>
          <w:rFonts w:ascii="Arial" w:eastAsiaTheme="majorEastAsia" w:hAnsi="Arial" w:cs="Arial"/>
          <w:i/>
          <w:iCs/>
          <w:color w:val="000000"/>
        </w:rPr>
        <w:t>BMC Health Services Research</w:t>
      </w:r>
      <w:r w:rsidRPr="003359A7">
        <w:rPr>
          <w:rFonts w:ascii="Arial" w:eastAsiaTheme="majorEastAsia" w:hAnsi="Arial" w:cs="Arial"/>
          <w:color w:val="000000"/>
        </w:rPr>
        <w:t>, </w:t>
      </w:r>
      <w:r w:rsidRPr="003359A7">
        <w:rPr>
          <w:rFonts w:ascii="Arial" w:eastAsiaTheme="majorEastAsia" w:hAnsi="Arial" w:cs="Arial"/>
          <w:i/>
          <w:iCs/>
          <w:color w:val="000000"/>
        </w:rPr>
        <w:t>24</w:t>
      </w:r>
      <w:r w:rsidRPr="003359A7">
        <w:rPr>
          <w:rFonts w:ascii="Arial" w:eastAsiaTheme="majorEastAsia" w:hAnsi="Arial" w:cs="Arial"/>
          <w:color w:val="000000"/>
        </w:rPr>
        <w:t>(1), 1017.</w:t>
      </w:r>
      <w:r w:rsidR="0017034E" w:rsidRPr="00BE68C4">
        <w:rPr>
          <w:rFonts w:ascii="Arial" w:eastAsiaTheme="majorEastAsia" w:hAnsi="Arial" w:cs="Arial"/>
          <w:color w:val="000000"/>
        </w:rPr>
        <w:t xml:space="preserve"> </w:t>
      </w:r>
      <w:hyperlink r:id="rId49" w:history="1">
        <w:r w:rsidR="0017034E" w:rsidRPr="00BE68C4">
          <w:rPr>
            <w:rStyle w:val="Hyperlink"/>
            <w:rFonts w:ascii="Arial" w:eastAsiaTheme="majorEastAsia" w:hAnsi="Arial" w:cs="Arial"/>
          </w:rPr>
          <w:t>https://doi.org/10.1186/s12913-024-11418-w</w:t>
        </w:r>
      </w:hyperlink>
    </w:p>
    <w:p w14:paraId="7BE03E0F"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Parolin, Z., Schmitt, R. P., Esping-Andersen, G., &amp; Fallesen, P. (2023). </w:t>
      </w:r>
      <w:r w:rsidRPr="003359A7">
        <w:rPr>
          <w:rFonts w:ascii="Arial" w:eastAsiaTheme="majorEastAsia" w:hAnsi="Arial" w:cs="Arial"/>
          <w:i/>
          <w:iCs/>
          <w:color w:val="000000"/>
        </w:rPr>
        <w:t>The intergenerational persistence of poverty in high-income countries</w:t>
      </w:r>
      <w:r w:rsidRPr="003359A7">
        <w:rPr>
          <w:rFonts w:ascii="Arial" w:eastAsiaTheme="majorEastAsia" w:hAnsi="Arial" w:cs="Arial"/>
          <w:color w:val="000000"/>
        </w:rPr>
        <w:t> (No. 16194). IZA Discussion Papers.</w:t>
      </w:r>
    </w:p>
    <w:p w14:paraId="64B9BD08" w14:textId="371EE268"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Perrin, J. M., Duncan, G., Diaz, A., &amp; Kelleher, K. (2020a). Principles And Policies To Strengthen Child And Adolescent Health And Well-Being: Study describes </w:t>
      </w:r>
      <w:r w:rsidRPr="003359A7">
        <w:rPr>
          <w:rFonts w:ascii="Arial" w:eastAsiaTheme="majorEastAsia" w:hAnsi="Arial" w:cs="Arial"/>
          <w:color w:val="000000"/>
        </w:rPr>
        <w:lastRenderedPageBreak/>
        <w:t>National Academies of Sciences, Engineering, and Medicine reports on poverty, mental, emotional, and behavioral health, adolescence, and young family health and education.</w:t>
      </w:r>
      <w:r w:rsidRPr="003359A7">
        <w:rPr>
          <w:rFonts w:ascii="Arial" w:eastAsiaTheme="majorEastAsia" w:hAnsi="Arial" w:cs="Arial"/>
          <w:i/>
          <w:iCs/>
          <w:color w:val="000000"/>
        </w:rPr>
        <w:t> Health Affairs, 39</w:t>
      </w:r>
      <w:r w:rsidRPr="003359A7">
        <w:rPr>
          <w:rFonts w:ascii="Arial" w:eastAsiaTheme="majorEastAsia" w:hAnsi="Arial" w:cs="Arial"/>
          <w:color w:val="000000"/>
        </w:rPr>
        <w:t>(10), 1677–1683.</w:t>
      </w:r>
      <w:r w:rsidR="00BF7765" w:rsidRPr="00BE68C4">
        <w:rPr>
          <w:rFonts w:ascii="Arial" w:eastAsiaTheme="majorEastAsia" w:hAnsi="Arial" w:cs="Arial"/>
          <w:color w:val="000000"/>
        </w:rPr>
        <w:t xml:space="preserve"> </w:t>
      </w:r>
      <w:hyperlink r:id="rId50" w:history="1">
        <w:r w:rsidR="00BF7765" w:rsidRPr="00BE68C4">
          <w:rPr>
            <w:rStyle w:val="Hyperlink"/>
            <w:rFonts w:ascii="Arial" w:eastAsiaTheme="majorEastAsia" w:hAnsi="Arial" w:cs="Arial"/>
          </w:rPr>
          <w:t>https://doi.org/10.1377/hlthaff.2020.00709</w:t>
        </w:r>
      </w:hyperlink>
    </w:p>
    <w:p w14:paraId="4495D836" w14:textId="35EA64EB"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Pfaltz</w:t>
      </w:r>
      <w:proofErr w:type="spellEnd"/>
      <w:r w:rsidRPr="003359A7">
        <w:rPr>
          <w:rFonts w:ascii="Arial" w:eastAsiaTheme="majorEastAsia" w:hAnsi="Arial" w:cs="Arial"/>
          <w:color w:val="000000"/>
        </w:rPr>
        <w:t>, M. C., &amp; Schnyder, U. (2023). Allostatic load and allostatic overload: preventive and clinical implications.</w:t>
      </w:r>
      <w:r w:rsidRPr="003359A7">
        <w:rPr>
          <w:rFonts w:ascii="Arial" w:eastAsiaTheme="majorEastAsia" w:hAnsi="Arial" w:cs="Arial"/>
          <w:i/>
          <w:iCs/>
          <w:color w:val="000000"/>
        </w:rPr>
        <w:t> Psychotherapy and Psychosomatics, 92</w:t>
      </w:r>
      <w:r w:rsidRPr="003359A7">
        <w:rPr>
          <w:rFonts w:ascii="Arial" w:eastAsiaTheme="majorEastAsia" w:hAnsi="Arial" w:cs="Arial"/>
          <w:color w:val="000000"/>
        </w:rPr>
        <w:t>(5), 279–282.</w:t>
      </w:r>
      <w:r w:rsidR="00BA4D10" w:rsidRPr="00BE68C4">
        <w:rPr>
          <w:rFonts w:ascii="Arial" w:eastAsiaTheme="majorEastAsia" w:hAnsi="Arial" w:cs="Arial"/>
          <w:color w:val="000000"/>
        </w:rPr>
        <w:t xml:space="preserve"> </w:t>
      </w:r>
      <w:hyperlink r:id="rId51" w:history="1">
        <w:r w:rsidR="00BA4D10" w:rsidRPr="00BE68C4">
          <w:rPr>
            <w:rStyle w:val="Hyperlink"/>
            <w:rFonts w:ascii="Arial" w:eastAsiaTheme="majorEastAsia" w:hAnsi="Arial" w:cs="Arial"/>
          </w:rPr>
          <w:t>https://doi.org/10.1159/000534340</w:t>
        </w:r>
      </w:hyperlink>
    </w:p>
    <w:p w14:paraId="43947692"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Piaget, J. (1952). </w:t>
      </w:r>
      <w:r w:rsidRPr="003359A7">
        <w:rPr>
          <w:rFonts w:ascii="Arial" w:eastAsiaTheme="majorEastAsia" w:hAnsi="Arial" w:cs="Arial"/>
          <w:i/>
          <w:iCs/>
          <w:color w:val="000000"/>
        </w:rPr>
        <w:t>The Origins of Intelligence in Children</w:t>
      </w:r>
      <w:r w:rsidRPr="003359A7">
        <w:rPr>
          <w:rFonts w:ascii="Arial" w:eastAsiaTheme="majorEastAsia" w:hAnsi="Arial" w:cs="Arial"/>
          <w:color w:val="000000"/>
        </w:rPr>
        <w:t>. New York: International Universities Press.</w:t>
      </w:r>
    </w:p>
    <w:p w14:paraId="3195888C" w14:textId="149D7932"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Radosavljevic, S., Haider, L. J., Lade, S. J., &amp; Schlüter, M. (2021). Implications of poverty traps across levels.</w:t>
      </w:r>
      <w:r w:rsidRPr="003359A7">
        <w:rPr>
          <w:rFonts w:ascii="Arial" w:eastAsiaTheme="majorEastAsia" w:hAnsi="Arial" w:cs="Arial"/>
          <w:i/>
          <w:iCs/>
          <w:color w:val="000000"/>
        </w:rPr>
        <w:t> World Development, 144</w:t>
      </w:r>
      <w:r w:rsidRPr="003359A7">
        <w:rPr>
          <w:rFonts w:ascii="Arial" w:eastAsiaTheme="majorEastAsia" w:hAnsi="Arial" w:cs="Arial"/>
          <w:color w:val="000000"/>
        </w:rPr>
        <w:t>, 105437.</w:t>
      </w:r>
      <w:r w:rsidR="00E32E99" w:rsidRPr="00BE68C4">
        <w:rPr>
          <w:rFonts w:ascii="Arial" w:eastAsiaTheme="majorEastAsia" w:hAnsi="Arial" w:cs="Arial"/>
          <w:color w:val="000000"/>
        </w:rPr>
        <w:t xml:space="preserve"> </w:t>
      </w:r>
      <w:hyperlink r:id="rId52" w:history="1">
        <w:r w:rsidR="00E32E99" w:rsidRPr="00BE68C4">
          <w:rPr>
            <w:rStyle w:val="Hyperlink"/>
            <w:rFonts w:ascii="Arial" w:eastAsiaTheme="majorEastAsia" w:hAnsi="Arial" w:cs="Arial"/>
          </w:rPr>
          <w:t>https://doi.org/10.1016/j.worlddev.2021.105437</w:t>
        </w:r>
      </w:hyperlink>
    </w:p>
    <w:p w14:paraId="50A41D9A"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Rahmadi</w:t>
      </w:r>
      <w:proofErr w:type="spellEnd"/>
      <w:r w:rsidRPr="003359A7">
        <w:rPr>
          <w:rFonts w:ascii="Arial" w:eastAsiaTheme="majorEastAsia" w:hAnsi="Arial" w:cs="Arial"/>
          <w:color w:val="000000"/>
        </w:rPr>
        <w:t xml:space="preserve">, G., &amp; </w:t>
      </w:r>
      <w:proofErr w:type="spellStart"/>
      <w:r w:rsidRPr="003359A7">
        <w:rPr>
          <w:rFonts w:ascii="Arial" w:eastAsiaTheme="majorEastAsia" w:hAnsi="Arial" w:cs="Arial"/>
          <w:color w:val="000000"/>
        </w:rPr>
        <w:t>Rozamuri</w:t>
      </w:r>
      <w:proofErr w:type="spellEnd"/>
      <w:r w:rsidRPr="003359A7">
        <w:rPr>
          <w:rFonts w:ascii="Arial" w:eastAsiaTheme="majorEastAsia" w:hAnsi="Arial" w:cs="Arial"/>
          <w:color w:val="000000"/>
        </w:rPr>
        <w:t>, A. M. (2024). From Grassroots to Growth: Strengthening Communities through Financial Support for SMEs.</w:t>
      </w:r>
      <w:r w:rsidRPr="003359A7">
        <w:rPr>
          <w:rFonts w:ascii="Arial" w:eastAsiaTheme="majorEastAsia" w:hAnsi="Arial" w:cs="Arial"/>
          <w:i/>
          <w:iCs/>
          <w:color w:val="000000"/>
        </w:rPr>
        <w:t> Golden Ratio of Community Services and Dedication, 4</w:t>
      </w:r>
      <w:r w:rsidRPr="003359A7">
        <w:rPr>
          <w:rFonts w:ascii="Arial" w:eastAsiaTheme="majorEastAsia" w:hAnsi="Arial" w:cs="Arial"/>
          <w:color w:val="000000"/>
        </w:rPr>
        <w:t>(1), 46–56.</w:t>
      </w:r>
    </w:p>
    <w:p w14:paraId="4310865F" w14:textId="731F1E92"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Rohmah</w:t>
      </w:r>
      <w:proofErr w:type="spellEnd"/>
      <w:r w:rsidRPr="003359A7">
        <w:rPr>
          <w:rFonts w:ascii="Arial" w:eastAsiaTheme="majorEastAsia" w:hAnsi="Arial" w:cs="Arial"/>
          <w:color w:val="000000"/>
        </w:rPr>
        <w:t xml:space="preserve">, L., &amp; </w:t>
      </w:r>
      <w:proofErr w:type="spellStart"/>
      <w:r w:rsidRPr="003359A7">
        <w:rPr>
          <w:rFonts w:ascii="Arial" w:eastAsiaTheme="majorEastAsia" w:hAnsi="Arial" w:cs="Arial"/>
          <w:color w:val="000000"/>
        </w:rPr>
        <w:t>Purwanta</w:t>
      </w:r>
      <w:proofErr w:type="spellEnd"/>
      <w:r w:rsidRPr="003359A7">
        <w:rPr>
          <w:rFonts w:ascii="Arial" w:eastAsiaTheme="majorEastAsia" w:hAnsi="Arial" w:cs="Arial"/>
          <w:color w:val="000000"/>
        </w:rPr>
        <w:t>, E. (2023). Why should children have secure attachments? Literature review of the importance of attachment in child development. Paper presented at the </w:t>
      </w:r>
      <w:r w:rsidRPr="003359A7">
        <w:rPr>
          <w:rFonts w:ascii="Arial" w:eastAsiaTheme="majorEastAsia" w:hAnsi="Arial" w:cs="Arial"/>
          <w:i/>
          <w:iCs/>
          <w:color w:val="000000"/>
        </w:rPr>
        <w:t>6th International Conference on Learning Innovation and Quality Education (ICLIQE 2022), </w:t>
      </w:r>
      <w:r w:rsidRPr="003359A7">
        <w:rPr>
          <w:rFonts w:ascii="Arial" w:eastAsiaTheme="majorEastAsia" w:hAnsi="Arial" w:cs="Arial"/>
          <w:color w:val="000000"/>
        </w:rPr>
        <w:t>44–55.</w:t>
      </w:r>
      <w:r w:rsidR="00B34458" w:rsidRPr="00BE68C4">
        <w:rPr>
          <w:rFonts w:ascii="Arial" w:eastAsiaTheme="majorEastAsia" w:hAnsi="Arial" w:cs="Arial"/>
          <w:color w:val="000000"/>
        </w:rPr>
        <w:t xml:space="preserve"> </w:t>
      </w:r>
      <w:hyperlink r:id="rId53" w:history="1">
        <w:r w:rsidR="00B34458" w:rsidRPr="00BE68C4">
          <w:rPr>
            <w:rStyle w:val="Hyperlink"/>
            <w:rFonts w:ascii="Arial" w:eastAsiaTheme="majorEastAsia" w:hAnsi="Arial" w:cs="Arial"/>
          </w:rPr>
          <w:t>https://doi.org/10.2991/978-2-38476-114-2_5</w:t>
        </w:r>
      </w:hyperlink>
    </w:p>
    <w:p w14:paraId="6BFFB3CA" w14:textId="20B09700"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Rojas, M., Méndez, A., &amp; Watkins-Fassler, K. (2023). The hierarchy of needs empirical examination of Maslow’s theory and lessons for development.</w:t>
      </w:r>
      <w:r w:rsidRPr="003359A7">
        <w:rPr>
          <w:rFonts w:ascii="Arial" w:eastAsiaTheme="majorEastAsia" w:hAnsi="Arial" w:cs="Arial"/>
          <w:i/>
          <w:iCs/>
          <w:color w:val="000000"/>
        </w:rPr>
        <w:t> World Development, 165</w:t>
      </w:r>
      <w:r w:rsidRPr="003359A7">
        <w:rPr>
          <w:rFonts w:ascii="Arial" w:eastAsiaTheme="majorEastAsia" w:hAnsi="Arial" w:cs="Arial"/>
          <w:color w:val="000000"/>
        </w:rPr>
        <w:t>, 106185.</w:t>
      </w:r>
      <w:r w:rsidR="006F40DF" w:rsidRPr="00BE68C4">
        <w:rPr>
          <w:rFonts w:ascii="Arial" w:eastAsiaTheme="majorEastAsia" w:hAnsi="Arial" w:cs="Arial"/>
          <w:color w:val="000000"/>
        </w:rPr>
        <w:t xml:space="preserve"> </w:t>
      </w:r>
      <w:hyperlink r:id="rId54" w:history="1">
        <w:r w:rsidR="006F40DF" w:rsidRPr="00BE68C4">
          <w:rPr>
            <w:rStyle w:val="Hyperlink"/>
            <w:rFonts w:ascii="Arial" w:eastAsiaTheme="majorEastAsia" w:hAnsi="Arial" w:cs="Arial"/>
          </w:rPr>
          <w:t>https://doi.org/10.1016/j.worlddev.2023.106185</w:t>
        </w:r>
      </w:hyperlink>
    </w:p>
    <w:p w14:paraId="4BA13EF3"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Rowntree, B. S. (1901). Poverty: A Study of Town Life.</w:t>
      </w:r>
    </w:p>
    <w:p w14:paraId="03F8BFC8"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t>Saitadze</w:t>
      </w:r>
      <w:proofErr w:type="spellEnd"/>
      <w:r w:rsidRPr="003359A7">
        <w:rPr>
          <w:rFonts w:ascii="Arial" w:eastAsiaTheme="majorEastAsia" w:hAnsi="Arial" w:cs="Arial"/>
          <w:color w:val="000000"/>
        </w:rPr>
        <w:t xml:space="preserve">, I., &amp; </w:t>
      </w:r>
      <w:proofErr w:type="spellStart"/>
      <w:r w:rsidRPr="003359A7">
        <w:rPr>
          <w:rFonts w:ascii="Arial" w:eastAsiaTheme="majorEastAsia" w:hAnsi="Arial" w:cs="Arial"/>
          <w:color w:val="000000"/>
        </w:rPr>
        <w:t>Lalayants</w:t>
      </w:r>
      <w:proofErr w:type="spellEnd"/>
      <w:r w:rsidRPr="003359A7">
        <w:rPr>
          <w:rFonts w:ascii="Arial" w:eastAsiaTheme="majorEastAsia" w:hAnsi="Arial" w:cs="Arial"/>
          <w:color w:val="000000"/>
        </w:rPr>
        <w:t>, M. (2021). Mechanisms that mitigate the effects of child poverty and improve children's cognitive and social–emotional development: a systematic review. </w:t>
      </w:r>
      <w:r w:rsidRPr="003359A7">
        <w:rPr>
          <w:rFonts w:ascii="Arial" w:eastAsiaTheme="majorEastAsia" w:hAnsi="Arial" w:cs="Arial"/>
          <w:i/>
          <w:iCs/>
          <w:color w:val="000000"/>
        </w:rPr>
        <w:t>Child &amp; Family Social Work</w:t>
      </w:r>
      <w:r w:rsidRPr="003359A7">
        <w:rPr>
          <w:rFonts w:ascii="Arial" w:eastAsiaTheme="majorEastAsia" w:hAnsi="Arial" w:cs="Arial"/>
          <w:color w:val="000000"/>
        </w:rPr>
        <w:t>, </w:t>
      </w:r>
      <w:r w:rsidRPr="003359A7">
        <w:rPr>
          <w:rFonts w:ascii="Arial" w:eastAsiaTheme="majorEastAsia" w:hAnsi="Arial" w:cs="Arial"/>
          <w:i/>
          <w:iCs/>
          <w:color w:val="000000"/>
        </w:rPr>
        <w:t>26</w:t>
      </w:r>
      <w:r w:rsidRPr="003359A7">
        <w:rPr>
          <w:rFonts w:ascii="Arial" w:eastAsiaTheme="majorEastAsia" w:hAnsi="Arial" w:cs="Arial"/>
          <w:color w:val="000000"/>
        </w:rPr>
        <w:t>(3), 289-308.</w:t>
      </w:r>
    </w:p>
    <w:p w14:paraId="78E2046A"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Samiyeva, G. T. (2022). Concepts of Poverty, Inequality and Social Exclusion.</w:t>
      </w:r>
      <w:r w:rsidRPr="003359A7">
        <w:rPr>
          <w:rFonts w:ascii="Arial" w:eastAsiaTheme="majorEastAsia" w:hAnsi="Arial" w:cs="Arial"/>
          <w:i/>
          <w:iCs/>
          <w:color w:val="000000"/>
        </w:rPr>
        <w:t> International Journal on Economics, Finance and Sustainable Development, 4</w:t>
      </w:r>
      <w:r w:rsidRPr="003359A7">
        <w:rPr>
          <w:rFonts w:ascii="Arial" w:eastAsiaTheme="majorEastAsia" w:hAnsi="Arial" w:cs="Arial"/>
          <w:color w:val="000000"/>
        </w:rPr>
        <w:t>(3), 122–126.</w:t>
      </w:r>
    </w:p>
    <w:p w14:paraId="11D04F85" w14:textId="1128BDD4"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Şengönül, T. (2021). The adverse role of poverty in the socialization processes in the family and in the cognitive development of children and school performance.</w:t>
      </w:r>
      <w:r w:rsidRPr="003359A7">
        <w:rPr>
          <w:rFonts w:ascii="Arial" w:eastAsiaTheme="majorEastAsia" w:hAnsi="Arial" w:cs="Arial"/>
          <w:i/>
          <w:iCs/>
          <w:color w:val="000000"/>
        </w:rPr>
        <w:t> </w:t>
      </w:r>
      <w:proofErr w:type="spellStart"/>
      <w:r w:rsidRPr="003359A7">
        <w:rPr>
          <w:rFonts w:ascii="Arial" w:eastAsiaTheme="majorEastAsia" w:hAnsi="Arial" w:cs="Arial"/>
          <w:i/>
          <w:iCs/>
          <w:color w:val="000000"/>
        </w:rPr>
        <w:t>Pegem</w:t>
      </w:r>
      <w:proofErr w:type="spellEnd"/>
      <w:r w:rsidRPr="003359A7">
        <w:rPr>
          <w:rFonts w:ascii="Arial" w:eastAsiaTheme="majorEastAsia" w:hAnsi="Arial" w:cs="Arial"/>
          <w:i/>
          <w:iCs/>
          <w:color w:val="000000"/>
        </w:rPr>
        <w:t xml:space="preserve"> Journal of Education and Instruction, 11</w:t>
      </w:r>
      <w:r w:rsidRPr="003359A7">
        <w:rPr>
          <w:rFonts w:ascii="Arial" w:eastAsiaTheme="majorEastAsia" w:hAnsi="Arial" w:cs="Arial"/>
          <w:color w:val="000000"/>
        </w:rPr>
        <w:t>(2), 1–13.</w:t>
      </w:r>
      <w:r w:rsidR="00217349" w:rsidRPr="00BE68C4">
        <w:rPr>
          <w:rFonts w:ascii="Arial" w:eastAsiaTheme="majorEastAsia" w:hAnsi="Arial" w:cs="Arial"/>
          <w:color w:val="000000"/>
        </w:rPr>
        <w:t xml:space="preserve"> </w:t>
      </w:r>
      <w:hyperlink r:id="rId55" w:history="1">
        <w:r w:rsidR="00217349" w:rsidRPr="00BE68C4">
          <w:rPr>
            <w:rStyle w:val="Hyperlink"/>
            <w:rFonts w:ascii="Arial" w:eastAsiaTheme="majorEastAsia" w:hAnsi="Arial" w:cs="Arial"/>
          </w:rPr>
          <w:t>https://doi.org/10.14527/pegegog.2021.01</w:t>
        </w:r>
      </w:hyperlink>
    </w:p>
    <w:p w14:paraId="7F876247"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Sewester, G. L. (2024). </w:t>
      </w:r>
      <w:r w:rsidRPr="003359A7">
        <w:rPr>
          <w:rFonts w:ascii="Arial" w:eastAsiaTheme="majorEastAsia" w:hAnsi="Arial" w:cs="Arial"/>
          <w:i/>
          <w:iCs/>
          <w:color w:val="000000"/>
        </w:rPr>
        <w:t>Exploring Strategies for Placement Stability Among Foster Care Children</w:t>
      </w:r>
      <w:r w:rsidRPr="003359A7">
        <w:rPr>
          <w:rFonts w:ascii="Arial" w:eastAsiaTheme="majorEastAsia" w:hAnsi="Arial" w:cs="Arial"/>
          <w:color w:val="000000"/>
        </w:rPr>
        <w:t> (Doctoral dissertation, University of Missouri-Saint Louis).</w:t>
      </w:r>
    </w:p>
    <w:p w14:paraId="07D22A25"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Shaw, C. (2024). </w:t>
      </w:r>
      <w:r w:rsidRPr="003359A7">
        <w:rPr>
          <w:rFonts w:ascii="Arial" w:eastAsiaTheme="majorEastAsia" w:hAnsi="Arial" w:cs="Arial"/>
          <w:i/>
          <w:iCs/>
          <w:color w:val="000000"/>
        </w:rPr>
        <w:t>Advancing Inclusive Paediatric Mobility Design; A Child-Centred Investigation of Voice and Narratives</w:t>
      </w:r>
      <w:r w:rsidRPr="003359A7">
        <w:rPr>
          <w:rFonts w:ascii="Arial" w:eastAsiaTheme="majorEastAsia" w:hAnsi="Arial" w:cs="Arial"/>
          <w:color w:val="000000"/>
        </w:rPr>
        <w:t> (Doctoral dissertation, University of Liverpool).</w:t>
      </w:r>
    </w:p>
    <w:p w14:paraId="24A773BB" w14:textId="1684D3D1"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Smith, M. V., &amp; Mazure, C. M. (2021). Mental health and wealth: depression, gender, poverty, and parenting.</w:t>
      </w:r>
      <w:r w:rsidRPr="003359A7">
        <w:rPr>
          <w:rFonts w:ascii="Arial" w:eastAsiaTheme="majorEastAsia" w:hAnsi="Arial" w:cs="Arial"/>
          <w:i/>
          <w:iCs/>
          <w:color w:val="000000"/>
        </w:rPr>
        <w:t> Annual Review of Clinical Psychology, 17</w:t>
      </w:r>
      <w:r w:rsidRPr="003359A7">
        <w:rPr>
          <w:rFonts w:ascii="Arial" w:eastAsiaTheme="majorEastAsia" w:hAnsi="Arial" w:cs="Arial"/>
          <w:color w:val="000000"/>
        </w:rPr>
        <w:t>(1), 181–205.</w:t>
      </w:r>
      <w:r w:rsidR="009049BA" w:rsidRPr="00BE68C4">
        <w:rPr>
          <w:rFonts w:ascii="Arial" w:eastAsiaTheme="majorEastAsia" w:hAnsi="Arial" w:cs="Arial"/>
          <w:color w:val="000000"/>
        </w:rPr>
        <w:t xml:space="preserve"> </w:t>
      </w:r>
      <w:hyperlink r:id="rId56" w:history="1">
        <w:r w:rsidR="009049BA" w:rsidRPr="00BE68C4">
          <w:rPr>
            <w:rStyle w:val="Hyperlink"/>
            <w:rFonts w:ascii="Arial" w:eastAsiaTheme="majorEastAsia" w:hAnsi="Arial" w:cs="Arial"/>
          </w:rPr>
          <w:t>https://doi.org/10.1146/annurev-clinpsy-071219-022710</w:t>
        </w:r>
      </w:hyperlink>
    </w:p>
    <w:p w14:paraId="470F9FCE"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 xml:space="preserve">Social Metrics Commission. (2023). </w:t>
      </w:r>
      <w:r w:rsidRPr="003359A7">
        <w:rPr>
          <w:rFonts w:ascii="Arial" w:eastAsiaTheme="majorEastAsia" w:hAnsi="Arial" w:cs="Arial"/>
          <w:i/>
          <w:iCs/>
          <w:color w:val="000000"/>
        </w:rPr>
        <w:t>Measuring poverty 2023: A report of the Social Metrics Commission</w:t>
      </w:r>
      <w:r w:rsidRPr="003359A7">
        <w:rPr>
          <w:rFonts w:ascii="Arial" w:eastAsiaTheme="majorEastAsia" w:hAnsi="Arial" w:cs="Arial"/>
          <w:color w:val="000000"/>
        </w:rPr>
        <w:t xml:space="preserve">. (P. Stroud, Chair). Centre for Social Policy Studies. </w:t>
      </w:r>
      <w:hyperlink r:id="rId57">
        <w:r w:rsidRPr="003359A7">
          <w:rPr>
            <w:rStyle w:val="Hyperlink"/>
            <w:rFonts w:ascii="Arial" w:eastAsiaTheme="majorEastAsia" w:hAnsi="Arial" w:cs="Arial"/>
          </w:rPr>
          <w:t>https://socialmetricscommission.org.uk/wp-content/uploads/2023/12/SMC-2023-Report-Web-Hi-Res.pdf</w:t>
        </w:r>
      </w:hyperlink>
    </w:p>
    <w:p w14:paraId="3D7277A1" w14:textId="61343A49"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Spear, S., &amp; Kirkman, P. (2024). Effectiveness of educational interventions: An ecological systems analysis of initiatives from the UK opportunity areas programme. </w:t>
      </w:r>
      <w:r w:rsidRPr="003359A7">
        <w:rPr>
          <w:rFonts w:ascii="Arial" w:eastAsiaTheme="majorEastAsia" w:hAnsi="Arial" w:cs="Arial"/>
          <w:i/>
          <w:iCs/>
          <w:color w:val="000000"/>
        </w:rPr>
        <w:t>British Educational Research Journal</w:t>
      </w:r>
      <w:r w:rsidRPr="003359A7">
        <w:rPr>
          <w:rFonts w:ascii="Arial" w:eastAsiaTheme="majorEastAsia" w:hAnsi="Arial" w:cs="Arial"/>
          <w:color w:val="000000"/>
        </w:rPr>
        <w:t>.</w:t>
      </w:r>
      <w:r w:rsidR="007E2A02" w:rsidRPr="00BE68C4">
        <w:rPr>
          <w:rFonts w:ascii="Arial" w:eastAsiaTheme="majorEastAsia" w:hAnsi="Arial" w:cs="Arial"/>
          <w:color w:val="000000"/>
        </w:rPr>
        <w:t xml:space="preserve"> </w:t>
      </w:r>
      <w:hyperlink r:id="rId58" w:history="1">
        <w:r w:rsidR="007E2A02" w:rsidRPr="00BE68C4">
          <w:rPr>
            <w:rStyle w:val="Hyperlink"/>
            <w:rFonts w:ascii="Arial" w:eastAsiaTheme="majorEastAsia" w:hAnsi="Arial" w:cs="Arial"/>
          </w:rPr>
          <w:t>https://doi.org/10.1002/berj.4038</w:t>
        </w:r>
      </w:hyperlink>
    </w:p>
    <w:p w14:paraId="6B643480" w14:textId="21BFEA00"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Spencer, T. (2024). Exploring the Governmental Intervention, Journalistic Approach, and Theories Involved in Reducing Poverty Journalistic for a Special Project – Feature Story on Non-Profit Organization Called Circles in Northwest Arkansas (Order No. 31242945). Available from ProQuest Dissertations &amp; Theses Global. (3065251355). </w:t>
      </w:r>
      <w:hyperlink r:id="rId59">
        <w:r w:rsidRPr="003359A7">
          <w:rPr>
            <w:rStyle w:val="Hyperlink"/>
            <w:rFonts w:ascii="Arial" w:eastAsiaTheme="majorEastAsia" w:hAnsi="Arial" w:cs="Arial"/>
          </w:rPr>
          <w:t>https://www.proquest.com/dissertations-theses/exploring-governmental-intervention-journalistic/docview/3065251355/se-2</w:t>
        </w:r>
      </w:hyperlink>
    </w:p>
    <w:p w14:paraId="7E3F0A9B" w14:textId="62CF0D13"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Speranza, L., Filiz, K. D., Lippiello, P., Ferraro, M. G., Pascarella, S., Miniaci, M. C., &amp; Volpicelli, F. (2024). Enduring neurobiological consequences of early-life stress: Insights from rodent behavioral paradigms. </w:t>
      </w:r>
      <w:r w:rsidRPr="003359A7">
        <w:rPr>
          <w:rFonts w:ascii="Arial" w:eastAsiaTheme="majorEastAsia" w:hAnsi="Arial" w:cs="Arial"/>
          <w:i/>
          <w:iCs/>
          <w:color w:val="000000"/>
        </w:rPr>
        <w:t>Biomedicines</w:t>
      </w:r>
      <w:r w:rsidRPr="003359A7">
        <w:rPr>
          <w:rFonts w:ascii="Arial" w:eastAsiaTheme="majorEastAsia" w:hAnsi="Arial" w:cs="Arial"/>
          <w:color w:val="000000"/>
        </w:rPr>
        <w:t>, </w:t>
      </w:r>
      <w:r w:rsidRPr="003359A7">
        <w:rPr>
          <w:rFonts w:ascii="Arial" w:eastAsiaTheme="majorEastAsia" w:hAnsi="Arial" w:cs="Arial"/>
          <w:i/>
          <w:iCs/>
          <w:color w:val="000000"/>
        </w:rPr>
        <w:t>12</w:t>
      </w:r>
      <w:r w:rsidRPr="003359A7">
        <w:rPr>
          <w:rFonts w:ascii="Arial" w:eastAsiaTheme="majorEastAsia" w:hAnsi="Arial" w:cs="Arial"/>
          <w:color w:val="000000"/>
        </w:rPr>
        <w:t>(9), 1978.</w:t>
      </w:r>
      <w:r w:rsidR="00C5591D" w:rsidRPr="00BE68C4">
        <w:rPr>
          <w:rFonts w:ascii="Arial" w:eastAsiaTheme="majorEastAsia" w:hAnsi="Arial" w:cs="Arial"/>
          <w:color w:val="000000"/>
        </w:rPr>
        <w:t xml:space="preserve"> </w:t>
      </w:r>
      <w:hyperlink r:id="rId60" w:history="1">
        <w:r w:rsidR="00C5591D" w:rsidRPr="00BE68C4">
          <w:rPr>
            <w:rStyle w:val="Hyperlink"/>
            <w:rFonts w:ascii="Arial" w:eastAsiaTheme="majorEastAsia" w:hAnsi="Arial" w:cs="Arial"/>
          </w:rPr>
          <w:t>https://doi.org/10.3390/biomedicines12091978</w:t>
        </w:r>
      </w:hyperlink>
    </w:p>
    <w:p w14:paraId="5386E31B"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Sylva, K., &amp; Eisenstadt, N. (2024). Transforming early childhood: narrowing the gap between children from lower-and higher-income families.</w:t>
      </w:r>
    </w:p>
    <w:p w14:paraId="78C353F4"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Tamblyn, A., Sun, Y., May, T., Evangelou, M., Godsman, N., Blewitt, C., &amp; </w:t>
      </w:r>
      <w:proofErr w:type="spellStart"/>
      <w:r w:rsidRPr="003359A7">
        <w:rPr>
          <w:rFonts w:ascii="Arial" w:eastAsiaTheme="majorEastAsia" w:hAnsi="Arial" w:cs="Arial"/>
          <w:color w:val="000000"/>
        </w:rPr>
        <w:t>Skouteris</w:t>
      </w:r>
      <w:proofErr w:type="spellEnd"/>
      <w:r w:rsidRPr="003359A7">
        <w:rPr>
          <w:rFonts w:ascii="Arial" w:eastAsiaTheme="majorEastAsia" w:hAnsi="Arial" w:cs="Arial"/>
          <w:color w:val="000000"/>
        </w:rPr>
        <w:t xml:space="preserve">, H. (2023). How do physical or sensory early childhood education and care </w:t>
      </w:r>
      <w:r w:rsidRPr="003359A7">
        <w:rPr>
          <w:rFonts w:ascii="Arial" w:eastAsiaTheme="majorEastAsia" w:hAnsi="Arial" w:cs="Arial"/>
          <w:color w:val="000000"/>
        </w:rPr>
        <w:lastRenderedPageBreak/>
        <w:t>environment factors affect children's social and emotional development? A systematic scoping review.</w:t>
      </w:r>
      <w:r w:rsidRPr="003359A7">
        <w:rPr>
          <w:rFonts w:ascii="Arial" w:eastAsiaTheme="majorEastAsia" w:hAnsi="Arial" w:cs="Arial"/>
          <w:i/>
          <w:iCs/>
          <w:color w:val="000000"/>
        </w:rPr>
        <w:t> Educational Research Review, </w:t>
      </w:r>
      <w:r w:rsidRPr="003359A7">
        <w:rPr>
          <w:rFonts w:ascii="Arial" w:eastAsiaTheme="majorEastAsia" w:hAnsi="Arial" w:cs="Arial"/>
          <w:color w:val="000000"/>
        </w:rPr>
        <w:t>, 100555.</w:t>
      </w:r>
    </w:p>
    <w:p w14:paraId="7878ACFA" w14:textId="5C176483"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Taylor, B. (2022). Pupil Premium for Looked After Children: its allocation, use and impact on educational outcomes for children aged 5-12 (Doctoral dissertation, University of East London).</w:t>
      </w:r>
      <w:r w:rsidR="00B42F1F" w:rsidRPr="00BE68C4">
        <w:rPr>
          <w:rFonts w:ascii="Arial" w:eastAsiaTheme="majorEastAsia" w:hAnsi="Arial" w:cs="Arial"/>
          <w:color w:val="000000"/>
        </w:rPr>
        <w:t xml:space="preserve"> </w:t>
      </w:r>
      <w:hyperlink r:id="rId61" w:history="1">
        <w:r w:rsidR="00B42F1F" w:rsidRPr="00BE68C4">
          <w:rPr>
            <w:rStyle w:val="Hyperlink"/>
            <w:rFonts w:ascii="Arial" w:eastAsiaTheme="majorEastAsia" w:hAnsi="Arial" w:cs="Arial"/>
          </w:rPr>
          <w:t>https://doi.org/10.15123/uel.8q6qz</w:t>
        </w:r>
      </w:hyperlink>
    </w:p>
    <w:p w14:paraId="4890DE0B" w14:textId="2A6E85B1"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Theis, D. R., &amp; White, M. (2021). Is obesity policy in England fit for purpose? Analysis of government strategies and policies, 1992–2020. The Milbank Quarterly, 99(1), 126-170.</w:t>
      </w:r>
      <w:r w:rsidR="00661F27" w:rsidRPr="00BE68C4">
        <w:rPr>
          <w:rFonts w:ascii="Arial" w:eastAsiaTheme="majorEastAsia" w:hAnsi="Arial" w:cs="Arial"/>
          <w:color w:val="000000"/>
        </w:rPr>
        <w:t xml:space="preserve"> </w:t>
      </w:r>
      <w:hyperlink r:id="rId62" w:history="1">
        <w:r w:rsidR="00661F27" w:rsidRPr="00BE68C4">
          <w:rPr>
            <w:rStyle w:val="Hyperlink"/>
            <w:rFonts w:ascii="Arial" w:eastAsiaTheme="majorEastAsia" w:hAnsi="Arial" w:cs="Arial"/>
          </w:rPr>
          <w:t>https://doi.org/10.1111/1468-0009.12498</w:t>
        </w:r>
      </w:hyperlink>
    </w:p>
    <w:p w14:paraId="78A32322" w14:textId="3372C3C4"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Tong, P., &amp; An, I. S. (2024). Review of studies applying Bronfenbrenner's bioecological theory in international and intercultural education research. </w:t>
      </w:r>
      <w:r w:rsidRPr="003359A7">
        <w:rPr>
          <w:rFonts w:ascii="Arial" w:eastAsiaTheme="majorEastAsia" w:hAnsi="Arial" w:cs="Arial"/>
          <w:i/>
          <w:iCs/>
          <w:color w:val="000000"/>
        </w:rPr>
        <w:t>Frontiers in Psychology</w:t>
      </w:r>
      <w:r w:rsidRPr="003359A7">
        <w:rPr>
          <w:rFonts w:ascii="Arial" w:eastAsiaTheme="majorEastAsia" w:hAnsi="Arial" w:cs="Arial"/>
          <w:color w:val="000000"/>
        </w:rPr>
        <w:t>, </w:t>
      </w:r>
      <w:r w:rsidRPr="003359A7">
        <w:rPr>
          <w:rFonts w:ascii="Arial" w:eastAsiaTheme="majorEastAsia" w:hAnsi="Arial" w:cs="Arial"/>
          <w:i/>
          <w:iCs/>
          <w:color w:val="000000"/>
        </w:rPr>
        <w:t>14</w:t>
      </w:r>
      <w:r w:rsidRPr="003359A7">
        <w:rPr>
          <w:rFonts w:ascii="Arial" w:eastAsiaTheme="majorEastAsia" w:hAnsi="Arial" w:cs="Arial"/>
          <w:color w:val="000000"/>
        </w:rPr>
        <w:t>, 1233925.</w:t>
      </w:r>
      <w:r w:rsidR="00661F27" w:rsidRPr="00BE68C4">
        <w:rPr>
          <w:rFonts w:ascii="Arial" w:eastAsiaTheme="majorEastAsia" w:hAnsi="Arial" w:cs="Arial"/>
          <w:color w:val="000000"/>
        </w:rPr>
        <w:t xml:space="preserve"> </w:t>
      </w:r>
      <w:hyperlink r:id="rId63" w:history="1">
        <w:r w:rsidR="00661F27" w:rsidRPr="00BE68C4">
          <w:rPr>
            <w:rStyle w:val="Hyperlink"/>
            <w:rFonts w:ascii="Arial" w:eastAsiaTheme="majorEastAsia" w:hAnsi="Arial" w:cs="Arial"/>
          </w:rPr>
          <w:t>https://doi.org/10.3389/fpsyg.2023.1233925</w:t>
        </w:r>
      </w:hyperlink>
    </w:p>
    <w:p w14:paraId="2587D912"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Townsend, P. (1979). </w:t>
      </w:r>
      <w:r w:rsidRPr="003359A7">
        <w:rPr>
          <w:rFonts w:ascii="Arial" w:eastAsiaTheme="majorEastAsia" w:hAnsi="Arial" w:cs="Arial"/>
          <w:i/>
          <w:iCs/>
          <w:color w:val="000000"/>
        </w:rPr>
        <w:t>Poverty in the United Kingdom: a survey of household resources and standards of living</w:t>
      </w:r>
      <w:r w:rsidRPr="003359A7">
        <w:rPr>
          <w:rFonts w:ascii="Arial" w:eastAsiaTheme="majorEastAsia" w:hAnsi="Arial" w:cs="Arial"/>
          <w:color w:val="000000"/>
        </w:rPr>
        <w:t xml:space="preserve">. </w:t>
      </w:r>
      <w:proofErr w:type="spellStart"/>
      <w:r w:rsidRPr="003359A7">
        <w:rPr>
          <w:rFonts w:ascii="Arial" w:eastAsiaTheme="majorEastAsia" w:hAnsi="Arial" w:cs="Arial"/>
          <w:color w:val="000000"/>
        </w:rPr>
        <w:t>Univ</w:t>
      </w:r>
      <w:proofErr w:type="spellEnd"/>
      <w:r w:rsidRPr="003359A7">
        <w:rPr>
          <w:rFonts w:ascii="Arial" w:eastAsiaTheme="majorEastAsia" w:hAnsi="Arial" w:cs="Arial"/>
          <w:color w:val="000000"/>
        </w:rPr>
        <w:t xml:space="preserve"> of California Press.</w:t>
      </w:r>
    </w:p>
    <w:p w14:paraId="679F5BFB"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Troller-Renfree, S. V., Costanzo, M. A., Duncan, G. J., Magnuson, K., </w:t>
      </w:r>
      <w:proofErr w:type="spellStart"/>
      <w:r w:rsidRPr="003359A7">
        <w:rPr>
          <w:rFonts w:ascii="Arial" w:eastAsiaTheme="majorEastAsia" w:hAnsi="Arial" w:cs="Arial"/>
          <w:color w:val="000000"/>
        </w:rPr>
        <w:t>Gennetian</w:t>
      </w:r>
      <w:proofErr w:type="spellEnd"/>
      <w:r w:rsidRPr="003359A7">
        <w:rPr>
          <w:rFonts w:ascii="Arial" w:eastAsiaTheme="majorEastAsia" w:hAnsi="Arial" w:cs="Arial"/>
          <w:color w:val="000000"/>
        </w:rPr>
        <w:t>, L. A., Yoshikawa, H., Halpern-Meekin, S., Fox, N. A., &amp; Noble, K. G. (2022). The impact of a poverty reduction intervention on infant brain activity.</w:t>
      </w:r>
      <w:r w:rsidRPr="003359A7">
        <w:rPr>
          <w:rFonts w:ascii="Arial" w:eastAsiaTheme="majorEastAsia" w:hAnsi="Arial" w:cs="Arial"/>
          <w:i/>
          <w:iCs/>
          <w:color w:val="000000"/>
        </w:rPr>
        <w:t> Proceedings of the National Academy of Sciences, 119</w:t>
      </w:r>
      <w:r w:rsidRPr="003359A7">
        <w:rPr>
          <w:rFonts w:ascii="Arial" w:eastAsiaTheme="majorEastAsia" w:hAnsi="Arial" w:cs="Arial"/>
          <w:color w:val="000000"/>
        </w:rPr>
        <w:t>(5), e2115649119.</w:t>
      </w:r>
    </w:p>
    <w:p w14:paraId="6798A138"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UK, G. (2023, January). PM speech on building a better future: 4 January 2023.</w:t>
      </w:r>
    </w:p>
    <w:p w14:paraId="656DD6E7"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hyperlink r:id="rId64">
        <w:r w:rsidRPr="003359A7">
          <w:rPr>
            <w:rStyle w:val="Hyperlink"/>
            <w:rFonts w:ascii="Arial" w:eastAsiaTheme="majorEastAsia" w:hAnsi="Arial" w:cs="Arial"/>
          </w:rPr>
          <w:t>https://static.poder360.com.br/2023/01/Sunak-discurso.pdf</w:t>
        </w:r>
      </w:hyperlink>
    </w:p>
    <w:p w14:paraId="41DA5BE5"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proofErr w:type="spellStart"/>
      <w:r w:rsidRPr="003359A7">
        <w:rPr>
          <w:rFonts w:ascii="Arial" w:eastAsiaTheme="majorEastAsia" w:hAnsi="Arial" w:cs="Arial"/>
          <w:color w:val="000000"/>
        </w:rPr>
        <w:lastRenderedPageBreak/>
        <w:t>Unicef</w:t>
      </w:r>
      <w:proofErr w:type="spellEnd"/>
      <w:r w:rsidRPr="003359A7">
        <w:rPr>
          <w:rFonts w:ascii="Arial" w:eastAsiaTheme="majorEastAsia" w:hAnsi="Arial" w:cs="Arial"/>
          <w:color w:val="000000"/>
        </w:rPr>
        <w:t>. (2021). </w:t>
      </w:r>
      <w:r w:rsidRPr="003359A7">
        <w:rPr>
          <w:rFonts w:ascii="Arial" w:eastAsiaTheme="majorEastAsia" w:hAnsi="Arial" w:cs="Arial"/>
          <w:i/>
          <w:iCs/>
          <w:color w:val="000000"/>
        </w:rPr>
        <w:t>The state of the global education crisis: a path to recovery: a joint UNESCO, UNICEF and WORLD BANK report</w:t>
      </w:r>
      <w:r w:rsidRPr="003359A7">
        <w:rPr>
          <w:rFonts w:ascii="Arial" w:eastAsiaTheme="majorEastAsia" w:hAnsi="Arial" w:cs="Arial"/>
          <w:color w:val="000000"/>
        </w:rPr>
        <w:t>. Paris: UNESCO, cop. 2021.</w:t>
      </w:r>
    </w:p>
    <w:p w14:paraId="71044352" w14:textId="634D0EBA"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Upadhyaya, S., Blocker, C. P., Houston, H. R., &amp; Sims, M. R. (2021). Evolving two-generation services to disrupt the intergenerational effects of poverty and promote family well-being. </w:t>
      </w:r>
      <w:r w:rsidRPr="003359A7">
        <w:rPr>
          <w:rFonts w:ascii="Arial" w:eastAsiaTheme="majorEastAsia" w:hAnsi="Arial" w:cs="Arial"/>
          <w:i/>
          <w:iCs/>
          <w:color w:val="000000"/>
        </w:rPr>
        <w:t>Journal of Business Research</w:t>
      </w:r>
      <w:r w:rsidRPr="003359A7">
        <w:rPr>
          <w:rFonts w:ascii="Arial" w:eastAsiaTheme="majorEastAsia" w:hAnsi="Arial" w:cs="Arial"/>
          <w:color w:val="000000"/>
        </w:rPr>
        <w:t>, </w:t>
      </w:r>
      <w:r w:rsidRPr="003359A7">
        <w:rPr>
          <w:rFonts w:ascii="Arial" w:eastAsiaTheme="majorEastAsia" w:hAnsi="Arial" w:cs="Arial"/>
          <w:i/>
          <w:iCs/>
          <w:color w:val="000000"/>
        </w:rPr>
        <w:t>125</w:t>
      </w:r>
      <w:r w:rsidRPr="003359A7">
        <w:rPr>
          <w:rFonts w:ascii="Arial" w:eastAsiaTheme="majorEastAsia" w:hAnsi="Arial" w:cs="Arial"/>
          <w:color w:val="000000"/>
        </w:rPr>
        <w:t>, 324-335.</w:t>
      </w:r>
      <w:r w:rsidR="00394643" w:rsidRPr="00BE68C4">
        <w:rPr>
          <w:rFonts w:ascii="Arial" w:eastAsiaTheme="majorEastAsia" w:hAnsi="Arial" w:cs="Arial"/>
          <w:color w:val="000000"/>
        </w:rPr>
        <w:t xml:space="preserve"> </w:t>
      </w:r>
      <w:hyperlink r:id="rId65" w:history="1">
        <w:r w:rsidR="00394643" w:rsidRPr="00BE68C4">
          <w:rPr>
            <w:rStyle w:val="Hyperlink"/>
            <w:rFonts w:ascii="Arial" w:eastAsiaTheme="majorEastAsia" w:hAnsi="Arial" w:cs="Arial"/>
          </w:rPr>
          <w:t>https://doi.org/10.1016/j.jbusres.2020.12.019</w:t>
        </w:r>
      </w:hyperlink>
    </w:p>
    <w:p w14:paraId="4B97868B" w14:textId="7C2716B7"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 xml:space="preserve">Visser, S. S., </w:t>
      </w:r>
      <w:proofErr w:type="spellStart"/>
      <w:r w:rsidRPr="003359A7">
        <w:rPr>
          <w:rFonts w:ascii="Arial" w:eastAsiaTheme="majorEastAsia" w:hAnsi="Arial" w:cs="Arial"/>
          <w:color w:val="000000"/>
        </w:rPr>
        <w:t>Edzes</w:t>
      </w:r>
      <w:proofErr w:type="spellEnd"/>
      <w:r w:rsidRPr="003359A7">
        <w:rPr>
          <w:rFonts w:ascii="Arial" w:eastAsiaTheme="majorEastAsia" w:hAnsi="Arial" w:cs="Arial"/>
          <w:color w:val="000000"/>
        </w:rPr>
        <w:t xml:space="preserve">, A., Merx, E., &amp; van Lanen, S. (2022). “It All Starts with Family”: Mechanisms of Intergenerational Poverty in the </w:t>
      </w:r>
      <w:proofErr w:type="spellStart"/>
      <w:r w:rsidRPr="003359A7">
        <w:rPr>
          <w:rFonts w:ascii="Arial" w:eastAsiaTheme="majorEastAsia" w:hAnsi="Arial" w:cs="Arial"/>
          <w:color w:val="000000"/>
        </w:rPr>
        <w:t>Veenkoloniën</w:t>
      </w:r>
      <w:proofErr w:type="spellEnd"/>
      <w:r w:rsidRPr="003359A7">
        <w:rPr>
          <w:rFonts w:ascii="Arial" w:eastAsiaTheme="majorEastAsia" w:hAnsi="Arial" w:cs="Arial"/>
          <w:color w:val="000000"/>
        </w:rPr>
        <w:t>, the Netherlands. </w:t>
      </w:r>
      <w:r w:rsidRPr="003359A7">
        <w:rPr>
          <w:rFonts w:ascii="Arial" w:eastAsiaTheme="majorEastAsia" w:hAnsi="Arial" w:cs="Arial"/>
          <w:i/>
          <w:iCs/>
          <w:color w:val="000000"/>
        </w:rPr>
        <w:t>Journal of Poverty</w:t>
      </w:r>
      <w:r w:rsidRPr="003359A7">
        <w:rPr>
          <w:rFonts w:ascii="Arial" w:eastAsiaTheme="majorEastAsia" w:hAnsi="Arial" w:cs="Arial"/>
          <w:color w:val="000000"/>
        </w:rPr>
        <w:t>, </w:t>
      </w:r>
      <w:r w:rsidRPr="003359A7">
        <w:rPr>
          <w:rFonts w:ascii="Arial" w:eastAsiaTheme="majorEastAsia" w:hAnsi="Arial" w:cs="Arial"/>
          <w:i/>
          <w:iCs/>
          <w:color w:val="000000"/>
        </w:rPr>
        <w:t>26</w:t>
      </w:r>
      <w:r w:rsidRPr="003359A7">
        <w:rPr>
          <w:rFonts w:ascii="Arial" w:eastAsiaTheme="majorEastAsia" w:hAnsi="Arial" w:cs="Arial"/>
          <w:color w:val="000000"/>
        </w:rPr>
        <w:t>(6), 520-548.</w:t>
      </w:r>
      <w:r w:rsidR="00C84077" w:rsidRPr="00BE68C4">
        <w:rPr>
          <w:rFonts w:ascii="Arial" w:eastAsiaTheme="majorEastAsia" w:hAnsi="Arial" w:cs="Arial"/>
          <w:color w:val="000000"/>
        </w:rPr>
        <w:t xml:space="preserve"> </w:t>
      </w:r>
      <w:hyperlink r:id="rId66" w:history="1">
        <w:r w:rsidR="00C84077" w:rsidRPr="00BE68C4">
          <w:rPr>
            <w:rStyle w:val="Hyperlink"/>
            <w:rFonts w:ascii="Arial" w:eastAsiaTheme="majorEastAsia" w:hAnsi="Arial" w:cs="Arial"/>
          </w:rPr>
          <w:t>https://doi.org/10.1080/10875549.2021.2010872</w:t>
        </w:r>
      </w:hyperlink>
    </w:p>
    <w:p w14:paraId="0F114FC0" w14:textId="078F93CF"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Wang, Z., Liu, J., Shuai, H., Cai, Z., Fu, X., Liu, Y., ... &amp; Yang, B. X. (2021). Mapping global prevalence of depression among postpartum women. </w:t>
      </w:r>
      <w:r w:rsidRPr="003359A7">
        <w:rPr>
          <w:rFonts w:ascii="Arial" w:eastAsiaTheme="majorEastAsia" w:hAnsi="Arial" w:cs="Arial"/>
          <w:i/>
          <w:iCs/>
          <w:color w:val="000000"/>
        </w:rPr>
        <w:t>Translational psychiatry</w:t>
      </w:r>
      <w:r w:rsidRPr="003359A7">
        <w:rPr>
          <w:rFonts w:ascii="Arial" w:eastAsiaTheme="majorEastAsia" w:hAnsi="Arial" w:cs="Arial"/>
          <w:color w:val="000000"/>
        </w:rPr>
        <w:t>, </w:t>
      </w:r>
      <w:r w:rsidRPr="003359A7">
        <w:rPr>
          <w:rFonts w:ascii="Arial" w:eastAsiaTheme="majorEastAsia" w:hAnsi="Arial" w:cs="Arial"/>
          <w:i/>
          <w:iCs/>
          <w:color w:val="000000"/>
        </w:rPr>
        <w:t>11</w:t>
      </w:r>
      <w:r w:rsidRPr="003359A7">
        <w:rPr>
          <w:rFonts w:ascii="Arial" w:eastAsiaTheme="majorEastAsia" w:hAnsi="Arial" w:cs="Arial"/>
          <w:color w:val="000000"/>
        </w:rPr>
        <w:t>(1), 543.</w:t>
      </w:r>
      <w:r w:rsidR="009E484A" w:rsidRPr="00BE68C4">
        <w:rPr>
          <w:rFonts w:ascii="Arial" w:eastAsiaTheme="majorEastAsia" w:hAnsi="Arial" w:cs="Arial"/>
          <w:color w:val="000000"/>
        </w:rPr>
        <w:t xml:space="preserve"> </w:t>
      </w:r>
      <w:hyperlink r:id="rId67" w:history="1">
        <w:r w:rsidR="009E484A" w:rsidRPr="00BE68C4">
          <w:rPr>
            <w:rStyle w:val="Hyperlink"/>
            <w:rFonts w:ascii="Arial" w:eastAsiaTheme="majorEastAsia" w:hAnsi="Arial" w:cs="Arial"/>
          </w:rPr>
          <w:t>https://doi.org/10.1038/s41398-021-01663-6</w:t>
        </w:r>
      </w:hyperlink>
    </w:p>
    <w:p w14:paraId="262D36A5"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Wang, X. (2022). On the relationship between income poverty and multidimensional poverty in China. In </w:t>
      </w:r>
      <w:r w:rsidRPr="003359A7">
        <w:rPr>
          <w:rFonts w:ascii="Arial" w:eastAsiaTheme="majorEastAsia" w:hAnsi="Arial" w:cs="Arial"/>
          <w:i/>
          <w:iCs/>
          <w:color w:val="000000"/>
        </w:rPr>
        <w:t>Multidimensional Poverty Measurement: Theory and Methodology</w:t>
      </w:r>
      <w:r w:rsidRPr="003359A7">
        <w:rPr>
          <w:rFonts w:ascii="Arial" w:eastAsiaTheme="majorEastAsia" w:hAnsi="Arial" w:cs="Arial"/>
          <w:color w:val="000000"/>
        </w:rPr>
        <w:t> (pp. 85-106). Singapore: Springer Nature Singapore.</w:t>
      </w:r>
    </w:p>
    <w:p w14:paraId="2F960CC4" w14:textId="5F90304F"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Whitfield, K., Betancur, L., Miller, P., &amp; Votruba-Drzal, E. (2021). Longitudinal links between income dynamics and young adult socioeconomic and behavioral health outcomes.</w:t>
      </w:r>
      <w:r w:rsidRPr="003359A7">
        <w:rPr>
          <w:rFonts w:ascii="Arial" w:eastAsiaTheme="majorEastAsia" w:hAnsi="Arial" w:cs="Arial"/>
          <w:i/>
          <w:iCs/>
          <w:color w:val="000000"/>
        </w:rPr>
        <w:t> Youth &amp; Society, 53</w:t>
      </w:r>
      <w:r w:rsidRPr="003359A7">
        <w:rPr>
          <w:rFonts w:ascii="Arial" w:eastAsiaTheme="majorEastAsia" w:hAnsi="Arial" w:cs="Arial"/>
          <w:color w:val="000000"/>
        </w:rPr>
        <w:t>(7), 1181–1210.</w:t>
      </w:r>
      <w:r w:rsidR="00E4127A" w:rsidRPr="00BE68C4">
        <w:rPr>
          <w:rFonts w:ascii="Arial" w:eastAsiaTheme="majorEastAsia" w:hAnsi="Arial" w:cs="Arial"/>
          <w:color w:val="000000"/>
        </w:rPr>
        <w:t xml:space="preserve"> </w:t>
      </w:r>
      <w:hyperlink r:id="rId68" w:history="1">
        <w:r w:rsidR="00E4127A" w:rsidRPr="00BE68C4">
          <w:rPr>
            <w:rStyle w:val="Hyperlink"/>
            <w:rFonts w:ascii="Arial" w:eastAsiaTheme="majorEastAsia" w:hAnsi="Arial" w:cs="Arial"/>
          </w:rPr>
          <w:t>https://doi.org/10.1177/0044118X21996382</w:t>
        </w:r>
      </w:hyperlink>
    </w:p>
    <w:p w14:paraId="2A749737" w14:textId="5E5E78AD"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lastRenderedPageBreak/>
        <w:t>Wimer, C., &amp; Wolf, S. (2020). Family Income and Young Children's Development.</w:t>
      </w:r>
      <w:r w:rsidRPr="003359A7">
        <w:rPr>
          <w:rFonts w:ascii="Arial" w:eastAsiaTheme="majorEastAsia" w:hAnsi="Arial" w:cs="Arial"/>
          <w:i/>
          <w:iCs/>
          <w:color w:val="000000"/>
        </w:rPr>
        <w:t> The Future of Children, 30</w:t>
      </w:r>
      <w:r w:rsidRPr="003359A7">
        <w:rPr>
          <w:rFonts w:ascii="Arial" w:eastAsiaTheme="majorEastAsia" w:hAnsi="Arial" w:cs="Arial"/>
          <w:color w:val="000000"/>
        </w:rPr>
        <w:t>(2), 191–211.</w:t>
      </w:r>
      <w:r w:rsidR="00BE68C4" w:rsidRPr="00BE68C4">
        <w:rPr>
          <w:rFonts w:ascii="Arial" w:eastAsiaTheme="majorEastAsia" w:hAnsi="Arial" w:cs="Arial"/>
          <w:color w:val="000000"/>
        </w:rPr>
        <w:t xml:space="preserve"> </w:t>
      </w:r>
      <w:hyperlink r:id="rId69" w:history="1">
        <w:r w:rsidR="00BE68C4" w:rsidRPr="00BE68C4">
          <w:rPr>
            <w:rStyle w:val="Hyperlink"/>
            <w:rFonts w:ascii="Arial" w:eastAsiaTheme="majorEastAsia" w:hAnsi="Arial" w:cs="Arial"/>
          </w:rPr>
          <w:t>https://www.jstor.org/stable/27075021</w:t>
        </w:r>
      </w:hyperlink>
    </w:p>
    <w:p w14:paraId="55D9F4EB" w14:textId="5E3B6208" w:rsidR="003359A7" w:rsidRPr="00BE68C4"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Yang, B., Feldman, M. W., &amp; Li, S. (2021). The status of family resilience: Effects of sustainable livelihoods in rural China.</w:t>
      </w:r>
      <w:r w:rsidRPr="003359A7">
        <w:rPr>
          <w:rFonts w:ascii="Arial" w:eastAsiaTheme="majorEastAsia" w:hAnsi="Arial" w:cs="Arial"/>
          <w:i/>
          <w:iCs/>
          <w:color w:val="000000"/>
        </w:rPr>
        <w:t> Social Indicators Research, 153</w:t>
      </w:r>
      <w:r w:rsidRPr="003359A7">
        <w:rPr>
          <w:rFonts w:ascii="Arial" w:eastAsiaTheme="majorEastAsia" w:hAnsi="Arial" w:cs="Arial"/>
          <w:color w:val="000000"/>
        </w:rPr>
        <w:t>(3), 1041–1064.</w:t>
      </w:r>
      <w:r w:rsidR="002E2FBD" w:rsidRPr="00BE68C4">
        <w:rPr>
          <w:rFonts w:ascii="Arial" w:eastAsiaTheme="majorEastAsia" w:hAnsi="Arial" w:cs="Arial"/>
          <w:color w:val="000000"/>
        </w:rPr>
        <w:t xml:space="preserve"> </w:t>
      </w:r>
      <w:hyperlink r:id="rId70" w:history="1">
        <w:r w:rsidR="002E2FBD" w:rsidRPr="00BE68C4">
          <w:rPr>
            <w:rStyle w:val="Hyperlink"/>
            <w:rFonts w:ascii="Arial" w:eastAsiaTheme="majorEastAsia" w:hAnsi="Arial" w:cs="Arial"/>
          </w:rPr>
          <w:t>https://doi.org/10.1007/s11205-020-02518-1</w:t>
        </w:r>
      </w:hyperlink>
    </w:p>
    <w:p w14:paraId="2595B057" w14:textId="77777777" w:rsidR="003359A7" w:rsidRPr="003359A7" w:rsidRDefault="003359A7" w:rsidP="00BE68C4">
      <w:pPr>
        <w:pStyle w:val="paragraph"/>
        <w:spacing w:after="0" w:line="480" w:lineRule="auto"/>
        <w:ind w:left="450" w:hanging="450"/>
        <w:textAlignment w:val="baseline"/>
        <w:rPr>
          <w:rFonts w:ascii="Arial" w:eastAsiaTheme="majorEastAsia" w:hAnsi="Arial" w:cs="Arial"/>
          <w:color w:val="000000"/>
        </w:rPr>
      </w:pPr>
      <w:r w:rsidRPr="003359A7">
        <w:rPr>
          <w:rFonts w:ascii="Arial" w:eastAsiaTheme="majorEastAsia" w:hAnsi="Arial" w:cs="Arial"/>
          <w:color w:val="000000"/>
        </w:rPr>
        <w:t>Young, G. (2024). Comparing two major approaches to unifying psychology: Different goals, different outcomes. </w:t>
      </w:r>
      <w:r w:rsidRPr="003359A7">
        <w:rPr>
          <w:rFonts w:ascii="Arial" w:eastAsiaTheme="majorEastAsia" w:hAnsi="Arial" w:cs="Arial"/>
          <w:i/>
          <w:iCs/>
          <w:color w:val="000000"/>
        </w:rPr>
        <w:t>Current Psychology</w:t>
      </w:r>
      <w:r w:rsidRPr="003359A7">
        <w:rPr>
          <w:rFonts w:ascii="Arial" w:eastAsiaTheme="majorEastAsia" w:hAnsi="Arial" w:cs="Arial"/>
          <w:color w:val="000000"/>
        </w:rPr>
        <w:t>, 1-41.</w:t>
      </w:r>
    </w:p>
    <w:p w14:paraId="4DC3E228" w14:textId="77777777" w:rsidR="003359A7" w:rsidRDefault="003359A7" w:rsidP="003359A7">
      <w:pPr>
        <w:pStyle w:val="paragraph"/>
        <w:spacing w:before="0" w:after="0"/>
        <w:ind w:left="450" w:hanging="450"/>
        <w:textAlignment w:val="baseline"/>
        <w:rPr>
          <w:rStyle w:val="normaltextrun"/>
          <w:rFonts w:ascii="Aptos" w:eastAsiaTheme="majorEastAsia" w:hAnsi="Aptos" w:cs="Segoe UI"/>
          <w:color w:val="000000"/>
        </w:rPr>
      </w:pPr>
    </w:p>
    <w:p w14:paraId="6C8D4F5C" w14:textId="34C6DBCC" w:rsidR="003359A7" w:rsidRDefault="003359A7" w:rsidP="003359A7">
      <w:pPr>
        <w:pStyle w:val="paragraph"/>
        <w:spacing w:before="0" w:after="0"/>
        <w:ind w:left="450" w:hanging="450"/>
        <w:textAlignment w:val="baseline"/>
        <w:rPr>
          <w:rFonts w:ascii="Segoe UI" w:hAnsi="Segoe UI" w:cs="Segoe UI"/>
          <w:sz w:val="18"/>
          <w:szCs w:val="18"/>
        </w:rPr>
      </w:pPr>
      <w:r>
        <w:rPr>
          <w:rStyle w:val="contentcontrolboundarysink"/>
          <w:rFonts w:ascii="Arial" w:eastAsiaTheme="majorEastAsia" w:hAnsi="Arial" w:cs="Arial"/>
          <w:color w:val="000000"/>
        </w:rPr>
        <w:t>​</w:t>
      </w:r>
    </w:p>
    <w:p w14:paraId="19483BDC" w14:textId="1B6DFE2D" w:rsidR="003359A7" w:rsidRDefault="009C2088">
      <w:r>
        <w:t>Please see Slides Below:</w:t>
      </w:r>
    </w:p>
    <w:p w14:paraId="12FEF5AC" w14:textId="5A23914A" w:rsidR="009C2088" w:rsidRDefault="009C2088">
      <w:r>
        <w:br w:type="page"/>
      </w:r>
    </w:p>
    <w:p w14:paraId="21899A81" w14:textId="73C42909" w:rsidR="009C2088" w:rsidRDefault="009C2088">
      <w:r>
        <w:lastRenderedPageBreak/>
        <w:t>Slide 1</w:t>
      </w:r>
    </w:p>
    <w:p w14:paraId="5D4D8B4A" w14:textId="18A4DB1E" w:rsidR="009C2088" w:rsidRDefault="009C2088">
      <w:r w:rsidRPr="009C2088">
        <w:drawing>
          <wp:inline distT="0" distB="0" distL="0" distR="0" wp14:anchorId="0776D190" wp14:editId="1DA8671B">
            <wp:extent cx="4320540" cy="2437425"/>
            <wp:effectExtent l="0" t="0" r="3810" b="1270"/>
            <wp:docPr id="397984222" name="Picture 1" descr="A group of children lying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84222" name="Picture 1" descr="A group of children lying on a bed&#10;&#10;Description automatically generated"/>
                    <pic:cNvPicPr/>
                  </pic:nvPicPr>
                  <pic:blipFill>
                    <a:blip r:embed="rId71"/>
                    <a:stretch>
                      <a:fillRect/>
                    </a:stretch>
                  </pic:blipFill>
                  <pic:spPr>
                    <a:xfrm>
                      <a:off x="0" y="0"/>
                      <a:ext cx="4380118" cy="2471036"/>
                    </a:xfrm>
                    <a:prstGeom prst="rect">
                      <a:avLst/>
                    </a:prstGeom>
                  </pic:spPr>
                </pic:pic>
              </a:graphicData>
            </a:graphic>
          </wp:inline>
        </w:drawing>
      </w:r>
    </w:p>
    <w:p w14:paraId="7251F2ED" w14:textId="5A7F8F5E" w:rsidR="009C2088" w:rsidRDefault="009C2088">
      <w:r>
        <w:t>Slide 2</w:t>
      </w:r>
    </w:p>
    <w:p w14:paraId="637FA3EB" w14:textId="37235E2B" w:rsidR="009C2088" w:rsidRDefault="009C2088">
      <w:r w:rsidRPr="009C2088">
        <w:drawing>
          <wp:inline distT="0" distB="0" distL="0" distR="0" wp14:anchorId="62E06A1E" wp14:editId="3F08CE3A">
            <wp:extent cx="4321021" cy="2451100"/>
            <wp:effectExtent l="0" t="0" r="3810" b="6350"/>
            <wp:docPr id="989413593" name="Picture 1" descr="A box of food and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413593" name="Picture 1" descr="A box of food and a sign&#10;&#10;Description automatically generated"/>
                    <pic:cNvPicPr/>
                  </pic:nvPicPr>
                  <pic:blipFill>
                    <a:blip r:embed="rId72"/>
                    <a:stretch>
                      <a:fillRect/>
                    </a:stretch>
                  </pic:blipFill>
                  <pic:spPr>
                    <a:xfrm>
                      <a:off x="0" y="0"/>
                      <a:ext cx="4383018" cy="2486268"/>
                    </a:xfrm>
                    <a:prstGeom prst="rect">
                      <a:avLst/>
                    </a:prstGeom>
                  </pic:spPr>
                </pic:pic>
              </a:graphicData>
            </a:graphic>
          </wp:inline>
        </w:drawing>
      </w:r>
    </w:p>
    <w:p w14:paraId="6563B772" w14:textId="0B2D2F1F" w:rsidR="009C2088" w:rsidRDefault="009C2088">
      <w:r>
        <w:t>Slide 3</w:t>
      </w:r>
    </w:p>
    <w:p w14:paraId="35C74DF0" w14:textId="0122C710" w:rsidR="009C2088" w:rsidRDefault="009C2088">
      <w:r w:rsidRPr="009C2088">
        <w:drawing>
          <wp:inline distT="0" distB="0" distL="0" distR="0" wp14:anchorId="2E3B6065" wp14:editId="2092BD69">
            <wp:extent cx="4337050" cy="2435687"/>
            <wp:effectExtent l="0" t="0" r="6350" b="3175"/>
            <wp:docPr id="1253461195" name="Picture 1" descr="A group of people walking on a sidewal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461195" name="Picture 1" descr="A group of people walking on a sidewalk&#10;&#10;Description automatically generated"/>
                    <pic:cNvPicPr/>
                  </pic:nvPicPr>
                  <pic:blipFill>
                    <a:blip r:embed="rId73"/>
                    <a:stretch>
                      <a:fillRect/>
                    </a:stretch>
                  </pic:blipFill>
                  <pic:spPr>
                    <a:xfrm>
                      <a:off x="0" y="0"/>
                      <a:ext cx="4409612" cy="2476438"/>
                    </a:xfrm>
                    <a:prstGeom prst="rect">
                      <a:avLst/>
                    </a:prstGeom>
                  </pic:spPr>
                </pic:pic>
              </a:graphicData>
            </a:graphic>
          </wp:inline>
        </w:drawing>
      </w:r>
    </w:p>
    <w:p w14:paraId="2534A760" w14:textId="333B8793" w:rsidR="009C2088" w:rsidRDefault="009C2088">
      <w:r>
        <w:lastRenderedPageBreak/>
        <w:t>Slide 4</w:t>
      </w:r>
    </w:p>
    <w:p w14:paraId="0A397092" w14:textId="29948DA1" w:rsidR="009C2088" w:rsidRDefault="009C2088">
      <w:r w:rsidRPr="009C2088">
        <w:drawing>
          <wp:inline distT="0" distB="0" distL="0" distR="0" wp14:anchorId="430A3008" wp14:editId="19ADBB36">
            <wp:extent cx="3860800" cy="2177207"/>
            <wp:effectExtent l="0" t="0" r="6350" b="0"/>
            <wp:docPr id="2069394069" name="Picture 1" descr="A green box with a graph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94069" name="Picture 1" descr="A green box with a graph and text&#10;&#10;Description automatically generated"/>
                    <pic:cNvPicPr/>
                  </pic:nvPicPr>
                  <pic:blipFill>
                    <a:blip r:embed="rId74"/>
                    <a:stretch>
                      <a:fillRect/>
                    </a:stretch>
                  </pic:blipFill>
                  <pic:spPr>
                    <a:xfrm>
                      <a:off x="0" y="0"/>
                      <a:ext cx="3888399" cy="2192771"/>
                    </a:xfrm>
                    <a:prstGeom prst="rect">
                      <a:avLst/>
                    </a:prstGeom>
                  </pic:spPr>
                </pic:pic>
              </a:graphicData>
            </a:graphic>
          </wp:inline>
        </w:drawing>
      </w:r>
    </w:p>
    <w:p w14:paraId="40D8BE40" w14:textId="19BC351A" w:rsidR="009C2088" w:rsidRDefault="009C2088">
      <w:r>
        <w:t>Slide 5</w:t>
      </w:r>
    </w:p>
    <w:p w14:paraId="18B10FCA" w14:textId="04E61819" w:rsidR="009C2088" w:rsidRDefault="009C2088">
      <w:r w:rsidRPr="009C2088">
        <w:drawing>
          <wp:inline distT="0" distB="0" distL="0" distR="0" wp14:anchorId="0A37228B" wp14:editId="5322CCE1">
            <wp:extent cx="3790950" cy="2162177"/>
            <wp:effectExtent l="0" t="0" r="0" b="9525"/>
            <wp:docPr id="2002044527" name="Picture 1" descr="A group of children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044527" name="Picture 1" descr="A group of children jumping in the air&#10;&#10;Description automatically generated"/>
                    <pic:cNvPicPr/>
                  </pic:nvPicPr>
                  <pic:blipFill>
                    <a:blip r:embed="rId75"/>
                    <a:stretch>
                      <a:fillRect/>
                    </a:stretch>
                  </pic:blipFill>
                  <pic:spPr>
                    <a:xfrm>
                      <a:off x="0" y="0"/>
                      <a:ext cx="3824801" cy="2181484"/>
                    </a:xfrm>
                    <a:prstGeom prst="rect">
                      <a:avLst/>
                    </a:prstGeom>
                  </pic:spPr>
                </pic:pic>
              </a:graphicData>
            </a:graphic>
          </wp:inline>
        </w:drawing>
      </w:r>
    </w:p>
    <w:p w14:paraId="7A1E5D26" w14:textId="76734D68" w:rsidR="009C2088" w:rsidRDefault="009C2088">
      <w:r>
        <w:t>Slide 6</w:t>
      </w:r>
    </w:p>
    <w:p w14:paraId="472FBE91" w14:textId="427F28C1" w:rsidR="009C2088" w:rsidRDefault="009C2088">
      <w:r w:rsidRPr="009C2088">
        <w:drawing>
          <wp:inline distT="0" distB="0" distL="0" distR="0" wp14:anchorId="234B5632" wp14:editId="4DD53C43">
            <wp:extent cx="3816350" cy="2153409"/>
            <wp:effectExtent l="0" t="0" r="0" b="0"/>
            <wp:docPr id="1234208099" name="Picture 1" descr="A child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208099" name="Picture 1" descr="A child holding a baby&#10;&#10;Description automatically generated"/>
                    <pic:cNvPicPr/>
                  </pic:nvPicPr>
                  <pic:blipFill>
                    <a:blip r:embed="rId76"/>
                    <a:stretch>
                      <a:fillRect/>
                    </a:stretch>
                  </pic:blipFill>
                  <pic:spPr>
                    <a:xfrm>
                      <a:off x="0" y="0"/>
                      <a:ext cx="3865387" cy="2181079"/>
                    </a:xfrm>
                    <a:prstGeom prst="rect">
                      <a:avLst/>
                    </a:prstGeom>
                  </pic:spPr>
                </pic:pic>
              </a:graphicData>
            </a:graphic>
          </wp:inline>
        </w:drawing>
      </w:r>
    </w:p>
    <w:p w14:paraId="3FC73642" w14:textId="4466EE67" w:rsidR="009C2088" w:rsidRDefault="009C2088">
      <w:r>
        <w:t>Slide 7</w:t>
      </w:r>
    </w:p>
    <w:p w14:paraId="694774D7" w14:textId="2A1117E1" w:rsidR="009C2088" w:rsidRDefault="009C2088">
      <w:r w:rsidRPr="009C2088">
        <w:lastRenderedPageBreak/>
        <w:drawing>
          <wp:inline distT="0" distB="0" distL="0" distR="0" wp14:anchorId="6CCDD892" wp14:editId="31955BC4">
            <wp:extent cx="4089400" cy="2291623"/>
            <wp:effectExtent l="0" t="0" r="6350" b="0"/>
            <wp:docPr id="1889092695" name="Picture 1" descr="A child holding a f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092695" name="Picture 1" descr="A child holding a fork&#10;&#10;Description automatically generated"/>
                    <pic:cNvPicPr/>
                  </pic:nvPicPr>
                  <pic:blipFill>
                    <a:blip r:embed="rId77"/>
                    <a:stretch>
                      <a:fillRect/>
                    </a:stretch>
                  </pic:blipFill>
                  <pic:spPr>
                    <a:xfrm>
                      <a:off x="0" y="0"/>
                      <a:ext cx="4105034" cy="2300384"/>
                    </a:xfrm>
                    <a:prstGeom prst="rect">
                      <a:avLst/>
                    </a:prstGeom>
                  </pic:spPr>
                </pic:pic>
              </a:graphicData>
            </a:graphic>
          </wp:inline>
        </w:drawing>
      </w:r>
    </w:p>
    <w:p w14:paraId="4FE329FC" w14:textId="01994BB5" w:rsidR="009C2088" w:rsidRDefault="009C2088">
      <w:r>
        <w:t>Slide 8</w:t>
      </w:r>
    </w:p>
    <w:p w14:paraId="42165013" w14:textId="70EA5092" w:rsidR="009C2088" w:rsidRDefault="009C2088">
      <w:r w:rsidRPr="009C2088">
        <w:drawing>
          <wp:inline distT="0" distB="0" distL="0" distR="0" wp14:anchorId="6821E0AE" wp14:editId="5986F488">
            <wp:extent cx="4102100" cy="2311465"/>
            <wp:effectExtent l="0" t="0" r="0" b="0"/>
            <wp:docPr id="1987155522"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55522" name="Picture 1" descr="A screenshot of a website&#10;&#10;Description automatically generated"/>
                    <pic:cNvPicPr/>
                  </pic:nvPicPr>
                  <pic:blipFill>
                    <a:blip r:embed="rId78"/>
                    <a:stretch>
                      <a:fillRect/>
                    </a:stretch>
                  </pic:blipFill>
                  <pic:spPr>
                    <a:xfrm>
                      <a:off x="0" y="0"/>
                      <a:ext cx="4126050" cy="2324960"/>
                    </a:xfrm>
                    <a:prstGeom prst="rect">
                      <a:avLst/>
                    </a:prstGeom>
                  </pic:spPr>
                </pic:pic>
              </a:graphicData>
            </a:graphic>
          </wp:inline>
        </w:drawing>
      </w:r>
    </w:p>
    <w:p w14:paraId="220E0089" w14:textId="4E269D99" w:rsidR="009C2088" w:rsidRDefault="009C2088">
      <w:r>
        <w:t>Slide 9</w:t>
      </w:r>
    </w:p>
    <w:p w14:paraId="4653E2C1" w14:textId="20DF9332" w:rsidR="009C2088" w:rsidRDefault="009C2088">
      <w:r w:rsidRPr="009C2088">
        <w:drawing>
          <wp:inline distT="0" distB="0" distL="0" distR="0" wp14:anchorId="3C1EA155" wp14:editId="7B4CE597">
            <wp:extent cx="4032250" cy="2275679"/>
            <wp:effectExtent l="0" t="0" r="6350" b="0"/>
            <wp:docPr id="333149830" name="Picture 1" descr="A person and person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49830" name="Picture 1" descr="A person and person holding signs&#10;&#10;Description automatically generated"/>
                    <pic:cNvPicPr/>
                  </pic:nvPicPr>
                  <pic:blipFill>
                    <a:blip r:embed="rId79"/>
                    <a:stretch>
                      <a:fillRect/>
                    </a:stretch>
                  </pic:blipFill>
                  <pic:spPr>
                    <a:xfrm>
                      <a:off x="0" y="0"/>
                      <a:ext cx="4050198" cy="2285808"/>
                    </a:xfrm>
                    <a:prstGeom prst="rect">
                      <a:avLst/>
                    </a:prstGeom>
                  </pic:spPr>
                </pic:pic>
              </a:graphicData>
            </a:graphic>
          </wp:inline>
        </w:drawing>
      </w:r>
    </w:p>
    <w:p w14:paraId="5948814F" w14:textId="235A7CFC" w:rsidR="009C2088" w:rsidRDefault="009C2088">
      <w:r>
        <w:t>Slide 10</w:t>
      </w:r>
    </w:p>
    <w:p w14:paraId="130530E8" w14:textId="241D1B9C" w:rsidR="009C2088" w:rsidRDefault="009C2088">
      <w:r w:rsidRPr="009C2088">
        <w:lastRenderedPageBreak/>
        <w:drawing>
          <wp:inline distT="0" distB="0" distL="0" distR="0" wp14:anchorId="0BB8FF19" wp14:editId="13AF10B3">
            <wp:extent cx="4025900" cy="2281909"/>
            <wp:effectExtent l="0" t="0" r="0" b="4445"/>
            <wp:docPr id="811907516" name="Picture 1" descr="A person and children sitt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907516" name="Picture 1" descr="A person and children sitting on a couch&#10;&#10;Description automatically generated"/>
                    <pic:cNvPicPr/>
                  </pic:nvPicPr>
                  <pic:blipFill>
                    <a:blip r:embed="rId80"/>
                    <a:stretch>
                      <a:fillRect/>
                    </a:stretch>
                  </pic:blipFill>
                  <pic:spPr>
                    <a:xfrm>
                      <a:off x="0" y="0"/>
                      <a:ext cx="4045809" cy="2293194"/>
                    </a:xfrm>
                    <a:prstGeom prst="rect">
                      <a:avLst/>
                    </a:prstGeom>
                  </pic:spPr>
                </pic:pic>
              </a:graphicData>
            </a:graphic>
          </wp:inline>
        </w:drawing>
      </w:r>
    </w:p>
    <w:p w14:paraId="652B5948" w14:textId="40CF9AB6" w:rsidR="009C2088" w:rsidRDefault="009C2088">
      <w:r>
        <w:t>Slide 11</w:t>
      </w:r>
    </w:p>
    <w:p w14:paraId="7BE6DC00" w14:textId="26023091" w:rsidR="009C2088" w:rsidRDefault="009C2088">
      <w:r w:rsidRPr="009C2088">
        <w:drawing>
          <wp:inline distT="0" distB="0" distL="0" distR="0" wp14:anchorId="3D0DE725" wp14:editId="2F7BADE3">
            <wp:extent cx="3981450" cy="2251862"/>
            <wp:effectExtent l="0" t="0" r="0" b="0"/>
            <wp:docPr id="1208023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23840" name=""/>
                    <pic:cNvPicPr/>
                  </pic:nvPicPr>
                  <pic:blipFill>
                    <a:blip r:embed="rId81"/>
                    <a:stretch>
                      <a:fillRect/>
                    </a:stretch>
                  </pic:blipFill>
                  <pic:spPr>
                    <a:xfrm>
                      <a:off x="0" y="0"/>
                      <a:ext cx="4018465" cy="2272797"/>
                    </a:xfrm>
                    <a:prstGeom prst="rect">
                      <a:avLst/>
                    </a:prstGeom>
                  </pic:spPr>
                </pic:pic>
              </a:graphicData>
            </a:graphic>
          </wp:inline>
        </w:drawing>
      </w:r>
    </w:p>
    <w:p w14:paraId="257A7E61" w14:textId="335A06D0" w:rsidR="009C2088" w:rsidRDefault="009C2088">
      <w:r>
        <w:t>Slide 12</w:t>
      </w:r>
    </w:p>
    <w:p w14:paraId="422BE82A" w14:textId="4D53CB6E" w:rsidR="009C2088" w:rsidRDefault="009C2088">
      <w:r w:rsidRPr="009C2088">
        <w:drawing>
          <wp:inline distT="0" distB="0" distL="0" distR="0" wp14:anchorId="22B01973" wp14:editId="4D53A1C6">
            <wp:extent cx="3968750" cy="2239841"/>
            <wp:effectExtent l="0" t="0" r="0" b="8255"/>
            <wp:docPr id="1516445823" name="Picture 1" descr="A child sitting on a bed with a child sleep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45823" name="Picture 1" descr="A child sitting on a bed with a child sleeping&#10;&#10;Description automatically generated"/>
                    <pic:cNvPicPr/>
                  </pic:nvPicPr>
                  <pic:blipFill>
                    <a:blip r:embed="rId82"/>
                    <a:stretch>
                      <a:fillRect/>
                    </a:stretch>
                  </pic:blipFill>
                  <pic:spPr>
                    <a:xfrm>
                      <a:off x="0" y="0"/>
                      <a:ext cx="4000875" cy="2257972"/>
                    </a:xfrm>
                    <a:prstGeom prst="rect">
                      <a:avLst/>
                    </a:prstGeom>
                  </pic:spPr>
                </pic:pic>
              </a:graphicData>
            </a:graphic>
          </wp:inline>
        </w:drawing>
      </w:r>
    </w:p>
    <w:p w14:paraId="45198FD2" w14:textId="17173AA4" w:rsidR="009C2088" w:rsidRDefault="009C2088">
      <w:r>
        <w:t>Slide 13</w:t>
      </w:r>
    </w:p>
    <w:p w14:paraId="11626F86" w14:textId="0C3A1B26" w:rsidR="009C2088" w:rsidRDefault="009C2088">
      <w:r w:rsidRPr="009C2088">
        <w:lastRenderedPageBreak/>
        <w:drawing>
          <wp:inline distT="0" distB="0" distL="0" distR="0" wp14:anchorId="2C303EC6" wp14:editId="2E0E09A6">
            <wp:extent cx="4095750" cy="2306979"/>
            <wp:effectExtent l="0" t="0" r="0" b="0"/>
            <wp:docPr id="276004849" name="Picture 1" descr="A black and white thank you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04849" name="Picture 1" descr="A black and white thank you card&#10;&#10;Description automatically generated"/>
                    <pic:cNvPicPr/>
                  </pic:nvPicPr>
                  <pic:blipFill>
                    <a:blip r:embed="rId83"/>
                    <a:stretch>
                      <a:fillRect/>
                    </a:stretch>
                  </pic:blipFill>
                  <pic:spPr>
                    <a:xfrm>
                      <a:off x="0" y="0"/>
                      <a:ext cx="4146833" cy="2335752"/>
                    </a:xfrm>
                    <a:prstGeom prst="rect">
                      <a:avLst/>
                    </a:prstGeom>
                  </pic:spPr>
                </pic:pic>
              </a:graphicData>
            </a:graphic>
          </wp:inline>
        </w:drawing>
      </w:r>
    </w:p>
    <w:sectPr w:rsidR="009C20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9A7"/>
    <w:rsid w:val="00152EF3"/>
    <w:rsid w:val="0017034E"/>
    <w:rsid w:val="001837A3"/>
    <w:rsid w:val="001C3F2C"/>
    <w:rsid w:val="002108D9"/>
    <w:rsid w:val="00217349"/>
    <w:rsid w:val="00234EC6"/>
    <w:rsid w:val="00243E56"/>
    <w:rsid w:val="00257E94"/>
    <w:rsid w:val="00273EAE"/>
    <w:rsid w:val="002E2FBD"/>
    <w:rsid w:val="003359A7"/>
    <w:rsid w:val="00380506"/>
    <w:rsid w:val="00394643"/>
    <w:rsid w:val="003C26E4"/>
    <w:rsid w:val="003D36CB"/>
    <w:rsid w:val="00412767"/>
    <w:rsid w:val="005230ED"/>
    <w:rsid w:val="005257ED"/>
    <w:rsid w:val="00533984"/>
    <w:rsid w:val="0061683F"/>
    <w:rsid w:val="006238DA"/>
    <w:rsid w:val="00661F27"/>
    <w:rsid w:val="00694E91"/>
    <w:rsid w:val="006A6DD0"/>
    <w:rsid w:val="006F0104"/>
    <w:rsid w:val="006F40DF"/>
    <w:rsid w:val="00732EA2"/>
    <w:rsid w:val="00795C3D"/>
    <w:rsid w:val="007D1234"/>
    <w:rsid w:val="007E2A02"/>
    <w:rsid w:val="007F5802"/>
    <w:rsid w:val="0081152D"/>
    <w:rsid w:val="00861A3A"/>
    <w:rsid w:val="009049BA"/>
    <w:rsid w:val="00994371"/>
    <w:rsid w:val="009C2088"/>
    <w:rsid w:val="009C4D48"/>
    <w:rsid w:val="009E484A"/>
    <w:rsid w:val="00A74ADF"/>
    <w:rsid w:val="00A85F34"/>
    <w:rsid w:val="00AB69BE"/>
    <w:rsid w:val="00AF3B48"/>
    <w:rsid w:val="00B34458"/>
    <w:rsid w:val="00B42F1F"/>
    <w:rsid w:val="00B85972"/>
    <w:rsid w:val="00B93E71"/>
    <w:rsid w:val="00BA4D10"/>
    <w:rsid w:val="00BA5541"/>
    <w:rsid w:val="00BE68C4"/>
    <w:rsid w:val="00BF4C3D"/>
    <w:rsid w:val="00BF7765"/>
    <w:rsid w:val="00C25834"/>
    <w:rsid w:val="00C463BF"/>
    <w:rsid w:val="00C5591D"/>
    <w:rsid w:val="00C7007A"/>
    <w:rsid w:val="00C84077"/>
    <w:rsid w:val="00D4033C"/>
    <w:rsid w:val="00D657AD"/>
    <w:rsid w:val="00DE26E3"/>
    <w:rsid w:val="00DF1DF1"/>
    <w:rsid w:val="00E32E99"/>
    <w:rsid w:val="00E4127A"/>
    <w:rsid w:val="00E62D50"/>
    <w:rsid w:val="00E73ABD"/>
    <w:rsid w:val="00E9072E"/>
    <w:rsid w:val="00EA026E"/>
    <w:rsid w:val="00F33E12"/>
    <w:rsid w:val="00F54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F2B12"/>
  <w15:chartTrackingRefBased/>
  <w15:docId w15:val="{7D4CE912-F4C7-4AE0-931B-C767E5809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9A7"/>
  </w:style>
  <w:style w:type="paragraph" w:styleId="Heading1">
    <w:name w:val="heading 1"/>
    <w:basedOn w:val="Normal"/>
    <w:next w:val="Normal"/>
    <w:link w:val="Heading1Char"/>
    <w:uiPriority w:val="9"/>
    <w:qFormat/>
    <w:rsid w:val="003359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59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59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59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59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59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9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9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9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9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59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59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59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59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59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9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9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9A7"/>
    <w:rPr>
      <w:rFonts w:eastAsiaTheme="majorEastAsia" w:cstheme="majorBidi"/>
      <w:color w:val="272727" w:themeColor="text1" w:themeTint="D8"/>
    </w:rPr>
  </w:style>
  <w:style w:type="paragraph" w:styleId="Title">
    <w:name w:val="Title"/>
    <w:basedOn w:val="Normal"/>
    <w:next w:val="Normal"/>
    <w:link w:val="TitleChar"/>
    <w:uiPriority w:val="10"/>
    <w:qFormat/>
    <w:rsid w:val="003359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9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9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9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9A7"/>
    <w:pPr>
      <w:spacing w:before="160"/>
      <w:jc w:val="center"/>
    </w:pPr>
    <w:rPr>
      <w:i/>
      <w:iCs/>
      <w:color w:val="404040" w:themeColor="text1" w:themeTint="BF"/>
    </w:rPr>
  </w:style>
  <w:style w:type="character" w:customStyle="1" w:styleId="QuoteChar">
    <w:name w:val="Quote Char"/>
    <w:basedOn w:val="DefaultParagraphFont"/>
    <w:link w:val="Quote"/>
    <w:uiPriority w:val="29"/>
    <w:rsid w:val="003359A7"/>
    <w:rPr>
      <w:i/>
      <w:iCs/>
      <w:color w:val="404040" w:themeColor="text1" w:themeTint="BF"/>
    </w:rPr>
  </w:style>
  <w:style w:type="paragraph" w:styleId="ListParagraph">
    <w:name w:val="List Paragraph"/>
    <w:basedOn w:val="Normal"/>
    <w:uiPriority w:val="34"/>
    <w:qFormat/>
    <w:rsid w:val="003359A7"/>
    <w:pPr>
      <w:ind w:left="720"/>
      <w:contextualSpacing/>
    </w:pPr>
  </w:style>
  <w:style w:type="character" w:styleId="IntenseEmphasis">
    <w:name w:val="Intense Emphasis"/>
    <w:basedOn w:val="DefaultParagraphFont"/>
    <w:uiPriority w:val="21"/>
    <w:qFormat/>
    <w:rsid w:val="003359A7"/>
    <w:rPr>
      <w:i/>
      <w:iCs/>
      <w:color w:val="0F4761" w:themeColor="accent1" w:themeShade="BF"/>
    </w:rPr>
  </w:style>
  <w:style w:type="paragraph" w:styleId="IntenseQuote">
    <w:name w:val="Intense Quote"/>
    <w:basedOn w:val="Normal"/>
    <w:next w:val="Normal"/>
    <w:link w:val="IntenseQuoteChar"/>
    <w:uiPriority w:val="30"/>
    <w:qFormat/>
    <w:rsid w:val="003359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59A7"/>
    <w:rPr>
      <w:i/>
      <w:iCs/>
      <w:color w:val="0F4761" w:themeColor="accent1" w:themeShade="BF"/>
    </w:rPr>
  </w:style>
  <w:style w:type="character" w:styleId="IntenseReference">
    <w:name w:val="Intense Reference"/>
    <w:basedOn w:val="DefaultParagraphFont"/>
    <w:uiPriority w:val="32"/>
    <w:qFormat/>
    <w:rsid w:val="003359A7"/>
    <w:rPr>
      <w:b/>
      <w:bCs/>
      <w:smallCaps/>
      <w:color w:val="0F4761" w:themeColor="accent1" w:themeShade="BF"/>
      <w:spacing w:val="5"/>
    </w:rPr>
  </w:style>
  <w:style w:type="paragraph" w:customStyle="1" w:styleId="paragraph">
    <w:name w:val="paragraph"/>
    <w:basedOn w:val="Normal"/>
    <w:rsid w:val="003359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ontentcontrolboundarysink">
    <w:name w:val="contentcontrolboundarysink"/>
    <w:basedOn w:val="DefaultParagraphFont"/>
    <w:rsid w:val="003359A7"/>
  </w:style>
  <w:style w:type="character" w:customStyle="1" w:styleId="normaltextrun">
    <w:name w:val="normaltextrun"/>
    <w:basedOn w:val="DefaultParagraphFont"/>
    <w:rsid w:val="003359A7"/>
  </w:style>
  <w:style w:type="character" w:customStyle="1" w:styleId="eop">
    <w:name w:val="eop"/>
    <w:basedOn w:val="DefaultParagraphFont"/>
    <w:rsid w:val="003359A7"/>
  </w:style>
  <w:style w:type="character" w:styleId="Hyperlink">
    <w:name w:val="Hyperlink"/>
    <w:basedOn w:val="DefaultParagraphFont"/>
    <w:uiPriority w:val="99"/>
    <w:unhideWhenUsed/>
    <w:rsid w:val="003359A7"/>
    <w:rPr>
      <w:color w:val="467886" w:themeColor="hyperlink"/>
      <w:u w:val="single"/>
    </w:rPr>
  </w:style>
  <w:style w:type="character" w:styleId="UnresolvedMention">
    <w:name w:val="Unresolved Mention"/>
    <w:basedOn w:val="DefaultParagraphFont"/>
    <w:uiPriority w:val="99"/>
    <w:semiHidden/>
    <w:unhideWhenUsed/>
    <w:rsid w:val="003359A7"/>
    <w:rPr>
      <w:color w:val="605E5C"/>
      <w:shd w:val="clear" w:color="auto" w:fill="E1DFDD"/>
    </w:rPr>
  </w:style>
  <w:style w:type="character" w:styleId="FollowedHyperlink">
    <w:name w:val="FollowedHyperlink"/>
    <w:basedOn w:val="DefaultParagraphFont"/>
    <w:uiPriority w:val="99"/>
    <w:semiHidden/>
    <w:unhideWhenUsed/>
    <w:rsid w:val="0061683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5495">
      <w:bodyDiv w:val="1"/>
      <w:marLeft w:val="0"/>
      <w:marRight w:val="0"/>
      <w:marTop w:val="0"/>
      <w:marBottom w:val="0"/>
      <w:divBdr>
        <w:top w:val="none" w:sz="0" w:space="0" w:color="auto"/>
        <w:left w:val="none" w:sz="0" w:space="0" w:color="auto"/>
        <w:bottom w:val="none" w:sz="0" w:space="0" w:color="auto"/>
        <w:right w:val="none" w:sz="0" w:space="0" w:color="auto"/>
      </w:divBdr>
      <w:divsChild>
        <w:div w:id="1797748240">
          <w:marLeft w:val="0"/>
          <w:marRight w:val="0"/>
          <w:marTop w:val="0"/>
          <w:marBottom w:val="0"/>
          <w:divBdr>
            <w:top w:val="none" w:sz="0" w:space="0" w:color="auto"/>
            <w:left w:val="none" w:sz="0" w:space="0" w:color="auto"/>
            <w:bottom w:val="none" w:sz="0" w:space="0" w:color="auto"/>
            <w:right w:val="none" w:sz="0" w:space="0" w:color="auto"/>
          </w:divBdr>
        </w:div>
        <w:div w:id="1544556199">
          <w:marLeft w:val="0"/>
          <w:marRight w:val="0"/>
          <w:marTop w:val="0"/>
          <w:marBottom w:val="0"/>
          <w:divBdr>
            <w:top w:val="none" w:sz="0" w:space="0" w:color="auto"/>
            <w:left w:val="none" w:sz="0" w:space="0" w:color="auto"/>
            <w:bottom w:val="none" w:sz="0" w:space="0" w:color="auto"/>
            <w:right w:val="none" w:sz="0" w:space="0" w:color="auto"/>
          </w:divBdr>
        </w:div>
        <w:div w:id="697703591">
          <w:marLeft w:val="0"/>
          <w:marRight w:val="0"/>
          <w:marTop w:val="0"/>
          <w:marBottom w:val="0"/>
          <w:divBdr>
            <w:top w:val="none" w:sz="0" w:space="0" w:color="auto"/>
            <w:left w:val="none" w:sz="0" w:space="0" w:color="auto"/>
            <w:bottom w:val="none" w:sz="0" w:space="0" w:color="auto"/>
            <w:right w:val="none" w:sz="0" w:space="0" w:color="auto"/>
          </w:divBdr>
        </w:div>
        <w:div w:id="1210142920">
          <w:marLeft w:val="0"/>
          <w:marRight w:val="0"/>
          <w:marTop w:val="0"/>
          <w:marBottom w:val="0"/>
          <w:divBdr>
            <w:top w:val="none" w:sz="0" w:space="0" w:color="auto"/>
            <w:left w:val="none" w:sz="0" w:space="0" w:color="auto"/>
            <w:bottom w:val="none" w:sz="0" w:space="0" w:color="auto"/>
            <w:right w:val="none" w:sz="0" w:space="0" w:color="auto"/>
          </w:divBdr>
        </w:div>
        <w:div w:id="688524614">
          <w:marLeft w:val="0"/>
          <w:marRight w:val="0"/>
          <w:marTop w:val="0"/>
          <w:marBottom w:val="0"/>
          <w:divBdr>
            <w:top w:val="none" w:sz="0" w:space="0" w:color="auto"/>
            <w:left w:val="none" w:sz="0" w:space="0" w:color="auto"/>
            <w:bottom w:val="none" w:sz="0" w:space="0" w:color="auto"/>
            <w:right w:val="none" w:sz="0" w:space="0" w:color="auto"/>
          </w:divBdr>
        </w:div>
        <w:div w:id="1137144824">
          <w:marLeft w:val="0"/>
          <w:marRight w:val="0"/>
          <w:marTop w:val="0"/>
          <w:marBottom w:val="0"/>
          <w:divBdr>
            <w:top w:val="none" w:sz="0" w:space="0" w:color="auto"/>
            <w:left w:val="none" w:sz="0" w:space="0" w:color="auto"/>
            <w:bottom w:val="none" w:sz="0" w:space="0" w:color="auto"/>
            <w:right w:val="none" w:sz="0" w:space="0" w:color="auto"/>
          </w:divBdr>
        </w:div>
        <w:div w:id="613483464">
          <w:marLeft w:val="0"/>
          <w:marRight w:val="0"/>
          <w:marTop w:val="0"/>
          <w:marBottom w:val="0"/>
          <w:divBdr>
            <w:top w:val="none" w:sz="0" w:space="0" w:color="auto"/>
            <w:left w:val="none" w:sz="0" w:space="0" w:color="auto"/>
            <w:bottom w:val="none" w:sz="0" w:space="0" w:color="auto"/>
            <w:right w:val="none" w:sz="0" w:space="0" w:color="auto"/>
          </w:divBdr>
        </w:div>
        <w:div w:id="487094055">
          <w:marLeft w:val="0"/>
          <w:marRight w:val="0"/>
          <w:marTop w:val="0"/>
          <w:marBottom w:val="0"/>
          <w:divBdr>
            <w:top w:val="none" w:sz="0" w:space="0" w:color="auto"/>
            <w:left w:val="none" w:sz="0" w:space="0" w:color="auto"/>
            <w:bottom w:val="none" w:sz="0" w:space="0" w:color="auto"/>
            <w:right w:val="none" w:sz="0" w:space="0" w:color="auto"/>
          </w:divBdr>
        </w:div>
        <w:div w:id="1096514471">
          <w:marLeft w:val="0"/>
          <w:marRight w:val="0"/>
          <w:marTop w:val="0"/>
          <w:marBottom w:val="0"/>
          <w:divBdr>
            <w:top w:val="none" w:sz="0" w:space="0" w:color="auto"/>
            <w:left w:val="none" w:sz="0" w:space="0" w:color="auto"/>
            <w:bottom w:val="none" w:sz="0" w:space="0" w:color="auto"/>
            <w:right w:val="none" w:sz="0" w:space="0" w:color="auto"/>
          </w:divBdr>
        </w:div>
        <w:div w:id="1915775460">
          <w:marLeft w:val="0"/>
          <w:marRight w:val="0"/>
          <w:marTop w:val="0"/>
          <w:marBottom w:val="0"/>
          <w:divBdr>
            <w:top w:val="none" w:sz="0" w:space="0" w:color="auto"/>
            <w:left w:val="none" w:sz="0" w:space="0" w:color="auto"/>
            <w:bottom w:val="none" w:sz="0" w:space="0" w:color="auto"/>
            <w:right w:val="none" w:sz="0" w:space="0" w:color="auto"/>
          </w:divBdr>
        </w:div>
        <w:div w:id="1856110853">
          <w:marLeft w:val="0"/>
          <w:marRight w:val="0"/>
          <w:marTop w:val="0"/>
          <w:marBottom w:val="0"/>
          <w:divBdr>
            <w:top w:val="none" w:sz="0" w:space="0" w:color="auto"/>
            <w:left w:val="none" w:sz="0" w:space="0" w:color="auto"/>
            <w:bottom w:val="none" w:sz="0" w:space="0" w:color="auto"/>
            <w:right w:val="none" w:sz="0" w:space="0" w:color="auto"/>
          </w:divBdr>
        </w:div>
        <w:div w:id="667945456">
          <w:marLeft w:val="0"/>
          <w:marRight w:val="0"/>
          <w:marTop w:val="0"/>
          <w:marBottom w:val="0"/>
          <w:divBdr>
            <w:top w:val="none" w:sz="0" w:space="0" w:color="auto"/>
            <w:left w:val="none" w:sz="0" w:space="0" w:color="auto"/>
            <w:bottom w:val="none" w:sz="0" w:space="0" w:color="auto"/>
            <w:right w:val="none" w:sz="0" w:space="0" w:color="auto"/>
          </w:divBdr>
        </w:div>
        <w:div w:id="1051266065">
          <w:marLeft w:val="0"/>
          <w:marRight w:val="0"/>
          <w:marTop w:val="0"/>
          <w:marBottom w:val="0"/>
          <w:divBdr>
            <w:top w:val="none" w:sz="0" w:space="0" w:color="auto"/>
            <w:left w:val="none" w:sz="0" w:space="0" w:color="auto"/>
            <w:bottom w:val="none" w:sz="0" w:space="0" w:color="auto"/>
            <w:right w:val="none" w:sz="0" w:space="0" w:color="auto"/>
          </w:divBdr>
        </w:div>
        <w:div w:id="1928153592">
          <w:marLeft w:val="0"/>
          <w:marRight w:val="0"/>
          <w:marTop w:val="0"/>
          <w:marBottom w:val="0"/>
          <w:divBdr>
            <w:top w:val="none" w:sz="0" w:space="0" w:color="auto"/>
            <w:left w:val="none" w:sz="0" w:space="0" w:color="auto"/>
            <w:bottom w:val="none" w:sz="0" w:space="0" w:color="auto"/>
            <w:right w:val="none" w:sz="0" w:space="0" w:color="auto"/>
          </w:divBdr>
        </w:div>
        <w:div w:id="1340427473">
          <w:marLeft w:val="0"/>
          <w:marRight w:val="0"/>
          <w:marTop w:val="0"/>
          <w:marBottom w:val="0"/>
          <w:divBdr>
            <w:top w:val="none" w:sz="0" w:space="0" w:color="auto"/>
            <w:left w:val="none" w:sz="0" w:space="0" w:color="auto"/>
            <w:bottom w:val="none" w:sz="0" w:space="0" w:color="auto"/>
            <w:right w:val="none" w:sz="0" w:space="0" w:color="auto"/>
          </w:divBdr>
        </w:div>
        <w:div w:id="406270517">
          <w:marLeft w:val="0"/>
          <w:marRight w:val="0"/>
          <w:marTop w:val="0"/>
          <w:marBottom w:val="0"/>
          <w:divBdr>
            <w:top w:val="none" w:sz="0" w:space="0" w:color="auto"/>
            <w:left w:val="none" w:sz="0" w:space="0" w:color="auto"/>
            <w:bottom w:val="none" w:sz="0" w:space="0" w:color="auto"/>
            <w:right w:val="none" w:sz="0" w:space="0" w:color="auto"/>
          </w:divBdr>
        </w:div>
        <w:div w:id="1079985135">
          <w:marLeft w:val="0"/>
          <w:marRight w:val="0"/>
          <w:marTop w:val="0"/>
          <w:marBottom w:val="0"/>
          <w:divBdr>
            <w:top w:val="none" w:sz="0" w:space="0" w:color="auto"/>
            <w:left w:val="none" w:sz="0" w:space="0" w:color="auto"/>
            <w:bottom w:val="none" w:sz="0" w:space="0" w:color="auto"/>
            <w:right w:val="none" w:sz="0" w:space="0" w:color="auto"/>
          </w:divBdr>
        </w:div>
        <w:div w:id="946041937">
          <w:marLeft w:val="0"/>
          <w:marRight w:val="0"/>
          <w:marTop w:val="0"/>
          <w:marBottom w:val="0"/>
          <w:divBdr>
            <w:top w:val="none" w:sz="0" w:space="0" w:color="auto"/>
            <w:left w:val="none" w:sz="0" w:space="0" w:color="auto"/>
            <w:bottom w:val="none" w:sz="0" w:space="0" w:color="auto"/>
            <w:right w:val="none" w:sz="0" w:space="0" w:color="auto"/>
          </w:divBdr>
        </w:div>
        <w:div w:id="2110419882">
          <w:marLeft w:val="0"/>
          <w:marRight w:val="0"/>
          <w:marTop w:val="0"/>
          <w:marBottom w:val="0"/>
          <w:divBdr>
            <w:top w:val="none" w:sz="0" w:space="0" w:color="auto"/>
            <w:left w:val="none" w:sz="0" w:space="0" w:color="auto"/>
            <w:bottom w:val="none" w:sz="0" w:space="0" w:color="auto"/>
            <w:right w:val="none" w:sz="0" w:space="0" w:color="auto"/>
          </w:divBdr>
        </w:div>
        <w:div w:id="1574966152">
          <w:marLeft w:val="0"/>
          <w:marRight w:val="0"/>
          <w:marTop w:val="0"/>
          <w:marBottom w:val="0"/>
          <w:divBdr>
            <w:top w:val="none" w:sz="0" w:space="0" w:color="auto"/>
            <w:left w:val="none" w:sz="0" w:space="0" w:color="auto"/>
            <w:bottom w:val="none" w:sz="0" w:space="0" w:color="auto"/>
            <w:right w:val="none" w:sz="0" w:space="0" w:color="auto"/>
          </w:divBdr>
        </w:div>
        <w:div w:id="1480146745">
          <w:marLeft w:val="0"/>
          <w:marRight w:val="0"/>
          <w:marTop w:val="0"/>
          <w:marBottom w:val="0"/>
          <w:divBdr>
            <w:top w:val="none" w:sz="0" w:space="0" w:color="auto"/>
            <w:left w:val="none" w:sz="0" w:space="0" w:color="auto"/>
            <w:bottom w:val="none" w:sz="0" w:space="0" w:color="auto"/>
            <w:right w:val="none" w:sz="0" w:space="0" w:color="auto"/>
          </w:divBdr>
        </w:div>
        <w:div w:id="2097938896">
          <w:marLeft w:val="0"/>
          <w:marRight w:val="0"/>
          <w:marTop w:val="0"/>
          <w:marBottom w:val="0"/>
          <w:divBdr>
            <w:top w:val="none" w:sz="0" w:space="0" w:color="auto"/>
            <w:left w:val="none" w:sz="0" w:space="0" w:color="auto"/>
            <w:bottom w:val="none" w:sz="0" w:space="0" w:color="auto"/>
            <w:right w:val="none" w:sz="0" w:space="0" w:color="auto"/>
          </w:divBdr>
        </w:div>
        <w:div w:id="146481740">
          <w:marLeft w:val="0"/>
          <w:marRight w:val="0"/>
          <w:marTop w:val="0"/>
          <w:marBottom w:val="0"/>
          <w:divBdr>
            <w:top w:val="none" w:sz="0" w:space="0" w:color="auto"/>
            <w:left w:val="none" w:sz="0" w:space="0" w:color="auto"/>
            <w:bottom w:val="none" w:sz="0" w:space="0" w:color="auto"/>
            <w:right w:val="none" w:sz="0" w:space="0" w:color="auto"/>
          </w:divBdr>
        </w:div>
        <w:div w:id="1341856741">
          <w:marLeft w:val="0"/>
          <w:marRight w:val="0"/>
          <w:marTop w:val="0"/>
          <w:marBottom w:val="0"/>
          <w:divBdr>
            <w:top w:val="none" w:sz="0" w:space="0" w:color="auto"/>
            <w:left w:val="none" w:sz="0" w:space="0" w:color="auto"/>
            <w:bottom w:val="none" w:sz="0" w:space="0" w:color="auto"/>
            <w:right w:val="none" w:sz="0" w:space="0" w:color="auto"/>
          </w:divBdr>
        </w:div>
        <w:div w:id="737020791">
          <w:marLeft w:val="0"/>
          <w:marRight w:val="0"/>
          <w:marTop w:val="0"/>
          <w:marBottom w:val="0"/>
          <w:divBdr>
            <w:top w:val="none" w:sz="0" w:space="0" w:color="auto"/>
            <w:left w:val="none" w:sz="0" w:space="0" w:color="auto"/>
            <w:bottom w:val="none" w:sz="0" w:space="0" w:color="auto"/>
            <w:right w:val="none" w:sz="0" w:space="0" w:color="auto"/>
          </w:divBdr>
        </w:div>
        <w:div w:id="1633292971">
          <w:marLeft w:val="0"/>
          <w:marRight w:val="0"/>
          <w:marTop w:val="0"/>
          <w:marBottom w:val="0"/>
          <w:divBdr>
            <w:top w:val="none" w:sz="0" w:space="0" w:color="auto"/>
            <w:left w:val="none" w:sz="0" w:space="0" w:color="auto"/>
            <w:bottom w:val="none" w:sz="0" w:space="0" w:color="auto"/>
            <w:right w:val="none" w:sz="0" w:space="0" w:color="auto"/>
          </w:divBdr>
        </w:div>
        <w:div w:id="742993437">
          <w:marLeft w:val="0"/>
          <w:marRight w:val="0"/>
          <w:marTop w:val="0"/>
          <w:marBottom w:val="0"/>
          <w:divBdr>
            <w:top w:val="none" w:sz="0" w:space="0" w:color="auto"/>
            <w:left w:val="none" w:sz="0" w:space="0" w:color="auto"/>
            <w:bottom w:val="none" w:sz="0" w:space="0" w:color="auto"/>
            <w:right w:val="none" w:sz="0" w:space="0" w:color="auto"/>
          </w:divBdr>
        </w:div>
        <w:div w:id="420951046">
          <w:marLeft w:val="0"/>
          <w:marRight w:val="0"/>
          <w:marTop w:val="0"/>
          <w:marBottom w:val="0"/>
          <w:divBdr>
            <w:top w:val="none" w:sz="0" w:space="0" w:color="auto"/>
            <w:left w:val="none" w:sz="0" w:space="0" w:color="auto"/>
            <w:bottom w:val="none" w:sz="0" w:space="0" w:color="auto"/>
            <w:right w:val="none" w:sz="0" w:space="0" w:color="auto"/>
          </w:divBdr>
        </w:div>
        <w:div w:id="1584753965">
          <w:marLeft w:val="0"/>
          <w:marRight w:val="0"/>
          <w:marTop w:val="0"/>
          <w:marBottom w:val="0"/>
          <w:divBdr>
            <w:top w:val="none" w:sz="0" w:space="0" w:color="auto"/>
            <w:left w:val="none" w:sz="0" w:space="0" w:color="auto"/>
            <w:bottom w:val="none" w:sz="0" w:space="0" w:color="auto"/>
            <w:right w:val="none" w:sz="0" w:space="0" w:color="auto"/>
          </w:divBdr>
        </w:div>
      </w:divsChild>
    </w:div>
    <w:div w:id="296034566">
      <w:bodyDiv w:val="1"/>
      <w:marLeft w:val="0"/>
      <w:marRight w:val="0"/>
      <w:marTop w:val="0"/>
      <w:marBottom w:val="0"/>
      <w:divBdr>
        <w:top w:val="none" w:sz="0" w:space="0" w:color="auto"/>
        <w:left w:val="none" w:sz="0" w:space="0" w:color="auto"/>
        <w:bottom w:val="none" w:sz="0" w:space="0" w:color="auto"/>
        <w:right w:val="none" w:sz="0" w:space="0" w:color="auto"/>
      </w:divBdr>
      <w:divsChild>
        <w:div w:id="86275388">
          <w:marLeft w:val="0"/>
          <w:marRight w:val="0"/>
          <w:marTop w:val="0"/>
          <w:marBottom w:val="0"/>
          <w:divBdr>
            <w:top w:val="none" w:sz="0" w:space="0" w:color="auto"/>
            <w:left w:val="none" w:sz="0" w:space="0" w:color="auto"/>
            <w:bottom w:val="none" w:sz="0" w:space="0" w:color="auto"/>
            <w:right w:val="none" w:sz="0" w:space="0" w:color="auto"/>
          </w:divBdr>
        </w:div>
        <w:div w:id="622884992">
          <w:marLeft w:val="0"/>
          <w:marRight w:val="0"/>
          <w:marTop w:val="0"/>
          <w:marBottom w:val="0"/>
          <w:divBdr>
            <w:top w:val="none" w:sz="0" w:space="0" w:color="auto"/>
            <w:left w:val="none" w:sz="0" w:space="0" w:color="auto"/>
            <w:bottom w:val="none" w:sz="0" w:space="0" w:color="auto"/>
            <w:right w:val="none" w:sz="0" w:space="0" w:color="auto"/>
          </w:divBdr>
        </w:div>
        <w:div w:id="1918393859">
          <w:marLeft w:val="0"/>
          <w:marRight w:val="0"/>
          <w:marTop w:val="0"/>
          <w:marBottom w:val="0"/>
          <w:divBdr>
            <w:top w:val="none" w:sz="0" w:space="0" w:color="auto"/>
            <w:left w:val="none" w:sz="0" w:space="0" w:color="auto"/>
            <w:bottom w:val="none" w:sz="0" w:space="0" w:color="auto"/>
            <w:right w:val="none" w:sz="0" w:space="0" w:color="auto"/>
          </w:divBdr>
        </w:div>
        <w:div w:id="932476959">
          <w:marLeft w:val="0"/>
          <w:marRight w:val="0"/>
          <w:marTop w:val="0"/>
          <w:marBottom w:val="0"/>
          <w:divBdr>
            <w:top w:val="none" w:sz="0" w:space="0" w:color="auto"/>
            <w:left w:val="none" w:sz="0" w:space="0" w:color="auto"/>
            <w:bottom w:val="none" w:sz="0" w:space="0" w:color="auto"/>
            <w:right w:val="none" w:sz="0" w:space="0" w:color="auto"/>
          </w:divBdr>
        </w:div>
        <w:div w:id="1728531475">
          <w:marLeft w:val="0"/>
          <w:marRight w:val="0"/>
          <w:marTop w:val="0"/>
          <w:marBottom w:val="0"/>
          <w:divBdr>
            <w:top w:val="none" w:sz="0" w:space="0" w:color="auto"/>
            <w:left w:val="none" w:sz="0" w:space="0" w:color="auto"/>
            <w:bottom w:val="none" w:sz="0" w:space="0" w:color="auto"/>
            <w:right w:val="none" w:sz="0" w:space="0" w:color="auto"/>
          </w:divBdr>
        </w:div>
        <w:div w:id="237179697">
          <w:marLeft w:val="0"/>
          <w:marRight w:val="0"/>
          <w:marTop w:val="0"/>
          <w:marBottom w:val="0"/>
          <w:divBdr>
            <w:top w:val="none" w:sz="0" w:space="0" w:color="auto"/>
            <w:left w:val="none" w:sz="0" w:space="0" w:color="auto"/>
            <w:bottom w:val="none" w:sz="0" w:space="0" w:color="auto"/>
            <w:right w:val="none" w:sz="0" w:space="0" w:color="auto"/>
          </w:divBdr>
        </w:div>
        <w:div w:id="1173959768">
          <w:marLeft w:val="0"/>
          <w:marRight w:val="0"/>
          <w:marTop w:val="0"/>
          <w:marBottom w:val="0"/>
          <w:divBdr>
            <w:top w:val="none" w:sz="0" w:space="0" w:color="auto"/>
            <w:left w:val="none" w:sz="0" w:space="0" w:color="auto"/>
            <w:bottom w:val="none" w:sz="0" w:space="0" w:color="auto"/>
            <w:right w:val="none" w:sz="0" w:space="0" w:color="auto"/>
          </w:divBdr>
        </w:div>
        <w:div w:id="992106923">
          <w:marLeft w:val="0"/>
          <w:marRight w:val="0"/>
          <w:marTop w:val="0"/>
          <w:marBottom w:val="0"/>
          <w:divBdr>
            <w:top w:val="none" w:sz="0" w:space="0" w:color="auto"/>
            <w:left w:val="none" w:sz="0" w:space="0" w:color="auto"/>
            <w:bottom w:val="none" w:sz="0" w:space="0" w:color="auto"/>
            <w:right w:val="none" w:sz="0" w:space="0" w:color="auto"/>
          </w:divBdr>
        </w:div>
        <w:div w:id="393547271">
          <w:marLeft w:val="0"/>
          <w:marRight w:val="0"/>
          <w:marTop w:val="0"/>
          <w:marBottom w:val="0"/>
          <w:divBdr>
            <w:top w:val="none" w:sz="0" w:space="0" w:color="auto"/>
            <w:left w:val="none" w:sz="0" w:space="0" w:color="auto"/>
            <w:bottom w:val="none" w:sz="0" w:space="0" w:color="auto"/>
            <w:right w:val="none" w:sz="0" w:space="0" w:color="auto"/>
          </w:divBdr>
        </w:div>
        <w:div w:id="1072239245">
          <w:marLeft w:val="0"/>
          <w:marRight w:val="0"/>
          <w:marTop w:val="0"/>
          <w:marBottom w:val="0"/>
          <w:divBdr>
            <w:top w:val="none" w:sz="0" w:space="0" w:color="auto"/>
            <w:left w:val="none" w:sz="0" w:space="0" w:color="auto"/>
            <w:bottom w:val="none" w:sz="0" w:space="0" w:color="auto"/>
            <w:right w:val="none" w:sz="0" w:space="0" w:color="auto"/>
          </w:divBdr>
        </w:div>
        <w:div w:id="1236553692">
          <w:marLeft w:val="0"/>
          <w:marRight w:val="0"/>
          <w:marTop w:val="0"/>
          <w:marBottom w:val="0"/>
          <w:divBdr>
            <w:top w:val="none" w:sz="0" w:space="0" w:color="auto"/>
            <w:left w:val="none" w:sz="0" w:space="0" w:color="auto"/>
            <w:bottom w:val="none" w:sz="0" w:space="0" w:color="auto"/>
            <w:right w:val="none" w:sz="0" w:space="0" w:color="auto"/>
          </w:divBdr>
        </w:div>
        <w:div w:id="1409227487">
          <w:marLeft w:val="0"/>
          <w:marRight w:val="0"/>
          <w:marTop w:val="0"/>
          <w:marBottom w:val="0"/>
          <w:divBdr>
            <w:top w:val="none" w:sz="0" w:space="0" w:color="auto"/>
            <w:left w:val="none" w:sz="0" w:space="0" w:color="auto"/>
            <w:bottom w:val="none" w:sz="0" w:space="0" w:color="auto"/>
            <w:right w:val="none" w:sz="0" w:space="0" w:color="auto"/>
          </w:divBdr>
        </w:div>
        <w:div w:id="2095783934">
          <w:marLeft w:val="0"/>
          <w:marRight w:val="0"/>
          <w:marTop w:val="0"/>
          <w:marBottom w:val="0"/>
          <w:divBdr>
            <w:top w:val="none" w:sz="0" w:space="0" w:color="auto"/>
            <w:left w:val="none" w:sz="0" w:space="0" w:color="auto"/>
            <w:bottom w:val="none" w:sz="0" w:space="0" w:color="auto"/>
            <w:right w:val="none" w:sz="0" w:space="0" w:color="auto"/>
          </w:divBdr>
        </w:div>
        <w:div w:id="1449085601">
          <w:marLeft w:val="0"/>
          <w:marRight w:val="0"/>
          <w:marTop w:val="0"/>
          <w:marBottom w:val="0"/>
          <w:divBdr>
            <w:top w:val="none" w:sz="0" w:space="0" w:color="auto"/>
            <w:left w:val="none" w:sz="0" w:space="0" w:color="auto"/>
            <w:bottom w:val="none" w:sz="0" w:space="0" w:color="auto"/>
            <w:right w:val="none" w:sz="0" w:space="0" w:color="auto"/>
          </w:divBdr>
        </w:div>
        <w:div w:id="353117226">
          <w:marLeft w:val="0"/>
          <w:marRight w:val="0"/>
          <w:marTop w:val="0"/>
          <w:marBottom w:val="0"/>
          <w:divBdr>
            <w:top w:val="none" w:sz="0" w:space="0" w:color="auto"/>
            <w:left w:val="none" w:sz="0" w:space="0" w:color="auto"/>
            <w:bottom w:val="none" w:sz="0" w:space="0" w:color="auto"/>
            <w:right w:val="none" w:sz="0" w:space="0" w:color="auto"/>
          </w:divBdr>
        </w:div>
        <w:div w:id="19087293">
          <w:marLeft w:val="0"/>
          <w:marRight w:val="0"/>
          <w:marTop w:val="0"/>
          <w:marBottom w:val="0"/>
          <w:divBdr>
            <w:top w:val="none" w:sz="0" w:space="0" w:color="auto"/>
            <w:left w:val="none" w:sz="0" w:space="0" w:color="auto"/>
            <w:bottom w:val="none" w:sz="0" w:space="0" w:color="auto"/>
            <w:right w:val="none" w:sz="0" w:space="0" w:color="auto"/>
          </w:divBdr>
        </w:div>
        <w:div w:id="1623921415">
          <w:marLeft w:val="0"/>
          <w:marRight w:val="0"/>
          <w:marTop w:val="0"/>
          <w:marBottom w:val="0"/>
          <w:divBdr>
            <w:top w:val="none" w:sz="0" w:space="0" w:color="auto"/>
            <w:left w:val="none" w:sz="0" w:space="0" w:color="auto"/>
            <w:bottom w:val="none" w:sz="0" w:space="0" w:color="auto"/>
            <w:right w:val="none" w:sz="0" w:space="0" w:color="auto"/>
          </w:divBdr>
        </w:div>
        <w:div w:id="80756417">
          <w:marLeft w:val="0"/>
          <w:marRight w:val="0"/>
          <w:marTop w:val="0"/>
          <w:marBottom w:val="0"/>
          <w:divBdr>
            <w:top w:val="none" w:sz="0" w:space="0" w:color="auto"/>
            <w:left w:val="none" w:sz="0" w:space="0" w:color="auto"/>
            <w:bottom w:val="none" w:sz="0" w:space="0" w:color="auto"/>
            <w:right w:val="none" w:sz="0" w:space="0" w:color="auto"/>
          </w:divBdr>
        </w:div>
        <w:div w:id="506480455">
          <w:marLeft w:val="0"/>
          <w:marRight w:val="0"/>
          <w:marTop w:val="0"/>
          <w:marBottom w:val="0"/>
          <w:divBdr>
            <w:top w:val="none" w:sz="0" w:space="0" w:color="auto"/>
            <w:left w:val="none" w:sz="0" w:space="0" w:color="auto"/>
            <w:bottom w:val="none" w:sz="0" w:space="0" w:color="auto"/>
            <w:right w:val="none" w:sz="0" w:space="0" w:color="auto"/>
          </w:divBdr>
        </w:div>
        <w:div w:id="2096973915">
          <w:marLeft w:val="0"/>
          <w:marRight w:val="0"/>
          <w:marTop w:val="0"/>
          <w:marBottom w:val="0"/>
          <w:divBdr>
            <w:top w:val="none" w:sz="0" w:space="0" w:color="auto"/>
            <w:left w:val="none" w:sz="0" w:space="0" w:color="auto"/>
            <w:bottom w:val="none" w:sz="0" w:space="0" w:color="auto"/>
            <w:right w:val="none" w:sz="0" w:space="0" w:color="auto"/>
          </w:divBdr>
        </w:div>
        <w:div w:id="1710641392">
          <w:marLeft w:val="0"/>
          <w:marRight w:val="0"/>
          <w:marTop w:val="0"/>
          <w:marBottom w:val="0"/>
          <w:divBdr>
            <w:top w:val="none" w:sz="0" w:space="0" w:color="auto"/>
            <w:left w:val="none" w:sz="0" w:space="0" w:color="auto"/>
            <w:bottom w:val="none" w:sz="0" w:space="0" w:color="auto"/>
            <w:right w:val="none" w:sz="0" w:space="0" w:color="auto"/>
          </w:divBdr>
        </w:div>
        <w:div w:id="363756464">
          <w:marLeft w:val="0"/>
          <w:marRight w:val="0"/>
          <w:marTop w:val="0"/>
          <w:marBottom w:val="0"/>
          <w:divBdr>
            <w:top w:val="none" w:sz="0" w:space="0" w:color="auto"/>
            <w:left w:val="none" w:sz="0" w:space="0" w:color="auto"/>
            <w:bottom w:val="none" w:sz="0" w:space="0" w:color="auto"/>
            <w:right w:val="none" w:sz="0" w:space="0" w:color="auto"/>
          </w:divBdr>
        </w:div>
        <w:div w:id="1147822997">
          <w:marLeft w:val="0"/>
          <w:marRight w:val="0"/>
          <w:marTop w:val="0"/>
          <w:marBottom w:val="0"/>
          <w:divBdr>
            <w:top w:val="none" w:sz="0" w:space="0" w:color="auto"/>
            <w:left w:val="none" w:sz="0" w:space="0" w:color="auto"/>
            <w:bottom w:val="none" w:sz="0" w:space="0" w:color="auto"/>
            <w:right w:val="none" w:sz="0" w:space="0" w:color="auto"/>
          </w:divBdr>
        </w:div>
        <w:div w:id="52196882">
          <w:marLeft w:val="0"/>
          <w:marRight w:val="0"/>
          <w:marTop w:val="0"/>
          <w:marBottom w:val="0"/>
          <w:divBdr>
            <w:top w:val="none" w:sz="0" w:space="0" w:color="auto"/>
            <w:left w:val="none" w:sz="0" w:space="0" w:color="auto"/>
            <w:bottom w:val="none" w:sz="0" w:space="0" w:color="auto"/>
            <w:right w:val="none" w:sz="0" w:space="0" w:color="auto"/>
          </w:divBdr>
        </w:div>
        <w:div w:id="707873789">
          <w:marLeft w:val="0"/>
          <w:marRight w:val="0"/>
          <w:marTop w:val="0"/>
          <w:marBottom w:val="0"/>
          <w:divBdr>
            <w:top w:val="none" w:sz="0" w:space="0" w:color="auto"/>
            <w:left w:val="none" w:sz="0" w:space="0" w:color="auto"/>
            <w:bottom w:val="none" w:sz="0" w:space="0" w:color="auto"/>
            <w:right w:val="none" w:sz="0" w:space="0" w:color="auto"/>
          </w:divBdr>
        </w:div>
        <w:div w:id="1264612580">
          <w:marLeft w:val="0"/>
          <w:marRight w:val="0"/>
          <w:marTop w:val="0"/>
          <w:marBottom w:val="0"/>
          <w:divBdr>
            <w:top w:val="none" w:sz="0" w:space="0" w:color="auto"/>
            <w:left w:val="none" w:sz="0" w:space="0" w:color="auto"/>
            <w:bottom w:val="none" w:sz="0" w:space="0" w:color="auto"/>
            <w:right w:val="none" w:sz="0" w:space="0" w:color="auto"/>
          </w:divBdr>
        </w:div>
        <w:div w:id="1796171900">
          <w:marLeft w:val="0"/>
          <w:marRight w:val="0"/>
          <w:marTop w:val="0"/>
          <w:marBottom w:val="0"/>
          <w:divBdr>
            <w:top w:val="none" w:sz="0" w:space="0" w:color="auto"/>
            <w:left w:val="none" w:sz="0" w:space="0" w:color="auto"/>
            <w:bottom w:val="none" w:sz="0" w:space="0" w:color="auto"/>
            <w:right w:val="none" w:sz="0" w:space="0" w:color="auto"/>
          </w:divBdr>
        </w:div>
        <w:div w:id="1933776132">
          <w:marLeft w:val="0"/>
          <w:marRight w:val="0"/>
          <w:marTop w:val="0"/>
          <w:marBottom w:val="0"/>
          <w:divBdr>
            <w:top w:val="none" w:sz="0" w:space="0" w:color="auto"/>
            <w:left w:val="none" w:sz="0" w:space="0" w:color="auto"/>
            <w:bottom w:val="none" w:sz="0" w:space="0" w:color="auto"/>
            <w:right w:val="none" w:sz="0" w:space="0" w:color="auto"/>
          </w:divBdr>
        </w:div>
        <w:div w:id="1156066214">
          <w:marLeft w:val="0"/>
          <w:marRight w:val="0"/>
          <w:marTop w:val="0"/>
          <w:marBottom w:val="0"/>
          <w:divBdr>
            <w:top w:val="none" w:sz="0" w:space="0" w:color="auto"/>
            <w:left w:val="none" w:sz="0" w:space="0" w:color="auto"/>
            <w:bottom w:val="none" w:sz="0" w:space="0" w:color="auto"/>
            <w:right w:val="none" w:sz="0" w:space="0" w:color="auto"/>
          </w:divBdr>
        </w:div>
      </w:divsChild>
    </w:div>
    <w:div w:id="747844126">
      <w:bodyDiv w:val="1"/>
      <w:marLeft w:val="0"/>
      <w:marRight w:val="0"/>
      <w:marTop w:val="0"/>
      <w:marBottom w:val="0"/>
      <w:divBdr>
        <w:top w:val="none" w:sz="0" w:space="0" w:color="auto"/>
        <w:left w:val="none" w:sz="0" w:space="0" w:color="auto"/>
        <w:bottom w:val="none" w:sz="0" w:space="0" w:color="auto"/>
        <w:right w:val="none" w:sz="0" w:space="0" w:color="auto"/>
      </w:divBdr>
      <w:divsChild>
        <w:div w:id="314376945">
          <w:marLeft w:val="0"/>
          <w:marRight w:val="0"/>
          <w:marTop w:val="0"/>
          <w:marBottom w:val="0"/>
          <w:divBdr>
            <w:top w:val="none" w:sz="0" w:space="0" w:color="auto"/>
            <w:left w:val="none" w:sz="0" w:space="0" w:color="auto"/>
            <w:bottom w:val="none" w:sz="0" w:space="0" w:color="auto"/>
            <w:right w:val="none" w:sz="0" w:space="0" w:color="auto"/>
          </w:divBdr>
        </w:div>
        <w:div w:id="1509828109">
          <w:marLeft w:val="0"/>
          <w:marRight w:val="0"/>
          <w:marTop w:val="0"/>
          <w:marBottom w:val="0"/>
          <w:divBdr>
            <w:top w:val="none" w:sz="0" w:space="0" w:color="auto"/>
            <w:left w:val="none" w:sz="0" w:space="0" w:color="auto"/>
            <w:bottom w:val="none" w:sz="0" w:space="0" w:color="auto"/>
            <w:right w:val="none" w:sz="0" w:space="0" w:color="auto"/>
          </w:divBdr>
        </w:div>
        <w:div w:id="1418021725">
          <w:marLeft w:val="0"/>
          <w:marRight w:val="0"/>
          <w:marTop w:val="0"/>
          <w:marBottom w:val="0"/>
          <w:divBdr>
            <w:top w:val="none" w:sz="0" w:space="0" w:color="auto"/>
            <w:left w:val="none" w:sz="0" w:space="0" w:color="auto"/>
            <w:bottom w:val="none" w:sz="0" w:space="0" w:color="auto"/>
            <w:right w:val="none" w:sz="0" w:space="0" w:color="auto"/>
          </w:divBdr>
        </w:div>
        <w:div w:id="1558474647">
          <w:marLeft w:val="0"/>
          <w:marRight w:val="0"/>
          <w:marTop w:val="0"/>
          <w:marBottom w:val="0"/>
          <w:divBdr>
            <w:top w:val="none" w:sz="0" w:space="0" w:color="auto"/>
            <w:left w:val="none" w:sz="0" w:space="0" w:color="auto"/>
            <w:bottom w:val="none" w:sz="0" w:space="0" w:color="auto"/>
            <w:right w:val="none" w:sz="0" w:space="0" w:color="auto"/>
          </w:divBdr>
        </w:div>
        <w:div w:id="688455974">
          <w:marLeft w:val="0"/>
          <w:marRight w:val="0"/>
          <w:marTop w:val="0"/>
          <w:marBottom w:val="0"/>
          <w:divBdr>
            <w:top w:val="none" w:sz="0" w:space="0" w:color="auto"/>
            <w:left w:val="none" w:sz="0" w:space="0" w:color="auto"/>
            <w:bottom w:val="none" w:sz="0" w:space="0" w:color="auto"/>
            <w:right w:val="none" w:sz="0" w:space="0" w:color="auto"/>
          </w:divBdr>
        </w:div>
        <w:div w:id="469634319">
          <w:marLeft w:val="0"/>
          <w:marRight w:val="0"/>
          <w:marTop w:val="0"/>
          <w:marBottom w:val="0"/>
          <w:divBdr>
            <w:top w:val="none" w:sz="0" w:space="0" w:color="auto"/>
            <w:left w:val="none" w:sz="0" w:space="0" w:color="auto"/>
            <w:bottom w:val="none" w:sz="0" w:space="0" w:color="auto"/>
            <w:right w:val="none" w:sz="0" w:space="0" w:color="auto"/>
          </w:divBdr>
        </w:div>
        <w:div w:id="2122147940">
          <w:marLeft w:val="0"/>
          <w:marRight w:val="0"/>
          <w:marTop w:val="0"/>
          <w:marBottom w:val="0"/>
          <w:divBdr>
            <w:top w:val="none" w:sz="0" w:space="0" w:color="auto"/>
            <w:left w:val="none" w:sz="0" w:space="0" w:color="auto"/>
            <w:bottom w:val="none" w:sz="0" w:space="0" w:color="auto"/>
            <w:right w:val="none" w:sz="0" w:space="0" w:color="auto"/>
          </w:divBdr>
        </w:div>
        <w:div w:id="1930239338">
          <w:marLeft w:val="0"/>
          <w:marRight w:val="0"/>
          <w:marTop w:val="0"/>
          <w:marBottom w:val="0"/>
          <w:divBdr>
            <w:top w:val="none" w:sz="0" w:space="0" w:color="auto"/>
            <w:left w:val="none" w:sz="0" w:space="0" w:color="auto"/>
            <w:bottom w:val="none" w:sz="0" w:space="0" w:color="auto"/>
            <w:right w:val="none" w:sz="0" w:space="0" w:color="auto"/>
          </w:divBdr>
        </w:div>
        <w:div w:id="98644864">
          <w:marLeft w:val="0"/>
          <w:marRight w:val="0"/>
          <w:marTop w:val="0"/>
          <w:marBottom w:val="0"/>
          <w:divBdr>
            <w:top w:val="none" w:sz="0" w:space="0" w:color="auto"/>
            <w:left w:val="none" w:sz="0" w:space="0" w:color="auto"/>
            <w:bottom w:val="none" w:sz="0" w:space="0" w:color="auto"/>
            <w:right w:val="none" w:sz="0" w:space="0" w:color="auto"/>
          </w:divBdr>
        </w:div>
        <w:div w:id="1177116154">
          <w:marLeft w:val="0"/>
          <w:marRight w:val="0"/>
          <w:marTop w:val="0"/>
          <w:marBottom w:val="0"/>
          <w:divBdr>
            <w:top w:val="none" w:sz="0" w:space="0" w:color="auto"/>
            <w:left w:val="none" w:sz="0" w:space="0" w:color="auto"/>
            <w:bottom w:val="none" w:sz="0" w:space="0" w:color="auto"/>
            <w:right w:val="none" w:sz="0" w:space="0" w:color="auto"/>
          </w:divBdr>
        </w:div>
        <w:div w:id="1427650471">
          <w:marLeft w:val="0"/>
          <w:marRight w:val="0"/>
          <w:marTop w:val="0"/>
          <w:marBottom w:val="0"/>
          <w:divBdr>
            <w:top w:val="none" w:sz="0" w:space="0" w:color="auto"/>
            <w:left w:val="none" w:sz="0" w:space="0" w:color="auto"/>
            <w:bottom w:val="none" w:sz="0" w:space="0" w:color="auto"/>
            <w:right w:val="none" w:sz="0" w:space="0" w:color="auto"/>
          </w:divBdr>
        </w:div>
        <w:div w:id="347023953">
          <w:marLeft w:val="0"/>
          <w:marRight w:val="0"/>
          <w:marTop w:val="0"/>
          <w:marBottom w:val="0"/>
          <w:divBdr>
            <w:top w:val="none" w:sz="0" w:space="0" w:color="auto"/>
            <w:left w:val="none" w:sz="0" w:space="0" w:color="auto"/>
            <w:bottom w:val="none" w:sz="0" w:space="0" w:color="auto"/>
            <w:right w:val="none" w:sz="0" w:space="0" w:color="auto"/>
          </w:divBdr>
        </w:div>
        <w:div w:id="2116359463">
          <w:marLeft w:val="0"/>
          <w:marRight w:val="0"/>
          <w:marTop w:val="0"/>
          <w:marBottom w:val="0"/>
          <w:divBdr>
            <w:top w:val="none" w:sz="0" w:space="0" w:color="auto"/>
            <w:left w:val="none" w:sz="0" w:space="0" w:color="auto"/>
            <w:bottom w:val="none" w:sz="0" w:space="0" w:color="auto"/>
            <w:right w:val="none" w:sz="0" w:space="0" w:color="auto"/>
          </w:divBdr>
        </w:div>
        <w:div w:id="147940102">
          <w:marLeft w:val="0"/>
          <w:marRight w:val="0"/>
          <w:marTop w:val="0"/>
          <w:marBottom w:val="0"/>
          <w:divBdr>
            <w:top w:val="none" w:sz="0" w:space="0" w:color="auto"/>
            <w:left w:val="none" w:sz="0" w:space="0" w:color="auto"/>
            <w:bottom w:val="none" w:sz="0" w:space="0" w:color="auto"/>
            <w:right w:val="none" w:sz="0" w:space="0" w:color="auto"/>
          </w:divBdr>
        </w:div>
        <w:div w:id="2120830546">
          <w:marLeft w:val="0"/>
          <w:marRight w:val="0"/>
          <w:marTop w:val="0"/>
          <w:marBottom w:val="0"/>
          <w:divBdr>
            <w:top w:val="none" w:sz="0" w:space="0" w:color="auto"/>
            <w:left w:val="none" w:sz="0" w:space="0" w:color="auto"/>
            <w:bottom w:val="none" w:sz="0" w:space="0" w:color="auto"/>
            <w:right w:val="none" w:sz="0" w:space="0" w:color="auto"/>
          </w:divBdr>
        </w:div>
      </w:divsChild>
    </w:div>
    <w:div w:id="769855135">
      <w:bodyDiv w:val="1"/>
      <w:marLeft w:val="0"/>
      <w:marRight w:val="0"/>
      <w:marTop w:val="0"/>
      <w:marBottom w:val="0"/>
      <w:divBdr>
        <w:top w:val="none" w:sz="0" w:space="0" w:color="auto"/>
        <w:left w:val="none" w:sz="0" w:space="0" w:color="auto"/>
        <w:bottom w:val="none" w:sz="0" w:space="0" w:color="auto"/>
        <w:right w:val="none" w:sz="0" w:space="0" w:color="auto"/>
      </w:divBdr>
      <w:divsChild>
        <w:div w:id="1867477357">
          <w:marLeft w:val="0"/>
          <w:marRight w:val="0"/>
          <w:marTop w:val="0"/>
          <w:marBottom w:val="0"/>
          <w:divBdr>
            <w:top w:val="none" w:sz="0" w:space="0" w:color="auto"/>
            <w:left w:val="none" w:sz="0" w:space="0" w:color="auto"/>
            <w:bottom w:val="none" w:sz="0" w:space="0" w:color="auto"/>
            <w:right w:val="none" w:sz="0" w:space="0" w:color="auto"/>
          </w:divBdr>
        </w:div>
        <w:div w:id="209654236">
          <w:marLeft w:val="0"/>
          <w:marRight w:val="0"/>
          <w:marTop w:val="0"/>
          <w:marBottom w:val="0"/>
          <w:divBdr>
            <w:top w:val="none" w:sz="0" w:space="0" w:color="auto"/>
            <w:left w:val="none" w:sz="0" w:space="0" w:color="auto"/>
            <w:bottom w:val="none" w:sz="0" w:space="0" w:color="auto"/>
            <w:right w:val="none" w:sz="0" w:space="0" w:color="auto"/>
          </w:divBdr>
        </w:div>
        <w:div w:id="761071613">
          <w:marLeft w:val="0"/>
          <w:marRight w:val="0"/>
          <w:marTop w:val="0"/>
          <w:marBottom w:val="0"/>
          <w:divBdr>
            <w:top w:val="none" w:sz="0" w:space="0" w:color="auto"/>
            <w:left w:val="none" w:sz="0" w:space="0" w:color="auto"/>
            <w:bottom w:val="none" w:sz="0" w:space="0" w:color="auto"/>
            <w:right w:val="none" w:sz="0" w:space="0" w:color="auto"/>
          </w:divBdr>
        </w:div>
        <w:div w:id="269708063">
          <w:marLeft w:val="0"/>
          <w:marRight w:val="0"/>
          <w:marTop w:val="0"/>
          <w:marBottom w:val="0"/>
          <w:divBdr>
            <w:top w:val="none" w:sz="0" w:space="0" w:color="auto"/>
            <w:left w:val="none" w:sz="0" w:space="0" w:color="auto"/>
            <w:bottom w:val="none" w:sz="0" w:space="0" w:color="auto"/>
            <w:right w:val="none" w:sz="0" w:space="0" w:color="auto"/>
          </w:divBdr>
        </w:div>
        <w:div w:id="475026713">
          <w:marLeft w:val="0"/>
          <w:marRight w:val="0"/>
          <w:marTop w:val="0"/>
          <w:marBottom w:val="0"/>
          <w:divBdr>
            <w:top w:val="none" w:sz="0" w:space="0" w:color="auto"/>
            <w:left w:val="none" w:sz="0" w:space="0" w:color="auto"/>
            <w:bottom w:val="none" w:sz="0" w:space="0" w:color="auto"/>
            <w:right w:val="none" w:sz="0" w:space="0" w:color="auto"/>
          </w:divBdr>
        </w:div>
        <w:div w:id="1177429721">
          <w:marLeft w:val="0"/>
          <w:marRight w:val="0"/>
          <w:marTop w:val="0"/>
          <w:marBottom w:val="0"/>
          <w:divBdr>
            <w:top w:val="none" w:sz="0" w:space="0" w:color="auto"/>
            <w:left w:val="none" w:sz="0" w:space="0" w:color="auto"/>
            <w:bottom w:val="none" w:sz="0" w:space="0" w:color="auto"/>
            <w:right w:val="none" w:sz="0" w:space="0" w:color="auto"/>
          </w:divBdr>
        </w:div>
        <w:div w:id="1556969113">
          <w:marLeft w:val="0"/>
          <w:marRight w:val="0"/>
          <w:marTop w:val="0"/>
          <w:marBottom w:val="0"/>
          <w:divBdr>
            <w:top w:val="none" w:sz="0" w:space="0" w:color="auto"/>
            <w:left w:val="none" w:sz="0" w:space="0" w:color="auto"/>
            <w:bottom w:val="none" w:sz="0" w:space="0" w:color="auto"/>
            <w:right w:val="none" w:sz="0" w:space="0" w:color="auto"/>
          </w:divBdr>
        </w:div>
        <w:div w:id="1906842232">
          <w:marLeft w:val="0"/>
          <w:marRight w:val="0"/>
          <w:marTop w:val="0"/>
          <w:marBottom w:val="0"/>
          <w:divBdr>
            <w:top w:val="none" w:sz="0" w:space="0" w:color="auto"/>
            <w:left w:val="none" w:sz="0" w:space="0" w:color="auto"/>
            <w:bottom w:val="none" w:sz="0" w:space="0" w:color="auto"/>
            <w:right w:val="none" w:sz="0" w:space="0" w:color="auto"/>
          </w:divBdr>
        </w:div>
        <w:div w:id="53555290">
          <w:marLeft w:val="0"/>
          <w:marRight w:val="0"/>
          <w:marTop w:val="0"/>
          <w:marBottom w:val="0"/>
          <w:divBdr>
            <w:top w:val="none" w:sz="0" w:space="0" w:color="auto"/>
            <w:left w:val="none" w:sz="0" w:space="0" w:color="auto"/>
            <w:bottom w:val="none" w:sz="0" w:space="0" w:color="auto"/>
            <w:right w:val="none" w:sz="0" w:space="0" w:color="auto"/>
          </w:divBdr>
        </w:div>
        <w:div w:id="46418287">
          <w:marLeft w:val="0"/>
          <w:marRight w:val="0"/>
          <w:marTop w:val="0"/>
          <w:marBottom w:val="0"/>
          <w:divBdr>
            <w:top w:val="none" w:sz="0" w:space="0" w:color="auto"/>
            <w:left w:val="none" w:sz="0" w:space="0" w:color="auto"/>
            <w:bottom w:val="none" w:sz="0" w:space="0" w:color="auto"/>
            <w:right w:val="none" w:sz="0" w:space="0" w:color="auto"/>
          </w:divBdr>
        </w:div>
        <w:div w:id="884374052">
          <w:marLeft w:val="0"/>
          <w:marRight w:val="0"/>
          <w:marTop w:val="0"/>
          <w:marBottom w:val="0"/>
          <w:divBdr>
            <w:top w:val="none" w:sz="0" w:space="0" w:color="auto"/>
            <w:left w:val="none" w:sz="0" w:space="0" w:color="auto"/>
            <w:bottom w:val="none" w:sz="0" w:space="0" w:color="auto"/>
            <w:right w:val="none" w:sz="0" w:space="0" w:color="auto"/>
          </w:divBdr>
        </w:div>
        <w:div w:id="1362439023">
          <w:marLeft w:val="0"/>
          <w:marRight w:val="0"/>
          <w:marTop w:val="0"/>
          <w:marBottom w:val="0"/>
          <w:divBdr>
            <w:top w:val="none" w:sz="0" w:space="0" w:color="auto"/>
            <w:left w:val="none" w:sz="0" w:space="0" w:color="auto"/>
            <w:bottom w:val="none" w:sz="0" w:space="0" w:color="auto"/>
            <w:right w:val="none" w:sz="0" w:space="0" w:color="auto"/>
          </w:divBdr>
        </w:div>
        <w:div w:id="1352026574">
          <w:marLeft w:val="0"/>
          <w:marRight w:val="0"/>
          <w:marTop w:val="0"/>
          <w:marBottom w:val="0"/>
          <w:divBdr>
            <w:top w:val="none" w:sz="0" w:space="0" w:color="auto"/>
            <w:left w:val="none" w:sz="0" w:space="0" w:color="auto"/>
            <w:bottom w:val="none" w:sz="0" w:space="0" w:color="auto"/>
            <w:right w:val="none" w:sz="0" w:space="0" w:color="auto"/>
          </w:divBdr>
        </w:div>
        <w:div w:id="84495336">
          <w:marLeft w:val="0"/>
          <w:marRight w:val="0"/>
          <w:marTop w:val="0"/>
          <w:marBottom w:val="0"/>
          <w:divBdr>
            <w:top w:val="none" w:sz="0" w:space="0" w:color="auto"/>
            <w:left w:val="none" w:sz="0" w:space="0" w:color="auto"/>
            <w:bottom w:val="none" w:sz="0" w:space="0" w:color="auto"/>
            <w:right w:val="none" w:sz="0" w:space="0" w:color="auto"/>
          </w:divBdr>
        </w:div>
        <w:div w:id="814490436">
          <w:marLeft w:val="0"/>
          <w:marRight w:val="0"/>
          <w:marTop w:val="0"/>
          <w:marBottom w:val="0"/>
          <w:divBdr>
            <w:top w:val="none" w:sz="0" w:space="0" w:color="auto"/>
            <w:left w:val="none" w:sz="0" w:space="0" w:color="auto"/>
            <w:bottom w:val="none" w:sz="0" w:space="0" w:color="auto"/>
            <w:right w:val="none" w:sz="0" w:space="0" w:color="auto"/>
          </w:divBdr>
        </w:div>
        <w:div w:id="1936860511">
          <w:marLeft w:val="0"/>
          <w:marRight w:val="0"/>
          <w:marTop w:val="0"/>
          <w:marBottom w:val="0"/>
          <w:divBdr>
            <w:top w:val="none" w:sz="0" w:space="0" w:color="auto"/>
            <w:left w:val="none" w:sz="0" w:space="0" w:color="auto"/>
            <w:bottom w:val="none" w:sz="0" w:space="0" w:color="auto"/>
            <w:right w:val="none" w:sz="0" w:space="0" w:color="auto"/>
          </w:divBdr>
        </w:div>
        <w:div w:id="1280528221">
          <w:marLeft w:val="0"/>
          <w:marRight w:val="0"/>
          <w:marTop w:val="0"/>
          <w:marBottom w:val="0"/>
          <w:divBdr>
            <w:top w:val="none" w:sz="0" w:space="0" w:color="auto"/>
            <w:left w:val="none" w:sz="0" w:space="0" w:color="auto"/>
            <w:bottom w:val="none" w:sz="0" w:space="0" w:color="auto"/>
            <w:right w:val="none" w:sz="0" w:space="0" w:color="auto"/>
          </w:divBdr>
        </w:div>
        <w:div w:id="826672615">
          <w:marLeft w:val="0"/>
          <w:marRight w:val="0"/>
          <w:marTop w:val="0"/>
          <w:marBottom w:val="0"/>
          <w:divBdr>
            <w:top w:val="none" w:sz="0" w:space="0" w:color="auto"/>
            <w:left w:val="none" w:sz="0" w:space="0" w:color="auto"/>
            <w:bottom w:val="none" w:sz="0" w:space="0" w:color="auto"/>
            <w:right w:val="none" w:sz="0" w:space="0" w:color="auto"/>
          </w:divBdr>
        </w:div>
        <w:div w:id="2124884557">
          <w:marLeft w:val="0"/>
          <w:marRight w:val="0"/>
          <w:marTop w:val="0"/>
          <w:marBottom w:val="0"/>
          <w:divBdr>
            <w:top w:val="none" w:sz="0" w:space="0" w:color="auto"/>
            <w:left w:val="none" w:sz="0" w:space="0" w:color="auto"/>
            <w:bottom w:val="none" w:sz="0" w:space="0" w:color="auto"/>
            <w:right w:val="none" w:sz="0" w:space="0" w:color="auto"/>
          </w:divBdr>
        </w:div>
        <w:div w:id="1937981566">
          <w:marLeft w:val="0"/>
          <w:marRight w:val="0"/>
          <w:marTop w:val="0"/>
          <w:marBottom w:val="0"/>
          <w:divBdr>
            <w:top w:val="none" w:sz="0" w:space="0" w:color="auto"/>
            <w:left w:val="none" w:sz="0" w:space="0" w:color="auto"/>
            <w:bottom w:val="none" w:sz="0" w:space="0" w:color="auto"/>
            <w:right w:val="none" w:sz="0" w:space="0" w:color="auto"/>
          </w:divBdr>
        </w:div>
        <w:div w:id="935555543">
          <w:marLeft w:val="0"/>
          <w:marRight w:val="0"/>
          <w:marTop w:val="0"/>
          <w:marBottom w:val="0"/>
          <w:divBdr>
            <w:top w:val="none" w:sz="0" w:space="0" w:color="auto"/>
            <w:left w:val="none" w:sz="0" w:space="0" w:color="auto"/>
            <w:bottom w:val="none" w:sz="0" w:space="0" w:color="auto"/>
            <w:right w:val="none" w:sz="0" w:space="0" w:color="auto"/>
          </w:divBdr>
        </w:div>
        <w:div w:id="1890146449">
          <w:marLeft w:val="0"/>
          <w:marRight w:val="0"/>
          <w:marTop w:val="0"/>
          <w:marBottom w:val="0"/>
          <w:divBdr>
            <w:top w:val="none" w:sz="0" w:space="0" w:color="auto"/>
            <w:left w:val="none" w:sz="0" w:space="0" w:color="auto"/>
            <w:bottom w:val="none" w:sz="0" w:space="0" w:color="auto"/>
            <w:right w:val="none" w:sz="0" w:space="0" w:color="auto"/>
          </w:divBdr>
        </w:div>
        <w:div w:id="1251238221">
          <w:marLeft w:val="0"/>
          <w:marRight w:val="0"/>
          <w:marTop w:val="0"/>
          <w:marBottom w:val="0"/>
          <w:divBdr>
            <w:top w:val="none" w:sz="0" w:space="0" w:color="auto"/>
            <w:left w:val="none" w:sz="0" w:space="0" w:color="auto"/>
            <w:bottom w:val="none" w:sz="0" w:space="0" w:color="auto"/>
            <w:right w:val="none" w:sz="0" w:space="0" w:color="auto"/>
          </w:divBdr>
        </w:div>
        <w:div w:id="2007319322">
          <w:marLeft w:val="0"/>
          <w:marRight w:val="0"/>
          <w:marTop w:val="0"/>
          <w:marBottom w:val="0"/>
          <w:divBdr>
            <w:top w:val="none" w:sz="0" w:space="0" w:color="auto"/>
            <w:left w:val="none" w:sz="0" w:space="0" w:color="auto"/>
            <w:bottom w:val="none" w:sz="0" w:space="0" w:color="auto"/>
            <w:right w:val="none" w:sz="0" w:space="0" w:color="auto"/>
          </w:divBdr>
        </w:div>
        <w:div w:id="1422413532">
          <w:marLeft w:val="0"/>
          <w:marRight w:val="0"/>
          <w:marTop w:val="0"/>
          <w:marBottom w:val="0"/>
          <w:divBdr>
            <w:top w:val="none" w:sz="0" w:space="0" w:color="auto"/>
            <w:left w:val="none" w:sz="0" w:space="0" w:color="auto"/>
            <w:bottom w:val="none" w:sz="0" w:space="0" w:color="auto"/>
            <w:right w:val="none" w:sz="0" w:space="0" w:color="auto"/>
          </w:divBdr>
        </w:div>
        <w:div w:id="1888713579">
          <w:marLeft w:val="0"/>
          <w:marRight w:val="0"/>
          <w:marTop w:val="0"/>
          <w:marBottom w:val="0"/>
          <w:divBdr>
            <w:top w:val="none" w:sz="0" w:space="0" w:color="auto"/>
            <w:left w:val="none" w:sz="0" w:space="0" w:color="auto"/>
            <w:bottom w:val="none" w:sz="0" w:space="0" w:color="auto"/>
            <w:right w:val="none" w:sz="0" w:space="0" w:color="auto"/>
          </w:divBdr>
        </w:div>
        <w:div w:id="1541018008">
          <w:marLeft w:val="0"/>
          <w:marRight w:val="0"/>
          <w:marTop w:val="0"/>
          <w:marBottom w:val="0"/>
          <w:divBdr>
            <w:top w:val="none" w:sz="0" w:space="0" w:color="auto"/>
            <w:left w:val="none" w:sz="0" w:space="0" w:color="auto"/>
            <w:bottom w:val="none" w:sz="0" w:space="0" w:color="auto"/>
            <w:right w:val="none" w:sz="0" w:space="0" w:color="auto"/>
          </w:divBdr>
        </w:div>
        <w:div w:id="1935627983">
          <w:marLeft w:val="0"/>
          <w:marRight w:val="0"/>
          <w:marTop w:val="0"/>
          <w:marBottom w:val="0"/>
          <w:divBdr>
            <w:top w:val="none" w:sz="0" w:space="0" w:color="auto"/>
            <w:left w:val="none" w:sz="0" w:space="0" w:color="auto"/>
            <w:bottom w:val="none" w:sz="0" w:space="0" w:color="auto"/>
            <w:right w:val="none" w:sz="0" w:space="0" w:color="auto"/>
          </w:divBdr>
        </w:div>
        <w:div w:id="1752241938">
          <w:marLeft w:val="0"/>
          <w:marRight w:val="0"/>
          <w:marTop w:val="0"/>
          <w:marBottom w:val="0"/>
          <w:divBdr>
            <w:top w:val="none" w:sz="0" w:space="0" w:color="auto"/>
            <w:left w:val="none" w:sz="0" w:space="0" w:color="auto"/>
            <w:bottom w:val="none" w:sz="0" w:space="0" w:color="auto"/>
            <w:right w:val="none" w:sz="0" w:space="0" w:color="auto"/>
          </w:divBdr>
        </w:div>
      </w:divsChild>
    </w:div>
    <w:div w:id="949512599">
      <w:bodyDiv w:val="1"/>
      <w:marLeft w:val="0"/>
      <w:marRight w:val="0"/>
      <w:marTop w:val="0"/>
      <w:marBottom w:val="0"/>
      <w:divBdr>
        <w:top w:val="none" w:sz="0" w:space="0" w:color="auto"/>
        <w:left w:val="none" w:sz="0" w:space="0" w:color="auto"/>
        <w:bottom w:val="none" w:sz="0" w:space="0" w:color="auto"/>
        <w:right w:val="none" w:sz="0" w:space="0" w:color="auto"/>
      </w:divBdr>
      <w:divsChild>
        <w:div w:id="1060832720">
          <w:marLeft w:val="0"/>
          <w:marRight w:val="0"/>
          <w:marTop w:val="0"/>
          <w:marBottom w:val="0"/>
          <w:divBdr>
            <w:top w:val="none" w:sz="0" w:space="0" w:color="auto"/>
            <w:left w:val="none" w:sz="0" w:space="0" w:color="auto"/>
            <w:bottom w:val="none" w:sz="0" w:space="0" w:color="auto"/>
            <w:right w:val="none" w:sz="0" w:space="0" w:color="auto"/>
          </w:divBdr>
        </w:div>
        <w:div w:id="416102507">
          <w:marLeft w:val="0"/>
          <w:marRight w:val="0"/>
          <w:marTop w:val="0"/>
          <w:marBottom w:val="0"/>
          <w:divBdr>
            <w:top w:val="none" w:sz="0" w:space="0" w:color="auto"/>
            <w:left w:val="none" w:sz="0" w:space="0" w:color="auto"/>
            <w:bottom w:val="none" w:sz="0" w:space="0" w:color="auto"/>
            <w:right w:val="none" w:sz="0" w:space="0" w:color="auto"/>
          </w:divBdr>
        </w:div>
        <w:div w:id="1847598999">
          <w:marLeft w:val="0"/>
          <w:marRight w:val="0"/>
          <w:marTop w:val="0"/>
          <w:marBottom w:val="0"/>
          <w:divBdr>
            <w:top w:val="none" w:sz="0" w:space="0" w:color="auto"/>
            <w:left w:val="none" w:sz="0" w:space="0" w:color="auto"/>
            <w:bottom w:val="none" w:sz="0" w:space="0" w:color="auto"/>
            <w:right w:val="none" w:sz="0" w:space="0" w:color="auto"/>
          </w:divBdr>
        </w:div>
        <w:div w:id="1690065239">
          <w:marLeft w:val="0"/>
          <w:marRight w:val="0"/>
          <w:marTop w:val="0"/>
          <w:marBottom w:val="0"/>
          <w:divBdr>
            <w:top w:val="none" w:sz="0" w:space="0" w:color="auto"/>
            <w:left w:val="none" w:sz="0" w:space="0" w:color="auto"/>
            <w:bottom w:val="none" w:sz="0" w:space="0" w:color="auto"/>
            <w:right w:val="none" w:sz="0" w:space="0" w:color="auto"/>
          </w:divBdr>
        </w:div>
        <w:div w:id="2036079333">
          <w:marLeft w:val="0"/>
          <w:marRight w:val="0"/>
          <w:marTop w:val="0"/>
          <w:marBottom w:val="0"/>
          <w:divBdr>
            <w:top w:val="none" w:sz="0" w:space="0" w:color="auto"/>
            <w:left w:val="none" w:sz="0" w:space="0" w:color="auto"/>
            <w:bottom w:val="none" w:sz="0" w:space="0" w:color="auto"/>
            <w:right w:val="none" w:sz="0" w:space="0" w:color="auto"/>
          </w:divBdr>
        </w:div>
        <w:div w:id="1320571564">
          <w:marLeft w:val="0"/>
          <w:marRight w:val="0"/>
          <w:marTop w:val="0"/>
          <w:marBottom w:val="0"/>
          <w:divBdr>
            <w:top w:val="none" w:sz="0" w:space="0" w:color="auto"/>
            <w:left w:val="none" w:sz="0" w:space="0" w:color="auto"/>
            <w:bottom w:val="none" w:sz="0" w:space="0" w:color="auto"/>
            <w:right w:val="none" w:sz="0" w:space="0" w:color="auto"/>
          </w:divBdr>
        </w:div>
        <w:div w:id="1008873385">
          <w:marLeft w:val="0"/>
          <w:marRight w:val="0"/>
          <w:marTop w:val="0"/>
          <w:marBottom w:val="0"/>
          <w:divBdr>
            <w:top w:val="none" w:sz="0" w:space="0" w:color="auto"/>
            <w:left w:val="none" w:sz="0" w:space="0" w:color="auto"/>
            <w:bottom w:val="none" w:sz="0" w:space="0" w:color="auto"/>
            <w:right w:val="none" w:sz="0" w:space="0" w:color="auto"/>
          </w:divBdr>
        </w:div>
        <w:div w:id="2131511727">
          <w:marLeft w:val="0"/>
          <w:marRight w:val="0"/>
          <w:marTop w:val="0"/>
          <w:marBottom w:val="0"/>
          <w:divBdr>
            <w:top w:val="none" w:sz="0" w:space="0" w:color="auto"/>
            <w:left w:val="none" w:sz="0" w:space="0" w:color="auto"/>
            <w:bottom w:val="none" w:sz="0" w:space="0" w:color="auto"/>
            <w:right w:val="none" w:sz="0" w:space="0" w:color="auto"/>
          </w:divBdr>
        </w:div>
        <w:div w:id="1842893328">
          <w:marLeft w:val="0"/>
          <w:marRight w:val="0"/>
          <w:marTop w:val="0"/>
          <w:marBottom w:val="0"/>
          <w:divBdr>
            <w:top w:val="none" w:sz="0" w:space="0" w:color="auto"/>
            <w:left w:val="none" w:sz="0" w:space="0" w:color="auto"/>
            <w:bottom w:val="none" w:sz="0" w:space="0" w:color="auto"/>
            <w:right w:val="none" w:sz="0" w:space="0" w:color="auto"/>
          </w:divBdr>
        </w:div>
        <w:div w:id="1579169562">
          <w:marLeft w:val="0"/>
          <w:marRight w:val="0"/>
          <w:marTop w:val="0"/>
          <w:marBottom w:val="0"/>
          <w:divBdr>
            <w:top w:val="none" w:sz="0" w:space="0" w:color="auto"/>
            <w:left w:val="none" w:sz="0" w:space="0" w:color="auto"/>
            <w:bottom w:val="none" w:sz="0" w:space="0" w:color="auto"/>
            <w:right w:val="none" w:sz="0" w:space="0" w:color="auto"/>
          </w:divBdr>
        </w:div>
        <w:div w:id="1956790241">
          <w:marLeft w:val="0"/>
          <w:marRight w:val="0"/>
          <w:marTop w:val="0"/>
          <w:marBottom w:val="0"/>
          <w:divBdr>
            <w:top w:val="none" w:sz="0" w:space="0" w:color="auto"/>
            <w:left w:val="none" w:sz="0" w:space="0" w:color="auto"/>
            <w:bottom w:val="none" w:sz="0" w:space="0" w:color="auto"/>
            <w:right w:val="none" w:sz="0" w:space="0" w:color="auto"/>
          </w:divBdr>
        </w:div>
        <w:div w:id="1113597420">
          <w:marLeft w:val="0"/>
          <w:marRight w:val="0"/>
          <w:marTop w:val="0"/>
          <w:marBottom w:val="0"/>
          <w:divBdr>
            <w:top w:val="none" w:sz="0" w:space="0" w:color="auto"/>
            <w:left w:val="none" w:sz="0" w:space="0" w:color="auto"/>
            <w:bottom w:val="none" w:sz="0" w:space="0" w:color="auto"/>
            <w:right w:val="none" w:sz="0" w:space="0" w:color="auto"/>
          </w:divBdr>
        </w:div>
        <w:div w:id="1701739359">
          <w:marLeft w:val="0"/>
          <w:marRight w:val="0"/>
          <w:marTop w:val="0"/>
          <w:marBottom w:val="0"/>
          <w:divBdr>
            <w:top w:val="none" w:sz="0" w:space="0" w:color="auto"/>
            <w:left w:val="none" w:sz="0" w:space="0" w:color="auto"/>
            <w:bottom w:val="none" w:sz="0" w:space="0" w:color="auto"/>
            <w:right w:val="none" w:sz="0" w:space="0" w:color="auto"/>
          </w:divBdr>
        </w:div>
        <w:div w:id="133842094">
          <w:marLeft w:val="0"/>
          <w:marRight w:val="0"/>
          <w:marTop w:val="0"/>
          <w:marBottom w:val="0"/>
          <w:divBdr>
            <w:top w:val="none" w:sz="0" w:space="0" w:color="auto"/>
            <w:left w:val="none" w:sz="0" w:space="0" w:color="auto"/>
            <w:bottom w:val="none" w:sz="0" w:space="0" w:color="auto"/>
            <w:right w:val="none" w:sz="0" w:space="0" w:color="auto"/>
          </w:divBdr>
        </w:div>
        <w:div w:id="1656107961">
          <w:marLeft w:val="0"/>
          <w:marRight w:val="0"/>
          <w:marTop w:val="0"/>
          <w:marBottom w:val="0"/>
          <w:divBdr>
            <w:top w:val="none" w:sz="0" w:space="0" w:color="auto"/>
            <w:left w:val="none" w:sz="0" w:space="0" w:color="auto"/>
            <w:bottom w:val="none" w:sz="0" w:space="0" w:color="auto"/>
            <w:right w:val="none" w:sz="0" w:space="0" w:color="auto"/>
          </w:divBdr>
        </w:div>
        <w:div w:id="1340505045">
          <w:marLeft w:val="0"/>
          <w:marRight w:val="0"/>
          <w:marTop w:val="0"/>
          <w:marBottom w:val="0"/>
          <w:divBdr>
            <w:top w:val="none" w:sz="0" w:space="0" w:color="auto"/>
            <w:left w:val="none" w:sz="0" w:space="0" w:color="auto"/>
            <w:bottom w:val="none" w:sz="0" w:space="0" w:color="auto"/>
            <w:right w:val="none" w:sz="0" w:space="0" w:color="auto"/>
          </w:divBdr>
        </w:div>
        <w:div w:id="1052461711">
          <w:marLeft w:val="0"/>
          <w:marRight w:val="0"/>
          <w:marTop w:val="0"/>
          <w:marBottom w:val="0"/>
          <w:divBdr>
            <w:top w:val="none" w:sz="0" w:space="0" w:color="auto"/>
            <w:left w:val="none" w:sz="0" w:space="0" w:color="auto"/>
            <w:bottom w:val="none" w:sz="0" w:space="0" w:color="auto"/>
            <w:right w:val="none" w:sz="0" w:space="0" w:color="auto"/>
          </w:divBdr>
        </w:div>
        <w:div w:id="1822846216">
          <w:marLeft w:val="0"/>
          <w:marRight w:val="0"/>
          <w:marTop w:val="0"/>
          <w:marBottom w:val="0"/>
          <w:divBdr>
            <w:top w:val="none" w:sz="0" w:space="0" w:color="auto"/>
            <w:left w:val="none" w:sz="0" w:space="0" w:color="auto"/>
            <w:bottom w:val="none" w:sz="0" w:space="0" w:color="auto"/>
            <w:right w:val="none" w:sz="0" w:space="0" w:color="auto"/>
          </w:divBdr>
        </w:div>
        <w:div w:id="1696998876">
          <w:marLeft w:val="0"/>
          <w:marRight w:val="0"/>
          <w:marTop w:val="0"/>
          <w:marBottom w:val="0"/>
          <w:divBdr>
            <w:top w:val="none" w:sz="0" w:space="0" w:color="auto"/>
            <w:left w:val="none" w:sz="0" w:space="0" w:color="auto"/>
            <w:bottom w:val="none" w:sz="0" w:space="0" w:color="auto"/>
            <w:right w:val="none" w:sz="0" w:space="0" w:color="auto"/>
          </w:divBdr>
        </w:div>
        <w:div w:id="2020501292">
          <w:marLeft w:val="0"/>
          <w:marRight w:val="0"/>
          <w:marTop w:val="0"/>
          <w:marBottom w:val="0"/>
          <w:divBdr>
            <w:top w:val="none" w:sz="0" w:space="0" w:color="auto"/>
            <w:left w:val="none" w:sz="0" w:space="0" w:color="auto"/>
            <w:bottom w:val="none" w:sz="0" w:space="0" w:color="auto"/>
            <w:right w:val="none" w:sz="0" w:space="0" w:color="auto"/>
          </w:divBdr>
        </w:div>
        <w:div w:id="682392758">
          <w:marLeft w:val="0"/>
          <w:marRight w:val="0"/>
          <w:marTop w:val="0"/>
          <w:marBottom w:val="0"/>
          <w:divBdr>
            <w:top w:val="none" w:sz="0" w:space="0" w:color="auto"/>
            <w:left w:val="none" w:sz="0" w:space="0" w:color="auto"/>
            <w:bottom w:val="none" w:sz="0" w:space="0" w:color="auto"/>
            <w:right w:val="none" w:sz="0" w:space="0" w:color="auto"/>
          </w:divBdr>
        </w:div>
        <w:div w:id="2066291936">
          <w:marLeft w:val="0"/>
          <w:marRight w:val="0"/>
          <w:marTop w:val="0"/>
          <w:marBottom w:val="0"/>
          <w:divBdr>
            <w:top w:val="none" w:sz="0" w:space="0" w:color="auto"/>
            <w:left w:val="none" w:sz="0" w:space="0" w:color="auto"/>
            <w:bottom w:val="none" w:sz="0" w:space="0" w:color="auto"/>
            <w:right w:val="none" w:sz="0" w:space="0" w:color="auto"/>
          </w:divBdr>
        </w:div>
        <w:div w:id="1021131041">
          <w:marLeft w:val="0"/>
          <w:marRight w:val="0"/>
          <w:marTop w:val="0"/>
          <w:marBottom w:val="0"/>
          <w:divBdr>
            <w:top w:val="none" w:sz="0" w:space="0" w:color="auto"/>
            <w:left w:val="none" w:sz="0" w:space="0" w:color="auto"/>
            <w:bottom w:val="none" w:sz="0" w:space="0" w:color="auto"/>
            <w:right w:val="none" w:sz="0" w:space="0" w:color="auto"/>
          </w:divBdr>
        </w:div>
        <w:div w:id="1208031557">
          <w:marLeft w:val="0"/>
          <w:marRight w:val="0"/>
          <w:marTop w:val="0"/>
          <w:marBottom w:val="0"/>
          <w:divBdr>
            <w:top w:val="none" w:sz="0" w:space="0" w:color="auto"/>
            <w:left w:val="none" w:sz="0" w:space="0" w:color="auto"/>
            <w:bottom w:val="none" w:sz="0" w:space="0" w:color="auto"/>
            <w:right w:val="none" w:sz="0" w:space="0" w:color="auto"/>
          </w:divBdr>
        </w:div>
        <w:div w:id="32537301">
          <w:marLeft w:val="0"/>
          <w:marRight w:val="0"/>
          <w:marTop w:val="0"/>
          <w:marBottom w:val="0"/>
          <w:divBdr>
            <w:top w:val="none" w:sz="0" w:space="0" w:color="auto"/>
            <w:left w:val="none" w:sz="0" w:space="0" w:color="auto"/>
            <w:bottom w:val="none" w:sz="0" w:space="0" w:color="auto"/>
            <w:right w:val="none" w:sz="0" w:space="0" w:color="auto"/>
          </w:divBdr>
        </w:div>
        <w:div w:id="1812404085">
          <w:marLeft w:val="0"/>
          <w:marRight w:val="0"/>
          <w:marTop w:val="0"/>
          <w:marBottom w:val="0"/>
          <w:divBdr>
            <w:top w:val="none" w:sz="0" w:space="0" w:color="auto"/>
            <w:left w:val="none" w:sz="0" w:space="0" w:color="auto"/>
            <w:bottom w:val="none" w:sz="0" w:space="0" w:color="auto"/>
            <w:right w:val="none" w:sz="0" w:space="0" w:color="auto"/>
          </w:divBdr>
        </w:div>
        <w:div w:id="1834176087">
          <w:marLeft w:val="0"/>
          <w:marRight w:val="0"/>
          <w:marTop w:val="0"/>
          <w:marBottom w:val="0"/>
          <w:divBdr>
            <w:top w:val="none" w:sz="0" w:space="0" w:color="auto"/>
            <w:left w:val="none" w:sz="0" w:space="0" w:color="auto"/>
            <w:bottom w:val="none" w:sz="0" w:space="0" w:color="auto"/>
            <w:right w:val="none" w:sz="0" w:space="0" w:color="auto"/>
          </w:divBdr>
        </w:div>
        <w:div w:id="124277492">
          <w:marLeft w:val="0"/>
          <w:marRight w:val="0"/>
          <w:marTop w:val="0"/>
          <w:marBottom w:val="0"/>
          <w:divBdr>
            <w:top w:val="none" w:sz="0" w:space="0" w:color="auto"/>
            <w:left w:val="none" w:sz="0" w:space="0" w:color="auto"/>
            <w:bottom w:val="none" w:sz="0" w:space="0" w:color="auto"/>
            <w:right w:val="none" w:sz="0" w:space="0" w:color="auto"/>
          </w:divBdr>
        </w:div>
        <w:div w:id="1925527747">
          <w:marLeft w:val="0"/>
          <w:marRight w:val="0"/>
          <w:marTop w:val="0"/>
          <w:marBottom w:val="0"/>
          <w:divBdr>
            <w:top w:val="none" w:sz="0" w:space="0" w:color="auto"/>
            <w:left w:val="none" w:sz="0" w:space="0" w:color="auto"/>
            <w:bottom w:val="none" w:sz="0" w:space="0" w:color="auto"/>
            <w:right w:val="none" w:sz="0" w:space="0" w:color="auto"/>
          </w:divBdr>
        </w:div>
      </w:divsChild>
    </w:div>
    <w:div w:id="965962403">
      <w:bodyDiv w:val="1"/>
      <w:marLeft w:val="0"/>
      <w:marRight w:val="0"/>
      <w:marTop w:val="0"/>
      <w:marBottom w:val="0"/>
      <w:divBdr>
        <w:top w:val="none" w:sz="0" w:space="0" w:color="auto"/>
        <w:left w:val="none" w:sz="0" w:space="0" w:color="auto"/>
        <w:bottom w:val="none" w:sz="0" w:space="0" w:color="auto"/>
        <w:right w:val="none" w:sz="0" w:space="0" w:color="auto"/>
      </w:divBdr>
      <w:divsChild>
        <w:div w:id="1588349179">
          <w:marLeft w:val="0"/>
          <w:marRight w:val="0"/>
          <w:marTop w:val="0"/>
          <w:marBottom w:val="0"/>
          <w:divBdr>
            <w:top w:val="none" w:sz="0" w:space="0" w:color="auto"/>
            <w:left w:val="none" w:sz="0" w:space="0" w:color="auto"/>
            <w:bottom w:val="none" w:sz="0" w:space="0" w:color="auto"/>
            <w:right w:val="none" w:sz="0" w:space="0" w:color="auto"/>
          </w:divBdr>
        </w:div>
        <w:div w:id="1471943683">
          <w:marLeft w:val="0"/>
          <w:marRight w:val="0"/>
          <w:marTop w:val="0"/>
          <w:marBottom w:val="0"/>
          <w:divBdr>
            <w:top w:val="none" w:sz="0" w:space="0" w:color="auto"/>
            <w:left w:val="none" w:sz="0" w:space="0" w:color="auto"/>
            <w:bottom w:val="none" w:sz="0" w:space="0" w:color="auto"/>
            <w:right w:val="none" w:sz="0" w:space="0" w:color="auto"/>
          </w:divBdr>
        </w:div>
        <w:div w:id="1310013414">
          <w:marLeft w:val="0"/>
          <w:marRight w:val="0"/>
          <w:marTop w:val="0"/>
          <w:marBottom w:val="0"/>
          <w:divBdr>
            <w:top w:val="none" w:sz="0" w:space="0" w:color="auto"/>
            <w:left w:val="none" w:sz="0" w:space="0" w:color="auto"/>
            <w:bottom w:val="none" w:sz="0" w:space="0" w:color="auto"/>
            <w:right w:val="none" w:sz="0" w:space="0" w:color="auto"/>
          </w:divBdr>
        </w:div>
        <w:div w:id="181558185">
          <w:marLeft w:val="0"/>
          <w:marRight w:val="0"/>
          <w:marTop w:val="0"/>
          <w:marBottom w:val="0"/>
          <w:divBdr>
            <w:top w:val="none" w:sz="0" w:space="0" w:color="auto"/>
            <w:left w:val="none" w:sz="0" w:space="0" w:color="auto"/>
            <w:bottom w:val="none" w:sz="0" w:space="0" w:color="auto"/>
            <w:right w:val="none" w:sz="0" w:space="0" w:color="auto"/>
          </w:divBdr>
        </w:div>
        <w:div w:id="1958759510">
          <w:marLeft w:val="0"/>
          <w:marRight w:val="0"/>
          <w:marTop w:val="0"/>
          <w:marBottom w:val="0"/>
          <w:divBdr>
            <w:top w:val="none" w:sz="0" w:space="0" w:color="auto"/>
            <w:left w:val="none" w:sz="0" w:space="0" w:color="auto"/>
            <w:bottom w:val="none" w:sz="0" w:space="0" w:color="auto"/>
            <w:right w:val="none" w:sz="0" w:space="0" w:color="auto"/>
          </w:divBdr>
        </w:div>
        <w:div w:id="737098868">
          <w:marLeft w:val="0"/>
          <w:marRight w:val="0"/>
          <w:marTop w:val="0"/>
          <w:marBottom w:val="0"/>
          <w:divBdr>
            <w:top w:val="none" w:sz="0" w:space="0" w:color="auto"/>
            <w:left w:val="none" w:sz="0" w:space="0" w:color="auto"/>
            <w:bottom w:val="none" w:sz="0" w:space="0" w:color="auto"/>
            <w:right w:val="none" w:sz="0" w:space="0" w:color="auto"/>
          </w:divBdr>
        </w:div>
        <w:div w:id="1412923369">
          <w:marLeft w:val="0"/>
          <w:marRight w:val="0"/>
          <w:marTop w:val="0"/>
          <w:marBottom w:val="0"/>
          <w:divBdr>
            <w:top w:val="none" w:sz="0" w:space="0" w:color="auto"/>
            <w:left w:val="none" w:sz="0" w:space="0" w:color="auto"/>
            <w:bottom w:val="none" w:sz="0" w:space="0" w:color="auto"/>
            <w:right w:val="none" w:sz="0" w:space="0" w:color="auto"/>
          </w:divBdr>
        </w:div>
        <w:div w:id="1026908550">
          <w:marLeft w:val="0"/>
          <w:marRight w:val="0"/>
          <w:marTop w:val="0"/>
          <w:marBottom w:val="0"/>
          <w:divBdr>
            <w:top w:val="none" w:sz="0" w:space="0" w:color="auto"/>
            <w:left w:val="none" w:sz="0" w:space="0" w:color="auto"/>
            <w:bottom w:val="none" w:sz="0" w:space="0" w:color="auto"/>
            <w:right w:val="none" w:sz="0" w:space="0" w:color="auto"/>
          </w:divBdr>
        </w:div>
        <w:div w:id="2095928833">
          <w:marLeft w:val="0"/>
          <w:marRight w:val="0"/>
          <w:marTop w:val="0"/>
          <w:marBottom w:val="0"/>
          <w:divBdr>
            <w:top w:val="none" w:sz="0" w:space="0" w:color="auto"/>
            <w:left w:val="none" w:sz="0" w:space="0" w:color="auto"/>
            <w:bottom w:val="none" w:sz="0" w:space="0" w:color="auto"/>
            <w:right w:val="none" w:sz="0" w:space="0" w:color="auto"/>
          </w:divBdr>
        </w:div>
        <w:div w:id="2030252887">
          <w:marLeft w:val="0"/>
          <w:marRight w:val="0"/>
          <w:marTop w:val="0"/>
          <w:marBottom w:val="0"/>
          <w:divBdr>
            <w:top w:val="none" w:sz="0" w:space="0" w:color="auto"/>
            <w:left w:val="none" w:sz="0" w:space="0" w:color="auto"/>
            <w:bottom w:val="none" w:sz="0" w:space="0" w:color="auto"/>
            <w:right w:val="none" w:sz="0" w:space="0" w:color="auto"/>
          </w:divBdr>
        </w:div>
        <w:div w:id="797184789">
          <w:marLeft w:val="0"/>
          <w:marRight w:val="0"/>
          <w:marTop w:val="0"/>
          <w:marBottom w:val="0"/>
          <w:divBdr>
            <w:top w:val="none" w:sz="0" w:space="0" w:color="auto"/>
            <w:left w:val="none" w:sz="0" w:space="0" w:color="auto"/>
            <w:bottom w:val="none" w:sz="0" w:space="0" w:color="auto"/>
            <w:right w:val="none" w:sz="0" w:space="0" w:color="auto"/>
          </w:divBdr>
        </w:div>
        <w:div w:id="357656897">
          <w:marLeft w:val="0"/>
          <w:marRight w:val="0"/>
          <w:marTop w:val="0"/>
          <w:marBottom w:val="0"/>
          <w:divBdr>
            <w:top w:val="none" w:sz="0" w:space="0" w:color="auto"/>
            <w:left w:val="none" w:sz="0" w:space="0" w:color="auto"/>
            <w:bottom w:val="none" w:sz="0" w:space="0" w:color="auto"/>
            <w:right w:val="none" w:sz="0" w:space="0" w:color="auto"/>
          </w:divBdr>
        </w:div>
        <w:div w:id="171189503">
          <w:marLeft w:val="0"/>
          <w:marRight w:val="0"/>
          <w:marTop w:val="0"/>
          <w:marBottom w:val="0"/>
          <w:divBdr>
            <w:top w:val="none" w:sz="0" w:space="0" w:color="auto"/>
            <w:left w:val="none" w:sz="0" w:space="0" w:color="auto"/>
            <w:bottom w:val="none" w:sz="0" w:space="0" w:color="auto"/>
            <w:right w:val="none" w:sz="0" w:space="0" w:color="auto"/>
          </w:divBdr>
        </w:div>
        <w:div w:id="1616330538">
          <w:marLeft w:val="0"/>
          <w:marRight w:val="0"/>
          <w:marTop w:val="0"/>
          <w:marBottom w:val="0"/>
          <w:divBdr>
            <w:top w:val="none" w:sz="0" w:space="0" w:color="auto"/>
            <w:left w:val="none" w:sz="0" w:space="0" w:color="auto"/>
            <w:bottom w:val="none" w:sz="0" w:space="0" w:color="auto"/>
            <w:right w:val="none" w:sz="0" w:space="0" w:color="auto"/>
          </w:divBdr>
        </w:div>
        <w:div w:id="984160993">
          <w:marLeft w:val="0"/>
          <w:marRight w:val="0"/>
          <w:marTop w:val="0"/>
          <w:marBottom w:val="0"/>
          <w:divBdr>
            <w:top w:val="none" w:sz="0" w:space="0" w:color="auto"/>
            <w:left w:val="none" w:sz="0" w:space="0" w:color="auto"/>
            <w:bottom w:val="none" w:sz="0" w:space="0" w:color="auto"/>
            <w:right w:val="none" w:sz="0" w:space="0" w:color="auto"/>
          </w:divBdr>
        </w:div>
        <w:div w:id="771824629">
          <w:marLeft w:val="0"/>
          <w:marRight w:val="0"/>
          <w:marTop w:val="0"/>
          <w:marBottom w:val="0"/>
          <w:divBdr>
            <w:top w:val="none" w:sz="0" w:space="0" w:color="auto"/>
            <w:left w:val="none" w:sz="0" w:space="0" w:color="auto"/>
            <w:bottom w:val="none" w:sz="0" w:space="0" w:color="auto"/>
            <w:right w:val="none" w:sz="0" w:space="0" w:color="auto"/>
          </w:divBdr>
        </w:div>
        <w:div w:id="522016944">
          <w:marLeft w:val="0"/>
          <w:marRight w:val="0"/>
          <w:marTop w:val="0"/>
          <w:marBottom w:val="0"/>
          <w:divBdr>
            <w:top w:val="none" w:sz="0" w:space="0" w:color="auto"/>
            <w:left w:val="none" w:sz="0" w:space="0" w:color="auto"/>
            <w:bottom w:val="none" w:sz="0" w:space="0" w:color="auto"/>
            <w:right w:val="none" w:sz="0" w:space="0" w:color="auto"/>
          </w:divBdr>
        </w:div>
        <w:div w:id="1863666749">
          <w:marLeft w:val="0"/>
          <w:marRight w:val="0"/>
          <w:marTop w:val="0"/>
          <w:marBottom w:val="0"/>
          <w:divBdr>
            <w:top w:val="none" w:sz="0" w:space="0" w:color="auto"/>
            <w:left w:val="none" w:sz="0" w:space="0" w:color="auto"/>
            <w:bottom w:val="none" w:sz="0" w:space="0" w:color="auto"/>
            <w:right w:val="none" w:sz="0" w:space="0" w:color="auto"/>
          </w:divBdr>
        </w:div>
        <w:div w:id="1410233962">
          <w:marLeft w:val="0"/>
          <w:marRight w:val="0"/>
          <w:marTop w:val="0"/>
          <w:marBottom w:val="0"/>
          <w:divBdr>
            <w:top w:val="none" w:sz="0" w:space="0" w:color="auto"/>
            <w:left w:val="none" w:sz="0" w:space="0" w:color="auto"/>
            <w:bottom w:val="none" w:sz="0" w:space="0" w:color="auto"/>
            <w:right w:val="none" w:sz="0" w:space="0" w:color="auto"/>
          </w:divBdr>
        </w:div>
        <w:div w:id="1751198296">
          <w:marLeft w:val="0"/>
          <w:marRight w:val="0"/>
          <w:marTop w:val="0"/>
          <w:marBottom w:val="0"/>
          <w:divBdr>
            <w:top w:val="none" w:sz="0" w:space="0" w:color="auto"/>
            <w:left w:val="none" w:sz="0" w:space="0" w:color="auto"/>
            <w:bottom w:val="none" w:sz="0" w:space="0" w:color="auto"/>
            <w:right w:val="none" w:sz="0" w:space="0" w:color="auto"/>
          </w:divBdr>
        </w:div>
        <w:div w:id="1950579670">
          <w:marLeft w:val="0"/>
          <w:marRight w:val="0"/>
          <w:marTop w:val="0"/>
          <w:marBottom w:val="0"/>
          <w:divBdr>
            <w:top w:val="none" w:sz="0" w:space="0" w:color="auto"/>
            <w:left w:val="none" w:sz="0" w:space="0" w:color="auto"/>
            <w:bottom w:val="none" w:sz="0" w:space="0" w:color="auto"/>
            <w:right w:val="none" w:sz="0" w:space="0" w:color="auto"/>
          </w:divBdr>
        </w:div>
        <w:div w:id="1589270861">
          <w:marLeft w:val="0"/>
          <w:marRight w:val="0"/>
          <w:marTop w:val="0"/>
          <w:marBottom w:val="0"/>
          <w:divBdr>
            <w:top w:val="none" w:sz="0" w:space="0" w:color="auto"/>
            <w:left w:val="none" w:sz="0" w:space="0" w:color="auto"/>
            <w:bottom w:val="none" w:sz="0" w:space="0" w:color="auto"/>
            <w:right w:val="none" w:sz="0" w:space="0" w:color="auto"/>
          </w:divBdr>
        </w:div>
        <w:div w:id="1944605749">
          <w:marLeft w:val="0"/>
          <w:marRight w:val="0"/>
          <w:marTop w:val="0"/>
          <w:marBottom w:val="0"/>
          <w:divBdr>
            <w:top w:val="none" w:sz="0" w:space="0" w:color="auto"/>
            <w:left w:val="none" w:sz="0" w:space="0" w:color="auto"/>
            <w:bottom w:val="none" w:sz="0" w:space="0" w:color="auto"/>
            <w:right w:val="none" w:sz="0" w:space="0" w:color="auto"/>
          </w:divBdr>
        </w:div>
        <w:div w:id="648439513">
          <w:marLeft w:val="0"/>
          <w:marRight w:val="0"/>
          <w:marTop w:val="0"/>
          <w:marBottom w:val="0"/>
          <w:divBdr>
            <w:top w:val="none" w:sz="0" w:space="0" w:color="auto"/>
            <w:left w:val="none" w:sz="0" w:space="0" w:color="auto"/>
            <w:bottom w:val="none" w:sz="0" w:space="0" w:color="auto"/>
            <w:right w:val="none" w:sz="0" w:space="0" w:color="auto"/>
          </w:divBdr>
        </w:div>
        <w:div w:id="990331394">
          <w:marLeft w:val="0"/>
          <w:marRight w:val="0"/>
          <w:marTop w:val="0"/>
          <w:marBottom w:val="0"/>
          <w:divBdr>
            <w:top w:val="none" w:sz="0" w:space="0" w:color="auto"/>
            <w:left w:val="none" w:sz="0" w:space="0" w:color="auto"/>
            <w:bottom w:val="none" w:sz="0" w:space="0" w:color="auto"/>
            <w:right w:val="none" w:sz="0" w:space="0" w:color="auto"/>
          </w:divBdr>
        </w:div>
        <w:div w:id="1759642266">
          <w:marLeft w:val="0"/>
          <w:marRight w:val="0"/>
          <w:marTop w:val="0"/>
          <w:marBottom w:val="0"/>
          <w:divBdr>
            <w:top w:val="none" w:sz="0" w:space="0" w:color="auto"/>
            <w:left w:val="none" w:sz="0" w:space="0" w:color="auto"/>
            <w:bottom w:val="none" w:sz="0" w:space="0" w:color="auto"/>
            <w:right w:val="none" w:sz="0" w:space="0" w:color="auto"/>
          </w:divBdr>
        </w:div>
        <w:div w:id="1332106244">
          <w:marLeft w:val="0"/>
          <w:marRight w:val="0"/>
          <w:marTop w:val="0"/>
          <w:marBottom w:val="0"/>
          <w:divBdr>
            <w:top w:val="none" w:sz="0" w:space="0" w:color="auto"/>
            <w:left w:val="none" w:sz="0" w:space="0" w:color="auto"/>
            <w:bottom w:val="none" w:sz="0" w:space="0" w:color="auto"/>
            <w:right w:val="none" w:sz="0" w:space="0" w:color="auto"/>
          </w:divBdr>
        </w:div>
        <w:div w:id="1153720656">
          <w:marLeft w:val="0"/>
          <w:marRight w:val="0"/>
          <w:marTop w:val="0"/>
          <w:marBottom w:val="0"/>
          <w:divBdr>
            <w:top w:val="none" w:sz="0" w:space="0" w:color="auto"/>
            <w:left w:val="none" w:sz="0" w:space="0" w:color="auto"/>
            <w:bottom w:val="none" w:sz="0" w:space="0" w:color="auto"/>
            <w:right w:val="none" w:sz="0" w:space="0" w:color="auto"/>
          </w:divBdr>
        </w:div>
        <w:div w:id="1293708320">
          <w:marLeft w:val="0"/>
          <w:marRight w:val="0"/>
          <w:marTop w:val="0"/>
          <w:marBottom w:val="0"/>
          <w:divBdr>
            <w:top w:val="none" w:sz="0" w:space="0" w:color="auto"/>
            <w:left w:val="none" w:sz="0" w:space="0" w:color="auto"/>
            <w:bottom w:val="none" w:sz="0" w:space="0" w:color="auto"/>
            <w:right w:val="none" w:sz="0" w:space="0" w:color="auto"/>
          </w:divBdr>
        </w:div>
      </w:divsChild>
    </w:div>
    <w:div w:id="1862477557">
      <w:bodyDiv w:val="1"/>
      <w:marLeft w:val="0"/>
      <w:marRight w:val="0"/>
      <w:marTop w:val="0"/>
      <w:marBottom w:val="0"/>
      <w:divBdr>
        <w:top w:val="none" w:sz="0" w:space="0" w:color="auto"/>
        <w:left w:val="none" w:sz="0" w:space="0" w:color="auto"/>
        <w:bottom w:val="none" w:sz="0" w:space="0" w:color="auto"/>
        <w:right w:val="none" w:sz="0" w:space="0" w:color="auto"/>
      </w:divBdr>
      <w:divsChild>
        <w:div w:id="240912420">
          <w:marLeft w:val="0"/>
          <w:marRight w:val="0"/>
          <w:marTop w:val="0"/>
          <w:marBottom w:val="0"/>
          <w:divBdr>
            <w:top w:val="none" w:sz="0" w:space="0" w:color="auto"/>
            <w:left w:val="none" w:sz="0" w:space="0" w:color="auto"/>
            <w:bottom w:val="none" w:sz="0" w:space="0" w:color="auto"/>
            <w:right w:val="none" w:sz="0" w:space="0" w:color="auto"/>
          </w:divBdr>
        </w:div>
        <w:div w:id="1474909158">
          <w:marLeft w:val="0"/>
          <w:marRight w:val="0"/>
          <w:marTop w:val="0"/>
          <w:marBottom w:val="0"/>
          <w:divBdr>
            <w:top w:val="none" w:sz="0" w:space="0" w:color="auto"/>
            <w:left w:val="none" w:sz="0" w:space="0" w:color="auto"/>
            <w:bottom w:val="none" w:sz="0" w:space="0" w:color="auto"/>
            <w:right w:val="none" w:sz="0" w:space="0" w:color="auto"/>
          </w:divBdr>
        </w:div>
        <w:div w:id="1298954243">
          <w:marLeft w:val="0"/>
          <w:marRight w:val="0"/>
          <w:marTop w:val="0"/>
          <w:marBottom w:val="0"/>
          <w:divBdr>
            <w:top w:val="none" w:sz="0" w:space="0" w:color="auto"/>
            <w:left w:val="none" w:sz="0" w:space="0" w:color="auto"/>
            <w:bottom w:val="none" w:sz="0" w:space="0" w:color="auto"/>
            <w:right w:val="none" w:sz="0" w:space="0" w:color="auto"/>
          </w:divBdr>
        </w:div>
        <w:div w:id="1213467895">
          <w:marLeft w:val="0"/>
          <w:marRight w:val="0"/>
          <w:marTop w:val="0"/>
          <w:marBottom w:val="0"/>
          <w:divBdr>
            <w:top w:val="none" w:sz="0" w:space="0" w:color="auto"/>
            <w:left w:val="none" w:sz="0" w:space="0" w:color="auto"/>
            <w:bottom w:val="none" w:sz="0" w:space="0" w:color="auto"/>
            <w:right w:val="none" w:sz="0" w:space="0" w:color="auto"/>
          </w:divBdr>
        </w:div>
        <w:div w:id="1908228753">
          <w:marLeft w:val="0"/>
          <w:marRight w:val="0"/>
          <w:marTop w:val="0"/>
          <w:marBottom w:val="0"/>
          <w:divBdr>
            <w:top w:val="none" w:sz="0" w:space="0" w:color="auto"/>
            <w:left w:val="none" w:sz="0" w:space="0" w:color="auto"/>
            <w:bottom w:val="none" w:sz="0" w:space="0" w:color="auto"/>
            <w:right w:val="none" w:sz="0" w:space="0" w:color="auto"/>
          </w:divBdr>
        </w:div>
        <w:div w:id="1456095099">
          <w:marLeft w:val="0"/>
          <w:marRight w:val="0"/>
          <w:marTop w:val="0"/>
          <w:marBottom w:val="0"/>
          <w:divBdr>
            <w:top w:val="none" w:sz="0" w:space="0" w:color="auto"/>
            <w:left w:val="none" w:sz="0" w:space="0" w:color="auto"/>
            <w:bottom w:val="none" w:sz="0" w:space="0" w:color="auto"/>
            <w:right w:val="none" w:sz="0" w:space="0" w:color="auto"/>
          </w:divBdr>
        </w:div>
        <w:div w:id="2002155085">
          <w:marLeft w:val="0"/>
          <w:marRight w:val="0"/>
          <w:marTop w:val="0"/>
          <w:marBottom w:val="0"/>
          <w:divBdr>
            <w:top w:val="none" w:sz="0" w:space="0" w:color="auto"/>
            <w:left w:val="none" w:sz="0" w:space="0" w:color="auto"/>
            <w:bottom w:val="none" w:sz="0" w:space="0" w:color="auto"/>
            <w:right w:val="none" w:sz="0" w:space="0" w:color="auto"/>
          </w:divBdr>
        </w:div>
        <w:div w:id="61560465">
          <w:marLeft w:val="0"/>
          <w:marRight w:val="0"/>
          <w:marTop w:val="0"/>
          <w:marBottom w:val="0"/>
          <w:divBdr>
            <w:top w:val="none" w:sz="0" w:space="0" w:color="auto"/>
            <w:left w:val="none" w:sz="0" w:space="0" w:color="auto"/>
            <w:bottom w:val="none" w:sz="0" w:space="0" w:color="auto"/>
            <w:right w:val="none" w:sz="0" w:space="0" w:color="auto"/>
          </w:divBdr>
        </w:div>
        <w:div w:id="733897847">
          <w:marLeft w:val="0"/>
          <w:marRight w:val="0"/>
          <w:marTop w:val="0"/>
          <w:marBottom w:val="0"/>
          <w:divBdr>
            <w:top w:val="none" w:sz="0" w:space="0" w:color="auto"/>
            <w:left w:val="none" w:sz="0" w:space="0" w:color="auto"/>
            <w:bottom w:val="none" w:sz="0" w:space="0" w:color="auto"/>
            <w:right w:val="none" w:sz="0" w:space="0" w:color="auto"/>
          </w:divBdr>
        </w:div>
        <w:div w:id="1207644598">
          <w:marLeft w:val="0"/>
          <w:marRight w:val="0"/>
          <w:marTop w:val="0"/>
          <w:marBottom w:val="0"/>
          <w:divBdr>
            <w:top w:val="none" w:sz="0" w:space="0" w:color="auto"/>
            <w:left w:val="none" w:sz="0" w:space="0" w:color="auto"/>
            <w:bottom w:val="none" w:sz="0" w:space="0" w:color="auto"/>
            <w:right w:val="none" w:sz="0" w:space="0" w:color="auto"/>
          </w:divBdr>
        </w:div>
        <w:div w:id="696855413">
          <w:marLeft w:val="0"/>
          <w:marRight w:val="0"/>
          <w:marTop w:val="0"/>
          <w:marBottom w:val="0"/>
          <w:divBdr>
            <w:top w:val="none" w:sz="0" w:space="0" w:color="auto"/>
            <w:left w:val="none" w:sz="0" w:space="0" w:color="auto"/>
            <w:bottom w:val="none" w:sz="0" w:space="0" w:color="auto"/>
            <w:right w:val="none" w:sz="0" w:space="0" w:color="auto"/>
          </w:divBdr>
        </w:div>
        <w:div w:id="901017535">
          <w:marLeft w:val="0"/>
          <w:marRight w:val="0"/>
          <w:marTop w:val="0"/>
          <w:marBottom w:val="0"/>
          <w:divBdr>
            <w:top w:val="none" w:sz="0" w:space="0" w:color="auto"/>
            <w:left w:val="none" w:sz="0" w:space="0" w:color="auto"/>
            <w:bottom w:val="none" w:sz="0" w:space="0" w:color="auto"/>
            <w:right w:val="none" w:sz="0" w:space="0" w:color="auto"/>
          </w:divBdr>
        </w:div>
        <w:div w:id="437141686">
          <w:marLeft w:val="0"/>
          <w:marRight w:val="0"/>
          <w:marTop w:val="0"/>
          <w:marBottom w:val="0"/>
          <w:divBdr>
            <w:top w:val="none" w:sz="0" w:space="0" w:color="auto"/>
            <w:left w:val="none" w:sz="0" w:space="0" w:color="auto"/>
            <w:bottom w:val="none" w:sz="0" w:space="0" w:color="auto"/>
            <w:right w:val="none" w:sz="0" w:space="0" w:color="auto"/>
          </w:divBdr>
        </w:div>
        <w:div w:id="284890979">
          <w:marLeft w:val="0"/>
          <w:marRight w:val="0"/>
          <w:marTop w:val="0"/>
          <w:marBottom w:val="0"/>
          <w:divBdr>
            <w:top w:val="none" w:sz="0" w:space="0" w:color="auto"/>
            <w:left w:val="none" w:sz="0" w:space="0" w:color="auto"/>
            <w:bottom w:val="none" w:sz="0" w:space="0" w:color="auto"/>
            <w:right w:val="none" w:sz="0" w:space="0" w:color="auto"/>
          </w:divBdr>
        </w:div>
        <w:div w:id="1327245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2331186X.2023.2262258" TargetMode="External"/><Relationship Id="rId21" Type="http://schemas.openxmlformats.org/officeDocument/2006/relationships/hyperlink" Target="https://doi.org/10.1007/s10826-021-02204-x" TargetMode="External"/><Relationship Id="rId42" Type="http://schemas.openxmlformats.org/officeDocument/2006/relationships/hyperlink" Target="https://doi.org/10.1002/jdn.10381" TargetMode="External"/><Relationship Id="rId47" Type="http://schemas.openxmlformats.org/officeDocument/2006/relationships/hyperlink" Target="https://www.nspcc.org.uk/about-us/news-opinion/2023/2023-11-15-why-children-must-be-at-the-heart-of-the-next-government/" TargetMode="External"/><Relationship Id="rId63" Type="http://schemas.openxmlformats.org/officeDocument/2006/relationships/hyperlink" Target="https://doi.org/10.3389/fpsyg.2023.1233925" TargetMode="External"/><Relationship Id="rId68" Type="http://schemas.openxmlformats.org/officeDocument/2006/relationships/hyperlink" Target="https://doi.org/10.1177/0044118X21996382" TargetMode="External"/><Relationship Id="rId84" Type="http://schemas.openxmlformats.org/officeDocument/2006/relationships/fontTable" Target="fontTable.xml"/><Relationship Id="rId16" Type="http://schemas.openxmlformats.org/officeDocument/2006/relationships/hyperlink" Target="https://www.proquest.com/dissertations-theses/comparative-case-study-analysis-early/docview/3062319037/se-2" TargetMode="External"/><Relationship Id="rId11" Type="http://schemas.openxmlformats.org/officeDocument/2006/relationships/hyperlink" Target="https://early-education.org.uk/wp-content/uploads/2021/12/Mapping-the-Landscape-survey-report.pdf" TargetMode="External"/><Relationship Id="rId32" Type="http://schemas.openxmlformats.org/officeDocument/2006/relationships/hyperlink" Target="https://doi.org/10.1093/ooec/odad022" TargetMode="External"/><Relationship Id="rId37" Type="http://schemas.openxmlformats.org/officeDocument/2006/relationships/hyperlink" Target="https://doi.org/10.1080/13501763.2022.2158208" TargetMode="External"/><Relationship Id="rId53" Type="http://schemas.openxmlformats.org/officeDocument/2006/relationships/hyperlink" Target="https://doi.org/10.2991/978-2-38476-114-2_5" TargetMode="External"/><Relationship Id="rId58" Type="http://schemas.openxmlformats.org/officeDocument/2006/relationships/hyperlink" Target="https://doi.org/10.1002/berj.4038" TargetMode="External"/><Relationship Id="rId74" Type="http://schemas.openxmlformats.org/officeDocument/2006/relationships/image" Target="media/image4.png"/><Relationship Id="rId79" Type="http://schemas.openxmlformats.org/officeDocument/2006/relationships/image" Target="media/image9.png"/><Relationship Id="rId5" Type="http://schemas.openxmlformats.org/officeDocument/2006/relationships/settings" Target="settings.xml"/><Relationship Id="rId19" Type="http://schemas.openxmlformats.org/officeDocument/2006/relationships/hyperlink" Target="https://link.springer.com/article/10.1007/s00355-020-01279-7" TargetMode="External"/><Relationship Id="rId14" Type="http://schemas.openxmlformats.org/officeDocument/2006/relationships/hyperlink" Target="https://doi.org/10.1017/9781009325844.010" TargetMode="External"/><Relationship Id="rId22" Type="http://schemas.openxmlformats.org/officeDocument/2006/relationships/hyperlink" Target="https://doi.org/10.1016/j.neubiorev.2022.104605" TargetMode="External"/><Relationship Id="rId27" Type="http://schemas.openxmlformats.org/officeDocument/2006/relationships/hyperlink" Target="https://doi.org/10.1016/j.biopsych.2024.09.026" TargetMode="External"/><Relationship Id="rId30" Type="http://schemas.openxmlformats.org/officeDocument/2006/relationships/hyperlink" Target="https://ifs.org.uk/publications/child-poverty-trends-and-policy-options" TargetMode="External"/><Relationship Id="rId35" Type="http://schemas.openxmlformats.org/officeDocument/2006/relationships/hyperlink" Target="https://link.springer.com/article/10.1007/s11423-022-10124-w" TargetMode="External"/><Relationship Id="rId43" Type="http://schemas.openxmlformats.org/officeDocument/2006/relationships/hyperlink" Target="https://doi.org/10.3389/fpsyt.2022.768802" TargetMode="External"/><Relationship Id="rId48" Type="http://schemas.openxmlformats.org/officeDocument/2006/relationships/hyperlink" Target="https://doi.org/10.1080/10888691.2023.2260745" TargetMode="External"/><Relationship Id="rId56" Type="http://schemas.openxmlformats.org/officeDocument/2006/relationships/hyperlink" Target="https://doi.org/10.1146/annurev-clinpsy-071219-022710" TargetMode="External"/><Relationship Id="rId64" Type="http://schemas.openxmlformats.org/officeDocument/2006/relationships/hyperlink" Target="https://static.poder360.com.br/2023/01/Sunak-discurso.pdf" TargetMode="External"/><Relationship Id="rId69" Type="http://schemas.openxmlformats.org/officeDocument/2006/relationships/hyperlink" Target="https://www.jstor.org/stable/27075021" TargetMode="External"/><Relationship Id="rId77" Type="http://schemas.openxmlformats.org/officeDocument/2006/relationships/image" Target="media/image7.png"/><Relationship Id="rId8" Type="http://schemas.openxmlformats.org/officeDocument/2006/relationships/hyperlink" Target="https://doi.org/10.1177/13882627241270404" TargetMode="External"/><Relationship Id="rId51" Type="http://schemas.openxmlformats.org/officeDocument/2006/relationships/hyperlink" Target="https://doi.org/10.1159/000534340" TargetMode="External"/><Relationship Id="rId72" Type="http://schemas.openxmlformats.org/officeDocument/2006/relationships/image" Target="media/image2.png"/><Relationship Id="rId80" Type="http://schemas.openxmlformats.org/officeDocument/2006/relationships/image" Target="media/image10.png"/><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sciencedirect.com/science/article/pii/S2451902221001968" TargetMode="External"/><Relationship Id="rId17" Type="http://schemas.openxmlformats.org/officeDocument/2006/relationships/hyperlink" Target="https://doi.org/10.1007/s12187-021-09835-y" TargetMode="External"/><Relationship Id="rId25" Type="http://schemas.openxmlformats.org/officeDocument/2006/relationships/hyperlink" Target="https://doi.org/10.1007/s11524-022-00696-6" TargetMode="External"/><Relationship Id="rId33" Type="http://schemas.openxmlformats.org/officeDocument/2006/relationships/hyperlink" Target="https://doi.org/10.1016/j.jenvp.2022.101774" TargetMode="External"/><Relationship Id="rId38" Type="http://schemas.openxmlformats.org/officeDocument/2006/relationships/hyperlink" Target="https://doi.org/10.3390/su15086616" TargetMode="External"/><Relationship Id="rId46" Type="http://schemas.openxmlformats.org/officeDocument/2006/relationships/hyperlink" Target="https://doi.org/10.1017/S0029665124000028" TargetMode="External"/><Relationship Id="rId59" Type="http://schemas.openxmlformats.org/officeDocument/2006/relationships/hyperlink" Target="https://www.proquest.com/dissertations-theses/exploring-governmental-intervention-journalistic/docview/3065251355/se-2" TargetMode="External"/><Relationship Id="rId67" Type="http://schemas.openxmlformats.org/officeDocument/2006/relationships/hyperlink" Target="https://doi.org/10.1038/s41398-021-01663-6" TargetMode="External"/><Relationship Id="rId20" Type="http://schemas.openxmlformats.org/officeDocument/2006/relationships/hyperlink" Target="https://doi.org/10.1007/978-3-319-67286-1_60" TargetMode="External"/><Relationship Id="rId41" Type="http://schemas.openxmlformats.org/officeDocument/2006/relationships/hyperlink" Target="https://doi.org/10.1186/s12889-021-11852-z" TargetMode="External"/><Relationship Id="rId54" Type="http://schemas.openxmlformats.org/officeDocument/2006/relationships/hyperlink" Target="https://doi.org/10.1016/j.worlddev.2023.106185" TargetMode="External"/><Relationship Id="rId62" Type="http://schemas.openxmlformats.org/officeDocument/2006/relationships/hyperlink" Target="https://doi.org/10.1111/1468-0009.12498" TargetMode="External"/><Relationship Id="rId70" Type="http://schemas.openxmlformats.org/officeDocument/2006/relationships/hyperlink" Target="https://doi.org/10.1007/s11205-020-02518-1" TargetMode="External"/><Relationship Id="rId75" Type="http://schemas.openxmlformats.org/officeDocument/2006/relationships/image" Target="media/image5.png"/><Relationship Id="rId83"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126/science.1251872" TargetMode="External"/><Relationship Id="rId23" Type="http://schemas.openxmlformats.org/officeDocument/2006/relationships/hyperlink" Target="https://doi.org/10.1080/03004279.2021.1930095" TargetMode="External"/><Relationship Id="rId28" Type="http://schemas.openxmlformats.org/officeDocument/2006/relationships/hyperlink" Target="https://doi.org/10.1007/s11121-022-01408-x" TargetMode="External"/><Relationship Id="rId36" Type="http://schemas.openxmlformats.org/officeDocument/2006/relationships/hyperlink" Target="https://www.jrf.org.uk/uk-poverty-2023-the-essential-guide-to-understanding-poverty-in-the-uk" TargetMode="External"/><Relationship Id="rId49" Type="http://schemas.openxmlformats.org/officeDocument/2006/relationships/hyperlink" Target="https://doi.org/10.1186/s12913-024-11418-w" TargetMode="External"/><Relationship Id="rId57" Type="http://schemas.openxmlformats.org/officeDocument/2006/relationships/hyperlink" Target="https://socialmetricscommission.org.uk/wp-content/uploads/2023/12/SMC-2023-Report-Web-Hi-Res.pdf" TargetMode="External"/><Relationship Id="rId10" Type="http://schemas.openxmlformats.org/officeDocument/2006/relationships/hyperlink" Target="https://doi.org/10.1016/j.jped.2021.09.005" TargetMode="External"/><Relationship Id="rId31" Type="http://schemas.openxmlformats.org/officeDocument/2006/relationships/hyperlink" Target="https://doi.org/10.1186/s12889-024-19735-9" TargetMode="External"/><Relationship Id="rId44" Type="http://schemas.openxmlformats.org/officeDocument/2006/relationships/hyperlink" Target="https://doi.org/10.1007/s43545-021-00102-z" TargetMode="External"/><Relationship Id="rId52" Type="http://schemas.openxmlformats.org/officeDocument/2006/relationships/hyperlink" Target="https://doi.org/10.1016/j.worlddev.2021.105437" TargetMode="External"/><Relationship Id="rId60" Type="http://schemas.openxmlformats.org/officeDocument/2006/relationships/hyperlink" Target="https://doi.org/10.3390/biomedicines12091978" TargetMode="External"/><Relationship Id="rId65" Type="http://schemas.openxmlformats.org/officeDocument/2006/relationships/hyperlink" Target="https://doi.org/10.1016/j.jbusres.2020.12.019" TargetMode="External"/><Relationship Id="rId73" Type="http://schemas.openxmlformats.org/officeDocument/2006/relationships/image" Target="media/image3.png"/><Relationship Id="rId78" Type="http://schemas.openxmlformats.org/officeDocument/2006/relationships/image" Target="media/image8.png"/><Relationship Id="rId81" Type="http://schemas.openxmlformats.org/officeDocument/2006/relationships/image" Target="media/image11.png"/><Relationship Id="rId4" Type="http://schemas.openxmlformats.org/officeDocument/2006/relationships/styles" Target="styles.xml"/><Relationship Id="rId9" Type="http://schemas.openxmlformats.org/officeDocument/2006/relationships/hyperlink" Target="https://doi.org/10.32739/uha.jnbs.11.1539116" TargetMode="External"/><Relationship Id="rId13" Type="http://schemas.openxmlformats.org/officeDocument/2006/relationships/hyperlink" Target="https://doi.org/10.3390/socsci11030119" TargetMode="External"/><Relationship Id="rId18" Type="http://schemas.openxmlformats.org/officeDocument/2006/relationships/hyperlink" Target="https://www.sciencedirect.com/science/article/pii/S014521342100274X" TargetMode="External"/><Relationship Id="rId39" Type="http://schemas.openxmlformats.org/officeDocument/2006/relationships/hyperlink" Target="https://doi.org/10.1007/s11442-021-1890-4" TargetMode="External"/><Relationship Id="rId34" Type="http://schemas.openxmlformats.org/officeDocument/2006/relationships/hyperlink" Target="https://onlinelibrary.wiley.com/doi/pdf/10.1002/casp.2677" TargetMode="External"/><Relationship Id="rId50" Type="http://schemas.openxmlformats.org/officeDocument/2006/relationships/hyperlink" Target="https://doi.org/10.1377/hlthaff.2020.00709" TargetMode="External"/><Relationship Id="rId55" Type="http://schemas.openxmlformats.org/officeDocument/2006/relationships/hyperlink" Target="https://doi.org/10.14527/pegegog.2021.01" TargetMode="External"/><Relationship Id="rId76" Type="http://schemas.openxmlformats.org/officeDocument/2006/relationships/image" Target="media/image6.png"/><Relationship Id="rId7" Type="http://schemas.openxmlformats.org/officeDocument/2006/relationships/hyperlink" Target="https://scholar.google.com/" TargetMode="External"/><Relationship Id="rId71" Type="http://schemas.openxmlformats.org/officeDocument/2006/relationships/image" Target="media/image1.png"/><Relationship Id="rId2" Type="http://schemas.openxmlformats.org/officeDocument/2006/relationships/customXml" Target="../customXml/item2.xml"/><Relationship Id="rId29" Type="http://schemas.openxmlformats.org/officeDocument/2006/relationships/hyperlink" Target="https://www.proquest.com/scholarly-journals/meaningful-differences-everyday-experience-young/docview/215377356/se-2" TargetMode="External"/><Relationship Id="rId24" Type="http://schemas.openxmlformats.org/officeDocument/2006/relationships/hyperlink" Target="https://doi.org/10.1007/s10834-020-09694-9" TargetMode="External"/><Relationship Id="rId40" Type="http://schemas.openxmlformats.org/officeDocument/2006/relationships/hyperlink" Target="https://doi.org/10.1016/j.amepre.2024.02.015" TargetMode="External"/><Relationship Id="rId45" Type="http://schemas.openxmlformats.org/officeDocument/2006/relationships/hyperlink" Target="https://doi.org/10.1111/jols.12397" TargetMode="External"/><Relationship Id="rId66" Type="http://schemas.openxmlformats.org/officeDocument/2006/relationships/hyperlink" Target="https://doi.org/10.1080/10875549.2021.2010872" TargetMode="External"/><Relationship Id="rId61" Type="http://schemas.openxmlformats.org/officeDocument/2006/relationships/hyperlink" Target="https://doi.org/10.15123/uel.8q6qz" TargetMode="External"/><Relationship Id="rId8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f8af62394ef9ec9f02b93e8f0375b6e">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23598a96cba983c2fc78cdccbc3c00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025325-5C31-4379-9255-40A1DB69E6B9}">
  <ds:schemaRefs>
    <ds:schemaRef ds:uri="http://schemas.microsoft.com/sharepoint/v3/contenttype/forms"/>
  </ds:schemaRefs>
</ds:datastoreItem>
</file>

<file path=customXml/itemProps2.xml><?xml version="1.0" encoding="utf-8"?>
<ds:datastoreItem xmlns:ds="http://schemas.openxmlformats.org/officeDocument/2006/customXml" ds:itemID="{D2EE6598-9F59-4064-9E48-78CDCE39EA86}">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32B5C205-A8AF-43DA-BFE5-D5A853855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7198</Words>
  <Characters>41031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 (2107833)</cp:lastModifiedBy>
  <cp:revision>3</cp:revision>
  <dcterms:created xsi:type="dcterms:W3CDTF">2025-01-17T17:09:00Z</dcterms:created>
  <dcterms:modified xsi:type="dcterms:W3CDTF">2025-01-17T17:10:00Z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