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137A2" w:rsidR="003137A2" w:rsidP="257BFE88" w:rsidRDefault="003137A2" w14:paraId="5C6ACD8E" w14:textId="62FC6B9A">
      <w:pPr>
        <w:pStyle w:val="Normal"/>
        <w:spacing w:before="480" w:after="120" w:line="240" w:lineRule="auto"/>
        <w:jc w:val="center"/>
      </w:pPr>
      <w:r w:rsidR="720DAB65">
        <w:drawing>
          <wp:inline wp14:editId="0A2C9395" wp14:anchorId="61122DE2">
            <wp:extent cx="1905000" cy="2114550"/>
            <wp:effectExtent l="0" t="0" r="0" b="0"/>
            <wp:docPr id="10463101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6310118" name="Picture 1046310118"/>
                    <pic:cNvPicPr/>
                  </pic:nvPicPr>
                  <pic:blipFill>
                    <a:blip xmlns:r="http://schemas.openxmlformats.org/officeDocument/2006/relationships" r:embed="rId1528565853">
                      <a:extLst>
                        <a:ext uri="{28A0092B-C50C-407E-A947-70E740481C1C}">
                          <a14:useLocalDpi xmlns:a14="http://schemas.microsoft.com/office/drawing/2010/main"/>
                        </a:ext>
                      </a:extLst>
                    </a:blip>
                    <a:stretch>
                      <a:fillRect/>
                    </a:stretch>
                  </pic:blipFill>
                  <pic:spPr>
                    <a:xfrm>
                      <a:off x="0" y="0"/>
                      <a:ext cx="1905000" cy="2114550"/>
                    </a:xfrm>
                    <a:prstGeom prst="rect">
                      <a:avLst/>
                    </a:prstGeom>
                  </pic:spPr>
                </pic:pic>
              </a:graphicData>
            </a:graphic>
          </wp:inline>
        </w:drawing>
      </w:r>
    </w:p>
    <w:p w:rsidR="257BFE88" w:rsidP="257BFE88" w:rsidRDefault="257BFE88" w14:paraId="1750EB17" w14:textId="6DAD2C20">
      <w:pPr>
        <w:spacing w:before="480" w:after="120" w:line="240" w:lineRule="auto"/>
        <w:jc w:val="center"/>
        <w:outlineLvl w:val="0"/>
        <w:rPr>
          <w:rFonts w:ascii="Aptos" w:hAnsi="Aptos" w:eastAsia="Times New Roman" w:cs="Times New Roman"/>
          <w:b w:val="1"/>
          <w:bCs w:val="1"/>
          <w:color w:val="000000" w:themeColor="text1" w:themeTint="FF" w:themeShade="FF"/>
          <w:sz w:val="46"/>
          <w:szCs w:val="46"/>
          <w:lang w:eastAsia="en-GB"/>
        </w:rPr>
      </w:pPr>
    </w:p>
    <w:p w:rsidRPr="003137A2" w:rsidR="003137A2" w:rsidP="003137A2" w:rsidRDefault="003137A2" w14:paraId="654965FF" w14:textId="77777777">
      <w:pPr>
        <w:spacing w:after="80" w:line="240" w:lineRule="auto"/>
        <w:contextualSpacing/>
        <w:rPr>
          <w:rFonts w:ascii="Times New Roman" w:hAnsi="Times New Roman" w:eastAsia="Times New Roman" w:cstheme="majorBidi"/>
          <w:spacing w:val="-10"/>
          <w:kern w:val="28"/>
          <w:sz w:val="48"/>
          <w:szCs w:val="48"/>
          <w:lang w:eastAsia="en-GB"/>
        </w:rPr>
      </w:pPr>
      <w:r w:rsidRPr="003137A2">
        <w:rPr>
          <w:rFonts w:eastAsia="Times New Roman" w:asciiTheme="majorHAnsi" w:hAnsiTheme="majorHAnsi" w:cstheme="majorBidi"/>
          <w:spacing w:val="-10"/>
          <w:kern w:val="28"/>
          <w:sz w:val="56"/>
          <w:szCs w:val="56"/>
          <w:lang w:eastAsia="en-GB"/>
        </w:rPr>
        <w:t xml:space="preserve">     Are there unintended consequences</w:t>
      </w:r>
    </w:p>
    <w:p w:rsidRPr="003137A2" w:rsidR="003137A2" w:rsidP="003137A2" w:rsidRDefault="003137A2" w14:paraId="4BDAE72A" w14:textId="77777777">
      <w:pPr>
        <w:spacing w:after="80" w:line="240" w:lineRule="auto"/>
        <w:contextualSpacing/>
        <w:rPr>
          <w:rFonts w:ascii="Times New Roman" w:hAnsi="Times New Roman" w:eastAsia="Times New Roman" w:cstheme="majorBidi"/>
          <w:spacing w:val="-10"/>
          <w:kern w:val="28"/>
          <w:sz w:val="48"/>
          <w:szCs w:val="48"/>
          <w:lang w:eastAsia="en-GB"/>
        </w:rPr>
      </w:pPr>
      <w:r w:rsidRPr="003137A2">
        <w:rPr>
          <w:rFonts w:eastAsia="Times New Roman" w:asciiTheme="majorHAnsi" w:hAnsiTheme="majorHAnsi" w:cstheme="majorBidi"/>
          <w:spacing w:val="-10"/>
          <w:kern w:val="28"/>
          <w:sz w:val="56"/>
          <w:szCs w:val="56"/>
          <w:lang w:eastAsia="en-GB"/>
        </w:rPr>
        <w:t xml:space="preserve">              of ESG scoring systems?</w:t>
      </w:r>
    </w:p>
    <w:p w:rsidRPr="003137A2" w:rsidR="003137A2" w:rsidP="003137A2" w:rsidRDefault="003137A2" w14:paraId="27E315F1" w14:textId="77777777">
      <w:pPr>
        <w:tabs>
          <w:tab w:val="center" w:pos="4513"/>
        </w:tabs>
        <w:spacing w:after="80" w:line="240" w:lineRule="auto"/>
        <w:contextualSpacing/>
        <w:rPr>
          <w:rFonts w:ascii="Times New Roman" w:hAnsi="Times New Roman" w:eastAsia="Times New Roman" w:cstheme="majorBidi"/>
          <w:spacing w:val="-10"/>
          <w:kern w:val="0"/>
          <w:sz w:val="56"/>
          <w:szCs w:val="56"/>
          <w:lang w:eastAsia="en-GB"/>
        </w:rPr>
      </w:pPr>
      <w:r w:rsidRPr="003137A2">
        <w:rPr>
          <w:rFonts w:eastAsia="Times New Roman" w:asciiTheme="majorHAnsi" w:hAnsiTheme="majorHAnsi" w:cstheme="majorBidi"/>
          <w:spacing w:val="-10"/>
          <w:kern w:val="0"/>
          <w:sz w:val="52"/>
          <w:szCs w:val="52"/>
          <w:lang w:eastAsia="en-GB"/>
        </w:rPr>
        <w:t> </w:t>
      </w:r>
      <w:r w:rsidRPr="003137A2">
        <w:rPr>
          <w:rFonts w:eastAsia="Times New Roman" w:asciiTheme="majorHAnsi" w:hAnsiTheme="majorHAnsi" w:cstheme="majorBidi"/>
          <w:spacing w:val="-10"/>
          <w:kern w:val="0"/>
          <w:sz w:val="52"/>
          <w:szCs w:val="52"/>
          <w:lang w:eastAsia="en-GB"/>
        </w:rPr>
        <w:tab/>
      </w:r>
      <w:r w:rsidRPr="003137A2">
        <w:rPr>
          <w:rFonts w:eastAsia="Times New Roman" w:asciiTheme="majorHAnsi" w:hAnsiTheme="majorHAnsi" w:cstheme="majorBidi"/>
          <w:spacing w:val="-10"/>
          <w:kern w:val="0"/>
          <w:sz w:val="52"/>
          <w:szCs w:val="52"/>
          <w:lang w:eastAsia="en-GB"/>
        </w:rPr>
        <w:t xml:space="preserve"> </w:t>
      </w:r>
    </w:p>
    <w:p w:rsidRPr="003137A2" w:rsidR="003137A2" w:rsidP="003137A2" w:rsidRDefault="003137A2" w14:paraId="4DCD96AA" w14:textId="77777777">
      <w:pPr>
        <w:spacing w:after="80" w:line="240" w:lineRule="auto"/>
        <w:contextualSpacing/>
        <w:rPr>
          <w:rFonts w:eastAsia="Times New Roman" w:asciiTheme="majorHAnsi" w:hAnsiTheme="majorHAnsi" w:cstheme="majorBidi"/>
          <w:spacing w:val="-10"/>
          <w:kern w:val="0"/>
          <w:sz w:val="34"/>
          <w:szCs w:val="34"/>
          <w:lang w:eastAsia="en-GB"/>
        </w:rPr>
      </w:pPr>
      <w:r w:rsidRPr="003137A2">
        <w:rPr>
          <w:rFonts w:eastAsia="Times New Roman" w:asciiTheme="majorHAnsi" w:hAnsiTheme="majorHAnsi" w:cstheme="majorBidi"/>
          <w:spacing w:val="-10"/>
          <w:kern w:val="0"/>
          <w:sz w:val="34"/>
          <w:szCs w:val="34"/>
          <w:lang w:eastAsia="en-GB"/>
        </w:rPr>
        <w:t xml:space="preserve">                     An assessment based on the analysis of BlackRock </w:t>
      </w:r>
    </w:p>
    <w:p w:rsidRPr="003137A2" w:rsidR="003137A2" w:rsidP="003137A2" w:rsidRDefault="003137A2" w14:paraId="6319E8F9" w14:textId="77777777">
      <w:pPr>
        <w:spacing w:after="80" w:line="240" w:lineRule="auto"/>
        <w:contextualSpacing/>
        <w:rPr>
          <w:rFonts w:ascii="Times New Roman" w:hAnsi="Times New Roman" w:eastAsia="Times New Roman" w:cstheme="majorBidi"/>
          <w:spacing w:val="-10"/>
          <w:kern w:val="0"/>
          <w:sz w:val="36"/>
          <w:szCs w:val="36"/>
          <w:lang w:eastAsia="en-GB"/>
        </w:rPr>
      </w:pPr>
      <w:r w:rsidRPr="003137A2">
        <w:rPr>
          <w:rFonts w:eastAsia="Times New Roman" w:asciiTheme="majorHAnsi" w:hAnsiTheme="majorHAnsi" w:cstheme="majorBidi"/>
          <w:spacing w:val="-10"/>
          <w:kern w:val="0"/>
          <w:sz w:val="34"/>
          <w:szCs w:val="34"/>
          <w:lang w:eastAsia="en-GB"/>
        </w:rPr>
        <w:t xml:space="preserve">                                                   Asset Management</w:t>
      </w:r>
    </w:p>
    <w:p w:rsidRPr="003137A2" w:rsidR="003137A2" w:rsidP="003137A2" w:rsidRDefault="003137A2" w14:paraId="740B83E7" w14:textId="77777777">
      <w:pPr>
        <w:spacing w:before="240" w:after="240" w:line="240" w:lineRule="auto"/>
        <w:jc w:val="center"/>
        <w:rPr>
          <w:rFonts w:ascii="Times New Roman" w:hAnsi="Times New Roman" w:eastAsia="Times New Roman" w:cs="Times New Roman"/>
          <w:kern w:val="0"/>
          <w:lang w:eastAsia="en-GB"/>
          <w14:ligatures w14:val="none"/>
        </w:rPr>
      </w:pPr>
      <w:r w:rsidRPr="003137A2">
        <w:rPr>
          <w:rFonts w:ascii="Aptos" w:hAnsi="Aptos" w:eastAsia="Times New Roman" w:cs="Times New Roman"/>
          <w:b/>
          <w:bCs/>
          <w:color w:val="000000"/>
          <w:kern w:val="0"/>
          <w:sz w:val="28"/>
          <w:szCs w:val="28"/>
          <w:lang w:eastAsia="en-GB"/>
          <w14:ligatures w14:val="none"/>
        </w:rPr>
        <w:t> </w:t>
      </w:r>
    </w:p>
    <w:p w:rsidRPr="003137A2" w:rsidR="003137A2" w:rsidP="003137A2" w:rsidRDefault="003137A2" w14:paraId="78D020E3" w14:textId="77777777">
      <w:pPr>
        <w:spacing w:after="0" w:line="240" w:lineRule="auto"/>
        <w:rPr>
          <w:rFonts w:ascii="Times New Roman" w:hAnsi="Times New Roman" w:eastAsia="Times New Roman" w:cs="Times New Roman"/>
          <w:kern w:val="0"/>
          <w:lang w:eastAsia="en-GB"/>
          <w14:ligatures w14:val="none"/>
        </w:rPr>
      </w:pPr>
    </w:p>
    <w:p w:rsidRPr="003137A2" w:rsidR="003137A2" w:rsidP="003137A2" w:rsidRDefault="003137A2" w14:paraId="638A9AED" w14:textId="77777777">
      <w:pPr>
        <w:spacing w:before="240" w:after="240" w:line="240" w:lineRule="auto"/>
        <w:jc w:val="center"/>
        <w:rPr>
          <w:rFonts w:ascii="Times New Roman" w:hAnsi="Times New Roman" w:eastAsia="Times New Roman" w:cs="Times New Roman"/>
          <w:kern w:val="0"/>
          <w:lang w:eastAsia="en-GB"/>
          <w14:ligatures w14:val="none"/>
        </w:rPr>
      </w:pPr>
      <w:r w:rsidRPr="003137A2">
        <w:rPr>
          <w:rFonts w:ascii="Aptos" w:hAnsi="Aptos" w:eastAsia="Times New Roman" w:cs="Times New Roman"/>
          <w:b/>
          <w:bCs/>
          <w:color w:val="000000"/>
          <w:kern w:val="0"/>
          <w:sz w:val="28"/>
          <w:szCs w:val="28"/>
          <w:lang w:eastAsia="en-GB"/>
          <w14:ligatures w14:val="none"/>
        </w:rPr>
        <w:t> </w:t>
      </w:r>
    </w:p>
    <w:p w:rsidRPr="003137A2" w:rsidR="003137A2" w:rsidP="003137A2" w:rsidRDefault="003137A2" w14:paraId="576656AE" w14:textId="77777777">
      <w:pPr>
        <w:spacing w:before="240" w:after="240" w:line="240" w:lineRule="auto"/>
        <w:jc w:val="center"/>
        <w:rPr>
          <w:rFonts w:ascii="Aptos" w:hAnsi="Aptos" w:eastAsia="Times New Roman" w:cs="Times New Roman"/>
          <w:b w:val="1"/>
          <w:bCs w:val="1"/>
          <w:color w:val="000000"/>
          <w:kern w:val="0"/>
          <w:sz w:val="28"/>
          <w:szCs w:val="28"/>
          <w:lang w:eastAsia="en-GB"/>
          <w14:ligatures w14:val="none"/>
        </w:rPr>
      </w:pPr>
    </w:p>
    <w:p w:rsidR="257BFE88" w:rsidP="257BFE88" w:rsidRDefault="257BFE88" w14:paraId="04F38ADE" w14:textId="2F5D81D0">
      <w:pPr>
        <w:spacing w:before="240" w:after="240" w:line="240" w:lineRule="auto"/>
        <w:jc w:val="center"/>
        <w:rPr>
          <w:rFonts w:ascii="Aptos" w:hAnsi="Aptos" w:eastAsia="Times New Roman" w:cs="Times New Roman"/>
          <w:b w:val="1"/>
          <w:bCs w:val="1"/>
          <w:color w:val="000000" w:themeColor="text1" w:themeTint="FF" w:themeShade="FF"/>
          <w:sz w:val="28"/>
          <w:szCs w:val="28"/>
          <w:lang w:eastAsia="en-GB"/>
        </w:rPr>
      </w:pPr>
    </w:p>
    <w:p w:rsidRPr="003137A2" w:rsidR="003137A2" w:rsidP="003137A2" w:rsidRDefault="003137A2" w14:paraId="0C183039" w14:textId="77777777">
      <w:pPr>
        <w:spacing w:before="240" w:after="240" w:line="240" w:lineRule="auto"/>
        <w:jc w:val="center"/>
        <w:rPr>
          <w:rFonts w:ascii="Times New Roman" w:hAnsi="Times New Roman" w:eastAsia="Times New Roman" w:cs="Times New Roman"/>
          <w:kern w:val="0"/>
          <w:lang w:eastAsia="en-GB"/>
          <w14:ligatures w14:val="none"/>
        </w:rPr>
      </w:pPr>
      <w:r w:rsidRPr="003137A2" w:rsidR="6D7FFB3E">
        <w:rPr>
          <w:rFonts w:ascii="Aptos" w:hAnsi="Aptos" w:eastAsia="Times New Roman" w:cs="Times New Roman"/>
          <w:b w:val="1"/>
          <w:bCs w:val="1"/>
          <w:color w:val="000000"/>
          <w:kern w:val="0"/>
          <w:sz w:val="28"/>
          <w:szCs w:val="28"/>
          <w:lang w:eastAsia="en-GB"/>
          <w14:ligatures w14:val="none"/>
        </w:rPr>
        <w:t>  </w:t>
      </w:r>
    </w:p>
    <w:p w:rsidRPr="003137A2" w:rsidR="003137A2" w:rsidP="257BFE88" w:rsidRDefault="003137A2" w14:paraId="4FDBFE93" w14:textId="1D7C58E7">
      <w:pPr>
        <w:spacing w:before="240" w:after="240" w:line="240" w:lineRule="auto"/>
        <w:jc w:val="left"/>
        <w:rPr>
          <w:rFonts w:ascii="Aptos" w:hAnsi="Aptos" w:eastAsia="Times New Roman" w:cs="Times New Roman"/>
          <w:b w:val="1"/>
          <w:bCs w:val="1"/>
          <w:color w:val="000000" w:themeColor="text1" w:themeTint="FF" w:themeShade="FF"/>
          <w:sz w:val="28"/>
          <w:szCs w:val="28"/>
          <w:lang w:eastAsia="en-GB"/>
        </w:rPr>
      </w:pPr>
      <w:r w:rsidRPr="003137A2" w:rsidR="74131136">
        <w:rPr>
          <w:rFonts w:ascii="Aptos" w:hAnsi="Aptos" w:eastAsia="Times New Roman" w:cs="Times New Roman"/>
          <w:b w:val="1"/>
          <w:bCs w:val="1"/>
          <w:color w:val="000000"/>
          <w:kern w:val="0"/>
          <w:sz w:val="28"/>
          <w:szCs w:val="28"/>
          <w:lang w:eastAsia="en-GB"/>
          <w14:ligatures w14:val="none"/>
        </w:rPr>
        <w:t xml:space="preserve">                                                                                                                          </w:t>
      </w:r>
      <w:r w:rsidRPr="003137A2" w:rsidR="6F4F7095">
        <w:rPr>
          <w:rFonts w:ascii="Aptos" w:hAnsi="Aptos" w:eastAsia="Times New Roman" w:cs="Times New Roman"/>
          <w:b w:val="1"/>
          <w:bCs w:val="1"/>
          <w:color w:val="000000"/>
          <w:kern w:val="0"/>
          <w:sz w:val="28"/>
          <w:szCs w:val="28"/>
          <w:lang w:eastAsia="en-GB"/>
          <w14:ligatures w14:val="none"/>
        </w:rPr>
        <w:t xml:space="preserve">                                            </w:t>
      </w:r>
      <w:r w:rsidRPr="003137A2" w:rsidR="2C688F8E">
        <w:rPr>
          <w:rFonts w:ascii="Aptos" w:hAnsi="Aptos" w:eastAsia="Times New Roman" w:cs="Times New Roman"/>
          <w:b w:val="1"/>
          <w:bCs w:val="1"/>
          <w:color w:val="000000"/>
          <w:kern w:val="0"/>
          <w:sz w:val="28"/>
          <w:szCs w:val="28"/>
          <w:lang w:eastAsia="en-GB"/>
          <w14:ligatures w14:val="none"/>
        </w:rPr>
        <w:t xml:space="preserve">   Nathan</w:t>
      </w:r>
    </w:p>
    <w:p w:rsidRPr="003137A2" w:rsidR="003137A2" w:rsidP="257BFE88" w:rsidRDefault="003137A2" w14:paraId="200670BF" w14:textId="3A880E4B">
      <w:pPr>
        <w:spacing w:before="240" w:after="240" w:line="240" w:lineRule="auto"/>
        <w:jc w:val="right"/>
        <w:rPr>
          <w:rFonts w:ascii="Aptos" w:hAnsi="Aptos" w:eastAsia="Times New Roman" w:cs="Times New Roman"/>
          <w:b w:val="1"/>
          <w:bCs w:val="1"/>
          <w:color w:val="000000" w:themeColor="text1" w:themeTint="FF" w:themeShade="FF"/>
          <w:kern w:val="0"/>
          <w:sz w:val="28"/>
          <w:szCs w:val="28"/>
          <w:lang w:eastAsia="en-GB"/>
          <w14:ligatures w14:val="none"/>
        </w:rPr>
      </w:pPr>
      <w:r w:rsidRPr="257BFE88" w:rsidR="2C688F8E">
        <w:rPr>
          <w:rFonts w:ascii="Aptos" w:hAnsi="Aptos" w:eastAsia="Times New Roman" w:cs="Times New Roman"/>
          <w:b w:val="1"/>
          <w:bCs w:val="1"/>
          <w:color w:val="000000" w:themeColor="text1" w:themeTint="FF" w:themeShade="FF"/>
          <w:sz w:val="28"/>
          <w:szCs w:val="28"/>
          <w:lang w:eastAsia="en-GB"/>
        </w:rPr>
        <w:t>Barlow</w:t>
      </w:r>
    </w:p>
    <w:p w:rsidRPr="003137A2" w:rsidR="003137A2" w:rsidP="003137A2" w:rsidRDefault="003137A2" w14:paraId="6F90D8D8" w14:textId="77777777">
      <w:pPr>
        <w:spacing w:before="240" w:after="240" w:line="240" w:lineRule="auto"/>
        <w:jc w:val="right"/>
        <w:rPr>
          <w:rFonts w:ascii="Times New Roman" w:hAnsi="Times New Roman" w:eastAsia="Times New Roman" w:cs="Times New Roman"/>
          <w:kern w:val="0"/>
          <w:lang w:eastAsia="en-GB"/>
          <w14:ligatures w14:val="none"/>
        </w:rPr>
      </w:pPr>
      <w:r w:rsidRPr="003137A2">
        <w:rPr>
          <w:rFonts w:ascii="Aptos" w:hAnsi="Aptos" w:eastAsia="Times New Roman" w:cs="Times New Roman"/>
          <w:b/>
          <w:bCs/>
          <w:color w:val="000000"/>
          <w:kern w:val="0"/>
          <w:sz w:val="28"/>
          <w:szCs w:val="28"/>
          <w:lang w:eastAsia="en-GB"/>
          <w14:ligatures w14:val="none"/>
        </w:rPr>
        <w:t>2318300</w:t>
      </w:r>
    </w:p>
    <w:p w:rsidRPr="003137A2" w:rsidR="003137A2" w:rsidP="003137A2" w:rsidRDefault="003137A2" w14:paraId="22DBBBC6" w14:textId="66133BF4">
      <w:pPr>
        <w:spacing w:before="240" w:after="240" w:line="240" w:lineRule="auto"/>
        <w:jc w:val="right"/>
        <w:rPr>
          <w:rFonts w:ascii="Times New Roman" w:hAnsi="Times New Roman" w:eastAsia="Times New Roman" w:cs="Times New Roman"/>
          <w:kern w:val="0"/>
          <w:lang w:eastAsia="en-GB"/>
          <w14:ligatures w14:val="none"/>
        </w:rPr>
      </w:pPr>
      <w:r w:rsidRPr="003137A2" w:rsidR="25D9F4BB">
        <w:rPr>
          <w:rFonts w:ascii="Aptos" w:hAnsi="Aptos" w:eastAsia="Times New Roman" w:cs="Times New Roman"/>
          <w:b w:val="1"/>
          <w:bCs w:val="1"/>
          <w:color w:val="000000"/>
          <w:kern w:val="0"/>
          <w:sz w:val="28"/>
          <w:szCs w:val="28"/>
          <w:lang w:eastAsia="en-GB"/>
          <w14:ligatures w14:val="none"/>
        </w:rPr>
        <w:t>April</w:t>
      </w:r>
      <w:r w:rsidRPr="003137A2" w:rsidR="6D7FFB3E">
        <w:rPr>
          <w:rFonts w:ascii="Aptos" w:hAnsi="Aptos" w:eastAsia="Times New Roman" w:cs="Times New Roman"/>
          <w:b w:val="1"/>
          <w:bCs w:val="1"/>
          <w:color w:val="000000"/>
          <w:kern w:val="0"/>
          <w:sz w:val="28"/>
          <w:szCs w:val="28"/>
          <w:lang w:eastAsia="en-GB"/>
          <w14:ligatures w14:val="none"/>
        </w:rPr>
        <w:t xml:space="preserve"> 2026</w:t>
      </w:r>
    </w:p>
    <w:p w:rsidRPr="003137A2" w:rsidR="003137A2" w:rsidP="003137A2" w:rsidRDefault="003137A2" w14:textId="77777777" w14:paraId="091FBFA7">
      <w:pPr>
        <w:spacing w:before="240" w:after="240" w:line="240" w:lineRule="auto"/>
        <w:jc w:val="right"/>
        <w:rPr>
          <w:rFonts w:ascii="Times New Roman" w:hAnsi="Times New Roman" w:eastAsia="Times New Roman" w:cs="Times New Roman"/>
          <w:kern w:val="0"/>
          <w:lang w:eastAsia="en-GB"/>
          <w14:ligatures w14:val="none"/>
        </w:rPr>
      </w:pPr>
      <w:r w:rsidRPr="003137A2" w:rsidR="6D7FFB3E">
        <w:rPr>
          <w:rFonts w:ascii="Aptos" w:hAnsi="Aptos" w:eastAsia="Times New Roman" w:cs="Times New Roman"/>
          <w:b w:val="1"/>
          <w:bCs w:val="1"/>
          <w:color w:val="000000"/>
          <w:kern w:val="0"/>
          <w:sz w:val="28"/>
          <w:szCs w:val="28"/>
          <w:lang w:eastAsia="en-GB"/>
          <w14:ligatures w14:val="none"/>
        </w:rPr>
        <w:t>BMBM6020 Independent Project</w:t>
      </w:r>
      <w:r w:rsidRPr="003137A2" w:rsidR="6D7FFB3E">
        <w:rPr>
          <w:rFonts w:ascii="Aptos" w:hAnsi="Aptos" w:eastAsia="Times New Roman" w:cs="Times New Roman"/>
          <w:b w:val="1"/>
          <w:bCs w:val="1"/>
          <w:color w:val="000000"/>
          <w:kern w:val="0"/>
          <w:sz w:val="28"/>
          <w:szCs w:val="28"/>
          <w:lang w:eastAsia="en-GB"/>
          <w14:ligatures w14:val="none"/>
        </w:rPr>
        <w:t> </w:t>
      </w:r>
    </w:p>
    <w:p w:rsidRPr="003137A2" w:rsidR="003137A2" w:rsidP="257BFE88" w:rsidRDefault="003137A2" w14:paraId="22082ED4" w14:textId="77777777">
      <w:pPr>
        <w:keepNext w:val="1"/>
        <w:keepLines w:val="1"/>
        <w:spacing w:before="360" w:after="80"/>
        <w:outlineLvl w:val="0"/>
        <w:rPr>
          <w:rFonts w:ascii="Times New Roman" w:hAnsi="Times New Roman" w:eastAsia="Times New Roman" w:cs="" w:cstheme="majorBidi"/>
          <w:color w:val="0F4761" w:themeColor="accent1" w:themeShade="BF"/>
          <w:sz w:val="48"/>
          <w:szCs w:val="48"/>
          <w:lang w:eastAsia="en-GB"/>
        </w:rPr>
      </w:pPr>
      <w:r w:rsidRPr="257BFE88" w:rsidR="6D7FFB3E">
        <w:rPr>
          <w:rFonts w:ascii="Aptos Display" w:hAnsi="Aptos Display" w:eastAsia="Times New Roman" w:cs="" w:asciiTheme="majorAscii" w:hAnsiTheme="majorAscii" w:cstheme="majorBidi"/>
          <w:color w:val="0F4761" w:themeColor="accent1" w:themeTint="FF" w:themeShade="BF"/>
          <w:sz w:val="40"/>
          <w:szCs w:val="40"/>
          <w:lang w:eastAsia="en-GB"/>
        </w:rPr>
        <w:t xml:space="preserve">                               </w:t>
      </w:r>
      <w:bookmarkStart w:name="_Toc239088140" w:id="783636275"/>
      <w:r w:rsidRPr="257BFE88" w:rsidR="6D7FFB3E">
        <w:rPr>
          <w:rFonts w:ascii="Aptos Display" w:hAnsi="Aptos Display" w:eastAsia="Times New Roman" w:cs="" w:asciiTheme="majorAscii" w:hAnsiTheme="majorAscii" w:cstheme="majorBidi"/>
          <w:color w:val="0F4761" w:themeColor="accent1" w:themeTint="FF" w:themeShade="BF"/>
          <w:sz w:val="40"/>
          <w:szCs w:val="40"/>
          <w:lang w:eastAsia="en-GB"/>
        </w:rPr>
        <w:t>Acknowledgments</w:t>
      </w:r>
      <w:bookmarkEnd w:id="783636275"/>
    </w:p>
    <w:p w:rsidRPr="003137A2" w:rsidR="003137A2" w:rsidP="003137A2" w:rsidRDefault="003137A2" w14:paraId="2EF94798" w14:textId="77777777">
      <w:pPr>
        <w:spacing w:before="240" w:after="240" w:line="240" w:lineRule="auto"/>
        <w:jc w:val="center"/>
        <w:rPr>
          <w:rFonts w:ascii="Times New Roman" w:hAnsi="Times New Roman" w:eastAsia="Times New Roman" w:cs="Times New Roman"/>
          <w:kern w:val="0"/>
          <w:lang w:eastAsia="en-GB"/>
          <w14:ligatures w14:val="none"/>
        </w:rPr>
      </w:pPr>
      <w:r w:rsidRPr="003137A2">
        <w:rPr>
          <w:rFonts w:ascii="Aptos" w:hAnsi="Aptos" w:eastAsia="Times New Roman" w:cs="Times New Roman"/>
          <w:b/>
          <w:bCs/>
          <w:color w:val="000000"/>
          <w:kern w:val="0"/>
          <w:sz w:val="56"/>
          <w:szCs w:val="56"/>
          <w:lang w:eastAsia="en-GB"/>
          <w14:ligatures w14:val="none"/>
        </w:rPr>
        <w:t> </w:t>
      </w:r>
    </w:p>
    <w:p w:rsidRPr="003137A2" w:rsidR="003137A2" w:rsidP="003137A2" w:rsidRDefault="003137A2" w14:paraId="2C3C5E1F" w14:textId="77777777">
      <w:pPr>
        <w:spacing w:before="240" w:after="240" w:line="240" w:lineRule="auto"/>
        <w:rPr>
          <w:rFonts w:ascii="Times New Roman" w:hAnsi="Times New Roman" w:eastAsia="Times New Roman" w:cs="Times New Roman"/>
          <w:kern w:val="0"/>
          <w:lang w:eastAsia="en-GB"/>
          <w14:ligatures w14:val="none"/>
        </w:rPr>
      </w:pPr>
      <w:r w:rsidRPr="003137A2">
        <w:rPr>
          <w:rFonts w:ascii="Aptos" w:hAnsi="Aptos" w:eastAsia="Times New Roman" w:cs="Times New Roman"/>
          <w:color w:val="000000"/>
          <w:kern w:val="0"/>
          <w:lang w:eastAsia="en-GB"/>
          <w14:ligatures w14:val="none"/>
        </w:rPr>
        <w:t xml:space="preserve">                                     </w:t>
      </w:r>
      <w:r w:rsidRPr="003137A2">
        <w:rPr>
          <w:rFonts w:ascii="Aptos" w:hAnsi="Aptos" w:eastAsia="Times New Roman" w:cs="Times New Roman"/>
          <w:b/>
          <w:bCs/>
          <w:color w:val="000000"/>
          <w:kern w:val="0"/>
          <w:lang w:eastAsia="en-GB"/>
          <w14:ligatures w14:val="none"/>
        </w:rPr>
        <w:t>In loving memory of my mum, 1969–2009</w:t>
      </w:r>
      <w:r w:rsidRPr="003137A2">
        <w:rPr>
          <w:rFonts w:ascii="Aptos" w:hAnsi="Aptos" w:eastAsia="Times New Roman" w:cs="Times New Roman"/>
          <w:color w:val="000000"/>
          <w:kern w:val="0"/>
          <w:lang w:eastAsia="en-GB"/>
          <w14:ligatures w14:val="none"/>
        </w:rPr>
        <w:t>.</w:t>
      </w:r>
    </w:p>
    <w:p w:rsidRPr="003137A2" w:rsidR="003137A2" w:rsidP="003137A2" w:rsidRDefault="003137A2" w14:paraId="22F3A52E" w14:textId="77777777">
      <w:pPr>
        <w:spacing w:before="240" w:after="240" w:line="240" w:lineRule="auto"/>
        <w:jc w:val="center"/>
        <w:rPr>
          <w:rFonts w:ascii="Times New Roman" w:hAnsi="Times New Roman" w:eastAsia="Times New Roman" w:cs="Times New Roman"/>
          <w:kern w:val="0"/>
          <w:lang w:eastAsia="en-GB"/>
          <w14:ligatures w14:val="none"/>
        </w:rPr>
      </w:pPr>
      <w:r w:rsidRPr="003137A2">
        <w:rPr>
          <w:rFonts w:ascii="Aptos" w:hAnsi="Aptos" w:eastAsia="Times New Roman" w:cs="Times New Roman"/>
          <w:color w:val="000000"/>
          <w:kern w:val="0"/>
          <w:lang w:eastAsia="en-GB"/>
          <w14:ligatures w14:val="none"/>
        </w:rPr>
        <w:t> </w:t>
      </w:r>
    </w:p>
    <w:p w:rsidRPr="003137A2" w:rsidR="003137A2" w:rsidP="003137A2" w:rsidRDefault="003137A2" w14:paraId="781487FC" w14:textId="59BBA910">
      <w:pPr>
        <w:spacing w:before="240" w:after="240" w:line="240" w:lineRule="auto"/>
        <w:rPr>
          <w:rFonts w:ascii="Times New Roman" w:hAnsi="Times New Roman" w:eastAsia="Times New Roman" w:cs="Times New Roman"/>
          <w:kern w:val="0"/>
          <w:lang w:eastAsia="en-GB"/>
          <w14:ligatures w14:val="none"/>
        </w:rPr>
      </w:pPr>
      <w:r w:rsidRPr="003137A2" w:rsidR="74131136">
        <w:rPr>
          <w:rFonts w:ascii="Aptos" w:hAnsi="Aptos" w:eastAsia="Times New Roman" w:cs="Times New Roman"/>
          <w:color w:val="000000"/>
          <w:kern w:val="0"/>
          <w:lang w:eastAsia="en-GB"/>
          <w14:ligatures w14:val="none"/>
        </w:rPr>
        <w:t xml:space="preserve">I want to thank my dad for everything he has done to help me reach this point. His support through listening, challenging, encouraging, motivating</w:t>
      </w:r>
      <w:r w:rsidRPr="003137A2" w:rsidR="74131136">
        <w:rPr>
          <w:rFonts w:ascii="Aptos" w:hAnsi="Aptos" w:eastAsia="Times New Roman" w:cs="Times New Roman"/>
          <w:color w:val="000000"/>
          <w:kern w:val="0"/>
          <w:lang w:eastAsia="en-GB"/>
          <w14:ligatures w14:val="none"/>
        </w:rPr>
        <w:t xml:space="preserve"> and</w:t>
      </w:r>
      <w:r w:rsidRPr="003137A2" w:rsidR="74131136">
        <w:rPr>
          <w:rFonts w:ascii="Aptos" w:hAnsi="Aptos" w:eastAsia="Times New Roman" w:cs="Times New Roman"/>
          <w:color w:val="000000"/>
          <w:kern w:val="0"/>
          <w:lang w:eastAsia="en-GB"/>
          <w14:ligatures w14:val="none"/>
        </w:rPr>
        <w:t xml:space="preserve"> helping me manage anxiety and </w:t>
      </w:r>
      <w:r w:rsidRPr="003137A2" w:rsidR="047C5F1D">
        <w:rPr>
          <w:rFonts w:ascii="Aptos" w:hAnsi="Aptos" w:eastAsia="Times New Roman" w:cs="Times New Roman"/>
          <w:color w:val="000000"/>
          <w:kern w:val="0"/>
          <w:lang w:eastAsia="en-GB"/>
          <w14:ligatures w14:val="none"/>
        </w:rPr>
        <w:t>self-doubt</w:t>
      </w:r>
      <w:r w:rsidRPr="003137A2" w:rsidR="74131136">
        <w:rPr>
          <w:rFonts w:ascii="Aptos" w:hAnsi="Aptos" w:eastAsia="Times New Roman" w:cs="Times New Roman"/>
          <w:color w:val="000000"/>
          <w:kern w:val="0"/>
          <w:lang w:eastAsia="en-GB"/>
          <w14:ligatures w14:val="none"/>
        </w:rPr>
        <w:t>, has made all the difference. His work and life experience helped me shape my early ideas and turn them into the final report. I could not have done this without him.</w:t>
      </w:r>
    </w:p>
    <w:p w:rsidRPr="003137A2" w:rsidR="003137A2" w:rsidP="003137A2" w:rsidRDefault="003137A2" w14:paraId="46B1CA2E" w14:textId="77777777">
      <w:pPr>
        <w:spacing w:before="240" w:after="240" w:line="240" w:lineRule="auto"/>
        <w:rPr>
          <w:rFonts w:ascii="Times New Roman" w:hAnsi="Times New Roman" w:eastAsia="Times New Roman" w:cs="Times New Roman"/>
          <w:kern w:val="0"/>
          <w:lang w:eastAsia="en-GB"/>
          <w14:ligatures w14:val="none"/>
        </w:rPr>
      </w:pPr>
      <w:r w:rsidRPr="003137A2">
        <w:rPr>
          <w:rFonts w:ascii="Aptos" w:hAnsi="Aptos" w:eastAsia="Times New Roman" w:cs="Times New Roman"/>
          <w:color w:val="000000"/>
          <w:kern w:val="0"/>
          <w:lang w:eastAsia="en-GB"/>
          <w14:ligatures w14:val="none"/>
        </w:rPr>
        <w:t> </w:t>
      </w:r>
    </w:p>
    <w:p w:rsidRPr="003137A2" w:rsidR="003137A2" w:rsidP="003137A2" w:rsidRDefault="003137A2" w14:paraId="2DA61576" w14:textId="77777777">
      <w:pPr>
        <w:spacing w:before="240" w:after="240" w:line="240" w:lineRule="auto"/>
        <w:rPr>
          <w:rFonts w:ascii="Aptos" w:hAnsi="Aptos" w:eastAsia="Times New Roman" w:cs="Times New Roman"/>
          <w:color w:val="000000"/>
          <w:kern w:val="0"/>
          <w:lang w:eastAsia="en-GB"/>
          <w14:ligatures w14:val="none"/>
        </w:rPr>
      </w:pPr>
      <w:r w:rsidRPr="003137A2">
        <w:rPr>
          <w:rFonts w:ascii="Aptos" w:hAnsi="Aptos" w:eastAsia="Times New Roman" w:cs="Times New Roman"/>
          <w:color w:val="000000"/>
          <w:kern w:val="0"/>
          <w:lang w:eastAsia="en-GB"/>
          <w14:ligatures w14:val="none"/>
        </w:rPr>
        <w:t xml:space="preserve">I am also thankful to my lecturers for the knowledge and skills they have helped me build throughout the course. </w:t>
      </w:r>
    </w:p>
    <w:p w:rsidRPr="003137A2" w:rsidR="003137A2" w:rsidP="003137A2" w:rsidRDefault="003137A2" w14:paraId="57922609" w14:textId="77777777">
      <w:pPr>
        <w:spacing w:before="240" w:after="240" w:line="240" w:lineRule="auto"/>
        <w:rPr>
          <w:rFonts w:ascii="Aptos" w:hAnsi="Aptos" w:eastAsia="Times New Roman" w:cs="Times New Roman"/>
          <w:color w:val="000000"/>
          <w:kern w:val="0"/>
          <w:lang w:eastAsia="en-GB"/>
          <w14:ligatures w14:val="none"/>
        </w:rPr>
      </w:pPr>
    </w:p>
    <w:p w:rsidRPr="003137A2" w:rsidR="003137A2" w:rsidP="003137A2" w:rsidRDefault="003137A2" w14:paraId="1CC9FCC4" w14:textId="77777777">
      <w:pPr>
        <w:spacing w:before="240" w:after="240" w:line="240" w:lineRule="auto"/>
        <w:rPr>
          <w:rFonts w:ascii="Times New Roman" w:hAnsi="Times New Roman" w:eastAsia="Times New Roman" w:cs="Times New Roman"/>
          <w:kern w:val="0"/>
          <w:lang w:eastAsia="en-GB"/>
          <w14:ligatures w14:val="none"/>
        </w:rPr>
      </w:pPr>
      <w:r w:rsidRPr="003137A2">
        <w:rPr>
          <w:rFonts w:ascii="Aptos" w:hAnsi="Aptos" w:eastAsia="Times New Roman" w:cs="Times New Roman"/>
          <w:color w:val="000000"/>
          <w:kern w:val="0"/>
          <w:lang w:eastAsia="en-GB"/>
          <w14:ligatures w14:val="none"/>
        </w:rPr>
        <w:t>A special thank you goes to my supervisor, Robyn Griffiths, whose guidance and support have been greatly appreciated.</w:t>
      </w:r>
    </w:p>
    <w:p w:rsidRPr="003137A2" w:rsidR="003137A2" w:rsidP="003137A2" w:rsidRDefault="003137A2" w14:paraId="0BF2A859" w14:textId="77777777">
      <w:pPr>
        <w:spacing w:before="240" w:after="240" w:line="240" w:lineRule="auto"/>
        <w:jc w:val="center"/>
        <w:rPr>
          <w:rFonts w:ascii="Times New Roman" w:hAnsi="Times New Roman" w:eastAsia="Times New Roman" w:cs="Times New Roman"/>
          <w:kern w:val="0"/>
          <w:lang w:eastAsia="en-GB"/>
          <w14:ligatures w14:val="none"/>
        </w:rPr>
      </w:pPr>
      <w:r w:rsidRPr="003137A2">
        <w:rPr>
          <w:rFonts w:ascii="Aptos" w:hAnsi="Aptos" w:eastAsia="Times New Roman" w:cs="Times New Roman"/>
          <w:color w:val="000000"/>
          <w:kern w:val="0"/>
          <w:sz w:val="28"/>
          <w:szCs w:val="28"/>
          <w:lang w:eastAsia="en-GB"/>
          <w14:ligatures w14:val="none"/>
        </w:rPr>
        <w:t> </w:t>
      </w:r>
    </w:p>
    <w:p w:rsidRPr="003137A2" w:rsidR="003137A2" w:rsidP="003137A2" w:rsidRDefault="003137A2" w14:paraId="77311A32" w14:textId="77777777">
      <w:pPr>
        <w:spacing w:before="240" w:after="240" w:line="240" w:lineRule="auto"/>
        <w:jc w:val="center"/>
        <w:rPr>
          <w:rFonts w:ascii="Times New Roman" w:hAnsi="Times New Roman" w:eastAsia="Times New Roman" w:cs="Times New Roman"/>
          <w:kern w:val="0"/>
          <w:lang w:eastAsia="en-GB"/>
          <w14:ligatures w14:val="none"/>
        </w:rPr>
      </w:pPr>
      <w:r w:rsidRPr="003137A2">
        <w:rPr>
          <w:rFonts w:ascii="Aptos" w:hAnsi="Aptos" w:eastAsia="Times New Roman" w:cs="Times New Roman"/>
          <w:color w:val="000000"/>
          <w:kern w:val="0"/>
          <w:sz w:val="28"/>
          <w:szCs w:val="28"/>
          <w:lang w:eastAsia="en-GB"/>
          <w14:ligatures w14:val="none"/>
        </w:rPr>
        <w:t> </w:t>
      </w:r>
    </w:p>
    <w:p w:rsidRPr="003137A2" w:rsidR="003137A2" w:rsidP="003137A2" w:rsidRDefault="003137A2" w14:paraId="31C6F563" w14:textId="77777777">
      <w:pPr>
        <w:spacing w:before="240" w:after="240" w:line="240" w:lineRule="auto"/>
        <w:jc w:val="center"/>
        <w:rPr>
          <w:rFonts w:ascii="Times New Roman" w:hAnsi="Times New Roman" w:eastAsia="Times New Roman" w:cs="Times New Roman"/>
          <w:kern w:val="0"/>
          <w:lang w:eastAsia="en-GB"/>
          <w14:ligatures w14:val="none"/>
        </w:rPr>
      </w:pPr>
      <w:r w:rsidRPr="003137A2">
        <w:rPr>
          <w:rFonts w:ascii="Aptos" w:hAnsi="Aptos" w:eastAsia="Times New Roman" w:cs="Times New Roman"/>
          <w:color w:val="000000"/>
          <w:kern w:val="0"/>
          <w:sz w:val="28"/>
          <w:szCs w:val="28"/>
          <w:lang w:eastAsia="en-GB"/>
          <w14:ligatures w14:val="none"/>
        </w:rPr>
        <w:t> </w:t>
      </w:r>
    </w:p>
    <w:p w:rsidRPr="003137A2" w:rsidR="003137A2" w:rsidP="003137A2" w:rsidRDefault="003137A2" w14:paraId="38C0AF4E" w14:textId="77777777">
      <w:pPr>
        <w:spacing w:before="240" w:after="240" w:line="240" w:lineRule="auto"/>
        <w:jc w:val="center"/>
        <w:rPr>
          <w:rFonts w:ascii="Aptos" w:hAnsi="Aptos" w:eastAsia="Times New Roman" w:cs="Times New Roman"/>
          <w:color w:val="000000"/>
          <w:kern w:val="0"/>
          <w:sz w:val="28"/>
          <w:szCs w:val="28"/>
          <w:lang w:eastAsia="en-GB"/>
          <w14:ligatures w14:val="none"/>
        </w:rPr>
      </w:pPr>
    </w:p>
    <w:p w:rsidRPr="003137A2" w:rsidR="003137A2" w:rsidP="003137A2" w:rsidRDefault="003137A2" w14:paraId="53122318" w14:textId="77777777">
      <w:pPr>
        <w:spacing w:before="240" w:after="240" w:line="240" w:lineRule="auto"/>
        <w:jc w:val="center"/>
        <w:rPr>
          <w:rFonts w:ascii="Times New Roman" w:hAnsi="Times New Roman" w:eastAsia="Times New Roman" w:cs="Times New Roman"/>
          <w:kern w:val="0"/>
          <w:lang w:eastAsia="en-GB"/>
          <w14:ligatures w14:val="none"/>
        </w:rPr>
      </w:pPr>
      <w:r w:rsidRPr="003137A2">
        <w:rPr>
          <w:rFonts w:ascii="Aptos" w:hAnsi="Aptos" w:eastAsia="Times New Roman" w:cs="Times New Roman"/>
          <w:color w:val="000000"/>
          <w:kern w:val="0"/>
          <w:sz w:val="28"/>
          <w:szCs w:val="28"/>
          <w:lang w:eastAsia="en-GB"/>
          <w14:ligatures w14:val="none"/>
        </w:rPr>
        <w:t> </w:t>
      </w:r>
    </w:p>
    <w:p w:rsidRPr="003137A2" w:rsidR="003137A2" w:rsidP="003137A2" w:rsidRDefault="003137A2" w14:paraId="79D92ECD" w14:textId="77777777">
      <w:pPr>
        <w:spacing w:before="240" w:after="240" w:line="240" w:lineRule="auto"/>
        <w:jc w:val="center"/>
        <w:rPr>
          <w:rFonts w:ascii="Times New Roman" w:hAnsi="Times New Roman" w:eastAsia="Times New Roman" w:cs="Times New Roman"/>
          <w:kern w:val="0"/>
          <w:lang w:eastAsia="en-GB"/>
          <w14:ligatures w14:val="none"/>
        </w:rPr>
      </w:pPr>
    </w:p>
    <w:p w:rsidRPr="003137A2" w:rsidR="003137A2" w:rsidP="003137A2" w:rsidRDefault="003137A2" w14:paraId="1BE55B92" w14:textId="77777777">
      <w:pPr>
        <w:spacing w:before="240" w:after="240" w:line="240" w:lineRule="auto"/>
        <w:jc w:val="center"/>
        <w:rPr>
          <w:rFonts w:ascii="Aptos" w:hAnsi="Aptos" w:eastAsia="Times New Roman" w:cs="Times New Roman"/>
          <w:color w:val="000000"/>
          <w:kern w:val="0"/>
          <w:sz w:val="28"/>
          <w:szCs w:val="28"/>
          <w:lang w:eastAsia="en-GB"/>
          <w14:ligatures w14:val="none"/>
        </w:rPr>
      </w:pPr>
    </w:p>
    <w:p w:rsidRPr="003137A2" w:rsidR="003137A2" w:rsidP="003137A2" w:rsidRDefault="003137A2" w14:paraId="48F6B57F" w14:textId="77777777">
      <w:pPr>
        <w:spacing w:before="240" w:after="240" w:line="240" w:lineRule="auto"/>
        <w:jc w:val="center"/>
        <w:rPr>
          <w:rFonts w:ascii="Aptos" w:hAnsi="Aptos" w:eastAsia="Times New Roman" w:cs="Times New Roman"/>
          <w:color w:val="000000"/>
          <w:kern w:val="0"/>
          <w:sz w:val="28"/>
          <w:szCs w:val="28"/>
          <w:lang w:eastAsia="en-GB"/>
          <w14:ligatures w14:val="none"/>
        </w:rPr>
      </w:pPr>
    </w:p>
    <w:p w:rsidR="257BFE88" w:rsidP="257BFE88" w:rsidRDefault="257BFE88" w14:paraId="01D154ED" w14:textId="7C8F0B2E">
      <w:pPr>
        <w:spacing w:before="240" w:after="240" w:line="240" w:lineRule="auto"/>
        <w:jc w:val="center"/>
        <w:rPr>
          <w:rFonts w:ascii="Aptos" w:hAnsi="Aptos" w:eastAsia="Times New Roman" w:cs="Times New Roman"/>
          <w:color w:val="000000" w:themeColor="text1" w:themeTint="FF" w:themeShade="FF"/>
          <w:sz w:val="28"/>
          <w:szCs w:val="28"/>
          <w:lang w:eastAsia="en-GB"/>
        </w:rPr>
      </w:pPr>
    </w:p>
    <w:p w:rsidR="257BFE88" w:rsidP="257BFE88" w:rsidRDefault="257BFE88" w14:paraId="41C56D38" w14:textId="6D6F08D8">
      <w:pPr>
        <w:spacing w:before="240" w:after="240" w:line="240" w:lineRule="auto"/>
        <w:jc w:val="center"/>
        <w:rPr>
          <w:rFonts w:ascii="Aptos" w:hAnsi="Aptos" w:eastAsia="Times New Roman" w:cs="Times New Roman"/>
          <w:color w:val="000000" w:themeColor="text1" w:themeTint="FF" w:themeShade="FF"/>
          <w:sz w:val="28"/>
          <w:szCs w:val="28"/>
          <w:lang w:eastAsia="en-GB"/>
        </w:rPr>
      </w:pPr>
    </w:p>
    <w:p w:rsidR="257BFE88" w:rsidP="257BFE88" w:rsidRDefault="257BFE88" w14:paraId="28EBF9D2" w14:textId="7CB30DE3">
      <w:pPr>
        <w:spacing w:before="240" w:after="240" w:line="240" w:lineRule="auto"/>
        <w:jc w:val="center"/>
        <w:rPr>
          <w:rFonts w:ascii="Aptos" w:hAnsi="Aptos" w:eastAsia="Times New Roman" w:cs="Times New Roman"/>
          <w:color w:val="000000" w:themeColor="text1" w:themeTint="FF" w:themeShade="FF"/>
          <w:sz w:val="28"/>
          <w:szCs w:val="28"/>
          <w:lang w:eastAsia="en-GB"/>
        </w:rPr>
      </w:pPr>
    </w:p>
    <w:p w:rsidR="08626363" w:rsidP="08626363" w:rsidRDefault="08626363" w14:paraId="7BC8D834" w14:textId="507D50E5">
      <w:pPr>
        <w:spacing w:before="240" w:after="240" w:line="240" w:lineRule="auto"/>
        <w:jc w:val="center"/>
        <w:rPr>
          <w:rFonts w:ascii="Aptos" w:hAnsi="Aptos" w:eastAsia="Times New Roman" w:cs="Times New Roman"/>
          <w:color w:val="000000" w:themeColor="text1" w:themeTint="FF" w:themeShade="FF"/>
          <w:sz w:val="28"/>
          <w:szCs w:val="28"/>
          <w:lang w:eastAsia="en-GB"/>
        </w:rPr>
      </w:pPr>
    </w:p>
    <w:p w:rsidRPr="003137A2" w:rsidR="003137A2" w:rsidP="003137A2" w:rsidRDefault="003137A2" w14:paraId="3B9DB196" w14:textId="77777777">
      <w:pPr>
        <w:spacing w:before="480" w:after="120" w:line="240" w:lineRule="auto"/>
        <w:outlineLvl w:val="0"/>
        <w:rPr>
          <w:rFonts w:ascii="Times New Roman" w:hAnsi="Times New Roman" w:eastAsia="Times New Roman" w:cs="Times New Roman"/>
          <w:kern w:val="36"/>
          <w:sz w:val="28"/>
          <w:szCs w:val="28"/>
          <w:lang w:eastAsia="en-GB"/>
          <w14:ligatures w14:val="none"/>
        </w:rPr>
      </w:pPr>
      <w:bookmarkStart w:name="_Toc874133145" w:id="1805392883"/>
      <w:r w:rsidRPr="257BFE88" w:rsidR="6D7FFB3E">
        <w:rPr>
          <w:rFonts w:ascii="Aptos Display" w:hAnsi="Aptos Display" w:eastAsia="" w:cs="" w:asciiTheme="majorAscii" w:hAnsiTheme="majorAscii" w:eastAsiaTheme="majorEastAsia" w:cstheme="majorBidi"/>
          <w:color w:val="0F4761" w:themeColor="accent1" w:themeTint="FF" w:themeShade="BF"/>
          <w:sz w:val="40"/>
          <w:szCs w:val="40"/>
        </w:rPr>
        <w:t>Abstract</w:t>
      </w:r>
      <w:bookmarkEnd w:id="1805392883"/>
      <w:r w:rsidRPr="257BFE88" w:rsidR="6D7FFB3E">
        <w:rPr>
          <w:rFonts w:ascii="Aptos Display" w:hAnsi="Aptos Display" w:eastAsia="" w:cs="" w:asciiTheme="majorAscii" w:hAnsiTheme="majorAscii" w:eastAsiaTheme="majorEastAsia" w:cstheme="majorBidi"/>
          <w:color w:val="0F4761" w:themeColor="accent1" w:themeTint="FF" w:themeShade="BF"/>
          <w:sz w:val="40"/>
          <w:szCs w:val="40"/>
        </w:rPr>
        <w:t xml:space="preserve"> </w:t>
      </w:r>
    </w:p>
    <w:p w:rsidRPr="003137A2" w:rsidR="003137A2" w:rsidP="003137A2" w:rsidRDefault="003137A2" w14:paraId="2BB2A946" w14:textId="1B086EF3">
      <w:pPr>
        <w:spacing w:before="240" w:after="240" w:line="240" w:lineRule="auto"/>
        <w:rPr>
          <w:rFonts w:ascii="Aptos" w:hAnsi="Aptos" w:eastAsia="Times New Roman" w:cs="Times New Roman"/>
          <w:color w:val="000000"/>
          <w:kern w:val="0"/>
          <w:lang w:eastAsia="en-GB"/>
          <w14:ligatures w14:val="none"/>
        </w:rPr>
      </w:pPr>
      <w:r w:rsidRPr="003137A2" w:rsidR="6D7FFB3E">
        <w:rPr>
          <w:rFonts w:ascii="Aptos" w:hAnsi="Aptos" w:eastAsia="Times New Roman" w:cs="Times New Roman"/>
          <w:color w:val="000000"/>
          <w:kern w:val="0"/>
          <w:lang w:eastAsia="en-GB"/>
          <w14:ligatures w14:val="none"/>
        </w:rPr>
        <w:t xml:space="preserve">Environmental, Social and Governance (ESG) scoring systems have become a dominant influence on investment practice worldwide, informing how risks are assessed and how capital is </w:t>
      </w:r>
      <w:r w:rsidRPr="003137A2" w:rsidR="6D7FFB3E">
        <w:rPr>
          <w:rFonts w:ascii="Aptos" w:hAnsi="Aptos" w:eastAsia="Times New Roman" w:cs="Times New Roman"/>
          <w:color w:val="000000"/>
          <w:kern w:val="0"/>
          <w:lang w:eastAsia="en-GB"/>
          <w14:ligatures w14:val="none"/>
        </w:rPr>
        <w:t>allocated</w:t>
      </w:r>
      <w:r w:rsidRPr="003137A2" w:rsidR="34D232D7">
        <w:rPr>
          <w:rFonts w:ascii="Aptos" w:hAnsi="Aptos" w:eastAsia="Times New Roman" w:cs="Times New Roman"/>
          <w:color w:val="000000"/>
          <w:kern w:val="0"/>
          <w:lang w:eastAsia="en-GB"/>
          <w14:ligatures w14:val="none"/>
        </w:rPr>
        <w:t xml:space="preserve"> across markets</w:t>
      </w:r>
      <w:r w:rsidRPr="003137A2" w:rsidR="6D7FFB3E">
        <w:rPr>
          <w:rFonts w:ascii="Aptos" w:hAnsi="Aptos" w:eastAsia="Times New Roman" w:cs="Times New Roman"/>
          <w:color w:val="000000"/>
          <w:kern w:val="0"/>
          <w:lang w:eastAsia="en-GB"/>
          <w14:ligatures w14:val="none"/>
        </w:rPr>
        <w:t xml:space="preserve">. BlackRock, the world’s largest asset manager, has played a leading role in building ESG principles into mainstream investment practice through its strategies, public </w:t>
      </w:r>
      <w:r w:rsidRPr="003137A2" w:rsidR="6D7FFB3E">
        <w:rPr>
          <w:rFonts w:ascii="Aptos" w:hAnsi="Aptos" w:eastAsia="Times New Roman" w:cs="Times New Roman"/>
          <w:color w:val="000000"/>
          <w:kern w:val="0"/>
          <w:lang w:eastAsia="en-GB"/>
          <w14:ligatures w14:val="none"/>
        </w:rPr>
        <w:t>communications</w:t>
      </w:r>
      <w:r w:rsidRPr="003137A2" w:rsidR="6D7FFB3E">
        <w:rPr>
          <w:rFonts w:ascii="Aptos" w:hAnsi="Aptos" w:eastAsia="Times New Roman" w:cs="Times New Roman"/>
          <w:color w:val="000000"/>
          <w:kern w:val="0"/>
          <w:lang w:eastAsia="en-GB"/>
          <w14:ligatures w14:val="none"/>
        </w:rPr>
        <w:t xml:space="preserve"> and reliance on </w:t>
      </w:r>
      <w:r w:rsidRPr="003137A2" w:rsidR="6D7FFB3E">
        <w:rPr>
          <w:rFonts w:ascii="Aptos" w:hAnsi="Aptos" w:eastAsia="Times New Roman" w:cs="Times New Roman"/>
          <w:color w:val="000000"/>
          <w:kern w:val="0"/>
          <w:lang w:eastAsia="en-GB"/>
          <w14:ligatures w14:val="none"/>
        </w:rPr>
        <w:t>third</w:t>
      </w:r>
      <w:r w:rsidRPr="003137A2" w:rsidR="685E7F68">
        <w:rPr>
          <w:rFonts w:ascii="Aptos" w:hAnsi="Aptos" w:eastAsia="Times New Roman" w:cs="Times New Roman"/>
          <w:color w:val="000000"/>
          <w:kern w:val="0"/>
          <w:lang w:eastAsia="en-GB"/>
          <w14:ligatures w14:val="none"/>
        </w:rPr>
        <w:t xml:space="preserve"> </w:t>
      </w:r>
      <w:r w:rsidRPr="003137A2" w:rsidR="6D7FFB3E">
        <w:rPr>
          <w:rFonts w:ascii="Aptos" w:hAnsi="Aptos" w:eastAsia="Times New Roman" w:cs="Times New Roman"/>
          <w:color w:val="000000"/>
          <w:kern w:val="0"/>
          <w:lang w:eastAsia="en-GB"/>
          <w14:ligatures w14:val="none"/>
        </w:rPr>
        <w:t xml:space="preserve">party</w:t>
      </w:r>
      <w:r w:rsidRPr="003137A2" w:rsidR="6D7FFB3E">
        <w:rPr>
          <w:rFonts w:ascii="Aptos" w:hAnsi="Aptos" w:eastAsia="Times New Roman" w:cs="Times New Roman"/>
          <w:color w:val="000000"/>
          <w:kern w:val="0"/>
          <w:lang w:eastAsia="en-GB"/>
          <w14:ligatures w14:val="none"/>
        </w:rPr>
        <w:t xml:space="preserve"> rating providers such as MSCI and Sustainalytics. Despite their widespread use, ESG scoring systems attract ongoing criticism for inconsistencies in their underlying assessment methods, limited </w:t>
      </w:r>
      <w:r w:rsidRPr="003137A2" w:rsidR="6D7FFB3E">
        <w:rPr>
          <w:rFonts w:ascii="Aptos" w:hAnsi="Aptos" w:eastAsia="Times New Roman" w:cs="Times New Roman"/>
          <w:color w:val="000000"/>
          <w:kern w:val="0"/>
          <w:lang w:eastAsia="en-GB"/>
          <w14:ligatures w14:val="none"/>
        </w:rPr>
        <w:t xml:space="preserve">clarity</w:t>
      </w:r>
      <w:r w:rsidRPr="003137A2" w:rsidR="6D7FFB3E">
        <w:rPr>
          <w:rFonts w:ascii="Aptos" w:hAnsi="Aptos" w:eastAsia="Times New Roman" w:cs="Times New Roman"/>
          <w:color w:val="000000"/>
          <w:kern w:val="0"/>
          <w:lang w:eastAsia="en-GB"/>
          <w14:ligatures w14:val="none"/>
        </w:rPr>
        <w:t xml:space="preserve"> and the potential to generate unintended financial and economic consequences. This study analyses whether ESG scoring systems create such unintended effects by examining how BlackRock incorporates ESG ratings into product reporting, index construction </w:t>
      </w:r>
      <w:r w:rsidRPr="003137A2" w:rsidR="6D7FFB3E">
        <w:rPr>
          <w:rFonts w:ascii="Aptos" w:hAnsi="Aptos" w:eastAsia="Times New Roman" w:cs="Times New Roman"/>
          <w:color w:val="000000"/>
          <w:kern w:val="0"/>
          <w:lang w:eastAsia="en-GB"/>
          <w14:ligatures w14:val="none"/>
        </w:rPr>
        <w:t xml:space="preserve">rules</w:t>
      </w:r>
      <w:r w:rsidRPr="003137A2" w:rsidR="6D7FFB3E">
        <w:rPr>
          <w:rFonts w:ascii="Aptos" w:hAnsi="Aptos" w:eastAsia="Times New Roman" w:cs="Times New Roman"/>
          <w:color w:val="000000"/>
          <w:kern w:val="0"/>
          <w:lang w:eastAsia="en-GB"/>
          <w14:ligatures w14:val="none"/>
        </w:rPr>
        <w:t xml:space="preserve"> and</w:t>
      </w:r>
      <w:r w:rsidRPr="003137A2" w:rsidR="6D7FFB3E">
        <w:rPr>
          <w:rFonts w:ascii="Aptos" w:hAnsi="Aptos" w:eastAsia="Times New Roman" w:cs="Times New Roman"/>
          <w:color w:val="000000"/>
          <w:kern w:val="0"/>
          <w:lang w:eastAsia="en-GB"/>
          <w14:ligatures w14:val="none"/>
        </w:rPr>
        <w:t xml:space="preserve"> responsible investment practices. </w:t>
      </w:r>
    </w:p>
    <w:p w:rsidRPr="003137A2" w:rsidR="003137A2" w:rsidP="003137A2" w:rsidRDefault="003137A2" w14:paraId="0014BDD9" w14:textId="581B6F26">
      <w:pPr>
        <w:spacing w:before="240" w:after="240" w:line="240" w:lineRule="auto"/>
        <w:rPr>
          <w:rFonts w:ascii="Aptos" w:hAnsi="Aptos" w:eastAsia="Times New Roman" w:cs="Times New Roman"/>
          <w:color w:val="000000"/>
          <w:kern w:val="0"/>
          <w:lang w:eastAsia="en-GB"/>
          <w14:ligatures w14:val="none"/>
        </w:rPr>
      </w:pPr>
      <w:r w:rsidRPr="003137A2" w:rsidR="6D7FFB3E">
        <w:rPr>
          <w:rFonts w:ascii="Aptos" w:hAnsi="Aptos" w:eastAsia="Times New Roman" w:cs="Times New Roman"/>
          <w:color w:val="000000"/>
          <w:kern w:val="0"/>
          <w:lang w:eastAsia="en-GB"/>
          <w14:ligatures w14:val="none"/>
        </w:rPr>
        <w:t>A mixed</w:t>
      </w:r>
      <w:r w:rsidRPr="003137A2" w:rsidR="6D7FFB3E">
        <w:rPr>
          <w:rFonts w:ascii="Cambria Math" w:hAnsi="Cambria Math" w:eastAsia="Times New Roman" w:cs="Cambria Math"/>
          <w:color w:val="000000"/>
          <w:kern w:val="0"/>
          <w:lang w:eastAsia="en-GB"/>
          <w14:ligatures w14:val="none"/>
        </w:rPr>
        <w:t xml:space="preserve"> </w:t>
      </w:r>
      <w:r w:rsidRPr="003137A2" w:rsidR="6D7FFB3E">
        <w:rPr>
          <w:rFonts w:ascii="Aptos" w:hAnsi="Aptos" w:eastAsia="Times New Roman" w:cs="Times New Roman"/>
          <w:color w:val="000000"/>
          <w:kern w:val="0"/>
          <w:lang w:eastAsia="en-GB"/>
          <w14:ligatures w14:val="none"/>
        </w:rPr>
        <w:t xml:space="preserve">methods approach is adopted. The quantitative </w:t>
      </w:r>
      <w:r w:rsidRPr="003137A2" w:rsidR="14FDCE4F">
        <w:rPr>
          <w:rFonts w:ascii="Aptos" w:hAnsi="Aptos" w:eastAsia="Times New Roman" w:cs="Times New Roman"/>
          <w:color w:val="000000"/>
          <w:kern w:val="0"/>
          <w:lang w:eastAsia="en-GB"/>
          <w14:ligatures w14:val="none"/>
        </w:rPr>
        <w:t xml:space="preserve">approach </w:t>
      </w:r>
      <w:r w:rsidRPr="003137A2" w:rsidR="6D7FFB3E">
        <w:rPr>
          <w:rFonts w:ascii="Aptos" w:hAnsi="Aptos" w:eastAsia="Times New Roman" w:cs="Times New Roman"/>
          <w:color w:val="000000"/>
          <w:kern w:val="0"/>
          <w:lang w:eastAsia="en-GB"/>
          <w14:ligatures w14:val="none"/>
        </w:rPr>
        <w:t xml:space="preserve">analyses publicly available ESG ratings, stock </w:t>
      </w:r>
      <w:r w:rsidRPr="003137A2" w:rsidR="6D7FFB3E">
        <w:rPr>
          <w:rFonts w:ascii="Aptos" w:hAnsi="Aptos" w:eastAsia="Times New Roman" w:cs="Times New Roman"/>
          <w:color w:val="000000"/>
          <w:kern w:val="0"/>
          <w:lang w:eastAsia="en-GB"/>
          <w14:ligatures w14:val="none"/>
        </w:rPr>
        <w:t>performance</w:t>
      </w:r>
      <w:r w:rsidRPr="003137A2" w:rsidR="6D7FFB3E">
        <w:rPr>
          <w:rFonts w:ascii="Aptos" w:hAnsi="Aptos" w:eastAsia="Times New Roman" w:cs="Times New Roman"/>
          <w:color w:val="000000"/>
          <w:kern w:val="0"/>
          <w:lang w:eastAsia="en-GB"/>
          <w14:ligatures w14:val="none"/>
        </w:rPr>
        <w:t xml:space="preserve"> and profitability indicators between 2018 and 2025, using Tesla and ExxonMobil as case studies. Market</w:t>
      </w:r>
      <w:r w:rsidRPr="003137A2" w:rsidR="6D7FFB3E">
        <w:rPr>
          <w:rFonts w:ascii="Cambria Math" w:hAnsi="Cambria Math" w:eastAsia="Times New Roman" w:cs="Cambria Math"/>
          <w:color w:val="000000"/>
          <w:kern w:val="0"/>
          <w:lang w:eastAsia="en-GB"/>
          <w14:ligatures w14:val="none"/>
        </w:rPr>
        <w:t xml:space="preserve"> </w:t>
      </w:r>
      <w:r w:rsidRPr="003137A2" w:rsidR="6D7FFB3E">
        <w:rPr>
          <w:rFonts w:ascii="Aptos" w:hAnsi="Aptos" w:eastAsia="Times New Roman" w:cs="Times New Roman"/>
          <w:color w:val="000000"/>
          <w:kern w:val="0"/>
          <w:lang w:eastAsia="en-GB"/>
          <w14:ligatures w14:val="none"/>
        </w:rPr>
        <w:t>level ESG fund</w:t>
      </w:r>
      <w:r w:rsidRPr="003137A2" w:rsidR="6D7FFB3E">
        <w:rPr>
          <w:rFonts w:ascii="Cambria Math" w:hAnsi="Cambria Math" w:eastAsia="Times New Roman" w:cs="Cambria Math"/>
          <w:color w:val="000000"/>
          <w:kern w:val="0"/>
          <w:lang w:eastAsia="en-GB"/>
          <w14:ligatures w14:val="none"/>
        </w:rPr>
        <w:t xml:space="preserve"> </w:t>
      </w:r>
      <w:r w:rsidRPr="003137A2" w:rsidR="6D7FFB3E">
        <w:rPr>
          <w:rFonts w:ascii="Aptos" w:hAnsi="Aptos" w:eastAsia="Times New Roman" w:cs="Times New Roman"/>
          <w:color w:val="000000"/>
          <w:kern w:val="0"/>
          <w:lang w:eastAsia="en-GB"/>
          <w14:ligatures w14:val="none"/>
        </w:rPr>
        <w:t xml:space="preserve">flow data are used to assess broader investor and market behaviour. The qualitative </w:t>
      </w:r>
      <w:r w:rsidRPr="003137A2" w:rsidR="50BC18B0">
        <w:rPr>
          <w:rFonts w:ascii="Aptos" w:hAnsi="Aptos" w:eastAsia="Times New Roman" w:cs="Times New Roman"/>
          <w:color w:val="000000"/>
          <w:kern w:val="0"/>
          <w:lang w:eastAsia="en-GB"/>
          <w14:ligatures w14:val="none"/>
        </w:rPr>
        <w:t>approach</w:t>
      </w:r>
      <w:r w:rsidRPr="003137A2" w:rsidR="6D7FFB3E">
        <w:rPr>
          <w:rFonts w:ascii="Aptos" w:hAnsi="Aptos" w:eastAsia="Times New Roman" w:cs="Times New Roman"/>
          <w:color w:val="000000"/>
          <w:kern w:val="0"/>
          <w:lang w:eastAsia="en-GB"/>
          <w14:ligatures w14:val="none"/>
        </w:rPr>
        <w:t xml:space="preserve"> examines corporate disclosures, insights from investment</w:t>
      </w:r>
      <w:r w:rsidRPr="003137A2" w:rsidR="6D7FFB3E">
        <w:rPr>
          <w:rFonts w:ascii="Cambria Math" w:hAnsi="Cambria Math" w:eastAsia="Times New Roman" w:cs="Cambria Math"/>
          <w:color w:val="000000"/>
          <w:kern w:val="0"/>
          <w:lang w:eastAsia="en-GB"/>
          <w14:ligatures w14:val="none"/>
        </w:rPr>
        <w:t xml:space="preserve"> </w:t>
      </w:r>
      <w:r w:rsidRPr="003137A2" w:rsidR="6D7FFB3E">
        <w:rPr>
          <w:rFonts w:ascii="Aptos" w:hAnsi="Aptos" w:eastAsia="Times New Roman" w:cs="Times New Roman"/>
          <w:color w:val="000000"/>
          <w:kern w:val="0"/>
          <w:lang w:eastAsia="en-GB"/>
          <w14:ligatures w14:val="none"/>
        </w:rPr>
        <w:t xml:space="preserve">market professionals and BlackRock’s responsible investment publications to understand how ESG scores are created, </w:t>
      </w:r>
      <w:r w:rsidRPr="003137A2" w:rsidR="6D7FFB3E">
        <w:rPr>
          <w:rFonts w:ascii="Aptos" w:hAnsi="Aptos" w:eastAsia="Times New Roman" w:cs="Times New Roman"/>
          <w:color w:val="000000"/>
          <w:kern w:val="0"/>
          <w:lang w:eastAsia="en-GB"/>
          <w14:ligatures w14:val="none"/>
        </w:rPr>
        <w:t>interpreted</w:t>
      </w:r>
      <w:r w:rsidRPr="003137A2" w:rsidR="6D7FFB3E">
        <w:rPr>
          <w:rFonts w:ascii="Aptos" w:hAnsi="Aptos" w:eastAsia="Times New Roman" w:cs="Times New Roman"/>
          <w:color w:val="000000"/>
          <w:kern w:val="0"/>
          <w:lang w:eastAsia="en-GB"/>
          <w14:ligatures w14:val="none"/>
        </w:rPr>
        <w:t xml:space="preserve"> and</w:t>
      </w:r>
      <w:r w:rsidRPr="003137A2" w:rsidR="6D7FFB3E">
        <w:rPr>
          <w:rFonts w:ascii="Aptos" w:hAnsi="Aptos" w:eastAsia="Times New Roman" w:cs="Times New Roman"/>
          <w:color w:val="000000"/>
          <w:kern w:val="0"/>
          <w:lang w:eastAsia="en-GB"/>
          <w14:ligatures w14:val="none"/>
        </w:rPr>
        <w:t xml:space="preserve"> applied within organisations.</w:t>
      </w:r>
    </w:p>
    <w:p w:rsidRPr="003137A2" w:rsidR="003137A2" w:rsidP="003137A2" w:rsidRDefault="003137A2" w14:paraId="36C3D206" w14:textId="0504BB83">
      <w:pPr>
        <w:spacing w:before="240" w:after="240" w:line="240" w:lineRule="auto"/>
        <w:rPr>
          <w:rFonts w:ascii="Aptos" w:hAnsi="Aptos" w:eastAsia="Times New Roman" w:cs="Times New Roman"/>
          <w:color w:val="000000"/>
          <w:kern w:val="0"/>
          <w:lang w:eastAsia="en-GB"/>
          <w14:ligatures w14:val="none"/>
        </w:rPr>
      </w:pPr>
      <w:r w:rsidRPr="003137A2" w:rsidR="6D7FFB3E">
        <w:rPr>
          <w:rFonts w:ascii="Aptos" w:hAnsi="Aptos" w:eastAsia="Times New Roman" w:cs="Times New Roman"/>
          <w:color w:val="000000"/>
          <w:kern w:val="0"/>
          <w:lang w:eastAsia="en-GB"/>
          <w14:ligatures w14:val="none"/>
        </w:rPr>
        <w:t xml:space="preserve">The integrated analysis shows that while ESG ratings influence fund classifications, investor </w:t>
      </w:r>
      <w:r w:rsidRPr="003137A2" w:rsidR="6D7FFB3E">
        <w:rPr>
          <w:rFonts w:ascii="Aptos" w:hAnsi="Aptos" w:eastAsia="Times New Roman" w:cs="Times New Roman"/>
          <w:color w:val="000000"/>
          <w:kern w:val="0"/>
          <w:lang w:eastAsia="en-GB"/>
          <w14:ligatures w14:val="none"/>
        </w:rPr>
        <w:t>perceptions</w:t>
      </w:r>
      <w:r w:rsidRPr="003137A2" w:rsidR="6D7FFB3E">
        <w:rPr>
          <w:rFonts w:ascii="Aptos" w:hAnsi="Aptos" w:eastAsia="Times New Roman" w:cs="Times New Roman"/>
          <w:color w:val="000000"/>
          <w:kern w:val="0"/>
          <w:lang w:eastAsia="en-GB"/>
          <w14:ligatures w14:val="none"/>
        </w:rPr>
        <w:t xml:space="preserve"> and certain market signals, financial outcomes </w:t>
      </w:r>
      <w:r w:rsidRPr="003137A2" w:rsidR="6D7FFB3E">
        <w:rPr>
          <w:rFonts w:ascii="Aptos" w:hAnsi="Aptos" w:eastAsia="Times New Roman" w:cs="Times New Roman"/>
          <w:color w:val="000000"/>
          <w:kern w:val="0"/>
          <w:lang w:eastAsia="en-GB"/>
          <w14:ligatures w14:val="none"/>
        </w:rPr>
        <w:t>remain</w:t>
      </w:r>
      <w:r w:rsidRPr="003137A2" w:rsidR="6D7FFB3E">
        <w:rPr>
          <w:rFonts w:ascii="Aptos" w:hAnsi="Aptos" w:eastAsia="Times New Roman" w:cs="Times New Roman"/>
          <w:color w:val="000000"/>
          <w:kern w:val="0"/>
          <w:lang w:eastAsia="en-GB"/>
          <w14:ligatures w14:val="none"/>
        </w:rPr>
        <w:t xml:space="preserve"> primarily affected by sectoral factors, macroeconomic </w:t>
      </w:r>
      <w:r w:rsidRPr="003137A2" w:rsidR="6D7FFB3E">
        <w:rPr>
          <w:rFonts w:ascii="Aptos" w:hAnsi="Aptos" w:eastAsia="Times New Roman" w:cs="Times New Roman"/>
          <w:color w:val="000000"/>
          <w:kern w:val="0"/>
          <w:lang w:eastAsia="en-GB"/>
          <w14:ligatures w14:val="none"/>
        </w:rPr>
        <w:t>condition</w:t>
      </w:r>
      <w:r w:rsidRPr="003137A2" w:rsidR="6D7FFB3E">
        <w:rPr>
          <w:rFonts w:ascii="Aptos" w:hAnsi="Aptos" w:eastAsia="Times New Roman" w:cs="Times New Roman"/>
          <w:color w:val="000000"/>
          <w:kern w:val="0"/>
          <w:lang w:eastAsia="en-GB"/>
          <w14:ligatures w14:val="none"/>
        </w:rPr>
        <w:t xml:space="preserve"> and effective business management. ESG scores act as one of many indicators rather than being a leading determinant of returns or volatility. The study </w:t>
      </w:r>
      <w:r w:rsidRPr="003137A2" w:rsidR="6D7FFB3E">
        <w:rPr>
          <w:rFonts w:ascii="Aptos" w:hAnsi="Aptos" w:eastAsia="Times New Roman" w:cs="Times New Roman"/>
          <w:color w:val="000000"/>
          <w:kern w:val="0"/>
          <w:lang w:eastAsia="en-GB"/>
          <w14:ligatures w14:val="none"/>
        </w:rPr>
        <w:t>identifies</w:t>
      </w:r>
      <w:r w:rsidRPr="003137A2" w:rsidR="6D7FFB3E">
        <w:rPr>
          <w:rFonts w:ascii="Aptos" w:hAnsi="Aptos" w:eastAsia="Times New Roman" w:cs="Times New Roman"/>
          <w:color w:val="000000"/>
          <w:kern w:val="0"/>
          <w:lang w:eastAsia="en-GB"/>
          <w14:ligatures w14:val="none"/>
        </w:rPr>
        <w:t xml:space="preserve"> several ways in which rating</w:t>
      </w:r>
      <w:r w:rsidRPr="003137A2" w:rsidR="6D7FFB3E">
        <w:rPr>
          <w:rFonts w:ascii="Cambria Math" w:hAnsi="Cambria Math" w:eastAsia="Times New Roman" w:cs="Cambria Math"/>
          <w:color w:val="000000"/>
          <w:kern w:val="0"/>
          <w:lang w:eastAsia="en-GB"/>
          <w14:ligatures w14:val="none"/>
        </w:rPr>
        <w:t xml:space="preserve"> </w:t>
      </w:r>
      <w:r w:rsidRPr="003137A2" w:rsidR="6D7FFB3E">
        <w:rPr>
          <w:rFonts w:ascii="Aptos" w:hAnsi="Aptos" w:eastAsia="Times New Roman" w:cs="Times New Roman"/>
          <w:color w:val="000000"/>
          <w:kern w:val="0"/>
          <w:lang w:eastAsia="en-GB"/>
          <w14:ligatures w14:val="none"/>
        </w:rPr>
        <w:t xml:space="preserve">based investment practices may contribute to imbalances, including inconsistent assessment approaches, </w:t>
      </w:r>
      <w:r w:rsidRPr="003137A2" w:rsidR="6D7FFB3E">
        <w:rPr>
          <w:rFonts w:eastAsia="Times New Roman" w:cs="Times New Roman"/>
          <w:color w:val="000000"/>
          <w:kern w:val="0"/>
          <w:lang w:eastAsia="en-GB"/>
          <w14:ligatures w14:val="none"/>
        </w:rPr>
        <w:t>sector</w:t>
      </w:r>
      <w:r w:rsidRPr="003137A2" w:rsidR="6D7FFB3E">
        <w:rPr>
          <w:rFonts w:eastAsia="Times New Roman" w:cs="Cambria Math"/>
          <w:color w:val="000000"/>
          <w:kern w:val="0"/>
          <w:lang w:eastAsia="en-GB"/>
          <w14:ligatures w14:val="none"/>
        </w:rPr>
        <w:t xml:space="preserve"> specific approaches to </w:t>
      </w:r>
      <w:r w:rsidRPr="003137A2" w:rsidR="6D7FFB3E">
        <w:rPr>
          <w:rFonts w:eastAsia="Times New Roman" w:cs="Times New Roman"/>
          <w:color w:val="000000"/>
          <w:kern w:val="0"/>
          <w:lang w:eastAsia="en-GB"/>
          <w14:ligatures w14:val="none"/>
        </w:rPr>
        <w:t>scoring</w:t>
      </w:r>
      <w:r w:rsidRPr="003137A2" w:rsidR="6D7FFB3E">
        <w:rPr>
          <w:rFonts w:ascii="Aptos" w:hAnsi="Aptos" w:eastAsia="Times New Roman" w:cs="Times New Roman"/>
          <w:color w:val="000000"/>
          <w:kern w:val="0"/>
          <w:lang w:eastAsia="en-GB"/>
          <w14:ligatures w14:val="none"/>
        </w:rPr>
        <w:t xml:space="preserve"> and</w:t>
      </w:r>
      <w:r w:rsidRPr="003137A2" w:rsidR="6D7FFB3E">
        <w:rPr>
          <w:rFonts w:ascii="Aptos" w:hAnsi="Aptos" w:eastAsia="Times New Roman" w:cs="Times New Roman"/>
          <w:color w:val="000000"/>
          <w:kern w:val="0"/>
          <w:lang w:eastAsia="en-GB"/>
          <w14:ligatures w14:val="none"/>
        </w:rPr>
        <w:t xml:space="preserve"> rule related effects within index</w:t>
      </w:r>
      <w:r w:rsidRPr="003137A2" w:rsidR="6D7FFB3E">
        <w:rPr>
          <w:rFonts w:ascii="Cambria Math" w:hAnsi="Cambria Math" w:eastAsia="Times New Roman" w:cs="Cambria Math"/>
          <w:color w:val="000000"/>
          <w:kern w:val="0"/>
          <w:lang w:eastAsia="en-GB"/>
          <w14:ligatures w14:val="none"/>
        </w:rPr>
        <w:t xml:space="preserve"> </w:t>
      </w:r>
      <w:r w:rsidRPr="003137A2" w:rsidR="6D7FFB3E">
        <w:rPr>
          <w:rFonts w:ascii="Aptos" w:hAnsi="Aptos" w:eastAsia="Times New Roman" w:cs="Times New Roman"/>
          <w:color w:val="000000"/>
          <w:kern w:val="0"/>
          <w:lang w:eastAsia="en-GB"/>
          <w14:ligatures w14:val="none"/>
        </w:rPr>
        <w:t>linked products. However, there is limited evidence that ESG scores alone generate broad market distortions.</w:t>
      </w:r>
    </w:p>
    <w:p w:rsidRPr="003137A2" w:rsidR="003137A2" w:rsidP="003137A2" w:rsidRDefault="003137A2" w14:paraId="115CFFC2" w14:textId="73CED417">
      <w:pPr>
        <w:spacing w:before="240" w:after="240" w:line="240" w:lineRule="auto"/>
        <w:rPr>
          <w:rFonts w:ascii="Aptos" w:hAnsi="Aptos" w:eastAsia="Times New Roman" w:cs="Times New Roman"/>
          <w:color w:val="000000"/>
          <w:kern w:val="0"/>
          <w:lang w:eastAsia="en-GB"/>
          <w14:ligatures w14:val="none"/>
        </w:rPr>
      </w:pPr>
      <w:r w:rsidRPr="003137A2" w:rsidR="6D7FFB3E">
        <w:rPr>
          <w:rFonts w:ascii="Aptos" w:hAnsi="Aptos" w:eastAsia="Times New Roman" w:cs="Times New Roman"/>
          <w:color w:val="000000"/>
          <w:kern w:val="0"/>
          <w:lang w:eastAsia="en-GB"/>
          <w14:ligatures w14:val="none"/>
        </w:rPr>
        <w:t xml:space="preserve">The study concludes that ESG scoring systems direct influence on capital allocation is marginal. ESG scorings limited influence depends </w:t>
      </w:r>
      <w:r w:rsidRPr="003137A2" w:rsidR="6D7FFB3E">
        <w:rPr>
          <w:rFonts w:ascii="Aptos" w:hAnsi="Aptos" w:eastAsia="Times New Roman" w:cs="Times New Roman"/>
          <w:color w:val="000000"/>
          <w:kern w:val="0"/>
          <w:lang w:eastAsia="en-GB"/>
          <w14:ligatures w14:val="none"/>
        </w:rPr>
        <w:t>l</w:t>
      </w:r>
      <w:r w:rsidRPr="003137A2" w:rsidR="6D7FFB3E">
        <w:rPr>
          <w:rFonts w:ascii="Aptos" w:hAnsi="Aptos" w:eastAsia="Times New Roman" w:cs="Times New Roman"/>
          <w:color w:val="000000"/>
          <w:kern w:val="0"/>
          <w:lang w:eastAsia="en-GB"/>
          <w14:ligatures w14:val="none"/>
        </w:rPr>
        <w:t>argely on</w:t>
      </w:r>
      <w:r w:rsidRPr="003137A2" w:rsidR="6D7FFB3E">
        <w:rPr>
          <w:rFonts w:ascii="Aptos" w:hAnsi="Aptos" w:eastAsia="Times New Roman" w:cs="Times New Roman"/>
          <w:color w:val="000000"/>
          <w:kern w:val="0"/>
          <w:lang w:eastAsia="en-GB"/>
          <w14:ligatures w14:val="none"/>
        </w:rPr>
        <w:t xml:space="preserve"> </w:t>
      </w:r>
      <w:r w:rsidRPr="003137A2" w:rsidR="6D7FFB3E">
        <w:rPr>
          <w:rFonts w:ascii="Aptos" w:hAnsi="Aptos" w:eastAsia="Times New Roman" w:cs="Times New Roman"/>
          <w:color w:val="000000"/>
          <w:kern w:val="0"/>
          <w:lang w:eastAsia="en-GB"/>
          <w14:ligatures w14:val="none"/>
        </w:rPr>
        <w:t>how the ratings are applied within large scale asset management rather than the scores themselves. The study offers recommendations for improving transparency, consistency</w:t>
      </w:r>
      <w:r w:rsidRPr="003137A2" w:rsidR="6D7FFB3E">
        <w:rPr>
          <w:rFonts w:ascii="Aptos" w:hAnsi="Aptos" w:eastAsia="Times New Roman" w:cs="Times New Roman"/>
          <w:color w:val="000000"/>
          <w:kern w:val="0"/>
          <w:lang w:eastAsia="en-GB"/>
          <w14:ligatures w14:val="none"/>
        </w:rPr>
        <w:t xml:space="preserve"> and</w:t>
      </w:r>
      <w:r w:rsidRPr="003137A2" w:rsidR="6D7FFB3E">
        <w:rPr>
          <w:rFonts w:ascii="Aptos" w:hAnsi="Aptos" w:eastAsia="Times New Roman" w:cs="Times New Roman"/>
          <w:color w:val="000000"/>
          <w:kern w:val="0"/>
          <w:lang w:eastAsia="en-GB"/>
          <w14:ligatures w14:val="none"/>
        </w:rPr>
        <w:t xml:space="preserve"> fairness in sustainability</w:t>
      </w:r>
      <w:r w:rsidRPr="003137A2" w:rsidR="6D7FFB3E">
        <w:rPr>
          <w:rFonts w:ascii="Cambria Math" w:hAnsi="Cambria Math" w:eastAsia="Times New Roman" w:cs="Cambria Math"/>
          <w:color w:val="000000"/>
          <w:kern w:val="0"/>
          <w:lang w:eastAsia="en-GB"/>
          <w14:ligatures w14:val="none"/>
        </w:rPr>
        <w:t xml:space="preserve"> </w:t>
      </w:r>
      <w:r w:rsidRPr="003137A2" w:rsidR="6D7FFB3E">
        <w:rPr>
          <w:rFonts w:ascii="Aptos" w:hAnsi="Aptos" w:eastAsia="Times New Roman" w:cs="Times New Roman"/>
          <w:color w:val="000000"/>
          <w:kern w:val="0"/>
          <w:lang w:eastAsia="en-GB"/>
          <w14:ligatures w14:val="none"/>
        </w:rPr>
        <w:t>aligned investment processes.</w:t>
      </w:r>
    </w:p>
    <w:p w:rsidRPr="003137A2" w:rsidR="003137A2" w:rsidP="003137A2" w:rsidRDefault="003137A2" w14:paraId="37CC72D8" w14:textId="560DCCA3">
      <w:pPr>
        <w:spacing w:before="240" w:after="240" w:line="240" w:lineRule="auto"/>
        <w:rPr>
          <w:rFonts w:ascii="Aptos" w:hAnsi="Aptos" w:eastAsia="Times New Roman" w:cs="Times New Roman"/>
          <w:color w:val="000000"/>
          <w:kern w:val="0"/>
          <w:lang w:eastAsia="en-GB"/>
          <w14:ligatures w14:val="none"/>
        </w:rPr>
      </w:pPr>
      <w:r w:rsidRPr="003137A2" w:rsidR="6D7FFB3E">
        <w:rPr>
          <w:rFonts w:ascii="Aptos" w:hAnsi="Aptos" w:eastAsia="Times New Roman" w:cs="Times New Roman"/>
          <w:color w:val="000000"/>
          <w:kern w:val="0"/>
          <w:lang w:eastAsia="en-GB"/>
          <w14:ligatures w14:val="none"/>
        </w:rPr>
        <w:t>The research experience was an important part of the study. Initial assumptions informed by media reports were challenged through careful examination, critical engagement with the literature, the use of mixed methods analysis and applying learning from Business Management education. The process strengthened skills in project management, reflective practice</w:t>
      </w:r>
      <w:r w:rsidRPr="003137A2" w:rsidR="6D7FFB3E">
        <w:rPr>
          <w:rFonts w:ascii="Aptos" w:hAnsi="Aptos" w:eastAsia="Times New Roman" w:cs="Times New Roman"/>
          <w:color w:val="000000"/>
          <w:kern w:val="0"/>
          <w:lang w:eastAsia="en-GB"/>
          <w14:ligatures w14:val="none"/>
        </w:rPr>
        <w:t xml:space="preserve"> and</w:t>
      </w:r>
      <w:r w:rsidRPr="003137A2" w:rsidR="6D7FFB3E">
        <w:rPr>
          <w:rFonts w:ascii="Aptos" w:hAnsi="Aptos" w:eastAsia="Times New Roman" w:cs="Times New Roman"/>
          <w:color w:val="000000"/>
          <w:kern w:val="0"/>
          <w:lang w:eastAsia="en-GB"/>
          <w14:ligatures w14:val="none"/>
        </w:rPr>
        <w:t xml:space="preserve"> evidence evaluation, </w:t>
      </w:r>
      <w:r w:rsidRPr="003137A2" w:rsidR="6D7FFB3E">
        <w:rPr>
          <w:rFonts w:ascii="Aptos" w:hAnsi="Aptos" w:eastAsia="Times New Roman" w:cs="Times New Roman"/>
          <w:color w:val="000000"/>
          <w:kern w:val="0"/>
          <w:lang w:eastAsia="en-GB"/>
          <w14:ligatures w14:val="none"/>
        </w:rPr>
        <w:t>demonstrating</w:t>
      </w:r>
      <w:r w:rsidRPr="003137A2" w:rsidR="6D7FFB3E">
        <w:rPr>
          <w:rFonts w:ascii="Aptos" w:hAnsi="Aptos" w:eastAsia="Times New Roman" w:cs="Times New Roman"/>
          <w:color w:val="000000"/>
          <w:kern w:val="0"/>
          <w:lang w:eastAsia="en-GB"/>
          <w14:ligatures w14:val="none"/>
        </w:rPr>
        <w:t xml:space="preserve"> how structured research can refine understanding and reshape perspectives.</w:t>
      </w:r>
    </w:p>
    <w:p w:rsidRPr="003137A2" w:rsidR="003137A2" w:rsidP="003137A2" w:rsidRDefault="003137A2" w14:paraId="395E993E" w14:textId="77777777">
      <w:pPr>
        <w:spacing w:before="240" w:after="240" w:line="240" w:lineRule="auto"/>
        <w:rPr>
          <w:rFonts w:ascii="Aptos" w:hAnsi="Aptos" w:eastAsia="Times New Roman" w:cs="Times New Roman"/>
          <w:color w:val="000000"/>
          <w:kern w:val="0"/>
          <w:lang w:eastAsia="en-GB"/>
          <w14:ligatures w14:val="none"/>
        </w:rPr>
      </w:pPr>
    </w:p>
    <w:sdt>
      <w:sdtPr>
        <w:id w:val="2144154509"/>
        <w:docPartObj>
          <w:docPartGallery w:val="Table of Contents"/>
          <w:docPartUnique/>
        </w:docPartObj>
      </w:sdtPr>
      <w:sdtEndPr>
        <w:rPr>
          <w:b/>
          <w:bCs/>
        </w:rPr>
      </w:sdtEndPr>
      <w:sdtContent>
        <w:p w:rsidRPr="003137A2" w:rsidR="003137A2" w:rsidP="003137A2" w:rsidRDefault="003137A2" w14:paraId="7D29B204" w14:textId="77777777">
          <w:pPr>
            <w:keepNext/>
            <w:keepLines/>
            <w:spacing w:before="240" w:after="0" w:line="259" w:lineRule="auto"/>
            <w:rPr>
              <w:rFonts w:asciiTheme="majorHAnsi" w:hAnsiTheme="majorHAnsi" w:eastAsiaTheme="majorEastAsia" w:cstheme="majorBidi"/>
              <w:color w:val="0F4761" w:themeColor="accent1" w:themeShade="BF"/>
              <w:kern w:val="0"/>
              <w:sz w:val="32"/>
              <w:szCs w:val="32"/>
              <w:lang w:eastAsia="en-GB"/>
              <w14:ligatures w14:val="none"/>
            </w:rPr>
          </w:pPr>
          <w:r w:rsidRPr="003137A2">
            <w:rPr>
              <w:rFonts w:asciiTheme="majorHAnsi" w:hAnsiTheme="majorHAnsi" w:eastAsiaTheme="majorEastAsia" w:cstheme="majorBidi"/>
              <w:color w:val="0F4761" w:themeColor="accent1" w:themeShade="BF"/>
              <w:kern w:val="0"/>
              <w:sz w:val="32"/>
              <w:szCs w:val="32"/>
              <w:lang w:eastAsia="en-GB"/>
              <w14:ligatures w14:val="none"/>
            </w:rPr>
            <w:t>Table of Contents</w:t>
          </w:r>
        </w:p>
        <w:p w:rsidRPr="003137A2" w:rsidR="003137A2" w:rsidP="257BFE88" w:rsidRDefault="003137A2" w14:paraId="439F4322" w14:textId="09BC372A">
          <w:pPr>
            <w:pStyle w:val="TOC1"/>
            <w:tabs>
              <w:tab w:val="right" w:leader="dot" w:pos="9015"/>
            </w:tabs>
            <w:rPr>
              <w:rFonts w:eastAsia="" w:eastAsiaTheme="minorEastAsia"/>
              <w:noProof/>
              <w:lang w:eastAsia="en-GB"/>
            </w:rPr>
          </w:pPr>
          <w:r>
            <w:fldChar w:fldCharType="begin"/>
          </w:r>
          <w:r>
            <w:instrText xml:space="preserve">TOC \o "1-3" \z \u \h</w:instrText>
          </w:r>
          <w:r>
            <w:fldChar w:fldCharType="separate"/>
          </w:r>
          <w:hyperlink w:anchor="_Toc239088140">
            <w:r w:rsidRPr="257BFE88" w:rsidR="257BFE88">
              <w:rPr>
                <w:rStyle w:val="Hyperlink"/>
              </w:rPr>
              <w:t>Acknowledgments</w:t>
            </w:r>
            <w:r>
              <w:tab/>
            </w:r>
            <w:r>
              <w:fldChar w:fldCharType="begin"/>
            </w:r>
            <w:r>
              <w:instrText xml:space="preserve">PAGEREF _Toc239088140 \h</w:instrText>
            </w:r>
            <w:r>
              <w:fldChar w:fldCharType="separate"/>
            </w:r>
            <w:r w:rsidRPr="257BFE88" w:rsidR="257BFE88">
              <w:rPr>
                <w:rStyle w:val="Hyperlink"/>
              </w:rPr>
              <w:t>2</w:t>
            </w:r>
            <w:r>
              <w:fldChar w:fldCharType="end"/>
            </w:r>
          </w:hyperlink>
        </w:p>
        <w:p w:rsidRPr="003137A2" w:rsidR="003137A2" w:rsidP="257BFE88" w:rsidRDefault="003137A2" w14:paraId="4FDF369C" w14:textId="218254C9">
          <w:pPr>
            <w:pStyle w:val="TOC1"/>
            <w:tabs>
              <w:tab w:val="right" w:leader="dot" w:pos="9015"/>
            </w:tabs>
            <w:rPr>
              <w:rFonts w:eastAsia="" w:eastAsiaTheme="minorEastAsia"/>
              <w:noProof/>
              <w:lang w:eastAsia="en-GB"/>
            </w:rPr>
          </w:pPr>
          <w:hyperlink w:anchor="_Toc874133145">
            <w:r w:rsidRPr="257BFE88" w:rsidR="257BFE88">
              <w:rPr>
                <w:rStyle w:val="Hyperlink"/>
              </w:rPr>
              <w:t>Abstract</w:t>
            </w:r>
            <w:r>
              <w:tab/>
            </w:r>
            <w:r>
              <w:fldChar w:fldCharType="begin"/>
            </w:r>
            <w:r>
              <w:instrText xml:space="preserve">PAGEREF _Toc874133145 \h</w:instrText>
            </w:r>
            <w:r>
              <w:fldChar w:fldCharType="separate"/>
            </w:r>
            <w:r w:rsidRPr="257BFE88" w:rsidR="257BFE88">
              <w:rPr>
                <w:rStyle w:val="Hyperlink"/>
              </w:rPr>
              <w:t>3</w:t>
            </w:r>
            <w:r>
              <w:fldChar w:fldCharType="end"/>
            </w:r>
          </w:hyperlink>
        </w:p>
        <w:p w:rsidRPr="003137A2" w:rsidR="003137A2" w:rsidP="257BFE88" w:rsidRDefault="003137A2" w14:paraId="413ECE8C" w14:textId="6DDB33BC">
          <w:pPr>
            <w:pStyle w:val="TOC1"/>
            <w:tabs>
              <w:tab w:val="right" w:leader="dot" w:pos="9015"/>
            </w:tabs>
            <w:rPr>
              <w:rFonts w:eastAsia="" w:eastAsiaTheme="minorEastAsia"/>
              <w:noProof/>
              <w:lang w:eastAsia="en-GB"/>
            </w:rPr>
          </w:pPr>
          <w:hyperlink w:anchor="_Toc794578929">
            <w:r w:rsidRPr="257BFE88" w:rsidR="257BFE88">
              <w:rPr>
                <w:rStyle w:val="Hyperlink"/>
              </w:rPr>
              <w:t>1.Introduction</w:t>
            </w:r>
            <w:r>
              <w:tab/>
            </w:r>
            <w:r>
              <w:fldChar w:fldCharType="begin"/>
            </w:r>
            <w:r>
              <w:instrText xml:space="preserve">PAGEREF _Toc794578929 \h</w:instrText>
            </w:r>
            <w:r>
              <w:fldChar w:fldCharType="separate"/>
            </w:r>
            <w:r w:rsidRPr="257BFE88" w:rsidR="257BFE88">
              <w:rPr>
                <w:rStyle w:val="Hyperlink"/>
              </w:rPr>
              <w:t>4</w:t>
            </w:r>
            <w:r>
              <w:fldChar w:fldCharType="end"/>
            </w:r>
          </w:hyperlink>
        </w:p>
        <w:p w:rsidRPr="003137A2" w:rsidR="003137A2" w:rsidP="257BFE88" w:rsidRDefault="003137A2" w14:paraId="21869C77" w14:textId="69DB1A35">
          <w:pPr>
            <w:pStyle w:val="TOC1"/>
            <w:tabs>
              <w:tab w:val="right" w:leader="dot" w:pos="9015"/>
            </w:tabs>
            <w:rPr>
              <w:rFonts w:eastAsia="" w:eastAsiaTheme="minorEastAsia"/>
              <w:noProof/>
              <w:lang w:eastAsia="en-GB"/>
            </w:rPr>
          </w:pPr>
          <w:hyperlink w:anchor="_Toc376402946">
            <w:r w:rsidRPr="257BFE88" w:rsidR="257BFE88">
              <w:rPr>
                <w:rStyle w:val="Hyperlink"/>
              </w:rPr>
              <w:t>2.Literature Review</w:t>
            </w:r>
            <w:r>
              <w:tab/>
            </w:r>
            <w:r>
              <w:fldChar w:fldCharType="begin"/>
            </w:r>
            <w:r>
              <w:instrText xml:space="preserve">PAGEREF _Toc376402946 \h</w:instrText>
            </w:r>
            <w:r>
              <w:fldChar w:fldCharType="separate"/>
            </w:r>
            <w:r w:rsidRPr="257BFE88" w:rsidR="257BFE88">
              <w:rPr>
                <w:rStyle w:val="Hyperlink"/>
              </w:rPr>
              <w:t>6</w:t>
            </w:r>
            <w:r>
              <w:fldChar w:fldCharType="end"/>
            </w:r>
          </w:hyperlink>
        </w:p>
        <w:p w:rsidRPr="003137A2" w:rsidR="003137A2" w:rsidP="257BFE88" w:rsidRDefault="003137A2" w14:paraId="442D3F45" w14:textId="3A43E6C2">
          <w:pPr>
            <w:pStyle w:val="TOC2"/>
            <w:tabs>
              <w:tab w:val="right" w:leader="dot" w:pos="9015"/>
            </w:tabs>
            <w:rPr>
              <w:rFonts w:eastAsia="" w:eastAsiaTheme="minorEastAsia"/>
              <w:noProof/>
              <w:lang w:eastAsia="en-GB"/>
            </w:rPr>
          </w:pPr>
          <w:hyperlink w:anchor="_Toc2030262281">
            <w:r w:rsidRPr="257BFE88" w:rsidR="257BFE88">
              <w:rPr>
                <w:rStyle w:val="Hyperlink"/>
              </w:rPr>
              <w:t>2.1 Research Approach</w:t>
            </w:r>
            <w:r>
              <w:tab/>
            </w:r>
            <w:r>
              <w:fldChar w:fldCharType="begin"/>
            </w:r>
            <w:r>
              <w:instrText xml:space="preserve">PAGEREF _Toc2030262281 \h</w:instrText>
            </w:r>
            <w:r>
              <w:fldChar w:fldCharType="separate"/>
            </w:r>
            <w:r w:rsidRPr="257BFE88" w:rsidR="257BFE88">
              <w:rPr>
                <w:rStyle w:val="Hyperlink"/>
              </w:rPr>
              <w:t>6</w:t>
            </w:r>
            <w:r>
              <w:fldChar w:fldCharType="end"/>
            </w:r>
          </w:hyperlink>
        </w:p>
        <w:p w:rsidRPr="003137A2" w:rsidR="003137A2" w:rsidP="257BFE88" w:rsidRDefault="003137A2" w14:paraId="16E12332" w14:textId="7AEC7BD9">
          <w:pPr>
            <w:pStyle w:val="TOC2"/>
            <w:tabs>
              <w:tab w:val="right" w:leader="dot" w:pos="9015"/>
            </w:tabs>
            <w:rPr>
              <w:rFonts w:eastAsia="" w:eastAsiaTheme="minorEastAsia"/>
              <w:noProof/>
              <w:lang w:eastAsia="en-GB"/>
            </w:rPr>
          </w:pPr>
          <w:hyperlink w:anchor="_Toc721112610">
            <w:r w:rsidRPr="257BFE88" w:rsidR="257BFE88">
              <w:rPr>
                <w:rStyle w:val="Hyperlink"/>
              </w:rPr>
              <w:t>2.2 ESG Scoring Systems: Purpose, Design and Critical Review</w:t>
            </w:r>
            <w:r>
              <w:tab/>
            </w:r>
            <w:r>
              <w:fldChar w:fldCharType="begin"/>
            </w:r>
            <w:r>
              <w:instrText xml:space="preserve">PAGEREF _Toc721112610 \h</w:instrText>
            </w:r>
            <w:r>
              <w:fldChar w:fldCharType="separate"/>
            </w:r>
            <w:r w:rsidRPr="257BFE88" w:rsidR="257BFE88">
              <w:rPr>
                <w:rStyle w:val="Hyperlink"/>
              </w:rPr>
              <w:t>6</w:t>
            </w:r>
            <w:r>
              <w:fldChar w:fldCharType="end"/>
            </w:r>
          </w:hyperlink>
        </w:p>
        <w:p w:rsidRPr="003137A2" w:rsidR="003137A2" w:rsidP="257BFE88" w:rsidRDefault="003137A2" w14:paraId="560FE292" w14:textId="1F5574BC">
          <w:pPr>
            <w:pStyle w:val="TOC2"/>
            <w:tabs>
              <w:tab w:val="right" w:leader="dot" w:pos="9015"/>
            </w:tabs>
            <w:rPr>
              <w:rFonts w:eastAsia="" w:eastAsiaTheme="minorEastAsia"/>
              <w:noProof/>
              <w:lang w:eastAsia="en-GB"/>
            </w:rPr>
          </w:pPr>
          <w:hyperlink w:anchor="_Toc2139066359">
            <w:r w:rsidRPr="257BFE88" w:rsidR="257BFE88">
              <w:rPr>
                <w:rStyle w:val="Hyperlink"/>
              </w:rPr>
              <w:t>2.4 Why BlackRock Adopted ESG: Strategic, Political and Market Factors</w:t>
            </w:r>
            <w:r>
              <w:tab/>
            </w:r>
            <w:r>
              <w:fldChar w:fldCharType="begin"/>
            </w:r>
            <w:r>
              <w:instrText xml:space="preserve">PAGEREF _Toc2139066359 \h</w:instrText>
            </w:r>
            <w:r>
              <w:fldChar w:fldCharType="separate"/>
            </w:r>
            <w:r w:rsidRPr="257BFE88" w:rsidR="257BFE88">
              <w:rPr>
                <w:rStyle w:val="Hyperlink"/>
              </w:rPr>
              <w:t>8</w:t>
            </w:r>
            <w:r>
              <w:fldChar w:fldCharType="end"/>
            </w:r>
          </w:hyperlink>
        </w:p>
        <w:p w:rsidRPr="003137A2" w:rsidR="003137A2" w:rsidP="257BFE88" w:rsidRDefault="003137A2" w14:paraId="3A73D7BA" w14:textId="5FDC830B">
          <w:pPr>
            <w:pStyle w:val="TOC3"/>
            <w:tabs>
              <w:tab w:val="right" w:leader="dot" w:pos="9015"/>
            </w:tabs>
            <w:rPr>
              <w:rFonts w:eastAsia="" w:eastAsiaTheme="minorEastAsia"/>
              <w:noProof/>
              <w:lang w:eastAsia="en-GB"/>
            </w:rPr>
          </w:pPr>
          <w:hyperlink w:anchor="_Toc2050080568">
            <w:r w:rsidRPr="257BFE88" w:rsidR="257BFE88">
              <w:rPr>
                <w:rStyle w:val="Hyperlink"/>
              </w:rPr>
              <w:t>2.4.1 Strategic Factors</w:t>
            </w:r>
            <w:r>
              <w:tab/>
            </w:r>
            <w:r>
              <w:fldChar w:fldCharType="begin"/>
            </w:r>
            <w:r>
              <w:instrText xml:space="preserve">PAGEREF _Toc2050080568 \h</w:instrText>
            </w:r>
            <w:r>
              <w:fldChar w:fldCharType="separate"/>
            </w:r>
            <w:r w:rsidRPr="257BFE88" w:rsidR="257BFE88">
              <w:rPr>
                <w:rStyle w:val="Hyperlink"/>
              </w:rPr>
              <w:t>8</w:t>
            </w:r>
            <w:r>
              <w:fldChar w:fldCharType="end"/>
            </w:r>
          </w:hyperlink>
        </w:p>
        <w:p w:rsidRPr="003137A2" w:rsidR="003137A2" w:rsidP="257BFE88" w:rsidRDefault="003137A2" w14:paraId="0927C880" w14:textId="5E0894D6">
          <w:pPr>
            <w:pStyle w:val="TOC3"/>
            <w:tabs>
              <w:tab w:val="right" w:leader="dot" w:pos="9015"/>
            </w:tabs>
            <w:rPr>
              <w:rFonts w:eastAsia="" w:eastAsiaTheme="minorEastAsia"/>
              <w:noProof/>
              <w:lang w:eastAsia="en-GB"/>
            </w:rPr>
          </w:pPr>
          <w:hyperlink w:anchor="_Toc1779627398">
            <w:r w:rsidRPr="257BFE88" w:rsidR="257BFE88">
              <w:rPr>
                <w:rStyle w:val="Hyperlink"/>
              </w:rPr>
              <w:t>2.4.2 Political and Regulatory Factors</w:t>
            </w:r>
            <w:r>
              <w:tab/>
            </w:r>
            <w:r>
              <w:fldChar w:fldCharType="begin"/>
            </w:r>
            <w:r>
              <w:instrText xml:space="preserve">PAGEREF _Toc1779627398 \h</w:instrText>
            </w:r>
            <w:r>
              <w:fldChar w:fldCharType="separate"/>
            </w:r>
            <w:r w:rsidRPr="257BFE88" w:rsidR="257BFE88">
              <w:rPr>
                <w:rStyle w:val="Hyperlink"/>
              </w:rPr>
              <w:t>8</w:t>
            </w:r>
            <w:r>
              <w:fldChar w:fldCharType="end"/>
            </w:r>
          </w:hyperlink>
        </w:p>
        <w:p w:rsidRPr="003137A2" w:rsidR="003137A2" w:rsidP="257BFE88" w:rsidRDefault="003137A2" w14:paraId="56438661" w14:textId="5AE4C08E">
          <w:pPr>
            <w:pStyle w:val="TOC3"/>
            <w:tabs>
              <w:tab w:val="right" w:leader="dot" w:pos="9015"/>
            </w:tabs>
            <w:rPr>
              <w:rFonts w:eastAsia="" w:eastAsiaTheme="minorEastAsia"/>
              <w:noProof/>
              <w:lang w:eastAsia="en-GB"/>
            </w:rPr>
          </w:pPr>
          <w:hyperlink w:anchor="_Toc1401289694">
            <w:r w:rsidRPr="257BFE88" w:rsidR="257BFE88">
              <w:rPr>
                <w:rStyle w:val="Hyperlink"/>
              </w:rPr>
              <w:t>2.4.3 Market and Consumer Factors</w:t>
            </w:r>
            <w:r>
              <w:tab/>
            </w:r>
            <w:r>
              <w:fldChar w:fldCharType="begin"/>
            </w:r>
            <w:r>
              <w:instrText xml:space="preserve">PAGEREF _Toc1401289694 \h</w:instrText>
            </w:r>
            <w:r>
              <w:fldChar w:fldCharType="separate"/>
            </w:r>
            <w:r w:rsidRPr="257BFE88" w:rsidR="257BFE88">
              <w:rPr>
                <w:rStyle w:val="Hyperlink"/>
              </w:rPr>
              <w:t>8</w:t>
            </w:r>
            <w:r>
              <w:fldChar w:fldCharType="end"/>
            </w:r>
          </w:hyperlink>
        </w:p>
        <w:p w:rsidRPr="003137A2" w:rsidR="003137A2" w:rsidP="257BFE88" w:rsidRDefault="003137A2" w14:paraId="778713B2" w14:textId="213143FD">
          <w:pPr>
            <w:pStyle w:val="TOC3"/>
            <w:tabs>
              <w:tab w:val="right" w:leader="dot" w:pos="9015"/>
            </w:tabs>
            <w:rPr>
              <w:rFonts w:eastAsia="" w:eastAsiaTheme="minorEastAsia"/>
              <w:noProof/>
              <w:lang w:eastAsia="en-GB"/>
            </w:rPr>
          </w:pPr>
          <w:hyperlink w:anchor="_Toc1127431744">
            <w:r w:rsidRPr="257BFE88" w:rsidR="257BFE88">
              <w:rPr>
                <w:rStyle w:val="Hyperlink"/>
              </w:rPr>
              <w:t>2.4.4 Reputational and Leadership Factors</w:t>
            </w:r>
            <w:r>
              <w:tab/>
            </w:r>
            <w:r>
              <w:fldChar w:fldCharType="begin"/>
            </w:r>
            <w:r>
              <w:instrText xml:space="preserve">PAGEREF _Toc1127431744 \h</w:instrText>
            </w:r>
            <w:r>
              <w:fldChar w:fldCharType="separate"/>
            </w:r>
            <w:r w:rsidRPr="257BFE88" w:rsidR="257BFE88">
              <w:rPr>
                <w:rStyle w:val="Hyperlink"/>
              </w:rPr>
              <w:t>8</w:t>
            </w:r>
            <w:r>
              <w:fldChar w:fldCharType="end"/>
            </w:r>
          </w:hyperlink>
        </w:p>
        <w:p w:rsidRPr="003137A2" w:rsidR="003137A2" w:rsidP="257BFE88" w:rsidRDefault="003137A2" w14:paraId="140B996A" w14:textId="37A37A31">
          <w:pPr>
            <w:pStyle w:val="TOC3"/>
            <w:tabs>
              <w:tab w:val="right" w:leader="dot" w:pos="9015"/>
            </w:tabs>
            <w:rPr>
              <w:rFonts w:eastAsia="" w:eastAsiaTheme="minorEastAsia"/>
              <w:noProof/>
              <w:lang w:eastAsia="en-GB"/>
            </w:rPr>
          </w:pPr>
          <w:hyperlink w:anchor="_Toc1324515993">
            <w:r w:rsidRPr="257BFE88" w:rsidR="257BFE88">
              <w:rPr>
                <w:rStyle w:val="Hyperlink"/>
              </w:rPr>
              <w:t>2.5 Conclusions and Reflections</w:t>
            </w:r>
            <w:r>
              <w:tab/>
            </w:r>
            <w:r>
              <w:fldChar w:fldCharType="begin"/>
            </w:r>
            <w:r>
              <w:instrText xml:space="preserve">PAGEREF _Toc1324515993 \h</w:instrText>
            </w:r>
            <w:r>
              <w:fldChar w:fldCharType="separate"/>
            </w:r>
            <w:r w:rsidRPr="257BFE88" w:rsidR="257BFE88">
              <w:rPr>
                <w:rStyle w:val="Hyperlink"/>
              </w:rPr>
              <w:t>9</w:t>
            </w:r>
            <w:r>
              <w:fldChar w:fldCharType="end"/>
            </w:r>
          </w:hyperlink>
        </w:p>
        <w:p w:rsidRPr="003137A2" w:rsidR="003137A2" w:rsidP="257BFE88" w:rsidRDefault="003137A2" w14:paraId="1C0933D4" w14:textId="685BF136">
          <w:pPr>
            <w:pStyle w:val="TOC2"/>
            <w:tabs>
              <w:tab w:val="right" w:leader="dot" w:pos="9015"/>
            </w:tabs>
            <w:rPr>
              <w:rFonts w:eastAsia="" w:eastAsiaTheme="minorEastAsia"/>
              <w:noProof/>
              <w:lang w:eastAsia="en-GB"/>
            </w:rPr>
          </w:pPr>
          <w:hyperlink w:anchor="_Toc1428326271">
            <w:r w:rsidRPr="257BFE88" w:rsidR="257BFE88">
              <w:rPr>
                <w:rStyle w:val="Hyperlink"/>
              </w:rPr>
              <w:t>3.1 Research Design and Rationale</w:t>
            </w:r>
            <w:r>
              <w:tab/>
            </w:r>
            <w:r>
              <w:fldChar w:fldCharType="begin"/>
            </w:r>
            <w:r>
              <w:instrText xml:space="preserve">PAGEREF _Toc1428326271 \h</w:instrText>
            </w:r>
            <w:r>
              <w:fldChar w:fldCharType="separate"/>
            </w:r>
            <w:r w:rsidRPr="257BFE88" w:rsidR="257BFE88">
              <w:rPr>
                <w:rStyle w:val="Hyperlink"/>
              </w:rPr>
              <w:t>10</w:t>
            </w:r>
            <w:r>
              <w:fldChar w:fldCharType="end"/>
            </w:r>
          </w:hyperlink>
        </w:p>
        <w:p w:rsidRPr="003137A2" w:rsidR="003137A2" w:rsidP="257BFE88" w:rsidRDefault="003137A2" w14:paraId="281607F6" w14:textId="42B3A7C0">
          <w:pPr>
            <w:pStyle w:val="TOC2"/>
            <w:tabs>
              <w:tab w:val="right" w:leader="dot" w:pos="9015"/>
            </w:tabs>
            <w:rPr>
              <w:rFonts w:eastAsia="" w:eastAsiaTheme="minorEastAsia"/>
              <w:noProof/>
              <w:lang w:eastAsia="en-GB"/>
            </w:rPr>
          </w:pPr>
          <w:hyperlink w:anchor="_Toc1965976028">
            <w:r w:rsidRPr="257BFE88" w:rsidR="257BFE88">
              <w:rPr>
                <w:rStyle w:val="Hyperlink"/>
              </w:rPr>
              <w:t>3.2 Quantitative Component</w:t>
            </w:r>
            <w:r>
              <w:tab/>
            </w:r>
            <w:r>
              <w:fldChar w:fldCharType="begin"/>
            </w:r>
            <w:r>
              <w:instrText xml:space="preserve">PAGEREF _Toc1965976028 \h</w:instrText>
            </w:r>
            <w:r>
              <w:fldChar w:fldCharType="separate"/>
            </w:r>
            <w:r w:rsidRPr="257BFE88" w:rsidR="257BFE88">
              <w:rPr>
                <w:rStyle w:val="Hyperlink"/>
              </w:rPr>
              <w:t>10</w:t>
            </w:r>
            <w:r>
              <w:fldChar w:fldCharType="end"/>
            </w:r>
          </w:hyperlink>
        </w:p>
        <w:p w:rsidRPr="003137A2" w:rsidR="003137A2" w:rsidP="257BFE88" w:rsidRDefault="003137A2" w14:paraId="703C27D4" w14:textId="4DBE65EC">
          <w:pPr>
            <w:pStyle w:val="TOC3"/>
            <w:tabs>
              <w:tab w:val="right" w:leader="dot" w:pos="9015"/>
            </w:tabs>
            <w:rPr>
              <w:rFonts w:eastAsia="" w:eastAsiaTheme="minorEastAsia"/>
              <w:noProof/>
              <w:lang w:eastAsia="en-GB"/>
            </w:rPr>
          </w:pPr>
          <w:hyperlink w:anchor="_Toc242571166">
            <w:r w:rsidRPr="257BFE88" w:rsidR="257BFE88">
              <w:rPr>
                <w:rStyle w:val="Hyperlink"/>
              </w:rPr>
              <w:t>3.2.1 Data Sources and Variables</w:t>
            </w:r>
            <w:r>
              <w:tab/>
            </w:r>
            <w:r>
              <w:fldChar w:fldCharType="begin"/>
            </w:r>
            <w:r>
              <w:instrText xml:space="preserve">PAGEREF _Toc242571166 \h</w:instrText>
            </w:r>
            <w:r>
              <w:fldChar w:fldCharType="separate"/>
            </w:r>
            <w:r w:rsidRPr="257BFE88" w:rsidR="257BFE88">
              <w:rPr>
                <w:rStyle w:val="Hyperlink"/>
              </w:rPr>
              <w:t>11</w:t>
            </w:r>
            <w:r>
              <w:fldChar w:fldCharType="end"/>
            </w:r>
          </w:hyperlink>
        </w:p>
        <w:p w:rsidRPr="003137A2" w:rsidR="003137A2" w:rsidP="257BFE88" w:rsidRDefault="003137A2" w14:paraId="4ED0EA73" w14:textId="194F6546">
          <w:pPr>
            <w:pStyle w:val="TOC3"/>
            <w:tabs>
              <w:tab w:val="right" w:leader="dot" w:pos="9015"/>
            </w:tabs>
            <w:rPr>
              <w:rFonts w:eastAsia="" w:eastAsiaTheme="minorEastAsia"/>
              <w:noProof/>
              <w:lang w:eastAsia="en-GB"/>
            </w:rPr>
          </w:pPr>
          <w:hyperlink w:anchor="_Toc448513993">
            <w:r w:rsidRPr="257BFE88" w:rsidR="257BFE88">
              <w:rPr>
                <w:rStyle w:val="Hyperlink"/>
              </w:rPr>
              <w:t>3.2.2 Analytical Logic</w:t>
            </w:r>
            <w:r>
              <w:tab/>
            </w:r>
            <w:r>
              <w:fldChar w:fldCharType="begin"/>
            </w:r>
            <w:r>
              <w:instrText xml:space="preserve">PAGEREF _Toc448513993 \h</w:instrText>
            </w:r>
            <w:r>
              <w:fldChar w:fldCharType="separate"/>
            </w:r>
            <w:r w:rsidRPr="257BFE88" w:rsidR="257BFE88">
              <w:rPr>
                <w:rStyle w:val="Hyperlink"/>
              </w:rPr>
              <w:t>11</w:t>
            </w:r>
            <w:r>
              <w:fldChar w:fldCharType="end"/>
            </w:r>
          </w:hyperlink>
        </w:p>
        <w:p w:rsidRPr="003137A2" w:rsidR="003137A2" w:rsidP="257BFE88" w:rsidRDefault="003137A2" w14:paraId="3FBF1020" w14:textId="6D998458">
          <w:pPr>
            <w:pStyle w:val="TOC3"/>
            <w:tabs>
              <w:tab w:val="right" w:leader="dot" w:pos="9015"/>
            </w:tabs>
            <w:rPr>
              <w:rFonts w:eastAsia="" w:eastAsiaTheme="minorEastAsia"/>
              <w:noProof/>
              <w:lang w:eastAsia="en-GB"/>
            </w:rPr>
          </w:pPr>
          <w:hyperlink w:anchor="_Toc721865225">
            <w:r w:rsidRPr="257BFE88" w:rsidR="257BFE88">
              <w:rPr>
                <w:rStyle w:val="Hyperlink"/>
              </w:rPr>
              <w:t>3.2.3 Case Studies: Tesla and ExxonMobil</w:t>
            </w:r>
            <w:r>
              <w:tab/>
            </w:r>
            <w:r>
              <w:fldChar w:fldCharType="begin"/>
            </w:r>
            <w:r>
              <w:instrText xml:space="preserve">PAGEREF _Toc721865225 \h</w:instrText>
            </w:r>
            <w:r>
              <w:fldChar w:fldCharType="separate"/>
            </w:r>
            <w:r w:rsidRPr="257BFE88" w:rsidR="257BFE88">
              <w:rPr>
                <w:rStyle w:val="Hyperlink"/>
              </w:rPr>
              <w:t>11</w:t>
            </w:r>
            <w:r>
              <w:fldChar w:fldCharType="end"/>
            </w:r>
          </w:hyperlink>
        </w:p>
        <w:p w:rsidRPr="003137A2" w:rsidR="003137A2" w:rsidP="257BFE88" w:rsidRDefault="003137A2" w14:paraId="1FDA6701" w14:textId="2AD42C9D">
          <w:pPr>
            <w:pStyle w:val="TOC2"/>
            <w:tabs>
              <w:tab w:val="right" w:leader="dot" w:pos="9015"/>
            </w:tabs>
            <w:rPr>
              <w:rFonts w:eastAsia="" w:eastAsiaTheme="minorEastAsia"/>
              <w:noProof/>
              <w:lang w:eastAsia="en-GB"/>
            </w:rPr>
          </w:pPr>
          <w:hyperlink w:anchor="_Toc1843157620">
            <w:r w:rsidRPr="257BFE88" w:rsidR="257BFE88">
              <w:rPr>
                <w:rStyle w:val="Hyperlink"/>
              </w:rPr>
              <w:t>3.3 Qualitative Component</w:t>
            </w:r>
            <w:r>
              <w:tab/>
            </w:r>
            <w:r>
              <w:fldChar w:fldCharType="begin"/>
            </w:r>
            <w:r>
              <w:instrText xml:space="preserve">PAGEREF _Toc1843157620 \h</w:instrText>
            </w:r>
            <w:r>
              <w:fldChar w:fldCharType="separate"/>
            </w:r>
            <w:r w:rsidRPr="257BFE88" w:rsidR="257BFE88">
              <w:rPr>
                <w:rStyle w:val="Hyperlink"/>
              </w:rPr>
              <w:t>11</w:t>
            </w:r>
            <w:r>
              <w:fldChar w:fldCharType="end"/>
            </w:r>
          </w:hyperlink>
        </w:p>
        <w:p w:rsidRPr="003137A2" w:rsidR="003137A2" w:rsidP="257BFE88" w:rsidRDefault="003137A2" w14:paraId="18AE60DD" w14:textId="36159B1C">
          <w:pPr>
            <w:pStyle w:val="TOC3"/>
            <w:tabs>
              <w:tab w:val="right" w:leader="dot" w:pos="9015"/>
            </w:tabs>
            <w:rPr>
              <w:rFonts w:eastAsia="" w:eastAsiaTheme="minorEastAsia"/>
              <w:noProof/>
              <w:lang w:eastAsia="en-GB"/>
            </w:rPr>
          </w:pPr>
          <w:hyperlink w:anchor="_Toc418262879">
            <w:r w:rsidRPr="257BFE88" w:rsidR="257BFE88">
              <w:rPr>
                <w:rStyle w:val="Hyperlink"/>
              </w:rPr>
              <w:t>3.3.1 Data Sources</w:t>
            </w:r>
            <w:r>
              <w:tab/>
            </w:r>
            <w:r>
              <w:fldChar w:fldCharType="begin"/>
            </w:r>
            <w:r>
              <w:instrText xml:space="preserve">PAGEREF _Toc418262879 \h</w:instrText>
            </w:r>
            <w:r>
              <w:fldChar w:fldCharType="separate"/>
            </w:r>
            <w:r w:rsidRPr="257BFE88" w:rsidR="257BFE88">
              <w:rPr>
                <w:rStyle w:val="Hyperlink"/>
              </w:rPr>
              <w:t>12</w:t>
            </w:r>
            <w:r>
              <w:fldChar w:fldCharType="end"/>
            </w:r>
          </w:hyperlink>
        </w:p>
        <w:p w:rsidRPr="003137A2" w:rsidR="003137A2" w:rsidP="257BFE88" w:rsidRDefault="003137A2" w14:paraId="74C6CD68" w14:textId="5C9225B0">
          <w:pPr>
            <w:pStyle w:val="TOC3"/>
            <w:tabs>
              <w:tab w:val="right" w:leader="dot" w:pos="9015"/>
            </w:tabs>
            <w:rPr>
              <w:rFonts w:eastAsia="" w:eastAsiaTheme="minorEastAsia"/>
              <w:noProof/>
              <w:lang w:eastAsia="en-GB"/>
            </w:rPr>
          </w:pPr>
          <w:hyperlink w:anchor="_Toc331523277">
            <w:r w:rsidRPr="257BFE88" w:rsidR="257BFE88">
              <w:rPr>
                <w:rStyle w:val="Hyperlink"/>
              </w:rPr>
              <w:t>3.3.2 Analytical Approach</w:t>
            </w:r>
            <w:r>
              <w:tab/>
            </w:r>
            <w:r>
              <w:fldChar w:fldCharType="begin"/>
            </w:r>
            <w:r>
              <w:instrText xml:space="preserve">PAGEREF _Toc331523277 \h</w:instrText>
            </w:r>
            <w:r>
              <w:fldChar w:fldCharType="separate"/>
            </w:r>
            <w:r w:rsidRPr="257BFE88" w:rsidR="257BFE88">
              <w:rPr>
                <w:rStyle w:val="Hyperlink"/>
              </w:rPr>
              <w:t>12</w:t>
            </w:r>
            <w:r>
              <w:fldChar w:fldCharType="end"/>
            </w:r>
          </w:hyperlink>
        </w:p>
        <w:p w:rsidRPr="003137A2" w:rsidR="003137A2" w:rsidP="257BFE88" w:rsidRDefault="003137A2" w14:paraId="09C307CB" w14:textId="2C70B64F">
          <w:pPr>
            <w:pStyle w:val="TOC3"/>
            <w:tabs>
              <w:tab w:val="right" w:leader="dot" w:pos="9015"/>
            </w:tabs>
            <w:rPr>
              <w:rFonts w:eastAsia="" w:eastAsiaTheme="minorEastAsia"/>
              <w:noProof/>
              <w:lang w:eastAsia="en-GB"/>
            </w:rPr>
          </w:pPr>
          <w:hyperlink w:anchor="_Toc351825224">
            <w:r w:rsidRPr="257BFE88" w:rsidR="257BFE88">
              <w:rPr>
                <w:rStyle w:val="Hyperlink"/>
              </w:rPr>
              <w:t>3.3.3 Findings from the Case Study Analysis</w:t>
            </w:r>
            <w:r>
              <w:tab/>
            </w:r>
            <w:r>
              <w:fldChar w:fldCharType="begin"/>
            </w:r>
            <w:r>
              <w:instrText xml:space="preserve">PAGEREF _Toc351825224 \h</w:instrText>
            </w:r>
            <w:r>
              <w:fldChar w:fldCharType="separate"/>
            </w:r>
            <w:r w:rsidRPr="257BFE88" w:rsidR="257BFE88">
              <w:rPr>
                <w:rStyle w:val="Hyperlink"/>
              </w:rPr>
              <w:t>12</w:t>
            </w:r>
            <w:r>
              <w:fldChar w:fldCharType="end"/>
            </w:r>
          </w:hyperlink>
        </w:p>
        <w:p w:rsidRPr="003137A2" w:rsidR="003137A2" w:rsidP="257BFE88" w:rsidRDefault="003137A2" w14:paraId="1A0EB7B6" w14:textId="5F9E316F">
          <w:pPr>
            <w:pStyle w:val="TOC2"/>
            <w:tabs>
              <w:tab w:val="right" w:leader="dot" w:pos="9015"/>
            </w:tabs>
            <w:rPr>
              <w:rFonts w:eastAsia="" w:eastAsiaTheme="minorEastAsia"/>
              <w:noProof/>
              <w:lang w:eastAsia="en-GB"/>
            </w:rPr>
          </w:pPr>
          <w:hyperlink w:anchor="_Toc1054232548">
            <w:r w:rsidRPr="257BFE88" w:rsidR="257BFE88">
              <w:rPr>
                <w:rStyle w:val="Hyperlink"/>
              </w:rPr>
              <w:t>3.4 Integration of Methods</w:t>
            </w:r>
            <w:r>
              <w:tab/>
            </w:r>
            <w:r>
              <w:fldChar w:fldCharType="begin"/>
            </w:r>
            <w:r>
              <w:instrText xml:space="preserve">PAGEREF _Toc1054232548 \h</w:instrText>
            </w:r>
            <w:r>
              <w:fldChar w:fldCharType="separate"/>
            </w:r>
            <w:r w:rsidRPr="257BFE88" w:rsidR="257BFE88">
              <w:rPr>
                <w:rStyle w:val="Hyperlink"/>
              </w:rPr>
              <w:t>13</w:t>
            </w:r>
            <w:r>
              <w:fldChar w:fldCharType="end"/>
            </w:r>
          </w:hyperlink>
        </w:p>
        <w:p w:rsidRPr="003137A2" w:rsidR="003137A2" w:rsidP="257BFE88" w:rsidRDefault="003137A2" w14:paraId="41AA871A" w14:textId="3009CBD4">
          <w:pPr>
            <w:pStyle w:val="TOC2"/>
            <w:tabs>
              <w:tab w:val="right" w:leader="dot" w:pos="9015"/>
            </w:tabs>
            <w:rPr>
              <w:rFonts w:eastAsia="" w:eastAsiaTheme="minorEastAsia"/>
              <w:noProof/>
              <w:lang w:eastAsia="en-GB"/>
            </w:rPr>
          </w:pPr>
          <w:hyperlink w:anchor="_Toc165521722">
            <w:r w:rsidRPr="257BFE88" w:rsidR="257BFE88">
              <w:rPr>
                <w:rStyle w:val="Hyperlink"/>
              </w:rPr>
              <w:t>3.5 Methodological Weaknesses</w:t>
            </w:r>
            <w:r>
              <w:tab/>
            </w:r>
            <w:r>
              <w:fldChar w:fldCharType="begin"/>
            </w:r>
            <w:r>
              <w:instrText xml:space="preserve">PAGEREF _Toc165521722 \h</w:instrText>
            </w:r>
            <w:r>
              <w:fldChar w:fldCharType="separate"/>
            </w:r>
            <w:r w:rsidRPr="257BFE88" w:rsidR="257BFE88">
              <w:rPr>
                <w:rStyle w:val="Hyperlink"/>
              </w:rPr>
              <w:t>13</w:t>
            </w:r>
            <w:r>
              <w:fldChar w:fldCharType="end"/>
            </w:r>
          </w:hyperlink>
        </w:p>
        <w:p w:rsidRPr="003137A2" w:rsidR="003137A2" w:rsidP="257BFE88" w:rsidRDefault="003137A2" w14:paraId="460DBCF2" w14:textId="539A4930">
          <w:pPr>
            <w:pStyle w:val="TOC2"/>
            <w:tabs>
              <w:tab w:val="right" w:leader="dot" w:pos="9015"/>
            </w:tabs>
            <w:rPr>
              <w:rFonts w:eastAsia="" w:eastAsiaTheme="minorEastAsia"/>
              <w:noProof/>
              <w:lang w:eastAsia="en-GB"/>
            </w:rPr>
          </w:pPr>
          <w:hyperlink w:anchor="_Toc2049975818">
            <w:r w:rsidRPr="257BFE88" w:rsidR="257BFE88">
              <w:rPr>
                <w:rStyle w:val="Hyperlink"/>
              </w:rPr>
              <w:t>3.6 Summary</w:t>
            </w:r>
            <w:r>
              <w:tab/>
            </w:r>
            <w:r>
              <w:fldChar w:fldCharType="begin"/>
            </w:r>
            <w:r>
              <w:instrText xml:space="preserve">PAGEREF _Toc2049975818 \h</w:instrText>
            </w:r>
            <w:r>
              <w:fldChar w:fldCharType="separate"/>
            </w:r>
            <w:r w:rsidRPr="257BFE88" w:rsidR="257BFE88">
              <w:rPr>
                <w:rStyle w:val="Hyperlink"/>
              </w:rPr>
              <w:t>14</w:t>
            </w:r>
            <w:r>
              <w:fldChar w:fldCharType="end"/>
            </w:r>
          </w:hyperlink>
        </w:p>
        <w:p w:rsidRPr="003137A2" w:rsidR="003137A2" w:rsidP="257BFE88" w:rsidRDefault="003137A2" w14:paraId="18167B37" w14:textId="2D96E5E2">
          <w:pPr>
            <w:pStyle w:val="TOC1"/>
            <w:tabs>
              <w:tab w:val="right" w:leader="dot" w:pos="9015"/>
            </w:tabs>
            <w:rPr>
              <w:rFonts w:eastAsia="" w:eastAsiaTheme="minorEastAsia"/>
              <w:noProof/>
              <w:lang w:eastAsia="en-GB"/>
            </w:rPr>
          </w:pPr>
          <w:hyperlink w:anchor="_Toc916006965">
            <w:r w:rsidRPr="257BFE88" w:rsidR="257BFE88">
              <w:rPr>
                <w:rStyle w:val="Hyperlink"/>
              </w:rPr>
              <w:t>4. Findings and Analysis</w:t>
            </w:r>
            <w:r>
              <w:tab/>
            </w:r>
            <w:r>
              <w:fldChar w:fldCharType="begin"/>
            </w:r>
            <w:r>
              <w:instrText xml:space="preserve">PAGEREF _Toc916006965 \h</w:instrText>
            </w:r>
            <w:r>
              <w:fldChar w:fldCharType="separate"/>
            </w:r>
            <w:r w:rsidRPr="257BFE88" w:rsidR="257BFE88">
              <w:rPr>
                <w:rStyle w:val="Hyperlink"/>
              </w:rPr>
              <w:t>14</w:t>
            </w:r>
            <w:r>
              <w:fldChar w:fldCharType="end"/>
            </w:r>
          </w:hyperlink>
        </w:p>
        <w:p w:rsidRPr="003137A2" w:rsidR="003137A2" w:rsidP="257BFE88" w:rsidRDefault="003137A2" w14:paraId="3181A4A7" w14:textId="03B02D3C">
          <w:pPr>
            <w:pStyle w:val="TOC2"/>
            <w:tabs>
              <w:tab w:val="right" w:leader="dot" w:pos="9015"/>
            </w:tabs>
            <w:rPr>
              <w:rFonts w:eastAsia="" w:eastAsiaTheme="minorEastAsia"/>
              <w:noProof/>
              <w:lang w:eastAsia="en-GB"/>
            </w:rPr>
          </w:pPr>
          <w:hyperlink w:anchor="_Toc2002750667">
            <w:r w:rsidRPr="257BFE88" w:rsidR="257BFE88">
              <w:rPr>
                <w:rStyle w:val="Hyperlink"/>
              </w:rPr>
              <w:t>4.1 Quantitative Findings</w:t>
            </w:r>
            <w:r>
              <w:tab/>
            </w:r>
            <w:r>
              <w:fldChar w:fldCharType="begin"/>
            </w:r>
            <w:r>
              <w:instrText xml:space="preserve">PAGEREF _Toc2002750667 \h</w:instrText>
            </w:r>
            <w:r>
              <w:fldChar w:fldCharType="separate"/>
            </w:r>
            <w:r w:rsidRPr="257BFE88" w:rsidR="257BFE88">
              <w:rPr>
                <w:rStyle w:val="Hyperlink"/>
              </w:rPr>
              <w:t>14</w:t>
            </w:r>
            <w:r>
              <w:fldChar w:fldCharType="end"/>
            </w:r>
          </w:hyperlink>
        </w:p>
        <w:p w:rsidRPr="003137A2" w:rsidR="003137A2" w:rsidP="257BFE88" w:rsidRDefault="003137A2" w14:paraId="559672EF" w14:textId="0114727A">
          <w:pPr>
            <w:pStyle w:val="TOC3"/>
            <w:tabs>
              <w:tab w:val="right" w:leader="dot" w:pos="9015"/>
            </w:tabs>
            <w:rPr>
              <w:rFonts w:eastAsia="" w:eastAsiaTheme="minorEastAsia"/>
              <w:noProof/>
              <w:lang w:eastAsia="en-GB"/>
            </w:rPr>
          </w:pPr>
          <w:hyperlink w:anchor="_Toc1361901597">
            <w:r w:rsidRPr="257BFE88" w:rsidR="257BFE88">
              <w:rPr>
                <w:rStyle w:val="Hyperlink"/>
              </w:rPr>
              <w:t>4.1.1 Overview of Quantitative analysis</w:t>
            </w:r>
            <w:r>
              <w:tab/>
            </w:r>
            <w:r>
              <w:fldChar w:fldCharType="begin"/>
            </w:r>
            <w:r>
              <w:instrText xml:space="preserve">PAGEREF _Toc1361901597 \h</w:instrText>
            </w:r>
            <w:r>
              <w:fldChar w:fldCharType="separate"/>
            </w:r>
            <w:r w:rsidRPr="257BFE88" w:rsidR="257BFE88">
              <w:rPr>
                <w:rStyle w:val="Hyperlink"/>
              </w:rPr>
              <w:t>14</w:t>
            </w:r>
            <w:r>
              <w:fldChar w:fldCharType="end"/>
            </w:r>
          </w:hyperlink>
        </w:p>
        <w:p w:rsidRPr="003137A2" w:rsidR="003137A2" w:rsidP="257BFE88" w:rsidRDefault="003137A2" w14:paraId="07C4139E" w14:textId="37170F31">
          <w:pPr>
            <w:pStyle w:val="TOC3"/>
            <w:tabs>
              <w:tab w:val="right" w:leader="dot" w:pos="9015"/>
            </w:tabs>
            <w:rPr>
              <w:rFonts w:eastAsia="" w:eastAsiaTheme="minorEastAsia"/>
              <w:noProof/>
              <w:lang w:eastAsia="en-GB"/>
            </w:rPr>
          </w:pPr>
          <w:hyperlink w:anchor="_Toc256906928">
            <w:r w:rsidRPr="257BFE88" w:rsidR="257BFE88">
              <w:rPr>
                <w:rStyle w:val="Hyperlink"/>
              </w:rPr>
              <w:t>4.1.2 ESG Ratings as an Independent Signal</w:t>
            </w:r>
            <w:r>
              <w:tab/>
            </w:r>
            <w:r>
              <w:fldChar w:fldCharType="begin"/>
            </w:r>
            <w:r>
              <w:instrText xml:space="preserve">PAGEREF _Toc256906928 \h</w:instrText>
            </w:r>
            <w:r>
              <w:fldChar w:fldCharType="separate"/>
            </w:r>
            <w:r w:rsidRPr="257BFE88" w:rsidR="257BFE88">
              <w:rPr>
                <w:rStyle w:val="Hyperlink"/>
              </w:rPr>
              <w:t>15</w:t>
            </w:r>
            <w:r>
              <w:fldChar w:fldCharType="end"/>
            </w:r>
          </w:hyperlink>
        </w:p>
        <w:p w:rsidRPr="003137A2" w:rsidR="003137A2" w:rsidP="257BFE88" w:rsidRDefault="003137A2" w14:paraId="0831513E" w14:textId="0DE813F0">
          <w:pPr>
            <w:pStyle w:val="TOC3"/>
            <w:tabs>
              <w:tab w:val="right" w:leader="dot" w:pos="9015"/>
            </w:tabs>
            <w:rPr>
              <w:rFonts w:eastAsia="" w:eastAsiaTheme="minorEastAsia"/>
              <w:noProof/>
              <w:lang w:eastAsia="en-GB"/>
            </w:rPr>
          </w:pPr>
          <w:hyperlink w:anchor="_Toc684655252">
            <w:r w:rsidRPr="257BFE88" w:rsidR="257BFE88">
              <w:rPr>
                <w:rStyle w:val="Hyperlink"/>
              </w:rPr>
              <w:t>4.1.3 Stock Market Performance (Returns and Volatility)</w:t>
            </w:r>
            <w:r>
              <w:tab/>
            </w:r>
            <w:r>
              <w:fldChar w:fldCharType="begin"/>
            </w:r>
            <w:r>
              <w:instrText xml:space="preserve">PAGEREF _Toc684655252 \h</w:instrText>
            </w:r>
            <w:r>
              <w:fldChar w:fldCharType="separate"/>
            </w:r>
            <w:r w:rsidRPr="257BFE88" w:rsidR="257BFE88">
              <w:rPr>
                <w:rStyle w:val="Hyperlink"/>
              </w:rPr>
              <w:t>16</w:t>
            </w:r>
            <w:r>
              <w:fldChar w:fldCharType="end"/>
            </w:r>
          </w:hyperlink>
        </w:p>
        <w:p w:rsidRPr="003137A2" w:rsidR="003137A2" w:rsidP="257BFE88" w:rsidRDefault="003137A2" w14:paraId="67067DE1" w14:textId="6A437D25">
          <w:pPr>
            <w:pStyle w:val="TOC3"/>
            <w:tabs>
              <w:tab w:val="right" w:leader="dot" w:pos="9015"/>
            </w:tabs>
            <w:rPr>
              <w:rFonts w:eastAsia="" w:eastAsiaTheme="minorEastAsia"/>
              <w:noProof/>
              <w:lang w:eastAsia="en-GB"/>
            </w:rPr>
          </w:pPr>
          <w:hyperlink w:anchor="_Toc1007440361">
            <w:r w:rsidRPr="257BFE88" w:rsidR="257BFE88">
              <w:rPr>
                <w:rStyle w:val="Hyperlink"/>
              </w:rPr>
              <w:t>4.1.4 Profitability as an Indicator</w:t>
            </w:r>
            <w:r>
              <w:tab/>
            </w:r>
            <w:r>
              <w:fldChar w:fldCharType="begin"/>
            </w:r>
            <w:r>
              <w:instrText xml:space="preserve">PAGEREF _Toc1007440361 \h</w:instrText>
            </w:r>
            <w:r>
              <w:fldChar w:fldCharType="separate"/>
            </w:r>
            <w:r w:rsidRPr="257BFE88" w:rsidR="257BFE88">
              <w:rPr>
                <w:rStyle w:val="Hyperlink"/>
              </w:rPr>
              <w:t>17</w:t>
            </w:r>
            <w:r>
              <w:fldChar w:fldCharType="end"/>
            </w:r>
          </w:hyperlink>
        </w:p>
        <w:p w:rsidRPr="003137A2" w:rsidR="003137A2" w:rsidP="257BFE88" w:rsidRDefault="003137A2" w14:paraId="7F181014" w14:textId="31F6DD07">
          <w:pPr>
            <w:pStyle w:val="TOC3"/>
            <w:tabs>
              <w:tab w:val="right" w:leader="dot" w:pos="9015"/>
            </w:tabs>
            <w:rPr>
              <w:rFonts w:eastAsia="" w:eastAsiaTheme="minorEastAsia"/>
              <w:noProof/>
              <w:lang w:eastAsia="en-GB"/>
            </w:rPr>
          </w:pPr>
          <w:hyperlink w:anchor="_Toc881656734">
            <w:r w:rsidRPr="257BFE88" w:rsidR="257BFE88">
              <w:rPr>
                <w:rStyle w:val="Hyperlink"/>
              </w:rPr>
              <w:t>4.1.5 Summary of quantitative evidence from comparative analysis of Tesla and Exxon Mobil</w:t>
            </w:r>
            <w:r>
              <w:tab/>
            </w:r>
            <w:r>
              <w:fldChar w:fldCharType="begin"/>
            </w:r>
            <w:r>
              <w:instrText xml:space="preserve">PAGEREF _Toc881656734 \h</w:instrText>
            </w:r>
            <w:r>
              <w:fldChar w:fldCharType="separate"/>
            </w:r>
            <w:r w:rsidRPr="257BFE88" w:rsidR="257BFE88">
              <w:rPr>
                <w:rStyle w:val="Hyperlink"/>
              </w:rPr>
              <w:t>18</w:t>
            </w:r>
            <w:r>
              <w:fldChar w:fldCharType="end"/>
            </w:r>
          </w:hyperlink>
        </w:p>
        <w:p w:rsidRPr="003137A2" w:rsidR="003137A2" w:rsidP="257BFE88" w:rsidRDefault="003137A2" w14:paraId="592DCC52" w14:textId="4ECE254A">
          <w:pPr>
            <w:pStyle w:val="TOC3"/>
            <w:tabs>
              <w:tab w:val="right" w:leader="dot" w:pos="9015"/>
            </w:tabs>
            <w:rPr>
              <w:rFonts w:eastAsia="" w:eastAsiaTheme="minorEastAsia"/>
              <w:noProof/>
              <w:lang w:eastAsia="en-GB"/>
            </w:rPr>
          </w:pPr>
          <w:hyperlink w:anchor="_Toc1198252140">
            <w:r w:rsidRPr="257BFE88" w:rsidR="257BFE88">
              <w:rPr>
                <w:rStyle w:val="Hyperlink"/>
              </w:rPr>
              <w:t>4.1.6 Market Level ESG Investment Trends</w:t>
            </w:r>
            <w:r>
              <w:tab/>
            </w:r>
            <w:r>
              <w:fldChar w:fldCharType="begin"/>
            </w:r>
            <w:r>
              <w:instrText xml:space="preserve">PAGEREF _Toc1198252140 \h</w:instrText>
            </w:r>
            <w:r>
              <w:fldChar w:fldCharType="separate"/>
            </w:r>
            <w:r w:rsidRPr="257BFE88" w:rsidR="257BFE88">
              <w:rPr>
                <w:rStyle w:val="Hyperlink"/>
              </w:rPr>
              <w:t>18</w:t>
            </w:r>
            <w:r>
              <w:fldChar w:fldCharType="end"/>
            </w:r>
          </w:hyperlink>
        </w:p>
        <w:p w:rsidRPr="003137A2" w:rsidR="003137A2" w:rsidP="257BFE88" w:rsidRDefault="003137A2" w14:paraId="4D0445C6" w14:textId="2C37B838">
          <w:pPr>
            <w:pStyle w:val="TOC2"/>
            <w:tabs>
              <w:tab w:val="right" w:leader="dot" w:pos="9015"/>
            </w:tabs>
            <w:rPr>
              <w:rFonts w:eastAsia="" w:eastAsiaTheme="minorEastAsia"/>
              <w:noProof/>
              <w:lang w:eastAsia="en-GB"/>
            </w:rPr>
          </w:pPr>
          <w:hyperlink w:anchor="_Toc1270660519">
            <w:r w:rsidRPr="257BFE88" w:rsidR="257BFE88">
              <w:rPr>
                <w:rStyle w:val="Hyperlink"/>
              </w:rPr>
              <w:t>4.2 Qualitative Findings</w:t>
            </w:r>
            <w:r>
              <w:tab/>
            </w:r>
            <w:r>
              <w:fldChar w:fldCharType="begin"/>
            </w:r>
            <w:r>
              <w:instrText xml:space="preserve">PAGEREF _Toc1270660519 \h</w:instrText>
            </w:r>
            <w:r>
              <w:fldChar w:fldCharType="separate"/>
            </w:r>
            <w:r w:rsidRPr="257BFE88" w:rsidR="257BFE88">
              <w:rPr>
                <w:rStyle w:val="Hyperlink"/>
              </w:rPr>
              <w:t>22</w:t>
            </w:r>
            <w:r>
              <w:fldChar w:fldCharType="end"/>
            </w:r>
          </w:hyperlink>
        </w:p>
        <w:p w:rsidRPr="003137A2" w:rsidR="003137A2" w:rsidP="257BFE88" w:rsidRDefault="003137A2" w14:paraId="37F58A8E" w14:textId="29A93597">
          <w:pPr>
            <w:pStyle w:val="TOC3"/>
            <w:tabs>
              <w:tab w:val="right" w:leader="dot" w:pos="9015"/>
            </w:tabs>
            <w:rPr>
              <w:rFonts w:eastAsia="" w:eastAsiaTheme="minorEastAsia"/>
              <w:noProof/>
              <w:lang w:eastAsia="en-GB"/>
            </w:rPr>
          </w:pPr>
          <w:hyperlink w:anchor="_Toc78280217">
            <w:r w:rsidRPr="257BFE88" w:rsidR="257BFE88">
              <w:rPr>
                <w:rStyle w:val="Hyperlink"/>
              </w:rPr>
              <w:t>4.2.1 Overview of Qualitative Themes</w:t>
            </w:r>
            <w:r>
              <w:tab/>
            </w:r>
            <w:r>
              <w:fldChar w:fldCharType="begin"/>
            </w:r>
            <w:r>
              <w:instrText xml:space="preserve">PAGEREF _Toc78280217 \h</w:instrText>
            </w:r>
            <w:r>
              <w:fldChar w:fldCharType="separate"/>
            </w:r>
            <w:r w:rsidRPr="257BFE88" w:rsidR="257BFE88">
              <w:rPr>
                <w:rStyle w:val="Hyperlink"/>
              </w:rPr>
              <w:t>22</w:t>
            </w:r>
            <w:r>
              <w:fldChar w:fldCharType="end"/>
            </w:r>
          </w:hyperlink>
        </w:p>
        <w:p w:rsidRPr="003137A2" w:rsidR="003137A2" w:rsidP="257BFE88" w:rsidRDefault="003137A2" w14:paraId="61D14A51" w14:textId="30B0B3E1">
          <w:pPr>
            <w:pStyle w:val="TOC3"/>
            <w:tabs>
              <w:tab w:val="right" w:leader="dot" w:pos="9015"/>
            </w:tabs>
            <w:rPr>
              <w:rFonts w:eastAsia="" w:eastAsiaTheme="minorEastAsia"/>
              <w:noProof/>
              <w:lang w:eastAsia="en-GB"/>
            </w:rPr>
          </w:pPr>
          <w:hyperlink w:anchor="_Toc1788851531">
            <w:r w:rsidRPr="257BFE88" w:rsidR="257BFE88">
              <w:rPr>
                <w:rStyle w:val="Hyperlink"/>
              </w:rPr>
              <w:t>4.2.2 BlackRock’s Use of Third Party ESG Data</w:t>
            </w:r>
            <w:r>
              <w:tab/>
            </w:r>
            <w:r>
              <w:fldChar w:fldCharType="begin"/>
            </w:r>
            <w:r>
              <w:instrText xml:space="preserve">PAGEREF _Toc1788851531 \h</w:instrText>
            </w:r>
            <w:r>
              <w:fldChar w:fldCharType="separate"/>
            </w:r>
            <w:r w:rsidRPr="257BFE88" w:rsidR="257BFE88">
              <w:rPr>
                <w:rStyle w:val="Hyperlink"/>
              </w:rPr>
              <w:t>22</w:t>
            </w:r>
            <w:r>
              <w:fldChar w:fldCharType="end"/>
            </w:r>
          </w:hyperlink>
        </w:p>
        <w:p w:rsidRPr="003137A2" w:rsidR="003137A2" w:rsidP="257BFE88" w:rsidRDefault="003137A2" w14:paraId="351CF25F" w14:textId="68B2ECEA">
          <w:pPr>
            <w:pStyle w:val="TOC3"/>
            <w:tabs>
              <w:tab w:val="right" w:leader="dot" w:pos="9015"/>
            </w:tabs>
            <w:rPr>
              <w:rFonts w:eastAsia="" w:eastAsiaTheme="minorEastAsia"/>
              <w:noProof/>
              <w:lang w:eastAsia="en-GB"/>
            </w:rPr>
          </w:pPr>
          <w:hyperlink w:anchor="_Toc431872161">
            <w:r w:rsidRPr="257BFE88" w:rsidR="257BFE88">
              <w:rPr>
                <w:rStyle w:val="Hyperlink"/>
              </w:rPr>
              <w:t>4.2.3 Governance interpretation and the Limits of ESG Scores</w:t>
            </w:r>
            <w:r>
              <w:tab/>
            </w:r>
            <w:r>
              <w:fldChar w:fldCharType="begin"/>
            </w:r>
            <w:r>
              <w:instrText xml:space="preserve">PAGEREF _Toc431872161 \h</w:instrText>
            </w:r>
            <w:r>
              <w:fldChar w:fldCharType="separate"/>
            </w:r>
            <w:r w:rsidRPr="257BFE88" w:rsidR="257BFE88">
              <w:rPr>
                <w:rStyle w:val="Hyperlink"/>
              </w:rPr>
              <w:t>23</w:t>
            </w:r>
            <w:r>
              <w:fldChar w:fldCharType="end"/>
            </w:r>
          </w:hyperlink>
        </w:p>
        <w:p w:rsidRPr="003137A2" w:rsidR="003137A2" w:rsidP="257BFE88" w:rsidRDefault="003137A2" w14:paraId="328B0466" w14:textId="14C8B43E">
          <w:pPr>
            <w:pStyle w:val="TOC3"/>
            <w:tabs>
              <w:tab w:val="right" w:leader="dot" w:pos="9015"/>
            </w:tabs>
            <w:rPr>
              <w:rFonts w:eastAsia="" w:eastAsiaTheme="minorEastAsia"/>
              <w:noProof/>
              <w:lang w:eastAsia="en-GB"/>
            </w:rPr>
          </w:pPr>
          <w:hyperlink w:anchor="_Toc745143249">
            <w:r w:rsidRPr="257BFE88" w:rsidR="257BFE88">
              <w:rPr>
                <w:rStyle w:val="Hyperlink"/>
              </w:rPr>
              <w:t>4.2.4 Market Indicators and Investment Flows</w:t>
            </w:r>
            <w:r>
              <w:tab/>
            </w:r>
            <w:r>
              <w:fldChar w:fldCharType="begin"/>
            </w:r>
            <w:r>
              <w:instrText xml:space="preserve">PAGEREF _Toc745143249 \h</w:instrText>
            </w:r>
            <w:r>
              <w:fldChar w:fldCharType="separate"/>
            </w:r>
            <w:r w:rsidRPr="257BFE88" w:rsidR="257BFE88">
              <w:rPr>
                <w:rStyle w:val="Hyperlink"/>
              </w:rPr>
              <w:t>23</w:t>
            </w:r>
            <w:r>
              <w:fldChar w:fldCharType="end"/>
            </w:r>
          </w:hyperlink>
        </w:p>
        <w:p w:rsidRPr="003137A2" w:rsidR="003137A2" w:rsidP="257BFE88" w:rsidRDefault="003137A2" w14:paraId="1A348763" w14:textId="372C4E40">
          <w:pPr>
            <w:pStyle w:val="TOC2"/>
            <w:tabs>
              <w:tab w:val="right" w:leader="dot" w:pos="9015"/>
            </w:tabs>
            <w:rPr>
              <w:rFonts w:eastAsia="" w:eastAsiaTheme="minorEastAsia"/>
              <w:noProof/>
              <w:lang w:eastAsia="en-GB"/>
            </w:rPr>
          </w:pPr>
          <w:hyperlink w:anchor="_Toc69613858">
            <w:r w:rsidRPr="257BFE88" w:rsidR="257BFE88">
              <w:rPr>
                <w:rStyle w:val="Hyperlink"/>
              </w:rPr>
              <w:t>4.3 Integrated Interpretation of Findings</w:t>
            </w:r>
            <w:r>
              <w:tab/>
            </w:r>
            <w:r>
              <w:fldChar w:fldCharType="begin"/>
            </w:r>
            <w:r>
              <w:instrText xml:space="preserve">PAGEREF _Toc69613858 \h</w:instrText>
            </w:r>
            <w:r>
              <w:fldChar w:fldCharType="separate"/>
            </w:r>
            <w:r w:rsidRPr="257BFE88" w:rsidR="257BFE88">
              <w:rPr>
                <w:rStyle w:val="Hyperlink"/>
              </w:rPr>
              <w:t>23</w:t>
            </w:r>
            <w:r>
              <w:fldChar w:fldCharType="end"/>
            </w:r>
          </w:hyperlink>
        </w:p>
        <w:p w:rsidRPr="003137A2" w:rsidR="003137A2" w:rsidP="257BFE88" w:rsidRDefault="003137A2" w14:paraId="6C3A9BA2" w14:textId="6BFEB36B">
          <w:pPr>
            <w:pStyle w:val="TOC1"/>
            <w:tabs>
              <w:tab w:val="right" w:leader="dot" w:pos="9015"/>
            </w:tabs>
            <w:rPr>
              <w:rFonts w:eastAsia="" w:eastAsiaTheme="minorEastAsia"/>
              <w:noProof/>
              <w:lang w:eastAsia="en-GB"/>
            </w:rPr>
          </w:pPr>
          <w:hyperlink w:anchor="_Toc373256948">
            <w:r w:rsidRPr="257BFE88" w:rsidR="257BFE88">
              <w:rPr>
                <w:rStyle w:val="Hyperlink"/>
              </w:rPr>
              <w:t>5. Discussion and Critical Evaluation</w:t>
            </w:r>
            <w:r>
              <w:tab/>
            </w:r>
            <w:r>
              <w:fldChar w:fldCharType="begin"/>
            </w:r>
            <w:r>
              <w:instrText xml:space="preserve">PAGEREF _Toc373256948 \h</w:instrText>
            </w:r>
            <w:r>
              <w:fldChar w:fldCharType="separate"/>
            </w:r>
            <w:r w:rsidRPr="257BFE88" w:rsidR="257BFE88">
              <w:rPr>
                <w:rStyle w:val="Hyperlink"/>
              </w:rPr>
              <w:t>24</w:t>
            </w:r>
            <w:r>
              <w:fldChar w:fldCharType="end"/>
            </w:r>
          </w:hyperlink>
        </w:p>
        <w:p w:rsidRPr="003137A2" w:rsidR="003137A2" w:rsidP="257BFE88" w:rsidRDefault="003137A2" w14:paraId="1F71784F" w14:textId="5BE08724">
          <w:pPr>
            <w:pStyle w:val="TOC2"/>
            <w:tabs>
              <w:tab w:val="right" w:leader="dot" w:pos="9015"/>
            </w:tabs>
            <w:rPr>
              <w:rFonts w:eastAsia="" w:eastAsiaTheme="minorEastAsia"/>
              <w:noProof/>
              <w:lang w:eastAsia="en-GB"/>
            </w:rPr>
          </w:pPr>
          <w:hyperlink w:anchor="_Toc1928928037">
            <w:r w:rsidRPr="257BFE88" w:rsidR="257BFE88">
              <w:rPr>
                <w:rStyle w:val="Hyperlink"/>
              </w:rPr>
              <w:t>5.1 Interpretation of Findings</w:t>
            </w:r>
            <w:r>
              <w:tab/>
            </w:r>
            <w:r>
              <w:fldChar w:fldCharType="begin"/>
            </w:r>
            <w:r>
              <w:instrText xml:space="preserve">PAGEREF _Toc1928928037 \h</w:instrText>
            </w:r>
            <w:r>
              <w:fldChar w:fldCharType="separate"/>
            </w:r>
            <w:r w:rsidRPr="257BFE88" w:rsidR="257BFE88">
              <w:rPr>
                <w:rStyle w:val="Hyperlink"/>
              </w:rPr>
              <w:t>25</w:t>
            </w:r>
            <w:r>
              <w:fldChar w:fldCharType="end"/>
            </w:r>
          </w:hyperlink>
        </w:p>
        <w:p w:rsidRPr="003137A2" w:rsidR="003137A2" w:rsidP="257BFE88" w:rsidRDefault="003137A2" w14:paraId="5F213C40" w14:textId="7B954222">
          <w:pPr>
            <w:pStyle w:val="TOC2"/>
            <w:tabs>
              <w:tab w:val="right" w:leader="dot" w:pos="9015"/>
            </w:tabs>
            <w:rPr>
              <w:rFonts w:eastAsia="" w:eastAsiaTheme="minorEastAsia"/>
              <w:noProof/>
              <w:lang w:eastAsia="en-GB"/>
            </w:rPr>
          </w:pPr>
          <w:hyperlink w:anchor="_Toc293490165">
            <w:r w:rsidRPr="257BFE88" w:rsidR="257BFE88">
              <w:rPr>
                <w:rStyle w:val="Hyperlink"/>
              </w:rPr>
              <w:t>5.2 Media Influence and the Formation of the Research Question</w:t>
            </w:r>
            <w:r>
              <w:tab/>
            </w:r>
            <w:r>
              <w:fldChar w:fldCharType="begin"/>
            </w:r>
            <w:r>
              <w:instrText xml:space="preserve">PAGEREF _Toc293490165 \h</w:instrText>
            </w:r>
            <w:r>
              <w:fldChar w:fldCharType="separate"/>
            </w:r>
            <w:r w:rsidRPr="257BFE88" w:rsidR="257BFE88">
              <w:rPr>
                <w:rStyle w:val="Hyperlink"/>
              </w:rPr>
              <w:t>25</w:t>
            </w:r>
            <w:r>
              <w:fldChar w:fldCharType="end"/>
            </w:r>
          </w:hyperlink>
        </w:p>
        <w:p w:rsidRPr="003137A2" w:rsidR="003137A2" w:rsidP="257BFE88" w:rsidRDefault="003137A2" w14:paraId="19113D04" w14:textId="646841ED">
          <w:pPr>
            <w:pStyle w:val="TOC2"/>
            <w:tabs>
              <w:tab w:val="right" w:leader="dot" w:pos="9015"/>
            </w:tabs>
            <w:rPr>
              <w:rFonts w:eastAsia="" w:eastAsiaTheme="minorEastAsia"/>
              <w:noProof/>
              <w:lang w:eastAsia="en-GB"/>
            </w:rPr>
          </w:pPr>
          <w:hyperlink w:anchor="_Toc2130746973">
            <w:r w:rsidRPr="257BFE88" w:rsidR="257BFE88">
              <w:rPr>
                <w:rStyle w:val="Hyperlink"/>
              </w:rPr>
              <w:t>5.3 Critical Evaluation of ESG Scoring Consequences</w:t>
            </w:r>
            <w:r>
              <w:tab/>
            </w:r>
            <w:r>
              <w:fldChar w:fldCharType="begin"/>
            </w:r>
            <w:r>
              <w:instrText xml:space="preserve">PAGEREF _Toc2130746973 \h</w:instrText>
            </w:r>
            <w:r>
              <w:fldChar w:fldCharType="separate"/>
            </w:r>
            <w:r w:rsidRPr="257BFE88" w:rsidR="257BFE88">
              <w:rPr>
                <w:rStyle w:val="Hyperlink"/>
              </w:rPr>
              <w:t>26</w:t>
            </w:r>
            <w:r>
              <w:fldChar w:fldCharType="end"/>
            </w:r>
          </w:hyperlink>
        </w:p>
        <w:p w:rsidRPr="003137A2" w:rsidR="003137A2" w:rsidP="257BFE88" w:rsidRDefault="003137A2" w14:paraId="455E8D28" w14:textId="58CD169C">
          <w:pPr>
            <w:pStyle w:val="TOC3"/>
            <w:tabs>
              <w:tab w:val="right" w:leader="dot" w:pos="9015"/>
            </w:tabs>
            <w:rPr>
              <w:rFonts w:eastAsia="" w:eastAsiaTheme="minorEastAsia"/>
              <w:noProof/>
              <w:lang w:eastAsia="en-GB"/>
            </w:rPr>
          </w:pPr>
          <w:hyperlink w:anchor="_Toc1087089803">
            <w:r w:rsidRPr="257BFE88" w:rsidR="257BFE88">
              <w:rPr>
                <w:rStyle w:val="Hyperlink"/>
              </w:rPr>
              <w:t>5.3.1 Inconsistency and Limited Openness</w:t>
            </w:r>
            <w:r>
              <w:tab/>
            </w:r>
            <w:r>
              <w:fldChar w:fldCharType="begin"/>
            </w:r>
            <w:r>
              <w:instrText xml:space="preserve">PAGEREF _Toc1087089803 \h</w:instrText>
            </w:r>
            <w:r>
              <w:fldChar w:fldCharType="separate"/>
            </w:r>
            <w:r w:rsidRPr="257BFE88" w:rsidR="257BFE88">
              <w:rPr>
                <w:rStyle w:val="Hyperlink"/>
              </w:rPr>
              <w:t>26</w:t>
            </w:r>
            <w:r>
              <w:fldChar w:fldCharType="end"/>
            </w:r>
          </w:hyperlink>
        </w:p>
        <w:p w:rsidRPr="003137A2" w:rsidR="003137A2" w:rsidP="257BFE88" w:rsidRDefault="003137A2" w14:paraId="575A150A" w14:textId="04470301">
          <w:pPr>
            <w:pStyle w:val="TOC3"/>
            <w:tabs>
              <w:tab w:val="right" w:leader="dot" w:pos="9015"/>
            </w:tabs>
            <w:rPr>
              <w:rFonts w:eastAsia="" w:eastAsiaTheme="minorEastAsia"/>
              <w:noProof/>
              <w:lang w:eastAsia="en-GB"/>
            </w:rPr>
          </w:pPr>
          <w:hyperlink w:anchor="_Toc1296181734">
            <w:r w:rsidRPr="257BFE88" w:rsidR="257BFE88">
              <w:rPr>
                <w:rStyle w:val="Hyperlink"/>
              </w:rPr>
              <w:t>5.3.2 Mechanical Market Effects</w:t>
            </w:r>
            <w:r>
              <w:tab/>
            </w:r>
            <w:r>
              <w:fldChar w:fldCharType="begin"/>
            </w:r>
            <w:r>
              <w:instrText xml:space="preserve">PAGEREF _Toc1296181734 \h</w:instrText>
            </w:r>
            <w:r>
              <w:fldChar w:fldCharType="separate"/>
            </w:r>
            <w:r w:rsidRPr="257BFE88" w:rsidR="257BFE88">
              <w:rPr>
                <w:rStyle w:val="Hyperlink"/>
              </w:rPr>
              <w:t>26</w:t>
            </w:r>
            <w:r>
              <w:fldChar w:fldCharType="end"/>
            </w:r>
          </w:hyperlink>
        </w:p>
        <w:p w:rsidRPr="003137A2" w:rsidR="003137A2" w:rsidP="257BFE88" w:rsidRDefault="003137A2" w14:paraId="35E614D9" w14:textId="64A07B69">
          <w:pPr>
            <w:pStyle w:val="TOC3"/>
            <w:tabs>
              <w:tab w:val="right" w:leader="dot" w:pos="9015"/>
            </w:tabs>
            <w:rPr>
              <w:rFonts w:eastAsia="" w:eastAsiaTheme="minorEastAsia"/>
              <w:noProof/>
              <w:lang w:eastAsia="en-GB"/>
            </w:rPr>
          </w:pPr>
          <w:hyperlink w:anchor="_Toc1652851548">
            <w:r w:rsidRPr="257BFE88" w:rsidR="257BFE88">
              <w:rPr>
                <w:rStyle w:val="Hyperlink"/>
              </w:rPr>
              <w:t>5.3.3 Risk of Misinterpretation</w:t>
            </w:r>
            <w:r>
              <w:tab/>
            </w:r>
            <w:r>
              <w:fldChar w:fldCharType="begin"/>
            </w:r>
            <w:r>
              <w:instrText xml:space="preserve">PAGEREF _Toc1652851548 \h</w:instrText>
            </w:r>
            <w:r>
              <w:fldChar w:fldCharType="separate"/>
            </w:r>
            <w:r w:rsidRPr="257BFE88" w:rsidR="257BFE88">
              <w:rPr>
                <w:rStyle w:val="Hyperlink"/>
              </w:rPr>
              <w:t>26</w:t>
            </w:r>
            <w:r>
              <w:fldChar w:fldCharType="end"/>
            </w:r>
          </w:hyperlink>
        </w:p>
        <w:p w:rsidRPr="003137A2" w:rsidR="003137A2" w:rsidP="257BFE88" w:rsidRDefault="003137A2" w14:paraId="56BA981B" w14:textId="2C1134E8">
          <w:pPr>
            <w:pStyle w:val="TOC3"/>
            <w:tabs>
              <w:tab w:val="right" w:leader="dot" w:pos="9015"/>
            </w:tabs>
            <w:rPr>
              <w:rFonts w:eastAsia="" w:eastAsiaTheme="minorEastAsia"/>
              <w:noProof/>
              <w:lang w:eastAsia="en-GB"/>
            </w:rPr>
          </w:pPr>
          <w:hyperlink w:anchor="_Toc1759229733">
            <w:r w:rsidRPr="257BFE88" w:rsidR="257BFE88">
              <w:rPr>
                <w:rStyle w:val="Hyperlink"/>
              </w:rPr>
              <w:t>5.3.4 Positive Aspects</w:t>
            </w:r>
            <w:r>
              <w:tab/>
            </w:r>
            <w:r>
              <w:fldChar w:fldCharType="begin"/>
            </w:r>
            <w:r>
              <w:instrText xml:space="preserve">PAGEREF _Toc1759229733 \h</w:instrText>
            </w:r>
            <w:r>
              <w:fldChar w:fldCharType="separate"/>
            </w:r>
            <w:r w:rsidRPr="257BFE88" w:rsidR="257BFE88">
              <w:rPr>
                <w:rStyle w:val="Hyperlink"/>
              </w:rPr>
              <w:t>27</w:t>
            </w:r>
            <w:r>
              <w:fldChar w:fldCharType="end"/>
            </w:r>
          </w:hyperlink>
        </w:p>
        <w:p w:rsidRPr="003137A2" w:rsidR="003137A2" w:rsidP="257BFE88" w:rsidRDefault="003137A2" w14:paraId="4F6A2464" w14:textId="3018D29B">
          <w:pPr>
            <w:pStyle w:val="TOC2"/>
            <w:tabs>
              <w:tab w:val="right" w:leader="dot" w:pos="9015"/>
            </w:tabs>
            <w:rPr>
              <w:rFonts w:eastAsia="" w:eastAsiaTheme="minorEastAsia"/>
              <w:noProof/>
              <w:lang w:eastAsia="en-GB"/>
            </w:rPr>
          </w:pPr>
          <w:hyperlink w:anchor="_Toc178672706">
            <w:r w:rsidRPr="257BFE88" w:rsidR="257BFE88">
              <w:rPr>
                <w:rStyle w:val="Hyperlink"/>
              </w:rPr>
              <w:t>5.4 Influence of Political, Regulatory and Global Contexts</w:t>
            </w:r>
            <w:r>
              <w:tab/>
            </w:r>
            <w:r>
              <w:fldChar w:fldCharType="begin"/>
            </w:r>
            <w:r>
              <w:instrText xml:space="preserve">PAGEREF _Toc178672706 \h</w:instrText>
            </w:r>
            <w:r>
              <w:fldChar w:fldCharType="separate"/>
            </w:r>
            <w:r w:rsidRPr="257BFE88" w:rsidR="257BFE88">
              <w:rPr>
                <w:rStyle w:val="Hyperlink"/>
              </w:rPr>
              <w:t>27</w:t>
            </w:r>
            <w:r>
              <w:fldChar w:fldCharType="end"/>
            </w:r>
          </w:hyperlink>
        </w:p>
        <w:p w:rsidRPr="003137A2" w:rsidR="003137A2" w:rsidP="257BFE88" w:rsidRDefault="003137A2" w14:paraId="3602EF57" w14:textId="539604B7">
          <w:pPr>
            <w:pStyle w:val="TOC3"/>
            <w:tabs>
              <w:tab w:val="right" w:leader="dot" w:pos="9015"/>
            </w:tabs>
            <w:rPr>
              <w:rFonts w:eastAsia="" w:eastAsiaTheme="minorEastAsia"/>
              <w:noProof/>
              <w:lang w:eastAsia="en-GB"/>
            </w:rPr>
          </w:pPr>
          <w:hyperlink w:anchor="_Toc1246968560">
            <w:r w:rsidRPr="257BFE88" w:rsidR="257BFE88">
              <w:rPr>
                <w:rStyle w:val="Hyperlink"/>
              </w:rPr>
              <w:t>5.4.1 Regulatory and Policy Environments</w:t>
            </w:r>
            <w:r>
              <w:tab/>
            </w:r>
            <w:r>
              <w:fldChar w:fldCharType="begin"/>
            </w:r>
            <w:r>
              <w:instrText xml:space="preserve">PAGEREF _Toc1246968560 \h</w:instrText>
            </w:r>
            <w:r>
              <w:fldChar w:fldCharType="separate"/>
            </w:r>
            <w:r w:rsidRPr="257BFE88" w:rsidR="257BFE88">
              <w:rPr>
                <w:rStyle w:val="Hyperlink"/>
              </w:rPr>
              <w:t>27</w:t>
            </w:r>
            <w:r>
              <w:fldChar w:fldCharType="end"/>
            </w:r>
          </w:hyperlink>
        </w:p>
        <w:p w:rsidRPr="003137A2" w:rsidR="003137A2" w:rsidP="257BFE88" w:rsidRDefault="003137A2" w14:paraId="29A49C5F" w14:textId="4EDF7341">
          <w:pPr>
            <w:pStyle w:val="TOC3"/>
            <w:tabs>
              <w:tab w:val="right" w:leader="dot" w:pos="9015"/>
            </w:tabs>
            <w:rPr>
              <w:rFonts w:eastAsia="" w:eastAsiaTheme="minorEastAsia"/>
              <w:noProof/>
              <w:lang w:eastAsia="en-GB"/>
            </w:rPr>
          </w:pPr>
          <w:hyperlink w:anchor="_Toc1861686976">
            <w:r w:rsidRPr="257BFE88" w:rsidR="257BFE88">
              <w:rPr>
                <w:rStyle w:val="Hyperlink"/>
              </w:rPr>
              <w:t>5.4.2 Public Pressure and Ethical Standards</w:t>
            </w:r>
            <w:r>
              <w:tab/>
            </w:r>
            <w:r>
              <w:fldChar w:fldCharType="begin"/>
            </w:r>
            <w:r>
              <w:instrText xml:space="preserve">PAGEREF _Toc1861686976 \h</w:instrText>
            </w:r>
            <w:r>
              <w:fldChar w:fldCharType="separate"/>
            </w:r>
            <w:r w:rsidRPr="257BFE88" w:rsidR="257BFE88">
              <w:rPr>
                <w:rStyle w:val="Hyperlink"/>
              </w:rPr>
              <w:t>29</w:t>
            </w:r>
            <w:r>
              <w:fldChar w:fldCharType="end"/>
            </w:r>
          </w:hyperlink>
        </w:p>
        <w:p w:rsidRPr="003137A2" w:rsidR="003137A2" w:rsidP="257BFE88" w:rsidRDefault="003137A2" w14:paraId="2B0FB218" w14:textId="3E801691">
          <w:pPr>
            <w:pStyle w:val="TOC3"/>
            <w:tabs>
              <w:tab w:val="right" w:leader="dot" w:pos="9015"/>
            </w:tabs>
            <w:rPr>
              <w:rFonts w:eastAsia="" w:eastAsiaTheme="minorEastAsia"/>
              <w:noProof/>
              <w:lang w:eastAsia="en-GB"/>
            </w:rPr>
          </w:pPr>
          <w:hyperlink w:anchor="_Toc1634266774">
            <w:r w:rsidRPr="257BFE88" w:rsidR="257BFE88">
              <w:rPr>
                <w:rStyle w:val="Hyperlink"/>
              </w:rPr>
              <w:t>5.4.3 Global Risks: Corruption, Greenwashing and Market Integrity</w:t>
            </w:r>
            <w:r>
              <w:tab/>
            </w:r>
            <w:r>
              <w:fldChar w:fldCharType="begin"/>
            </w:r>
            <w:r>
              <w:instrText xml:space="preserve">PAGEREF _Toc1634266774 \h</w:instrText>
            </w:r>
            <w:r>
              <w:fldChar w:fldCharType="separate"/>
            </w:r>
            <w:r w:rsidRPr="257BFE88" w:rsidR="257BFE88">
              <w:rPr>
                <w:rStyle w:val="Hyperlink"/>
              </w:rPr>
              <w:t>29</w:t>
            </w:r>
            <w:r>
              <w:fldChar w:fldCharType="end"/>
            </w:r>
          </w:hyperlink>
        </w:p>
        <w:p w:rsidRPr="003137A2" w:rsidR="003137A2" w:rsidP="257BFE88" w:rsidRDefault="003137A2" w14:paraId="1430046F" w14:textId="204F977D">
          <w:pPr>
            <w:pStyle w:val="TOC3"/>
            <w:tabs>
              <w:tab w:val="right" w:leader="dot" w:pos="9015"/>
            </w:tabs>
            <w:rPr>
              <w:rFonts w:eastAsia="" w:eastAsiaTheme="minorEastAsia"/>
              <w:noProof/>
              <w:lang w:eastAsia="en-GB"/>
            </w:rPr>
          </w:pPr>
          <w:hyperlink w:anchor="_Toc517799377">
            <w:r w:rsidRPr="257BFE88" w:rsidR="257BFE88">
              <w:rPr>
                <w:rStyle w:val="Hyperlink"/>
              </w:rPr>
              <w:t>5.4.4 Implications for BlackRock</w:t>
            </w:r>
            <w:r>
              <w:tab/>
            </w:r>
            <w:r>
              <w:fldChar w:fldCharType="begin"/>
            </w:r>
            <w:r>
              <w:instrText xml:space="preserve">PAGEREF _Toc517799377 \h</w:instrText>
            </w:r>
            <w:r>
              <w:fldChar w:fldCharType="separate"/>
            </w:r>
            <w:r w:rsidRPr="257BFE88" w:rsidR="257BFE88">
              <w:rPr>
                <w:rStyle w:val="Hyperlink"/>
              </w:rPr>
              <w:t>30</w:t>
            </w:r>
            <w:r>
              <w:fldChar w:fldCharType="end"/>
            </w:r>
          </w:hyperlink>
        </w:p>
        <w:p w:rsidRPr="003137A2" w:rsidR="003137A2" w:rsidP="257BFE88" w:rsidRDefault="003137A2" w14:paraId="1126D544" w14:textId="4E7D2E4C">
          <w:pPr>
            <w:pStyle w:val="TOC3"/>
            <w:tabs>
              <w:tab w:val="right" w:leader="dot" w:pos="9015"/>
            </w:tabs>
            <w:rPr>
              <w:rFonts w:eastAsia="" w:eastAsiaTheme="minorEastAsia"/>
              <w:noProof/>
              <w:lang w:eastAsia="en-GB"/>
            </w:rPr>
          </w:pPr>
          <w:hyperlink w:anchor="_Toc957567058">
            <w:r w:rsidRPr="257BFE88" w:rsidR="257BFE88">
              <w:rPr>
                <w:rStyle w:val="Hyperlink"/>
              </w:rPr>
              <w:t>5.4.5 Good Business Strategy and Management</w:t>
            </w:r>
            <w:r>
              <w:tab/>
            </w:r>
            <w:r>
              <w:fldChar w:fldCharType="begin"/>
            </w:r>
            <w:r>
              <w:instrText xml:space="preserve">PAGEREF _Toc957567058 \h</w:instrText>
            </w:r>
            <w:r>
              <w:fldChar w:fldCharType="separate"/>
            </w:r>
            <w:r w:rsidRPr="257BFE88" w:rsidR="257BFE88">
              <w:rPr>
                <w:rStyle w:val="Hyperlink"/>
              </w:rPr>
              <w:t>30</w:t>
            </w:r>
            <w:r>
              <w:fldChar w:fldCharType="end"/>
            </w:r>
          </w:hyperlink>
        </w:p>
        <w:p w:rsidRPr="003137A2" w:rsidR="003137A2" w:rsidP="257BFE88" w:rsidRDefault="003137A2" w14:paraId="19D05B5C" w14:textId="3DEC2A76">
          <w:pPr>
            <w:pStyle w:val="TOC3"/>
            <w:tabs>
              <w:tab w:val="right" w:leader="dot" w:pos="9015"/>
            </w:tabs>
            <w:rPr>
              <w:rFonts w:eastAsia="" w:eastAsiaTheme="minorEastAsia"/>
              <w:noProof/>
              <w:lang w:eastAsia="en-GB"/>
            </w:rPr>
          </w:pPr>
          <w:hyperlink w:anchor="_Toc316662990">
            <w:r w:rsidRPr="257BFE88" w:rsidR="257BFE88">
              <w:rPr>
                <w:rStyle w:val="Hyperlink"/>
              </w:rPr>
              <w:t>5.4.6 Summary</w:t>
            </w:r>
            <w:r>
              <w:tab/>
            </w:r>
            <w:r>
              <w:fldChar w:fldCharType="begin"/>
            </w:r>
            <w:r>
              <w:instrText xml:space="preserve">PAGEREF _Toc316662990 \h</w:instrText>
            </w:r>
            <w:r>
              <w:fldChar w:fldCharType="separate"/>
            </w:r>
            <w:r w:rsidRPr="257BFE88" w:rsidR="257BFE88">
              <w:rPr>
                <w:rStyle w:val="Hyperlink"/>
              </w:rPr>
              <w:t>30</w:t>
            </w:r>
            <w:r>
              <w:fldChar w:fldCharType="end"/>
            </w:r>
          </w:hyperlink>
        </w:p>
        <w:p w:rsidRPr="003137A2" w:rsidR="003137A2" w:rsidP="257BFE88" w:rsidRDefault="003137A2" w14:paraId="694DA11A" w14:textId="363B06AE">
          <w:pPr>
            <w:pStyle w:val="TOC2"/>
            <w:tabs>
              <w:tab w:val="right" w:leader="dot" w:pos="9015"/>
            </w:tabs>
            <w:rPr>
              <w:rFonts w:eastAsia="" w:eastAsiaTheme="minorEastAsia"/>
              <w:noProof/>
              <w:lang w:eastAsia="en-GB"/>
            </w:rPr>
          </w:pPr>
          <w:hyperlink w:anchor="_Toc2127847343">
            <w:r w:rsidRPr="257BFE88" w:rsidR="257BFE88">
              <w:rPr>
                <w:rStyle w:val="Hyperlink"/>
              </w:rPr>
              <w:t>5.5 Reflecting on the Research Process</w:t>
            </w:r>
            <w:r>
              <w:tab/>
            </w:r>
            <w:r>
              <w:fldChar w:fldCharType="begin"/>
            </w:r>
            <w:r>
              <w:instrText xml:space="preserve">PAGEREF _Toc2127847343 \h</w:instrText>
            </w:r>
            <w:r>
              <w:fldChar w:fldCharType="separate"/>
            </w:r>
            <w:r w:rsidRPr="257BFE88" w:rsidR="257BFE88">
              <w:rPr>
                <w:rStyle w:val="Hyperlink"/>
              </w:rPr>
              <w:t>31</w:t>
            </w:r>
            <w:r>
              <w:fldChar w:fldCharType="end"/>
            </w:r>
          </w:hyperlink>
        </w:p>
        <w:p w:rsidRPr="003137A2" w:rsidR="003137A2" w:rsidP="257BFE88" w:rsidRDefault="003137A2" w14:paraId="622A43A0" w14:textId="659761BB">
          <w:pPr>
            <w:pStyle w:val="TOC2"/>
            <w:tabs>
              <w:tab w:val="right" w:leader="dot" w:pos="9015"/>
            </w:tabs>
            <w:rPr>
              <w:rFonts w:eastAsia="" w:eastAsiaTheme="minorEastAsia"/>
              <w:noProof/>
              <w:lang w:eastAsia="en-GB"/>
            </w:rPr>
          </w:pPr>
          <w:hyperlink w:anchor="_Toc2069402227">
            <w:r w:rsidRPr="257BFE88" w:rsidR="257BFE88">
              <w:rPr>
                <w:rStyle w:val="Hyperlink"/>
              </w:rPr>
              <w:t>5.6 Personal Learning and Professional Development</w:t>
            </w:r>
            <w:r>
              <w:tab/>
            </w:r>
            <w:r>
              <w:fldChar w:fldCharType="begin"/>
            </w:r>
            <w:r>
              <w:instrText xml:space="preserve">PAGEREF _Toc2069402227 \h</w:instrText>
            </w:r>
            <w:r>
              <w:fldChar w:fldCharType="separate"/>
            </w:r>
            <w:r w:rsidRPr="257BFE88" w:rsidR="257BFE88">
              <w:rPr>
                <w:rStyle w:val="Hyperlink"/>
              </w:rPr>
              <w:t>31</w:t>
            </w:r>
            <w:r>
              <w:fldChar w:fldCharType="end"/>
            </w:r>
          </w:hyperlink>
        </w:p>
        <w:p w:rsidRPr="003137A2" w:rsidR="003137A2" w:rsidP="257BFE88" w:rsidRDefault="003137A2" w14:paraId="0A714185" w14:textId="7A8F7ACA">
          <w:pPr>
            <w:pStyle w:val="TOC1"/>
            <w:tabs>
              <w:tab w:val="right" w:leader="dot" w:pos="9015"/>
            </w:tabs>
            <w:rPr>
              <w:rFonts w:eastAsia="" w:eastAsiaTheme="minorEastAsia"/>
              <w:noProof/>
              <w:lang w:eastAsia="en-GB"/>
            </w:rPr>
          </w:pPr>
          <w:hyperlink w:anchor="_Toc1204800955">
            <w:r w:rsidRPr="257BFE88" w:rsidR="257BFE88">
              <w:rPr>
                <w:rStyle w:val="Hyperlink"/>
              </w:rPr>
              <w:t>6.Conclusion and Recommendations</w:t>
            </w:r>
            <w:r>
              <w:tab/>
            </w:r>
            <w:r>
              <w:fldChar w:fldCharType="begin"/>
            </w:r>
            <w:r>
              <w:instrText xml:space="preserve">PAGEREF _Toc1204800955 \h</w:instrText>
            </w:r>
            <w:r>
              <w:fldChar w:fldCharType="separate"/>
            </w:r>
            <w:r w:rsidRPr="257BFE88" w:rsidR="257BFE88">
              <w:rPr>
                <w:rStyle w:val="Hyperlink"/>
              </w:rPr>
              <w:t>34</w:t>
            </w:r>
            <w:r>
              <w:fldChar w:fldCharType="end"/>
            </w:r>
          </w:hyperlink>
        </w:p>
        <w:p w:rsidRPr="003137A2" w:rsidR="003137A2" w:rsidP="257BFE88" w:rsidRDefault="003137A2" w14:paraId="35EB507A" w14:textId="4B36B2DC">
          <w:pPr>
            <w:pStyle w:val="TOC2"/>
            <w:tabs>
              <w:tab w:val="right" w:leader="dot" w:pos="9015"/>
            </w:tabs>
            <w:rPr>
              <w:rFonts w:eastAsia="" w:eastAsiaTheme="minorEastAsia"/>
              <w:noProof/>
              <w:lang w:eastAsia="en-GB"/>
            </w:rPr>
          </w:pPr>
          <w:hyperlink w:anchor="_Toc432391643">
            <w:r w:rsidRPr="257BFE88" w:rsidR="257BFE88">
              <w:rPr>
                <w:rStyle w:val="Hyperlink"/>
              </w:rPr>
              <w:t>6.1 Conclusion</w:t>
            </w:r>
            <w:r>
              <w:tab/>
            </w:r>
            <w:r>
              <w:fldChar w:fldCharType="begin"/>
            </w:r>
            <w:r>
              <w:instrText xml:space="preserve">PAGEREF _Toc432391643 \h</w:instrText>
            </w:r>
            <w:r>
              <w:fldChar w:fldCharType="separate"/>
            </w:r>
            <w:r w:rsidRPr="257BFE88" w:rsidR="257BFE88">
              <w:rPr>
                <w:rStyle w:val="Hyperlink"/>
              </w:rPr>
              <w:t>34</w:t>
            </w:r>
            <w:r>
              <w:fldChar w:fldCharType="end"/>
            </w:r>
          </w:hyperlink>
        </w:p>
        <w:p w:rsidRPr="003137A2" w:rsidR="003137A2" w:rsidP="257BFE88" w:rsidRDefault="003137A2" w14:paraId="1F7B24E6" w14:textId="5B5821AB">
          <w:pPr>
            <w:pStyle w:val="TOC2"/>
            <w:tabs>
              <w:tab w:val="right" w:leader="dot" w:pos="9015"/>
            </w:tabs>
            <w:rPr>
              <w:rFonts w:eastAsia="" w:eastAsiaTheme="minorEastAsia"/>
              <w:noProof/>
              <w:lang w:eastAsia="en-GB"/>
            </w:rPr>
          </w:pPr>
          <w:hyperlink w:anchor="_Toc1464766749">
            <w:r w:rsidRPr="257BFE88" w:rsidR="257BFE88">
              <w:rPr>
                <w:rStyle w:val="Hyperlink"/>
              </w:rPr>
              <w:t>6.2 Achievement of Learning Objectives</w:t>
            </w:r>
            <w:r>
              <w:tab/>
            </w:r>
            <w:r>
              <w:fldChar w:fldCharType="begin"/>
            </w:r>
            <w:r>
              <w:instrText xml:space="preserve">PAGEREF _Toc1464766749 \h</w:instrText>
            </w:r>
            <w:r>
              <w:fldChar w:fldCharType="separate"/>
            </w:r>
            <w:r w:rsidRPr="257BFE88" w:rsidR="257BFE88">
              <w:rPr>
                <w:rStyle w:val="Hyperlink"/>
              </w:rPr>
              <w:t>35</w:t>
            </w:r>
            <w:r>
              <w:fldChar w:fldCharType="end"/>
            </w:r>
          </w:hyperlink>
        </w:p>
        <w:p w:rsidRPr="003137A2" w:rsidR="003137A2" w:rsidP="257BFE88" w:rsidRDefault="003137A2" w14:paraId="52435775" w14:textId="154B3031">
          <w:pPr>
            <w:pStyle w:val="TOC2"/>
            <w:tabs>
              <w:tab w:val="right" w:leader="dot" w:pos="9015"/>
            </w:tabs>
            <w:rPr>
              <w:rFonts w:eastAsia="" w:eastAsiaTheme="minorEastAsia"/>
              <w:noProof/>
              <w:lang w:eastAsia="en-GB"/>
            </w:rPr>
          </w:pPr>
          <w:hyperlink w:anchor="_Toc1920122815">
            <w:r w:rsidRPr="257BFE88" w:rsidR="257BFE88">
              <w:rPr>
                <w:rStyle w:val="Hyperlink"/>
              </w:rPr>
              <w:t>6.3 Reflections on the Research experience</w:t>
            </w:r>
            <w:r>
              <w:tab/>
            </w:r>
            <w:r>
              <w:fldChar w:fldCharType="begin"/>
            </w:r>
            <w:r>
              <w:instrText xml:space="preserve">PAGEREF _Toc1920122815 \h</w:instrText>
            </w:r>
            <w:r>
              <w:fldChar w:fldCharType="separate"/>
            </w:r>
            <w:r w:rsidRPr="257BFE88" w:rsidR="257BFE88">
              <w:rPr>
                <w:rStyle w:val="Hyperlink"/>
              </w:rPr>
              <w:t>35</w:t>
            </w:r>
            <w:r>
              <w:fldChar w:fldCharType="end"/>
            </w:r>
          </w:hyperlink>
        </w:p>
        <w:p w:rsidRPr="003137A2" w:rsidR="003137A2" w:rsidP="257BFE88" w:rsidRDefault="003137A2" w14:paraId="7C7EFD6A" w14:textId="017F44E9">
          <w:pPr>
            <w:pStyle w:val="TOC2"/>
            <w:tabs>
              <w:tab w:val="right" w:leader="dot" w:pos="9015"/>
            </w:tabs>
            <w:rPr>
              <w:rFonts w:eastAsia="" w:eastAsiaTheme="minorEastAsia"/>
              <w:noProof/>
              <w:lang w:eastAsia="en-GB"/>
            </w:rPr>
          </w:pPr>
          <w:hyperlink w:anchor="_Toc721758177">
            <w:r w:rsidRPr="257BFE88" w:rsidR="257BFE88">
              <w:rPr>
                <w:rStyle w:val="Hyperlink"/>
              </w:rPr>
              <w:t>6.4 Recommendations</w:t>
            </w:r>
            <w:r>
              <w:tab/>
            </w:r>
            <w:r>
              <w:fldChar w:fldCharType="begin"/>
            </w:r>
            <w:r>
              <w:instrText xml:space="preserve">PAGEREF _Toc721758177 \h</w:instrText>
            </w:r>
            <w:r>
              <w:fldChar w:fldCharType="separate"/>
            </w:r>
            <w:r w:rsidRPr="257BFE88" w:rsidR="257BFE88">
              <w:rPr>
                <w:rStyle w:val="Hyperlink"/>
              </w:rPr>
              <w:t>36</w:t>
            </w:r>
            <w:r>
              <w:fldChar w:fldCharType="end"/>
            </w:r>
          </w:hyperlink>
        </w:p>
        <w:p w:rsidRPr="003137A2" w:rsidR="003137A2" w:rsidP="257BFE88" w:rsidRDefault="003137A2" w14:paraId="2ECCCA83" w14:textId="2915F829">
          <w:pPr>
            <w:pStyle w:val="TOC3"/>
            <w:tabs>
              <w:tab w:val="right" w:leader="dot" w:pos="9015"/>
            </w:tabs>
            <w:rPr>
              <w:rFonts w:eastAsia="" w:eastAsiaTheme="minorEastAsia"/>
              <w:noProof/>
              <w:lang w:eastAsia="en-GB"/>
            </w:rPr>
          </w:pPr>
          <w:hyperlink w:anchor="_Toc1302650873">
            <w:r w:rsidRPr="257BFE88" w:rsidR="257BFE88">
              <w:rPr>
                <w:rStyle w:val="Hyperlink"/>
              </w:rPr>
              <w:t>1. Recommendations for Investors and Asset Managers</w:t>
            </w:r>
            <w:r>
              <w:tab/>
            </w:r>
            <w:r>
              <w:fldChar w:fldCharType="begin"/>
            </w:r>
            <w:r>
              <w:instrText xml:space="preserve">PAGEREF _Toc1302650873 \h</w:instrText>
            </w:r>
            <w:r>
              <w:fldChar w:fldCharType="separate"/>
            </w:r>
            <w:r w:rsidRPr="257BFE88" w:rsidR="257BFE88">
              <w:rPr>
                <w:rStyle w:val="Hyperlink"/>
              </w:rPr>
              <w:t>36</w:t>
            </w:r>
            <w:r>
              <w:fldChar w:fldCharType="end"/>
            </w:r>
          </w:hyperlink>
        </w:p>
        <w:p w:rsidRPr="003137A2" w:rsidR="003137A2" w:rsidP="257BFE88" w:rsidRDefault="003137A2" w14:paraId="0181D8F0" w14:textId="30C4016F">
          <w:pPr>
            <w:pStyle w:val="TOC3"/>
            <w:tabs>
              <w:tab w:val="right" w:leader="dot" w:pos="9015"/>
            </w:tabs>
            <w:rPr>
              <w:rFonts w:eastAsia="" w:eastAsiaTheme="minorEastAsia"/>
              <w:noProof/>
              <w:lang w:eastAsia="en-GB"/>
            </w:rPr>
          </w:pPr>
          <w:hyperlink w:anchor="_Toc802556853">
            <w:r w:rsidRPr="257BFE88" w:rsidR="257BFE88">
              <w:rPr>
                <w:rStyle w:val="Hyperlink"/>
              </w:rPr>
              <w:t>2. Recommendations for Governments and Regulators</w:t>
            </w:r>
            <w:r>
              <w:tab/>
            </w:r>
            <w:r>
              <w:fldChar w:fldCharType="begin"/>
            </w:r>
            <w:r>
              <w:instrText xml:space="preserve">PAGEREF _Toc802556853 \h</w:instrText>
            </w:r>
            <w:r>
              <w:fldChar w:fldCharType="separate"/>
            </w:r>
            <w:r w:rsidRPr="257BFE88" w:rsidR="257BFE88">
              <w:rPr>
                <w:rStyle w:val="Hyperlink"/>
              </w:rPr>
              <w:t>37</w:t>
            </w:r>
            <w:r>
              <w:fldChar w:fldCharType="end"/>
            </w:r>
          </w:hyperlink>
        </w:p>
        <w:p w:rsidRPr="003137A2" w:rsidR="003137A2" w:rsidP="257BFE88" w:rsidRDefault="003137A2" w14:paraId="6D6C1E64" w14:textId="171A44CD">
          <w:pPr>
            <w:pStyle w:val="TOC3"/>
            <w:tabs>
              <w:tab w:val="right" w:leader="dot" w:pos="9015"/>
            </w:tabs>
            <w:rPr>
              <w:rFonts w:eastAsia="" w:eastAsiaTheme="minorEastAsia"/>
              <w:noProof/>
              <w:lang w:eastAsia="en-GB"/>
            </w:rPr>
          </w:pPr>
          <w:hyperlink w:anchor="_Toc1856918698">
            <w:r w:rsidRPr="257BFE88" w:rsidR="257BFE88">
              <w:rPr>
                <w:rStyle w:val="Hyperlink"/>
              </w:rPr>
              <w:t>3. Recommendations for Future Research</w:t>
            </w:r>
            <w:r>
              <w:tab/>
            </w:r>
            <w:r>
              <w:fldChar w:fldCharType="begin"/>
            </w:r>
            <w:r>
              <w:instrText xml:space="preserve">PAGEREF _Toc1856918698 \h</w:instrText>
            </w:r>
            <w:r>
              <w:fldChar w:fldCharType="separate"/>
            </w:r>
            <w:r w:rsidRPr="257BFE88" w:rsidR="257BFE88">
              <w:rPr>
                <w:rStyle w:val="Hyperlink"/>
              </w:rPr>
              <w:t>37</w:t>
            </w:r>
            <w:r>
              <w:fldChar w:fldCharType="end"/>
            </w:r>
          </w:hyperlink>
        </w:p>
        <w:p w:rsidRPr="003137A2" w:rsidR="003137A2" w:rsidP="257BFE88" w:rsidRDefault="003137A2" w14:paraId="67D6CCCD" w14:textId="4D7E40DB">
          <w:pPr>
            <w:pStyle w:val="TOC1"/>
            <w:tabs>
              <w:tab w:val="right" w:leader="dot" w:pos="9015"/>
            </w:tabs>
            <w:rPr>
              <w:rFonts w:eastAsia="" w:eastAsiaTheme="minorEastAsia"/>
              <w:noProof/>
              <w:lang w:eastAsia="en-GB"/>
            </w:rPr>
          </w:pPr>
          <w:hyperlink w:anchor="_Toc2000205004">
            <w:r w:rsidRPr="257BFE88" w:rsidR="257BFE88">
              <w:rPr>
                <w:rStyle w:val="Hyperlink"/>
              </w:rPr>
              <w:t>REFERENCE LIST</w:t>
            </w:r>
            <w:r>
              <w:tab/>
            </w:r>
            <w:r>
              <w:fldChar w:fldCharType="begin"/>
            </w:r>
            <w:r>
              <w:instrText xml:space="preserve">PAGEREF _Toc2000205004 \h</w:instrText>
            </w:r>
            <w:r>
              <w:fldChar w:fldCharType="separate"/>
            </w:r>
            <w:r w:rsidRPr="257BFE88" w:rsidR="257BFE88">
              <w:rPr>
                <w:rStyle w:val="Hyperlink"/>
              </w:rPr>
              <w:t>38</w:t>
            </w:r>
            <w:r>
              <w:fldChar w:fldCharType="end"/>
            </w:r>
          </w:hyperlink>
        </w:p>
        <w:p w:rsidRPr="003137A2" w:rsidR="003137A2" w:rsidP="257BFE88" w:rsidRDefault="003137A2" w14:paraId="367BBE33" w14:textId="2CBA4541">
          <w:pPr>
            <w:pStyle w:val="TOC1"/>
            <w:tabs>
              <w:tab w:val="right" w:leader="dot" w:pos="9015"/>
            </w:tabs>
            <w:rPr>
              <w:rFonts w:eastAsia="" w:eastAsiaTheme="minorEastAsia"/>
              <w:noProof/>
              <w:lang w:eastAsia="en-GB"/>
            </w:rPr>
          </w:pPr>
          <w:hyperlink w:anchor="_Toc1188257571">
            <w:r w:rsidRPr="257BFE88" w:rsidR="257BFE88">
              <w:rPr>
                <w:rStyle w:val="Hyperlink"/>
              </w:rPr>
              <w:t>ANNEX</w:t>
            </w:r>
            <w:r>
              <w:tab/>
            </w:r>
            <w:r>
              <w:fldChar w:fldCharType="begin"/>
            </w:r>
            <w:r>
              <w:instrText xml:space="preserve">PAGEREF _Toc1188257571 \h</w:instrText>
            </w:r>
            <w:r>
              <w:fldChar w:fldCharType="separate"/>
            </w:r>
            <w:r w:rsidRPr="257BFE88" w:rsidR="257BFE88">
              <w:rPr>
                <w:rStyle w:val="Hyperlink"/>
              </w:rPr>
              <w:t>50</w:t>
            </w:r>
            <w:r>
              <w:fldChar w:fldCharType="end"/>
            </w:r>
          </w:hyperlink>
        </w:p>
        <w:p w:rsidRPr="003137A2" w:rsidR="003137A2" w:rsidP="003137A2" w:rsidRDefault="003137A2" w14:paraId="443C6951" w14:textId="77777777">
          <w:r w:rsidRPr="257BFE88">
            <w:rPr>
              <w:b w:val="1"/>
              <w:bCs w:val="1"/>
            </w:rPr>
            <w:fldChar w:fldCharType="end"/>
          </w:r>
        </w:p>
      </w:sdtContent>
    </w:sdt>
    <w:p w:rsidR="257BFE88" w:rsidP="257BFE88" w:rsidRDefault="257BFE88" w14:paraId="2E09BB58" w14:textId="4122F4D2">
      <w:pPr>
        <w:pStyle w:val="Normal"/>
        <w:spacing w:before="480" w:after="120" w:line="240" w:lineRule="auto"/>
        <w:outlineLvl w:val="0"/>
        <w:rPr>
          <w:rFonts w:ascii="Aptos Display" w:hAnsi="Aptos Display" w:eastAsia="" w:cs="" w:asciiTheme="majorAscii" w:hAnsiTheme="majorAscii" w:eastAsiaTheme="majorEastAsia" w:cstheme="majorBidi"/>
          <w:color w:val="0F4761" w:themeColor="accent1" w:themeTint="FF" w:themeShade="BF"/>
          <w:sz w:val="40"/>
          <w:szCs w:val="40"/>
        </w:rPr>
      </w:pPr>
    </w:p>
    <w:p w:rsidR="257BFE88" w:rsidP="257BFE88" w:rsidRDefault="257BFE88" w14:paraId="15309C36" w14:textId="65B00895">
      <w:pPr>
        <w:pStyle w:val="Normal"/>
        <w:spacing w:before="480" w:after="120" w:line="240" w:lineRule="auto"/>
        <w:outlineLvl w:val="0"/>
        <w:rPr>
          <w:rFonts w:ascii="Aptos Display" w:hAnsi="Aptos Display" w:eastAsia="" w:cs="" w:asciiTheme="majorAscii" w:hAnsiTheme="majorAscii" w:eastAsiaTheme="majorEastAsia" w:cstheme="majorBidi"/>
          <w:color w:val="0F4761" w:themeColor="accent1" w:themeTint="FF" w:themeShade="BF"/>
          <w:sz w:val="40"/>
          <w:szCs w:val="40"/>
        </w:rPr>
      </w:pPr>
    </w:p>
    <w:p w:rsidRPr="003137A2" w:rsidR="003137A2" w:rsidP="08626363" w:rsidRDefault="003137A2" w14:paraId="03FD9F42" w14:textId="0A09314A">
      <w:pPr>
        <w:pStyle w:val="Normal"/>
        <w:spacing w:before="480" w:after="120" w:line="240" w:lineRule="auto"/>
        <w:outlineLvl w:val="0"/>
        <w:rPr>
          <w:rFonts w:ascii="Times New Roman" w:hAnsi="Times New Roman" w:eastAsia="Times New Roman" w:cs="Times New Roman"/>
          <w:b w:val="1"/>
          <w:bCs w:val="1"/>
          <w:kern w:val="36"/>
          <w:sz w:val="48"/>
          <w:szCs w:val="48"/>
          <w:lang w:eastAsia="en-GB"/>
          <w14:ligatures w14:val="none"/>
        </w:rPr>
      </w:pPr>
      <w:bookmarkStart w:name="_Toc794578929" w:id="1152703230"/>
      <w:r w:rsidRPr="257BFE88" w:rsidR="74131136">
        <w:rPr>
          <w:rFonts w:ascii="Aptos Display" w:hAnsi="Aptos Display" w:eastAsia="" w:cs="" w:asciiTheme="majorAscii" w:hAnsiTheme="majorAscii" w:eastAsiaTheme="majorEastAsia" w:cstheme="majorBidi"/>
          <w:color w:val="0F4761" w:themeColor="accent1" w:themeTint="FF" w:themeShade="BF"/>
          <w:sz w:val="40"/>
          <w:szCs w:val="40"/>
        </w:rPr>
        <w:t>1.Introduction</w:t>
      </w:r>
      <w:bookmarkEnd w:id="1152703230"/>
    </w:p>
    <w:p w:rsidRPr="003137A2" w:rsidR="003137A2" w:rsidP="003137A2" w:rsidRDefault="003137A2" w14:paraId="33D36A7D" w14:textId="208D787B">
      <w:pPr>
        <w:spacing w:before="240" w:after="240" w:line="240" w:lineRule="auto"/>
        <w:rPr>
          <w:rFonts w:eastAsia="Times New Roman" w:cs="Arial"/>
          <w:color w:val="000000"/>
          <w:kern w:val="0"/>
          <w:lang w:eastAsia="en-GB"/>
          <w14:ligatures w14:val="none"/>
        </w:rPr>
      </w:pPr>
      <w:r w:rsidRPr="003137A2" w:rsidR="63D31ABE">
        <w:rPr>
          <w:rFonts w:eastAsia="Times New Roman" w:cs="Arial"/>
          <w:color w:val="000000"/>
          <w:kern w:val="0"/>
          <w:lang w:eastAsia="en-GB"/>
          <w14:ligatures w14:val="none"/>
        </w:rPr>
        <w:t>A</w:t>
      </w:r>
      <w:r w:rsidRPr="003137A2" w:rsidR="795A1857">
        <w:rPr>
          <w:rFonts w:eastAsia="Times New Roman" w:cs="Arial"/>
          <w:color w:val="000000"/>
          <w:kern w:val="0"/>
          <w:lang w:eastAsia="en-GB"/>
          <w14:ligatures w14:val="none"/>
        </w:rPr>
        <w:t xml:space="preserve">n important </w:t>
      </w:r>
      <w:r w:rsidRPr="003137A2" w:rsidR="5F0CBE07">
        <w:rPr>
          <w:rFonts w:eastAsia="Times New Roman" w:cs="Arial"/>
          <w:color w:val="000000"/>
          <w:kern w:val="0"/>
          <w:lang w:eastAsia="en-GB"/>
          <w14:ligatures w14:val="none"/>
        </w:rPr>
        <w:t xml:space="preserve">influence on global investment decisions </w:t>
      </w:r>
      <w:r w:rsidRPr="003137A2" w:rsidR="1150339B">
        <w:rPr>
          <w:rFonts w:eastAsia="Times New Roman" w:cs="Arial"/>
          <w:color w:val="000000"/>
          <w:kern w:val="0"/>
          <w:lang w:eastAsia="en-GB"/>
          <w14:ligatures w14:val="none"/>
        </w:rPr>
        <w:t>are</w:t>
      </w:r>
      <w:r w:rsidRPr="003137A2" w:rsidR="1150339B">
        <w:rPr>
          <w:rFonts w:eastAsia="Times New Roman" w:cs="Arial"/>
          <w:color w:val="000000"/>
          <w:kern w:val="0"/>
          <w:lang w:eastAsia="en-GB"/>
          <w14:ligatures w14:val="none"/>
        </w:rPr>
        <w:t xml:space="preserve"> </w:t>
      </w:r>
      <w:r w:rsidRPr="003137A2" w:rsidR="6D7FFB3E">
        <w:rPr>
          <w:rFonts w:eastAsia="Times New Roman" w:cs="Arial"/>
          <w:color w:val="000000"/>
          <w:kern w:val="0"/>
          <w:lang w:eastAsia="en-GB"/>
          <w14:ligatures w14:val="none"/>
        </w:rPr>
        <w:t>Environmental, Social and Governance (ESG)</w:t>
      </w:r>
      <w:r w:rsidRPr="003137A2" w:rsidR="1A1B4199">
        <w:rPr>
          <w:rFonts w:eastAsia="Times New Roman" w:cs="Arial"/>
          <w:color w:val="000000"/>
          <w:kern w:val="0"/>
          <w:lang w:eastAsia="en-GB"/>
          <w14:ligatures w14:val="none"/>
        </w:rPr>
        <w:t xml:space="preserve"> criteria</w:t>
      </w:r>
      <w:r w:rsidRPr="003137A2" w:rsidR="5575136B">
        <w:rPr>
          <w:rFonts w:eastAsia="Times New Roman" w:cs="Arial"/>
          <w:color w:val="000000"/>
          <w:kern w:val="0"/>
          <w:lang w:eastAsia="en-GB"/>
          <w14:ligatures w14:val="none"/>
        </w:rPr>
        <w:t xml:space="preserve">, </w:t>
      </w:r>
      <w:r w:rsidRPr="003137A2" w:rsidR="6D7FFB3E">
        <w:rPr>
          <w:rFonts w:eastAsia="Times New Roman" w:cs="Arial"/>
          <w:color w:val="000000"/>
          <w:kern w:val="0"/>
          <w:lang w:eastAsia="en-GB"/>
          <w14:ligatures w14:val="none"/>
        </w:rPr>
        <w:t>affect</w:t>
      </w:r>
      <w:r w:rsidRPr="003137A2" w:rsidR="67A1C1CC">
        <w:rPr>
          <w:rFonts w:eastAsia="Times New Roman" w:cs="Arial"/>
          <w:color w:val="000000"/>
          <w:kern w:val="0"/>
          <w:lang w:eastAsia="en-GB"/>
          <w14:ligatures w14:val="none"/>
        </w:rPr>
        <w:t>ing</w:t>
      </w:r>
      <w:r w:rsidRPr="003137A2" w:rsidR="5B6396B7">
        <w:rPr>
          <w:rFonts w:eastAsia="Times New Roman" w:cs="Arial"/>
          <w:color w:val="000000"/>
          <w:kern w:val="0"/>
          <w:lang w:eastAsia="en-GB"/>
          <w14:ligatures w14:val="none"/>
        </w:rPr>
        <w:t xml:space="preserve"> both</w:t>
      </w:r>
      <w:r w:rsidRPr="003137A2" w:rsidR="6D7FFB3E">
        <w:rPr>
          <w:rFonts w:eastAsia="Times New Roman" w:cs="Arial"/>
          <w:color w:val="000000"/>
          <w:kern w:val="0"/>
          <w:lang w:eastAsia="en-GB"/>
          <w14:ligatures w14:val="none"/>
        </w:rPr>
        <w:t xml:space="preserve"> how organisations are </w:t>
      </w:r>
      <w:r w:rsidRPr="003137A2" w:rsidR="3ECBCCCF">
        <w:rPr>
          <w:rFonts w:eastAsia="Times New Roman" w:cs="Arial"/>
          <w:color w:val="000000"/>
          <w:kern w:val="0"/>
          <w:lang w:eastAsia="en-GB"/>
          <w14:ligatures w14:val="none"/>
        </w:rPr>
        <w:t>assess</w:t>
      </w:r>
      <w:r w:rsidRPr="003137A2" w:rsidR="6D7FFB3E">
        <w:rPr>
          <w:rFonts w:eastAsia="Times New Roman" w:cs="Arial"/>
          <w:color w:val="000000"/>
          <w:kern w:val="0"/>
          <w:lang w:eastAsia="en-GB"/>
          <w14:ligatures w14:val="none"/>
        </w:rPr>
        <w:t xml:space="preserve">ed and how capital </w:t>
      </w:r>
      <w:r w:rsidRPr="003137A2" w:rsidR="6ECD8429">
        <w:rPr>
          <w:rFonts w:eastAsia="Times New Roman" w:cs="Arial"/>
          <w:color w:val="000000"/>
          <w:kern w:val="0"/>
          <w:lang w:eastAsia="en-GB"/>
          <w14:ligatures w14:val="none"/>
        </w:rPr>
        <w:t>moves</w:t>
      </w:r>
      <w:r w:rsidRPr="003137A2" w:rsidR="6D7FFB3E">
        <w:rPr>
          <w:rFonts w:eastAsia="Times New Roman" w:cs="Arial"/>
          <w:color w:val="000000"/>
          <w:kern w:val="0"/>
          <w:lang w:eastAsia="en-GB"/>
          <w14:ligatures w14:val="none"/>
        </w:rPr>
        <w:t xml:space="preserve"> across markets.</w:t>
      </w:r>
    </w:p>
    <w:p w:rsidRPr="003137A2" w:rsidR="003137A2" w:rsidP="257BFE88" w:rsidRDefault="003137A2" w14:paraId="50A90A23" w14:textId="73ED646E">
      <w:pPr>
        <w:pStyle w:val="Normal"/>
        <w:spacing w:before="240" w:after="240" w:line="240" w:lineRule="auto"/>
        <w:rPr>
          <w:rFonts w:eastAsia="Times New Roman" w:cs="Arial"/>
          <w:color w:val="000000"/>
          <w:kern w:val="0"/>
          <w:lang w:eastAsia="en-GB"/>
          <w14:ligatures w14:val="none"/>
        </w:rPr>
      </w:pPr>
      <w:r w:rsidRPr="003137A2" w:rsidR="6D7FFB3E">
        <w:rPr>
          <w:rFonts w:eastAsia="Times New Roman" w:cs="Arial"/>
          <w:color w:val="000000"/>
          <w:kern w:val="0"/>
          <w:lang w:eastAsia="en-GB"/>
          <w14:ligatures w14:val="none"/>
        </w:rPr>
        <w:t xml:space="preserve">The term ESG was formalised in 2004 by the United Nations Glob</w:t>
      </w:r>
      <w:r w:rsidRPr="003137A2" w:rsidR="6D7FFB3E">
        <w:rPr>
          <w:rFonts w:eastAsia="Times New Roman" w:cs="Arial"/>
          <w:color w:val="000000"/>
          <w:kern w:val="0"/>
          <w:lang w:eastAsia="en-GB"/>
          <w14:ligatures w14:val="none"/>
        </w:rPr>
        <w:t xml:space="preserve">al Compac</w:t>
      </w:r>
      <w:r w:rsidRPr="003137A2" w:rsidR="6D7FFB3E">
        <w:rPr>
          <w:rFonts w:eastAsia="Times New Roman" w:cs="Arial"/>
          <w:color w:val="000000"/>
          <w:kern w:val="0"/>
          <w:lang w:eastAsia="en-GB"/>
          <w14:ligatures w14:val="none"/>
        </w:rPr>
        <w:t xml:space="preserve">t (Unit</w:t>
      </w:r>
      <w:r w:rsidRPr="003137A2" w:rsidR="6D7FFB3E">
        <w:rPr>
          <w:rFonts w:eastAsia="Times New Roman" w:cs="Arial"/>
          <w:color w:val="000000"/>
          <w:kern w:val="0"/>
          <w:lang w:eastAsia="en-GB"/>
          <w14:ligatures w14:val="none"/>
        </w:rPr>
        <w:t xml:space="preserve">ed </w:t>
      </w:r>
      <w:r w:rsidRPr="003137A2" w:rsidR="6D7FFB3E">
        <w:rPr>
          <w:rFonts w:eastAsia="Times New Roman" w:cs="Arial"/>
          <w:color w:val="000000"/>
          <w:kern w:val="0"/>
          <w:lang w:eastAsia="en-GB"/>
          <w14:ligatures w14:val="none"/>
        </w:rPr>
        <w:t xml:space="preserve">Nations Global Compact, 2004; Eccles, 2022). Its underlying principles have gained significant </w:t>
      </w:r>
      <w:r w:rsidRPr="003137A2" w:rsidR="7BB90338">
        <w:rPr>
          <w:rFonts w:eastAsia="Times New Roman" w:cs="Arial"/>
          <w:color w:val="000000"/>
          <w:kern w:val="0"/>
          <w:lang w:eastAsia="en-GB"/>
          <w14:ligatures w14:val="none"/>
        </w:rPr>
        <w:t xml:space="preserve">prominence</w:t>
      </w:r>
      <w:r w:rsidRPr="003137A2" w:rsidR="6D7FFB3E">
        <w:rPr>
          <w:rFonts w:eastAsia="Times New Roman" w:cs="Arial"/>
          <w:color w:val="000000"/>
          <w:kern w:val="0"/>
          <w:lang w:eastAsia="en-GB"/>
          <w14:ligatures w14:val="none"/>
        </w:rPr>
        <w:t xml:space="preserve"> in recent years, </w:t>
      </w:r>
      <w:r w:rsidRPr="003137A2" w:rsidR="6D7FFB3E">
        <w:rPr>
          <w:rFonts w:eastAsia="Times New Roman" w:cs="Arial"/>
          <w:color w:val="000000"/>
          <w:kern w:val="0"/>
          <w:lang w:eastAsia="en-GB"/>
          <w14:ligatures w14:val="none"/>
        </w:rPr>
        <w:t xml:space="preserve">largely attributed</w:t>
      </w:r>
      <w:r w:rsidRPr="003137A2" w:rsidR="6D7FFB3E">
        <w:rPr>
          <w:rFonts w:eastAsia="Times New Roman" w:cs="Arial"/>
          <w:color w:val="000000"/>
          <w:kern w:val="0"/>
          <w:lang w:eastAsia="en-GB"/>
          <w14:ligatures w14:val="none"/>
        </w:rPr>
        <w:t xml:space="preserve"> to the influence of major asset management company BlackRock. Led by CEO Larry </w:t>
      </w:r>
      <w:r w:rsidRPr="003137A2" w:rsidR="1DA457FA">
        <w:rPr>
          <w:rFonts w:eastAsia="Times New Roman" w:cs="Arial"/>
          <w:color w:val="000000"/>
          <w:kern w:val="0"/>
          <w:lang w:eastAsia="en-GB"/>
          <w14:ligatures w14:val="none"/>
        </w:rPr>
        <w:t xml:space="preserve">Fink, </w:t>
      </w:r>
      <w:r w:rsidRPr="003137A2" w:rsidR="5C2C31EF">
        <w:rPr>
          <w:rFonts w:eastAsia="Times New Roman" w:cs="Arial"/>
          <w:color w:val="000000"/>
          <w:kern w:val="0"/>
          <w:lang w:eastAsia="en-GB"/>
          <w14:ligatures w14:val="none"/>
        </w:rPr>
        <w:t xml:space="preserve">BlackRock</w:t>
      </w:r>
      <w:r w:rsidRPr="003137A2" w:rsidR="6D7FFB3E">
        <w:rPr>
          <w:rFonts w:eastAsia="Times New Roman" w:cs="Arial"/>
          <w:color w:val="000000"/>
          <w:kern w:val="0"/>
          <w:lang w:eastAsia="en-GB"/>
          <w14:ligatures w14:val="none"/>
        </w:rPr>
        <w:t xml:space="preserve"> </w:t>
      </w:r>
      <w:r w:rsidRPr="003137A2" w:rsidR="6D7FFB3E">
        <w:rPr>
          <w:rFonts w:eastAsia="Times New Roman" w:cs="Arial"/>
          <w:color w:val="000000"/>
          <w:kern w:val="0"/>
          <w:lang w:eastAsia="en-GB"/>
          <w14:ligatures w14:val="none"/>
        </w:rPr>
        <w:t xml:space="preserve">has been particularly influential in </w:t>
      </w:r>
      <w:r w:rsidRPr="003137A2" w:rsidR="0F556E19">
        <w:rPr>
          <w:rFonts w:eastAsia="Times New Roman" w:cs="Arial"/>
          <w:color w:val="000000"/>
          <w:kern w:val="0"/>
          <w:lang w:eastAsia="en-GB"/>
          <w14:ligatures w14:val="none"/>
        </w:rPr>
        <w:t xml:space="preserve">shap</w:t>
      </w:r>
      <w:r w:rsidRPr="003137A2" w:rsidR="369B61A0">
        <w:rPr>
          <w:rFonts w:eastAsia="Times New Roman" w:cs="Arial"/>
          <w:color w:val="000000"/>
          <w:kern w:val="0"/>
          <w:lang w:eastAsia="en-GB"/>
          <w14:ligatures w14:val="none"/>
        </w:rPr>
        <w:t xml:space="preserve">ing </w:t>
      </w:r>
      <w:r w:rsidRPr="003137A2" w:rsidR="6D7FFB3E">
        <w:rPr>
          <w:rFonts w:eastAsia="Times New Roman" w:cs="Arial"/>
          <w:color w:val="000000"/>
          <w:kern w:val="0"/>
          <w:lang w:eastAsia="en-GB"/>
          <w14:ligatures w14:val="none"/>
        </w:rPr>
        <w:t xml:space="preserve">this </w:t>
      </w:r>
      <w:r w:rsidRPr="003137A2" w:rsidR="43EA29ED">
        <w:rPr>
          <w:rFonts w:eastAsia="Times New Roman" w:cs="Arial"/>
          <w:color w:val="000000"/>
          <w:kern w:val="0"/>
          <w:lang w:eastAsia="en-GB"/>
          <w14:ligatures w14:val="none"/>
        </w:rPr>
        <w:t xml:space="preserve">trend</w:t>
      </w:r>
      <w:r w:rsidRPr="003137A2" w:rsidR="6D7FFB3E">
        <w:rPr>
          <w:rFonts w:eastAsia="Times New Roman" w:cs="Arial"/>
          <w:color w:val="000000"/>
          <w:kern w:val="0"/>
          <w:lang w:eastAsia="en-GB"/>
          <w14:ligatures w14:val="none"/>
        </w:rPr>
        <w:t xml:space="preserve">. Fink has actively promoted</w:t>
      </w:r>
      <w:r w:rsidRPr="003137A2" w:rsidR="30967FE7">
        <w:rPr>
          <w:rFonts w:eastAsia="Times New Roman" w:cs="Arial"/>
          <w:color w:val="000000"/>
          <w:kern w:val="0"/>
          <w:lang w:eastAsia="en-GB"/>
          <w14:ligatures w14:val="none"/>
        </w:rPr>
        <w:t xml:space="preserve"> </w:t>
      </w:r>
      <w:r w:rsidRPr="257BFE88" w:rsidR="30967FE7">
        <w:rPr>
          <w:rFonts w:ascii="Aptos" w:hAnsi="Aptos" w:eastAsia="Aptos" w:cs="Aptos"/>
          <w:noProof w:val="0"/>
          <w:color w:val="000000" w:themeColor="text1" w:themeTint="FF" w:themeShade="FF"/>
          <w:sz w:val="24"/>
          <w:szCs w:val="24"/>
          <w:lang w:val="en-GB"/>
        </w:rPr>
        <w:t>(Fink, 2020; Fink, 2021; Fink, 2022)</w:t>
      </w:r>
      <w:r w:rsidRPr="003137A2" w:rsidR="6D7FFB3E">
        <w:rPr>
          <w:rFonts w:eastAsia="Times New Roman" w:cs="Arial"/>
          <w:color w:val="000000"/>
          <w:kern w:val="0"/>
          <w:lang w:eastAsia="en-GB"/>
          <w14:ligatures w14:val="none"/>
        </w:rPr>
        <w:t xml:space="preserve"> the integration of ESG considerations into investment strategies, u</w:t>
      </w:r>
      <w:r w:rsidRPr="003137A2" w:rsidR="45698D6B">
        <w:rPr>
          <w:rFonts w:eastAsia="Times New Roman" w:cs="Arial"/>
          <w:color w:val="000000"/>
          <w:kern w:val="0"/>
          <w:lang w:eastAsia="en-GB"/>
          <w14:ligatures w14:val="none"/>
        </w:rPr>
        <w:t xml:space="preserve">sing</w:t>
      </w:r>
      <w:r w:rsidRPr="003137A2" w:rsidR="6D7FFB3E">
        <w:rPr>
          <w:rFonts w:eastAsia="Times New Roman" w:cs="Arial"/>
          <w:color w:val="000000"/>
          <w:kern w:val="0"/>
          <w:lang w:eastAsia="en-GB"/>
          <w14:ligatures w14:val="none"/>
        </w:rPr>
        <w:t xml:space="preserve"> BlackRock’s scale to encourage companies to improve their environmental and social </w:t>
      </w:r>
      <w:r w:rsidRPr="003137A2" w:rsidR="783E506A">
        <w:rPr>
          <w:rFonts w:eastAsia="Times New Roman" w:cs="Arial"/>
          <w:color w:val="000000"/>
          <w:kern w:val="0"/>
          <w:lang w:eastAsia="en-GB"/>
          <w14:ligatures w14:val="none"/>
        </w:rPr>
        <w:t xml:space="preserve">performance (</w:t>
      </w:r>
      <w:r w:rsidRPr="003137A2" w:rsidR="6D7FFB3E">
        <w:rPr>
          <w:rFonts w:eastAsia="Times New Roman" w:cs="Arial"/>
          <w:color w:val="000000"/>
          <w:kern w:val="0"/>
          <w:lang w:eastAsia="en-GB"/>
          <w14:ligatures w14:val="none"/>
        </w:rPr>
        <w:t xml:space="preserve">Mrchkovska</w:t>
      </w:r>
      <w:r w:rsidRPr="003137A2" w:rsidR="6D7FFB3E">
        <w:rPr>
          <w:rFonts w:eastAsia="Times New Roman" w:cs="Arial"/>
          <w:color w:val="000000"/>
          <w:kern w:val="0"/>
          <w:lang w:eastAsia="en-GB"/>
          <w14:ligatures w14:val="none"/>
        </w:rPr>
        <w:t xml:space="preserve">, 2023; Foust and St John, 2024</w:t>
      </w:r>
      <w:r w:rsidRPr="003137A2" w:rsidR="6A747B84">
        <w:rPr>
          <w:rFonts w:eastAsia="Times New Roman" w:cs="Arial"/>
          <w:color w:val="000000"/>
          <w:kern w:val="0"/>
          <w:lang w:eastAsia="en-GB"/>
          <w14:ligatures w14:val="none"/>
        </w:rPr>
        <w:t xml:space="preserve"> </w:t>
      </w:r>
      <w:r w:rsidRPr="003137A2" w:rsidR="6D7FFB3E">
        <w:rPr>
          <w:rFonts w:eastAsia="Times New Roman" w:cs="Arial"/>
          <w:color w:val="000000"/>
          <w:kern w:val="0"/>
          <w:lang w:eastAsia="en-GB"/>
          <w14:ligatures w14:val="none"/>
        </w:rPr>
        <w:t xml:space="preserve">cited in Thompson, 2025). </w:t>
      </w:r>
    </w:p>
    <w:p w:rsidRPr="003137A2" w:rsidR="003137A2" w:rsidP="257BFE88" w:rsidRDefault="003137A2" w14:paraId="7FF6BA8D" w14:textId="4267B021">
      <w:pPr>
        <w:pStyle w:val="Normal"/>
        <w:spacing w:before="240" w:after="240" w:line="240" w:lineRule="auto"/>
        <w:rPr>
          <w:rFonts w:eastAsia="Times New Roman" w:cs="Arial"/>
          <w:color w:val="000000"/>
          <w:kern w:val="0"/>
          <w:lang w:eastAsia="en-GB"/>
          <w14:ligatures w14:val="none"/>
        </w:rPr>
      </w:pPr>
      <w:r w:rsidRPr="003137A2" w:rsidR="6D7FFB3E">
        <w:rPr>
          <w:rFonts w:eastAsia="Times New Roman" w:cs="Arial"/>
          <w:color w:val="000000"/>
          <w:kern w:val="0"/>
          <w:lang w:eastAsia="en-GB"/>
          <w14:ligatures w14:val="none"/>
        </w:rPr>
        <w:t>The operational use of ESG in asset management is increasingly dependent on third</w:t>
      </w:r>
      <w:r w:rsidRPr="003137A2" w:rsidR="6D7FFB3E">
        <w:rPr>
          <w:rFonts w:ascii="Cambria Math" w:hAnsi="Cambria Math" w:eastAsia="Times New Roman" w:cs="Cambria Math"/>
          <w:color w:val="000000"/>
          <w:kern w:val="0"/>
          <w:lang w:eastAsia="en-GB"/>
          <w14:ligatures w14:val="none"/>
        </w:rPr>
        <w:t xml:space="preserve"> </w:t>
      </w:r>
      <w:r w:rsidRPr="003137A2" w:rsidR="6D7FFB3E">
        <w:rPr>
          <w:rFonts w:eastAsia="Times New Roman" w:cs="Arial"/>
          <w:color w:val="000000"/>
          <w:kern w:val="0"/>
          <w:lang w:eastAsia="en-GB"/>
          <w14:ligatures w14:val="none"/>
        </w:rPr>
        <w:t xml:space="preserve">party scoring systems. </w:t>
      </w:r>
      <w:r w:rsidRPr="003137A2" w:rsidR="6D7FFB3E">
        <w:rPr>
          <w:rFonts w:eastAsia="Times New Roman" w:cs="Arial"/>
          <w:color w:val="000000"/>
          <w:kern w:val="0"/>
          <w:lang w:eastAsia="en-GB"/>
          <w14:ligatures w14:val="none"/>
        </w:rPr>
        <w:t xml:space="preserve">MSCI</w:t>
      </w:r>
      <w:r w:rsidRPr="003137A2" w:rsidR="6D7FFB3E">
        <w:rPr>
          <w:rFonts w:eastAsia="Times New Roman" w:cs="Arial"/>
          <w:color w:val="000000"/>
          <w:kern w:val="0"/>
          <w:lang w:eastAsia="en-GB"/>
          <w14:ligatures w14:val="none"/>
        </w:rPr>
        <w:t xml:space="preserve"> ESG </w:t>
      </w:r>
      <w:r w:rsidRPr="003137A2" w:rsidR="655AC5D9">
        <w:rPr>
          <w:rFonts w:eastAsia="Times New Roman" w:cs="Arial"/>
          <w:color w:val="000000"/>
          <w:kern w:val="0"/>
          <w:lang w:eastAsia="en-GB"/>
          <w14:ligatures w14:val="none"/>
        </w:rPr>
        <w:t xml:space="preserve">(</w:t>
      </w:r>
      <w:r w:rsidRPr="257BFE88" w:rsidR="655AC5D9">
        <w:rPr>
          <w:rFonts w:eastAsia="Times New Roman" w:cs="Arial"/>
          <w:color w:val="000000" w:themeColor="text1" w:themeTint="FF" w:themeShade="FF"/>
          <w:lang w:eastAsia="en-GB"/>
        </w:rPr>
        <w:t>MSCI</w:t>
      </w:r>
      <w:r w:rsidRPr="257BFE88" w:rsidR="655AC5D9">
        <w:rPr>
          <w:rFonts w:eastAsia="Times New Roman" w:cs="Arial"/>
          <w:color w:val="000000" w:themeColor="text1" w:themeTint="FF" w:themeShade="FF"/>
          <w:lang w:eastAsia="en-GB"/>
        </w:rPr>
        <w:t xml:space="preserve">, 2025 and </w:t>
      </w:r>
      <w:r w:rsidRPr="257BFE88" w:rsidR="655AC5D9">
        <w:rPr>
          <w:rFonts w:eastAsia="Times New Roman" w:cs="Arial"/>
          <w:color w:val="000000" w:themeColor="text1" w:themeTint="FF" w:themeShade="FF"/>
          <w:lang w:eastAsia="en-GB"/>
        </w:rPr>
        <w:t>MSCI</w:t>
      </w:r>
      <w:r w:rsidRPr="257BFE88" w:rsidR="655AC5D9">
        <w:rPr>
          <w:rFonts w:eastAsia="Times New Roman" w:cs="Arial"/>
          <w:color w:val="000000" w:themeColor="text1" w:themeTint="FF" w:themeShade="FF"/>
          <w:lang w:eastAsia="en-GB"/>
        </w:rPr>
        <w:t>, 2026)</w:t>
      </w:r>
      <w:r w:rsidRPr="003137A2" w:rsidR="655AC5D9">
        <w:rPr>
          <w:rFonts w:eastAsia="Times New Roman" w:cs="Arial"/>
          <w:color w:val="000000"/>
          <w:kern w:val="0"/>
          <w:lang w:eastAsia="en-GB"/>
          <w14:ligatures w14:val="none"/>
        </w:rPr>
        <w:t xml:space="preserve"> </w:t>
      </w:r>
      <w:r w:rsidRPr="003137A2" w:rsidR="6D7FFB3E">
        <w:rPr>
          <w:rFonts w:eastAsia="Times New Roman" w:cs="Arial"/>
          <w:color w:val="000000"/>
          <w:kern w:val="0"/>
          <w:lang w:eastAsia="en-GB"/>
          <w14:ligatures w14:val="none"/>
        </w:rPr>
        <w:t xml:space="preserve">ratings are widely used across product reporting, index design</w:t>
      </w:r>
      <w:r w:rsidRPr="003137A2" w:rsidR="6D7FFB3E">
        <w:rPr>
          <w:rFonts w:eastAsia="Times New Roman" w:cs="Arial"/>
          <w:color w:val="000000"/>
          <w:kern w:val="0"/>
          <w:lang w:eastAsia="en-GB"/>
          <w14:ligatures w14:val="none"/>
        </w:rPr>
        <w:t xml:space="preserve"> and</w:t>
      </w:r>
      <w:r w:rsidRPr="003137A2" w:rsidR="6D7FFB3E">
        <w:rPr>
          <w:rFonts w:eastAsia="Times New Roman" w:cs="Arial"/>
          <w:color w:val="000000"/>
          <w:kern w:val="0"/>
          <w:lang w:eastAsia="en-GB"/>
          <w14:ligatures w14:val="none"/>
        </w:rPr>
        <w:t xml:space="preserve"> portfolio analytics (BlackRock, 2024</w:t>
      </w:r>
      <w:r w:rsidRPr="003137A2" w:rsidR="6BBFAE42">
        <w:rPr>
          <w:rFonts w:eastAsia="Times New Roman" w:cs="Arial"/>
          <w:color w:val="000000"/>
          <w:kern w:val="0"/>
          <w:lang w:eastAsia="en-GB"/>
          <w14:ligatures w14:val="none"/>
        </w:rPr>
        <w:t xml:space="preserve">).</w:t>
      </w:r>
      <w:r w:rsidRPr="257BFE88" w:rsidR="6D7FFB3E">
        <w:rPr>
          <w:rFonts w:eastAsia="Times New Roman" w:cs="Arial"/>
          <w:color w:val="000000" w:themeColor="text1" w:themeTint="FF" w:themeShade="FF"/>
          <w:lang w:eastAsia="en-GB"/>
        </w:rPr>
        <w:t xml:space="preserve"> </w:t>
      </w:r>
    </w:p>
    <w:p w:rsidRPr="003137A2" w:rsidR="003137A2" w:rsidP="257BFE88" w:rsidRDefault="003137A2" w14:paraId="375FAB42" w14:textId="2B41D4DA">
      <w:pPr>
        <w:pStyle w:val="Normal"/>
        <w:spacing w:before="240" w:after="240" w:line="240" w:lineRule="auto"/>
        <w:rPr>
          <w:rFonts w:eastAsia="Times New Roman" w:cs="Times New Roman"/>
          <w:kern w:val="0"/>
          <w:highlight w:val="yellow"/>
          <w:lang w:eastAsia="en-GB"/>
          <w14:ligatures w14:val="none"/>
        </w:rPr>
      </w:pPr>
      <w:r w:rsidRPr="257BFE88" w:rsidR="6D7FFB3E">
        <w:rPr>
          <w:rFonts w:eastAsia="Times New Roman" w:cs="Arial"/>
          <w:color w:val="000000"/>
          <w:kern w:val="0"/>
          <w:lang w:eastAsia="en-GB"/>
          <w14:ligatures w14:val="none"/>
        </w:rPr>
        <w:t xml:space="preserve">BlackRock’s strategic mission is to emphasise long term value creation, fiduciary </w:t>
      </w:r>
      <w:r w:rsidRPr="257BFE88" w:rsidR="6D7FFB3E">
        <w:rPr>
          <w:rFonts w:eastAsia="Times New Roman" w:cs="Arial"/>
          <w:color w:val="000000"/>
          <w:kern w:val="0"/>
          <w:lang w:eastAsia="en-GB"/>
          <w14:ligatures w14:val="none"/>
        </w:rPr>
        <w:t xml:space="preserve">responsibility</w:t>
      </w:r>
      <w:r w:rsidRPr="257BFE88" w:rsidR="6D7FFB3E">
        <w:rPr>
          <w:rFonts w:eastAsia="Times New Roman" w:cs="Arial"/>
          <w:color w:val="000000"/>
          <w:kern w:val="0"/>
          <w:lang w:eastAsia="en-GB"/>
          <w14:ligatures w14:val="none"/>
        </w:rPr>
        <w:t xml:space="preserve"> and</w:t>
      </w:r>
      <w:r w:rsidRPr="257BFE88" w:rsidR="6D7FFB3E">
        <w:rPr>
          <w:rFonts w:eastAsia="Times New Roman" w:cs="Arial"/>
          <w:color w:val="000000"/>
          <w:kern w:val="0"/>
          <w:lang w:eastAsia="en-GB"/>
          <w14:ligatures w14:val="none"/>
        </w:rPr>
        <w:t xml:space="preserve"> resilient financial markets </w:t>
      </w:r>
      <w:r w:rsidRPr="257BFE88" w:rsidR="3F0147B8">
        <w:rPr>
          <w:rFonts w:eastAsia="Times New Roman" w:cs="Arial"/>
          <w:color w:val="000000"/>
          <w:kern w:val="0"/>
          <w:lang w:eastAsia="en-GB"/>
          <w14:ligatures w14:val="none"/>
        </w:rPr>
        <w:t xml:space="preserve">(</w:t>
      </w:r>
      <w:r w:rsidRPr="257BFE88" w:rsidR="3F0147B8">
        <w:rPr>
          <w:rFonts w:ascii="Aptos" w:hAnsi="Aptos" w:eastAsia="Aptos" w:cs="Aptos"/>
          <w:noProof w:val="0"/>
          <w:color w:val="000000" w:themeColor="text1" w:themeTint="FF" w:themeShade="FF"/>
          <w:sz w:val="24"/>
          <w:szCs w:val="24"/>
          <w:lang w:val="en-GB"/>
        </w:rPr>
        <w:t>BlackRock, n.d.)</w:t>
      </w:r>
      <w:r w:rsidRPr="257BFE88" w:rsidR="0CDAD575">
        <w:rPr>
          <w:rFonts w:ascii="Aptos" w:hAnsi="Aptos" w:eastAsia="Aptos" w:cs="Aptos"/>
          <w:noProof w:val="0"/>
          <w:color w:val="000000" w:themeColor="text1" w:themeTint="FF" w:themeShade="FF"/>
          <w:sz w:val="24"/>
          <w:szCs w:val="24"/>
          <w:lang w:val="en-GB"/>
        </w:rPr>
        <w:t xml:space="preserve">. </w:t>
      </w:r>
      <w:r w:rsidRPr="257BFE88" w:rsidR="51B66F31">
        <w:rPr>
          <w:rFonts w:ascii="Aptos" w:hAnsi="Aptos" w:eastAsia="Aptos" w:cs="Aptos"/>
          <w:noProof w:val="0"/>
          <w:color w:val="000000" w:themeColor="text1" w:themeTint="FF" w:themeShade="FF"/>
          <w:sz w:val="24"/>
          <w:szCs w:val="24"/>
          <w:lang w:val="en-GB"/>
        </w:rPr>
        <w:t>By focusing on long term value creation and mark</w:t>
      </w:r>
      <w:r w:rsidRPr="257BFE88" w:rsidR="408FBA6F">
        <w:rPr>
          <w:rFonts w:ascii="Aptos" w:hAnsi="Aptos" w:eastAsia="Aptos" w:cs="Aptos"/>
          <w:noProof w:val="0"/>
          <w:color w:val="000000" w:themeColor="text1" w:themeTint="FF" w:themeShade="FF"/>
          <w:sz w:val="24"/>
          <w:szCs w:val="24"/>
          <w:lang w:val="en-GB"/>
        </w:rPr>
        <w:t>e</w:t>
      </w:r>
      <w:r w:rsidRPr="257BFE88" w:rsidR="6AC403DF">
        <w:rPr>
          <w:rFonts w:ascii="Aptos" w:hAnsi="Aptos" w:eastAsia="Aptos" w:cs="Aptos"/>
          <w:noProof w:val="0"/>
          <w:color w:val="000000" w:themeColor="text1" w:themeTint="FF" w:themeShade="FF"/>
          <w:sz w:val="24"/>
          <w:szCs w:val="24"/>
          <w:lang w:val="en-GB"/>
        </w:rPr>
        <w:t>t</w:t>
      </w:r>
      <w:r w:rsidRPr="257BFE88" w:rsidR="20FBEA5A">
        <w:rPr>
          <w:rFonts w:ascii="Aptos" w:hAnsi="Aptos" w:eastAsia="Aptos" w:cs="Aptos"/>
          <w:noProof w:val="0"/>
          <w:color w:val="000000" w:themeColor="text1" w:themeTint="FF" w:themeShade="FF"/>
          <w:sz w:val="24"/>
          <w:szCs w:val="24"/>
          <w:lang w:val="en-GB"/>
        </w:rPr>
        <w:t xml:space="preserve"> stability</w:t>
      </w:r>
      <w:r w:rsidRPr="257BFE88" w:rsidR="6AC403DF">
        <w:rPr>
          <w:rFonts w:ascii="Aptos" w:hAnsi="Aptos" w:eastAsia="Aptos" w:cs="Aptos"/>
          <w:noProof w:val="0"/>
          <w:color w:val="000000" w:themeColor="text1" w:themeTint="FF" w:themeShade="FF"/>
          <w:sz w:val="24"/>
          <w:szCs w:val="24"/>
          <w:lang w:val="en-GB"/>
        </w:rPr>
        <w:t xml:space="preserve"> BlackRock </w:t>
      </w:r>
      <w:r w:rsidRPr="257BFE88" w:rsidR="6D7FFB3E">
        <w:rPr>
          <w:rFonts w:eastAsia="Times New Roman" w:cs="Arial"/>
          <w:color w:val="000000"/>
          <w:kern w:val="0"/>
          <w:lang w:eastAsia="en-GB"/>
          <w14:ligatures w14:val="none"/>
        </w:rPr>
        <w:t xml:space="preserve">became </w:t>
      </w:r>
      <w:r w:rsidRPr="257BFE88" w:rsidR="42F7E28F">
        <w:rPr>
          <w:rFonts w:eastAsia="Times New Roman" w:cs="Arial"/>
          <w:color w:val="000000"/>
          <w:kern w:val="0"/>
          <w:lang w:eastAsia="en-GB"/>
          <w14:ligatures w14:val="none"/>
        </w:rPr>
        <w:t>one of the leading and most</w:t>
      </w:r>
      <w:r w:rsidRPr="257BFE88" w:rsidR="6D7FFB3E">
        <w:rPr>
          <w:rFonts w:eastAsia="Times New Roman" w:cs="Arial"/>
          <w:color w:val="000000"/>
          <w:kern w:val="0"/>
          <w:lang w:eastAsia="en-GB"/>
          <w14:ligatures w14:val="none"/>
        </w:rPr>
        <w:t xml:space="preserve"> influential</w:t>
      </w:r>
      <w:r w:rsidRPr="003137A2" w:rsidR="6D7FFB3E">
        <w:rPr>
          <w:rFonts w:eastAsia="Times New Roman" w:cs="Arial"/>
          <w:color w:val="000000"/>
          <w:kern w:val="0"/>
          <w:lang w:eastAsia="en-GB"/>
          <w14:ligatures w14:val="none"/>
        </w:rPr>
        <w:t xml:space="preserve"> ad</w:t>
      </w:r>
      <w:r w:rsidRPr="003137A2" w:rsidR="418932E1">
        <w:rPr>
          <w:rFonts w:eastAsia="Times New Roman" w:cs="Arial"/>
          <w:color w:val="000000"/>
          <w:kern w:val="0"/>
          <w:lang w:eastAsia="en-GB"/>
          <w14:ligatures w14:val="none"/>
        </w:rPr>
        <w:t xml:space="preserve">vocates of</w:t>
      </w:r>
      <w:r w:rsidRPr="003137A2" w:rsidR="6D7FFB3E">
        <w:rPr>
          <w:rFonts w:eastAsia="Times New Roman" w:cs="Arial"/>
          <w:color w:val="000000"/>
          <w:kern w:val="0"/>
          <w:lang w:eastAsia="en-GB"/>
          <w14:ligatures w14:val="none"/>
        </w:rPr>
        <w:t xml:space="preserve"> ESG principles. </w:t>
      </w:r>
      <w:r w:rsidRPr="003137A2" w:rsidR="39021067">
        <w:rPr>
          <w:rFonts w:eastAsia="Times New Roman" w:cs="Arial"/>
          <w:color w:val="000000"/>
          <w:kern w:val="0"/>
          <w:lang w:eastAsia="en-GB"/>
          <w14:ligatures w14:val="none"/>
        </w:rPr>
        <w:t xml:space="preserve">Fink’s annual</w:t>
      </w:r>
      <w:r w:rsidRPr="003137A2" w:rsidR="6D7FFB3E">
        <w:rPr>
          <w:rFonts w:eastAsia="Times New Roman" w:cs="Arial"/>
          <w:color w:val="000000"/>
          <w:kern w:val="0"/>
          <w:lang w:eastAsia="en-GB"/>
          <w14:ligatures w14:val="none"/>
        </w:rPr>
        <w:t xml:space="preserve"> letters consistently position BlackRock’s purpose as helping clients achieve financial security while encouraging companies to manage significant sustainability risks </w:t>
      </w:r>
      <w:r w:rsidRPr="003137A2" w:rsidR="422E81E6">
        <w:rPr>
          <w:rFonts w:eastAsia="Times New Roman" w:cs="Arial"/>
          <w:color w:val="000000"/>
          <w:kern w:val="0"/>
          <w:lang w:eastAsia="en-GB"/>
          <w14:ligatures w14:val="none"/>
        </w:rPr>
        <w:t xml:space="preserve">(</w:t>
      </w:r>
      <w:r w:rsidRPr="257BFE88" w:rsidR="480CCE51">
        <w:rPr>
          <w:rFonts w:eastAsia="Times New Roman" w:cs="Arial"/>
          <w:color w:val="000000" w:themeColor="text1" w:themeTint="FF" w:themeShade="FF"/>
          <w:lang w:eastAsia="en-GB"/>
        </w:rPr>
        <w:t xml:space="preserve">Fink, 2020; Fink, 2021; Fink, 2022; </w:t>
      </w:r>
      <w:r w:rsidRPr="257BFE88" w:rsidR="6D7FFB3E">
        <w:rPr>
          <w:rFonts w:eastAsia="Times New Roman" w:cs="Arial"/>
          <w:color w:val="000000" w:themeColor="text1" w:themeTint="FF" w:themeShade="FF"/>
          <w:lang w:eastAsia="en-GB"/>
        </w:rPr>
        <w:t>Thompson, 2025).</w:t>
      </w:r>
    </w:p>
    <w:p w:rsidRPr="003137A2" w:rsidR="003137A2" w:rsidP="003137A2" w:rsidRDefault="003137A2" w14:paraId="6C39DC83" w14:textId="16E20A50">
      <w:pPr>
        <w:spacing w:before="240" w:after="240" w:line="240" w:lineRule="auto"/>
        <w:rPr>
          <w:rFonts w:eastAsia="Times New Roman" w:cs="Arial"/>
          <w:color w:val="000000"/>
          <w:kern w:val="0"/>
          <w:lang w:eastAsia="en-GB"/>
          <w14:ligatures w14:val="none"/>
        </w:rPr>
      </w:pPr>
      <w:r w:rsidRPr="003137A2" w:rsidR="6D7FFB3E">
        <w:rPr>
          <w:rFonts w:eastAsia="Times New Roman" w:cs="Arial"/>
          <w:color w:val="000000"/>
          <w:kern w:val="0"/>
          <w:lang w:eastAsia="en-GB"/>
          <w14:ligatures w14:val="none"/>
        </w:rPr>
        <w:t xml:space="preserve">Fink’s communications between 2010 and 2015 </w:t>
      </w:r>
      <w:r w:rsidRPr="003137A2" w:rsidR="6D7FFB3E">
        <w:rPr>
          <w:rFonts w:eastAsia="Times New Roman" w:cs="Arial"/>
          <w:color w:val="000000"/>
          <w:kern w:val="0"/>
          <w:lang w:eastAsia="en-GB"/>
          <w14:ligatures w14:val="none"/>
        </w:rPr>
        <w:t>indicate</w:t>
      </w:r>
      <w:r w:rsidRPr="003137A2" w:rsidR="6D7FFB3E">
        <w:rPr>
          <w:rFonts w:eastAsia="Times New Roman" w:cs="Arial"/>
          <w:color w:val="000000"/>
          <w:kern w:val="0"/>
          <w:lang w:eastAsia="en-GB"/>
          <w14:ligatures w14:val="none"/>
        </w:rPr>
        <w:t xml:space="preserve"> that BlackRock recognised a convergence of influences </w:t>
      </w:r>
      <w:r w:rsidRPr="003137A2" w:rsidR="1FB37829">
        <w:rPr>
          <w:rFonts w:eastAsia="Times New Roman" w:cs="Arial"/>
          <w:color w:val="000000"/>
          <w:kern w:val="0"/>
          <w:lang w:eastAsia="en-GB"/>
          <w14:ligatures w14:val="none"/>
        </w:rPr>
        <w:t>bring</w:t>
      </w:r>
      <w:r w:rsidRPr="003137A2" w:rsidR="6D7FFB3E">
        <w:rPr>
          <w:rFonts w:eastAsia="Times New Roman" w:cs="Arial"/>
          <w:color w:val="000000"/>
          <w:kern w:val="0"/>
          <w:lang w:eastAsia="en-GB"/>
          <w14:ligatures w14:val="none"/>
        </w:rPr>
        <w:t>ing ESG considerations into the mainstream. These influences included:</w:t>
      </w:r>
    </w:p>
    <w:p w:rsidRPr="003137A2" w:rsidR="003137A2" w:rsidP="08626363" w:rsidRDefault="003137A2" w14:paraId="02CD901E" w14:textId="7757B70D">
      <w:pPr>
        <w:numPr>
          <w:ilvl w:val="0"/>
          <w:numId w:val="10"/>
        </w:numPr>
        <w:spacing w:before="240" w:after="240" w:line="240" w:lineRule="auto"/>
        <w:contextualSpacing w:val="1"/>
        <w:rPr>
          <w:rFonts w:eastAsia="Times New Roman" w:cs="Arial"/>
          <w:color w:val="000000"/>
          <w:kern w:val="0"/>
          <w:lang w:eastAsia="en-GB"/>
          <w14:ligatures w14:val="none"/>
        </w:rPr>
      </w:pPr>
      <w:r w:rsidRPr="257BFE88" w:rsidR="06DB595D">
        <w:rPr>
          <w:rFonts w:eastAsia="Times New Roman" w:cs="Arial"/>
          <w:color w:val="000000" w:themeColor="text1" w:themeTint="FF" w:themeShade="FF"/>
          <w:lang w:eastAsia="en-GB"/>
        </w:rPr>
        <w:t>Rising public awareness and anger at repeated environmental, social</w:t>
      </w:r>
      <w:r w:rsidRPr="257BFE88" w:rsidR="06DB595D">
        <w:rPr>
          <w:rFonts w:eastAsia="Times New Roman" w:cs="Arial"/>
          <w:color w:val="000000" w:themeColor="text1" w:themeTint="FF" w:themeShade="FF"/>
          <w:lang w:eastAsia="en-GB"/>
        </w:rPr>
        <w:t xml:space="preserve"> and</w:t>
      </w:r>
      <w:r w:rsidRPr="257BFE88" w:rsidR="06DB595D">
        <w:rPr>
          <w:rFonts w:eastAsia="Times New Roman" w:cs="Arial"/>
          <w:color w:val="000000" w:themeColor="text1" w:themeTint="FF" w:themeShade="FF"/>
          <w:lang w:eastAsia="en-GB"/>
        </w:rPr>
        <w:t xml:space="preserve"> governance failures, widely reported by journalists</w:t>
      </w:r>
      <w:r w:rsidRPr="257BFE88" w:rsidR="47108523">
        <w:rPr>
          <w:rFonts w:eastAsia="Times New Roman" w:cs="Arial"/>
          <w:color w:val="000000" w:themeColor="text1" w:themeTint="FF" w:themeShade="FF"/>
          <w:lang w:eastAsia="en-GB"/>
        </w:rPr>
        <w:t xml:space="preserve"> </w:t>
      </w:r>
      <w:r w:rsidRPr="257BFE88" w:rsidR="47108523">
        <w:rPr>
          <w:rFonts w:ascii="Aptos" w:hAnsi="Aptos" w:eastAsia="Aptos" w:cs="Aptos"/>
          <w:noProof w:val="0"/>
          <w:color w:val="000000" w:themeColor="text1" w:themeTint="FF" w:themeShade="FF"/>
          <w:sz w:val="24"/>
          <w:szCs w:val="24"/>
          <w:lang w:val="en-GB"/>
        </w:rPr>
        <w:t>(IPCC, 2023; Edelman, 2025)</w:t>
      </w:r>
      <w:r w:rsidRPr="257BFE88" w:rsidR="06DB595D">
        <w:rPr>
          <w:rFonts w:eastAsia="Times New Roman" w:cs="Arial"/>
          <w:color w:val="000000" w:themeColor="text1" w:themeTint="FF" w:themeShade="FF"/>
          <w:lang w:eastAsia="en-GB"/>
        </w:rPr>
        <w:t>.</w:t>
      </w:r>
    </w:p>
    <w:p w:rsidRPr="003137A2" w:rsidR="003137A2" w:rsidP="257BFE88" w:rsidRDefault="003137A2" w14:paraId="231E9290" w14:textId="317E8FE3">
      <w:pPr>
        <w:numPr>
          <w:ilvl w:val="0"/>
          <w:numId w:val="10"/>
        </w:numPr>
        <w:spacing w:before="240" w:after="240" w:line="240" w:lineRule="auto"/>
        <w:contextualSpacing w:val="1"/>
        <w:rPr>
          <w:rFonts w:eastAsia="Times New Roman" w:cs="Arial"/>
          <w:color w:val="000000"/>
          <w:kern w:val="0"/>
          <w:lang w:eastAsia="en-GB"/>
          <w14:ligatures w14:val="none"/>
        </w:rPr>
      </w:pPr>
      <w:r w:rsidRPr="003137A2" w:rsidR="6D7FFB3E">
        <w:rPr>
          <w:rFonts w:eastAsia="Times New Roman" w:cs="Arial"/>
          <w:color w:val="000000"/>
          <w:kern w:val="0"/>
          <w:lang w:eastAsia="en-GB"/>
          <w14:ligatures w14:val="none"/>
        </w:rPr>
        <w:t>Publicity of corporate misconduct prosecutions in Courts worldwide</w:t>
      </w:r>
      <w:r w:rsidRPr="003137A2" w:rsidR="3226994A">
        <w:rPr>
          <w:rFonts w:eastAsia="Times New Roman" w:cs="Arial"/>
          <w:color w:val="000000"/>
          <w:kern w:val="0"/>
          <w:lang w:eastAsia="en-GB"/>
          <w14:ligatures w14:val="none"/>
        </w:rPr>
        <w:t xml:space="preserve"> </w:t>
      </w:r>
      <w:r w:rsidRPr="257BFE88" w:rsidR="3226994A">
        <w:rPr>
          <w:rFonts w:ascii="Aptos" w:hAnsi="Aptos" w:eastAsia="Aptos" w:cs="Aptos"/>
          <w:noProof w:val="0"/>
          <w:color w:val="000000" w:themeColor="text1" w:themeTint="FF" w:themeShade="FF"/>
          <w:sz w:val="24"/>
          <w:szCs w:val="24"/>
          <w:lang w:val="en-GB"/>
        </w:rPr>
        <w:t>(OECD, 2023; U.S. SEC, 2024)</w:t>
      </w:r>
      <w:r w:rsidRPr="003137A2" w:rsidR="6D7FFB3E">
        <w:rPr>
          <w:rFonts w:eastAsia="Times New Roman" w:cs="Arial"/>
          <w:color w:val="000000"/>
          <w:kern w:val="0"/>
          <w:lang w:eastAsia="en-GB"/>
          <w14:ligatures w14:val="none"/>
        </w:rPr>
        <w:t>.</w:t>
      </w:r>
    </w:p>
    <w:p w:rsidRPr="003137A2" w:rsidR="003137A2" w:rsidP="257BFE88" w:rsidRDefault="003137A2" w14:paraId="66E9529D" w14:textId="7FDDE83E">
      <w:pPr>
        <w:numPr>
          <w:ilvl w:val="0"/>
          <w:numId w:val="10"/>
        </w:numPr>
        <w:spacing w:before="240" w:after="240" w:line="240" w:lineRule="auto"/>
        <w:contextualSpacing w:val="1"/>
        <w:rPr>
          <w:rFonts w:eastAsia="Times New Roman" w:cs="Arial"/>
          <w:color w:val="000000"/>
          <w:kern w:val="0"/>
          <w:lang w:eastAsia="en-GB"/>
          <w14:ligatures w14:val="none"/>
        </w:rPr>
      </w:pPr>
      <w:r w:rsidRPr="003137A2" w:rsidR="73A14AF9">
        <w:rPr>
          <w:rFonts w:eastAsia="Times New Roman" w:cs="Arial"/>
          <w:color w:val="000000"/>
          <w:kern w:val="0"/>
          <w:lang w:eastAsia="en-GB"/>
          <w14:ligatures w14:val="none"/>
        </w:rPr>
        <w:t>A c</w:t>
      </w:r>
      <w:r w:rsidRPr="003137A2" w:rsidR="6D7FFB3E">
        <w:rPr>
          <w:rFonts w:eastAsia="Times New Roman" w:cs="Arial"/>
          <w:color w:val="000000"/>
          <w:kern w:val="0"/>
          <w:lang w:eastAsia="en-GB"/>
          <w14:ligatures w14:val="none"/>
        </w:rPr>
        <w:t xml:space="preserve">learer scientific consensus on climate change </w:t>
      </w:r>
      <w:r w:rsidRPr="003137A2" w:rsidR="22B59983">
        <w:rPr>
          <w:rFonts w:eastAsia="Times New Roman" w:cs="Arial"/>
          <w:color w:val="000000"/>
          <w:kern w:val="0"/>
          <w:lang w:eastAsia="en-GB"/>
          <w14:ligatures w14:val="none"/>
        </w:rPr>
        <w:t>increased</w:t>
      </w:r>
      <w:r w:rsidRPr="003137A2" w:rsidR="125323FF">
        <w:rPr>
          <w:rFonts w:eastAsia="Times New Roman" w:cs="Arial"/>
          <w:color w:val="000000"/>
          <w:kern w:val="0"/>
          <w:lang w:eastAsia="en-GB"/>
          <w14:ligatures w14:val="none"/>
        </w:rPr>
        <w:t xml:space="preserve"> public awareness of this risk</w:t>
      </w:r>
      <w:r w:rsidRPr="003137A2" w:rsidR="6D7FFB3E">
        <w:rPr>
          <w:rFonts w:eastAsia="Times New Roman" w:cs="Arial"/>
          <w:color w:val="000000"/>
          <w:kern w:val="0"/>
          <w:lang w:eastAsia="en-GB"/>
          <w14:ligatures w14:val="none"/>
        </w:rPr>
        <w:t>.</w:t>
      </w:r>
    </w:p>
    <w:p w:rsidRPr="003137A2" w:rsidR="003137A2" w:rsidP="257BFE88" w:rsidRDefault="003137A2" w14:paraId="201339A3" w14:textId="499EBFE4">
      <w:pPr>
        <w:numPr>
          <w:ilvl w:val="0"/>
          <w:numId w:val="10"/>
        </w:numPr>
        <w:spacing w:before="240" w:after="240" w:line="240" w:lineRule="auto"/>
        <w:contextualSpacing w:val="1"/>
        <w:rPr>
          <w:rFonts w:eastAsia="Times New Roman" w:cs="Arial"/>
          <w:color w:val="000000"/>
          <w:kern w:val="0"/>
          <w:lang w:eastAsia="en-GB"/>
          <w14:ligatures w14:val="none"/>
        </w:rPr>
      </w:pPr>
      <w:r w:rsidRPr="003137A2" w:rsidR="6D7FFB3E">
        <w:rPr>
          <w:rFonts w:eastAsia="Times New Roman" w:cs="Arial"/>
          <w:color w:val="000000"/>
          <w:kern w:val="0"/>
          <w:lang w:eastAsia="en-GB"/>
          <w14:ligatures w14:val="none"/>
        </w:rPr>
        <w:t xml:space="preserve">Growing political acceptance of regulatory intervention</w:t>
      </w:r>
      <w:r w:rsidRPr="003137A2" w:rsidR="31FF2D55">
        <w:rPr>
          <w:rFonts w:eastAsia="Times New Roman" w:cs="Arial"/>
          <w:color w:val="000000"/>
          <w:kern w:val="0"/>
          <w:lang w:eastAsia="en-GB"/>
          <w14:ligatures w14:val="none"/>
        </w:rPr>
        <w:t xml:space="preserve"> </w:t>
      </w:r>
      <w:r w:rsidRPr="257BFE88" w:rsidR="31FF2D55">
        <w:rPr>
          <w:rFonts w:ascii="Aptos" w:hAnsi="Aptos" w:eastAsia="Aptos" w:cs="Aptos"/>
          <w:noProof w:val="0"/>
          <w:color w:val="000000" w:themeColor="text1" w:themeTint="FF" w:themeShade="FF"/>
          <w:sz w:val="24"/>
          <w:szCs w:val="24"/>
          <w:lang w:val="en-GB"/>
        </w:rPr>
        <w:t>(European Commission, 2023; FCA, 2024</w:t>
      </w:r>
      <w:r w:rsidRPr="257BFE88" w:rsidR="31FF2D55">
        <w:rPr>
          <w:rFonts w:ascii="Aptos" w:hAnsi="Aptos" w:eastAsia="Aptos" w:cs="Aptos"/>
          <w:noProof w:val="0"/>
          <w:color w:val="000000" w:themeColor="text1" w:themeTint="FF" w:themeShade="FF"/>
          <w:sz w:val="24"/>
          <w:szCs w:val="24"/>
          <w:lang w:val="en-GB"/>
        </w:rPr>
        <w:t>)</w:t>
      </w:r>
      <w:r w:rsidRPr="003137A2" w:rsidR="6D7FFB3E">
        <w:rPr>
          <w:rFonts w:eastAsia="Times New Roman" w:cs="Arial"/>
          <w:color w:val="000000"/>
          <w:kern w:val="0"/>
          <w:lang w:eastAsia="en-GB"/>
          <w14:ligatures w14:val="none"/>
        </w:rPr>
        <w:t xml:space="preserve">.</w:t>
      </w:r>
      <w:r w:rsidRPr="003137A2" w:rsidR="6D7FFB3E">
        <w:rPr>
          <w:rFonts w:eastAsia="Times New Roman" w:cs="Arial"/>
          <w:color w:val="000000"/>
          <w:kern w:val="0"/>
          <w:lang w:eastAsia="en-GB"/>
          <w14:ligatures w14:val="none"/>
        </w:rPr>
        <w:t xml:space="preserve"> </w:t>
      </w:r>
    </w:p>
    <w:p w:rsidRPr="003137A2" w:rsidR="003137A2" w:rsidP="257BFE88" w:rsidRDefault="003137A2" w14:paraId="1C96EB92" w14:textId="5E45A903">
      <w:pPr>
        <w:numPr>
          <w:ilvl w:val="0"/>
          <w:numId w:val="10"/>
        </w:numPr>
        <w:spacing w:before="240" w:after="240" w:line="240" w:lineRule="auto"/>
        <w:contextualSpacing w:val="1"/>
        <w:rPr>
          <w:rFonts w:eastAsia="Times New Roman" w:cs="Arial"/>
          <w:color w:val="000000"/>
          <w:kern w:val="0"/>
          <w:lang w:eastAsia="en-GB"/>
          <w14:ligatures w14:val="none"/>
        </w:rPr>
      </w:pPr>
      <w:r w:rsidRPr="003137A2" w:rsidR="74131136">
        <w:rPr>
          <w:rFonts w:eastAsia="Times New Roman" w:cs="Arial"/>
          <w:color w:val="000000"/>
          <w:kern w:val="0"/>
          <w:lang w:eastAsia="en-GB"/>
          <w14:ligatures w14:val="none"/>
        </w:rPr>
        <w:t xml:space="preserve">Shifting consumer behaviour away from </w:t>
      </w:r>
      <w:r w:rsidRPr="003137A2" w:rsidR="74131136">
        <w:rPr>
          <w:rFonts w:ascii="Aptos" w:hAnsi="Aptos" w:eastAsia="Times New Roman" w:cs="Arial"/>
          <w:color w:val="000000"/>
          <w:kern w:val="0"/>
          <w:lang w:eastAsia="en-GB"/>
          <w14:ligatures w14:val="none"/>
        </w:rPr>
        <w:t>companies</w:t>
      </w:r>
      <w:r w:rsidRPr="003137A2" w:rsidR="74131136">
        <w:rPr>
          <w:rFonts w:eastAsia="Times New Roman" w:cs="Arial"/>
          <w:color w:val="000000"/>
          <w:kern w:val="0"/>
          <w:lang w:eastAsia="en-GB"/>
          <w14:ligatures w14:val="none"/>
        </w:rPr>
        <w:t xml:space="preserve"> associated with environmental or social harm</w:t>
      </w:r>
      <w:r w:rsidRPr="003137A2" w:rsidR="1596022E">
        <w:rPr>
          <w:rFonts w:eastAsia="Times New Roman" w:cs="Arial"/>
          <w:color w:val="000000"/>
          <w:kern w:val="0"/>
          <w:lang w:eastAsia="en-GB"/>
          <w14:ligatures w14:val="none"/>
        </w:rPr>
        <w:t xml:space="preserve"> </w:t>
      </w:r>
      <w:r w:rsidRPr="257BFE88" w:rsidR="1596022E">
        <w:rPr>
          <w:rFonts w:ascii="Aptos" w:hAnsi="Aptos" w:eastAsia="Aptos" w:cs="Aptos"/>
          <w:noProof w:val="0"/>
          <w:color w:val="000000" w:themeColor="text1" w:themeTint="FF" w:themeShade="FF"/>
          <w:sz w:val="24"/>
          <w:szCs w:val="24"/>
          <w:lang w:val="en-GB"/>
        </w:rPr>
        <w:t>(McKinsey, 2023; NielsenIQ, 2024).</w:t>
      </w:r>
      <w:r w:rsidRPr="003137A2" w:rsidR="74131136">
        <w:rPr>
          <w:rFonts w:eastAsia="Times New Roman" w:cs="Arial"/>
          <w:color w:val="FF0000"/>
          <w:kern w:val="0"/>
          <w:lang w:eastAsia="en-GB"/>
          <w14:ligatures w14:val="none"/>
        </w:rPr>
        <w:t xml:space="preserve"> </w:t>
      </w:r>
    </w:p>
    <w:p w:rsidR="08626363" w:rsidP="08626363" w:rsidRDefault="08626363" w14:paraId="650C009C" w14:textId="0EEEEE37">
      <w:pPr>
        <w:spacing w:before="240" w:after="240" w:line="240" w:lineRule="auto"/>
        <w:rPr>
          <w:rFonts w:eastAsia="Times New Roman" w:cs="Arial"/>
          <w:color w:val="000000" w:themeColor="text1" w:themeTint="FF" w:themeShade="FF"/>
          <w:lang w:eastAsia="en-GB"/>
        </w:rPr>
      </w:pPr>
    </w:p>
    <w:p w:rsidRPr="003137A2" w:rsidR="003137A2" w:rsidP="003137A2" w:rsidRDefault="003137A2" w14:paraId="64D81335" w14:textId="5844343A">
      <w:pPr>
        <w:spacing w:before="240" w:after="240" w:line="240" w:lineRule="auto"/>
        <w:rPr>
          <w:rFonts w:eastAsia="Times New Roman" w:cs="Arial"/>
          <w:color w:val="000000"/>
          <w:kern w:val="0"/>
          <w:lang w:eastAsia="en-GB"/>
          <w14:ligatures w14:val="none"/>
        </w:rPr>
      </w:pPr>
      <w:r w:rsidRPr="003137A2" w:rsidR="74131136">
        <w:rPr>
          <w:rFonts w:eastAsia="Times New Roman" w:cs="Arial"/>
          <w:color w:val="000000"/>
          <w:kern w:val="0"/>
          <w:lang w:eastAsia="en-GB"/>
          <w14:ligatures w14:val="none"/>
        </w:rPr>
        <w:t xml:space="preserve">BlackRock’s adoption of ESG frameworks can be considered as both a response to emerging risks and a strategic opportunity to position</w:t>
      </w:r>
      <w:r w:rsidRPr="003137A2" w:rsidR="74131136">
        <w:rPr>
          <w:rFonts w:eastAsia="Times New Roman" w:cs="Arial"/>
          <w:color w:val="000000"/>
          <w:kern w:val="0"/>
          <w:lang w:eastAsia="en-GB"/>
          <w14:ligatures w14:val="none"/>
        </w:rPr>
        <w:t xml:space="preserve"> </w:t>
      </w:r>
      <w:r w:rsidRPr="003137A2" w:rsidR="74131136">
        <w:rPr>
          <w:rFonts w:eastAsia="Times New Roman" w:cs="Arial"/>
          <w:color w:val="000000"/>
          <w:kern w:val="0"/>
          <w:lang w:eastAsia="en-GB"/>
          <w14:ligatures w14:val="none"/>
        </w:rPr>
        <w:t xml:space="preserve">the business </w:t>
      </w:r>
      <w:r w:rsidRPr="003137A2" w:rsidR="268D382B">
        <w:rPr>
          <w:rFonts w:eastAsia="Times New Roman" w:cs="Arial"/>
          <w:color w:val="000000"/>
          <w:kern w:val="0"/>
          <w:lang w:eastAsia="en-GB"/>
          <w14:ligatures w14:val="none"/>
        </w:rPr>
        <w:t xml:space="preserve">at the </w:t>
      </w:r>
      <w:r w:rsidRPr="003137A2" w:rsidR="74131136">
        <w:rPr>
          <w:rFonts w:eastAsia="Times New Roman" w:cs="Arial"/>
          <w:color w:val="000000"/>
          <w:kern w:val="0"/>
          <w:lang w:eastAsia="en-GB"/>
          <w14:ligatures w14:val="none"/>
        </w:rPr>
        <w:t xml:space="preserve">forefront of a structural </w:t>
      </w:r>
      <w:r w:rsidRPr="003137A2" w:rsidR="7901BC2B">
        <w:rPr>
          <w:rFonts w:eastAsia="Times New Roman" w:cs="Arial"/>
          <w:color w:val="000000"/>
          <w:kern w:val="0"/>
          <w:lang w:eastAsia="en-GB"/>
          <w14:ligatures w14:val="none"/>
        </w:rPr>
        <w:t xml:space="preserve">change</w:t>
      </w:r>
      <w:r w:rsidRPr="003137A2" w:rsidR="0CAF12FA">
        <w:rPr>
          <w:rFonts w:eastAsia="Times New Roman" w:cs="Arial"/>
          <w:color w:val="000000"/>
          <w:kern w:val="0"/>
          <w:lang w:eastAsia="en-GB"/>
          <w14:ligatures w14:val="none"/>
        </w:rPr>
        <w:t xml:space="preserve"> </w:t>
      </w:r>
      <w:r w:rsidRPr="003137A2" w:rsidR="74131136">
        <w:rPr>
          <w:rFonts w:eastAsia="Times New Roman" w:cs="Arial"/>
          <w:color w:val="000000"/>
          <w:kern w:val="0"/>
          <w:lang w:eastAsia="en-GB"/>
          <w14:ligatures w14:val="none"/>
        </w:rPr>
        <w:t xml:space="preserve">in global finance</w:t>
      </w:r>
      <w:r w:rsidRPr="003137A2" w:rsidR="26AC2E0E">
        <w:rPr>
          <w:rFonts w:eastAsia="Times New Roman" w:cs="Arial"/>
          <w:color w:val="000000"/>
          <w:kern w:val="0"/>
          <w:lang w:eastAsia="en-GB"/>
          <w14:ligatures w14:val="none"/>
        </w:rPr>
        <w:t xml:space="preserve">s</w:t>
      </w:r>
      <w:r w:rsidRPr="003137A2" w:rsidR="74131136">
        <w:rPr>
          <w:rFonts w:eastAsia="Times New Roman" w:cs="Arial"/>
          <w:color w:val="000000"/>
          <w:kern w:val="0"/>
          <w:lang w:eastAsia="en-GB"/>
          <w14:ligatures w14:val="none"/>
        </w:rPr>
        <w:t xml:space="preserve"> (Thompson, 2025).</w:t>
      </w:r>
    </w:p>
    <w:p w:rsidRPr="003137A2" w:rsidR="003137A2" w:rsidP="257BFE88" w:rsidRDefault="003137A2" w14:paraId="038A98A3" w14:textId="47CC06A9">
      <w:pPr>
        <w:pStyle w:val="Normal"/>
        <w:suppressLineNumbers w:val="0"/>
        <w:bidi w:val="0"/>
        <w:spacing w:before="240" w:beforeAutospacing="off" w:after="240" w:afterAutospacing="off" w:line="240" w:lineRule="auto"/>
        <w:ind w:left="0" w:right="0"/>
        <w:jc w:val="left"/>
        <w:rPr>
          <w:rFonts w:eastAsia="Times New Roman" w:cs="Arial"/>
          <w:color w:val="000000" w:themeColor="text1" w:themeTint="FF" w:themeShade="FF"/>
          <w:lang w:eastAsia="en-GB"/>
        </w:rPr>
      </w:pPr>
      <w:r w:rsidRPr="257BFE88" w:rsidR="0642E2AE">
        <w:rPr>
          <w:rFonts w:ascii="Aptos" w:hAnsi="Aptos" w:eastAsia="Aptos" w:cs="Aptos"/>
          <w:noProof w:val="0"/>
          <w:sz w:val="24"/>
          <w:szCs w:val="24"/>
          <w:lang w:val="en-GB"/>
        </w:rPr>
        <w:t>ESG scoring systems from agencies such as MSCI</w:t>
      </w:r>
      <w:r w:rsidRPr="257BFE88" w:rsidR="4BB54689">
        <w:rPr>
          <w:rFonts w:eastAsia="Times New Roman" w:cs="Arial"/>
          <w:color w:val="000000" w:themeColor="text1" w:themeTint="FF" w:themeShade="FF"/>
          <w:lang w:eastAsia="en-GB"/>
        </w:rPr>
        <w:t xml:space="preserve"> (MSCI, 2025 and MSCI, 2026)</w:t>
      </w:r>
      <w:r w:rsidRPr="257BFE88" w:rsidR="4BB54689">
        <w:rPr>
          <w:rFonts w:ascii="Aptos" w:hAnsi="Aptos" w:eastAsia="Aptos" w:cs="Aptos"/>
          <w:noProof w:val="0"/>
          <w:sz w:val="24"/>
          <w:szCs w:val="24"/>
          <w:lang w:val="en-GB"/>
        </w:rPr>
        <w:t xml:space="preserve"> </w:t>
      </w:r>
      <w:r w:rsidRPr="257BFE88" w:rsidR="0642E2AE">
        <w:rPr>
          <w:rFonts w:ascii="Aptos" w:hAnsi="Aptos" w:eastAsia="Aptos" w:cs="Aptos"/>
          <w:noProof w:val="0"/>
          <w:sz w:val="24"/>
          <w:szCs w:val="24"/>
          <w:lang w:val="en-GB"/>
        </w:rPr>
        <w:t xml:space="preserve">and </w:t>
      </w:r>
      <w:r w:rsidRPr="257BFE88" w:rsidR="0642E2AE">
        <w:rPr>
          <w:rFonts w:ascii="Aptos" w:hAnsi="Aptos" w:eastAsia="Aptos" w:cs="Aptos"/>
          <w:noProof w:val="0"/>
          <w:sz w:val="24"/>
          <w:szCs w:val="24"/>
          <w:lang w:val="en-GB"/>
        </w:rPr>
        <w:t>Sustainaly</w:t>
      </w:r>
      <w:r w:rsidRPr="257BFE88" w:rsidR="0642E2AE">
        <w:rPr>
          <w:rFonts w:ascii="Aptos" w:hAnsi="Aptos" w:eastAsia="Aptos" w:cs="Aptos"/>
          <w:noProof w:val="0"/>
          <w:sz w:val="24"/>
          <w:szCs w:val="24"/>
          <w:lang w:val="en-GB"/>
        </w:rPr>
        <w:t>tics</w:t>
      </w:r>
      <w:r w:rsidRPr="257BFE88" w:rsidR="41D5DDA7">
        <w:rPr>
          <w:rFonts w:ascii="Aptos" w:hAnsi="Aptos" w:eastAsia="Aptos" w:cs="Aptos"/>
          <w:noProof w:val="0"/>
          <w:sz w:val="24"/>
          <w:szCs w:val="24"/>
          <w:lang w:val="en-GB"/>
        </w:rPr>
        <w:t xml:space="preserve"> </w:t>
      </w:r>
      <w:r w:rsidRPr="257BFE88" w:rsidR="41D5DDA7">
        <w:rPr>
          <w:rFonts w:ascii="Aptos" w:hAnsi="Aptos" w:eastAsia="Aptos" w:cs="Aptos"/>
          <w:b w:val="0"/>
          <w:bCs w:val="0"/>
          <w:noProof w:val="0"/>
          <w:color w:val="000000" w:themeColor="text1" w:themeTint="FF" w:themeShade="FF"/>
          <w:sz w:val="24"/>
          <w:szCs w:val="24"/>
          <w:lang w:val="en-GB"/>
        </w:rPr>
        <w:t xml:space="preserve">(Morningstar </w:t>
      </w:r>
      <w:r w:rsidRPr="257BFE88" w:rsidR="41D5DDA7">
        <w:rPr>
          <w:rFonts w:ascii="Aptos" w:hAnsi="Aptos" w:eastAsia="Aptos" w:cs="Aptos"/>
          <w:b w:val="0"/>
          <w:bCs w:val="0"/>
          <w:noProof w:val="0"/>
          <w:color w:val="000000" w:themeColor="text1" w:themeTint="FF" w:themeShade="FF"/>
          <w:sz w:val="24"/>
          <w:szCs w:val="24"/>
          <w:lang w:val="en-GB"/>
        </w:rPr>
        <w:t>Sustainaly</w:t>
      </w:r>
      <w:r w:rsidRPr="257BFE88" w:rsidR="41D5DDA7">
        <w:rPr>
          <w:rFonts w:ascii="Aptos" w:hAnsi="Aptos" w:eastAsia="Aptos" w:cs="Aptos"/>
          <w:b w:val="0"/>
          <w:bCs w:val="0"/>
          <w:noProof w:val="0"/>
          <w:color w:val="000000" w:themeColor="text1" w:themeTint="FF" w:themeShade="FF"/>
          <w:sz w:val="24"/>
          <w:szCs w:val="24"/>
          <w:lang w:val="en-GB"/>
        </w:rPr>
        <w:t>tics, 2026)</w:t>
      </w:r>
      <w:r w:rsidRPr="257BFE88" w:rsidR="0642E2AE">
        <w:rPr>
          <w:rFonts w:ascii="Aptos" w:hAnsi="Aptos" w:eastAsia="Aptos" w:cs="Aptos"/>
          <w:noProof w:val="0"/>
          <w:sz w:val="24"/>
          <w:szCs w:val="24"/>
          <w:lang w:val="en-GB"/>
        </w:rPr>
        <w:t xml:space="preserve"> strongly influence which businesses attract investment from ESG</w:t>
      </w:r>
      <w:r w:rsidRPr="257BFE88" w:rsidR="61131A6C">
        <w:rPr>
          <w:rFonts w:ascii="Aptos" w:hAnsi="Aptos" w:eastAsia="Aptos" w:cs="Aptos"/>
          <w:noProof w:val="0"/>
          <w:sz w:val="24"/>
          <w:szCs w:val="24"/>
          <w:lang w:val="en-GB"/>
        </w:rPr>
        <w:t xml:space="preserve"> </w:t>
      </w:r>
      <w:r w:rsidRPr="257BFE88" w:rsidR="0642E2AE">
        <w:rPr>
          <w:rFonts w:ascii="Aptos" w:hAnsi="Aptos" w:eastAsia="Aptos" w:cs="Aptos"/>
          <w:noProof w:val="0"/>
          <w:sz w:val="24"/>
          <w:szCs w:val="24"/>
          <w:lang w:val="en-GB"/>
        </w:rPr>
        <w:t>funds</w:t>
      </w:r>
      <w:r w:rsidRPr="257BFE88" w:rsidR="74C52B6B">
        <w:rPr>
          <w:rFonts w:ascii="Aptos" w:hAnsi="Aptos" w:eastAsia="Aptos" w:cs="Aptos"/>
          <w:noProof w:val="0"/>
          <w:sz w:val="24"/>
          <w:szCs w:val="24"/>
          <w:lang w:val="en-GB"/>
        </w:rPr>
        <w:t xml:space="preserve">. ESG scoring also affects </w:t>
      </w:r>
      <w:r w:rsidRPr="257BFE88" w:rsidR="0642E2AE">
        <w:rPr>
          <w:rFonts w:ascii="Aptos" w:hAnsi="Aptos" w:eastAsia="Aptos" w:cs="Aptos"/>
          <w:noProof w:val="0"/>
          <w:sz w:val="24"/>
          <w:szCs w:val="24"/>
          <w:lang w:val="en-GB"/>
        </w:rPr>
        <w:t xml:space="preserve">how portfolio ‘sustainability characteristics’ are reported to clients (BlackRock, 2024). However, these systems are </w:t>
      </w:r>
      <w:r w:rsidRPr="257BFE88" w:rsidR="22F8F1B5">
        <w:rPr>
          <w:rFonts w:ascii="Aptos" w:hAnsi="Aptos" w:eastAsia="Aptos" w:cs="Aptos"/>
          <w:noProof w:val="0"/>
          <w:sz w:val="24"/>
          <w:szCs w:val="24"/>
          <w:lang w:val="en-GB"/>
        </w:rPr>
        <w:t>increasingly b</w:t>
      </w:r>
      <w:r w:rsidRPr="257BFE88" w:rsidR="62A38FB8">
        <w:rPr>
          <w:rFonts w:ascii="Aptos" w:hAnsi="Aptos" w:eastAsia="Aptos" w:cs="Aptos"/>
          <w:noProof w:val="0"/>
          <w:kern w:val="0"/>
          <w:sz w:val="24"/>
          <w:szCs w:val="24"/>
          <w:lang w:val="en-GB"/>
          <w14:ligatures w14:val="none"/>
        </w:rPr>
        <w:t xml:space="preserve">eing questioned.</w:t>
      </w:r>
      <w:r w:rsidRPr="08626363" w:rsidR="74131136">
        <w:rPr>
          <w:rFonts w:eastAsia="Times New Roman" w:cs="Arial"/>
          <w:color w:val="auto"/>
          <w:kern w:val="0"/>
          <w:lang w:eastAsia="en-GB"/>
          <w14:ligatures w14:val="none"/>
        </w:rPr>
        <w:t xml:space="preserve"> </w:t>
      </w:r>
      <w:r w:rsidRPr="08626363" w:rsidR="7B932D7E">
        <w:rPr>
          <w:rFonts w:ascii="Aptos" w:hAnsi="Aptos" w:eastAsia="Aptos" w:cs="Aptos"/>
          <w:noProof w:val="0"/>
          <w:color w:val="auto"/>
          <w:sz w:val="24"/>
          <w:szCs w:val="24"/>
          <w:lang w:val="en-GB"/>
        </w:rPr>
        <w:t>Critics point to unclear methods, inconsistent scoring frameworks, biases favouring larger companies and increased greenwashing risk</w:t>
      </w:r>
      <w:r w:rsidRPr="08626363" w:rsidR="7B932D7E">
        <w:rPr>
          <w:rFonts w:ascii="Aptos" w:hAnsi="Aptos" w:eastAsia="Aptos" w:cs="Aptos"/>
          <w:noProof w:val="0"/>
          <w:color w:val="EE0000"/>
          <w:sz w:val="24"/>
          <w:szCs w:val="24"/>
          <w:lang w:val="en-GB"/>
        </w:rPr>
        <w:t xml:space="preserve"> </w:t>
      </w:r>
      <w:r w:rsidRPr="003137A2" w:rsidR="74131136">
        <w:rPr>
          <w:rFonts w:eastAsia="Times New Roman" w:cs="Arial"/>
          <w:color w:val="000000"/>
          <w:kern w:val="0"/>
          <w:lang w:eastAsia="en-GB"/>
          <w14:ligatures w14:val="none"/>
        </w:rPr>
        <w:t xml:space="preserve">(Berg et al., 2022; </w:t>
      </w:r>
      <w:r w:rsidRPr="003137A2" w:rsidR="74131136">
        <w:rPr>
          <w:rFonts w:eastAsia="Times New Roman" w:cs="Arial"/>
          <w:color w:val="000000"/>
          <w:kern w:val="0"/>
          <w:lang w:eastAsia="en-GB"/>
          <w14:ligatures w14:val="none"/>
        </w:rPr>
        <w:t>Lublóy</w:t>
      </w:r>
      <w:r w:rsidRPr="003137A2" w:rsidR="74131136">
        <w:rPr>
          <w:rFonts w:eastAsia="Times New Roman" w:cs="Arial"/>
          <w:color w:val="000000"/>
          <w:kern w:val="0"/>
          <w:lang w:eastAsia="en-GB"/>
          <w14:ligatures w14:val="none"/>
        </w:rPr>
        <w:t xml:space="preserve">, 2025; Ferro, 2025). </w:t>
      </w:r>
      <w:r w:rsidRPr="08626363" w:rsidR="3EA17218">
        <w:rPr>
          <w:rFonts w:ascii="Aptos" w:hAnsi="Aptos" w:eastAsia="Aptos" w:cs="Aptos"/>
          <w:noProof w:val="0"/>
          <w:color w:val="auto"/>
          <w:sz w:val="24"/>
          <w:szCs w:val="24"/>
          <w:lang w:val="en-GB"/>
        </w:rPr>
        <w:t>There is also concern that relying on standardised ESG ratings can create knock</w:t>
      </w:r>
      <w:r w:rsidRPr="08626363" w:rsidR="3EA17218">
        <w:rPr>
          <w:rFonts w:ascii="Cambria Math" w:hAnsi="Cambria Math" w:eastAsia="Cambria Math" w:cs="Cambria Math"/>
          <w:noProof w:val="0"/>
          <w:color w:val="auto"/>
          <w:sz w:val="24"/>
          <w:szCs w:val="24"/>
          <w:lang w:val="en-GB"/>
        </w:rPr>
        <w:t xml:space="preserve"> </w:t>
      </w:r>
      <w:r w:rsidRPr="08626363" w:rsidR="3EA17218">
        <w:rPr>
          <w:rFonts w:ascii="Aptos" w:hAnsi="Aptos" w:eastAsia="Aptos" w:cs="Aptos"/>
          <w:noProof w:val="0"/>
          <w:color w:val="auto"/>
          <w:sz w:val="24"/>
          <w:szCs w:val="24"/>
          <w:lang w:val="en-GB"/>
        </w:rPr>
        <w:t xml:space="preserve">on effects in the market, such as automatic buying or selling when companies move in or out of an index, movements in ETF investment flows</w:t>
      </w:r>
      <w:r w:rsidRPr="08626363" w:rsidR="3EA17218">
        <w:rPr>
          <w:rFonts w:ascii="Aptos" w:hAnsi="Aptos" w:eastAsia="Aptos" w:cs="Aptos"/>
          <w:noProof w:val="0"/>
          <w:color w:val="auto"/>
          <w:sz w:val="24"/>
          <w:szCs w:val="24"/>
          <w:lang w:val="en-GB"/>
        </w:rPr>
        <w:t xml:space="preserve"> and</w:t>
      </w:r>
      <w:r w:rsidRPr="08626363" w:rsidR="3EA17218">
        <w:rPr>
          <w:rFonts w:ascii="Aptos" w:hAnsi="Aptos" w:eastAsia="Aptos" w:cs="Aptos"/>
          <w:noProof w:val="0"/>
          <w:color w:val="auto"/>
          <w:sz w:val="24"/>
          <w:szCs w:val="24"/>
          <w:lang w:val="en-GB"/>
        </w:rPr>
        <w:t xml:space="preserve"> changes in how money is </w:t>
      </w:r>
      <w:r w:rsidRPr="08626363" w:rsidR="3EA17218">
        <w:rPr>
          <w:rFonts w:ascii="Aptos" w:hAnsi="Aptos" w:eastAsia="Aptos" w:cs="Aptos"/>
          <w:noProof w:val="0"/>
          <w:color w:val="auto"/>
          <w:sz w:val="24"/>
          <w:szCs w:val="24"/>
          <w:lang w:val="en-GB"/>
        </w:rPr>
        <w:t>allocated</w:t>
      </w:r>
      <w:r w:rsidRPr="08626363" w:rsidR="3EA17218">
        <w:rPr>
          <w:rFonts w:ascii="Aptos" w:hAnsi="Aptos" w:eastAsia="Aptos" w:cs="Aptos"/>
          <w:noProof w:val="0"/>
          <w:color w:val="auto"/>
          <w:sz w:val="24"/>
          <w:szCs w:val="24"/>
          <w:lang w:val="en-GB"/>
        </w:rPr>
        <w:t xml:space="preserve"> across market sectors</w:t>
      </w:r>
      <w:r w:rsidRPr="08626363" w:rsidR="26FF02E0">
        <w:rPr>
          <w:rFonts w:ascii="Aptos" w:hAnsi="Aptos" w:eastAsia="Aptos" w:cs="Aptos"/>
          <w:noProof w:val="0"/>
          <w:color w:val="auto"/>
          <w:sz w:val="24"/>
          <w:szCs w:val="24"/>
          <w:lang w:val="en-GB"/>
        </w:rPr>
        <w:t xml:space="preserve"> </w:t>
      </w:r>
      <w:r w:rsidRPr="003137A2" w:rsidR="74131136">
        <w:rPr>
          <w:rFonts w:eastAsia="Times New Roman" w:cs="Arial"/>
          <w:color w:val="000000"/>
          <w:kern w:val="0"/>
          <w:lang w:eastAsia="en-GB"/>
          <w14:ligatures w14:val="none"/>
        </w:rPr>
        <w:t>(</w:t>
      </w:r>
      <w:r w:rsidRPr="003137A2" w:rsidR="74131136">
        <w:rPr>
          <w:rFonts w:eastAsia="Times New Roman" w:cs="Arial"/>
          <w:color w:val="000000"/>
          <w:kern w:val="0"/>
          <w:lang w:eastAsia="en-GB"/>
          <w14:ligatures w14:val="none"/>
        </w:rPr>
        <w:t>Supatgiat</w:t>
      </w:r>
      <w:r w:rsidRPr="003137A2" w:rsidR="74131136">
        <w:rPr>
          <w:rFonts w:eastAsia="Times New Roman" w:cs="Arial"/>
          <w:color w:val="000000"/>
          <w:kern w:val="0"/>
          <w:lang w:eastAsia="en-GB"/>
          <w14:ligatures w14:val="none"/>
        </w:rPr>
        <w:t xml:space="preserve">, 2025; </w:t>
      </w:r>
      <w:r w:rsidRPr="003137A2" w:rsidR="74131136">
        <w:rPr>
          <w:rFonts w:eastAsia="Times New Roman" w:cs="Arial"/>
          <w:color w:val="000000"/>
          <w:kern w:val="0"/>
          <w:lang w:eastAsia="en-GB"/>
          <w14:ligatures w14:val="none"/>
        </w:rPr>
        <w:t>Karkowska</w:t>
      </w:r>
      <w:r w:rsidRPr="257BFE88" w:rsidR="74131136">
        <w:rPr>
          <w:rFonts w:eastAsia="Times New Roman" w:cs="Arial"/>
          <w:color w:val="000000" w:themeColor="text1" w:themeTint="FF" w:themeShade="FF"/>
          <w:lang w:eastAsia="en-GB"/>
        </w:rPr>
        <w:t>, 2025). </w:t>
      </w:r>
      <w:r w:rsidRPr="257BFE88" w:rsidR="40DC315C">
        <w:rPr>
          <w:rFonts w:ascii="Aptos" w:hAnsi="Aptos" w:eastAsia="Aptos" w:cs="Aptos"/>
          <w:noProof w:val="0"/>
          <w:sz w:val="24"/>
          <w:szCs w:val="24"/>
          <w:lang w:val="en-GB"/>
        </w:rPr>
        <w:t xml:space="preserve"> </w:t>
      </w:r>
    </w:p>
    <w:p w:rsidRPr="003137A2" w:rsidR="003137A2" w:rsidP="257BFE88" w:rsidRDefault="003137A2" w14:paraId="5065C9EB" w14:textId="21DD83F0">
      <w:pPr>
        <w:pStyle w:val="Normal"/>
        <w:spacing w:before="240" w:after="240" w:line="240" w:lineRule="auto"/>
        <w:rPr>
          <w:rFonts w:ascii="Aptos" w:hAnsi="Aptos" w:eastAsia="Aptos" w:cs="Aptos"/>
          <w:noProof w:val="0"/>
          <w:kern w:val="0"/>
          <w:sz w:val="24"/>
          <w:szCs w:val="24"/>
          <w:lang w:val="en-GB"/>
          <w14:ligatures w14:val="none"/>
        </w:rPr>
      </w:pPr>
      <w:r w:rsidRPr="257BFE88" w:rsidR="40DC315C">
        <w:rPr>
          <w:rFonts w:ascii="Aptos" w:hAnsi="Aptos" w:eastAsia="Aptos" w:cs="Aptos"/>
          <w:noProof w:val="0"/>
          <w:sz w:val="24"/>
          <w:szCs w:val="24"/>
          <w:lang w:val="en-GB"/>
        </w:rPr>
        <w:t xml:space="preserve">This research examines whether ESG scoring systems create unintended financial and </w:t>
      </w:r>
      <w:r w:rsidRPr="257BFE88" w:rsidR="40DC315C">
        <w:rPr>
          <w:rFonts w:ascii="Aptos" w:hAnsi="Aptos" w:eastAsia="Aptos" w:cs="Aptos"/>
          <w:noProof w:val="0"/>
          <w:sz w:val="24"/>
          <w:szCs w:val="24"/>
          <w:lang w:val="en-GB"/>
        </w:rPr>
        <w:t>economic effects</w:t>
      </w:r>
      <w:r w:rsidRPr="257BFE88" w:rsidR="2EFC71F2">
        <w:rPr>
          <w:rFonts w:ascii="Aptos" w:hAnsi="Aptos" w:eastAsia="Aptos" w:cs="Aptos"/>
          <w:noProof w:val="0"/>
          <w:sz w:val="24"/>
          <w:szCs w:val="24"/>
          <w:lang w:val="en-GB"/>
        </w:rPr>
        <w:t xml:space="preserve">. </w:t>
      </w:r>
      <w:r w:rsidRPr="257BFE88" w:rsidR="40DC315C">
        <w:rPr>
          <w:rFonts w:ascii="Aptos" w:hAnsi="Aptos" w:eastAsia="Aptos" w:cs="Aptos"/>
          <w:noProof w:val="0"/>
          <w:sz w:val="24"/>
          <w:szCs w:val="24"/>
          <w:lang w:val="en-GB"/>
        </w:rPr>
        <w:t>BlackRock</w:t>
      </w:r>
      <w:r w:rsidRPr="257BFE88" w:rsidR="6946D1F2">
        <w:rPr>
          <w:rFonts w:ascii="Aptos" w:hAnsi="Aptos" w:eastAsia="Aptos" w:cs="Aptos"/>
          <w:noProof w:val="0"/>
          <w:sz w:val="24"/>
          <w:szCs w:val="24"/>
          <w:lang w:val="en-GB"/>
        </w:rPr>
        <w:t xml:space="preserve"> </w:t>
      </w:r>
      <w:r w:rsidRPr="257BFE88" w:rsidR="6CA5E407">
        <w:rPr>
          <w:rFonts w:ascii="Aptos" w:hAnsi="Aptos" w:eastAsia="Aptos" w:cs="Aptos"/>
          <w:noProof w:val="0"/>
          <w:sz w:val="24"/>
          <w:szCs w:val="24"/>
          <w:lang w:val="en-GB"/>
        </w:rPr>
        <w:t>is</w:t>
      </w:r>
      <w:r w:rsidRPr="257BFE88" w:rsidR="6946D1F2">
        <w:rPr>
          <w:rFonts w:ascii="Aptos" w:hAnsi="Aptos" w:eastAsia="Aptos" w:cs="Aptos"/>
          <w:noProof w:val="0"/>
          <w:sz w:val="24"/>
          <w:szCs w:val="24"/>
          <w:lang w:val="en-GB"/>
        </w:rPr>
        <w:t xml:space="preserve"> used</w:t>
      </w:r>
      <w:r w:rsidRPr="257BFE88" w:rsidR="40DC315C">
        <w:rPr>
          <w:rFonts w:ascii="Aptos" w:hAnsi="Aptos" w:eastAsia="Aptos" w:cs="Aptos"/>
          <w:noProof w:val="0"/>
          <w:sz w:val="24"/>
          <w:szCs w:val="24"/>
          <w:lang w:val="en-GB"/>
        </w:rPr>
        <w:t xml:space="preserve"> as the case study because it</w:t>
      </w:r>
      <w:r w:rsidRPr="257BFE88" w:rsidR="46486854">
        <w:rPr>
          <w:rFonts w:ascii="Aptos" w:hAnsi="Aptos" w:eastAsia="Aptos" w:cs="Aptos"/>
          <w:noProof w:val="0"/>
          <w:sz w:val="24"/>
          <w:szCs w:val="24"/>
          <w:lang w:val="en-GB"/>
        </w:rPr>
        <w:t xml:space="preserve"> i</w:t>
      </w:r>
      <w:r w:rsidRPr="257BFE88" w:rsidR="40DC315C">
        <w:rPr>
          <w:rFonts w:ascii="Aptos" w:hAnsi="Aptos" w:eastAsia="Aptos" w:cs="Aptos"/>
          <w:noProof w:val="0"/>
          <w:sz w:val="24"/>
          <w:szCs w:val="24"/>
          <w:lang w:val="en-GB"/>
        </w:rPr>
        <w:t xml:space="preserve">s </w:t>
      </w:r>
      <w:r w:rsidRPr="257BFE88" w:rsidR="3F141E81">
        <w:rPr>
          <w:rFonts w:ascii="Aptos" w:hAnsi="Aptos" w:eastAsia="Aptos" w:cs="Aptos"/>
          <w:noProof w:val="0"/>
          <w:sz w:val="24"/>
          <w:szCs w:val="24"/>
          <w:lang w:val="en-GB"/>
        </w:rPr>
        <w:t>the largest asset management company</w:t>
      </w:r>
      <w:r w:rsidRPr="257BFE88" w:rsidR="40DC315C">
        <w:rPr>
          <w:rFonts w:ascii="Aptos" w:hAnsi="Aptos" w:eastAsia="Aptos" w:cs="Aptos"/>
          <w:noProof w:val="0"/>
          <w:sz w:val="24"/>
          <w:szCs w:val="24"/>
          <w:lang w:val="en-GB"/>
        </w:rPr>
        <w:t xml:space="preserve"> and extensive</w:t>
      </w:r>
      <w:r w:rsidRPr="257BFE88" w:rsidR="1B4736B0">
        <w:rPr>
          <w:rFonts w:ascii="Aptos" w:hAnsi="Aptos" w:eastAsia="Aptos" w:cs="Aptos"/>
          <w:noProof w:val="0"/>
          <w:sz w:val="24"/>
          <w:szCs w:val="24"/>
          <w:lang w:val="en-GB"/>
        </w:rPr>
        <w:t>ly</w:t>
      </w:r>
      <w:r w:rsidRPr="257BFE88" w:rsidR="40DC315C">
        <w:rPr>
          <w:rFonts w:ascii="Aptos" w:hAnsi="Aptos" w:eastAsia="Aptos" w:cs="Aptos"/>
          <w:noProof w:val="0"/>
          <w:sz w:val="24"/>
          <w:szCs w:val="24"/>
          <w:lang w:val="en-GB"/>
        </w:rPr>
        <w:t xml:space="preserve"> use</w:t>
      </w:r>
      <w:r w:rsidRPr="257BFE88" w:rsidR="5E18AD07">
        <w:rPr>
          <w:rFonts w:ascii="Aptos" w:hAnsi="Aptos" w:eastAsia="Aptos" w:cs="Aptos"/>
          <w:noProof w:val="0"/>
          <w:sz w:val="24"/>
          <w:szCs w:val="24"/>
          <w:lang w:val="en-GB"/>
        </w:rPr>
        <w:t>s</w:t>
      </w:r>
      <w:r w:rsidRPr="257BFE88" w:rsidR="40DC315C">
        <w:rPr>
          <w:rFonts w:ascii="Aptos" w:hAnsi="Aptos" w:eastAsia="Aptos" w:cs="Aptos"/>
          <w:noProof w:val="0"/>
          <w:sz w:val="24"/>
          <w:szCs w:val="24"/>
          <w:lang w:val="en-GB"/>
        </w:rPr>
        <w:t xml:space="preserve"> ESG</w:t>
      </w:r>
      <w:r w:rsidRPr="257BFE88" w:rsidR="30C67BF8">
        <w:rPr>
          <w:rFonts w:ascii="Aptos" w:hAnsi="Aptos" w:eastAsia="Aptos" w:cs="Aptos"/>
          <w:noProof w:val="0"/>
          <w:sz w:val="24"/>
          <w:szCs w:val="24"/>
          <w:lang w:val="en-GB"/>
        </w:rPr>
        <w:t xml:space="preserve"> based</w:t>
      </w:r>
      <w:r w:rsidRPr="257BFE88" w:rsidR="73BEC41F">
        <w:rPr>
          <w:rFonts w:ascii="Aptos" w:hAnsi="Aptos" w:eastAsia="Aptos" w:cs="Aptos"/>
          <w:noProof w:val="0"/>
          <w:sz w:val="24"/>
          <w:szCs w:val="24"/>
          <w:lang w:val="en-GB"/>
        </w:rPr>
        <w:t xml:space="preserve"> </w:t>
      </w:r>
      <w:r w:rsidRPr="257BFE88" w:rsidR="40DC315C">
        <w:rPr>
          <w:rFonts w:ascii="Aptos" w:hAnsi="Aptos" w:eastAsia="Aptos" w:cs="Aptos"/>
          <w:noProof w:val="0"/>
          <w:sz w:val="24"/>
          <w:szCs w:val="24"/>
          <w:lang w:val="en-GB"/>
        </w:rPr>
        <w:t xml:space="preserve">investment products. </w:t>
      </w:r>
      <w:r w:rsidRPr="257BFE88" w:rsidR="1C0C919A">
        <w:rPr>
          <w:rFonts w:ascii="Aptos" w:hAnsi="Aptos" w:eastAsia="Aptos" w:cs="Aptos"/>
          <w:noProof w:val="0"/>
          <w:sz w:val="24"/>
          <w:szCs w:val="24"/>
          <w:lang w:val="en-GB"/>
        </w:rPr>
        <w:t>The researc</w:t>
      </w:r>
      <w:r w:rsidRPr="257BFE88" w:rsidR="1C0C919A">
        <w:rPr>
          <w:rFonts w:ascii="Aptos" w:hAnsi="Aptos" w:eastAsia="Aptos" w:cs="Aptos"/>
          <w:noProof w:val="0"/>
          <w:sz w:val="24"/>
          <w:szCs w:val="24"/>
          <w:lang w:val="en-GB"/>
        </w:rPr>
        <w:t>h</w:t>
      </w:r>
      <w:r w:rsidRPr="257BFE88" w:rsidR="40DC315C">
        <w:rPr>
          <w:rFonts w:ascii="Aptos" w:hAnsi="Aptos" w:eastAsia="Aptos" w:cs="Aptos"/>
          <w:noProof w:val="0"/>
          <w:sz w:val="24"/>
          <w:szCs w:val="24"/>
          <w:lang w:val="en-GB"/>
        </w:rPr>
        <w:t xml:space="preserve"> l</w:t>
      </w:r>
      <w:r w:rsidRPr="257BFE88" w:rsidR="40DC315C">
        <w:rPr>
          <w:rFonts w:ascii="Aptos" w:hAnsi="Aptos" w:eastAsia="Aptos" w:cs="Aptos"/>
          <w:noProof w:val="0"/>
          <w:sz w:val="24"/>
          <w:szCs w:val="24"/>
          <w:lang w:val="en-GB"/>
        </w:rPr>
        <w:t xml:space="preserve">ooks at how BlackRock uses ESG scores </w:t>
      </w:r>
      <w:r w:rsidRPr="257BFE88" w:rsidR="6DEC2D75">
        <w:rPr>
          <w:rFonts w:ascii="Aptos" w:hAnsi="Aptos" w:eastAsia="Aptos" w:cs="Aptos"/>
          <w:noProof w:val="0"/>
          <w:sz w:val="24"/>
          <w:szCs w:val="24"/>
          <w:lang w:val="en-GB"/>
        </w:rPr>
        <w:t xml:space="preserve">in </w:t>
      </w:r>
      <w:r w:rsidRPr="257BFE88" w:rsidR="40DC315C">
        <w:rPr>
          <w:rFonts w:ascii="Aptos" w:hAnsi="Aptos" w:eastAsia="Aptos" w:cs="Aptos"/>
          <w:noProof w:val="0"/>
          <w:sz w:val="24"/>
          <w:szCs w:val="24"/>
          <w:lang w:val="en-GB"/>
        </w:rPr>
        <w:t>MSCI ratings</w:t>
      </w:r>
      <w:r w:rsidRPr="257BFE88" w:rsidR="1B334040">
        <w:rPr>
          <w:rFonts w:ascii="Aptos" w:hAnsi="Aptos" w:eastAsia="Aptos" w:cs="Aptos"/>
          <w:noProof w:val="0"/>
          <w:sz w:val="24"/>
          <w:szCs w:val="24"/>
          <w:lang w:val="en-GB"/>
        </w:rPr>
        <w:t xml:space="preserve"> </w:t>
      </w:r>
      <w:r w:rsidRPr="257BFE88" w:rsidR="1B334040">
        <w:rPr>
          <w:rFonts w:ascii="Aptos" w:hAnsi="Aptos" w:eastAsia="Aptos" w:cs="Aptos"/>
          <w:noProof w:val="0"/>
          <w:color w:val="000000" w:themeColor="text1" w:themeTint="FF" w:themeShade="FF"/>
          <w:sz w:val="24"/>
          <w:szCs w:val="24"/>
          <w:lang w:val="en-GB"/>
        </w:rPr>
        <w:t>(MSCI, 2025 and MSCI, 2026)</w:t>
      </w:r>
      <w:r w:rsidRPr="257BFE88" w:rsidR="54481BD1">
        <w:rPr>
          <w:rFonts w:ascii="Aptos" w:hAnsi="Aptos" w:eastAsia="Aptos" w:cs="Aptos"/>
          <w:noProof w:val="0"/>
          <w:color w:val="000000" w:themeColor="text1" w:themeTint="FF" w:themeShade="FF"/>
          <w:sz w:val="24"/>
          <w:szCs w:val="24"/>
          <w:lang w:val="en-GB"/>
        </w:rPr>
        <w:t xml:space="preserve"> in</w:t>
      </w:r>
      <w:r w:rsidRPr="257BFE88" w:rsidR="40DC315C">
        <w:rPr>
          <w:rFonts w:ascii="Aptos" w:hAnsi="Aptos" w:eastAsia="Aptos" w:cs="Aptos"/>
          <w:noProof w:val="0"/>
          <w:sz w:val="24"/>
          <w:szCs w:val="24"/>
          <w:lang w:val="en-GB"/>
        </w:rPr>
        <w:t xml:space="preserve"> product reporting</w:t>
      </w:r>
      <w:r w:rsidRPr="257BFE88" w:rsidR="2D263960">
        <w:rPr>
          <w:rFonts w:ascii="Aptos" w:hAnsi="Aptos" w:eastAsia="Aptos" w:cs="Aptos"/>
          <w:noProof w:val="0"/>
          <w:sz w:val="24"/>
          <w:szCs w:val="24"/>
          <w:lang w:val="en-GB"/>
        </w:rPr>
        <w:t xml:space="preserve"> </w:t>
      </w:r>
      <w:r w:rsidRPr="257BFE88" w:rsidR="40DC315C">
        <w:rPr>
          <w:rFonts w:ascii="Aptos" w:hAnsi="Aptos" w:eastAsia="Aptos" w:cs="Aptos"/>
          <w:noProof w:val="0"/>
          <w:sz w:val="24"/>
          <w:szCs w:val="24"/>
          <w:lang w:val="en-GB"/>
        </w:rPr>
        <w:t xml:space="preserve">and </w:t>
      </w:r>
      <w:r w:rsidRPr="257BFE88" w:rsidR="3CB9E567">
        <w:rPr>
          <w:rFonts w:ascii="Aptos" w:hAnsi="Aptos" w:eastAsia="Aptos" w:cs="Aptos"/>
          <w:noProof w:val="0"/>
          <w:sz w:val="24"/>
          <w:szCs w:val="24"/>
          <w:lang w:val="en-GB"/>
        </w:rPr>
        <w:t>also</w:t>
      </w:r>
      <w:r w:rsidRPr="257BFE88" w:rsidR="70B3DFD1">
        <w:rPr>
          <w:rFonts w:ascii="Aptos" w:hAnsi="Aptos" w:eastAsia="Aptos" w:cs="Aptos"/>
          <w:noProof w:val="0"/>
          <w:sz w:val="24"/>
          <w:szCs w:val="24"/>
          <w:lang w:val="en-GB"/>
        </w:rPr>
        <w:t xml:space="preserve"> communications on</w:t>
      </w:r>
      <w:r w:rsidRPr="257BFE88" w:rsidR="3CB9E567">
        <w:rPr>
          <w:rFonts w:ascii="Aptos" w:hAnsi="Aptos" w:eastAsia="Aptos" w:cs="Aptos"/>
          <w:noProof w:val="0"/>
          <w:sz w:val="24"/>
          <w:szCs w:val="24"/>
          <w:lang w:val="en-GB"/>
        </w:rPr>
        <w:t xml:space="preserve"> </w:t>
      </w:r>
      <w:r w:rsidRPr="257BFE88" w:rsidR="40DC315C">
        <w:rPr>
          <w:rFonts w:ascii="Aptos" w:hAnsi="Aptos" w:eastAsia="Aptos" w:cs="Aptos"/>
          <w:noProof w:val="0"/>
          <w:sz w:val="24"/>
          <w:szCs w:val="24"/>
          <w:lang w:val="en-GB"/>
        </w:rPr>
        <w:t>responsible investment.</w:t>
      </w:r>
      <w:r w:rsidRPr="257BFE88" w:rsidR="40DC315C">
        <w:rPr>
          <w:rFonts w:ascii="Aptos" w:hAnsi="Aptos" w:eastAsia="Aptos" w:cs="Aptos"/>
          <w:noProof w:val="0"/>
          <w:sz w:val="24"/>
          <w:szCs w:val="24"/>
          <w:lang w:val="en-GB"/>
        </w:rPr>
        <w:t xml:space="preserve"> </w:t>
      </w:r>
      <w:r w:rsidRPr="257BFE88" w:rsidR="1DB2F7A8">
        <w:rPr>
          <w:rFonts w:ascii="Aptos" w:hAnsi="Aptos" w:eastAsia="Aptos" w:cs="Aptos"/>
          <w:noProof w:val="0"/>
          <w:sz w:val="24"/>
          <w:szCs w:val="24"/>
          <w:lang w:val="en-GB"/>
        </w:rPr>
        <w:t>The research then considers the wider market consequences of investment practices that rely on ESG ratings</w:t>
      </w:r>
      <w:r w:rsidRPr="257BFE88" w:rsidR="01EB0270">
        <w:rPr>
          <w:rFonts w:ascii="Aptos" w:hAnsi="Aptos" w:eastAsia="Aptos" w:cs="Aptos"/>
          <w:noProof w:val="0"/>
          <w:sz w:val="24"/>
          <w:szCs w:val="24"/>
          <w:lang w:val="en-GB"/>
        </w:rPr>
        <w:t xml:space="preserve"> and assesses the</w:t>
      </w:r>
      <w:r w:rsidRPr="257BFE88" w:rsidR="40DC315C">
        <w:rPr>
          <w:rFonts w:ascii="Aptos" w:hAnsi="Aptos" w:eastAsia="Aptos" w:cs="Aptos"/>
          <w:noProof w:val="0"/>
          <w:sz w:val="24"/>
          <w:szCs w:val="24"/>
          <w:lang w:val="en-GB"/>
        </w:rPr>
        <w:t xml:space="preserve"> fairness, </w:t>
      </w:r>
      <w:r w:rsidRPr="257BFE88" w:rsidR="40DC315C">
        <w:rPr>
          <w:rFonts w:ascii="Aptos" w:hAnsi="Aptos" w:eastAsia="Aptos" w:cs="Aptos"/>
          <w:noProof w:val="0"/>
          <w:sz w:val="24"/>
          <w:szCs w:val="24"/>
          <w:lang w:val="en-GB"/>
        </w:rPr>
        <w:t>c</w:t>
      </w:r>
      <w:r w:rsidRPr="257BFE88" w:rsidR="40DC315C">
        <w:rPr>
          <w:rFonts w:ascii="Aptos" w:hAnsi="Aptos" w:eastAsia="Aptos" w:cs="Aptos"/>
          <w:noProof w:val="0"/>
          <w:sz w:val="24"/>
          <w:szCs w:val="24"/>
          <w:lang w:val="en-GB"/>
        </w:rPr>
        <w:t>onsistency</w:t>
      </w:r>
      <w:r w:rsidRPr="257BFE88" w:rsidR="40DC315C">
        <w:rPr>
          <w:rFonts w:ascii="Aptos" w:hAnsi="Aptos" w:eastAsia="Aptos" w:cs="Aptos"/>
          <w:noProof w:val="0"/>
          <w:sz w:val="24"/>
          <w:szCs w:val="24"/>
          <w:lang w:val="en-GB"/>
        </w:rPr>
        <w:t xml:space="preserve"> </w:t>
      </w:r>
      <w:r w:rsidRPr="257BFE88" w:rsidR="40DC315C">
        <w:rPr>
          <w:rFonts w:ascii="Aptos" w:hAnsi="Aptos" w:eastAsia="Aptos" w:cs="Aptos"/>
          <w:noProof w:val="0"/>
          <w:sz w:val="24"/>
          <w:szCs w:val="24"/>
          <w:lang w:val="en-GB"/>
        </w:rPr>
        <w:t xml:space="preserve">and </w:t>
      </w:r>
      <w:r w:rsidRPr="257BFE88" w:rsidR="4B2EEE34">
        <w:rPr>
          <w:rFonts w:ascii="Aptos" w:hAnsi="Aptos" w:eastAsia="Aptos" w:cs="Aptos"/>
          <w:noProof w:val="0"/>
          <w:sz w:val="24"/>
          <w:szCs w:val="24"/>
          <w:lang w:val="en-GB"/>
        </w:rPr>
        <w:t xml:space="preserve">wider </w:t>
      </w:r>
      <w:r w:rsidRPr="257BFE88" w:rsidR="40DC315C">
        <w:rPr>
          <w:rFonts w:ascii="Aptos" w:hAnsi="Aptos" w:eastAsia="Aptos" w:cs="Aptos"/>
          <w:noProof w:val="0"/>
          <w:sz w:val="24"/>
          <w:szCs w:val="24"/>
          <w:lang w:val="en-GB"/>
        </w:rPr>
        <w:t>implications of ESG scoring systems</w:t>
      </w:r>
      <w:r w:rsidRPr="257BFE88" w:rsidR="7C1A8958">
        <w:rPr>
          <w:rFonts w:ascii="Aptos" w:hAnsi="Aptos" w:eastAsia="Aptos" w:cs="Aptos"/>
          <w:noProof w:val="0"/>
          <w:sz w:val="24"/>
          <w:szCs w:val="24"/>
          <w:lang w:val="en-GB"/>
        </w:rPr>
        <w:t>. Finally, it</w:t>
      </w:r>
      <w:r w:rsidRPr="257BFE88" w:rsidR="40DC315C">
        <w:rPr>
          <w:rFonts w:ascii="Aptos" w:hAnsi="Aptos" w:eastAsia="Aptos" w:cs="Aptos"/>
          <w:noProof w:val="0"/>
          <w:sz w:val="24"/>
          <w:szCs w:val="24"/>
          <w:lang w:val="en-GB"/>
        </w:rPr>
        <w:t xml:space="preserve"> offers recommendations for </w:t>
      </w:r>
      <w:r w:rsidRPr="257BFE88" w:rsidR="3DB2119D">
        <w:rPr>
          <w:rFonts w:ascii="Aptos" w:hAnsi="Aptos" w:eastAsia="Aptos" w:cs="Aptos"/>
          <w:noProof w:val="0"/>
          <w:sz w:val="24"/>
          <w:szCs w:val="24"/>
          <w:lang w:val="en-GB"/>
        </w:rPr>
        <w:t xml:space="preserve">a </w:t>
      </w:r>
      <w:r w:rsidRPr="257BFE88" w:rsidR="40DC315C">
        <w:rPr>
          <w:rFonts w:ascii="Aptos" w:hAnsi="Aptos" w:eastAsia="Aptos" w:cs="Aptos"/>
          <w:noProof w:val="0"/>
          <w:sz w:val="24"/>
          <w:szCs w:val="24"/>
          <w:lang w:val="en-GB"/>
        </w:rPr>
        <w:t>more balanced and clearly understood approach</w:t>
      </w:r>
      <w:r w:rsidRPr="257BFE88" w:rsidR="2BF18A9B">
        <w:rPr>
          <w:rFonts w:ascii="Aptos" w:hAnsi="Aptos" w:eastAsia="Aptos" w:cs="Aptos"/>
          <w:noProof w:val="0"/>
          <w:sz w:val="24"/>
          <w:szCs w:val="24"/>
          <w:lang w:val="en-GB"/>
        </w:rPr>
        <w:t xml:space="preserve"> </w:t>
      </w:r>
      <w:r w:rsidRPr="257BFE88" w:rsidR="40DC315C">
        <w:rPr>
          <w:rFonts w:ascii="Aptos" w:hAnsi="Aptos" w:eastAsia="Aptos" w:cs="Aptos"/>
          <w:noProof w:val="0"/>
          <w:sz w:val="24"/>
          <w:szCs w:val="24"/>
          <w:lang w:val="en-GB"/>
        </w:rPr>
        <w:t>to</w:t>
      </w:r>
      <w:r w:rsidRPr="257BFE88" w:rsidR="40DC315C">
        <w:rPr>
          <w:rFonts w:ascii="Aptos" w:hAnsi="Aptos" w:eastAsia="Aptos" w:cs="Aptos"/>
          <w:noProof w:val="0"/>
          <w:sz w:val="24"/>
          <w:szCs w:val="24"/>
          <w:lang w:val="en-GB"/>
        </w:rPr>
        <w:t xml:space="preserve"> capital allocation</w:t>
      </w:r>
      <w:r w:rsidRPr="257BFE88" w:rsidR="0BFD71D5">
        <w:rPr>
          <w:rFonts w:ascii="Aptos" w:hAnsi="Aptos" w:eastAsia="Aptos" w:cs="Aptos"/>
          <w:noProof w:val="0"/>
          <w:sz w:val="24"/>
          <w:szCs w:val="24"/>
          <w:lang w:val="en-GB"/>
        </w:rPr>
        <w:t xml:space="preserve"> </w:t>
      </w:r>
      <w:r w:rsidRPr="257BFE88" w:rsidR="1F705E1F">
        <w:rPr>
          <w:rFonts w:ascii="Aptos" w:hAnsi="Aptos" w:eastAsia="Aptos" w:cs="Aptos"/>
          <w:noProof w:val="0"/>
          <w:sz w:val="24"/>
          <w:szCs w:val="24"/>
          <w:lang w:val="en-GB"/>
        </w:rPr>
        <w:t xml:space="preserve">that is focused on </w:t>
      </w:r>
      <w:r w:rsidRPr="257BFE88" w:rsidR="17176336">
        <w:rPr>
          <w:rFonts w:ascii="Aptos" w:hAnsi="Aptos" w:eastAsia="Aptos" w:cs="Aptos"/>
          <w:noProof w:val="0"/>
          <w:sz w:val="24"/>
          <w:szCs w:val="24"/>
          <w:lang w:val="en-GB"/>
        </w:rPr>
        <w:t>sustainability</w:t>
      </w:r>
      <w:r w:rsidRPr="257BFE88" w:rsidR="40DC315C">
        <w:rPr>
          <w:rFonts w:ascii="Aptos" w:hAnsi="Aptos" w:eastAsia="Aptos" w:cs="Aptos"/>
          <w:noProof w:val="0"/>
          <w:sz w:val="24"/>
          <w:szCs w:val="24"/>
          <w:lang w:val="en-GB"/>
        </w:rPr>
        <w:t>.</w:t>
      </w:r>
    </w:p>
    <w:p w:rsidRPr="003137A2" w:rsidR="003137A2" w:rsidP="003137A2" w:rsidRDefault="003137A2" w14:paraId="5D88A2F2" w14:textId="77777777">
      <w:pPr>
        <w:spacing w:before="240" w:after="240" w:line="240" w:lineRule="auto"/>
        <w:rPr>
          <w:rFonts w:eastAsia="Times New Roman" w:cs="Times New Roman"/>
          <w:kern w:val="0"/>
          <w:lang w:eastAsia="en-GB"/>
          <w14:ligatures w14:val="none"/>
        </w:rPr>
      </w:pPr>
      <w:r w:rsidRPr="003137A2">
        <w:rPr>
          <w:rFonts w:eastAsia="Times New Roman" w:cs="Arial"/>
          <w:color w:val="000000"/>
          <w:kern w:val="0"/>
          <w:lang w:eastAsia="en-GB"/>
          <w14:ligatures w14:val="none"/>
        </w:rPr>
        <w:br/>
      </w:r>
      <w:r w:rsidRPr="003137A2">
        <w:rPr>
          <w:rFonts w:eastAsia="Times New Roman" w:cs="Arial"/>
          <w:color w:val="000000"/>
          <w:kern w:val="0"/>
          <w:lang w:eastAsia="en-GB"/>
          <w14:ligatures w14:val="none"/>
        </w:rPr>
        <w:br/>
      </w:r>
      <w:r w:rsidRPr="003137A2">
        <w:rPr>
          <w:rFonts w:eastAsia="Times New Roman" w:cs="Arial"/>
          <w:color w:val="000000"/>
          <w:kern w:val="0"/>
          <w:lang w:eastAsia="en-GB"/>
          <w14:ligatures w14:val="none"/>
        </w:rPr>
        <w:br/>
      </w:r>
    </w:p>
    <w:p w:rsidRPr="003137A2" w:rsidR="003137A2" w:rsidP="003137A2" w:rsidRDefault="003137A2" w14:paraId="5DE0169F" w14:textId="77777777">
      <w:pPr>
        <w:spacing w:before="240" w:after="240" w:line="240" w:lineRule="auto"/>
        <w:jc w:val="center"/>
        <w:rPr>
          <w:rFonts w:ascii="Times New Roman" w:hAnsi="Times New Roman" w:eastAsia="Times New Roman" w:cs="Times New Roman"/>
          <w:kern w:val="0"/>
          <w:lang w:eastAsia="en-GB"/>
          <w14:ligatures w14:val="none"/>
        </w:rPr>
      </w:pPr>
      <w:r w:rsidRPr="003137A2">
        <w:rPr>
          <w:rFonts w:ascii="Arial" w:hAnsi="Arial" w:eastAsia="Times New Roman" w:cs="Arial"/>
          <w:color w:val="000000"/>
          <w:kern w:val="0"/>
          <w:lang w:eastAsia="en-GB"/>
          <w14:ligatures w14:val="none"/>
        </w:rPr>
        <w:br/>
      </w:r>
    </w:p>
    <w:p w:rsidRPr="003137A2" w:rsidR="003137A2" w:rsidP="003137A2" w:rsidRDefault="003137A2" w14:paraId="78D0C380" w14:textId="77777777">
      <w:pPr>
        <w:spacing w:before="240" w:after="240" w:line="240" w:lineRule="auto"/>
        <w:jc w:val="center"/>
        <w:rPr>
          <w:rFonts w:ascii="Times New Roman" w:hAnsi="Times New Roman" w:eastAsia="Times New Roman" w:cs="Times New Roman"/>
          <w:kern w:val="0"/>
          <w:lang w:eastAsia="en-GB"/>
          <w14:ligatures w14:val="none"/>
        </w:rPr>
      </w:pPr>
      <w:r w:rsidRPr="003137A2">
        <w:rPr>
          <w:rFonts w:ascii="Aptos" w:hAnsi="Aptos" w:eastAsia="Times New Roman" w:cs="Times New Roman"/>
          <w:color w:val="000000"/>
          <w:kern w:val="0"/>
          <w:sz w:val="28"/>
          <w:szCs w:val="28"/>
          <w:lang w:eastAsia="en-GB"/>
          <w14:ligatures w14:val="none"/>
        </w:rPr>
        <w:t> </w:t>
      </w:r>
    </w:p>
    <w:p w:rsidRPr="003137A2" w:rsidR="003137A2" w:rsidP="003137A2" w:rsidRDefault="003137A2" w14:paraId="7BE8FB5C" w14:textId="77777777">
      <w:pPr>
        <w:spacing w:before="240" w:after="240" w:line="240" w:lineRule="auto"/>
        <w:jc w:val="center"/>
        <w:rPr>
          <w:rFonts w:ascii="Times New Roman" w:hAnsi="Times New Roman" w:eastAsia="Times New Roman" w:cs="Times New Roman"/>
          <w:kern w:val="0"/>
          <w:lang w:eastAsia="en-GB"/>
          <w14:ligatures w14:val="none"/>
        </w:rPr>
      </w:pPr>
      <w:r w:rsidRPr="003137A2">
        <w:rPr>
          <w:rFonts w:ascii="Aptos" w:hAnsi="Aptos" w:eastAsia="Times New Roman" w:cs="Times New Roman"/>
          <w:color w:val="000000"/>
          <w:kern w:val="0"/>
          <w:sz w:val="28"/>
          <w:szCs w:val="28"/>
          <w:lang w:eastAsia="en-GB"/>
          <w14:ligatures w14:val="none"/>
        </w:rPr>
        <w:t> </w:t>
      </w:r>
    </w:p>
    <w:p w:rsidRPr="003137A2" w:rsidR="003137A2" w:rsidP="003137A2" w:rsidRDefault="003137A2" w14:paraId="33FFEDFC" w14:textId="77777777">
      <w:pPr>
        <w:spacing w:before="240" w:after="240" w:line="240" w:lineRule="auto"/>
        <w:jc w:val="center"/>
        <w:rPr>
          <w:rFonts w:ascii="Times New Roman" w:hAnsi="Times New Roman" w:eastAsia="Times New Roman" w:cs="Times New Roman"/>
          <w:kern w:val="0"/>
          <w:lang w:eastAsia="en-GB"/>
          <w14:ligatures w14:val="none"/>
        </w:rPr>
      </w:pPr>
      <w:r w:rsidRPr="003137A2">
        <w:rPr>
          <w:rFonts w:ascii="Aptos" w:hAnsi="Aptos" w:eastAsia="Times New Roman" w:cs="Times New Roman"/>
          <w:color w:val="000000"/>
          <w:kern w:val="0"/>
          <w:sz w:val="28"/>
          <w:szCs w:val="28"/>
          <w:lang w:eastAsia="en-GB"/>
          <w14:ligatures w14:val="none"/>
        </w:rPr>
        <w:t> </w:t>
      </w:r>
    </w:p>
    <w:p w:rsidRPr="003137A2" w:rsidR="003137A2" w:rsidP="003137A2" w:rsidRDefault="003137A2" w14:paraId="7C59B63C" w14:textId="77777777">
      <w:pPr>
        <w:spacing w:before="240" w:after="240" w:line="240" w:lineRule="auto"/>
        <w:jc w:val="center"/>
        <w:rPr>
          <w:rFonts w:ascii="Times New Roman" w:hAnsi="Times New Roman" w:eastAsia="Times New Roman" w:cs="Times New Roman"/>
          <w:kern w:val="0"/>
          <w:lang w:eastAsia="en-GB"/>
          <w14:ligatures w14:val="none"/>
        </w:rPr>
      </w:pPr>
      <w:r w:rsidRPr="003137A2">
        <w:rPr>
          <w:rFonts w:ascii="Aptos" w:hAnsi="Aptos" w:eastAsia="Times New Roman" w:cs="Times New Roman"/>
          <w:color w:val="000000"/>
          <w:kern w:val="0"/>
          <w:sz w:val="28"/>
          <w:szCs w:val="28"/>
          <w:lang w:eastAsia="en-GB"/>
          <w14:ligatures w14:val="none"/>
        </w:rPr>
        <w:t> </w:t>
      </w:r>
    </w:p>
    <w:p w:rsidRPr="003137A2" w:rsidR="003137A2" w:rsidP="003137A2" w:rsidRDefault="003137A2" w14:paraId="18B105E6" w14:textId="77777777">
      <w:pPr>
        <w:spacing w:before="240" w:after="240" w:line="240" w:lineRule="auto"/>
        <w:jc w:val="center"/>
        <w:rPr>
          <w:rFonts w:ascii="Times New Roman" w:hAnsi="Times New Roman" w:eastAsia="Times New Roman" w:cs="Times New Roman"/>
          <w:kern w:val="0"/>
          <w:lang w:eastAsia="en-GB"/>
          <w14:ligatures w14:val="none"/>
        </w:rPr>
      </w:pPr>
      <w:r w:rsidRPr="003137A2">
        <w:rPr>
          <w:rFonts w:ascii="Aptos" w:hAnsi="Aptos" w:eastAsia="Times New Roman" w:cs="Times New Roman"/>
          <w:color w:val="000000"/>
          <w:kern w:val="0"/>
          <w:sz w:val="28"/>
          <w:szCs w:val="28"/>
          <w:lang w:eastAsia="en-GB"/>
          <w14:ligatures w14:val="none"/>
        </w:rPr>
        <w:t> </w:t>
      </w:r>
    </w:p>
    <w:p w:rsidRPr="003137A2" w:rsidR="003137A2" w:rsidP="003137A2" w:rsidRDefault="003137A2" w14:paraId="5A3C03D2" w14:textId="77777777">
      <w:pPr>
        <w:spacing w:before="240" w:after="240" w:line="240" w:lineRule="auto"/>
        <w:jc w:val="center"/>
        <w:rPr>
          <w:rFonts w:ascii="Times New Roman" w:hAnsi="Times New Roman" w:eastAsia="Times New Roman" w:cs="Times New Roman"/>
          <w:kern w:val="0"/>
          <w:lang w:eastAsia="en-GB"/>
          <w14:ligatures w14:val="none"/>
        </w:rPr>
      </w:pPr>
      <w:r w:rsidRPr="003137A2">
        <w:rPr>
          <w:rFonts w:ascii="Aptos" w:hAnsi="Aptos" w:eastAsia="Times New Roman" w:cs="Times New Roman"/>
          <w:color w:val="000000"/>
          <w:kern w:val="0"/>
          <w:sz w:val="28"/>
          <w:szCs w:val="28"/>
          <w:lang w:eastAsia="en-GB"/>
          <w14:ligatures w14:val="none"/>
        </w:rPr>
        <w:t> </w:t>
      </w:r>
    </w:p>
    <w:p w:rsidRPr="003137A2" w:rsidR="003137A2" w:rsidP="003137A2" w:rsidRDefault="003137A2" w14:paraId="4B6B8321" w14:textId="77777777">
      <w:pPr>
        <w:spacing w:before="240" w:after="240" w:line="240" w:lineRule="auto"/>
        <w:jc w:val="center"/>
        <w:rPr>
          <w:rFonts w:ascii="Aptos" w:hAnsi="Aptos" w:eastAsia="Times New Roman" w:cs="Times New Roman"/>
          <w:color w:val="000000"/>
          <w:kern w:val="0"/>
          <w:sz w:val="28"/>
          <w:szCs w:val="28"/>
          <w:lang w:eastAsia="en-GB"/>
          <w14:ligatures w14:val="none"/>
        </w:rPr>
      </w:pPr>
    </w:p>
    <w:p w:rsidRPr="003137A2" w:rsidR="003137A2" w:rsidP="003137A2" w:rsidRDefault="003137A2" w14:paraId="76925BC8" w14:textId="77777777">
      <w:pPr>
        <w:spacing w:before="240" w:after="240" w:line="240" w:lineRule="auto"/>
        <w:jc w:val="center"/>
        <w:rPr>
          <w:rFonts w:ascii="Aptos" w:hAnsi="Aptos" w:eastAsia="Times New Roman" w:cs="Times New Roman"/>
          <w:color w:val="000000"/>
          <w:kern w:val="0"/>
          <w:sz w:val="28"/>
          <w:szCs w:val="28"/>
          <w:lang w:eastAsia="en-GB"/>
          <w14:ligatures w14:val="none"/>
        </w:rPr>
      </w:pPr>
    </w:p>
    <w:p w:rsidRPr="003137A2" w:rsidR="003137A2" w:rsidP="257BFE88" w:rsidRDefault="003137A2" w14:paraId="0E009211" w14:textId="77777777">
      <w:pPr>
        <w:keepNext w:val="1"/>
        <w:keepLines w:val="1"/>
        <w:spacing w:before="360" w:after="80"/>
        <w:outlineLvl w:val="0"/>
        <w:rPr>
          <w:rFonts w:ascii="Times New Roman" w:hAnsi="Times New Roman" w:eastAsia="Times New Roman" w:cs="" w:cstheme="majorBidi"/>
          <w:color w:val="0F4761" w:themeColor="accent1" w:themeShade="BF"/>
          <w:sz w:val="48"/>
          <w:szCs w:val="48"/>
          <w:lang w:eastAsia="en-GB"/>
        </w:rPr>
      </w:pPr>
      <w:bookmarkStart w:name="_Toc376402946" w:id="1558148250"/>
      <w:r w:rsidRPr="257BFE88" w:rsidR="6D7FFB3E">
        <w:rPr>
          <w:rFonts w:ascii="Aptos Display" w:hAnsi="Aptos Display" w:eastAsia="Times New Roman" w:cs="" w:asciiTheme="majorAscii" w:hAnsiTheme="majorAscii" w:cstheme="majorBidi"/>
          <w:color w:val="0F4761" w:themeColor="accent1" w:themeTint="FF" w:themeShade="BF"/>
          <w:sz w:val="40"/>
          <w:szCs w:val="40"/>
          <w:lang w:eastAsia="en-GB"/>
        </w:rPr>
        <w:t>2.Literature Review</w:t>
      </w:r>
      <w:bookmarkEnd w:id="1558148250"/>
    </w:p>
    <w:p w:rsidRPr="003137A2" w:rsidR="003137A2" w:rsidP="257BFE88" w:rsidRDefault="003137A2" w14:paraId="46F0606E" w14:textId="77777777">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2030262281" w:id="1396562830"/>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2.1 Research Approach</w:t>
      </w:r>
      <w:bookmarkEnd w:id="1396562830"/>
    </w:p>
    <w:p w:rsidRPr="003137A2" w:rsidR="003137A2" w:rsidP="003137A2" w:rsidRDefault="003137A2" w14:paraId="0EB03607" w14:textId="77777777">
      <w:pPr>
        <w:spacing w:before="240" w:after="240" w:line="240" w:lineRule="auto"/>
        <w:rPr>
          <w:rFonts w:ascii="Aptos" w:hAnsi="Aptos" w:eastAsia="Times New Roman" w:cs="Times New Roman"/>
          <w:color w:val="000000"/>
          <w:kern w:val="0"/>
          <w:shd w:val="clear" w:color="auto" w:fill="FFFFFF"/>
          <w:lang w:eastAsia="en-GB"/>
          <w14:ligatures w14:val="none"/>
        </w:rPr>
      </w:pPr>
      <w:r w:rsidRPr="003137A2">
        <w:rPr>
          <w:rFonts w:ascii="Aptos" w:hAnsi="Aptos" w:eastAsia="Times New Roman" w:cs="Times New Roman"/>
          <w:color w:val="000000"/>
          <w:kern w:val="0"/>
          <w:shd w:val="clear" w:color="auto" w:fill="FFFFFF"/>
          <w:lang w:eastAsia="en-GB"/>
          <w14:ligatures w14:val="none"/>
        </w:rPr>
        <w:t xml:space="preserve">Three texts inform the research approach applied in this study and guide how the literature is understood and evaluated. </w:t>
      </w:r>
    </w:p>
    <w:p w:rsidRPr="003137A2" w:rsidR="003137A2" w:rsidP="257BFE88" w:rsidRDefault="003137A2" w14:paraId="1A7EA28E" w14:textId="273D82FF">
      <w:pPr>
        <w:pStyle w:val="Normal"/>
        <w:spacing w:before="240" w:after="240" w:line="240" w:lineRule="auto"/>
        <w:rPr>
          <w:rFonts w:ascii="Aptos" w:hAnsi="Aptos" w:eastAsia="Times New Roman" w:cs="Times New Roman"/>
          <w:color w:val="000000" w:themeColor="text1" w:themeTint="FF" w:themeShade="FF"/>
          <w:lang w:eastAsia="en-GB"/>
        </w:rPr>
      </w:pPr>
      <w:r w:rsidRPr="08626363" w:rsidR="4DD27A12">
        <w:rPr>
          <w:rFonts w:ascii="Arial" w:hAnsi="Arial" w:eastAsia="Arial" w:cs="Arial"/>
          <w:noProof w:val="0"/>
          <w:color w:val="auto"/>
          <w:sz w:val="22"/>
          <w:szCs w:val="22"/>
          <w:lang w:val="en-GB"/>
        </w:rPr>
        <w:t>T</w:t>
      </w:r>
      <w:r w:rsidRPr="08626363" w:rsidR="4DD7959D">
        <w:rPr>
          <w:rFonts w:ascii="Arial" w:hAnsi="Arial" w:eastAsia="Arial" w:cs="Arial"/>
          <w:noProof w:val="0"/>
          <w:color w:val="auto"/>
          <w:sz w:val="22"/>
          <w:szCs w:val="22"/>
          <w:lang w:val="en-GB"/>
        </w:rPr>
        <w:t>he importance of reflection and critical thinking when working with complex and sometimes conflicting information</w:t>
      </w:r>
      <w:r w:rsidRPr="08626363" w:rsidR="50F32102">
        <w:rPr>
          <w:rFonts w:ascii="Arial" w:hAnsi="Arial" w:eastAsia="Arial" w:cs="Arial"/>
          <w:noProof w:val="0"/>
          <w:color w:val="auto"/>
          <w:sz w:val="22"/>
          <w:szCs w:val="22"/>
          <w:lang w:val="en-GB"/>
        </w:rPr>
        <w:t xml:space="preserve"> is detailed in and noted from </w:t>
      </w:r>
      <w:r w:rsidRPr="257BFE88" w:rsidR="50F32102">
        <w:rPr>
          <w:rFonts w:ascii="Arial" w:hAnsi="Arial" w:cs="Arial"/>
          <w:color w:val="auto"/>
          <w:sz w:val="22"/>
          <w:szCs w:val="22"/>
        </w:rPr>
        <w:t>(Cottrell, 2015)</w:t>
      </w:r>
      <w:r w:rsidRPr="003137A2" w:rsidR="74131136">
        <w:rPr>
          <w:rFonts w:ascii="Aptos" w:hAnsi="Aptos" w:eastAsia="Times New Roman" w:cs="Times New Roman"/>
          <w:color w:val="000000"/>
          <w:kern w:val="0"/>
          <w:shd w:val="clear" w:color="auto" w:fill="FFFFFF"/>
          <w:lang w:eastAsia="en-GB"/>
          <w14:ligatures w14:val="none"/>
        </w:rPr>
        <w:t xml:space="preserve">. Th</w:t>
      </w:r>
      <w:r w:rsidRPr="003137A2" w:rsidR="126DDF6A">
        <w:rPr>
          <w:rFonts w:ascii="Aptos" w:hAnsi="Aptos" w:eastAsia="Times New Roman" w:cs="Times New Roman"/>
          <w:color w:val="000000"/>
          <w:kern w:val="0"/>
          <w:shd w:val="clear" w:color="auto" w:fill="FFFFFF"/>
          <w:lang w:eastAsia="en-GB"/>
          <w14:ligatures w14:val="none"/>
        </w:rPr>
        <w:t xml:space="preserve">ese</w:t>
      </w:r>
      <w:r w:rsidRPr="003137A2" w:rsidR="74131136">
        <w:rPr>
          <w:rFonts w:ascii="Aptos" w:hAnsi="Aptos" w:eastAsia="Times New Roman" w:cs="Times New Roman"/>
          <w:color w:val="000000"/>
          <w:kern w:val="0"/>
          <w:shd w:val="clear" w:color="auto" w:fill="FFFFFF"/>
          <w:lang w:eastAsia="en-GB"/>
          <w14:ligatures w14:val="none"/>
        </w:rPr>
        <w:t xml:space="preserve"> </w:t>
      </w:r>
      <w:r w:rsidRPr="003137A2" w:rsidR="50850A58">
        <w:rPr>
          <w:rFonts w:ascii="Aptos" w:hAnsi="Aptos" w:eastAsia="Times New Roman" w:cs="Times New Roman"/>
          <w:color w:val="000000"/>
          <w:kern w:val="0"/>
          <w:shd w:val="clear" w:color="auto" w:fill="FFFFFF"/>
          <w:lang w:eastAsia="en-GB"/>
          <w14:ligatures w14:val="none"/>
        </w:rPr>
        <w:t xml:space="preserve">are</w:t>
      </w:r>
      <w:r w:rsidRPr="003137A2" w:rsidR="74131136">
        <w:rPr>
          <w:rFonts w:ascii="Aptos" w:hAnsi="Aptos" w:eastAsia="Times New Roman" w:cs="Times New Roman"/>
          <w:color w:val="000000"/>
          <w:kern w:val="0"/>
          <w:shd w:val="clear" w:color="auto" w:fill="FFFFFF"/>
          <w:lang w:eastAsia="en-GB"/>
          <w14:ligatures w14:val="none"/>
        </w:rPr>
        <w:t xml:space="preserve"> essential skill</w:t>
      </w:r>
      <w:r w:rsidRPr="003137A2" w:rsidR="3C836D2A">
        <w:rPr>
          <w:rFonts w:ascii="Aptos" w:hAnsi="Aptos" w:eastAsia="Times New Roman" w:cs="Times New Roman"/>
          <w:color w:val="000000"/>
          <w:kern w:val="0"/>
          <w:shd w:val="clear" w:color="auto" w:fill="FFFFFF"/>
          <w:lang w:eastAsia="en-GB"/>
          <w14:ligatures w14:val="none"/>
        </w:rPr>
        <w:t xml:space="preserve">s</w:t>
      </w:r>
      <w:r w:rsidRPr="003137A2" w:rsidR="74131136">
        <w:rPr>
          <w:rFonts w:ascii="Aptos" w:hAnsi="Aptos" w:eastAsia="Times New Roman" w:cs="Times New Roman"/>
          <w:color w:val="000000"/>
          <w:kern w:val="0"/>
          <w:shd w:val="clear" w:color="auto" w:fill="FFFFFF"/>
          <w:lang w:eastAsia="en-GB"/>
          <w14:ligatures w14:val="none"/>
        </w:rPr>
        <w:t xml:space="preserve"> when analysing ESG scoring systems, which require careful </w:t>
      </w:r>
      <w:r w:rsidRPr="003137A2" w:rsidR="6C6950F8">
        <w:rPr>
          <w:rFonts w:ascii="Aptos" w:hAnsi="Aptos" w:eastAsia="Times New Roman" w:cs="Times New Roman"/>
          <w:color w:val="000000"/>
          <w:kern w:val="0"/>
          <w:shd w:val="clear" w:color="auto" w:fill="FFFFFF"/>
          <w:lang w:eastAsia="en-GB"/>
          <w14:ligatures w14:val="none"/>
        </w:rPr>
        <w:t xml:space="preserve">consideration and </w:t>
      </w:r>
      <w:r w:rsidRPr="003137A2" w:rsidR="74131136">
        <w:rPr>
          <w:rFonts w:ascii="Aptos" w:hAnsi="Aptos" w:eastAsia="Times New Roman" w:cs="Times New Roman"/>
          <w:color w:val="000000"/>
          <w:kern w:val="0"/>
          <w:shd w:val="clear" w:color="auto" w:fill="FFFFFF"/>
          <w:lang w:eastAsia="en-GB"/>
          <w14:ligatures w14:val="none"/>
        </w:rPr>
        <w:t xml:space="preserve">judgement </w:t>
      </w:r>
      <w:r w:rsidRPr="003137A2" w:rsidR="7D8A0CC2">
        <w:rPr>
          <w:rFonts w:ascii="Aptos" w:hAnsi="Aptos" w:eastAsia="Times New Roman" w:cs="Times New Roman"/>
          <w:color w:val="000000"/>
          <w:kern w:val="0"/>
          <w:shd w:val="clear" w:color="auto" w:fill="FFFFFF"/>
          <w:lang w:eastAsia="en-GB"/>
          <w14:ligatures w14:val="none"/>
        </w:rPr>
        <w:t xml:space="preserve">throughout the project.</w:t>
      </w:r>
    </w:p>
    <w:p w:rsidRPr="003137A2" w:rsidR="003137A2" w:rsidP="257BFE88" w:rsidRDefault="003137A2" w14:paraId="12EB3F10" w14:textId="37737679">
      <w:pPr>
        <w:pStyle w:val="Normal"/>
        <w:spacing w:before="240" w:beforeAutospacing="off" w:after="240" w:afterAutospacing="off" w:line="240" w:lineRule="auto"/>
        <w:rPr>
          <w:rFonts w:ascii="Aptos" w:hAnsi="Aptos" w:eastAsia="Aptos" w:cs="Aptos"/>
          <w:noProof w:val="0"/>
          <w:sz w:val="24"/>
          <w:szCs w:val="24"/>
          <w:lang w:val="en-GB"/>
        </w:rPr>
      </w:pPr>
      <w:r w:rsidRPr="257BFE88" w:rsidR="1707F53C">
        <w:rPr>
          <w:rFonts w:ascii="Aptos" w:hAnsi="Aptos" w:eastAsia="Aptos" w:cs="Aptos"/>
          <w:noProof w:val="0"/>
          <w:sz w:val="24"/>
          <w:szCs w:val="24"/>
          <w:lang w:val="en-GB"/>
        </w:rPr>
        <w:t>E</w:t>
      </w:r>
      <w:r w:rsidRPr="257BFE88" w:rsidR="6D9412AA">
        <w:rPr>
          <w:rFonts w:ascii="Aptos" w:hAnsi="Aptos" w:eastAsia="Aptos" w:cs="Aptos"/>
          <w:noProof w:val="0"/>
          <w:sz w:val="24"/>
          <w:szCs w:val="24"/>
          <w:lang w:val="en-GB"/>
        </w:rPr>
        <w:t>thical awareness and using professional material responsibly</w:t>
      </w:r>
      <w:r w:rsidRPr="257BFE88" w:rsidR="340409A1">
        <w:rPr>
          <w:rFonts w:ascii="Aptos" w:hAnsi="Aptos" w:eastAsia="Aptos" w:cs="Aptos"/>
          <w:noProof w:val="0"/>
          <w:sz w:val="24"/>
          <w:szCs w:val="24"/>
          <w:lang w:val="en-GB"/>
        </w:rPr>
        <w:t xml:space="preserve"> </w:t>
      </w:r>
      <w:r w:rsidRPr="257BFE88" w:rsidR="340409A1">
        <w:rPr>
          <w:rFonts w:ascii="Aptos" w:hAnsi="Aptos" w:eastAsia="Aptos" w:cs="Aptos"/>
          <w:noProof w:val="0"/>
          <w:sz w:val="24"/>
          <w:szCs w:val="24"/>
          <w:lang w:val="en-GB"/>
        </w:rPr>
        <w:t>is</w:t>
      </w:r>
      <w:r w:rsidRPr="257BFE88" w:rsidR="340409A1">
        <w:rPr>
          <w:rFonts w:ascii="Aptos" w:hAnsi="Aptos" w:eastAsia="Aptos" w:cs="Aptos"/>
          <w:noProof w:val="0"/>
          <w:sz w:val="24"/>
          <w:szCs w:val="24"/>
          <w:lang w:val="en-GB"/>
        </w:rPr>
        <w:t xml:space="preserve"> </w:t>
      </w:r>
      <w:r w:rsidRPr="257BFE88" w:rsidR="5DE0D0E2">
        <w:rPr>
          <w:rFonts w:ascii="Aptos" w:hAnsi="Aptos" w:eastAsia="Aptos" w:cs="Aptos"/>
          <w:noProof w:val="0"/>
          <w:sz w:val="24"/>
          <w:szCs w:val="24"/>
          <w:lang w:val="en-GB"/>
        </w:rPr>
        <w:t xml:space="preserve">recognised and </w:t>
      </w:r>
      <w:r w:rsidRPr="257BFE88" w:rsidR="340409A1">
        <w:rPr>
          <w:rFonts w:ascii="Aptos" w:hAnsi="Aptos" w:eastAsia="Aptos" w:cs="Aptos"/>
          <w:noProof w:val="0"/>
          <w:sz w:val="24"/>
          <w:szCs w:val="24"/>
          <w:lang w:val="en-GB"/>
        </w:rPr>
        <w:t>used in the research approach as is emphasised in (ASET, 2013</w:t>
      </w:r>
      <w:r w:rsidRPr="257BFE88" w:rsidR="1FAAA3B6">
        <w:rPr>
          <w:rFonts w:ascii="Aptos" w:hAnsi="Aptos" w:eastAsia="Aptos" w:cs="Aptos"/>
          <w:noProof w:val="0"/>
          <w:sz w:val="24"/>
          <w:szCs w:val="24"/>
          <w:lang w:val="en-GB"/>
        </w:rPr>
        <w:t xml:space="preserve">). </w:t>
      </w:r>
      <w:r w:rsidRPr="257BFE88" w:rsidR="62692210">
        <w:rPr>
          <w:rFonts w:ascii="Aptos" w:hAnsi="Aptos" w:eastAsia="Aptos" w:cs="Aptos"/>
          <w:noProof w:val="0"/>
          <w:sz w:val="24"/>
          <w:szCs w:val="24"/>
          <w:lang w:val="en-GB"/>
        </w:rPr>
        <w:t>The text</w:t>
      </w:r>
      <w:r w:rsidRPr="257BFE88" w:rsidR="6D9412AA">
        <w:rPr>
          <w:rFonts w:ascii="Aptos" w:hAnsi="Aptos" w:eastAsia="Aptos" w:cs="Aptos"/>
          <w:noProof w:val="0"/>
          <w:sz w:val="24"/>
          <w:szCs w:val="24"/>
          <w:lang w:val="en-GB"/>
        </w:rPr>
        <w:t xml:space="preserve"> supports </w:t>
      </w:r>
      <w:r w:rsidRPr="257BFE88" w:rsidR="6EF2BA33">
        <w:rPr>
          <w:rFonts w:ascii="Aptos" w:hAnsi="Aptos" w:eastAsia="Aptos" w:cs="Aptos"/>
          <w:noProof w:val="0"/>
          <w:sz w:val="24"/>
          <w:szCs w:val="24"/>
          <w:lang w:val="en-GB"/>
        </w:rPr>
        <w:t xml:space="preserve">the way the </w:t>
      </w:r>
      <w:r w:rsidRPr="257BFE88" w:rsidR="6D9412AA">
        <w:rPr>
          <w:rFonts w:ascii="Aptos" w:hAnsi="Aptos" w:eastAsia="Aptos" w:cs="Aptos"/>
          <w:noProof w:val="0"/>
          <w:sz w:val="24"/>
          <w:szCs w:val="24"/>
          <w:lang w:val="en-GB"/>
        </w:rPr>
        <w:t>project</w:t>
      </w:r>
      <w:r w:rsidRPr="257BFE88" w:rsidR="58A4A284">
        <w:rPr>
          <w:rFonts w:ascii="Aptos" w:hAnsi="Aptos" w:eastAsia="Aptos" w:cs="Aptos"/>
          <w:noProof w:val="0"/>
          <w:sz w:val="24"/>
          <w:szCs w:val="24"/>
          <w:lang w:val="en-GB"/>
        </w:rPr>
        <w:t xml:space="preserve"> </w:t>
      </w:r>
      <w:r w:rsidRPr="257BFE88" w:rsidR="6D9412AA">
        <w:rPr>
          <w:rFonts w:ascii="Aptos" w:hAnsi="Aptos" w:eastAsia="Aptos" w:cs="Aptos"/>
          <w:noProof w:val="0"/>
          <w:sz w:val="24"/>
          <w:szCs w:val="24"/>
          <w:lang w:val="en-GB"/>
        </w:rPr>
        <w:t>use</w:t>
      </w:r>
      <w:r w:rsidRPr="257BFE88" w:rsidR="5DC4193F">
        <w:rPr>
          <w:rFonts w:ascii="Aptos" w:hAnsi="Aptos" w:eastAsia="Aptos" w:cs="Aptos"/>
          <w:noProof w:val="0"/>
          <w:sz w:val="24"/>
          <w:szCs w:val="24"/>
          <w:lang w:val="en-GB"/>
        </w:rPr>
        <w:t>s</w:t>
      </w:r>
      <w:r w:rsidRPr="257BFE88" w:rsidR="6D9412AA">
        <w:rPr>
          <w:rFonts w:ascii="Aptos" w:hAnsi="Aptos" w:eastAsia="Aptos" w:cs="Aptos"/>
          <w:noProof w:val="0"/>
          <w:sz w:val="24"/>
          <w:szCs w:val="24"/>
          <w:lang w:val="en-GB"/>
        </w:rPr>
        <w:t xml:space="preserve"> industry reports, corporate</w:t>
      </w:r>
      <w:r w:rsidRPr="257BFE88" w:rsidR="6D9412AA">
        <w:rPr>
          <w:rFonts w:ascii="Aptos" w:hAnsi="Aptos" w:eastAsia="Aptos" w:cs="Aptos"/>
          <w:noProof w:val="0"/>
          <w:sz w:val="24"/>
          <w:szCs w:val="24"/>
          <w:lang w:val="en-GB"/>
        </w:rPr>
        <w:t xml:space="preserve"> </w:t>
      </w:r>
      <w:r w:rsidRPr="257BFE88" w:rsidR="6D9412AA">
        <w:rPr>
          <w:rFonts w:ascii="Aptos" w:hAnsi="Aptos" w:eastAsia="Aptos" w:cs="Aptos"/>
          <w:noProof w:val="0"/>
          <w:sz w:val="24"/>
          <w:szCs w:val="24"/>
          <w:lang w:val="en-GB"/>
        </w:rPr>
        <w:t>communications</w:t>
      </w:r>
      <w:r w:rsidRPr="257BFE88" w:rsidR="6D9412AA">
        <w:rPr>
          <w:rFonts w:ascii="Aptos" w:hAnsi="Aptos" w:eastAsia="Aptos" w:cs="Aptos"/>
          <w:noProof w:val="0"/>
          <w:sz w:val="24"/>
          <w:szCs w:val="24"/>
          <w:lang w:val="en-GB"/>
        </w:rPr>
        <w:t xml:space="preserve"> and secondary </w:t>
      </w:r>
      <w:r w:rsidRPr="257BFE88" w:rsidR="56A85D6E">
        <w:rPr>
          <w:rFonts w:ascii="Aptos" w:hAnsi="Aptos" w:eastAsia="Aptos" w:cs="Aptos"/>
          <w:noProof w:val="0"/>
          <w:sz w:val="24"/>
          <w:szCs w:val="24"/>
          <w:lang w:val="en-GB"/>
        </w:rPr>
        <w:t>data openly</w:t>
      </w:r>
      <w:r w:rsidRPr="257BFE88" w:rsidR="56A85D6E">
        <w:rPr>
          <w:rFonts w:ascii="Aptos" w:hAnsi="Aptos" w:eastAsia="Aptos" w:cs="Aptos"/>
          <w:noProof w:val="0"/>
          <w:sz w:val="24"/>
          <w:szCs w:val="24"/>
          <w:lang w:val="en-GB"/>
        </w:rPr>
        <w:t xml:space="preserve"> and carefully</w:t>
      </w:r>
      <w:r w:rsidRPr="257BFE88" w:rsidR="5EAB7AB9">
        <w:rPr>
          <w:rFonts w:ascii="Aptos" w:hAnsi="Aptos" w:eastAsia="Aptos" w:cs="Aptos"/>
          <w:noProof w:val="0"/>
          <w:sz w:val="24"/>
          <w:szCs w:val="24"/>
          <w:lang w:val="en-GB"/>
        </w:rPr>
        <w:t>.</w:t>
      </w:r>
    </w:p>
    <w:p w:rsidRPr="003137A2" w:rsidR="003137A2" w:rsidP="257BFE88" w:rsidRDefault="003137A2" w14:paraId="2A2B70D0" w14:textId="6657A96E">
      <w:pPr>
        <w:pStyle w:val="Normal"/>
        <w:spacing w:before="240" w:beforeAutospacing="off" w:after="240" w:afterAutospacing="off" w:line="240" w:lineRule="auto"/>
        <w:rPr>
          <w:rFonts w:ascii="Aptos" w:hAnsi="Aptos" w:eastAsia="Times New Roman" w:cs="Times New Roman"/>
          <w:color w:val="000000"/>
          <w:kern w:val="0"/>
          <w:shd w:val="clear" w:color="auto" w:fill="FFFFFF"/>
          <w:lang w:eastAsia="en-GB"/>
          <w14:ligatures w14:val="none"/>
        </w:rPr>
      </w:pPr>
      <w:r w:rsidRPr="257BFE88" w:rsidR="471761C1">
        <w:rPr>
          <w:rFonts w:ascii="Aptos" w:hAnsi="Aptos" w:eastAsia="Aptos" w:cs="Aptos"/>
          <w:noProof w:val="0"/>
          <w:sz w:val="24"/>
          <w:szCs w:val="24"/>
          <w:lang w:val="en-GB"/>
        </w:rPr>
        <w:t>Finally,</w:t>
      </w:r>
      <w:r w:rsidRPr="257BFE88" w:rsidR="0E255652">
        <w:rPr>
          <w:rFonts w:ascii="Aptos" w:hAnsi="Aptos" w:eastAsia="Aptos" w:cs="Aptos"/>
          <w:noProof w:val="0"/>
          <w:sz w:val="24"/>
          <w:szCs w:val="24"/>
          <w:lang w:val="en-GB"/>
        </w:rPr>
        <w:t xml:space="preserve"> it is understood</w:t>
      </w:r>
      <w:r w:rsidRPr="257BFE88" w:rsidR="135CF000">
        <w:rPr>
          <w:rFonts w:ascii="Aptos" w:hAnsi="Aptos" w:eastAsia="Aptos" w:cs="Aptos"/>
          <w:noProof w:val="0"/>
          <w:sz w:val="24"/>
          <w:szCs w:val="24"/>
          <w:lang w:val="en-GB"/>
        </w:rPr>
        <w:t xml:space="preserve"> from</w:t>
      </w:r>
      <w:r w:rsidRPr="257BFE88" w:rsidR="0E255652">
        <w:rPr>
          <w:rFonts w:ascii="Aptos" w:hAnsi="Aptos" w:eastAsia="Aptos" w:cs="Aptos"/>
          <w:noProof w:val="0"/>
          <w:sz w:val="24"/>
          <w:szCs w:val="24"/>
          <w:lang w:val="en-GB"/>
        </w:rPr>
        <w:t xml:space="preserve"> </w:t>
      </w:r>
      <w:r w:rsidRPr="257BFE88" w:rsidR="4C65EC02">
        <w:rPr>
          <w:rFonts w:ascii="Aptos" w:hAnsi="Aptos" w:eastAsia="Aptos" w:cs="Aptos"/>
          <w:noProof w:val="0"/>
          <w:sz w:val="24"/>
          <w:szCs w:val="24"/>
          <w:lang w:val="en-GB"/>
        </w:rPr>
        <w:t xml:space="preserve">(Gray, 2018) </w:t>
      </w:r>
      <w:r w:rsidRPr="257BFE88" w:rsidR="0E255652">
        <w:rPr>
          <w:rFonts w:ascii="Aptos" w:hAnsi="Aptos" w:eastAsia="Aptos" w:cs="Aptos"/>
          <w:noProof w:val="0"/>
          <w:sz w:val="24"/>
          <w:szCs w:val="24"/>
          <w:lang w:val="en-GB"/>
        </w:rPr>
        <w:t>that</w:t>
      </w:r>
      <w:r w:rsidRPr="257BFE88" w:rsidR="2872F746">
        <w:rPr>
          <w:rFonts w:ascii="Aptos" w:hAnsi="Aptos" w:eastAsia="Aptos" w:cs="Aptos"/>
          <w:noProof w:val="0"/>
          <w:sz w:val="24"/>
          <w:szCs w:val="24"/>
          <w:lang w:val="en-GB"/>
        </w:rPr>
        <w:t xml:space="preserve"> applied research can be influenced by political, organisational and market pressures</w:t>
      </w:r>
      <w:r w:rsidRPr="257BFE88" w:rsidR="4E89D957">
        <w:rPr>
          <w:rFonts w:ascii="Aptos" w:hAnsi="Aptos" w:eastAsia="Aptos" w:cs="Aptos"/>
          <w:noProof w:val="0"/>
          <w:sz w:val="24"/>
          <w:szCs w:val="24"/>
          <w:lang w:val="en-GB"/>
        </w:rPr>
        <w:t>.</w:t>
      </w:r>
      <w:r w:rsidRPr="257BFE88" w:rsidR="2872F746">
        <w:rPr>
          <w:rFonts w:ascii="Aptos" w:hAnsi="Aptos" w:eastAsia="Aptos" w:cs="Aptos"/>
          <w:noProof w:val="0"/>
          <w:sz w:val="24"/>
          <w:szCs w:val="24"/>
          <w:lang w:val="en-GB"/>
        </w:rPr>
        <w:t xml:space="preserve"> </w:t>
      </w:r>
      <w:r w:rsidRPr="257BFE88" w:rsidR="74131136">
        <w:rPr>
          <w:rFonts w:ascii="Aptos" w:hAnsi="Aptos" w:eastAsia="Times New Roman" w:cs="Aptos"/>
          <w:color w:val="000000" w:themeColor="text1" w:themeTint="FF" w:themeShade="FF"/>
          <w:lang w:eastAsia="en-GB"/>
        </w:rPr>
        <w:t xml:space="preserve">This </w:t>
      </w:r>
      <w:r w:rsidRPr="257BFE88" w:rsidR="74131136">
        <w:rPr>
          <w:rFonts w:ascii="Aptos" w:hAnsi="Aptos" w:eastAsia="Times New Roman" w:cs="Times New Roman"/>
          <w:color w:val="000000"/>
          <w:kern w:val="0"/>
          <w:shd w:val="clear" w:color="auto" w:fill="FFFFFF"/>
          <w:lang w:eastAsia="en-GB"/>
          <w14:ligatures w14:val="none"/>
        </w:rPr>
        <w:t xml:space="preserve">view aligns with the </w:t>
      </w:r>
      <w:r w:rsidRPr="257BFE88" w:rsidR="08603916">
        <w:rPr>
          <w:rFonts w:ascii="Aptos" w:hAnsi="Aptos" w:eastAsia="Times New Roman" w:cs="Times New Roman"/>
          <w:color w:val="000000"/>
          <w:kern w:val="0"/>
          <w:shd w:val="clear" w:color="auto" w:fill="FFFFFF"/>
          <w:lang w:eastAsia="en-GB"/>
          <w14:ligatures w14:val="none"/>
        </w:rPr>
        <w:t xml:space="preserve">issues </w:t>
      </w:r>
      <w:r w:rsidRPr="257BFE88" w:rsidR="38F53E6B">
        <w:rPr>
          <w:rFonts w:ascii="Aptos" w:hAnsi="Aptos" w:eastAsia="Times New Roman" w:cs="Times New Roman"/>
          <w:color w:val="000000"/>
          <w:kern w:val="0"/>
          <w:shd w:val="clear" w:color="auto" w:fill="FFFFFF"/>
          <w:lang w:eastAsia="en-GB"/>
          <w14:ligatures w14:val="none"/>
        </w:rPr>
        <w:t xml:space="preserve">recognised</w:t>
      </w:r>
      <w:r w:rsidRPr="257BFE88" w:rsidR="08603916">
        <w:rPr>
          <w:rFonts w:ascii="Aptos" w:hAnsi="Aptos" w:eastAsia="Times New Roman" w:cs="Times New Roman"/>
          <w:color w:val="000000"/>
          <w:kern w:val="0"/>
          <w:shd w:val="clear" w:color="auto" w:fill="FFFFFF"/>
          <w:lang w:eastAsia="en-GB"/>
          <w14:ligatures w14:val="none"/>
        </w:rPr>
        <w:t xml:space="preserve"> in</w:t>
      </w:r>
      <w:r w:rsidRPr="257BFE88" w:rsidR="74131136">
        <w:rPr>
          <w:rFonts w:ascii="Aptos" w:hAnsi="Aptos" w:eastAsia="Times New Roman" w:cs="Times New Roman"/>
          <w:color w:val="000000"/>
          <w:kern w:val="0"/>
          <w:shd w:val="clear" w:color="auto" w:fill="FFFFFF"/>
          <w:lang w:eastAsia="en-GB"/>
          <w14:ligatures w14:val="none"/>
        </w:rPr>
        <w:t xml:space="preserve"> ESG literature</w:t>
      </w:r>
      <w:r w:rsidRPr="257BFE88" w:rsidR="0C93155D">
        <w:rPr>
          <w:rFonts w:ascii="Aptos" w:hAnsi="Aptos" w:eastAsia="Times New Roman" w:cs="Times New Roman"/>
          <w:color w:val="000000"/>
          <w:kern w:val="0"/>
          <w:shd w:val="clear" w:color="auto" w:fill="FFFFFF"/>
          <w:lang w:eastAsia="en-GB"/>
          <w14:ligatures w14:val="none"/>
        </w:rPr>
        <w:t xml:space="preserve"> where</w:t>
      </w:r>
      <w:r w:rsidRPr="003137A2" w:rsidR="74131136">
        <w:rPr>
          <w:rFonts w:ascii="Aptos" w:hAnsi="Aptos" w:eastAsia="Times New Roman" w:cs="Times New Roman"/>
          <w:color w:val="000000"/>
          <w:kern w:val="0"/>
          <w:shd w:val="clear" w:color="auto" w:fill="FFFFFF"/>
          <w:lang w:eastAsia="en-GB"/>
          <w14:ligatures w14:val="none"/>
        </w:rPr>
        <w:t xml:space="preserve"> </w:t>
      </w:r>
      <w:r w:rsidRPr="003137A2" w:rsidR="3534F6D9">
        <w:rPr>
          <w:rFonts w:ascii="Aptos" w:hAnsi="Aptos" w:eastAsia="Times New Roman" w:cs="Times New Roman"/>
          <w:color w:val="000000"/>
          <w:kern w:val="0"/>
          <w:shd w:val="clear" w:color="auto" w:fill="FFFFFF"/>
          <w:lang w:eastAsia="en-GB"/>
          <w14:ligatures w14:val="none"/>
        </w:rPr>
        <w:t>concerns exist</w:t>
      </w:r>
      <w:r w:rsidRPr="003137A2" w:rsidR="3534F6D9">
        <w:rPr>
          <w:rFonts w:ascii="Aptos" w:hAnsi="Aptos" w:eastAsia="Times New Roman" w:cs="Times New Roman"/>
          <w:color w:val="000000"/>
          <w:kern w:val="0"/>
          <w:shd w:val="clear" w:color="auto" w:fill="FFFFFF"/>
          <w:lang w:eastAsia="en-GB"/>
          <w14:ligatures w14:val="none"/>
        </w:rPr>
        <w:t xml:space="preserve"> </w:t>
      </w:r>
      <w:r w:rsidRPr="003137A2" w:rsidR="74131136">
        <w:rPr>
          <w:rFonts w:ascii="Aptos" w:hAnsi="Aptos" w:eastAsia="Times New Roman" w:cs="Times New Roman"/>
          <w:color w:val="000000"/>
          <w:kern w:val="0"/>
          <w:shd w:val="clear" w:color="auto" w:fill="FFFFFF"/>
          <w:lang w:eastAsia="en-GB"/>
          <w14:ligatures w14:val="none"/>
        </w:rPr>
        <w:t>of rating inconsistency,</w:t>
      </w:r>
      <w:r w:rsidRPr="257BFE88" w:rsidR="74131136">
        <w:rPr>
          <w:rFonts w:ascii="Aptos" w:hAnsi="Aptos" w:eastAsia="Times New Roman" w:cs="Times New Roman"/>
          <w:color w:val="auto"/>
          <w:kern w:val="0"/>
          <w:shd w:val="clear" w:color="auto" w:fill="FFFFFF"/>
          <w:lang w:eastAsia="en-GB"/>
          <w14:ligatures w14:val="none"/>
        </w:rPr>
        <w:t xml:space="preserve"> sector comparisons</w:t>
      </w:r>
      <w:r w:rsidRPr="257BFE88" w:rsidR="74131136">
        <w:rPr>
          <w:rFonts w:ascii="Aptos" w:hAnsi="Aptos" w:eastAsia="Times New Roman" w:cs="Times New Roman"/>
          <w:color w:val="auto"/>
          <w:kern w:val="0"/>
          <w:shd w:val="clear" w:color="auto" w:fill="FFFFFF"/>
          <w:lang w:eastAsia="en-GB"/>
          <w14:ligatures w14:val="none"/>
        </w:rPr>
        <w:t xml:space="preserve"> </w:t>
      </w:r>
      <w:r w:rsidRPr="257BFE88" w:rsidR="384AB076">
        <w:rPr>
          <w:rFonts w:ascii="Aptos" w:hAnsi="Aptos" w:eastAsia="Aptos" w:cs="Aptos"/>
          <w:noProof w:val="0"/>
          <w:color w:val="auto"/>
          <w:kern w:val="0"/>
          <w:sz w:val="24"/>
          <w:szCs w:val="24"/>
          <w:shd w:val="clear" w:color="auto" w:fill="FFFFFF"/>
          <w:lang w:val="en-GB"/>
          <w14:ligatures w14:val="none"/>
        </w:rPr>
        <w:t xml:space="preserve">and</w:t>
      </w:r>
      <w:r w:rsidRPr="257BFE88" w:rsidR="384AB076">
        <w:rPr>
          <w:rFonts w:ascii="Aptos" w:hAnsi="Aptos" w:eastAsia="Aptos" w:cs="Aptos"/>
          <w:noProof w:val="0"/>
          <w:color w:val="auto"/>
          <w:kern w:val="0"/>
          <w:sz w:val="24"/>
          <w:szCs w:val="24"/>
          <w:shd w:val="clear" w:color="auto" w:fill="FFFFFF"/>
          <w:lang w:val="en-GB"/>
          <w14:ligatures w14:val="none"/>
        </w:rPr>
        <w:t xml:space="preserve"> </w:t>
      </w:r>
      <w:r w:rsidRPr="08626363" w:rsidR="384AB076">
        <w:rPr>
          <w:rFonts w:ascii="Aptos" w:hAnsi="Aptos" w:eastAsia="Aptos" w:cs="Aptos"/>
          <w:noProof w:val="0"/>
          <w:color w:val="auto"/>
          <w:sz w:val="24"/>
          <w:szCs w:val="24"/>
          <w:lang w:val="en-GB"/>
        </w:rPr>
        <w:t>the influence of managers with significant assets under their management.</w:t>
      </w:r>
      <w:r w:rsidRPr="08626363" w:rsidR="384AB076">
        <w:rPr>
          <w:rFonts w:ascii="Aptos" w:hAnsi="Aptos" w:eastAsia="Times New Roman" w:cs="Times New Roman"/>
          <w:color w:val="auto"/>
          <w:lang w:eastAsia="en-GB"/>
        </w:rPr>
        <w:t xml:space="preserve"> </w:t>
      </w:r>
    </w:p>
    <w:p w:rsidRPr="003137A2" w:rsidR="003137A2" w:rsidP="003137A2" w:rsidRDefault="003137A2" w14:paraId="6FD83C2A" w14:textId="77777777">
      <w:pPr>
        <w:spacing w:before="240" w:after="240" w:line="240" w:lineRule="auto"/>
        <w:rPr>
          <w:rFonts w:ascii="Aptos" w:hAnsi="Aptos" w:eastAsia="Times New Roman" w:cs="Times New Roman"/>
          <w:color w:val="000000"/>
          <w:kern w:val="0"/>
          <w:shd w:val="clear" w:color="auto" w:fill="FFFFFF"/>
          <w:lang w:eastAsia="en-GB"/>
          <w14:ligatures w14:val="none"/>
        </w:rPr>
      </w:pPr>
      <w:r w:rsidRPr="003137A2">
        <w:rPr>
          <w:rFonts w:ascii="Aptos" w:hAnsi="Aptos" w:eastAsia="Times New Roman" w:cs="Times New Roman"/>
          <w:color w:val="000000"/>
          <w:kern w:val="0"/>
          <w:shd w:val="clear" w:color="auto" w:fill="FFFFFF"/>
          <w:lang w:eastAsia="en-GB"/>
          <w14:ligatures w14:val="none"/>
        </w:rPr>
        <w:t>Together, these texts form the basis for the research approach and guide how the wider literature on ESG scoring and investment practice is evaluated.</w:t>
      </w:r>
    </w:p>
    <w:p w:rsidRPr="003137A2" w:rsidR="003137A2" w:rsidP="257BFE88" w:rsidRDefault="003137A2" w14:paraId="55891882" w14:textId="614953B7">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721112610" w:id="780669807"/>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2.2 ESG Scoring Systems: Purpose, Design and Crit</w:t>
      </w:r>
      <w:r w:rsidRPr="257BFE88" w:rsidR="38AF4D41">
        <w:rPr>
          <w:rFonts w:ascii="Aptos Display" w:hAnsi="Aptos Display" w:eastAsia="Times New Roman" w:cs="" w:asciiTheme="majorAscii" w:hAnsiTheme="majorAscii" w:cstheme="majorBidi"/>
          <w:color w:val="0F4761" w:themeColor="accent1" w:themeTint="FF" w:themeShade="BF"/>
          <w:sz w:val="32"/>
          <w:szCs w:val="32"/>
          <w:lang w:eastAsia="en-GB"/>
        </w:rPr>
        <w:t>ical Review</w:t>
      </w:r>
      <w:bookmarkEnd w:id="780669807"/>
    </w:p>
    <w:p w:rsidRPr="003137A2" w:rsidR="003137A2" w:rsidP="003137A2" w:rsidRDefault="003137A2" w14:paraId="077E19CF" w14:textId="77777777">
      <w:pPr>
        <w:spacing w:before="240" w:after="240" w:line="240" w:lineRule="auto"/>
        <w:rPr>
          <w:rFonts w:ascii="Aptos" w:hAnsi="Aptos" w:eastAsia="Times New Roman" w:cs="Times New Roman"/>
          <w:color w:val="000000"/>
          <w:kern w:val="0"/>
          <w:lang w:eastAsia="en-GB"/>
          <w14:ligatures w14:val="none"/>
        </w:rPr>
      </w:pPr>
      <w:r w:rsidRPr="003137A2" w:rsidR="6D7FFB3E">
        <w:rPr>
          <w:rFonts w:ascii="Aptos" w:hAnsi="Aptos" w:eastAsia="Times New Roman" w:cs="Times New Roman"/>
          <w:color w:val="000000"/>
          <w:kern w:val="0"/>
          <w:lang w:eastAsia="en-GB"/>
          <w14:ligatures w14:val="none"/>
        </w:rPr>
        <w:t>Environmental, Social and Governance (ESG) scoring systems were originally developed to provide investors with structured, comparable assessments of companies’ sustainability related risks and opportunities (Khan et al., 2016).</w:t>
      </w:r>
    </w:p>
    <w:p w:rsidRPr="003137A2" w:rsidR="003137A2" w:rsidP="257BFE88" w:rsidRDefault="003137A2" w14:paraId="64AD50E4" w14:textId="320361A7">
      <w:pPr>
        <w:pStyle w:val="Normal"/>
        <w:spacing w:before="240" w:after="240" w:line="240" w:lineRule="auto"/>
        <w:rPr>
          <w:rFonts w:ascii="Aptos" w:hAnsi="Aptos" w:eastAsia="Aptos" w:cs="Aptos"/>
          <w:noProof w:val="0"/>
          <w:sz w:val="24"/>
          <w:szCs w:val="24"/>
          <w:lang w:val="en-GB"/>
        </w:rPr>
      </w:pPr>
      <w:r w:rsidRPr="257BFE88" w:rsidR="173CD477">
        <w:rPr>
          <w:rFonts w:ascii="Aptos" w:hAnsi="Aptos" w:eastAsia="Aptos" w:cs="Aptos"/>
          <w:noProof w:val="0"/>
          <w:sz w:val="24"/>
          <w:szCs w:val="24"/>
          <w:lang w:val="en-GB"/>
        </w:rPr>
        <w:t xml:space="preserve">Leading rating agencies such as MSCI, Sustainalytics and S&amp;P Global produce ESG scores by combining many indicators across environmental performance, social </w:t>
      </w:r>
      <w:r w:rsidRPr="257BFE88" w:rsidR="173CD477">
        <w:rPr>
          <w:rFonts w:ascii="Aptos" w:hAnsi="Aptos" w:eastAsia="Aptos" w:cs="Aptos"/>
          <w:noProof w:val="0"/>
          <w:sz w:val="24"/>
          <w:szCs w:val="24"/>
          <w:lang w:val="en-GB"/>
        </w:rPr>
        <w:t>responsibility</w:t>
      </w:r>
      <w:r w:rsidRPr="257BFE88" w:rsidR="173CD477">
        <w:rPr>
          <w:rFonts w:ascii="Aptos" w:hAnsi="Aptos" w:eastAsia="Aptos" w:cs="Aptos"/>
          <w:noProof w:val="0"/>
          <w:sz w:val="24"/>
          <w:szCs w:val="24"/>
          <w:lang w:val="en-GB"/>
        </w:rPr>
        <w:t xml:space="preserve"> and governance quality (Berg et al., 2022). These scores are widely used in portfolio construction, index </w:t>
      </w:r>
      <w:r w:rsidRPr="257BFE88" w:rsidR="173CD477">
        <w:rPr>
          <w:rFonts w:ascii="Aptos" w:hAnsi="Aptos" w:eastAsia="Aptos" w:cs="Aptos"/>
          <w:noProof w:val="0"/>
          <w:sz w:val="24"/>
          <w:szCs w:val="24"/>
          <w:lang w:val="en-GB"/>
        </w:rPr>
        <w:t>design</w:t>
      </w:r>
      <w:r w:rsidRPr="257BFE88" w:rsidR="173CD477">
        <w:rPr>
          <w:rFonts w:ascii="Aptos" w:hAnsi="Aptos" w:eastAsia="Aptos" w:cs="Aptos"/>
          <w:noProof w:val="0"/>
          <w:sz w:val="24"/>
          <w:szCs w:val="24"/>
          <w:lang w:val="en-GB"/>
        </w:rPr>
        <w:t xml:space="preserve"> and </w:t>
      </w:r>
      <w:r w:rsidRPr="257BFE88" w:rsidR="15F2888B">
        <w:rPr>
          <w:rFonts w:ascii="Aptos" w:hAnsi="Aptos" w:eastAsia="Aptos" w:cs="Aptos"/>
          <w:noProof w:val="0"/>
          <w:sz w:val="24"/>
          <w:szCs w:val="24"/>
          <w:lang w:val="en-GB"/>
        </w:rPr>
        <w:t xml:space="preserve">usually in </w:t>
      </w:r>
      <w:r w:rsidRPr="257BFE88" w:rsidR="173CD477">
        <w:rPr>
          <w:rFonts w:ascii="Aptos" w:hAnsi="Aptos" w:eastAsia="Aptos" w:cs="Aptos"/>
          <w:noProof w:val="0"/>
          <w:sz w:val="24"/>
          <w:szCs w:val="24"/>
          <w:lang w:val="en-GB"/>
        </w:rPr>
        <w:t xml:space="preserve">product classification especially in passive investment strategies. Rating agencies also merge these indicators into overall ESG scores that aim to show a company’s exposure to </w:t>
      </w:r>
      <w:r w:rsidRPr="257BFE88" w:rsidR="7A70B70D">
        <w:rPr>
          <w:rFonts w:ascii="Aptos" w:hAnsi="Aptos" w:eastAsia="Aptos" w:cs="Aptos"/>
          <w:noProof w:val="0"/>
          <w:sz w:val="24"/>
          <w:szCs w:val="24"/>
          <w:lang w:val="en-GB"/>
        </w:rPr>
        <w:t>sustainability related</w:t>
      </w:r>
      <w:r w:rsidRPr="257BFE88" w:rsidR="173CD477">
        <w:rPr>
          <w:rFonts w:ascii="Aptos" w:hAnsi="Aptos" w:eastAsia="Aptos" w:cs="Aptos"/>
          <w:noProof w:val="0"/>
          <w:sz w:val="24"/>
          <w:szCs w:val="24"/>
          <w:lang w:val="en-GB"/>
        </w:rPr>
        <w:t xml:space="preserve"> risks and </w:t>
      </w:r>
      <w:r w:rsidRPr="257BFE88" w:rsidR="5E42631D">
        <w:rPr>
          <w:rFonts w:ascii="Aptos" w:hAnsi="Aptos" w:eastAsia="Aptos" w:cs="Aptos"/>
          <w:noProof w:val="0"/>
          <w:sz w:val="24"/>
          <w:szCs w:val="24"/>
          <w:lang w:val="en-GB"/>
        </w:rPr>
        <w:t xml:space="preserve">potential future </w:t>
      </w:r>
      <w:r w:rsidRPr="257BFE88" w:rsidR="173CD477">
        <w:rPr>
          <w:rFonts w:ascii="Aptos" w:hAnsi="Aptos" w:eastAsia="Aptos" w:cs="Aptos"/>
          <w:noProof w:val="0"/>
          <w:sz w:val="24"/>
          <w:szCs w:val="24"/>
          <w:lang w:val="en-GB"/>
        </w:rPr>
        <w:t>opportunities (Christensen et al., 2022).</w:t>
      </w:r>
      <w:r w:rsidRPr="257BFE88" w:rsidR="173CD477">
        <w:rPr>
          <w:rFonts w:ascii="Aptos" w:hAnsi="Aptos" w:eastAsia="Aptos" w:cs="Aptos"/>
          <w:noProof w:val="0"/>
          <w:sz w:val="24"/>
          <w:szCs w:val="24"/>
          <w:lang w:val="en-GB"/>
        </w:rPr>
        <w:t xml:space="preserve"> </w:t>
      </w:r>
    </w:p>
    <w:p w:rsidRPr="003137A2" w:rsidR="003137A2" w:rsidP="257BFE88" w:rsidRDefault="003137A2" w14:paraId="16E3ADA3" w14:textId="645B327B">
      <w:pPr>
        <w:pStyle w:val="Normal"/>
        <w:spacing w:before="240" w:after="240" w:line="240" w:lineRule="auto"/>
        <w:rPr>
          <w:rFonts w:ascii="Aptos" w:hAnsi="Aptos" w:eastAsia="Times New Roman" w:cs="Times New Roman"/>
          <w:color w:val="000000"/>
          <w:kern w:val="0"/>
          <w:highlight w:val="green"/>
          <w:lang w:eastAsia="en-GB"/>
          <w14:ligatures w14:val="none"/>
        </w:rPr>
      </w:pPr>
      <w:r w:rsidRPr="257BFE88" w:rsidR="0C774B15">
        <w:rPr>
          <w:rFonts w:ascii="Aptos" w:hAnsi="Aptos" w:eastAsia="Aptos" w:cs="Aptos"/>
          <w:noProof w:val="0"/>
          <w:sz w:val="24"/>
          <w:szCs w:val="24"/>
          <w:lang w:val="en-GB"/>
        </w:rPr>
        <w:t>R</w:t>
      </w:r>
      <w:r w:rsidRPr="257BFE88" w:rsidR="50F29F68">
        <w:rPr>
          <w:rFonts w:ascii="Aptos" w:hAnsi="Aptos" w:eastAsia="Aptos" w:cs="Aptos"/>
          <w:noProof w:val="0"/>
          <w:sz w:val="24"/>
          <w:szCs w:val="24"/>
          <w:lang w:val="en-GB"/>
        </w:rPr>
        <w:t xml:space="preserve">esearch shows clear </w:t>
      </w:r>
      <w:r w:rsidRPr="257BFE88" w:rsidR="786C098A">
        <w:rPr>
          <w:rFonts w:ascii="Aptos" w:hAnsi="Aptos" w:eastAsia="Aptos" w:cs="Aptos"/>
          <w:noProof w:val="0"/>
          <w:sz w:val="24"/>
          <w:szCs w:val="24"/>
          <w:lang w:val="en-GB"/>
        </w:rPr>
        <w:t>weaknesses</w:t>
      </w:r>
      <w:r w:rsidRPr="257BFE88" w:rsidR="50F29F68">
        <w:rPr>
          <w:rFonts w:ascii="Aptos" w:hAnsi="Aptos" w:eastAsia="Aptos" w:cs="Aptos"/>
          <w:noProof w:val="0"/>
          <w:sz w:val="24"/>
          <w:szCs w:val="24"/>
          <w:lang w:val="en-GB"/>
        </w:rPr>
        <w:t xml:space="preserve"> in current ESG rating approaches, which</w:t>
      </w:r>
      <w:r w:rsidRPr="257BFE88" w:rsidR="01BD1ED5">
        <w:rPr>
          <w:rFonts w:ascii="Aptos" w:hAnsi="Aptos" w:eastAsia="Aptos" w:cs="Aptos"/>
          <w:noProof w:val="0"/>
          <w:sz w:val="24"/>
          <w:szCs w:val="24"/>
          <w:lang w:val="en-GB"/>
        </w:rPr>
        <w:t xml:space="preserve"> </w:t>
      </w:r>
      <w:r w:rsidRPr="257BFE88" w:rsidR="63C27DED">
        <w:rPr>
          <w:rFonts w:ascii="Aptos" w:hAnsi="Aptos" w:eastAsia="Aptos" w:cs="Aptos"/>
          <w:noProof w:val="0"/>
          <w:sz w:val="24"/>
          <w:szCs w:val="24"/>
          <w:lang w:val="en-GB"/>
        </w:rPr>
        <w:t>influences</w:t>
      </w:r>
      <w:r w:rsidRPr="257BFE88" w:rsidR="2FD2F240">
        <w:rPr>
          <w:rFonts w:ascii="Aptos" w:hAnsi="Aptos" w:eastAsia="Aptos" w:cs="Aptos"/>
          <w:noProof w:val="0"/>
          <w:sz w:val="24"/>
          <w:szCs w:val="24"/>
          <w:lang w:val="en-GB"/>
        </w:rPr>
        <w:t xml:space="preserve"> </w:t>
      </w:r>
      <w:r w:rsidRPr="257BFE88" w:rsidR="50F29F68">
        <w:rPr>
          <w:rFonts w:ascii="Aptos" w:hAnsi="Aptos" w:eastAsia="Aptos" w:cs="Aptos"/>
          <w:noProof w:val="0"/>
          <w:sz w:val="24"/>
          <w:szCs w:val="24"/>
          <w:lang w:val="en-GB"/>
        </w:rPr>
        <w:t xml:space="preserve">how reliable and comparable the scores are. A </w:t>
      </w:r>
      <w:r w:rsidRPr="257BFE88" w:rsidR="08603755">
        <w:rPr>
          <w:rFonts w:ascii="Aptos" w:hAnsi="Aptos" w:eastAsia="Aptos" w:cs="Aptos"/>
          <w:noProof w:val="0"/>
          <w:sz w:val="24"/>
          <w:szCs w:val="24"/>
          <w:lang w:val="en-GB"/>
        </w:rPr>
        <w:t>significant</w:t>
      </w:r>
      <w:r w:rsidRPr="257BFE88" w:rsidR="50F29F68">
        <w:rPr>
          <w:rFonts w:ascii="Aptos" w:hAnsi="Aptos" w:eastAsia="Aptos" w:cs="Aptos"/>
          <w:noProof w:val="0"/>
          <w:sz w:val="24"/>
          <w:szCs w:val="24"/>
          <w:lang w:val="en-GB"/>
        </w:rPr>
        <w:t xml:space="preserve"> issue is that rating providers use different weightings, </w:t>
      </w:r>
      <w:r w:rsidRPr="257BFE88" w:rsidR="50F29F68">
        <w:rPr>
          <w:rFonts w:ascii="Aptos" w:hAnsi="Aptos" w:eastAsia="Aptos" w:cs="Aptos"/>
          <w:noProof w:val="0"/>
          <w:sz w:val="24"/>
          <w:szCs w:val="24"/>
          <w:lang w:val="en-GB"/>
        </w:rPr>
        <w:t>data</w:t>
      </w:r>
      <w:r w:rsidRPr="257BFE88" w:rsidR="50F29F68">
        <w:rPr>
          <w:rFonts w:ascii="Aptos" w:hAnsi="Aptos" w:eastAsia="Aptos" w:cs="Aptos"/>
          <w:noProof w:val="0"/>
          <w:sz w:val="24"/>
          <w:szCs w:val="24"/>
          <w:lang w:val="en-GB"/>
        </w:rPr>
        <w:t xml:space="preserve"> and frameworks</w:t>
      </w:r>
      <w:r w:rsidRPr="257BFE88" w:rsidR="50F29F68">
        <w:rPr>
          <w:rFonts w:ascii="Aptos" w:hAnsi="Aptos" w:eastAsia="Aptos" w:cs="Aptos"/>
          <w:noProof w:val="0"/>
          <w:sz w:val="24"/>
          <w:szCs w:val="24"/>
          <w:lang w:val="en-GB"/>
        </w:rPr>
        <w:t>.</w:t>
      </w:r>
      <w:r w:rsidRPr="257BFE88" w:rsidR="50F29F68">
        <w:rPr>
          <w:rFonts w:ascii="Aptos" w:hAnsi="Aptos" w:eastAsia="Aptos" w:cs="Aptos"/>
          <w:noProof w:val="0"/>
          <w:sz w:val="24"/>
          <w:szCs w:val="24"/>
          <w:lang w:val="en-GB"/>
        </w:rPr>
        <w:t xml:space="preserve"> </w:t>
      </w:r>
      <w:r w:rsidRPr="257BFE88" w:rsidR="009C473E">
        <w:rPr>
          <w:rFonts w:ascii="Aptos" w:hAnsi="Aptos" w:eastAsia="Aptos" w:cs="Aptos"/>
          <w:noProof w:val="0"/>
          <w:sz w:val="24"/>
          <w:szCs w:val="24"/>
          <w:lang w:val="en-GB"/>
        </w:rPr>
        <w:t>(</w:t>
      </w:r>
      <w:r w:rsidRPr="257BFE88" w:rsidR="50F29F68">
        <w:rPr>
          <w:rFonts w:ascii="Aptos" w:hAnsi="Aptos" w:eastAsia="Aptos" w:cs="Aptos"/>
          <w:noProof w:val="0"/>
          <w:sz w:val="24"/>
          <w:szCs w:val="24"/>
          <w:lang w:val="en-GB"/>
        </w:rPr>
        <w:t>Berg et al</w:t>
      </w:r>
      <w:r w:rsidRPr="257BFE88" w:rsidR="7EE4FC51">
        <w:rPr>
          <w:rFonts w:ascii="Aptos" w:hAnsi="Aptos" w:eastAsia="Aptos" w:cs="Aptos"/>
          <w:noProof w:val="0"/>
          <w:sz w:val="24"/>
          <w:szCs w:val="24"/>
          <w:lang w:val="en-GB"/>
        </w:rPr>
        <w:t xml:space="preserve">, </w:t>
      </w:r>
      <w:r w:rsidRPr="257BFE88" w:rsidR="50F29F68">
        <w:rPr>
          <w:rFonts w:ascii="Aptos" w:hAnsi="Aptos" w:eastAsia="Aptos" w:cs="Aptos"/>
          <w:noProof w:val="0"/>
          <w:sz w:val="24"/>
          <w:szCs w:val="24"/>
          <w:lang w:val="en-GB"/>
        </w:rPr>
        <w:t xml:space="preserve">2022) </w:t>
      </w:r>
      <w:r w:rsidRPr="257BFE88" w:rsidR="7E08A220">
        <w:rPr>
          <w:rFonts w:ascii="Aptos" w:hAnsi="Aptos" w:eastAsia="Aptos" w:cs="Aptos"/>
          <w:noProof w:val="0"/>
          <w:sz w:val="24"/>
          <w:szCs w:val="24"/>
          <w:lang w:val="en-GB"/>
        </w:rPr>
        <w:t xml:space="preserve">states </w:t>
      </w:r>
      <w:r w:rsidRPr="257BFE88" w:rsidR="50F29F68">
        <w:rPr>
          <w:rFonts w:ascii="Aptos" w:hAnsi="Aptos" w:eastAsia="Aptos" w:cs="Aptos"/>
          <w:noProof w:val="0"/>
          <w:sz w:val="24"/>
          <w:szCs w:val="24"/>
          <w:lang w:val="en-GB"/>
        </w:rPr>
        <w:t xml:space="preserve">this ‘aggregate confusion,’ where one company can receive </w:t>
      </w:r>
      <w:r w:rsidRPr="257BFE88" w:rsidR="50F29F68">
        <w:rPr>
          <w:rFonts w:ascii="Aptos" w:hAnsi="Aptos" w:eastAsia="Aptos" w:cs="Aptos"/>
          <w:noProof w:val="0"/>
          <w:sz w:val="24"/>
          <w:szCs w:val="24"/>
          <w:lang w:val="en-GB"/>
        </w:rPr>
        <w:t>very different</w:t>
      </w:r>
      <w:r w:rsidRPr="257BFE88" w:rsidR="50F29F68">
        <w:rPr>
          <w:rFonts w:ascii="Aptos" w:hAnsi="Aptos" w:eastAsia="Aptos" w:cs="Aptos"/>
          <w:noProof w:val="0"/>
          <w:sz w:val="24"/>
          <w:szCs w:val="24"/>
          <w:lang w:val="en-GB"/>
        </w:rPr>
        <w:t xml:space="preserve"> ESG scores from different agencies. This inconsistency challenges the idea that ESG ratings are objective measures of sustainability </w:t>
      </w:r>
      <w:r w:rsidRPr="257BFE88" w:rsidR="452991AC">
        <w:rPr>
          <w:rFonts w:ascii="Aptos" w:hAnsi="Aptos" w:eastAsia="Aptos" w:cs="Aptos"/>
          <w:noProof w:val="0"/>
          <w:sz w:val="24"/>
          <w:szCs w:val="24"/>
          <w:lang w:val="en-GB"/>
        </w:rPr>
        <w:t xml:space="preserve">and </w:t>
      </w:r>
      <w:r w:rsidRPr="257BFE88" w:rsidR="50F29F68">
        <w:rPr>
          <w:rFonts w:ascii="Aptos" w:hAnsi="Aptos" w:eastAsia="Aptos" w:cs="Aptos"/>
          <w:noProof w:val="0"/>
          <w:sz w:val="24"/>
          <w:szCs w:val="24"/>
          <w:lang w:val="en-GB"/>
        </w:rPr>
        <w:t xml:space="preserve">performance </w:t>
      </w:r>
      <w:r w:rsidRPr="257BFE88" w:rsidR="7A5EF173">
        <w:rPr>
          <w:rFonts w:ascii="Aptos" w:hAnsi="Aptos" w:eastAsia="Aptos" w:cs="Aptos"/>
          <w:noProof w:val="0"/>
          <w:sz w:val="24"/>
          <w:szCs w:val="24"/>
          <w:lang w:val="en-GB"/>
        </w:rPr>
        <w:t>(</w:t>
      </w:r>
      <w:r w:rsidRPr="257BFE88" w:rsidR="50F29F68">
        <w:rPr>
          <w:rFonts w:ascii="Aptos" w:hAnsi="Aptos" w:eastAsia="Aptos" w:cs="Aptos"/>
          <w:noProof w:val="0"/>
          <w:sz w:val="24"/>
          <w:szCs w:val="24"/>
          <w:lang w:val="en-GB"/>
        </w:rPr>
        <w:t>Christensen et al., 2022)</w:t>
      </w:r>
      <w:r w:rsidRPr="257BFE88" w:rsidR="3B83D926">
        <w:rPr>
          <w:rFonts w:ascii="Aptos" w:hAnsi="Aptos" w:eastAsia="Aptos" w:cs="Aptos"/>
          <w:noProof w:val="0"/>
          <w:sz w:val="24"/>
          <w:szCs w:val="24"/>
          <w:lang w:val="en-GB"/>
        </w:rPr>
        <w:t>.</w:t>
      </w:r>
      <w:r w:rsidRPr="003137A2" w:rsidR="74131136">
        <w:rPr>
          <w:rFonts w:ascii="Aptos" w:hAnsi="Aptos" w:eastAsia="Times New Roman" w:cs="Times New Roman"/>
          <w:color w:val="000000"/>
          <w:kern w:val="0"/>
          <w:lang w:eastAsia="en-GB"/>
          <w14:ligatures w14:val="none"/>
        </w:rPr>
        <w:t xml:space="preserve"> </w:t>
      </w:r>
    </w:p>
    <w:p w:rsidR="081AFA35" w:rsidP="257BFE88" w:rsidRDefault="081AFA35" w14:paraId="2243B818" w14:textId="03330614">
      <w:pPr>
        <w:pStyle w:val="Normal"/>
        <w:suppressLineNumbers w:val="0"/>
        <w:bidi w:val="0"/>
        <w:spacing w:before="240" w:beforeAutospacing="off" w:after="240" w:afterAutospacing="off" w:line="240" w:lineRule="auto"/>
        <w:ind w:left="0" w:right="0"/>
        <w:jc w:val="left"/>
        <w:rPr>
          <w:rFonts w:ascii="Aptos" w:hAnsi="Aptos" w:eastAsia="Aptos" w:cs="Aptos"/>
          <w:b w:val="0"/>
          <w:bCs w:val="0"/>
          <w:noProof w:val="0"/>
          <w:sz w:val="24"/>
          <w:szCs w:val="24"/>
          <w:lang w:val="en-GB"/>
        </w:rPr>
      </w:pPr>
      <w:r w:rsidRPr="257BFE88" w:rsidR="081AFA35">
        <w:rPr>
          <w:rFonts w:ascii="Aptos" w:hAnsi="Aptos" w:eastAsia="Aptos" w:cs="Aptos"/>
          <w:noProof w:val="0"/>
          <w:sz w:val="24"/>
          <w:szCs w:val="24"/>
          <w:lang w:val="en-GB"/>
        </w:rPr>
        <w:t>These issues also appear when companies are scored only against</w:t>
      </w:r>
      <w:r w:rsidRPr="257BFE88" w:rsidR="7C06ED4A">
        <w:rPr>
          <w:rFonts w:ascii="Aptos" w:hAnsi="Aptos" w:eastAsia="Aptos" w:cs="Aptos"/>
          <w:noProof w:val="0"/>
          <w:sz w:val="24"/>
          <w:szCs w:val="24"/>
          <w:lang w:val="en-GB"/>
        </w:rPr>
        <w:t xml:space="preserve"> </w:t>
      </w:r>
      <w:r w:rsidRPr="257BFE88" w:rsidR="6218F545">
        <w:rPr>
          <w:rFonts w:ascii="Aptos" w:hAnsi="Aptos" w:eastAsia="Aptos" w:cs="Aptos"/>
          <w:noProof w:val="0"/>
          <w:sz w:val="24"/>
          <w:szCs w:val="24"/>
          <w:lang w:val="en-GB"/>
        </w:rPr>
        <w:t>specific</w:t>
      </w:r>
      <w:r w:rsidRPr="257BFE88" w:rsidR="081AFA35">
        <w:rPr>
          <w:rFonts w:ascii="Aptos" w:hAnsi="Aptos" w:eastAsia="Aptos" w:cs="Aptos"/>
          <w:noProof w:val="0"/>
          <w:sz w:val="24"/>
          <w:szCs w:val="24"/>
          <w:lang w:val="en-GB"/>
        </w:rPr>
        <w:t xml:space="preserve"> sector</w:t>
      </w:r>
      <w:r w:rsidRPr="257BFE88" w:rsidR="3CD5C9F3">
        <w:rPr>
          <w:rFonts w:ascii="Aptos" w:hAnsi="Aptos" w:eastAsia="Aptos" w:cs="Aptos"/>
          <w:noProof w:val="0"/>
          <w:sz w:val="24"/>
          <w:szCs w:val="24"/>
          <w:lang w:val="en-GB"/>
        </w:rPr>
        <w:t xml:space="preserve">s </w:t>
      </w:r>
      <w:r w:rsidRPr="257BFE88" w:rsidR="419CE524">
        <w:rPr>
          <w:rFonts w:ascii="Aptos" w:hAnsi="Aptos" w:eastAsia="Aptos" w:cs="Aptos"/>
          <w:noProof w:val="0"/>
          <w:sz w:val="24"/>
          <w:szCs w:val="24"/>
          <w:lang w:val="en-GB"/>
        </w:rPr>
        <w:t>and peers</w:t>
      </w:r>
      <w:r w:rsidRPr="257BFE88" w:rsidR="237BBABD">
        <w:rPr>
          <w:rFonts w:ascii="Aptos" w:hAnsi="Aptos" w:eastAsia="Aptos" w:cs="Aptos"/>
          <w:b w:val="0"/>
          <w:bCs w:val="0"/>
          <w:noProof w:val="0"/>
          <w:sz w:val="24"/>
          <w:szCs w:val="24"/>
          <w:lang w:val="en-GB"/>
        </w:rPr>
        <w:t>. For example, carbon</w:t>
      </w:r>
      <w:r w:rsidRPr="257BFE88" w:rsidR="4C6142A6">
        <w:rPr>
          <w:rFonts w:ascii="Aptos" w:hAnsi="Aptos" w:eastAsia="Aptos" w:cs="Aptos"/>
          <w:b w:val="0"/>
          <w:bCs w:val="0"/>
          <w:noProof w:val="0"/>
          <w:sz w:val="24"/>
          <w:szCs w:val="24"/>
          <w:lang w:val="en-GB"/>
        </w:rPr>
        <w:t xml:space="preserve"> </w:t>
      </w:r>
      <w:r w:rsidRPr="257BFE88" w:rsidR="237BBABD">
        <w:rPr>
          <w:rFonts w:ascii="Aptos" w:hAnsi="Aptos" w:eastAsia="Aptos" w:cs="Aptos"/>
          <w:b w:val="0"/>
          <w:bCs w:val="0"/>
          <w:noProof w:val="0"/>
          <w:sz w:val="24"/>
          <w:szCs w:val="24"/>
          <w:lang w:val="en-GB"/>
        </w:rPr>
        <w:t>intensive companies may receive average or even favourable ratings within their sector, even</w:t>
      </w:r>
      <w:r w:rsidRPr="257BFE88" w:rsidR="610CED0E">
        <w:rPr>
          <w:rFonts w:ascii="Aptos" w:hAnsi="Aptos" w:eastAsia="Aptos" w:cs="Aptos"/>
          <w:b w:val="0"/>
          <w:bCs w:val="0"/>
          <w:noProof w:val="0"/>
          <w:sz w:val="24"/>
          <w:szCs w:val="24"/>
          <w:lang w:val="en-GB"/>
        </w:rPr>
        <w:t xml:space="preserve"> if </w:t>
      </w:r>
      <w:r w:rsidRPr="257BFE88" w:rsidR="237BBABD">
        <w:rPr>
          <w:rFonts w:ascii="Aptos" w:hAnsi="Aptos" w:eastAsia="Aptos" w:cs="Aptos"/>
          <w:b w:val="0"/>
          <w:bCs w:val="0"/>
          <w:noProof w:val="0"/>
          <w:sz w:val="24"/>
          <w:szCs w:val="24"/>
          <w:lang w:val="en-GB"/>
        </w:rPr>
        <w:t>they emit f</w:t>
      </w:r>
      <w:r w:rsidRPr="257BFE88" w:rsidR="5097EF75">
        <w:rPr>
          <w:rFonts w:ascii="Aptos" w:hAnsi="Aptos" w:eastAsia="Aptos" w:cs="Aptos"/>
          <w:b w:val="0"/>
          <w:bCs w:val="0"/>
          <w:noProof w:val="0"/>
          <w:sz w:val="24"/>
          <w:szCs w:val="24"/>
          <w:lang w:val="en-GB"/>
        </w:rPr>
        <w:t xml:space="preserve">ar larger amounts of </w:t>
      </w:r>
      <w:r w:rsidRPr="257BFE88" w:rsidR="237BBABD">
        <w:rPr>
          <w:rFonts w:ascii="Aptos" w:hAnsi="Aptos" w:eastAsia="Aptos" w:cs="Aptos"/>
          <w:b w:val="0"/>
          <w:bCs w:val="0"/>
          <w:noProof w:val="0"/>
          <w:sz w:val="24"/>
          <w:szCs w:val="24"/>
          <w:lang w:val="en-GB"/>
        </w:rPr>
        <w:t xml:space="preserve">carbon than </w:t>
      </w:r>
      <w:r w:rsidRPr="257BFE88" w:rsidR="099D9B0B">
        <w:rPr>
          <w:rFonts w:ascii="Aptos" w:hAnsi="Aptos" w:eastAsia="Aptos" w:cs="Aptos"/>
          <w:b w:val="0"/>
          <w:bCs w:val="0"/>
          <w:noProof w:val="0"/>
          <w:sz w:val="24"/>
          <w:szCs w:val="24"/>
          <w:lang w:val="en-GB"/>
        </w:rPr>
        <w:t>companies</w:t>
      </w:r>
      <w:r w:rsidRPr="257BFE88" w:rsidR="237BBABD">
        <w:rPr>
          <w:rFonts w:ascii="Aptos" w:hAnsi="Aptos" w:eastAsia="Aptos" w:cs="Aptos"/>
          <w:b w:val="0"/>
          <w:bCs w:val="0"/>
          <w:noProof w:val="0"/>
          <w:sz w:val="24"/>
          <w:szCs w:val="24"/>
          <w:lang w:val="en-GB"/>
        </w:rPr>
        <w:t xml:space="preserve"> in </w:t>
      </w:r>
      <w:r w:rsidRPr="257BFE88" w:rsidR="401EB8FD">
        <w:rPr>
          <w:rFonts w:ascii="Aptos" w:hAnsi="Aptos" w:eastAsia="Aptos" w:cs="Aptos"/>
          <w:b w:val="0"/>
          <w:bCs w:val="0"/>
          <w:noProof w:val="0"/>
          <w:sz w:val="24"/>
          <w:szCs w:val="24"/>
          <w:lang w:val="en-GB"/>
        </w:rPr>
        <w:t xml:space="preserve">different </w:t>
      </w:r>
      <w:r w:rsidRPr="257BFE88" w:rsidR="237BBABD">
        <w:rPr>
          <w:rFonts w:ascii="Aptos" w:hAnsi="Aptos" w:eastAsia="Aptos" w:cs="Aptos"/>
          <w:b w:val="0"/>
          <w:bCs w:val="0"/>
          <w:noProof w:val="0"/>
          <w:sz w:val="24"/>
          <w:szCs w:val="24"/>
          <w:lang w:val="en-GB"/>
        </w:rPr>
        <w:t>sect</w:t>
      </w:r>
      <w:r w:rsidRPr="257BFE88" w:rsidR="237BBABD">
        <w:rPr>
          <w:rFonts w:ascii="Aptos" w:hAnsi="Aptos" w:eastAsia="Aptos" w:cs="Aptos"/>
          <w:b w:val="0"/>
          <w:bCs w:val="0"/>
          <w:noProof w:val="0"/>
          <w:sz w:val="24"/>
          <w:szCs w:val="24"/>
          <w:lang w:val="en-GB"/>
        </w:rPr>
        <w:t>ors.</w:t>
      </w:r>
      <w:r w:rsidRPr="257BFE88" w:rsidR="237BBABD">
        <w:rPr>
          <w:rFonts w:ascii="Aptos" w:hAnsi="Aptos" w:eastAsia="Aptos" w:cs="Aptos"/>
          <w:b w:val="0"/>
          <w:bCs w:val="0"/>
          <w:noProof w:val="0"/>
          <w:sz w:val="24"/>
          <w:szCs w:val="24"/>
          <w:lang w:val="en-GB"/>
        </w:rPr>
        <w:t xml:space="preserve"> </w:t>
      </w:r>
      <w:r w:rsidRPr="257BFE88" w:rsidR="248DDF21">
        <w:rPr>
          <w:rFonts w:ascii="Aptos" w:hAnsi="Aptos" w:eastAsia="Aptos" w:cs="Aptos"/>
          <w:b w:val="0"/>
          <w:bCs w:val="0"/>
          <w:noProof w:val="0"/>
          <w:sz w:val="24"/>
          <w:szCs w:val="24"/>
          <w:lang w:val="en-GB"/>
        </w:rPr>
        <w:t xml:space="preserve">Another example is that scores </w:t>
      </w:r>
      <w:r w:rsidRPr="257BFE88" w:rsidR="79F0995E">
        <w:rPr>
          <w:rFonts w:ascii="Aptos" w:hAnsi="Aptos" w:eastAsia="Aptos" w:cs="Aptos"/>
          <w:b w:val="0"/>
          <w:bCs w:val="0"/>
          <w:noProof w:val="0"/>
          <w:sz w:val="24"/>
          <w:szCs w:val="24"/>
          <w:lang w:val="en-GB"/>
        </w:rPr>
        <w:t xml:space="preserve">with </w:t>
      </w:r>
      <w:r w:rsidRPr="257BFE88" w:rsidR="237BBABD">
        <w:rPr>
          <w:rFonts w:ascii="Aptos" w:hAnsi="Aptos" w:eastAsia="Aptos" w:cs="Aptos"/>
          <w:b w:val="0"/>
          <w:bCs w:val="0"/>
          <w:noProof w:val="0"/>
          <w:sz w:val="24"/>
          <w:szCs w:val="24"/>
          <w:lang w:val="en-GB"/>
        </w:rPr>
        <w:t>weighting</w:t>
      </w:r>
      <w:r w:rsidRPr="257BFE88" w:rsidR="46752B46">
        <w:rPr>
          <w:rFonts w:ascii="Aptos" w:hAnsi="Aptos" w:eastAsia="Aptos" w:cs="Aptos"/>
          <w:b w:val="0"/>
          <w:bCs w:val="0"/>
          <w:noProof w:val="0"/>
          <w:sz w:val="24"/>
          <w:szCs w:val="24"/>
          <w:lang w:val="en-GB"/>
        </w:rPr>
        <w:t xml:space="preserve"> toward Governance</w:t>
      </w:r>
      <w:r w:rsidRPr="257BFE88" w:rsidR="237BBABD">
        <w:rPr>
          <w:rFonts w:ascii="Aptos" w:hAnsi="Aptos" w:eastAsia="Aptos" w:cs="Aptos"/>
          <w:b w:val="0"/>
          <w:bCs w:val="0"/>
          <w:noProof w:val="0"/>
          <w:sz w:val="24"/>
          <w:szCs w:val="24"/>
          <w:lang w:val="en-GB"/>
        </w:rPr>
        <w:t xml:space="preserve"> tend to favour large</w:t>
      </w:r>
      <w:r w:rsidRPr="257BFE88" w:rsidR="609164B9">
        <w:rPr>
          <w:rFonts w:ascii="Aptos" w:hAnsi="Aptos" w:eastAsia="Aptos" w:cs="Aptos"/>
          <w:b w:val="0"/>
          <w:bCs w:val="0"/>
          <w:noProof w:val="0"/>
          <w:sz w:val="24"/>
          <w:szCs w:val="24"/>
          <w:lang w:val="en-GB"/>
        </w:rPr>
        <w:t xml:space="preserve"> businesses</w:t>
      </w:r>
      <w:r w:rsidRPr="257BFE88" w:rsidR="39799DFD">
        <w:rPr>
          <w:rFonts w:ascii="Aptos" w:hAnsi="Aptos" w:eastAsia="Aptos" w:cs="Aptos"/>
          <w:b w:val="0"/>
          <w:bCs w:val="0"/>
          <w:noProof w:val="0"/>
          <w:sz w:val="24"/>
          <w:szCs w:val="24"/>
          <w:lang w:val="en-GB"/>
        </w:rPr>
        <w:t xml:space="preserve"> </w:t>
      </w:r>
      <w:r w:rsidRPr="257BFE88" w:rsidR="25D15FFE">
        <w:rPr>
          <w:rFonts w:ascii="Aptos" w:hAnsi="Aptos" w:eastAsia="Aptos" w:cs="Aptos"/>
          <w:b w:val="0"/>
          <w:bCs w:val="0"/>
          <w:noProof w:val="0"/>
          <w:sz w:val="24"/>
          <w:szCs w:val="24"/>
          <w:lang w:val="en-GB"/>
        </w:rPr>
        <w:t>with</w:t>
      </w:r>
      <w:r w:rsidRPr="257BFE88" w:rsidR="39799DFD">
        <w:rPr>
          <w:rFonts w:ascii="Aptos" w:hAnsi="Aptos" w:eastAsia="Aptos" w:cs="Aptos"/>
          <w:b w:val="0"/>
          <w:bCs w:val="0"/>
          <w:noProof w:val="0"/>
          <w:sz w:val="24"/>
          <w:szCs w:val="24"/>
          <w:lang w:val="en-GB"/>
        </w:rPr>
        <w:t xml:space="preserve"> </w:t>
      </w:r>
      <w:r w:rsidRPr="257BFE88" w:rsidR="1C6A1F1C">
        <w:rPr>
          <w:rFonts w:ascii="Aptos" w:hAnsi="Aptos" w:eastAsia="Aptos" w:cs="Aptos"/>
          <w:b w:val="0"/>
          <w:bCs w:val="0"/>
          <w:noProof w:val="0"/>
          <w:sz w:val="24"/>
          <w:szCs w:val="24"/>
          <w:lang w:val="en-GB"/>
        </w:rPr>
        <w:t>significant financial and personnel</w:t>
      </w:r>
      <w:r w:rsidRPr="257BFE88" w:rsidR="116E30AF">
        <w:rPr>
          <w:rFonts w:ascii="Aptos" w:hAnsi="Aptos" w:eastAsia="Aptos" w:cs="Aptos"/>
          <w:b w:val="0"/>
          <w:bCs w:val="0"/>
          <w:noProof w:val="0"/>
          <w:sz w:val="24"/>
          <w:szCs w:val="24"/>
          <w:lang w:val="en-GB"/>
        </w:rPr>
        <w:t xml:space="preserve"> </w:t>
      </w:r>
      <w:r w:rsidRPr="257BFE88" w:rsidR="287D57A8">
        <w:rPr>
          <w:rFonts w:ascii="Aptos" w:hAnsi="Aptos" w:eastAsia="Aptos" w:cs="Aptos"/>
          <w:b w:val="0"/>
          <w:bCs w:val="0"/>
          <w:noProof w:val="0"/>
          <w:sz w:val="24"/>
          <w:szCs w:val="24"/>
          <w:lang w:val="en-GB"/>
        </w:rPr>
        <w:t xml:space="preserve">resources </w:t>
      </w:r>
      <w:r w:rsidRPr="257BFE88" w:rsidR="2EFB4BA7">
        <w:rPr>
          <w:rFonts w:ascii="Aptos" w:hAnsi="Aptos" w:eastAsia="Aptos" w:cs="Aptos"/>
          <w:b w:val="0"/>
          <w:bCs w:val="0"/>
          <w:noProof w:val="0"/>
          <w:sz w:val="24"/>
          <w:szCs w:val="24"/>
          <w:lang w:val="en-GB"/>
        </w:rPr>
        <w:t>that enable</w:t>
      </w:r>
      <w:r w:rsidRPr="257BFE88" w:rsidR="39799DFD">
        <w:rPr>
          <w:rFonts w:ascii="Aptos" w:hAnsi="Aptos" w:eastAsia="Aptos" w:cs="Aptos"/>
          <w:b w:val="0"/>
          <w:bCs w:val="0"/>
          <w:noProof w:val="0"/>
          <w:sz w:val="24"/>
          <w:szCs w:val="24"/>
          <w:lang w:val="en-GB"/>
        </w:rPr>
        <w:t xml:space="preserve"> t</w:t>
      </w:r>
      <w:r w:rsidRPr="257BFE88" w:rsidR="66FACD14">
        <w:rPr>
          <w:rFonts w:ascii="Aptos" w:hAnsi="Aptos" w:eastAsia="Aptos" w:cs="Aptos"/>
          <w:b w:val="0"/>
          <w:bCs w:val="0"/>
          <w:noProof w:val="0"/>
          <w:sz w:val="24"/>
          <w:szCs w:val="24"/>
          <w:lang w:val="en-GB"/>
        </w:rPr>
        <w:t>hem</w:t>
      </w:r>
      <w:r w:rsidRPr="257BFE88" w:rsidR="237BBABD">
        <w:rPr>
          <w:rFonts w:ascii="Aptos" w:hAnsi="Aptos" w:eastAsia="Aptos" w:cs="Aptos"/>
          <w:b w:val="0"/>
          <w:bCs w:val="0"/>
          <w:noProof w:val="0"/>
          <w:sz w:val="24"/>
          <w:szCs w:val="24"/>
          <w:lang w:val="en-GB"/>
        </w:rPr>
        <w:t xml:space="preserve"> </w:t>
      </w:r>
      <w:r w:rsidRPr="257BFE88" w:rsidR="237BBABD">
        <w:rPr>
          <w:rFonts w:ascii="Aptos" w:hAnsi="Aptos" w:eastAsia="Aptos" w:cs="Aptos"/>
          <w:b w:val="0"/>
          <w:bCs w:val="0"/>
          <w:noProof w:val="0"/>
          <w:sz w:val="24"/>
          <w:szCs w:val="24"/>
          <w:lang w:val="en-GB"/>
        </w:rPr>
        <w:t>produce extensive disclosures (Berg et al., 2022; Ferro, 202</w:t>
      </w:r>
      <w:r w:rsidRPr="257BFE88" w:rsidR="237BBABD">
        <w:rPr>
          <w:rFonts w:ascii="Aptos" w:hAnsi="Aptos" w:eastAsia="Aptos" w:cs="Aptos"/>
          <w:b w:val="0"/>
          <w:bCs w:val="0"/>
          <w:noProof w:val="0"/>
          <w:sz w:val="24"/>
          <w:szCs w:val="24"/>
          <w:lang w:val="en-GB"/>
        </w:rPr>
        <w:t>5).</w:t>
      </w:r>
      <w:r w:rsidRPr="257BFE88" w:rsidR="237BBABD">
        <w:rPr>
          <w:rFonts w:ascii="Aptos" w:hAnsi="Aptos" w:eastAsia="Aptos" w:cs="Aptos"/>
          <w:b w:val="0"/>
          <w:bCs w:val="0"/>
          <w:noProof w:val="0"/>
          <w:sz w:val="24"/>
          <w:szCs w:val="24"/>
          <w:lang w:val="en-GB"/>
        </w:rPr>
        <w:t xml:space="preserve"> </w:t>
      </w:r>
      <w:r w:rsidRPr="257BFE88" w:rsidR="25E62F70">
        <w:rPr>
          <w:rFonts w:ascii="Aptos" w:hAnsi="Aptos" w:eastAsia="Aptos" w:cs="Aptos"/>
          <w:b w:val="0"/>
          <w:bCs w:val="0"/>
          <w:noProof w:val="0"/>
          <w:sz w:val="24"/>
          <w:szCs w:val="24"/>
          <w:lang w:val="en-GB"/>
        </w:rPr>
        <w:t xml:space="preserve">When ESG scores are </w:t>
      </w:r>
      <w:r w:rsidRPr="257BFE88" w:rsidR="25E62F70">
        <w:rPr>
          <w:rFonts w:ascii="Aptos" w:hAnsi="Aptos" w:eastAsia="Aptos" w:cs="Aptos"/>
          <w:b w:val="0"/>
          <w:bCs w:val="0"/>
          <w:noProof w:val="0"/>
          <w:sz w:val="24"/>
          <w:szCs w:val="24"/>
          <w:lang w:val="en-GB"/>
        </w:rPr>
        <w:t>automatically</w:t>
      </w:r>
      <w:r w:rsidRPr="257BFE88" w:rsidR="25E62F70">
        <w:rPr>
          <w:rFonts w:ascii="Aptos" w:hAnsi="Aptos" w:eastAsia="Aptos" w:cs="Aptos"/>
          <w:b w:val="0"/>
          <w:bCs w:val="0"/>
          <w:noProof w:val="0"/>
          <w:sz w:val="24"/>
          <w:szCs w:val="24"/>
          <w:lang w:val="en-GB"/>
        </w:rPr>
        <w:t xml:space="preserve"> included into financial products or index rules, </w:t>
      </w:r>
      <w:r w:rsidRPr="257BFE88" w:rsidR="1EBB3A6F">
        <w:rPr>
          <w:rFonts w:ascii="Aptos" w:hAnsi="Aptos" w:eastAsia="Aptos" w:cs="Aptos"/>
          <w:b w:val="0"/>
          <w:bCs w:val="0"/>
          <w:noProof w:val="0"/>
          <w:sz w:val="24"/>
          <w:szCs w:val="24"/>
          <w:lang w:val="en-GB"/>
        </w:rPr>
        <w:t xml:space="preserve">it may have unintended consequences unaccounted for </w:t>
      </w:r>
      <w:r w:rsidRPr="257BFE88" w:rsidR="2D7B66C0">
        <w:rPr>
          <w:rFonts w:ascii="Aptos" w:hAnsi="Aptos" w:eastAsia="Aptos" w:cs="Aptos"/>
          <w:b w:val="0"/>
          <w:bCs w:val="0"/>
          <w:noProof w:val="0"/>
          <w:sz w:val="24"/>
          <w:szCs w:val="24"/>
          <w:lang w:val="en-GB"/>
        </w:rPr>
        <w:t xml:space="preserve">by investors </w:t>
      </w:r>
      <w:r w:rsidRPr="257BFE88" w:rsidR="1EBB3A6F">
        <w:rPr>
          <w:rFonts w:ascii="Aptos" w:hAnsi="Aptos" w:eastAsia="Aptos" w:cs="Aptos"/>
          <w:b w:val="0"/>
          <w:bCs w:val="0"/>
          <w:noProof w:val="0"/>
          <w:sz w:val="24"/>
          <w:szCs w:val="24"/>
          <w:lang w:val="en-GB"/>
        </w:rPr>
        <w:t>(Christensen et al., 2022).</w:t>
      </w:r>
    </w:p>
    <w:p w:rsidR="237BBABD" w:rsidP="257BFE88" w:rsidRDefault="237BBABD" w14:paraId="637EB1EE" w14:textId="170A2FBF">
      <w:pPr>
        <w:pStyle w:val="Normal"/>
        <w:suppressLineNumbers w:val="0"/>
        <w:bidi w:val="0"/>
        <w:spacing w:before="240" w:beforeAutospacing="off" w:after="240" w:afterAutospacing="off" w:line="240" w:lineRule="auto"/>
        <w:ind w:left="0" w:right="0"/>
        <w:jc w:val="left"/>
        <w:rPr>
          <w:rFonts w:ascii="Aptos" w:hAnsi="Aptos" w:eastAsia="Aptos" w:cs="Aptos"/>
          <w:b w:val="0"/>
          <w:bCs w:val="0"/>
          <w:noProof w:val="0"/>
          <w:sz w:val="24"/>
          <w:szCs w:val="24"/>
          <w:lang w:val="en-GB"/>
        </w:rPr>
      </w:pPr>
      <w:r w:rsidRPr="257BFE88" w:rsidR="237BBABD">
        <w:rPr>
          <w:rFonts w:ascii="Aptos" w:hAnsi="Aptos" w:eastAsia="Aptos" w:cs="Aptos"/>
          <w:b w:val="0"/>
          <w:bCs w:val="0"/>
          <w:noProof w:val="0"/>
          <w:sz w:val="24"/>
          <w:szCs w:val="24"/>
          <w:lang w:val="en-GB"/>
        </w:rPr>
        <w:t xml:space="preserve">Overall, the literature suggests that ESG ratings </w:t>
      </w:r>
      <w:r w:rsidRPr="257BFE88" w:rsidR="017E9034">
        <w:rPr>
          <w:rFonts w:ascii="Aptos" w:hAnsi="Aptos" w:eastAsia="Aptos" w:cs="Aptos"/>
          <w:b w:val="0"/>
          <w:bCs w:val="0"/>
          <w:noProof w:val="0"/>
          <w:sz w:val="24"/>
          <w:szCs w:val="24"/>
          <w:lang w:val="en-GB"/>
        </w:rPr>
        <w:t xml:space="preserve">do </w:t>
      </w:r>
      <w:r w:rsidRPr="257BFE88" w:rsidR="237BBABD">
        <w:rPr>
          <w:rFonts w:ascii="Aptos" w:hAnsi="Aptos" w:eastAsia="Aptos" w:cs="Aptos"/>
          <w:b w:val="0"/>
          <w:bCs w:val="0"/>
          <w:noProof w:val="0"/>
          <w:sz w:val="24"/>
          <w:szCs w:val="24"/>
          <w:lang w:val="en-GB"/>
        </w:rPr>
        <w:t>offer a structured way to assess sustainability risks</w:t>
      </w:r>
      <w:r w:rsidRPr="257BFE88" w:rsidR="4819B8FC">
        <w:rPr>
          <w:rFonts w:ascii="Aptos" w:hAnsi="Aptos" w:eastAsia="Aptos" w:cs="Aptos"/>
          <w:b w:val="0"/>
          <w:bCs w:val="0"/>
          <w:noProof w:val="0"/>
          <w:sz w:val="24"/>
          <w:szCs w:val="24"/>
          <w:lang w:val="en-GB"/>
        </w:rPr>
        <w:t xml:space="preserve">. However, it cautions that </w:t>
      </w:r>
      <w:r w:rsidRPr="257BFE88" w:rsidR="237BBABD">
        <w:rPr>
          <w:rFonts w:ascii="Aptos" w:hAnsi="Aptos" w:eastAsia="Aptos" w:cs="Aptos"/>
          <w:b w:val="0"/>
          <w:bCs w:val="0"/>
          <w:noProof w:val="0"/>
          <w:sz w:val="24"/>
          <w:szCs w:val="24"/>
          <w:lang w:val="en-GB"/>
        </w:rPr>
        <w:t>their design and use introduce significant limitations (Berg et al., 2022). These limitations become especially important when ratings are built into large</w:t>
      </w:r>
      <w:r w:rsidRPr="257BFE88" w:rsidR="494F508B">
        <w:rPr>
          <w:rFonts w:ascii="Aptos" w:hAnsi="Aptos" w:eastAsia="Aptos" w:cs="Aptos"/>
          <w:b w:val="0"/>
          <w:bCs w:val="0"/>
          <w:noProof w:val="0"/>
          <w:sz w:val="24"/>
          <w:szCs w:val="24"/>
          <w:lang w:val="en-GB"/>
        </w:rPr>
        <w:t xml:space="preserve"> </w:t>
      </w:r>
      <w:r w:rsidRPr="257BFE88" w:rsidR="237BBABD">
        <w:rPr>
          <w:rFonts w:ascii="Aptos" w:hAnsi="Aptos" w:eastAsia="Aptos" w:cs="Aptos"/>
          <w:b w:val="0"/>
          <w:bCs w:val="0"/>
          <w:noProof w:val="0"/>
          <w:sz w:val="24"/>
          <w:szCs w:val="24"/>
          <w:lang w:val="en-GB"/>
        </w:rPr>
        <w:t>scale investment processes</w:t>
      </w:r>
      <w:r w:rsidRPr="257BFE88" w:rsidR="0D3253F8">
        <w:rPr>
          <w:rFonts w:ascii="Aptos" w:hAnsi="Aptos" w:eastAsia="Aptos" w:cs="Aptos"/>
          <w:b w:val="0"/>
          <w:bCs w:val="0"/>
          <w:noProof w:val="0"/>
          <w:sz w:val="24"/>
          <w:szCs w:val="24"/>
          <w:lang w:val="en-GB"/>
        </w:rPr>
        <w:t>. This is considered</w:t>
      </w:r>
      <w:r w:rsidRPr="257BFE88" w:rsidR="237BBABD">
        <w:rPr>
          <w:rFonts w:ascii="Aptos" w:hAnsi="Aptos" w:eastAsia="Aptos" w:cs="Aptos"/>
          <w:b w:val="0"/>
          <w:bCs w:val="0"/>
          <w:noProof w:val="0"/>
          <w:sz w:val="24"/>
          <w:szCs w:val="24"/>
          <w:lang w:val="en-GB"/>
        </w:rPr>
        <w:t xml:space="preserve"> later in the research</w:t>
      </w:r>
      <w:r w:rsidRPr="257BFE88" w:rsidR="276F7461">
        <w:rPr>
          <w:rFonts w:ascii="Aptos" w:hAnsi="Aptos" w:eastAsia="Aptos" w:cs="Aptos"/>
          <w:b w:val="0"/>
          <w:bCs w:val="0"/>
          <w:noProof w:val="0"/>
          <w:sz w:val="24"/>
          <w:szCs w:val="24"/>
          <w:lang w:val="en-GB"/>
        </w:rPr>
        <w:t>.</w:t>
      </w:r>
    </w:p>
    <w:p w:rsidRPr="003137A2" w:rsidR="003137A2" w:rsidP="257BFE88" w:rsidRDefault="003137A2" w14:paraId="251CF7D7" w14:textId="77777777">
      <w:pPr>
        <w:spacing w:before="240" w:after="240" w:line="240" w:lineRule="auto"/>
        <w:rPr>
          <w:rFonts w:ascii="Aptos Display" w:hAnsi="Aptos Display" w:eastAsia="" w:cs="" w:asciiTheme="majorAscii" w:hAnsiTheme="majorAscii" w:eastAsiaTheme="majorEastAsia" w:cstheme="majorBidi"/>
          <w:color w:val="0F4761" w:themeColor="accent1" w:themeShade="BF"/>
          <w:sz w:val="32"/>
          <w:szCs w:val="32"/>
        </w:rPr>
      </w:pPr>
      <w:r w:rsidRPr="257BFE88" w:rsidR="6D7FFB3E">
        <w:rPr>
          <w:rFonts w:ascii="Aptos Display" w:hAnsi="Aptos Display" w:eastAsia="" w:cs="" w:asciiTheme="majorAscii" w:hAnsiTheme="majorAscii" w:eastAsiaTheme="majorEastAsia" w:cstheme="majorBidi"/>
          <w:color w:val="0F4761" w:themeColor="accent1" w:themeShade="BF"/>
          <w:sz w:val="32"/>
          <w:szCs w:val="32"/>
        </w:rPr>
        <w:t>2.3</w:t>
      </w:r>
      <w:r w:rsidRPr="003137A2" w:rsidR="6D7FFB3E">
        <w:rPr>
          <w:rFonts w:ascii="Aptos" w:hAnsi="Aptos" w:eastAsia="Times New Roman" w:cs="Times New Roman"/>
          <w:b w:val="1"/>
          <w:bCs w:val="1"/>
          <w:color w:val="000000"/>
          <w:kern w:val="0"/>
          <w:sz w:val="34"/>
          <w:szCs w:val="34"/>
          <w:lang w:eastAsia="en-GB"/>
          <w14:ligatures w14:val="none"/>
        </w:rPr>
        <w:t xml:space="preserve"> </w:t>
      </w:r>
      <w:r w:rsidRPr="257BFE88" w:rsidR="6D7FFB3E">
        <w:rPr>
          <w:rFonts w:ascii="Aptos Display" w:hAnsi="Aptos Display" w:eastAsia="" w:cs="" w:asciiTheme="majorAscii" w:hAnsiTheme="majorAscii" w:eastAsiaTheme="majorEastAsia" w:cstheme="majorBidi"/>
          <w:color w:val="0F4761" w:themeColor="accent1" w:themeShade="BF"/>
          <w:sz w:val="32"/>
          <w:szCs w:val="32"/>
        </w:rPr>
        <w:t>BlackRock’s Role in building ESG into standard investment practices</w:t>
      </w:r>
    </w:p>
    <w:p w:rsidRPr="003137A2" w:rsidR="003137A2" w:rsidP="003137A2" w:rsidRDefault="003137A2" w14:paraId="635CB929" w14:textId="094405AB">
      <w:pPr>
        <w:spacing w:before="240" w:after="240" w:line="240" w:lineRule="auto"/>
        <w:rPr>
          <w:rFonts w:ascii="Aptos" w:hAnsi="Aptos" w:eastAsia="Times New Roman" w:cs="Times New Roman"/>
          <w:color w:val="000000"/>
          <w:kern w:val="0"/>
          <w:lang w:eastAsia="en-GB"/>
          <w14:ligatures w14:val="none"/>
        </w:rPr>
      </w:pPr>
      <w:r w:rsidRPr="003137A2" w:rsidR="39A03F19">
        <w:rPr>
          <w:rFonts w:ascii="Aptos" w:hAnsi="Aptos" w:eastAsia="Times New Roman" w:cs="Times New Roman"/>
          <w:color w:val="000000"/>
          <w:kern w:val="0"/>
          <w:lang w:eastAsia="en-GB"/>
          <w14:ligatures w14:val="none"/>
        </w:rPr>
        <w:t>The size</w:t>
      </w:r>
      <w:r w:rsidRPr="003137A2" w:rsidR="6D7FFB3E">
        <w:rPr>
          <w:rFonts w:ascii="Aptos" w:hAnsi="Aptos" w:eastAsia="Times New Roman" w:cs="Times New Roman"/>
          <w:color w:val="000000"/>
          <w:kern w:val="0"/>
          <w:lang w:eastAsia="en-GB"/>
          <w14:ligatures w14:val="none"/>
        </w:rPr>
        <w:t xml:space="preserve"> and </w:t>
      </w:r>
      <w:r w:rsidRPr="003137A2" w:rsidR="1600BC5B">
        <w:rPr>
          <w:rFonts w:ascii="Aptos" w:hAnsi="Aptos" w:eastAsia="Times New Roman" w:cs="Times New Roman"/>
          <w:color w:val="000000"/>
          <w:kern w:val="0"/>
          <w:lang w:eastAsia="en-GB"/>
          <w14:ligatures w14:val="none"/>
        </w:rPr>
        <w:t xml:space="preserve">influence of BlackRock are two </w:t>
      </w:r>
      <w:r w:rsidRPr="003137A2" w:rsidR="1600BC5B">
        <w:rPr>
          <w:rFonts w:ascii="Aptos" w:hAnsi="Aptos" w:eastAsia="Times New Roman" w:cs="Times New Roman"/>
          <w:color w:val="000000"/>
          <w:kern w:val="0"/>
          <w:lang w:eastAsia="en-GB"/>
          <w14:ligatures w14:val="none"/>
        </w:rPr>
        <w:t>important factors</w:t>
      </w:r>
      <w:r w:rsidRPr="003137A2" w:rsidR="1600BC5B">
        <w:rPr>
          <w:rFonts w:ascii="Aptos" w:hAnsi="Aptos" w:eastAsia="Times New Roman" w:cs="Times New Roman"/>
          <w:color w:val="000000"/>
          <w:kern w:val="0"/>
          <w:lang w:eastAsia="en-GB"/>
          <w14:ligatures w14:val="none"/>
        </w:rPr>
        <w:t xml:space="preserve"> t</w:t>
      </w:r>
      <w:r w:rsidRPr="003137A2" w:rsidR="2825E474">
        <w:rPr>
          <w:rFonts w:ascii="Aptos" w:hAnsi="Aptos" w:eastAsia="Times New Roman" w:cs="Times New Roman"/>
          <w:color w:val="000000"/>
          <w:kern w:val="0"/>
          <w:lang w:eastAsia="en-GB"/>
          <w14:ligatures w14:val="none"/>
        </w:rPr>
        <w:t xml:space="preserve">hat have made </w:t>
      </w:r>
      <w:r w:rsidRPr="003137A2" w:rsidR="5B8CBAF7">
        <w:rPr>
          <w:rFonts w:ascii="Aptos" w:hAnsi="Aptos" w:eastAsia="Times New Roman" w:cs="Times New Roman"/>
          <w:color w:val="000000"/>
          <w:kern w:val="0"/>
          <w:lang w:eastAsia="en-GB"/>
          <w14:ligatures w14:val="none"/>
        </w:rPr>
        <w:t>it t</w:t>
      </w:r>
      <w:r w:rsidRPr="003137A2" w:rsidR="5B8CBAF7">
        <w:rPr>
          <w:rFonts w:ascii="Aptos" w:hAnsi="Aptos" w:eastAsia="Times New Roman" w:cs="Times New Roman"/>
          <w:color w:val="000000"/>
          <w:kern w:val="0"/>
          <w:lang w:eastAsia="en-GB"/>
          <w14:ligatures w14:val="none"/>
        </w:rPr>
        <w:t>he leading company in</w:t>
      </w:r>
      <w:r w:rsidRPr="003137A2" w:rsidR="6D7FFB3E">
        <w:rPr>
          <w:rFonts w:ascii="Aptos" w:hAnsi="Aptos" w:eastAsia="Times New Roman" w:cs="Times New Roman"/>
          <w:color w:val="000000"/>
          <w:kern w:val="0"/>
          <w:lang w:eastAsia="en-GB"/>
          <w14:ligatures w14:val="none"/>
        </w:rPr>
        <w:t xml:space="preserve"> the global ESG marke</w:t>
      </w:r>
      <w:r w:rsidRPr="003137A2" w:rsidR="6D7FFB3E">
        <w:rPr>
          <w:rFonts w:ascii="Aptos" w:hAnsi="Aptos" w:eastAsia="Times New Roman" w:cs="Times New Roman"/>
          <w:color w:val="000000"/>
          <w:kern w:val="0"/>
          <w:lang w:eastAsia="en-GB"/>
          <w14:ligatures w14:val="none"/>
        </w:rPr>
        <w:t>t.</w:t>
      </w:r>
      <w:r w:rsidRPr="003137A2" w:rsidR="6D7FFB3E">
        <w:rPr>
          <w:rFonts w:ascii="Aptos" w:hAnsi="Aptos" w:eastAsia="Times New Roman" w:cs="Times New Roman"/>
          <w:color w:val="000000"/>
          <w:kern w:val="0"/>
          <w:lang w:eastAsia="en-GB"/>
          <w14:ligatures w14:val="none"/>
        </w:rPr>
        <w:t xml:space="preserve"> </w:t>
      </w:r>
      <w:r w:rsidRPr="003137A2" w:rsidR="6D7FFB3E">
        <w:rPr>
          <w:rFonts w:ascii="Aptos" w:hAnsi="Aptos" w:eastAsia="Times New Roman" w:cs="Times New Roman"/>
          <w:color w:val="000000"/>
          <w:kern w:val="0"/>
          <w:lang w:eastAsia="en-GB"/>
          <w14:ligatures w14:val="none"/>
        </w:rPr>
        <w:t xml:space="preserve">As </w:t>
      </w:r>
      <w:r w:rsidRPr="003137A2" w:rsidR="6D7FFB3E">
        <w:rPr>
          <w:rFonts w:ascii="Aptos" w:hAnsi="Aptos" w:eastAsia="Times New Roman" w:cs="Times New Roman"/>
          <w:color w:val="000000"/>
          <w:kern w:val="0"/>
          <w:lang w:eastAsia="en-GB"/>
          <w14:ligatures w14:val="none"/>
        </w:rPr>
        <w:t>the world’s largest asset manager, BlackRock integrat</w:t>
      </w:r>
      <w:r w:rsidRPr="003137A2" w:rsidR="6D7FFB3E">
        <w:rPr>
          <w:rFonts w:ascii="Aptos" w:hAnsi="Aptos" w:eastAsia="Times New Roman" w:cs="Times New Roman"/>
          <w:color w:val="000000"/>
          <w:kern w:val="0"/>
          <w:lang w:eastAsia="en-GB"/>
          <w14:ligatures w14:val="none"/>
        </w:rPr>
        <w:t>es ESG co</w:t>
      </w:r>
      <w:r w:rsidRPr="003137A2" w:rsidR="6D7FFB3E">
        <w:rPr>
          <w:rFonts w:ascii="Aptos" w:hAnsi="Aptos" w:eastAsia="Times New Roman" w:cs="Times New Roman"/>
          <w:color w:val="000000"/>
          <w:kern w:val="0"/>
          <w:lang w:eastAsia="en-GB"/>
          <w14:ligatures w14:val="none"/>
        </w:rPr>
        <w:t xml:space="preserve">nsiderations into risk management, responsible investment </w:t>
      </w:r>
      <w:r w:rsidRPr="003137A2" w:rsidR="6D7FFB3E">
        <w:rPr>
          <w:rFonts w:ascii="Aptos" w:hAnsi="Aptos" w:eastAsia="Times New Roman" w:cs="Times New Roman"/>
          <w:color w:val="000000"/>
          <w:kern w:val="0"/>
          <w:lang w:eastAsia="en-GB"/>
          <w14:ligatures w14:val="none"/>
        </w:rPr>
        <w:t>practices</w:t>
      </w:r>
      <w:r w:rsidRPr="003137A2" w:rsidR="6D7FFB3E">
        <w:rPr>
          <w:rFonts w:ascii="Aptos" w:hAnsi="Aptos" w:eastAsia="Times New Roman" w:cs="Times New Roman"/>
          <w:color w:val="000000"/>
          <w:kern w:val="0"/>
          <w:lang w:eastAsia="en-GB"/>
          <w14:ligatures w14:val="none"/>
        </w:rPr>
        <w:t xml:space="preserve"> and</w:t>
      </w:r>
      <w:r w:rsidRPr="003137A2" w:rsidR="6D7FFB3E">
        <w:rPr>
          <w:rFonts w:ascii="Aptos" w:hAnsi="Aptos" w:eastAsia="Times New Roman" w:cs="Times New Roman"/>
          <w:color w:val="000000"/>
          <w:kern w:val="0"/>
          <w:lang w:eastAsia="en-GB"/>
          <w14:ligatures w14:val="none"/>
        </w:rPr>
        <w:t xml:space="preserve"> product design (Eccles and Klimenko, 2019).</w:t>
      </w:r>
      <w:r w:rsidRPr="003137A2" w:rsidR="6D7FFB3E">
        <w:rPr>
          <w:rFonts w:ascii="Aptos" w:hAnsi="Aptos" w:eastAsia="Times New Roman" w:cs="Times New Roman"/>
          <w:color w:val="000000"/>
          <w:kern w:val="0"/>
          <w:lang w:eastAsia="en-GB"/>
          <w14:ligatures w14:val="none"/>
        </w:rPr>
        <w:t xml:space="preserve"> </w:t>
      </w:r>
      <w:r w:rsidRPr="003137A2" w:rsidR="6D7FFB3E">
        <w:rPr>
          <w:rFonts w:ascii="Aptos" w:hAnsi="Aptos" w:eastAsia="Times New Roman" w:cs="Times New Roman"/>
          <w:color w:val="000000"/>
          <w:kern w:val="0"/>
          <w:lang w:eastAsia="en-GB"/>
          <w14:ligatures w14:val="none"/>
        </w:rPr>
        <w:t xml:space="preserve">Fink’s annual letters emphasise climate risk as investment risk and </w:t>
      </w:r>
      <w:r w:rsidRPr="003137A2" w:rsidR="6D7FFB3E">
        <w:rPr>
          <w:rFonts w:ascii="Aptos" w:hAnsi="Aptos" w:eastAsia="Times New Roman" w:cs="Times New Roman"/>
          <w:color w:val="000000"/>
          <w:kern w:val="0"/>
          <w:lang w:eastAsia="en-GB"/>
          <w14:ligatures w14:val="none"/>
        </w:rPr>
        <w:t>call</w:t>
      </w:r>
      <w:r w:rsidRPr="003137A2" w:rsidR="654A8225">
        <w:rPr>
          <w:rFonts w:ascii="Aptos" w:hAnsi="Aptos" w:eastAsia="Times New Roman" w:cs="Times New Roman"/>
          <w:color w:val="000000"/>
          <w:kern w:val="0"/>
          <w:lang w:eastAsia="en-GB"/>
          <w14:ligatures w14:val="none"/>
        </w:rPr>
        <w:t>ed</w:t>
      </w:r>
      <w:r w:rsidRPr="003137A2" w:rsidR="6D7FFB3E">
        <w:rPr>
          <w:rFonts w:ascii="Aptos" w:hAnsi="Aptos" w:eastAsia="Times New Roman" w:cs="Times New Roman"/>
          <w:color w:val="000000"/>
          <w:kern w:val="0"/>
          <w:lang w:eastAsia="en-GB"/>
          <w14:ligatures w14:val="none"/>
        </w:rPr>
        <w:t xml:space="preserve"> for improved corporate disclosure aligned with guidance such as the Task Force on Climate related Financial Disclosures (TCFD) (Fink, 2020; Metzner et al., 2024). This public support has playe</w:t>
      </w:r>
      <w:r w:rsidRPr="003137A2" w:rsidR="6D7FFB3E">
        <w:rPr>
          <w:rFonts w:ascii="Aptos" w:hAnsi="Aptos" w:eastAsia="Times New Roman" w:cs="Times New Roman"/>
          <w:color w:val="000000"/>
          <w:kern w:val="0"/>
          <w:lang w:eastAsia="en-GB"/>
          <w14:ligatures w14:val="none"/>
        </w:rPr>
        <w:t xml:space="preserve">d </w:t>
      </w:r>
      <w:r w:rsidRPr="003137A2" w:rsidR="6D7FFB3E">
        <w:rPr>
          <w:rFonts w:ascii="Aptos" w:hAnsi="Aptos" w:eastAsia="Times New Roman" w:cs="Times New Roman"/>
          <w:color w:val="000000"/>
          <w:kern w:val="0"/>
          <w:lang w:eastAsia="en-GB"/>
          <w14:ligatures w14:val="none"/>
        </w:rPr>
        <w:t>an important ro</w:t>
      </w:r>
      <w:r w:rsidRPr="003137A2" w:rsidR="6D7FFB3E">
        <w:rPr>
          <w:rFonts w:ascii="Aptos" w:hAnsi="Aptos" w:eastAsia="Times New Roman" w:cs="Times New Roman"/>
          <w:color w:val="000000"/>
          <w:kern w:val="0"/>
          <w:lang w:eastAsia="en-GB"/>
          <w14:ligatures w14:val="none"/>
        </w:rPr>
        <w:t>le</w:t>
      </w:r>
      <w:r w:rsidRPr="003137A2" w:rsidR="6D7FFB3E">
        <w:rPr>
          <w:rFonts w:ascii="Aptos" w:hAnsi="Aptos" w:eastAsia="Times New Roman" w:cs="Times New Roman"/>
          <w:color w:val="000000"/>
          <w:kern w:val="0"/>
          <w:lang w:eastAsia="en-GB"/>
          <w14:ligatures w14:val="none"/>
        </w:rPr>
        <w:t xml:space="preserve"> in integrating ESG expectations in capital markets around the world.</w:t>
      </w:r>
    </w:p>
    <w:p w:rsidRPr="003137A2" w:rsidR="003137A2" w:rsidP="257BFE88" w:rsidRDefault="003137A2" w14:paraId="240BEE1B" w14:textId="13D02243">
      <w:pPr>
        <w:pStyle w:val="Normal"/>
        <w:spacing w:before="240" w:beforeAutospacing="off" w:after="240" w:afterAutospacing="off" w:line="240" w:lineRule="auto"/>
        <w:rPr>
          <w:rFonts w:ascii="Aptos" w:hAnsi="Aptos" w:eastAsia="Aptos" w:cs="Aptos"/>
          <w:b w:val="0"/>
          <w:bCs w:val="0"/>
          <w:noProof w:val="0"/>
          <w:sz w:val="24"/>
          <w:szCs w:val="24"/>
          <w:highlight w:val="green"/>
          <w:lang w:val="en-GB"/>
        </w:rPr>
      </w:pPr>
      <w:r w:rsidRPr="003137A2" w:rsidR="74131136">
        <w:rPr>
          <w:rFonts w:ascii="Aptos" w:hAnsi="Aptos" w:eastAsia="Times New Roman" w:cs="Times New Roman"/>
          <w:color w:val="000000"/>
          <w:kern w:val="0"/>
          <w:lang w:eastAsia="en-GB"/>
          <w14:ligatures w14:val="none"/>
        </w:rPr>
        <w:t xml:space="preserve">BlackRock’s reliance on third party ESG data</w:t>
      </w:r>
      <w:r w:rsidRPr="003137A2" w:rsidR="47D841BA">
        <w:rPr>
          <w:rFonts w:ascii="Aptos" w:hAnsi="Aptos" w:eastAsia="Times New Roman" w:cs="Times New Roman"/>
          <w:color w:val="000000"/>
          <w:kern w:val="0"/>
          <w:lang w:eastAsia="en-GB"/>
          <w14:ligatures w14:val="none"/>
        </w:rPr>
        <w:t xml:space="preserve"> particularly</w:t>
      </w:r>
      <w:r w:rsidRPr="003137A2" w:rsidR="74131136">
        <w:rPr>
          <w:rFonts w:ascii="Aptos" w:hAnsi="Aptos" w:eastAsia="Times New Roman" w:cs="Times New Roman"/>
          <w:color w:val="000000"/>
          <w:kern w:val="0"/>
          <w:lang w:eastAsia="en-GB"/>
          <w14:ligatures w14:val="none"/>
        </w:rPr>
        <w:t xml:space="preserve"> MSCI, has </w:t>
      </w:r>
      <w:r w:rsidRPr="003137A2" w:rsidR="74131136">
        <w:rPr>
          <w:rFonts w:ascii="Aptos" w:hAnsi="Aptos" w:eastAsia="Times New Roman" w:cs="Times New Roman"/>
          <w:color w:val="000000"/>
          <w:kern w:val="0"/>
          <w:lang w:eastAsia="en-GB"/>
          <w14:ligatures w14:val="none"/>
        </w:rPr>
        <w:t>benefitted</w:t>
      </w:r>
      <w:r w:rsidRPr="003137A2" w:rsidR="74131136">
        <w:rPr>
          <w:rFonts w:ascii="Aptos" w:hAnsi="Aptos" w:eastAsia="Times New Roman" w:cs="Times New Roman"/>
          <w:color w:val="000000"/>
          <w:kern w:val="0"/>
          <w:lang w:eastAsia="en-GB"/>
          <w14:ligatures w14:val="none"/>
        </w:rPr>
        <w:t xml:space="preserve"> the in</w:t>
      </w:r>
      <w:r w:rsidRPr="08626363" w:rsidR="74131136">
        <w:rPr>
          <w:rFonts w:ascii="Aptos" w:hAnsi="Aptos" w:eastAsia="Times New Roman" w:cs="Times New Roman"/>
          <w:color w:val="auto"/>
          <w:kern w:val="0"/>
          <w:lang w:eastAsia="en-GB"/>
          <w14:ligatures w14:val="none"/>
        </w:rPr>
        <w:t xml:space="preserve">fluence of rating agencies (BlackRock, 2024). </w:t>
      </w:r>
      <w:r w:rsidRPr="08626363" w:rsidR="541C87CB">
        <w:rPr>
          <w:rFonts w:ascii="Aptos" w:hAnsi="Aptos" w:eastAsia="Aptos" w:cs="Aptos"/>
          <w:noProof w:val="0"/>
          <w:color w:val="auto"/>
          <w:sz w:val="24"/>
          <w:szCs w:val="24"/>
          <w:lang w:val="en-GB"/>
        </w:rPr>
        <w:t>The sustainability information shown for iShares funds often comes from MSCI’s com</w:t>
      </w:r>
      <w:r w:rsidRPr="08626363" w:rsidR="541C87CB">
        <w:rPr>
          <w:rFonts w:ascii="Aptos" w:hAnsi="Aptos" w:eastAsia="Aptos" w:cs="Aptos"/>
          <w:noProof w:val="0"/>
          <w:color w:val="auto"/>
          <w:sz w:val="24"/>
          <w:szCs w:val="24"/>
          <w:lang w:val="en-GB"/>
        </w:rPr>
        <w:t>pany</w:t>
      </w:r>
      <w:r w:rsidRPr="08626363" w:rsidR="541C87CB">
        <w:rPr>
          <w:rFonts w:ascii="Cambria Math" w:hAnsi="Cambria Math" w:eastAsia="Cambria Math" w:cs="Cambria Math"/>
          <w:noProof w:val="0"/>
          <w:color w:val="auto"/>
          <w:sz w:val="24"/>
          <w:szCs w:val="24"/>
          <w:lang w:val="en-GB"/>
        </w:rPr>
        <w:t xml:space="preserve"> </w:t>
      </w:r>
      <w:r w:rsidRPr="08626363" w:rsidR="541C87CB">
        <w:rPr>
          <w:rFonts w:ascii="Aptos" w:hAnsi="Aptos" w:eastAsia="Aptos" w:cs="Aptos"/>
          <w:noProof w:val="0"/>
          <w:color w:val="auto"/>
          <w:sz w:val="24"/>
          <w:szCs w:val="24"/>
          <w:lang w:val="en-GB"/>
        </w:rPr>
        <w:t xml:space="preserve">leve</w:t>
      </w:r>
      <w:r w:rsidRPr="08626363" w:rsidR="541C87CB">
        <w:rPr>
          <w:rFonts w:ascii="Aptos" w:hAnsi="Aptos" w:eastAsia="Aptos" w:cs="Aptos"/>
          <w:noProof w:val="0"/>
          <w:color w:val="auto"/>
          <w:sz w:val="24"/>
          <w:szCs w:val="24"/>
          <w:lang w:val="en-GB"/>
        </w:rPr>
        <w:t xml:space="preserve">l ESG ratings, which are t</w:t>
      </w:r>
      <w:r w:rsidRPr="08626363" w:rsidR="541C87CB">
        <w:rPr>
          <w:rFonts w:ascii="Aptos" w:hAnsi="Aptos" w:eastAsia="Aptos" w:cs="Aptos"/>
          <w:noProof w:val="0"/>
          <w:color w:val="auto"/>
          <w:sz w:val="24"/>
          <w:szCs w:val="24"/>
          <w:lang w:val="en-GB"/>
        </w:rPr>
        <w:t xml:space="preserve">hen combi</w:t>
      </w:r>
      <w:r w:rsidRPr="08626363" w:rsidR="541C87CB">
        <w:rPr>
          <w:rFonts w:ascii="Aptos" w:hAnsi="Aptos" w:eastAsia="Aptos" w:cs="Aptos"/>
          <w:noProof w:val="0"/>
          <w:color w:val="auto"/>
          <w:sz w:val="24"/>
          <w:szCs w:val="24"/>
          <w:lang w:val="en-GB"/>
        </w:rPr>
        <w:t xml:space="preserve">ned to give a score for the whole fund. </w:t>
      </w:r>
      <w:r w:rsidRPr="08626363" w:rsidR="541C87CB">
        <w:rPr>
          <w:rFonts w:ascii="Aptos" w:hAnsi="Aptos" w:eastAsia="Aptos" w:cs="Aptos"/>
          <w:noProof w:val="0"/>
          <w:color w:val="auto"/>
          <w:sz w:val="24"/>
          <w:szCs w:val="24"/>
          <w:lang w:val="en-GB"/>
        </w:rPr>
        <w:t xml:space="preserve">This creates a “feedback loop” where the </w:t>
      </w:r>
      <w:r w:rsidRPr="08626363" w:rsidR="541C87CB">
        <w:rPr>
          <w:rFonts w:ascii="Aptos" w:hAnsi="Aptos" w:eastAsia="Aptos" w:cs="Aptos"/>
          <w:noProof w:val="0"/>
          <w:color w:val="auto"/>
          <w:sz w:val="24"/>
          <w:szCs w:val="24"/>
          <w:lang w:val="en-GB"/>
        </w:rPr>
        <w:t xml:space="preserve">rating </w:t>
      </w:r>
      <w:r w:rsidRPr="08626363" w:rsidR="541C87CB">
        <w:rPr>
          <w:rFonts w:ascii="Aptos" w:hAnsi="Aptos" w:eastAsia="Aptos" w:cs="Aptos"/>
          <w:noProof w:val="0"/>
          <w:color w:val="auto"/>
          <w:sz w:val="24"/>
          <w:szCs w:val="24"/>
          <w:lang w:val="en-GB"/>
        </w:rPr>
        <w:t>approach</w:t>
      </w:r>
      <w:r w:rsidRPr="08626363" w:rsidR="541C87CB">
        <w:rPr>
          <w:rFonts w:ascii="Aptos" w:hAnsi="Aptos" w:eastAsia="Aptos" w:cs="Aptos"/>
          <w:noProof w:val="0"/>
          <w:color w:val="auto"/>
          <w:sz w:val="24"/>
          <w:szCs w:val="24"/>
          <w:lang w:val="en-GB"/>
        </w:rPr>
        <w:t>es</w:t>
      </w:r>
      <w:r w:rsidRPr="08626363" w:rsidR="541C87CB">
        <w:rPr>
          <w:rFonts w:ascii="Aptos" w:hAnsi="Aptos" w:eastAsia="Aptos" w:cs="Aptos"/>
          <w:noProof w:val="0"/>
          <w:color w:val="EE0000"/>
          <w:sz w:val="24"/>
          <w:szCs w:val="24"/>
          <w:lang w:val="en-GB"/>
        </w:rPr>
        <w:t xml:space="preserve"> </w:t>
      </w:r>
      <w:r w:rsidRPr="003137A2" w:rsidR="74131136">
        <w:rPr>
          <w:rFonts w:ascii="Aptos" w:hAnsi="Aptos" w:eastAsia="Times New Roman" w:cs="Times New Roman"/>
          <w:color w:val="000000"/>
          <w:kern w:val="0"/>
          <w:lang w:eastAsia="en-GB"/>
          <w14:ligatures w14:val="none"/>
        </w:rPr>
        <w:t>inform</w:t>
      </w:r>
      <w:r w:rsidRPr="003137A2" w:rsidR="74131136">
        <w:rPr>
          <w:rFonts w:ascii="Aptos" w:hAnsi="Aptos" w:eastAsia="Times New Roman" w:cs="Times New Roman"/>
          <w:color w:val="000000"/>
          <w:kern w:val="0"/>
          <w:lang w:eastAsia="en-GB"/>
          <w14:ligatures w14:val="none"/>
        </w:rPr>
        <w:t xml:space="preserve"> fund classifications, which in turn influence investor demand and capital flows.</w:t>
      </w:r>
      <w:r w:rsidRPr="003137A2" w:rsidR="3B3FE4E7">
        <w:rPr>
          <w:rFonts w:ascii="Aptos" w:hAnsi="Aptos" w:eastAsia="Times New Roman" w:cs="Times New Roman"/>
          <w:color w:val="000000"/>
          <w:kern w:val="0"/>
          <w:lang w:eastAsia="en-GB"/>
          <w14:ligatures w14:val="none"/>
        </w:rPr>
        <w:t xml:space="preserve"> </w:t>
      </w:r>
      <w:r w:rsidRPr="257BFE88" w:rsidR="3B3FE4E7">
        <w:rPr>
          <w:rFonts w:ascii="Aptos" w:hAnsi="Aptos" w:eastAsia="Aptos" w:cs="Aptos"/>
          <w:b w:val="0"/>
          <w:bCs w:val="0"/>
          <w:noProof w:val="0"/>
          <w:sz w:val="24"/>
          <w:szCs w:val="24"/>
          <w:lang w:val="en-GB"/>
        </w:rPr>
        <w:t>The literature shows that this integration also carries over the assumptions</w:t>
      </w:r>
      <w:r w:rsidRPr="257BFE88" w:rsidR="7ADE4793">
        <w:rPr>
          <w:rFonts w:ascii="Aptos" w:hAnsi="Aptos" w:eastAsia="Aptos" w:cs="Aptos"/>
          <w:b w:val="0"/>
          <w:bCs w:val="0"/>
          <w:noProof w:val="0"/>
          <w:sz w:val="24"/>
          <w:szCs w:val="24"/>
          <w:lang w:val="en-GB"/>
        </w:rPr>
        <w:t>, biases</w:t>
      </w:r>
      <w:r w:rsidRPr="257BFE88" w:rsidR="3B3FE4E7">
        <w:rPr>
          <w:rFonts w:ascii="Aptos" w:hAnsi="Aptos" w:eastAsia="Aptos" w:cs="Aptos"/>
          <w:b w:val="0"/>
          <w:bCs w:val="0"/>
          <w:noProof w:val="0"/>
          <w:sz w:val="24"/>
          <w:szCs w:val="24"/>
          <w:lang w:val="en-GB"/>
        </w:rPr>
        <w:t xml:space="preserve"> </w:t>
      </w:r>
      <w:r w:rsidRPr="257BFE88" w:rsidR="62AB2CD8">
        <w:rPr>
          <w:rFonts w:ascii="Aptos" w:hAnsi="Aptos" w:eastAsia="Aptos" w:cs="Aptos"/>
          <w:b w:val="0"/>
          <w:bCs w:val="0"/>
          <w:noProof w:val="0"/>
          <w:sz w:val="24"/>
          <w:szCs w:val="24"/>
          <w:lang w:val="en-GB"/>
        </w:rPr>
        <w:t xml:space="preserve">and so constraints </w:t>
      </w:r>
      <w:r w:rsidRPr="257BFE88" w:rsidR="3B3FE4E7">
        <w:rPr>
          <w:rFonts w:ascii="Aptos" w:hAnsi="Aptos" w:eastAsia="Aptos" w:cs="Aptos"/>
          <w:b w:val="0"/>
          <w:bCs w:val="0"/>
          <w:noProof w:val="0"/>
          <w:sz w:val="24"/>
          <w:szCs w:val="24"/>
          <w:lang w:val="en-GB"/>
        </w:rPr>
        <w:t xml:space="preserve">of the rating providers themselves, which then flow directly into </w:t>
      </w:r>
      <w:r w:rsidRPr="257BFE88" w:rsidR="3B3FE4E7">
        <w:rPr>
          <w:rFonts w:ascii="Aptos" w:hAnsi="Aptos" w:eastAsia="Aptos" w:cs="Aptos"/>
          <w:b w:val="0"/>
          <w:bCs w:val="0"/>
          <w:noProof w:val="0"/>
          <w:sz w:val="24"/>
          <w:szCs w:val="24"/>
          <w:lang w:val="en-GB"/>
        </w:rPr>
        <w:t>large</w:t>
      </w:r>
      <w:r w:rsidRPr="257BFE88" w:rsidR="3A1D25C0">
        <w:rPr>
          <w:rFonts w:ascii="Aptos" w:hAnsi="Aptos" w:eastAsia="Aptos" w:cs="Aptos"/>
          <w:b w:val="0"/>
          <w:bCs w:val="0"/>
          <w:noProof w:val="0"/>
          <w:sz w:val="24"/>
          <w:szCs w:val="24"/>
          <w:lang w:val="en-GB"/>
        </w:rPr>
        <w:t xml:space="preserve"> </w:t>
      </w:r>
      <w:r w:rsidRPr="257BFE88" w:rsidR="3B3FE4E7">
        <w:rPr>
          <w:rFonts w:ascii="Aptos" w:hAnsi="Aptos" w:eastAsia="Aptos" w:cs="Aptos"/>
          <w:b w:val="0"/>
          <w:bCs w:val="0"/>
          <w:noProof w:val="0"/>
          <w:sz w:val="24"/>
          <w:szCs w:val="24"/>
          <w:lang w:val="en-GB"/>
        </w:rPr>
        <w:t>scale</w:t>
      </w:r>
      <w:r w:rsidRPr="257BFE88" w:rsidR="3B3FE4E7">
        <w:rPr>
          <w:rFonts w:ascii="Aptos" w:hAnsi="Aptos" w:eastAsia="Aptos" w:cs="Aptos"/>
          <w:b w:val="0"/>
          <w:bCs w:val="0"/>
          <w:noProof w:val="0"/>
          <w:sz w:val="24"/>
          <w:szCs w:val="24"/>
          <w:lang w:val="en-GB"/>
        </w:rPr>
        <w:t xml:space="preserve"> investment processes (Christensen et al., 2022).</w:t>
      </w:r>
    </w:p>
    <w:p w:rsidRPr="003137A2" w:rsidR="003137A2" w:rsidP="257BFE88" w:rsidRDefault="003137A2" w14:paraId="1E64295B" w14:textId="0F7AE1BE">
      <w:pPr>
        <w:pStyle w:val="Normal"/>
        <w:spacing w:before="240" w:beforeAutospacing="off" w:after="240" w:afterAutospacing="off" w:line="240" w:lineRule="auto"/>
        <w:rPr>
          <w:rFonts w:ascii="Aptos" w:hAnsi="Aptos" w:eastAsia="Aptos" w:cs="Aptos"/>
          <w:b w:val="0"/>
          <w:bCs w:val="0"/>
          <w:noProof w:val="0"/>
          <w:sz w:val="24"/>
          <w:szCs w:val="24"/>
          <w:lang w:val="en-GB"/>
        </w:rPr>
      </w:pPr>
      <w:r w:rsidRPr="257BFE88" w:rsidR="3B3FE4E7">
        <w:rPr>
          <w:rFonts w:ascii="Aptos" w:hAnsi="Aptos" w:eastAsia="Aptos" w:cs="Aptos"/>
          <w:b w:val="0"/>
          <w:bCs w:val="0"/>
          <w:noProof w:val="0"/>
          <w:sz w:val="24"/>
          <w:szCs w:val="24"/>
          <w:lang w:val="en-GB"/>
        </w:rPr>
        <w:t>BlackRock’s influence on industry practice</w:t>
      </w:r>
      <w:r w:rsidRPr="257BFE88" w:rsidR="7DCB4460">
        <w:rPr>
          <w:rFonts w:ascii="Aptos" w:hAnsi="Aptos" w:eastAsia="Aptos" w:cs="Aptos"/>
          <w:b w:val="0"/>
          <w:bCs w:val="0"/>
          <w:noProof w:val="0"/>
          <w:sz w:val="24"/>
          <w:szCs w:val="24"/>
          <w:lang w:val="en-GB"/>
        </w:rPr>
        <w:t xml:space="preserve"> is highlighted in the literature.</w:t>
      </w:r>
      <w:r w:rsidRPr="257BFE88" w:rsidR="3B3FE4E7">
        <w:rPr>
          <w:rFonts w:ascii="Aptos" w:hAnsi="Aptos" w:eastAsia="Aptos" w:cs="Aptos"/>
          <w:b w:val="0"/>
          <w:bCs w:val="0"/>
          <w:noProof w:val="0"/>
          <w:sz w:val="24"/>
          <w:szCs w:val="24"/>
          <w:lang w:val="en-GB"/>
        </w:rPr>
        <w:t xml:space="preserve"> </w:t>
      </w:r>
      <w:r w:rsidRPr="257BFE88" w:rsidR="3B3FE4E7">
        <w:rPr>
          <w:rFonts w:ascii="Aptos" w:hAnsi="Aptos" w:eastAsia="Aptos" w:cs="Aptos"/>
          <w:b w:val="0"/>
          <w:bCs w:val="0"/>
          <w:noProof w:val="0"/>
          <w:sz w:val="24"/>
          <w:szCs w:val="24"/>
          <w:lang w:val="en-GB"/>
        </w:rPr>
        <w:t>Ecc</w:t>
      </w:r>
      <w:r w:rsidRPr="257BFE88" w:rsidR="3B3FE4E7">
        <w:rPr>
          <w:rFonts w:ascii="Aptos" w:hAnsi="Aptos" w:eastAsia="Aptos" w:cs="Aptos"/>
          <w:b w:val="0"/>
          <w:bCs w:val="0"/>
          <w:noProof w:val="0"/>
          <w:sz w:val="24"/>
          <w:szCs w:val="24"/>
          <w:lang w:val="en-GB"/>
        </w:rPr>
        <w:t xml:space="preserve">les and Klimenko </w:t>
      </w:r>
      <w:r w:rsidRPr="257BFE88" w:rsidR="3B3FE4E7">
        <w:rPr>
          <w:rFonts w:ascii="Aptos" w:hAnsi="Aptos" w:eastAsia="Aptos" w:cs="Aptos"/>
          <w:b w:val="0"/>
          <w:bCs w:val="0"/>
          <w:noProof w:val="0"/>
          <w:sz w:val="24"/>
          <w:szCs w:val="24"/>
          <w:lang w:val="en-GB"/>
        </w:rPr>
        <w:t>argue that BlackRock’s public support for ESG principles has encouraged other asset managers to follow similar approaches, helping to make ESG a normal part of global finance</w:t>
      </w:r>
      <w:r w:rsidRPr="257BFE88" w:rsidR="1251680D">
        <w:rPr>
          <w:rFonts w:ascii="Aptos" w:hAnsi="Aptos" w:eastAsia="Aptos" w:cs="Aptos"/>
          <w:b w:val="0"/>
          <w:bCs w:val="0"/>
          <w:noProof w:val="0"/>
          <w:sz w:val="24"/>
          <w:szCs w:val="24"/>
          <w:lang w:val="en-GB"/>
        </w:rPr>
        <w:t xml:space="preserve"> (Eccles and Klimenko, 2019)</w:t>
      </w:r>
      <w:r w:rsidRPr="257BFE88" w:rsidR="3B3FE4E7">
        <w:rPr>
          <w:rFonts w:ascii="Aptos" w:hAnsi="Aptos" w:eastAsia="Aptos" w:cs="Aptos"/>
          <w:b w:val="0"/>
          <w:bCs w:val="0"/>
          <w:noProof w:val="0"/>
          <w:sz w:val="24"/>
          <w:szCs w:val="24"/>
          <w:lang w:val="en-GB"/>
        </w:rPr>
        <w:t>.</w:t>
      </w:r>
    </w:p>
    <w:p w:rsidRPr="003137A2" w:rsidR="003137A2" w:rsidP="257BFE88" w:rsidRDefault="003137A2" w14:paraId="24A6B633" w14:textId="71DA9609">
      <w:pPr>
        <w:pStyle w:val="Normal"/>
        <w:spacing w:before="240" w:beforeAutospacing="off" w:after="240" w:afterAutospacing="off" w:line="240" w:lineRule="auto"/>
        <w:rPr>
          <w:rFonts w:ascii="Aptos" w:hAnsi="Aptos" w:eastAsia="Aptos" w:cs="Aptos"/>
          <w:b w:val="0"/>
          <w:bCs w:val="0"/>
          <w:noProof w:val="0"/>
          <w:kern w:val="0"/>
          <w:sz w:val="24"/>
          <w:szCs w:val="24"/>
          <w:lang w:val="en-GB"/>
          <w14:ligatures w14:val="none"/>
        </w:rPr>
      </w:pPr>
      <w:r w:rsidRPr="257BFE88" w:rsidR="65A12F9B">
        <w:rPr>
          <w:rFonts w:ascii="Aptos" w:hAnsi="Aptos" w:eastAsia="Aptos" w:cs="Aptos"/>
          <w:noProof w:val="0"/>
          <w:sz w:val="24"/>
          <w:szCs w:val="24"/>
          <w:lang w:val="en-GB"/>
        </w:rPr>
        <w:t xml:space="preserve">BlackRock’s leadership has </w:t>
      </w:r>
      <w:r w:rsidRPr="257BFE88" w:rsidR="71FB1D9F">
        <w:rPr>
          <w:rFonts w:ascii="Aptos" w:hAnsi="Aptos" w:eastAsia="Aptos" w:cs="Aptos"/>
          <w:noProof w:val="0"/>
          <w:sz w:val="24"/>
          <w:szCs w:val="24"/>
          <w:lang w:val="en-GB"/>
        </w:rPr>
        <w:t xml:space="preserve">had </w:t>
      </w:r>
      <w:r w:rsidRPr="257BFE88" w:rsidR="65A12F9B">
        <w:rPr>
          <w:rFonts w:ascii="Aptos" w:hAnsi="Aptos" w:eastAsia="Aptos" w:cs="Aptos"/>
          <w:noProof w:val="0"/>
          <w:sz w:val="24"/>
          <w:szCs w:val="24"/>
          <w:lang w:val="en-GB"/>
        </w:rPr>
        <w:t>both strategic and reputational benefits</w:t>
      </w:r>
      <w:r w:rsidRPr="257BFE88" w:rsidR="1F35AF9A">
        <w:rPr>
          <w:rFonts w:ascii="Aptos" w:hAnsi="Aptos" w:eastAsia="Aptos" w:cs="Aptos"/>
          <w:noProof w:val="0"/>
          <w:sz w:val="24"/>
          <w:szCs w:val="24"/>
          <w:lang w:val="en-GB"/>
        </w:rPr>
        <w:t xml:space="preserve"> to the business</w:t>
      </w:r>
      <w:r w:rsidRPr="257BFE88" w:rsidR="65A12F9B">
        <w:rPr>
          <w:rFonts w:ascii="Aptos" w:hAnsi="Aptos" w:eastAsia="Aptos" w:cs="Aptos"/>
          <w:noProof w:val="0"/>
          <w:sz w:val="24"/>
          <w:szCs w:val="24"/>
          <w:lang w:val="en-GB"/>
        </w:rPr>
        <w:t xml:space="preserve">, strengthening its competitive position in the </w:t>
      </w:r>
      <w:r w:rsidRPr="257BFE88" w:rsidR="65A12F9B">
        <w:rPr>
          <w:rFonts w:ascii="Aptos" w:hAnsi="Aptos" w:eastAsia="Aptos" w:cs="Aptos"/>
          <w:noProof w:val="0"/>
          <w:sz w:val="24"/>
          <w:szCs w:val="24"/>
          <w:lang w:val="en-GB"/>
        </w:rPr>
        <w:t>fast growing</w:t>
      </w:r>
      <w:r w:rsidRPr="257BFE88" w:rsidR="65A12F9B">
        <w:rPr>
          <w:rFonts w:ascii="Aptos" w:hAnsi="Aptos" w:eastAsia="Aptos" w:cs="Aptos"/>
          <w:noProof w:val="0"/>
          <w:sz w:val="24"/>
          <w:szCs w:val="24"/>
          <w:lang w:val="en-GB"/>
        </w:rPr>
        <w:t xml:space="preserve"> market for ESG</w:t>
      </w:r>
      <w:r w:rsidRPr="257BFE88" w:rsidR="37F72B2D">
        <w:rPr>
          <w:rFonts w:ascii="Aptos" w:hAnsi="Aptos" w:eastAsia="Aptos" w:cs="Aptos"/>
          <w:noProof w:val="0"/>
          <w:sz w:val="24"/>
          <w:szCs w:val="24"/>
          <w:lang w:val="en-GB"/>
        </w:rPr>
        <w:t xml:space="preserve"> </w:t>
      </w:r>
      <w:r w:rsidRPr="257BFE88" w:rsidR="65A12F9B">
        <w:rPr>
          <w:rFonts w:ascii="Aptos" w:hAnsi="Aptos" w:eastAsia="Aptos" w:cs="Aptos"/>
          <w:noProof w:val="0"/>
          <w:sz w:val="24"/>
          <w:szCs w:val="24"/>
          <w:lang w:val="en-GB"/>
        </w:rPr>
        <w:t>labelled investment products (</w:t>
      </w:r>
      <w:r w:rsidRPr="257BFE88" w:rsidR="65A12F9B">
        <w:rPr>
          <w:rFonts w:ascii="Aptos" w:hAnsi="Aptos" w:eastAsia="Aptos" w:cs="Aptos"/>
          <w:noProof w:val="0"/>
          <w:sz w:val="24"/>
          <w:szCs w:val="24"/>
          <w:lang w:val="en-GB"/>
        </w:rPr>
        <w:t>Ecc</w:t>
      </w:r>
      <w:r w:rsidRPr="257BFE88" w:rsidR="65A12F9B">
        <w:rPr>
          <w:rFonts w:ascii="Aptos" w:hAnsi="Aptos" w:eastAsia="Aptos" w:cs="Aptos"/>
          <w:noProof w:val="0"/>
          <w:sz w:val="24"/>
          <w:szCs w:val="24"/>
          <w:lang w:val="en-GB"/>
        </w:rPr>
        <w:t>les and Klimenko, 2019).</w:t>
      </w:r>
    </w:p>
    <w:p w:rsidRPr="003137A2" w:rsidR="003137A2" w:rsidP="003137A2" w:rsidRDefault="003137A2" w14:paraId="06F1C4BA" w14:textId="77777777">
      <w:pPr>
        <w:spacing w:before="240" w:after="0" w:line="240" w:lineRule="auto"/>
        <w:rPr>
          <w:rFonts w:ascii="Times New Roman" w:hAnsi="Times New Roman" w:eastAsia="Times New Roman" w:cs="Times New Roman"/>
          <w:kern w:val="0"/>
          <w:lang w:eastAsia="en-GB"/>
          <w14:ligatures w14:val="none"/>
        </w:rPr>
      </w:pPr>
      <w:r w:rsidRPr="003137A2">
        <w:rPr>
          <w:rFonts w:ascii="Aptos" w:hAnsi="Aptos" w:eastAsia="Times New Roman" w:cs="Times New Roman"/>
          <w:color w:val="000000"/>
          <w:kern w:val="0"/>
          <w:lang w:eastAsia="en-GB"/>
          <w14:ligatures w14:val="none"/>
        </w:rPr>
        <w:t> </w:t>
      </w:r>
    </w:p>
    <w:p w:rsidRPr="003137A2" w:rsidR="003137A2" w:rsidP="257BFE88" w:rsidRDefault="003137A2" w14:paraId="0414D3A3" w14:textId="32E26665">
      <w:pPr>
        <w:keepNext w:val="1"/>
        <w:keepLines w:val="1"/>
        <w:spacing w:before="160" w:after="80"/>
        <w:outlineLvl w:val="1"/>
        <w:rPr>
          <w:rFonts w:ascii="Times New Roman" w:hAnsi="Times New Roman" w:eastAsia="Times New Roman" w:cs="" w:cstheme="majorBidi"/>
          <w:color w:val="0F4761" w:themeColor="accent1" w:themeShade="BF"/>
          <w:sz w:val="32"/>
          <w:szCs w:val="32"/>
          <w:lang w:eastAsia="en-GB"/>
        </w:rPr>
      </w:pPr>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 </w:t>
      </w:r>
      <w:bookmarkStart w:name="_Toc2139066359" w:id="1437197304"/>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2.4 Why BlackRock Adopted ESG: Strategic, Political</w:t>
      </w:r>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 xml:space="preserve"> and</w:t>
      </w:r>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 xml:space="preserve"> Market Factors</w:t>
      </w:r>
      <w:bookmarkEnd w:id="1437197304"/>
    </w:p>
    <w:p w:rsidRPr="003137A2" w:rsidR="003137A2" w:rsidP="257BFE88" w:rsidRDefault="003137A2" w14:paraId="2E07D34E" w14:textId="77777777">
      <w:pPr>
        <w:keepNext w:val="1"/>
        <w:keepLines w:val="1"/>
        <w:spacing w:before="160" w:after="80"/>
        <w:outlineLvl w:val="2"/>
        <w:rPr>
          <w:rFonts w:ascii="Times New Roman" w:hAnsi="Times New Roman" w:eastAsia="Times New Roman" w:cs="" w:cstheme="majorBidi"/>
          <w:color w:val="0F4761" w:themeColor="accent1" w:themeShade="BF"/>
          <w:sz w:val="27"/>
          <w:szCs w:val="27"/>
          <w:lang w:eastAsia="en-GB"/>
        </w:rPr>
      </w:pPr>
      <w:bookmarkStart w:name="_Toc2050080568" w:id="951700136"/>
      <w:r w:rsidRPr="257BFE88" w:rsidR="6D7FFB3E">
        <w:rPr>
          <w:rFonts w:eastAsia="Times New Roman" w:cs="" w:cstheme="majorBidi"/>
          <w:color w:val="0F4761" w:themeColor="accent1" w:themeTint="FF" w:themeShade="BF"/>
          <w:sz w:val="28"/>
          <w:szCs w:val="28"/>
          <w:lang w:eastAsia="en-GB"/>
        </w:rPr>
        <w:t>2.4.1 Strategic Factors</w:t>
      </w:r>
      <w:bookmarkEnd w:id="951700136"/>
    </w:p>
    <w:p w:rsidRPr="003137A2" w:rsidR="003137A2" w:rsidP="257BFE88" w:rsidRDefault="003137A2" w14:paraId="7D422EEC" w14:textId="20BC9123">
      <w:pPr>
        <w:pStyle w:val="Normal"/>
        <w:spacing w:before="240" w:after="240" w:line="240" w:lineRule="auto"/>
        <w:rPr>
          <w:rFonts w:ascii="Aptos" w:hAnsi="Aptos" w:eastAsia="Times New Roman" w:cs="Times New Roman"/>
          <w:color w:val="000000"/>
          <w:kern w:val="0"/>
          <w:lang w:eastAsia="en-GB"/>
          <w14:ligatures w14:val="none"/>
        </w:rPr>
      </w:pPr>
      <w:r w:rsidRPr="003137A2" w:rsidR="6D7FFB3E">
        <w:rPr>
          <w:rFonts w:ascii="Aptos" w:hAnsi="Aptos" w:eastAsia="Times New Roman" w:cs="Times New Roman"/>
          <w:color w:val="000000"/>
          <w:kern w:val="0"/>
          <w:lang w:eastAsia="en-GB"/>
          <w14:ligatures w14:val="none"/>
        </w:rPr>
        <w:t>BlackRock’s mission emphasises long term value creation and fiduciary responsibility. Fink’s letters</w:t>
      </w:r>
      <w:r w:rsidRPr="003137A2" w:rsidR="286F8EFE">
        <w:rPr>
          <w:rFonts w:ascii="Aptos" w:hAnsi="Aptos" w:eastAsia="Times New Roman" w:cs="Times New Roman"/>
          <w:color w:val="000000"/>
          <w:kern w:val="0"/>
          <w:lang w:eastAsia="en-GB"/>
          <w14:ligatures w14:val="none"/>
        </w:rPr>
        <w:t xml:space="preserve"> </w:t>
      </w:r>
      <w:r w:rsidRPr="257BFE88" w:rsidR="286F8EFE">
        <w:rPr>
          <w:rFonts w:ascii="Aptos" w:hAnsi="Aptos" w:eastAsia="Aptos" w:cs="Aptos"/>
          <w:noProof w:val="0"/>
          <w:color w:val="000000" w:themeColor="text1" w:themeTint="FF" w:themeShade="FF"/>
          <w:sz w:val="24"/>
          <w:szCs w:val="24"/>
          <w:lang w:val="en-GB"/>
        </w:rPr>
        <w:t>(Fink, 2020)</w:t>
      </w:r>
      <w:r w:rsidRPr="003137A2" w:rsidR="6D7FFB3E">
        <w:rPr>
          <w:rFonts w:ascii="Aptos" w:hAnsi="Aptos" w:eastAsia="Times New Roman" w:cs="Times New Roman"/>
          <w:color w:val="000000"/>
          <w:kern w:val="0"/>
          <w:lang w:eastAsia="en-GB"/>
          <w14:ligatures w14:val="none"/>
        </w:rPr>
        <w:t xml:space="preserve"> argue that companies </w:t>
      </w:r>
      <w:r w:rsidRPr="003137A2" w:rsidR="6D7FFB3E">
        <w:rPr>
          <w:rFonts w:ascii="Aptos" w:hAnsi="Aptos" w:eastAsia="Times New Roman" w:cs="Times New Roman"/>
          <w:color w:val="000000"/>
          <w:kern w:val="0"/>
          <w:lang w:eastAsia="en-GB"/>
          <w14:ligatures w14:val="none"/>
        </w:rPr>
        <w:t>failing to manage</w:t>
      </w:r>
      <w:r w:rsidRPr="003137A2" w:rsidR="6D7FFB3E">
        <w:rPr>
          <w:rFonts w:ascii="Aptos" w:hAnsi="Aptos" w:eastAsia="Times New Roman" w:cs="Times New Roman"/>
          <w:color w:val="000000"/>
          <w:kern w:val="0"/>
          <w:lang w:eastAsia="en-GB"/>
          <w14:ligatures w14:val="none"/>
        </w:rPr>
        <w:t xml:space="preserve"> sustainability risks </w:t>
      </w:r>
      <w:r w:rsidRPr="003137A2" w:rsidR="0527C924">
        <w:rPr>
          <w:rFonts w:ascii="Aptos" w:hAnsi="Aptos" w:eastAsia="Times New Roman" w:cs="Times New Roman"/>
          <w:color w:val="000000"/>
          <w:kern w:val="0"/>
          <w:lang w:eastAsia="en-GB"/>
          <w14:ligatures w14:val="none"/>
        </w:rPr>
        <w:t xml:space="preserve">will </w:t>
      </w:r>
      <w:r w:rsidRPr="003137A2" w:rsidR="6D7FFB3E">
        <w:rPr>
          <w:rFonts w:ascii="Aptos" w:hAnsi="Aptos" w:eastAsia="Times New Roman" w:cs="Times New Roman"/>
          <w:color w:val="000000"/>
          <w:kern w:val="0"/>
          <w:lang w:eastAsia="en-GB"/>
          <w14:ligatures w14:val="none"/>
        </w:rPr>
        <w:t xml:space="preserve">face higher costs of capital and </w:t>
      </w:r>
      <w:r w:rsidRPr="003137A2" w:rsidR="7EA07223">
        <w:rPr>
          <w:rFonts w:ascii="Aptos" w:hAnsi="Aptos" w:eastAsia="Times New Roman" w:cs="Times New Roman"/>
          <w:color w:val="000000"/>
          <w:kern w:val="0"/>
          <w:lang w:eastAsia="en-GB"/>
          <w14:ligatures w14:val="none"/>
        </w:rPr>
        <w:t xml:space="preserve">risk </w:t>
      </w:r>
      <w:r w:rsidRPr="003137A2" w:rsidR="6D7FFB3E">
        <w:rPr>
          <w:rFonts w:ascii="Aptos" w:hAnsi="Aptos" w:eastAsia="Times New Roman" w:cs="Times New Roman"/>
          <w:color w:val="000000"/>
          <w:kern w:val="0"/>
          <w:lang w:eastAsia="en-GB"/>
          <w14:ligatures w14:val="none"/>
        </w:rPr>
        <w:t xml:space="preserve">weaker </w:t>
      </w:r>
      <w:r w:rsidRPr="003137A2" w:rsidR="40396633">
        <w:rPr>
          <w:rFonts w:ascii="Aptos" w:hAnsi="Aptos" w:eastAsia="Times New Roman" w:cs="Times New Roman"/>
          <w:color w:val="000000"/>
          <w:kern w:val="0"/>
          <w:lang w:eastAsia="en-GB"/>
          <w14:ligatures w14:val="none"/>
        </w:rPr>
        <w:t>long-term</w:t>
      </w:r>
      <w:r w:rsidRPr="003137A2" w:rsidR="6D7FFB3E">
        <w:rPr>
          <w:rFonts w:ascii="Aptos" w:hAnsi="Aptos" w:eastAsia="Times New Roman" w:cs="Times New Roman"/>
          <w:color w:val="000000"/>
          <w:kern w:val="0"/>
          <w:lang w:eastAsia="en-GB"/>
          <w14:ligatures w14:val="none"/>
        </w:rPr>
        <w:t xml:space="preserve"> performance </w:t>
      </w:r>
      <w:r w:rsidRPr="003137A2" w:rsidR="657AC151">
        <w:rPr>
          <w:rFonts w:ascii="Aptos" w:hAnsi="Aptos" w:eastAsia="Times New Roman" w:cs="Times New Roman"/>
          <w:color w:val="000000"/>
          <w:kern w:val="0"/>
          <w:lang w:eastAsia="en-GB"/>
          <w14:ligatures w14:val="none"/>
        </w:rPr>
        <w:t>(</w:t>
      </w:r>
      <w:r w:rsidRPr="003137A2" w:rsidR="6D7FFB3E">
        <w:rPr>
          <w:rFonts w:ascii="Aptos" w:hAnsi="Aptos" w:eastAsia="Times New Roman" w:cs="Times New Roman"/>
          <w:color w:val="000000"/>
          <w:kern w:val="0"/>
          <w:lang w:eastAsia="en-GB"/>
          <w14:ligatures w14:val="none"/>
        </w:rPr>
        <w:t xml:space="preserve">Thompson, </w:t>
      </w:r>
      <w:r w:rsidRPr="003137A2" w:rsidR="6D7FFB3E">
        <w:rPr>
          <w:rFonts w:ascii="Aptos" w:hAnsi="Aptos" w:eastAsia="Times New Roman" w:cs="Times New Roman"/>
          <w:color w:val="000000"/>
          <w:kern w:val="0"/>
          <w:lang w:eastAsia="en-GB"/>
          <w14:ligatures w14:val="none"/>
        </w:rPr>
        <w:t>2025).</w:t>
      </w:r>
      <w:r w:rsidRPr="003137A2" w:rsidR="6D7FFB3E">
        <w:rPr>
          <w:rFonts w:ascii="Aptos" w:hAnsi="Aptos" w:eastAsia="Times New Roman" w:cs="Times New Roman"/>
          <w:color w:val="000000"/>
          <w:kern w:val="0"/>
          <w:lang w:eastAsia="en-GB"/>
          <w14:ligatures w14:val="none"/>
        </w:rPr>
        <w:t xml:space="preserve"> </w:t>
      </w:r>
      <w:r w:rsidRPr="003137A2" w:rsidR="6D7FFB3E">
        <w:rPr>
          <w:rFonts w:ascii="Aptos" w:hAnsi="Aptos" w:eastAsia="Times New Roman" w:cs="Times New Roman"/>
          <w:color w:val="000000"/>
          <w:kern w:val="0"/>
          <w:lang w:eastAsia="en-GB"/>
          <w14:ligatures w14:val="none"/>
        </w:rPr>
        <w:t>ESG</w:t>
      </w:r>
      <w:r w:rsidRPr="003137A2" w:rsidR="6D7FFB3E">
        <w:rPr>
          <w:rFonts w:ascii="Aptos" w:hAnsi="Aptos" w:eastAsia="Times New Roman" w:cs="Times New Roman"/>
          <w:color w:val="000000"/>
          <w:kern w:val="0"/>
          <w:lang w:eastAsia="en-GB"/>
          <w14:ligatures w14:val="none"/>
        </w:rPr>
        <w:t xml:space="preserve"> </w:t>
      </w:r>
      <w:r w:rsidRPr="003137A2" w:rsidR="6D7FFB3E">
        <w:rPr>
          <w:rFonts w:ascii="Aptos" w:hAnsi="Aptos" w:eastAsia="Times New Roman" w:cs="Times New Roman"/>
          <w:color w:val="000000"/>
          <w:kern w:val="0"/>
          <w:lang w:eastAsia="en-GB"/>
          <w14:ligatures w14:val="none"/>
        </w:rPr>
        <w:t>integration is therefore treated as a necessary development of risk</w:t>
      </w:r>
      <w:r w:rsidRPr="003137A2" w:rsidR="6D7FFB3E">
        <w:rPr>
          <w:rFonts w:ascii="Aptos" w:hAnsi="Aptos" w:eastAsia="Times New Roman" w:cs="Times New Roman"/>
          <w:color w:val="000000"/>
          <w:kern w:val="0"/>
          <w:lang w:eastAsia="en-GB"/>
          <w14:ligatures w14:val="none"/>
        </w:rPr>
        <w:t xml:space="preserve"> mana</w:t>
      </w:r>
      <w:r w:rsidRPr="003137A2" w:rsidR="6D7FFB3E">
        <w:rPr>
          <w:rFonts w:ascii="Aptos" w:hAnsi="Aptos" w:eastAsia="Times New Roman" w:cs="Times New Roman"/>
          <w:color w:val="000000"/>
          <w:kern w:val="0"/>
          <w:lang w:eastAsia="en-GB"/>
          <w14:ligatures w14:val="none"/>
        </w:rPr>
        <w:t>gement rather than a purely ethical initiative (Archer, 2024; BlackRock, 2018).</w:t>
      </w:r>
    </w:p>
    <w:p w:rsidRPr="003137A2" w:rsidR="003137A2" w:rsidP="257BFE88" w:rsidRDefault="003137A2" w14:paraId="6F0F20E6" w14:textId="77777777">
      <w:pPr>
        <w:keepNext w:val="1"/>
        <w:keepLines w:val="1"/>
        <w:spacing w:before="160" w:after="80"/>
        <w:outlineLvl w:val="2"/>
        <w:rPr>
          <w:rFonts w:ascii="Times New Roman" w:hAnsi="Times New Roman" w:eastAsia="Times New Roman" w:cs="" w:cstheme="majorBidi"/>
          <w:color w:val="0F4761" w:themeColor="accent1" w:themeShade="BF"/>
          <w:sz w:val="28"/>
          <w:szCs w:val="28"/>
          <w:lang w:eastAsia="en-GB"/>
        </w:rPr>
      </w:pPr>
      <w:bookmarkStart w:name="_Toc1779627398" w:id="210941602"/>
      <w:r w:rsidRPr="257BFE88" w:rsidR="6D7FFB3E">
        <w:rPr>
          <w:rFonts w:eastAsia="Times New Roman" w:cs="" w:cstheme="majorBidi"/>
          <w:color w:val="0F4761" w:themeColor="accent1" w:themeTint="FF" w:themeShade="BF"/>
          <w:sz w:val="28"/>
          <w:szCs w:val="28"/>
          <w:lang w:eastAsia="en-GB"/>
        </w:rPr>
        <w:t>2.4.2 Political and Regulatory Factors</w:t>
      </w:r>
      <w:bookmarkEnd w:id="210941602"/>
    </w:p>
    <w:p w:rsidRPr="003137A2" w:rsidR="003137A2" w:rsidP="257BFE88" w:rsidRDefault="003137A2" w14:paraId="5C54BCB8" w14:textId="5B511E0B">
      <w:pPr>
        <w:pStyle w:val="Normal"/>
        <w:spacing w:before="240" w:after="240" w:line="240" w:lineRule="auto"/>
        <w:rPr>
          <w:rFonts w:ascii="Aptos" w:hAnsi="Aptos" w:eastAsia="Aptos" w:cs="Aptos"/>
          <w:noProof w:val="0"/>
          <w:kern w:val="0"/>
          <w:sz w:val="24"/>
          <w:szCs w:val="24"/>
          <w:highlight w:val="green"/>
          <w:lang w:val="en-GB"/>
          <w14:ligatures w14:val="none"/>
        </w:rPr>
      </w:pPr>
      <w:r w:rsidRPr="003137A2" w:rsidR="74131136">
        <w:rPr>
          <w:rFonts w:ascii="Aptos" w:hAnsi="Aptos" w:eastAsia="Times New Roman" w:cs="Times New Roman"/>
          <w:color w:val="000000"/>
          <w:kern w:val="0"/>
          <w:lang w:eastAsia="en-GB"/>
          <w14:ligatures w14:val="none"/>
        </w:rPr>
        <w:t xml:space="preserve">Between 2010</w:t>
      </w:r>
      <w:r w:rsidRPr="003137A2" w:rsidR="74131136">
        <w:rPr>
          <w:rFonts w:ascii="Aptos" w:hAnsi="Aptos" w:eastAsia="Times New Roman" w:cs="Times New Roman"/>
          <w:color w:val="000000"/>
          <w:kern w:val="0"/>
          <w:lang w:eastAsia="en-GB"/>
          <w14:ligatures w14:val="none"/>
        </w:rPr>
        <w:t xml:space="preserve"> and </w:t>
      </w:r>
      <w:r w:rsidRPr="003137A2" w:rsidR="74131136">
        <w:rPr>
          <w:rFonts w:ascii="Aptos" w:hAnsi="Aptos" w:eastAsia="Times New Roman" w:cs="Times New Roman"/>
          <w:color w:val="000000"/>
          <w:kern w:val="0"/>
          <w:lang w:eastAsia="en-GB"/>
          <w14:ligatures w14:val="none"/>
        </w:rPr>
        <w:t xml:space="preserve">2015</w:t>
      </w:r>
      <w:r w:rsidRPr="003137A2" w:rsidR="74131136">
        <w:rPr>
          <w:rFonts w:ascii="Aptos" w:hAnsi="Aptos" w:eastAsia="Times New Roman" w:cs="Times New Roman"/>
          <w:color w:val="000000"/>
          <w:kern w:val="0"/>
          <w:lang w:eastAsia="en-GB"/>
          <w14:ligatures w14:val="none"/>
        </w:rPr>
        <w:t xml:space="preserve">,</w:t>
      </w:r>
      <w:r w:rsidRPr="003137A2" w:rsidR="74131136">
        <w:rPr>
          <w:rFonts w:ascii="Aptos" w:hAnsi="Aptos" w:eastAsia="Times New Roman" w:cs="Times New Roman"/>
          <w:color w:val="000000"/>
          <w:kern w:val="0"/>
          <w:lang w:eastAsia="en-GB"/>
          <w14:ligatures w14:val="none"/>
        </w:rPr>
        <w:t xml:space="preserve"> regulatory requirements for climate related disclosure increased </w:t>
      </w:r>
      <w:r w:rsidRPr="003137A2" w:rsidR="74131136">
        <w:rPr>
          <w:rFonts w:ascii="Aptos" w:hAnsi="Aptos" w:eastAsia="Times New Roman" w:cs="Times New Roman"/>
          <w:color w:val="000000"/>
          <w:kern w:val="0"/>
          <w:lang w:eastAsia="en-GB"/>
          <w14:ligatures w14:val="none"/>
        </w:rPr>
        <w:t xml:space="preserve">across</w:t>
      </w:r>
      <w:r w:rsidRPr="003137A2" w:rsidR="74131136">
        <w:rPr>
          <w:rFonts w:ascii="Aptos" w:hAnsi="Aptos" w:eastAsia="Times New Roman" w:cs="Times New Roman"/>
          <w:color w:val="000000"/>
          <w:kern w:val="0"/>
          <w:lang w:eastAsia="en-GB"/>
          <w14:ligatures w14:val="none"/>
        </w:rPr>
        <w:t xml:space="preserve"> the world’</w:t>
      </w:r>
      <w:r w:rsidRPr="003137A2" w:rsidR="74131136">
        <w:rPr>
          <w:rFonts w:ascii="Aptos" w:hAnsi="Aptos" w:eastAsia="Times New Roman" w:cs="Times New Roman"/>
          <w:color w:val="000000"/>
          <w:kern w:val="0"/>
          <w:lang w:eastAsia="en-GB"/>
          <w14:ligatures w14:val="none"/>
        </w:rPr>
        <w:t xml:space="preserve">s</w:t>
      </w:r>
      <w:r w:rsidRPr="003137A2" w:rsidR="74131136">
        <w:rPr>
          <w:rFonts w:ascii="Aptos" w:hAnsi="Aptos" w:eastAsia="Times New Roman" w:cs="Times New Roman"/>
          <w:color w:val="000000"/>
          <w:kern w:val="0"/>
          <w:lang w:eastAsia="en-GB"/>
          <w14:ligatures w14:val="none"/>
        </w:rPr>
        <w:t xml:space="preserve"> lead</w:t>
      </w:r>
      <w:r w:rsidRPr="003137A2" w:rsidR="74131136">
        <w:rPr>
          <w:rFonts w:ascii="Aptos" w:hAnsi="Aptos" w:eastAsia="Times New Roman" w:cs="Times New Roman"/>
          <w:color w:val="000000"/>
          <w:kern w:val="0"/>
          <w:lang w:eastAsia="en-GB"/>
          <w14:ligatures w14:val="none"/>
        </w:rPr>
        <w:t xml:space="preserve">ing econom</w:t>
      </w:r>
      <w:r w:rsidRPr="003137A2" w:rsidR="74131136">
        <w:rPr>
          <w:rFonts w:ascii="Aptos" w:hAnsi="Aptos" w:eastAsia="Times New Roman" w:cs="Times New Roman"/>
          <w:color w:val="000000"/>
          <w:kern w:val="0"/>
          <w:lang w:eastAsia="en-GB"/>
          <w14:ligatures w14:val="none"/>
        </w:rPr>
        <w:t xml:space="preserve">ies.</w:t>
      </w:r>
      <w:r w:rsidRPr="257BFE88" w:rsidR="53267B17">
        <w:rPr>
          <w:rFonts w:ascii="Aptos" w:hAnsi="Aptos" w:eastAsia="Aptos" w:cs="Aptos"/>
          <w:noProof w:val="0"/>
          <w:sz w:val="24"/>
          <w:szCs w:val="24"/>
          <w:lang w:val="en-GB"/>
        </w:rPr>
        <w:t xml:space="preserve"> </w:t>
      </w:r>
      <w:r w:rsidRPr="257BFE88" w:rsidR="53267B17">
        <w:rPr>
          <w:rFonts w:ascii="Aptos" w:hAnsi="Aptos" w:eastAsia="Aptos" w:cs="Aptos"/>
          <w:noProof w:val="0"/>
          <w:sz w:val="24"/>
          <w:szCs w:val="24"/>
          <w:lang w:val="en-GB"/>
        </w:rPr>
        <w:t>T</w:t>
      </w:r>
      <w:r w:rsidRPr="257BFE88" w:rsidR="53267B17">
        <w:rPr>
          <w:rFonts w:ascii="Aptos" w:hAnsi="Aptos" w:eastAsia="Aptos" w:cs="Aptos"/>
          <w:noProof w:val="0"/>
          <w:sz w:val="24"/>
          <w:szCs w:val="24"/>
          <w:lang w:val="en-GB"/>
        </w:rPr>
        <w:t>he</w:t>
      </w:r>
      <w:r w:rsidRPr="257BFE88" w:rsidR="53267B17">
        <w:rPr>
          <w:rFonts w:ascii="Aptos" w:hAnsi="Aptos" w:eastAsia="Aptos" w:cs="Aptos"/>
          <w:noProof w:val="0"/>
          <w:sz w:val="24"/>
          <w:szCs w:val="24"/>
          <w:lang w:val="en-GB"/>
        </w:rPr>
        <w:t xml:space="preserve"> e</w:t>
      </w:r>
      <w:r w:rsidRPr="257BFE88" w:rsidR="53267B17">
        <w:rPr>
          <w:rFonts w:ascii="Aptos" w:hAnsi="Aptos" w:eastAsia="Aptos" w:cs="Aptos"/>
          <w:noProof w:val="0"/>
          <w:sz w:val="24"/>
          <w:szCs w:val="24"/>
          <w:lang w:val="en-GB"/>
        </w:rPr>
        <w:t>mergence of TC</w:t>
      </w:r>
      <w:r w:rsidRPr="257BFE88" w:rsidR="53267B17">
        <w:rPr>
          <w:rFonts w:ascii="Aptos" w:hAnsi="Aptos" w:eastAsia="Aptos" w:cs="Aptos"/>
          <w:noProof w:val="0"/>
          <w:sz w:val="24"/>
          <w:szCs w:val="24"/>
          <w:lang w:val="en-GB"/>
        </w:rPr>
        <w:t xml:space="preserve">FD, </w:t>
      </w:r>
      <w:r w:rsidRPr="257BFE88" w:rsidR="53267B17">
        <w:rPr>
          <w:rFonts w:ascii="Aptos" w:hAnsi="Aptos" w:eastAsia="Aptos" w:cs="Aptos"/>
          <w:noProof w:val="0"/>
          <w:sz w:val="24"/>
          <w:szCs w:val="24"/>
          <w:lang w:val="en-GB"/>
        </w:rPr>
        <w:t xml:space="preserve">EU sustainable finance initiatives and </w:t>
      </w:r>
      <w:r w:rsidRPr="257BFE88" w:rsidR="53267B17">
        <w:rPr>
          <w:rFonts w:ascii="Aptos" w:hAnsi="Aptos" w:eastAsia="Aptos" w:cs="Aptos"/>
          <w:noProof w:val="0"/>
          <w:sz w:val="24"/>
          <w:szCs w:val="24"/>
          <w:lang w:val="en-GB"/>
        </w:rPr>
        <w:t>U.S. regulatory debates</w:t>
      </w:r>
      <w:r w:rsidRPr="257BFE88" w:rsidR="57BBA5AD">
        <w:rPr>
          <w:rFonts w:ascii="Aptos" w:hAnsi="Aptos" w:eastAsia="Aptos" w:cs="Aptos"/>
          <w:noProof w:val="0"/>
          <w:sz w:val="24"/>
          <w:szCs w:val="24"/>
          <w:lang w:val="en-GB"/>
        </w:rPr>
        <w:t xml:space="preserve"> </w:t>
      </w:r>
      <w:r w:rsidRPr="257BFE88" w:rsidR="731B7156">
        <w:rPr>
          <w:rFonts w:ascii="Aptos" w:hAnsi="Aptos" w:eastAsia="Aptos" w:cs="Aptos"/>
          <w:noProof w:val="0"/>
          <w:sz w:val="24"/>
          <w:szCs w:val="24"/>
          <w:lang w:val="en-GB"/>
        </w:rPr>
        <w:t>was a clear signal</w:t>
      </w:r>
      <w:r w:rsidRPr="257BFE88" w:rsidR="53267B17">
        <w:rPr>
          <w:rFonts w:ascii="Aptos" w:hAnsi="Aptos" w:eastAsia="Aptos" w:cs="Aptos"/>
          <w:noProof w:val="0"/>
          <w:sz w:val="24"/>
          <w:szCs w:val="24"/>
          <w:lang w:val="en-GB"/>
        </w:rPr>
        <w:t xml:space="preserve"> that sustainability</w:t>
      </w:r>
      <w:r w:rsidRPr="257BFE88" w:rsidR="53267B17">
        <w:rPr>
          <w:rFonts w:ascii="Aptos" w:hAnsi="Aptos" w:eastAsia="Aptos" w:cs="Aptos"/>
          <w:noProof w:val="0"/>
          <w:sz w:val="24"/>
          <w:szCs w:val="24"/>
          <w:lang w:val="en-GB"/>
        </w:rPr>
        <w:t xml:space="preserve"> would </w:t>
      </w:r>
      <w:r w:rsidRPr="257BFE88" w:rsidR="2DE3CB6D">
        <w:rPr>
          <w:rFonts w:ascii="Aptos" w:hAnsi="Aptos" w:eastAsia="Aptos" w:cs="Aptos"/>
          <w:noProof w:val="0"/>
          <w:sz w:val="24"/>
          <w:szCs w:val="24"/>
          <w:lang w:val="en-GB"/>
        </w:rPr>
        <w:t xml:space="preserve">play </w:t>
      </w:r>
      <w:r w:rsidRPr="257BFE88" w:rsidR="2DE3CB6D">
        <w:rPr>
          <w:rFonts w:ascii="Aptos" w:hAnsi="Aptos" w:eastAsia="Aptos" w:cs="Aptos"/>
          <w:noProof w:val="0"/>
          <w:sz w:val="24"/>
          <w:szCs w:val="24"/>
          <w:lang w:val="en-GB"/>
        </w:rPr>
        <w:t xml:space="preserve">a </w:t>
      </w:r>
      <w:r w:rsidRPr="257BFE88" w:rsidR="53267B17">
        <w:rPr>
          <w:rFonts w:ascii="Aptos" w:hAnsi="Aptos" w:eastAsia="Aptos" w:cs="Aptos"/>
          <w:noProof w:val="0"/>
          <w:sz w:val="24"/>
          <w:szCs w:val="24"/>
          <w:lang w:val="en-GB"/>
        </w:rPr>
        <w:t>central</w:t>
      </w:r>
      <w:r w:rsidRPr="257BFE88" w:rsidR="093ED623">
        <w:rPr>
          <w:rFonts w:ascii="Aptos" w:hAnsi="Aptos" w:eastAsia="Aptos" w:cs="Aptos"/>
          <w:noProof w:val="0"/>
          <w:sz w:val="24"/>
          <w:szCs w:val="24"/>
          <w:lang w:val="en-GB"/>
        </w:rPr>
        <w:t xml:space="preserve"> role</w:t>
      </w:r>
      <w:r w:rsidRPr="257BFE88" w:rsidR="093ED623">
        <w:rPr>
          <w:rFonts w:ascii="Aptos" w:hAnsi="Aptos" w:eastAsia="Aptos" w:cs="Aptos"/>
          <w:noProof w:val="0"/>
          <w:sz w:val="24"/>
          <w:szCs w:val="24"/>
          <w:lang w:val="en-GB"/>
        </w:rPr>
        <w:t xml:space="preserve"> in the</w:t>
      </w:r>
      <w:r w:rsidRPr="257BFE88" w:rsidR="53267B17">
        <w:rPr>
          <w:rFonts w:ascii="Aptos" w:hAnsi="Aptos" w:eastAsia="Aptos" w:cs="Aptos"/>
          <w:noProof w:val="0"/>
          <w:sz w:val="24"/>
          <w:szCs w:val="24"/>
          <w:lang w:val="en-GB"/>
        </w:rPr>
        <w:t xml:space="preserve"> future policy agendas</w:t>
      </w:r>
      <w:r w:rsidRPr="257BFE88" w:rsidR="040F95EC">
        <w:rPr>
          <w:rFonts w:ascii="Aptos" w:hAnsi="Aptos" w:eastAsia="Aptos" w:cs="Aptos"/>
          <w:noProof w:val="0"/>
          <w:sz w:val="24"/>
          <w:szCs w:val="24"/>
          <w:lang w:val="en-GB"/>
        </w:rPr>
        <w:t xml:space="preserve"> in the main </w:t>
      </w:r>
      <w:r w:rsidRPr="257BFE88" w:rsidR="1E9D198A">
        <w:rPr>
          <w:rFonts w:ascii="Aptos" w:hAnsi="Aptos" w:eastAsia="Aptos" w:cs="Aptos"/>
          <w:noProof w:val="0"/>
          <w:sz w:val="24"/>
          <w:szCs w:val="24"/>
          <w:lang w:val="en-GB"/>
        </w:rPr>
        <w:t>western economie</w:t>
      </w:r>
      <w:r w:rsidRPr="257BFE88" w:rsidR="1E9D198A">
        <w:rPr>
          <w:rFonts w:ascii="Aptos" w:hAnsi="Aptos" w:eastAsia="Aptos" w:cs="Aptos"/>
          <w:noProof w:val="0"/>
          <w:sz w:val="24"/>
          <w:szCs w:val="24"/>
          <w:lang w:val="en-GB"/>
        </w:rPr>
        <w:t>s</w:t>
      </w:r>
      <w:r w:rsidRPr="257BFE88" w:rsidR="53267B17">
        <w:rPr>
          <w:rFonts w:ascii="Aptos" w:hAnsi="Aptos" w:eastAsia="Aptos" w:cs="Aptos"/>
          <w:noProof w:val="0"/>
          <w:sz w:val="24"/>
          <w:szCs w:val="24"/>
          <w:lang w:val="en-GB"/>
        </w:rPr>
        <w:t xml:space="preserve"> </w:t>
      </w:r>
      <w:r w:rsidRPr="257BFE88" w:rsidR="53267B17">
        <w:rPr>
          <w:rFonts w:ascii="Aptos" w:hAnsi="Aptos" w:eastAsia="Aptos" w:cs="Aptos"/>
          <w:noProof w:val="0"/>
          <w:sz w:val="24"/>
          <w:szCs w:val="24"/>
          <w:lang w:val="en-GB"/>
        </w:rPr>
        <w:t>(Bl</w:t>
      </w:r>
      <w:r w:rsidRPr="257BFE88" w:rsidR="53267B17">
        <w:rPr>
          <w:rFonts w:ascii="Aptos" w:hAnsi="Aptos" w:eastAsia="Aptos" w:cs="Aptos"/>
          <w:noProof w:val="0"/>
          <w:sz w:val="24"/>
          <w:szCs w:val="24"/>
          <w:lang w:val="en-GB"/>
        </w:rPr>
        <w:t xml:space="preserve">ackRock, 2021; Eccles </w:t>
      </w:r>
      <w:r w:rsidRPr="257BFE88" w:rsidR="53267B17">
        <w:rPr>
          <w:rFonts w:ascii="Aptos" w:hAnsi="Aptos" w:eastAsia="Aptos" w:cs="Aptos"/>
          <w:noProof w:val="0"/>
          <w:sz w:val="24"/>
          <w:szCs w:val="24"/>
          <w:lang w:val="en-GB"/>
        </w:rPr>
        <w:t xml:space="preserve">and </w:t>
      </w:r>
      <w:r w:rsidRPr="257BFE88" w:rsidR="53267B17">
        <w:rPr>
          <w:rFonts w:ascii="Aptos" w:hAnsi="Aptos" w:eastAsia="Aptos" w:cs="Aptos"/>
          <w:noProof w:val="0"/>
          <w:sz w:val="24"/>
          <w:szCs w:val="24"/>
          <w:lang w:val="en-GB"/>
        </w:rPr>
        <w:t>K</w:t>
      </w:r>
      <w:r w:rsidRPr="257BFE88" w:rsidR="53267B17">
        <w:rPr>
          <w:rFonts w:ascii="Aptos" w:hAnsi="Aptos" w:eastAsia="Aptos" w:cs="Aptos"/>
          <w:noProof w:val="0"/>
          <w:sz w:val="24"/>
          <w:szCs w:val="24"/>
          <w:lang w:val="en-GB"/>
        </w:rPr>
        <w:t>rzus</w:t>
      </w:r>
      <w:r w:rsidRPr="257BFE88" w:rsidR="53267B17">
        <w:rPr>
          <w:rFonts w:ascii="Aptos" w:hAnsi="Aptos" w:eastAsia="Aptos" w:cs="Aptos"/>
          <w:noProof w:val="0"/>
          <w:sz w:val="24"/>
          <w:szCs w:val="24"/>
          <w:lang w:val="en-GB"/>
        </w:rPr>
        <w:t>, 201</w:t>
      </w:r>
      <w:r w:rsidRPr="257BFE88" w:rsidR="53267B17">
        <w:rPr>
          <w:rFonts w:ascii="Aptos" w:hAnsi="Aptos" w:eastAsia="Aptos" w:cs="Aptos"/>
          <w:noProof w:val="0"/>
          <w:sz w:val="24"/>
          <w:szCs w:val="24"/>
          <w:lang w:val="en-GB"/>
        </w:rPr>
        <w:t>5).</w:t>
      </w:r>
      <w:r w:rsidRPr="257BFE88" w:rsidR="53267B17">
        <w:rPr>
          <w:rFonts w:ascii="Aptos" w:hAnsi="Aptos" w:eastAsia="Aptos" w:cs="Aptos"/>
          <w:noProof w:val="0"/>
          <w:sz w:val="24"/>
          <w:szCs w:val="24"/>
          <w:lang w:val="en-GB"/>
        </w:rPr>
        <w:t xml:space="preserve"> A</w:t>
      </w:r>
      <w:r w:rsidRPr="257BFE88" w:rsidR="53267B17">
        <w:rPr>
          <w:rFonts w:ascii="Aptos" w:hAnsi="Aptos" w:eastAsia="Aptos" w:cs="Aptos"/>
          <w:noProof w:val="0"/>
          <w:sz w:val="24"/>
          <w:szCs w:val="24"/>
          <w:lang w:val="en-GB"/>
        </w:rPr>
        <w:t>lignin</w:t>
      </w:r>
      <w:r w:rsidRPr="257BFE88" w:rsidR="53267B17">
        <w:rPr>
          <w:rFonts w:ascii="Aptos" w:hAnsi="Aptos" w:eastAsia="Aptos" w:cs="Aptos"/>
          <w:noProof w:val="0"/>
          <w:sz w:val="24"/>
          <w:szCs w:val="24"/>
          <w:lang w:val="en-GB"/>
        </w:rPr>
        <w:t>g early with these developments positioned Blac</w:t>
      </w:r>
      <w:r w:rsidRPr="257BFE88" w:rsidR="53267B17">
        <w:rPr>
          <w:rFonts w:ascii="Aptos" w:hAnsi="Aptos" w:eastAsia="Aptos" w:cs="Aptos"/>
          <w:noProof w:val="0"/>
          <w:sz w:val="24"/>
          <w:szCs w:val="24"/>
          <w:lang w:val="en-GB"/>
        </w:rPr>
        <w:t>kRoc</w:t>
      </w:r>
      <w:r w:rsidRPr="257BFE88" w:rsidR="53267B17">
        <w:rPr>
          <w:rFonts w:ascii="Aptos" w:hAnsi="Aptos" w:eastAsia="Aptos" w:cs="Aptos"/>
          <w:noProof w:val="0"/>
          <w:sz w:val="24"/>
          <w:szCs w:val="24"/>
          <w:lang w:val="en-GB"/>
        </w:rPr>
        <w:t>k as a leader in sustain</w:t>
      </w:r>
      <w:r w:rsidRPr="257BFE88" w:rsidR="53267B17">
        <w:rPr>
          <w:rFonts w:ascii="Aptos" w:hAnsi="Aptos" w:eastAsia="Aptos" w:cs="Aptos"/>
          <w:noProof w:val="0"/>
          <w:sz w:val="24"/>
          <w:szCs w:val="24"/>
          <w:lang w:val="en-GB"/>
        </w:rPr>
        <w:t>able finan</w:t>
      </w:r>
      <w:r w:rsidRPr="257BFE88" w:rsidR="53267B17">
        <w:rPr>
          <w:rFonts w:ascii="Aptos" w:hAnsi="Aptos" w:eastAsia="Aptos" w:cs="Aptos"/>
          <w:noProof w:val="0"/>
          <w:sz w:val="24"/>
          <w:szCs w:val="24"/>
          <w:lang w:val="en-GB"/>
        </w:rPr>
        <w:t xml:space="preserve">ce and </w:t>
      </w:r>
      <w:r w:rsidRPr="257BFE88" w:rsidR="5EEAA63F">
        <w:rPr>
          <w:rFonts w:ascii="Aptos" w:hAnsi="Aptos" w:eastAsia="Aptos" w:cs="Aptos"/>
          <w:noProof w:val="0"/>
          <w:sz w:val="24"/>
          <w:szCs w:val="24"/>
          <w:lang w:val="en-GB"/>
        </w:rPr>
        <w:t>positioned</w:t>
      </w:r>
      <w:r w:rsidRPr="257BFE88" w:rsidR="53267B17">
        <w:rPr>
          <w:rFonts w:ascii="Aptos" w:hAnsi="Aptos" w:eastAsia="Aptos" w:cs="Aptos"/>
          <w:noProof w:val="0"/>
          <w:sz w:val="24"/>
          <w:szCs w:val="24"/>
          <w:lang w:val="en-GB"/>
        </w:rPr>
        <w:t xml:space="preserve"> </w:t>
      </w:r>
      <w:r w:rsidRPr="257BFE88" w:rsidR="53267B17">
        <w:rPr>
          <w:rFonts w:ascii="Aptos" w:hAnsi="Aptos" w:eastAsia="Aptos" w:cs="Aptos"/>
          <w:noProof w:val="0"/>
          <w:sz w:val="24"/>
          <w:szCs w:val="24"/>
          <w:lang w:val="en-GB"/>
        </w:rPr>
        <w:t>it</w:t>
      </w:r>
      <w:r w:rsidRPr="257BFE88" w:rsidR="53267B17">
        <w:rPr>
          <w:rFonts w:ascii="Aptos" w:hAnsi="Aptos" w:eastAsia="Aptos" w:cs="Aptos"/>
          <w:noProof w:val="0"/>
          <w:sz w:val="24"/>
          <w:szCs w:val="24"/>
          <w:lang w:val="en-GB"/>
        </w:rPr>
        <w:t xml:space="preserve"> to </w:t>
      </w:r>
      <w:r w:rsidRPr="257BFE88" w:rsidR="53267B17">
        <w:rPr>
          <w:rFonts w:ascii="Aptos" w:hAnsi="Aptos" w:eastAsia="Aptos" w:cs="Aptos"/>
          <w:noProof w:val="0"/>
          <w:sz w:val="24"/>
          <w:szCs w:val="24"/>
          <w:lang w:val="en-GB"/>
        </w:rPr>
        <w:t>antici</w:t>
      </w:r>
      <w:r w:rsidRPr="257BFE88" w:rsidR="53267B17">
        <w:rPr>
          <w:rFonts w:ascii="Aptos" w:hAnsi="Aptos" w:eastAsia="Aptos" w:cs="Aptos"/>
          <w:noProof w:val="0"/>
          <w:sz w:val="24"/>
          <w:szCs w:val="24"/>
          <w:lang w:val="en-GB"/>
        </w:rPr>
        <w:t>pate</w:t>
      </w:r>
      <w:r w:rsidRPr="257BFE88" w:rsidR="53267B17">
        <w:rPr>
          <w:rFonts w:ascii="Aptos" w:hAnsi="Aptos" w:eastAsia="Aptos" w:cs="Aptos"/>
          <w:noProof w:val="0"/>
          <w:sz w:val="24"/>
          <w:szCs w:val="24"/>
          <w:lang w:val="en-GB"/>
        </w:rPr>
        <w:t xml:space="preserve"> regulator</w:t>
      </w:r>
      <w:r w:rsidRPr="257BFE88" w:rsidR="53267B17">
        <w:rPr>
          <w:rFonts w:ascii="Aptos" w:hAnsi="Aptos" w:eastAsia="Aptos" w:cs="Aptos"/>
          <w:noProof w:val="0"/>
          <w:sz w:val="24"/>
          <w:szCs w:val="24"/>
          <w:lang w:val="en-GB"/>
        </w:rPr>
        <w:t xml:space="preserve">y changes that would </w:t>
      </w:r>
      <w:r w:rsidRPr="257BFE88" w:rsidR="6FCB8610">
        <w:rPr>
          <w:rFonts w:ascii="Aptos" w:hAnsi="Aptos" w:eastAsia="Aptos" w:cs="Aptos"/>
          <w:noProof w:val="0"/>
          <w:sz w:val="24"/>
          <w:szCs w:val="24"/>
          <w:lang w:val="en-GB"/>
        </w:rPr>
        <w:t>inform</w:t>
      </w:r>
      <w:r w:rsidRPr="257BFE88" w:rsidR="53267B17">
        <w:rPr>
          <w:rFonts w:ascii="Aptos" w:hAnsi="Aptos" w:eastAsia="Aptos" w:cs="Aptos"/>
          <w:noProof w:val="0"/>
          <w:sz w:val="24"/>
          <w:szCs w:val="24"/>
          <w:lang w:val="en-GB"/>
        </w:rPr>
        <w:t xml:space="preserve"> future investment practice (Thompson, 2025).</w:t>
      </w:r>
    </w:p>
    <w:p w:rsidRPr="003137A2" w:rsidR="003137A2" w:rsidP="257BFE88" w:rsidRDefault="003137A2" w14:paraId="4008F379" w14:textId="77777777">
      <w:pPr>
        <w:keepNext w:val="1"/>
        <w:keepLines w:val="1"/>
        <w:spacing w:before="160" w:after="80"/>
        <w:outlineLvl w:val="2"/>
        <w:rPr>
          <w:rFonts w:ascii="Times New Roman" w:hAnsi="Times New Roman" w:eastAsia="Times New Roman" w:cs="" w:cstheme="majorBidi"/>
          <w:color w:val="0F4761" w:themeColor="accent1" w:themeShade="BF"/>
          <w:sz w:val="27"/>
          <w:szCs w:val="27"/>
          <w:lang w:eastAsia="en-GB"/>
        </w:rPr>
      </w:pPr>
      <w:bookmarkStart w:name="_Toc1401289694" w:id="1987926239"/>
      <w:r w:rsidRPr="257BFE88" w:rsidR="6D7FFB3E">
        <w:rPr>
          <w:rFonts w:eastAsia="Times New Roman" w:cs="" w:cstheme="majorBidi"/>
          <w:color w:val="0F4761" w:themeColor="accent1" w:themeTint="FF" w:themeShade="BF"/>
          <w:sz w:val="28"/>
          <w:szCs w:val="28"/>
          <w:lang w:eastAsia="en-GB"/>
        </w:rPr>
        <w:t>2.4.3 Market and Consumer Factors</w:t>
      </w:r>
      <w:bookmarkEnd w:id="1987926239"/>
    </w:p>
    <w:p w:rsidRPr="003137A2" w:rsidR="003137A2" w:rsidP="003137A2" w:rsidRDefault="003137A2" w14:paraId="3271323D" w14:textId="24EDEE3B">
      <w:pPr>
        <w:spacing w:before="240" w:after="240" w:line="240" w:lineRule="auto"/>
        <w:rPr>
          <w:rFonts w:ascii="Aptos" w:hAnsi="Aptos" w:eastAsia="Times New Roman" w:cs="Times New Roman"/>
          <w:color w:val="000000"/>
          <w:kern w:val="0"/>
          <w:lang w:eastAsia="en-GB"/>
          <w14:ligatures w14:val="none"/>
        </w:rPr>
      </w:pPr>
      <w:r w:rsidRPr="003137A2" w:rsidR="74131136">
        <w:rPr>
          <w:rFonts w:ascii="Aptos" w:hAnsi="Aptos" w:eastAsia="Times New Roman" w:cs="Times New Roman"/>
          <w:color w:val="000000"/>
          <w:kern w:val="0"/>
          <w:lang w:eastAsia="en-GB"/>
          <w14:ligatures w14:val="none"/>
        </w:rPr>
        <w:t xml:space="preserve">Investor demand for ESG aligned products grew rapidly during this period </w:t>
      </w:r>
      <w:r w:rsidRPr="003137A2" w:rsidR="1018CC0B">
        <w:rPr>
          <w:rFonts w:ascii="Aptos" w:hAnsi="Aptos" w:eastAsia="Times New Roman" w:cs="Times New Roman"/>
          <w:color w:val="000000"/>
          <w:kern w:val="0"/>
          <w:lang w:eastAsia="en-GB"/>
          <w14:ligatures w14:val="none"/>
        </w:rPr>
        <w:t>because of</w:t>
      </w:r>
      <w:r w:rsidRPr="003137A2" w:rsidR="74131136">
        <w:rPr>
          <w:rFonts w:ascii="Aptos" w:hAnsi="Aptos" w:eastAsia="Times New Roman" w:cs="Times New Roman"/>
          <w:color w:val="000000"/>
          <w:kern w:val="0"/>
          <w:lang w:eastAsia="en-GB"/>
          <w14:ligatures w14:val="none"/>
        </w:rPr>
        <w:t xml:space="preserve"> reputational concerns, changes in investor preferences</w:t>
      </w:r>
      <w:r w:rsidRPr="003137A2" w:rsidR="74131136">
        <w:rPr>
          <w:rFonts w:ascii="Aptos" w:hAnsi="Aptos" w:eastAsia="Times New Roman" w:cs="Times New Roman"/>
          <w:color w:val="000000"/>
          <w:kern w:val="0"/>
          <w:lang w:eastAsia="en-GB"/>
          <w14:ligatures w14:val="none"/>
        </w:rPr>
        <w:t xml:space="preserve"> and</w:t>
      </w:r>
      <w:r w:rsidRPr="003137A2" w:rsidR="74131136">
        <w:rPr>
          <w:rFonts w:ascii="Aptos" w:hAnsi="Aptos" w:eastAsia="Times New Roman" w:cs="Times New Roman"/>
          <w:color w:val="000000"/>
          <w:kern w:val="0"/>
          <w:lang w:eastAsia="en-GB"/>
          <w14:ligatures w14:val="none"/>
        </w:rPr>
        <w:t xml:space="preserve"> greater public awareness of environmental and social harms (</w:t>
      </w:r>
      <w:r w:rsidRPr="003137A2" w:rsidR="74131136">
        <w:rPr>
          <w:rFonts w:ascii="Aptos" w:hAnsi="Aptos" w:eastAsia="Times New Roman" w:cs="Times New Roman"/>
          <w:color w:val="000000"/>
          <w:kern w:val="0"/>
          <w:lang w:eastAsia="en-GB"/>
          <w14:ligatures w14:val="none"/>
        </w:rPr>
        <w:t>Brodback</w:t>
      </w:r>
      <w:r w:rsidRPr="003137A2" w:rsidR="74131136">
        <w:rPr>
          <w:rFonts w:ascii="Aptos" w:hAnsi="Aptos" w:eastAsia="Times New Roman" w:cs="Times New Roman"/>
          <w:color w:val="000000"/>
          <w:kern w:val="0"/>
          <w:lang w:eastAsia="en-GB"/>
          <w14:ligatures w14:val="none"/>
        </w:rPr>
        <w:t xml:space="preserve"> et al., 2019; Morningstar, 2025). BlackRock’s expansion of ESG labelled ETFs enabled it to </w:t>
      </w:r>
      <w:r w:rsidRPr="003137A2" w:rsidR="74131136">
        <w:rPr>
          <w:rFonts w:ascii="Aptos" w:hAnsi="Aptos" w:eastAsia="Times New Roman" w:cs="Times New Roman"/>
          <w:color w:val="000000"/>
          <w:kern w:val="0"/>
          <w:lang w:eastAsia="en-GB"/>
          <w14:ligatures w14:val="none"/>
        </w:rPr>
        <w:t>benefit</w:t>
      </w:r>
      <w:r w:rsidRPr="003137A2" w:rsidR="74131136">
        <w:rPr>
          <w:rFonts w:ascii="Aptos" w:hAnsi="Aptos" w:eastAsia="Times New Roman" w:cs="Times New Roman"/>
          <w:color w:val="000000"/>
          <w:kern w:val="0"/>
          <w:lang w:eastAsia="en-GB"/>
          <w14:ligatures w14:val="none"/>
        </w:rPr>
        <w:t xml:space="preserve"> from this demand and so strengthen its competitive position in the passive investment market (BlackRock, 2025).</w:t>
      </w:r>
    </w:p>
    <w:p w:rsidRPr="003137A2" w:rsidR="003137A2" w:rsidP="257BFE88" w:rsidRDefault="003137A2" w14:paraId="3BA11A5D" w14:textId="77777777">
      <w:pPr>
        <w:keepNext w:val="1"/>
        <w:keepLines w:val="1"/>
        <w:spacing w:before="160" w:after="80"/>
        <w:outlineLvl w:val="2"/>
        <w:rPr>
          <w:rFonts w:ascii="Times New Roman" w:hAnsi="Times New Roman" w:eastAsia="Times New Roman" w:cs="" w:cstheme="majorBidi"/>
          <w:color w:val="0F4761" w:themeColor="accent1" w:themeShade="BF"/>
          <w:sz w:val="27"/>
          <w:szCs w:val="27"/>
          <w:lang w:eastAsia="en-GB"/>
        </w:rPr>
      </w:pPr>
      <w:bookmarkStart w:name="_Toc1127431744" w:id="642121841"/>
      <w:r w:rsidRPr="257BFE88" w:rsidR="6D7FFB3E">
        <w:rPr>
          <w:rFonts w:eastAsia="Times New Roman" w:cs="" w:cstheme="majorBidi"/>
          <w:color w:val="0F4761" w:themeColor="accent1" w:themeTint="FF" w:themeShade="BF"/>
          <w:sz w:val="28"/>
          <w:szCs w:val="28"/>
          <w:lang w:eastAsia="en-GB"/>
        </w:rPr>
        <w:t>2.4.4 Reputational and Leadership Factors</w:t>
      </w:r>
      <w:bookmarkEnd w:id="642121841"/>
    </w:p>
    <w:p w:rsidRPr="003137A2" w:rsidR="003137A2" w:rsidP="257BFE88" w:rsidRDefault="003137A2" w14:paraId="2E7D3136" w14:textId="21FC67B8">
      <w:pPr>
        <w:pStyle w:val="Normal"/>
        <w:spacing w:before="240" w:after="240" w:line="240" w:lineRule="auto"/>
        <w:rPr>
          <w:rFonts w:eastAsia="Times New Roman" w:cs="Times New Roman"/>
          <w:kern w:val="0"/>
          <w:highlight w:val="green"/>
          <w:lang w:eastAsia="en-GB"/>
          <w14:ligatures w14:val="none"/>
        </w:rPr>
      </w:pPr>
      <w:r w:rsidRPr="003137A2" w:rsidR="74131136">
        <w:rPr>
          <w:rFonts w:ascii="Aptos" w:hAnsi="Aptos" w:eastAsia="Times New Roman" w:cs="Times New Roman"/>
          <w:color w:val="000000"/>
          <w:kern w:val="0"/>
          <w:lang w:eastAsia="en-GB"/>
          <w14:ligatures w14:val="none"/>
        </w:rPr>
        <w:t xml:space="preserve">Fink’</w:t>
      </w:r>
      <w:r w:rsidRPr="003137A2" w:rsidR="74131136">
        <w:rPr>
          <w:rFonts w:ascii="Aptos" w:hAnsi="Aptos" w:eastAsia="Times New Roman" w:cs="Times New Roman"/>
          <w:color w:val="000000"/>
          <w:kern w:val="0"/>
          <w:lang w:eastAsia="en-GB"/>
          <w14:ligatures w14:val="none"/>
        </w:rPr>
        <w:t xml:space="preserve">s public support for ESG principles improved BlackRock’s profile and influence</w:t>
      </w:r>
      <w:r w:rsidRPr="003137A2" w:rsidR="3E7A7313">
        <w:rPr>
          <w:rFonts w:ascii="Aptos" w:hAnsi="Aptos" w:eastAsia="Times New Roman" w:cs="Times New Roman"/>
          <w:color w:val="000000"/>
          <w:kern w:val="0"/>
          <w:lang w:eastAsia="en-GB"/>
          <w14:ligatures w14:val="none"/>
        </w:rPr>
        <w:t xml:space="preserve"> (Fink, 2021</w:t>
      </w:r>
      <w:r w:rsidRPr="003137A2" w:rsidR="3E7A7313">
        <w:rPr>
          <w:rFonts w:ascii="Aptos" w:hAnsi="Aptos" w:eastAsia="Times New Roman" w:cs="Times New Roman"/>
          <w:color w:val="000000"/>
          <w:kern w:val="0"/>
          <w:lang w:eastAsia="en-GB"/>
          <w14:ligatures w14:val="none"/>
        </w:rPr>
        <w:t xml:space="preserve">)</w:t>
      </w:r>
      <w:r w:rsidRPr="003137A2" w:rsidR="74131136">
        <w:rPr>
          <w:rFonts w:ascii="Aptos" w:hAnsi="Aptos" w:eastAsia="Times New Roman" w:cs="Times New Roman"/>
          <w:color w:val="000000"/>
          <w:kern w:val="0"/>
          <w:lang w:eastAsia="en-GB"/>
          <w14:ligatures w14:val="none"/>
        </w:rPr>
        <w:t xml:space="preserve">.</w:t>
      </w:r>
      <w:r w:rsidRPr="003137A2" w:rsidR="74131136">
        <w:rPr>
          <w:rFonts w:ascii="Aptos" w:hAnsi="Aptos" w:eastAsia="Times New Roman" w:cs="Times New Roman"/>
          <w:color w:val="000000"/>
          <w:kern w:val="0"/>
          <w:lang w:eastAsia="en-GB"/>
          <w14:ligatures w14:val="none"/>
        </w:rPr>
        <w:t xml:space="preserve"> </w:t>
      </w:r>
      <w:r w:rsidRPr="003137A2" w:rsidR="29C9CB5B">
        <w:rPr>
          <w:rFonts w:ascii="Aptos" w:hAnsi="Aptos" w:eastAsia="Times New Roman" w:cs="Times New Roman"/>
          <w:color w:val="000000"/>
          <w:kern w:val="0"/>
          <w:lang w:eastAsia="en-GB"/>
          <w14:ligatures w14:val="none"/>
        </w:rPr>
        <w:t xml:space="preserve">R</w:t>
      </w:r>
      <w:r w:rsidRPr="003137A2" w:rsidR="29C9CB5B">
        <w:rPr>
          <w:rFonts w:ascii="Aptos" w:hAnsi="Aptos" w:eastAsia="Times New Roman" w:cs="Times New Roman"/>
          <w:color w:val="000000"/>
          <w:kern w:val="0"/>
          <w:lang w:eastAsia="en-GB"/>
          <w14:ligatures w14:val="none"/>
        </w:rPr>
        <w:t xml:space="preserve">esearcher</w:t>
      </w:r>
      <w:r w:rsidRPr="257BFE88" w:rsidR="29C9CB5B">
        <w:rPr>
          <w:rFonts w:ascii="Aptos" w:hAnsi="Aptos" w:eastAsia="Aptos" w:cs="Aptos"/>
          <w:noProof w:val="0"/>
          <w:sz w:val="24"/>
          <w:szCs w:val="24"/>
          <w:lang w:val="en-GB"/>
        </w:rPr>
        <w:t xml:space="preserve">s argue that this leadership helped </w:t>
      </w:r>
      <w:r w:rsidRPr="257BFE88" w:rsidR="29A9D161">
        <w:rPr>
          <w:rFonts w:ascii="Aptos" w:hAnsi="Aptos" w:eastAsia="Aptos" w:cs="Aptos"/>
          <w:noProof w:val="0"/>
          <w:sz w:val="24"/>
          <w:szCs w:val="24"/>
          <w:lang w:val="en-GB"/>
        </w:rPr>
        <w:t>influence</w:t>
      </w:r>
      <w:r w:rsidRPr="257BFE88" w:rsidR="29C9CB5B">
        <w:rPr>
          <w:rFonts w:ascii="Aptos" w:hAnsi="Aptos" w:eastAsia="Aptos" w:cs="Aptos"/>
          <w:noProof w:val="0"/>
          <w:sz w:val="24"/>
          <w:szCs w:val="24"/>
          <w:lang w:val="en-GB"/>
        </w:rPr>
        <w:t xml:space="preserve"> industry </w:t>
      </w:r>
      <w:r w:rsidRPr="257BFE88" w:rsidR="1A7D0D6D">
        <w:rPr>
          <w:rFonts w:ascii="Aptos" w:hAnsi="Aptos" w:eastAsia="Aptos" w:cs="Aptos"/>
          <w:noProof w:val="0"/>
          <w:sz w:val="24"/>
          <w:szCs w:val="24"/>
          <w:lang w:val="en-GB"/>
        </w:rPr>
        <w:t>standards. It also</w:t>
      </w:r>
      <w:r w:rsidRPr="257BFE88" w:rsidR="29C9CB5B">
        <w:rPr>
          <w:rFonts w:ascii="Aptos" w:hAnsi="Aptos" w:eastAsia="Aptos" w:cs="Aptos"/>
          <w:noProof w:val="0"/>
          <w:sz w:val="24"/>
          <w:szCs w:val="24"/>
          <w:lang w:val="en-GB"/>
        </w:rPr>
        <w:t xml:space="preserve"> encouraged other asset managers to </w:t>
      </w:r>
      <w:r w:rsidRPr="257BFE88" w:rsidR="50A9AD18">
        <w:rPr>
          <w:rFonts w:ascii="Aptos" w:hAnsi="Aptos" w:eastAsia="Aptos" w:cs="Aptos"/>
          <w:noProof w:val="0"/>
          <w:sz w:val="24"/>
          <w:szCs w:val="24"/>
          <w:lang w:val="en-GB"/>
        </w:rPr>
        <w:t xml:space="preserve">follow with </w:t>
      </w:r>
      <w:r w:rsidRPr="257BFE88" w:rsidR="29C9CB5B">
        <w:rPr>
          <w:rFonts w:ascii="Aptos" w:hAnsi="Aptos" w:eastAsia="Aptos" w:cs="Aptos"/>
          <w:noProof w:val="0"/>
          <w:sz w:val="24"/>
          <w:szCs w:val="24"/>
          <w:lang w:val="en-GB"/>
        </w:rPr>
        <w:t>similar approaches (Thompson, 2025; Foust and St John, 2024</w:t>
      </w:r>
      <w:r w:rsidRPr="257BFE88" w:rsidR="29C9CB5B">
        <w:rPr>
          <w:rFonts w:ascii="Aptos" w:hAnsi="Aptos" w:eastAsia="Aptos" w:cs="Aptos"/>
          <w:noProof w:val="0"/>
          <w:sz w:val="24"/>
          <w:szCs w:val="24"/>
          <w:lang w:val="en-GB"/>
        </w:rPr>
        <w:t xml:space="preserve">). </w:t>
      </w:r>
      <w:r w:rsidRPr="257BFE88" w:rsidR="29C9CB5B">
        <w:rPr>
          <w:rFonts w:ascii="Aptos" w:hAnsi="Aptos" w:eastAsia="Aptos" w:cs="Aptos"/>
          <w:noProof w:val="0"/>
          <w:sz w:val="24"/>
          <w:szCs w:val="24"/>
          <w:lang w:val="en-GB"/>
        </w:rPr>
        <w:t xml:space="preserve">Although </w:t>
      </w:r>
      <w:r w:rsidRPr="257BFE88" w:rsidR="0A4A9688">
        <w:rPr>
          <w:rFonts w:ascii="Aptos" w:hAnsi="Aptos" w:eastAsia="Aptos" w:cs="Aptos"/>
          <w:noProof w:val="0"/>
          <w:sz w:val="24"/>
          <w:szCs w:val="24"/>
          <w:lang w:val="en-GB"/>
        </w:rPr>
        <w:t xml:space="preserve">it is </w:t>
      </w:r>
      <w:r w:rsidRPr="257BFE88" w:rsidR="29C9CB5B">
        <w:rPr>
          <w:rFonts w:ascii="Aptos" w:hAnsi="Aptos" w:eastAsia="Aptos" w:cs="Aptos"/>
          <w:noProof w:val="0"/>
          <w:sz w:val="24"/>
          <w:szCs w:val="24"/>
          <w:lang w:val="en-GB"/>
        </w:rPr>
        <w:t>difficult to measure, several</w:t>
      </w:r>
      <w:r w:rsidRPr="257BFE88" w:rsidR="29C9CB5B">
        <w:rPr>
          <w:rFonts w:ascii="Aptos" w:hAnsi="Aptos" w:eastAsia="Aptos" w:cs="Aptos"/>
          <w:noProof w:val="0"/>
          <w:sz w:val="24"/>
          <w:szCs w:val="24"/>
          <w:lang w:val="en-GB"/>
        </w:rPr>
        <w:t xml:space="preserve"> authors</w:t>
      </w:r>
      <w:r w:rsidRPr="257BFE88" w:rsidR="29C9CB5B">
        <w:rPr>
          <w:rFonts w:ascii="Aptos" w:hAnsi="Aptos" w:eastAsia="Aptos" w:cs="Aptos"/>
          <w:noProof w:val="0"/>
          <w:sz w:val="24"/>
          <w:szCs w:val="24"/>
          <w:lang w:val="en-GB"/>
        </w:rPr>
        <w:t xml:space="preserve"> </w:t>
      </w:r>
      <w:r w:rsidRPr="257BFE88" w:rsidR="77BA5DCC">
        <w:rPr>
          <w:rFonts w:ascii="Aptos" w:hAnsi="Aptos" w:eastAsia="Aptos" w:cs="Aptos"/>
          <w:noProof w:val="0"/>
          <w:sz w:val="24"/>
          <w:szCs w:val="24"/>
          <w:lang w:val="en-GB"/>
        </w:rPr>
        <w:t>identify</w:t>
      </w:r>
      <w:r w:rsidRPr="257BFE88" w:rsidR="29C9CB5B">
        <w:rPr>
          <w:rFonts w:ascii="Aptos" w:hAnsi="Aptos" w:eastAsia="Aptos" w:cs="Aptos"/>
          <w:noProof w:val="0"/>
          <w:sz w:val="24"/>
          <w:szCs w:val="24"/>
          <w:lang w:val="en-GB"/>
        </w:rPr>
        <w:t xml:space="preserve"> that BlackRock’s early public </w:t>
      </w:r>
      <w:r w:rsidRPr="257BFE88" w:rsidR="539FF3C7">
        <w:rPr>
          <w:rFonts w:ascii="Aptos" w:hAnsi="Aptos" w:eastAsia="Aptos" w:cs="Aptos"/>
          <w:noProof w:val="0"/>
          <w:sz w:val="24"/>
          <w:szCs w:val="24"/>
          <w:lang w:val="en-GB"/>
        </w:rPr>
        <w:t>view</w:t>
      </w:r>
      <w:r w:rsidRPr="257BFE88" w:rsidR="2676B756">
        <w:rPr>
          <w:rFonts w:ascii="Aptos" w:hAnsi="Aptos" w:eastAsia="Aptos" w:cs="Aptos"/>
          <w:noProof w:val="0"/>
          <w:sz w:val="24"/>
          <w:szCs w:val="24"/>
          <w:lang w:val="en-GB"/>
        </w:rPr>
        <w:t>s</w:t>
      </w:r>
      <w:r w:rsidRPr="257BFE88" w:rsidR="29C9CB5B">
        <w:rPr>
          <w:rFonts w:ascii="Aptos" w:hAnsi="Aptos" w:eastAsia="Aptos" w:cs="Aptos"/>
          <w:noProof w:val="0"/>
          <w:sz w:val="24"/>
          <w:szCs w:val="24"/>
          <w:lang w:val="en-GB"/>
        </w:rPr>
        <w:t xml:space="preserve"> on sustainability helped the </w:t>
      </w:r>
      <w:r w:rsidRPr="257BFE88" w:rsidR="7E69FA88">
        <w:rPr>
          <w:rFonts w:ascii="Aptos" w:hAnsi="Aptos" w:eastAsia="Aptos" w:cs="Aptos"/>
          <w:noProof w:val="0"/>
          <w:sz w:val="24"/>
          <w:szCs w:val="24"/>
          <w:lang w:val="en-GB"/>
        </w:rPr>
        <w:t>business by giving it a</w:t>
      </w:r>
      <w:r w:rsidRPr="257BFE88" w:rsidR="29C9CB5B">
        <w:rPr>
          <w:rFonts w:ascii="Aptos" w:hAnsi="Aptos" w:eastAsia="Aptos" w:cs="Aptos"/>
          <w:noProof w:val="0"/>
          <w:sz w:val="24"/>
          <w:szCs w:val="24"/>
          <w:lang w:val="en-GB"/>
        </w:rPr>
        <w:t xml:space="preserve"> commercial advantage during the rapid growth of ESG investing (Morningstar, 2023; Financial Times, 2022). Th</w:t>
      </w:r>
      <w:r w:rsidRPr="257BFE88" w:rsidR="415B4582">
        <w:rPr>
          <w:rFonts w:ascii="Aptos" w:hAnsi="Aptos" w:eastAsia="Aptos" w:cs="Aptos"/>
          <w:noProof w:val="0"/>
          <w:sz w:val="24"/>
          <w:szCs w:val="24"/>
          <w:lang w:val="en-GB"/>
        </w:rPr>
        <w:t>e prominence</w:t>
      </w:r>
      <w:r w:rsidRPr="257BFE88" w:rsidR="29C9CB5B">
        <w:rPr>
          <w:rFonts w:ascii="Aptos" w:hAnsi="Aptos" w:eastAsia="Aptos" w:cs="Aptos"/>
          <w:noProof w:val="0"/>
          <w:sz w:val="24"/>
          <w:szCs w:val="24"/>
          <w:lang w:val="en-GB"/>
        </w:rPr>
        <w:t xml:space="preserve"> </w:t>
      </w:r>
      <w:r w:rsidRPr="257BFE88" w:rsidR="5D81F2AB">
        <w:rPr>
          <w:rFonts w:ascii="Aptos" w:hAnsi="Aptos" w:eastAsia="Aptos" w:cs="Aptos"/>
          <w:noProof w:val="0"/>
          <w:sz w:val="24"/>
          <w:szCs w:val="24"/>
          <w:lang w:val="en-GB"/>
        </w:rPr>
        <w:t xml:space="preserve">and reputation gained </w:t>
      </w:r>
      <w:r w:rsidRPr="257BFE88" w:rsidR="29C9CB5B">
        <w:rPr>
          <w:rFonts w:ascii="Aptos" w:hAnsi="Aptos" w:eastAsia="Aptos" w:cs="Aptos"/>
          <w:noProof w:val="0"/>
          <w:sz w:val="24"/>
          <w:szCs w:val="24"/>
          <w:lang w:val="en-GB"/>
        </w:rPr>
        <w:t>also strengthened BlackRock’s market authority, with large index managers often described as ‘</w:t>
      </w:r>
      <w:r w:rsidRPr="257BFE88" w:rsidR="29C9CB5B">
        <w:rPr>
          <w:rFonts w:ascii="Aptos" w:hAnsi="Aptos" w:eastAsia="Aptos" w:cs="Aptos"/>
          <w:noProof w:val="0"/>
          <w:sz w:val="24"/>
          <w:szCs w:val="24"/>
          <w:lang w:val="en-GB"/>
        </w:rPr>
        <w:t>semi</w:t>
      </w:r>
      <w:r>
        <w:noBreakHyphen/>
      </w:r>
      <w:r w:rsidRPr="257BFE88" w:rsidR="29C9CB5B">
        <w:rPr>
          <w:rFonts w:ascii="Aptos" w:hAnsi="Aptos" w:eastAsia="Aptos" w:cs="Aptos"/>
          <w:noProof w:val="0"/>
          <w:sz w:val="24"/>
          <w:szCs w:val="24"/>
          <w:lang w:val="en-GB"/>
        </w:rPr>
        <w:t>regulatory</w:t>
      </w:r>
      <w:r w:rsidRPr="257BFE88" w:rsidR="29C9CB5B">
        <w:rPr>
          <w:rFonts w:ascii="Aptos" w:hAnsi="Aptos" w:eastAsia="Aptos" w:cs="Aptos"/>
          <w:noProof w:val="0"/>
          <w:sz w:val="24"/>
          <w:szCs w:val="24"/>
          <w:lang w:val="en-GB"/>
        </w:rPr>
        <w:t xml:space="preserve"> actors’ influencing the direction of sustainable finance (Fichtner et al., 2017; Coates, 2019).</w:t>
      </w:r>
    </w:p>
    <w:p w:rsidRPr="003137A2" w:rsidR="003137A2" w:rsidP="257BFE88" w:rsidRDefault="003137A2" w14:paraId="13D5ACC7" w14:textId="1C81B447">
      <w:pPr>
        <w:keepNext w:val="1"/>
        <w:keepLines w:val="1"/>
        <w:spacing w:before="160" w:after="80"/>
        <w:outlineLvl w:val="2"/>
        <w:rPr>
          <w:rFonts w:ascii="Times New Roman" w:hAnsi="Times New Roman" w:eastAsia="Times New Roman" w:cs="" w:cstheme="majorBidi"/>
          <w:color w:val="0F4761" w:themeColor="accent1" w:themeShade="BF"/>
          <w:sz w:val="36"/>
          <w:szCs w:val="36"/>
          <w:lang w:eastAsia="en-GB"/>
        </w:rPr>
      </w:pPr>
      <w:bookmarkStart w:name="_Toc1324515993" w:id="1664959097"/>
      <w:r w:rsidRPr="257BFE88" w:rsidR="74131136">
        <w:rPr>
          <w:rFonts w:eastAsia="Times New Roman" w:cs="" w:cstheme="majorBidi"/>
          <w:color w:val="0F4761" w:themeColor="accent1" w:themeTint="FF" w:themeShade="BF"/>
          <w:sz w:val="28"/>
          <w:szCs w:val="28"/>
          <w:lang w:eastAsia="en-GB"/>
        </w:rPr>
        <w:t>2.5 Conclusions and Reflection</w:t>
      </w:r>
      <w:r w:rsidRPr="257BFE88" w:rsidR="3A782CDA">
        <w:rPr>
          <w:rFonts w:eastAsia="Times New Roman" w:cs="" w:cstheme="majorBidi"/>
          <w:color w:val="0F4761" w:themeColor="accent1" w:themeTint="FF" w:themeShade="BF"/>
          <w:sz w:val="28"/>
          <w:szCs w:val="28"/>
          <w:lang w:eastAsia="en-GB"/>
        </w:rPr>
        <w:t>s</w:t>
      </w:r>
      <w:bookmarkEnd w:id="1664959097"/>
    </w:p>
    <w:p w:rsidRPr="003137A2" w:rsidR="003137A2" w:rsidP="257BFE88" w:rsidRDefault="003137A2" w14:paraId="40288229" w14:textId="08876E7C">
      <w:pPr>
        <w:pStyle w:val="Normal"/>
        <w:spacing w:before="240" w:after="240" w:line="240" w:lineRule="auto"/>
        <w:rPr>
          <w:rFonts w:ascii="Times New Roman" w:hAnsi="Times New Roman" w:eastAsia="Times New Roman" w:cs="" w:cstheme="majorBidi"/>
          <w:color w:val="0F4761" w:themeColor="accent1" w:themeTint="FF" w:themeShade="BF"/>
          <w:sz w:val="48"/>
          <w:szCs w:val="48"/>
          <w:lang w:eastAsia="en-GB"/>
        </w:rPr>
      </w:pPr>
      <w:r w:rsidRPr="08626363" w:rsidR="3F69BAEB">
        <w:rPr>
          <w:rFonts w:ascii="Aptos" w:hAnsi="Aptos" w:eastAsia="Aptos" w:cs="Aptos"/>
          <w:noProof w:val="0"/>
          <w:color w:val="auto"/>
          <w:sz w:val="24"/>
          <w:szCs w:val="24"/>
          <w:lang w:val="en-GB"/>
        </w:rPr>
        <w:t xml:space="preserve">Consistently research findings across the literature </w:t>
      </w:r>
      <w:r w:rsidRPr="003137A2" w:rsidR="74131136">
        <w:rPr>
          <w:rFonts w:ascii="Aptos" w:hAnsi="Aptos" w:eastAsia="Times New Roman" w:cs="Times New Roman"/>
          <w:color w:val="000000"/>
          <w:kern w:val="0"/>
          <w:lang w:eastAsia="en-GB"/>
          <w14:ligatures w14:val="none"/>
        </w:rPr>
        <w:t xml:space="preserve">are of ESG scoring systems being influential but not perfect and </w:t>
      </w:r>
      <w:r w:rsidRPr="003137A2" w:rsidR="74131136">
        <w:rPr>
          <w:rFonts w:ascii="Aptos" w:hAnsi="Aptos" w:eastAsia="Times New Roman" w:cs="Times New Roman"/>
          <w:color w:val="000000"/>
          <w:kern w:val="0"/>
          <w:lang w:eastAsia="en-GB"/>
          <w14:ligatures w14:val="none"/>
        </w:rPr>
        <w:t xml:space="preserve">their</w:t>
      </w:r>
      <w:r w:rsidRPr="003137A2" w:rsidR="74131136">
        <w:rPr>
          <w:rFonts w:ascii="Aptos" w:hAnsi="Aptos" w:eastAsia="Times New Roman" w:cs="Times New Roman"/>
          <w:color w:val="000000"/>
          <w:kern w:val="0"/>
          <w:lang w:eastAsia="en-GB"/>
          <w14:ligatures w14:val="none"/>
        </w:rPr>
        <w:t xml:space="preserve"> i</w:t>
      </w:r>
      <w:r w:rsidRPr="003137A2" w:rsidR="6EBFA46F">
        <w:rPr>
          <w:rFonts w:ascii="Aptos" w:hAnsi="Aptos" w:eastAsia="Times New Roman" w:cs="Times New Roman"/>
          <w:color w:val="000000"/>
          <w:kern w:val="0"/>
          <w:lang w:eastAsia="en-GB"/>
          <w14:ligatures w14:val="none"/>
        </w:rPr>
        <w:t xml:space="preserve">nfluence</w:t>
      </w:r>
      <w:r w:rsidRPr="003137A2" w:rsidR="74131136">
        <w:rPr>
          <w:rFonts w:ascii="Aptos" w:hAnsi="Aptos" w:eastAsia="Times New Roman" w:cs="Times New Roman"/>
          <w:color w:val="000000"/>
          <w:kern w:val="0"/>
          <w:lang w:eastAsia="en-GB"/>
          <w14:ligatures w14:val="none"/>
        </w:rPr>
        <w:t xml:space="preserve"> was all the greater when built into large </w:t>
      </w:r>
      <w:r w:rsidRPr="003137A2" w:rsidR="74131136">
        <w:rPr>
          <w:rFonts w:ascii="Aptos" w:hAnsi="Aptos" w:eastAsia="Times New Roman" w:cs="Times New Roman"/>
          <w:color w:val="000000"/>
          <w:kern w:val="0"/>
          <w:lang w:eastAsia="en-GB"/>
          <w14:ligatures w14:val="none"/>
        </w:rPr>
        <w:t xml:space="preserve">scale investment processes (Archer, 2024). </w:t>
      </w:r>
      <w:r w:rsidRPr="003137A2" w:rsidR="74131136">
        <w:rPr>
          <w:rFonts w:ascii="Aptos" w:hAnsi="Aptos" w:eastAsia="Times New Roman" w:cs="Times New Roman"/>
          <w:color w:val="000000"/>
          <w:kern w:val="0"/>
          <w:lang w:eastAsia="en-GB"/>
          <w14:ligatures w14:val="none"/>
        </w:rPr>
        <w:t xml:space="preserve">BlackRock’s reliance on MSCI derived ratings i</w:t>
      </w:r>
      <w:r w:rsidRPr="003137A2" w:rsidR="639E4292">
        <w:rPr>
          <w:rFonts w:ascii="Aptos" w:hAnsi="Aptos" w:eastAsia="Times New Roman" w:cs="Times New Roman"/>
          <w:color w:val="000000"/>
          <w:kern w:val="0"/>
          <w:lang w:eastAsia="en-GB"/>
          <w14:ligatures w14:val="none"/>
        </w:rPr>
        <w:t xml:space="preserve">s an example of</w:t>
      </w:r>
      <w:r w:rsidRPr="003137A2" w:rsidR="74131136">
        <w:rPr>
          <w:rFonts w:ascii="Aptos" w:hAnsi="Aptos" w:eastAsia="Times New Roman" w:cs="Times New Roman"/>
          <w:color w:val="000000"/>
          <w:kern w:val="0"/>
          <w:lang w:eastAsia="en-GB"/>
          <w14:ligatures w14:val="none"/>
        </w:rPr>
        <w:t xml:space="preserve"> how </w:t>
      </w:r>
      <w:r w:rsidRPr="003137A2" w:rsidR="74131136">
        <w:rPr>
          <w:rFonts w:ascii="Aptos" w:hAnsi="Aptos" w:eastAsia="Times New Roman" w:cs="Times New Roman"/>
          <w:color w:val="000000"/>
          <w:kern w:val="0"/>
          <w:lang w:eastAsia="en-GB"/>
          <w14:ligatures w14:val="none"/>
        </w:rPr>
        <w:t>third party</w:t>
      </w:r>
      <w:r w:rsidRPr="003137A2" w:rsidR="74131136">
        <w:rPr>
          <w:rFonts w:ascii="Aptos" w:hAnsi="Aptos" w:eastAsia="Times New Roman" w:cs="Times New Roman"/>
          <w:color w:val="000000"/>
          <w:kern w:val="0"/>
          <w:lang w:eastAsia="en-GB"/>
          <w14:ligatures w14:val="none"/>
        </w:rPr>
        <w:t xml:space="preserve"> </w:t>
      </w:r>
      <w:r w:rsidRPr="003137A2" w:rsidR="227B7B89">
        <w:rPr>
          <w:rFonts w:ascii="Aptos" w:hAnsi="Aptos" w:eastAsia="Times New Roman" w:cs="Times New Roman"/>
          <w:color w:val="000000"/>
          <w:kern w:val="0"/>
          <w:lang w:eastAsia="en-GB"/>
          <w14:ligatures w14:val="none"/>
        </w:rPr>
        <w:t>ratin</w:t>
      </w:r>
      <w:r w:rsidRPr="003137A2" w:rsidR="410A9307">
        <w:rPr>
          <w:rFonts w:ascii="Aptos" w:hAnsi="Aptos" w:eastAsia="Times New Roman" w:cs="Times New Roman"/>
          <w:color w:val="000000"/>
          <w:kern w:val="0"/>
          <w:lang w:eastAsia="en-GB"/>
          <w14:ligatures w14:val="none"/>
        </w:rPr>
        <w:t xml:space="preserve">gs </w:t>
      </w:r>
      <w:r w:rsidRPr="003137A2" w:rsidR="74131136">
        <w:rPr>
          <w:rFonts w:ascii="Aptos" w:hAnsi="Aptos" w:eastAsia="Times New Roman" w:cs="Times New Roman"/>
          <w:color w:val="000000"/>
          <w:kern w:val="0"/>
          <w:lang w:eastAsia="en-GB"/>
          <w14:ligatures w14:val="none"/>
        </w:rPr>
        <w:t xml:space="preserve">can inform fund classifications, investor </w:t>
      </w:r>
      <w:r w:rsidRPr="003137A2" w:rsidR="74131136">
        <w:rPr>
          <w:rFonts w:ascii="Aptos" w:hAnsi="Aptos" w:eastAsia="Times New Roman" w:cs="Times New Roman"/>
          <w:color w:val="000000"/>
          <w:kern w:val="0"/>
          <w:lang w:eastAsia="en-GB"/>
          <w14:ligatures w14:val="none"/>
        </w:rPr>
        <w:t>perceptions</w:t>
      </w:r>
      <w:r w:rsidRPr="003137A2" w:rsidR="74131136">
        <w:rPr>
          <w:rFonts w:ascii="Aptos" w:hAnsi="Aptos" w:eastAsia="Times New Roman" w:cs="Times New Roman"/>
          <w:color w:val="000000"/>
          <w:kern w:val="0"/>
          <w:lang w:eastAsia="en-GB"/>
          <w14:ligatures w14:val="none"/>
        </w:rPr>
        <w:t xml:space="preserve"> and</w:t>
      </w:r>
      <w:r w:rsidRPr="003137A2" w:rsidR="74131136">
        <w:rPr>
          <w:rFonts w:ascii="Aptos" w:hAnsi="Aptos" w:eastAsia="Times New Roman" w:cs="Times New Roman"/>
          <w:color w:val="000000"/>
          <w:kern w:val="0"/>
          <w:lang w:eastAsia="en-GB"/>
          <w14:ligatures w14:val="none"/>
        </w:rPr>
        <w:t xml:space="preserve"> capital allocation (MSCI, 2025; Khan et al., 2016).</w:t>
      </w:r>
      <w:r w:rsidRPr="003137A2" w:rsidR="74131136">
        <w:rPr/>
        <w:t xml:space="preserve"> </w:t>
      </w:r>
    </w:p>
    <w:p w:rsidRPr="003137A2" w:rsidR="003137A2" w:rsidP="257BFE88" w:rsidRDefault="003137A2" w14:paraId="39D2525E" w14:textId="424CE1DC">
      <w:pPr>
        <w:pStyle w:val="Normal"/>
        <w:spacing w:before="240" w:after="240" w:line="240" w:lineRule="auto"/>
        <w:rPr>
          <w:rFonts w:ascii="Aptos" w:hAnsi="Aptos" w:eastAsia="Times New Roman" w:cs="Times New Roman"/>
          <w:color w:val="000000" w:themeColor="text1" w:themeTint="FF" w:themeShade="FF"/>
          <w:lang w:eastAsia="en-GB"/>
        </w:rPr>
      </w:pPr>
      <w:r w:rsidRPr="257BFE88" w:rsidR="10B1E9B5">
        <w:rPr>
          <w:rFonts w:ascii="Aptos" w:hAnsi="Aptos" w:eastAsia="Aptos" w:cs="Aptos"/>
          <w:noProof w:val="0"/>
          <w:sz w:val="24"/>
          <w:szCs w:val="24"/>
          <w:lang w:val="en-GB"/>
        </w:rPr>
        <w:t xml:space="preserve">Research also highlights concerns about rating divergence, </w:t>
      </w:r>
      <w:r w:rsidRPr="257BFE88" w:rsidR="23EAF9D1">
        <w:rPr>
          <w:rFonts w:ascii="Aptos" w:hAnsi="Aptos" w:eastAsia="Aptos" w:cs="Aptos"/>
          <w:noProof w:val="0"/>
          <w:sz w:val="24"/>
          <w:szCs w:val="24"/>
          <w:lang w:val="en-GB"/>
        </w:rPr>
        <w:t xml:space="preserve">ESG </w:t>
      </w:r>
      <w:r w:rsidRPr="257BFE88" w:rsidR="10B1E9B5">
        <w:rPr>
          <w:rFonts w:ascii="Aptos" w:hAnsi="Aptos" w:eastAsia="Aptos" w:cs="Aptos"/>
          <w:noProof w:val="0"/>
          <w:sz w:val="24"/>
          <w:szCs w:val="24"/>
          <w:lang w:val="en-GB"/>
        </w:rPr>
        <w:t>scoring</w:t>
      </w:r>
      <w:r w:rsidRPr="257BFE88" w:rsidR="17E366F3">
        <w:rPr>
          <w:rFonts w:ascii="Aptos" w:hAnsi="Aptos" w:eastAsia="Aptos" w:cs="Aptos"/>
          <w:noProof w:val="0"/>
          <w:sz w:val="24"/>
          <w:szCs w:val="24"/>
          <w:lang w:val="en-GB"/>
        </w:rPr>
        <w:t xml:space="preserve"> by sector</w:t>
      </w:r>
      <w:r w:rsidRPr="257BFE88" w:rsidR="10B1E9B5">
        <w:rPr>
          <w:rFonts w:ascii="Aptos" w:hAnsi="Aptos" w:eastAsia="Aptos" w:cs="Aptos"/>
          <w:noProof w:val="0"/>
          <w:sz w:val="24"/>
          <w:szCs w:val="24"/>
          <w:lang w:val="en-GB"/>
        </w:rPr>
        <w:t xml:space="preserve"> and</w:t>
      </w:r>
      <w:r w:rsidRPr="257BFE88" w:rsidR="10B1E9B5">
        <w:rPr>
          <w:rFonts w:ascii="Aptos" w:hAnsi="Aptos" w:eastAsia="Aptos" w:cs="Aptos"/>
          <w:noProof w:val="0"/>
          <w:sz w:val="24"/>
          <w:szCs w:val="24"/>
          <w:lang w:val="en-GB"/>
        </w:rPr>
        <w:t xml:space="preserve"> the influence of large fund managers on sustainability models. These</w:t>
      </w:r>
      <w:r w:rsidRPr="003137A2" w:rsidR="74131136">
        <w:rPr>
          <w:rFonts w:ascii="Aptos" w:hAnsi="Aptos" w:eastAsia="Times New Roman" w:cs="Times New Roman"/>
          <w:color w:val="000000"/>
          <w:kern w:val="0"/>
          <w:lang w:eastAsia="en-GB"/>
          <w14:ligatures w14:val="none"/>
        </w:rPr>
        <w:t xml:space="preserve"> unresolved issues </w:t>
      </w:r>
      <w:r w:rsidRPr="003137A2" w:rsidR="74131136">
        <w:rPr>
          <w:rFonts w:ascii="Aptos" w:hAnsi="Aptos" w:eastAsia="Times New Roman" w:cs="Times New Roman"/>
          <w:color w:val="000000"/>
          <w:kern w:val="0"/>
          <w:lang w:eastAsia="en-GB"/>
          <w14:ligatures w14:val="none"/>
        </w:rPr>
        <w:t xml:space="preserve">point to a “gap” in understanding because while ESG ratings are widely used, their financial and economic consequences </w:t>
      </w:r>
      <w:r w:rsidRPr="003137A2" w:rsidR="74131136">
        <w:rPr>
          <w:rFonts w:ascii="Aptos" w:hAnsi="Aptos" w:eastAsia="Times New Roman" w:cs="Times New Roman"/>
          <w:color w:val="000000"/>
          <w:kern w:val="0"/>
          <w:lang w:eastAsia="en-GB"/>
          <w14:ligatures w14:val="none"/>
        </w:rPr>
        <w:t xml:space="preserve">remain</w:t>
      </w:r>
      <w:r w:rsidRPr="003137A2" w:rsidR="74131136">
        <w:rPr>
          <w:rFonts w:ascii="Aptos" w:hAnsi="Aptos" w:eastAsia="Times New Roman" w:cs="Times New Roman"/>
          <w:color w:val="000000"/>
          <w:kern w:val="0"/>
          <w:lang w:eastAsia="en-GB"/>
          <w14:ligatures w14:val="none"/>
        </w:rPr>
        <w:t xml:space="preserve"> insufficiently understood.</w:t>
      </w:r>
      <w:r w:rsidRPr="003137A2" w:rsidR="134F1540">
        <w:rPr>
          <w:rFonts w:ascii="Aptos" w:hAnsi="Aptos" w:eastAsia="Times New Roman" w:cs="Times New Roman"/>
          <w:color w:val="000000"/>
          <w:kern w:val="0"/>
          <w:lang w:eastAsia="en-GB"/>
          <w14:ligatures w14:val="none"/>
        </w:rPr>
        <w:t xml:space="preserve"> </w:t>
      </w:r>
      <w:r w:rsidRPr="257BFE88" w:rsidR="134F1540">
        <w:rPr>
          <w:rFonts w:ascii="Aptos" w:hAnsi="Aptos" w:eastAsia="Aptos" w:cs="Aptos"/>
          <w:noProof w:val="0"/>
          <w:sz w:val="24"/>
          <w:szCs w:val="24"/>
          <w:lang w:val="en-GB"/>
        </w:rPr>
        <w:t xml:space="preserve">This “gap” shapes the research design in the next chapter, which uses a </w:t>
      </w:r>
      <w:r w:rsidRPr="257BFE88" w:rsidR="134F1540">
        <w:rPr>
          <w:rFonts w:ascii="Aptos" w:hAnsi="Aptos" w:eastAsia="Aptos" w:cs="Aptos"/>
          <w:noProof w:val="0"/>
          <w:sz w:val="24"/>
          <w:szCs w:val="24"/>
          <w:lang w:val="en-GB"/>
        </w:rPr>
        <w:t>mixed</w:t>
      </w:r>
      <w:r w:rsidRPr="257BFE88" w:rsidR="1D7BED3E">
        <w:rPr>
          <w:rFonts w:ascii="Aptos" w:hAnsi="Aptos" w:eastAsia="Aptos" w:cs="Aptos"/>
          <w:noProof w:val="0"/>
          <w:sz w:val="24"/>
          <w:szCs w:val="24"/>
          <w:lang w:val="en-GB"/>
        </w:rPr>
        <w:t xml:space="preserve"> </w:t>
      </w:r>
      <w:r w:rsidRPr="257BFE88" w:rsidR="134F1540">
        <w:rPr>
          <w:rFonts w:ascii="Aptos" w:hAnsi="Aptos" w:eastAsia="Aptos" w:cs="Aptos"/>
          <w:noProof w:val="0"/>
          <w:sz w:val="24"/>
          <w:szCs w:val="24"/>
          <w:lang w:val="en-GB"/>
        </w:rPr>
        <w:t>methods</w:t>
      </w:r>
      <w:r w:rsidRPr="257BFE88" w:rsidR="134F1540">
        <w:rPr>
          <w:rFonts w:ascii="Aptos" w:hAnsi="Aptos" w:eastAsia="Aptos" w:cs="Aptos"/>
          <w:noProof w:val="0"/>
          <w:sz w:val="24"/>
          <w:szCs w:val="24"/>
          <w:lang w:val="en-GB"/>
        </w:rPr>
        <w:t xml:space="preserve"> approach to examine how ESG scoring works in practice and whether it leads to unintended outcomes.</w:t>
      </w:r>
    </w:p>
    <w:p w:rsidRPr="003137A2" w:rsidR="003137A2" w:rsidP="257BFE88" w:rsidRDefault="003137A2" w14:paraId="34985FD7" w14:textId="1F5CFEA7">
      <w:pPr>
        <w:spacing w:before="240" w:after="240" w:line="240" w:lineRule="auto"/>
        <w:rPr>
          <w:rFonts w:ascii="Aptos Display" w:hAnsi="Aptos Display" w:eastAsia="Times New Roman" w:cs="" w:asciiTheme="majorAscii" w:hAnsiTheme="majorAscii" w:cstheme="majorBidi"/>
          <w:color w:val="0F4761" w:themeColor="accent1" w:themeTint="FF" w:themeShade="BF"/>
          <w:sz w:val="40"/>
          <w:szCs w:val="40"/>
          <w:lang w:eastAsia="en-GB"/>
        </w:rPr>
      </w:pPr>
    </w:p>
    <w:p w:rsidRPr="003137A2" w:rsidR="003137A2" w:rsidP="257BFE88" w:rsidRDefault="003137A2" w14:paraId="525A7AF2" w14:textId="2F96E94B">
      <w:pPr>
        <w:spacing w:before="240" w:after="240" w:line="240" w:lineRule="auto"/>
        <w:rPr>
          <w:rFonts w:ascii="Aptos Display" w:hAnsi="Aptos Display" w:eastAsia="Times New Roman" w:cs="" w:asciiTheme="majorAscii" w:hAnsiTheme="majorAscii" w:cstheme="majorBidi"/>
          <w:color w:val="0F4761" w:themeColor="accent1" w:themeTint="FF" w:themeShade="BF"/>
          <w:sz w:val="40"/>
          <w:szCs w:val="40"/>
          <w:lang w:eastAsia="en-GB"/>
        </w:rPr>
      </w:pPr>
    </w:p>
    <w:p w:rsidRPr="003137A2" w:rsidR="003137A2" w:rsidP="257BFE88" w:rsidRDefault="003137A2" w14:paraId="26B3C899" w14:textId="39628C0D">
      <w:pPr>
        <w:spacing w:before="240" w:after="240" w:line="240" w:lineRule="auto"/>
        <w:rPr>
          <w:rFonts w:ascii="Aptos Display" w:hAnsi="Aptos Display" w:eastAsia="Times New Roman" w:cs="" w:asciiTheme="majorAscii" w:hAnsiTheme="majorAscii" w:cstheme="majorBidi"/>
          <w:color w:val="0F4761" w:themeColor="accent1" w:themeTint="FF" w:themeShade="BF"/>
          <w:sz w:val="40"/>
          <w:szCs w:val="40"/>
          <w:lang w:eastAsia="en-GB"/>
        </w:rPr>
      </w:pPr>
    </w:p>
    <w:p w:rsidRPr="003137A2" w:rsidR="003137A2" w:rsidP="257BFE88" w:rsidRDefault="003137A2" w14:paraId="080CF112" w14:textId="4B021E07">
      <w:pPr>
        <w:spacing w:before="240" w:after="240" w:line="240" w:lineRule="auto"/>
        <w:rPr>
          <w:rFonts w:ascii="Aptos Display" w:hAnsi="Aptos Display" w:eastAsia="Times New Roman" w:cs="" w:asciiTheme="majorAscii" w:hAnsiTheme="majorAscii" w:cstheme="majorBidi"/>
          <w:color w:val="0F4761" w:themeColor="accent1" w:themeTint="FF" w:themeShade="BF"/>
          <w:sz w:val="40"/>
          <w:szCs w:val="40"/>
          <w:lang w:eastAsia="en-GB"/>
        </w:rPr>
      </w:pPr>
    </w:p>
    <w:p w:rsidRPr="003137A2" w:rsidR="003137A2" w:rsidP="257BFE88" w:rsidRDefault="003137A2" w14:paraId="7480A6BD" w14:textId="201DE67A">
      <w:pPr>
        <w:spacing w:before="240" w:after="240" w:line="240" w:lineRule="auto"/>
        <w:rPr>
          <w:rFonts w:ascii="Aptos Display" w:hAnsi="Aptos Display" w:eastAsia="Times New Roman" w:cs="" w:asciiTheme="majorAscii" w:hAnsiTheme="majorAscii" w:cstheme="majorBidi"/>
          <w:color w:val="0F4761" w:themeColor="accent1" w:themeTint="FF" w:themeShade="BF"/>
          <w:sz w:val="40"/>
          <w:szCs w:val="40"/>
          <w:lang w:eastAsia="en-GB"/>
        </w:rPr>
      </w:pPr>
    </w:p>
    <w:p w:rsidRPr="003137A2" w:rsidR="003137A2" w:rsidP="257BFE88" w:rsidRDefault="003137A2" w14:paraId="24363157" w14:textId="5FD9349D">
      <w:pPr>
        <w:spacing w:before="240" w:after="240" w:line="240" w:lineRule="auto"/>
        <w:rPr>
          <w:rFonts w:ascii="Aptos Display" w:hAnsi="Aptos Display" w:eastAsia="Times New Roman" w:cs="" w:asciiTheme="majorAscii" w:hAnsiTheme="majorAscii" w:cstheme="majorBidi"/>
          <w:color w:val="0F4761" w:themeColor="accent1" w:themeTint="FF" w:themeShade="BF"/>
          <w:sz w:val="40"/>
          <w:szCs w:val="40"/>
          <w:lang w:eastAsia="en-GB"/>
        </w:rPr>
      </w:pPr>
    </w:p>
    <w:p w:rsidRPr="003137A2" w:rsidR="003137A2" w:rsidP="257BFE88" w:rsidRDefault="003137A2" w14:paraId="08399231" w14:textId="6F56EBCF">
      <w:pPr>
        <w:spacing w:before="240" w:after="240" w:line="240" w:lineRule="auto"/>
        <w:rPr>
          <w:rFonts w:ascii="Aptos Display" w:hAnsi="Aptos Display" w:eastAsia="Times New Roman" w:cs="" w:asciiTheme="majorAscii" w:hAnsiTheme="majorAscii" w:cstheme="majorBidi"/>
          <w:color w:val="0F4761" w:themeColor="accent1" w:themeTint="FF" w:themeShade="BF"/>
          <w:sz w:val="40"/>
          <w:szCs w:val="40"/>
          <w:lang w:eastAsia="en-GB"/>
        </w:rPr>
      </w:pPr>
    </w:p>
    <w:p w:rsidRPr="003137A2" w:rsidR="003137A2" w:rsidP="257BFE88" w:rsidRDefault="003137A2" w14:paraId="395A0BAA" w14:textId="16E067CD">
      <w:pPr>
        <w:spacing w:before="240" w:after="240" w:line="240" w:lineRule="auto"/>
        <w:rPr>
          <w:rFonts w:ascii="Aptos Display" w:hAnsi="Aptos Display" w:eastAsia="Times New Roman" w:cs="" w:asciiTheme="majorAscii" w:hAnsiTheme="majorAscii" w:cstheme="majorBidi"/>
          <w:color w:val="0F4761" w:themeColor="accent1" w:themeTint="FF" w:themeShade="BF"/>
          <w:sz w:val="40"/>
          <w:szCs w:val="40"/>
          <w:lang w:eastAsia="en-GB"/>
        </w:rPr>
      </w:pPr>
    </w:p>
    <w:p w:rsidRPr="003137A2" w:rsidR="003137A2" w:rsidP="257BFE88" w:rsidRDefault="003137A2" w14:paraId="5949D435" w14:textId="6AB3C198">
      <w:pPr>
        <w:spacing w:before="240" w:after="240" w:line="240" w:lineRule="auto"/>
        <w:rPr>
          <w:rFonts w:ascii="Aptos Display" w:hAnsi="Aptos Display" w:eastAsia="Times New Roman" w:cs="" w:asciiTheme="majorAscii" w:hAnsiTheme="majorAscii" w:cstheme="majorBidi"/>
          <w:color w:val="0F4761" w:themeColor="accent1" w:themeTint="FF" w:themeShade="BF"/>
          <w:sz w:val="40"/>
          <w:szCs w:val="40"/>
          <w:lang w:eastAsia="en-GB"/>
        </w:rPr>
      </w:pPr>
    </w:p>
    <w:p w:rsidRPr="003137A2" w:rsidR="003137A2" w:rsidP="257BFE88" w:rsidRDefault="003137A2" w14:paraId="5315357F" w14:textId="6A5D319C">
      <w:pPr>
        <w:spacing w:before="240" w:after="240" w:line="240" w:lineRule="auto"/>
        <w:rPr>
          <w:rFonts w:ascii="Aptos Display" w:hAnsi="Aptos Display" w:eastAsia="Times New Roman" w:cs="" w:asciiTheme="majorAscii" w:hAnsiTheme="majorAscii" w:cstheme="majorBidi"/>
          <w:color w:val="0F4761" w:themeColor="accent1" w:themeTint="FF" w:themeShade="BF"/>
          <w:sz w:val="40"/>
          <w:szCs w:val="40"/>
          <w:lang w:eastAsia="en-GB"/>
        </w:rPr>
      </w:pPr>
    </w:p>
    <w:p w:rsidRPr="003137A2" w:rsidR="003137A2" w:rsidP="257BFE88" w:rsidRDefault="003137A2" w14:paraId="577CF82E" w14:textId="1592319C">
      <w:pPr>
        <w:spacing w:before="240" w:after="240" w:line="240" w:lineRule="auto"/>
        <w:rPr>
          <w:rFonts w:ascii="Aptos Display" w:hAnsi="Aptos Display" w:eastAsia="Times New Roman" w:cs="" w:asciiTheme="majorAscii" w:hAnsiTheme="majorAscii" w:cstheme="majorBidi"/>
          <w:color w:val="0F4761" w:themeColor="accent1" w:themeTint="FF" w:themeShade="BF"/>
          <w:sz w:val="40"/>
          <w:szCs w:val="40"/>
          <w:lang w:eastAsia="en-GB"/>
        </w:rPr>
      </w:pPr>
    </w:p>
    <w:p w:rsidRPr="003137A2" w:rsidR="003137A2" w:rsidP="257BFE88" w:rsidRDefault="003137A2" w14:paraId="77C3D525" w14:textId="5EAD242C">
      <w:pPr>
        <w:spacing w:before="240" w:after="240" w:line="240" w:lineRule="auto"/>
        <w:rPr>
          <w:rFonts w:ascii="Aptos Display" w:hAnsi="Aptos Display" w:eastAsia="Times New Roman" w:cs="" w:asciiTheme="majorAscii" w:hAnsiTheme="majorAscii" w:cstheme="majorBidi"/>
          <w:color w:val="0F4761" w:themeColor="accent1" w:themeTint="FF" w:themeShade="BF"/>
          <w:sz w:val="40"/>
          <w:szCs w:val="40"/>
          <w:lang w:eastAsia="en-GB"/>
        </w:rPr>
      </w:pPr>
    </w:p>
    <w:p w:rsidRPr="003137A2" w:rsidR="003137A2" w:rsidP="257BFE88" w:rsidRDefault="003137A2" w14:paraId="6B3EF898" w14:textId="2EE2451B">
      <w:pPr>
        <w:spacing w:before="240" w:after="240" w:line="240" w:lineRule="auto"/>
        <w:rPr>
          <w:rFonts w:ascii="Aptos Display" w:hAnsi="Aptos Display" w:eastAsia="Times New Roman" w:cs="" w:asciiTheme="majorAscii" w:hAnsiTheme="majorAscii" w:cstheme="majorBidi"/>
          <w:color w:val="0F4761" w:themeColor="accent1" w:themeTint="FF" w:themeShade="BF"/>
          <w:sz w:val="40"/>
          <w:szCs w:val="40"/>
          <w:lang w:eastAsia="en-GB"/>
        </w:rPr>
      </w:pPr>
    </w:p>
    <w:p w:rsidRPr="003137A2" w:rsidR="003137A2" w:rsidP="257BFE88" w:rsidRDefault="003137A2" w14:paraId="050C18CC" w14:textId="3DB8C467">
      <w:pPr>
        <w:spacing w:before="240" w:after="240" w:line="240" w:lineRule="auto"/>
        <w:rPr>
          <w:rFonts w:ascii="Aptos Display" w:hAnsi="Aptos Display" w:eastAsia="Times New Roman" w:cs="" w:asciiTheme="majorAscii" w:hAnsiTheme="majorAscii" w:cstheme="majorBidi"/>
          <w:color w:val="0F4761" w:themeColor="accent1" w:themeTint="FF" w:themeShade="BF"/>
          <w:sz w:val="40"/>
          <w:szCs w:val="40"/>
          <w:lang w:eastAsia="en-GB"/>
        </w:rPr>
      </w:pPr>
    </w:p>
    <w:p w:rsidR="257BFE88" w:rsidP="257BFE88" w:rsidRDefault="257BFE88" w14:paraId="47E50D6F" w14:textId="6D827063">
      <w:pPr>
        <w:pStyle w:val="Normal"/>
        <w:spacing w:before="240" w:after="240" w:line="240" w:lineRule="auto"/>
        <w:rPr>
          <w:rFonts w:ascii="Aptos Display" w:hAnsi="Aptos Display" w:eastAsia="Times New Roman" w:cs="" w:asciiTheme="majorAscii" w:hAnsiTheme="majorAscii" w:cstheme="majorBidi"/>
          <w:color w:val="0F4761" w:themeColor="accent1" w:themeTint="FF" w:themeShade="BF"/>
          <w:sz w:val="40"/>
          <w:szCs w:val="40"/>
          <w:lang w:eastAsia="en-GB"/>
        </w:rPr>
      </w:pPr>
    </w:p>
    <w:p w:rsidRPr="003137A2" w:rsidR="003137A2" w:rsidP="08626363" w:rsidRDefault="003137A2" w14:paraId="00FDF17D" w14:textId="7EC71021">
      <w:pPr>
        <w:spacing w:before="240" w:after="240" w:line="240" w:lineRule="auto"/>
        <w:rPr>
          <w:rFonts w:ascii="Times New Roman" w:hAnsi="Times New Roman" w:eastAsia="Times New Roman" w:cs="" w:cstheme="majorBidi"/>
          <w:color w:val="0F4761" w:themeColor="accent1" w:themeShade="BF"/>
          <w:sz w:val="48"/>
          <w:szCs w:val="48"/>
          <w:lang w:eastAsia="en-GB"/>
        </w:rPr>
      </w:pPr>
      <w:r w:rsidRPr="257BFE88" w:rsidR="74131136">
        <w:rPr>
          <w:rFonts w:ascii="Aptos Display" w:hAnsi="Aptos Display" w:eastAsia="Times New Roman" w:cs="" w:asciiTheme="majorAscii" w:hAnsiTheme="majorAscii" w:cstheme="majorBidi"/>
          <w:color w:val="0F4761" w:themeColor="accent1" w:themeTint="FF" w:themeShade="BF"/>
          <w:sz w:val="40"/>
          <w:szCs w:val="40"/>
          <w:lang w:eastAsia="en-GB"/>
        </w:rPr>
        <w:t>3. Methodology</w:t>
      </w:r>
    </w:p>
    <w:p w:rsidRPr="003137A2" w:rsidR="003137A2" w:rsidP="003137A2" w:rsidRDefault="003137A2" w14:paraId="29260BD9" w14:textId="77777777">
      <w:pPr>
        <w:spacing w:before="240" w:after="240" w:line="240" w:lineRule="auto"/>
        <w:rPr>
          <w:rFonts w:eastAsia="Times New Roman" w:cs="Arial"/>
          <w:color w:val="000000"/>
          <w:kern w:val="0"/>
          <w:lang w:eastAsia="en-GB"/>
          <w14:ligatures w14:val="none"/>
        </w:rPr>
      </w:pPr>
      <w:r w:rsidRPr="003137A2">
        <w:rPr>
          <w:rFonts w:eastAsia="Times New Roman" w:cs="Arial"/>
          <w:color w:val="000000"/>
          <w:kern w:val="0"/>
          <w:lang w:eastAsia="en-GB"/>
          <w14:ligatures w14:val="none"/>
        </w:rPr>
        <w:t xml:space="preserve">This study adopts a pragmatic mixed methods design to understand how ESG scoring systems are used within large scale asset management and whether their application generates unintended market consequences (Maarouf, 2019). </w:t>
      </w:r>
    </w:p>
    <w:p w:rsidRPr="003137A2" w:rsidR="003137A2" w:rsidP="003137A2" w:rsidRDefault="003137A2" w14:paraId="33A14998" w14:textId="79F38367">
      <w:pPr>
        <w:spacing w:before="240" w:after="240" w:line="240" w:lineRule="auto"/>
        <w:rPr>
          <w:rFonts w:eastAsia="Times New Roman" w:cs="Arial"/>
          <w:color w:val="000000"/>
          <w:kern w:val="0"/>
          <w:lang w:eastAsia="en-GB"/>
          <w14:ligatures w14:val="none"/>
        </w:rPr>
      </w:pPr>
      <w:r w:rsidRPr="003137A2" w:rsidR="6D7FFB3E">
        <w:rPr>
          <w:rFonts w:eastAsia="Times New Roman" w:cs="Arial"/>
          <w:color w:val="000000"/>
          <w:kern w:val="0"/>
          <w:lang w:eastAsia="en-GB"/>
          <w14:ligatures w14:val="none"/>
        </w:rPr>
        <w:t xml:space="preserve">A mixed methods approach is </w:t>
      </w:r>
      <w:r w:rsidRPr="003137A2" w:rsidR="6D7FFB3E">
        <w:rPr>
          <w:rFonts w:eastAsia="Times New Roman" w:cs="Arial"/>
          <w:color w:val="000000"/>
          <w:kern w:val="0"/>
          <w:lang w:eastAsia="en-GB"/>
          <w14:ligatures w14:val="none"/>
        </w:rPr>
        <w:t>appropriate because</w:t>
      </w:r>
      <w:r w:rsidRPr="003137A2" w:rsidR="6D7FFB3E">
        <w:rPr>
          <w:rFonts w:eastAsia="Times New Roman" w:cs="Arial"/>
          <w:color w:val="000000"/>
          <w:kern w:val="0"/>
          <w:lang w:eastAsia="en-GB"/>
          <w14:ligatures w14:val="none"/>
        </w:rPr>
        <w:t xml:space="preserve"> ESG scoring </w:t>
      </w:r>
      <w:r w:rsidRPr="003137A2" w:rsidR="6D7FFB3E">
        <w:rPr>
          <w:rFonts w:eastAsia="Times New Roman" w:cs="Arial"/>
          <w:color w:val="000000"/>
          <w:kern w:val="0"/>
          <w:lang w:eastAsia="en-GB"/>
          <w14:ligatures w14:val="none"/>
        </w:rPr>
        <w:t>operates</w:t>
      </w:r>
      <w:r w:rsidRPr="003137A2" w:rsidR="6D7FFB3E">
        <w:rPr>
          <w:rFonts w:eastAsia="Times New Roman" w:cs="Arial"/>
          <w:color w:val="000000"/>
          <w:kern w:val="0"/>
          <w:lang w:eastAsia="en-GB"/>
          <w14:ligatures w14:val="none"/>
        </w:rPr>
        <w:t xml:space="preserve"> both as a quantitative indicator (e.g. ratings, index eligibility, fund flows) working together with qualitative components reflected in organisational statements, governance or responsible investment practices</w:t>
      </w:r>
      <w:r w:rsidRPr="003137A2" w:rsidR="6D7FFB3E">
        <w:rPr>
          <w:rFonts w:eastAsia="Times New Roman" w:cs="Arial"/>
          <w:color w:val="000000"/>
          <w:kern w:val="0"/>
          <w:lang w:eastAsia="en-GB"/>
          <w14:ligatures w14:val="none"/>
        </w:rPr>
        <w:t xml:space="preserve"> and</w:t>
      </w:r>
      <w:r w:rsidRPr="003137A2" w:rsidR="6D7FFB3E">
        <w:rPr>
          <w:rFonts w:eastAsia="Times New Roman" w:cs="Arial"/>
          <w:color w:val="000000"/>
          <w:kern w:val="0"/>
          <w:lang w:eastAsia="en-GB"/>
          <w14:ligatures w14:val="none"/>
        </w:rPr>
        <w:t xml:space="preserve"> regulatory discussion.</w:t>
      </w:r>
    </w:p>
    <w:p w:rsidRPr="003137A2" w:rsidR="003137A2" w:rsidP="003137A2" w:rsidRDefault="003137A2" w14:paraId="4D910F51" w14:textId="0DA19124">
      <w:pPr>
        <w:spacing w:before="240" w:after="240" w:line="240" w:lineRule="auto"/>
        <w:rPr>
          <w:rFonts w:eastAsia="Times New Roman" w:cs="Times New Roman"/>
          <w:kern w:val="0"/>
          <w:lang w:eastAsia="en-GB"/>
          <w14:ligatures w14:val="none"/>
        </w:rPr>
      </w:pPr>
      <w:r w:rsidRPr="003137A2" w:rsidR="6D7FFB3E">
        <w:rPr>
          <w:rFonts w:eastAsia="Times New Roman" w:cs="Arial"/>
          <w:color w:val="000000"/>
          <w:kern w:val="0"/>
          <w:lang w:eastAsia="en-GB"/>
          <w14:ligatures w14:val="none"/>
        </w:rPr>
        <w:t>Using BlackRock as the case study strengthens the methodological consistency of the study. BlackRock’s scale, its extensive use of MSCI derived ESG data</w:t>
      </w:r>
      <w:r w:rsidRPr="003137A2" w:rsidR="6D7FFB3E">
        <w:rPr>
          <w:rFonts w:eastAsia="Times New Roman" w:cs="Arial"/>
          <w:color w:val="000000"/>
          <w:kern w:val="0"/>
          <w:lang w:eastAsia="en-GB"/>
          <w14:ligatures w14:val="none"/>
        </w:rPr>
        <w:t xml:space="preserve"> and</w:t>
      </w:r>
      <w:r w:rsidRPr="003137A2" w:rsidR="6D7FFB3E">
        <w:rPr>
          <w:rFonts w:eastAsia="Times New Roman" w:cs="Arial"/>
          <w:color w:val="000000"/>
          <w:kern w:val="0"/>
          <w:lang w:eastAsia="en-GB"/>
          <w14:ligatures w14:val="none"/>
        </w:rPr>
        <w:t xml:space="preserve"> its influence on global investment practices make it ideal for examining how </w:t>
      </w:r>
      <w:r w:rsidRPr="003137A2" w:rsidR="6D7FFB3E">
        <w:rPr>
          <w:rFonts w:eastAsia="Times New Roman" w:cs="Arial"/>
          <w:color w:val="000000"/>
          <w:kern w:val="0"/>
          <w:lang w:eastAsia="en-GB"/>
          <w14:ligatures w14:val="none"/>
        </w:rPr>
        <w:t>rating based</w:t>
      </w:r>
      <w:r w:rsidRPr="003137A2" w:rsidR="6D7FFB3E">
        <w:rPr>
          <w:rFonts w:eastAsia="Times New Roman" w:cs="Arial"/>
          <w:color w:val="000000"/>
          <w:kern w:val="0"/>
          <w:lang w:eastAsia="en-GB"/>
          <w14:ligatures w14:val="none"/>
        </w:rPr>
        <w:t xml:space="preserve"> </w:t>
      </w:r>
      <w:r w:rsidRPr="003137A2" w:rsidR="5B0D2ED9">
        <w:rPr>
          <w:rFonts w:eastAsia="Times New Roman" w:cs="Arial"/>
          <w:color w:val="000000"/>
          <w:kern w:val="0"/>
          <w:lang w:eastAsia="en-GB"/>
          <w14:ligatures w14:val="none"/>
        </w:rPr>
        <w:t>indicator</w:t>
      </w:r>
      <w:r w:rsidRPr="003137A2" w:rsidR="6D7FFB3E">
        <w:rPr>
          <w:rFonts w:eastAsia="Times New Roman" w:cs="Arial"/>
          <w:color w:val="000000"/>
          <w:kern w:val="0"/>
          <w:lang w:eastAsia="en-GB"/>
          <w14:ligatures w14:val="none"/>
        </w:rPr>
        <w:t>s inform market behaviour (Thompson, 2025).</w:t>
      </w:r>
    </w:p>
    <w:p w:rsidRPr="003137A2" w:rsidR="003137A2" w:rsidP="257BFE88" w:rsidRDefault="003137A2" w14:paraId="5105765F" w14:textId="77777777">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1428326271" w:id="999299921"/>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3.1 Research Design and Rationale</w:t>
      </w:r>
      <w:bookmarkEnd w:id="999299921"/>
    </w:p>
    <w:p w:rsidRPr="003137A2" w:rsidR="003137A2" w:rsidP="257BFE88" w:rsidRDefault="003137A2" w14:paraId="3E804444" w14:textId="35EE5315">
      <w:pPr>
        <w:spacing w:before="240" w:after="240" w:line="240" w:lineRule="auto"/>
        <w:rPr>
          <w:rFonts w:eastAsia="Times New Roman" w:cs="Arial"/>
          <w:color w:val="000000" w:themeColor="text1" w:themeTint="FF" w:themeShade="FF"/>
          <w:kern w:val="0"/>
          <w:lang w:eastAsia="en-GB"/>
          <w14:ligatures w14:val="none"/>
        </w:rPr>
      </w:pPr>
      <w:r w:rsidRPr="003137A2" w:rsidR="6D7FFB3E">
        <w:rPr>
          <w:rFonts w:eastAsia="Times New Roman" w:cs="Arial"/>
          <w:color w:val="000000"/>
          <w:kern w:val="0"/>
          <w:lang w:eastAsia="en-GB"/>
          <w14:ligatures w14:val="none"/>
        </w:rPr>
        <w:t xml:space="preserve">A pragmatic approach is taken to the research design. Pragmatism prioritises methods that best address the research question rather than following a single philosophical tradition (Morgan, 2014). </w:t>
      </w:r>
      <w:r w:rsidRPr="003137A2" w:rsidR="615D9D6A">
        <w:rPr>
          <w:rFonts w:eastAsia="Times New Roman" w:cs="Arial"/>
          <w:color w:val="000000"/>
          <w:kern w:val="0"/>
          <w:lang w:eastAsia="en-GB"/>
          <w14:ligatures w14:val="none"/>
        </w:rPr>
        <w:t>ESG research is complicated and is</w:t>
      </w:r>
      <w:r w:rsidRPr="003137A2" w:rsidR="450827E2">
        <w:rPr>
          <w:rFonts w:eastAsia="Times New Roman" w:cs="Arial"/>
          <w:color w:val="000000"/>
          <w:kern w:val="0"/>
          <w:lang w:eastAsia="en-GB"/>
          <w14:ligatures w14:val="none"/>
        </w:rPr>
        <w:t xml:space="preserve"> affected by measurable indicators and by data/</w:t>
      </w:r>
      <w:r w:rsidRPr="003137A2" w:rsidR="22C1A6E0">
        <w:rPr>
          <w:rFonts w:eastAsia="Times New Roman" w:cs="Arial"/>
          <w:color w:val="000000"/>
          <w:kern w:val="0"/>
          <w:lang w:eastAsia="en-GB"/>
          <w14:ligatures w14:val="none"/>
        </w:rPr>
        <w:t>information</w:t>
      </w:r>
      <w:r w:rsidRPr="003137A2" w:rsidR="450827E2">
        <w:rPr>
          <w:rFonts w:eastAsia="Times New Roman" w:cs="Arial"/>
          <w:color w:val="000000"/>
          <w:kern w:val="0"/>
          <w:lang w:eastAsia="en-GB"/>
          <w14:ligatures w14:val="none"/>
        </w:rPr>
        <w:t xml:space="preserve"> that requires </w:t>
      </w:r>
      <w:r w:rsidRPr="003137A2" w:rsidR="777CC173">
        <w:rPr>
          <w:rFonts w:eastAsia="Times New Roman" w:cs="Arial"/>
          <w:color w:val="000000"/>
          <w:kern w:val="0"/>
          <w:lang w:eastAsia="en-GB"/>
          <w14:ligatures w14:val="none"/>
        </w:rPr>
        <w:t xml:space="preserve">analysis and interpretation and for these reasons this approach is </w:t>
      </w:r>
      <w:r w:rsidRPr="003137A2" w:rsidR="777CC173">
        <w:rPr>
          <w:rFonts w:eastAsia="Times New Roman" w:cs="Arial"/>
          <w:color w:val="000000"/>
          <w:kern w:val="0"/>
          <w:lang w:eastAsia="en-GB"/>
          <w14:ligatures w14:val="none"/>
        </w:rPr>
        <w:t>appropriate</w:t>
      </w:r>
      <w:r w:rsidRPr="003137A2" w:rsidR="777CC173">
        <w:rPr>
          <w:rFonts w:eastAsia="Times New Roman" w:cs="Arial"/>
          <w:color w:val="000000"/>
          <w:kern w:val="0"/>
          <w:lang w:eastAsia="en-GB"/>
          <w14:ligatures w14:val="none"/>
        </w:rPr>
        <w:t>.</w:t>
      </w:r>
    </w:p>
    <w:p w:rsidRPr="003137A2" w:rsidR="003137A2" w:rsidP="003137A2" w:rsidRDefault="003137A2" w14:paraId="29240C4A" w14:textId="77777777">
      <w:pPr>
        <w:spacing w:before="240" w:after="240" w:line="240" w:lineRule="auto"/>
        <w:rPr>
          <w:rFonts w:eastAsia="Times New Roman" w:cs="Times New Roman"/>
          <w:kern w:val="0"/>
          <w:lang w:eastAsia="en-GB"/>
          <w14:ligatures w14:val="none"/>
        </w:rPr>
      </w:pPr>
      <w:r w:rsidRPr="003137A2" w:rsidR="6D7FFB3E">
        <w:rPr>
          <w:rFonts w:eastAsia="Times New Roman" w:cs="Arial"/>
          <w:color w:val="000000"/>
          <w:kern w:val="0"/>
          <w:lang w:eastAsia="en-GB"/>
          <w14:ligatures w14:val="none"/>
        </w:rPr>
        <w:t>The mixed methods design enables the study to:</w:t>
      </w:r>
    </w:p>
    <w:p w:rsidRPr="003137A2" w:rsidR="003137A2" w:rsidP="003137A2" w:rsidRDefault="003137A2" w14:paraId="66F84A66" w14:textId="4748C830">
      <w:pPr>
        <w:spacing w:before="240" w:after="240" w:line="240" w:lineRule="auto"/>
        <w:rPr>
          <w:rFonts w:eastAsia="Times New Roman" w:cs="Times New Roman"/>
          <w:kern w:val="0"/>
          <w:lang w:eastAsia="en-GB"/>
          <w14:ligatures w14:val="none"/>
        </w:rPr>
      </w:pPr>
      <w:r w:rsidRPr="003137A2" w:rsidR="6D7FFB3E">
        <w:rPr>
          <w:rFonts w:eastAsia="Times New Roman" w:cs="Arial"/>
          <w:color w:val="000000"/>
          <w:kern w:val="0"/>
          <w:lang w:eastAsia="en-GB"/>
          <w14:ligatures w14:val="none"/>
        </w:rPr>
        <w:t xml:space="preserve">• </w:t>
      </w:r>
      <w:r w:rsidRPr="003137A2" w:rsidR="6D7FFB3E">
        <w:rPr>
          <w:rFonts w:eastAsia="Times New Roman" w:cs="Arial"/>
          <w:color w:val="000000"/>
          <w:kern w:val="0"/>
          <w:lang w:eastAsia="en-GB"/>
          <w14:ligatures w14:val="none"/>
        </w:rPr>
        <w:t>Identify</w:t>
      </w:r>
      <w:r w:rsidRPr="003137A2" w:rsidR="6D7FFB3E">
        <w:rPr>
          <w:rFonts w:eastAsia="Times New Roman" w:cs="Arial"/>
          <w:color w:val="000000"/>
          <w:kern w:val="0"/>
          <w:lang w:eastAsia="en-GB"/>
          <w14:ligatures w14:val="none"/>
        </w:rPr>
        <w:t xml:space="preserve"> observable patterns in ESG ratings, stock performance</w:t>
      </w:r>
      <w:r w:rsidRPr="003137A2" w:rsidR="6D7FFB3E">
        <w:rPr>
          <w:rFonts w:eastAsia="Times New Roman" w:cs="Arial"/>
          <w:color w:val="000000"/>
          <w:kern w:val="0"/>
          <w:lang w:eastAsia="en-GB"/>
          <w14:ligatures w14:val="none"/>
        </w:rPr>
        <w:t xml:space="preserve"> and</w:t>
      </w:r>
      <w:r w:rsidRPr="003137A2" w:rsidR="6D7FFB3E">
        <w:rPr>
          <w:rFonts w:eastAsia="Times New Roman" w:cs="Arial"/>
          <w:color w:val="000000"/>
          <w:kern w:val="0"/>
          <w:lang w:eastAsia="en-GB"/>
          <w14:ligatures w14:val="none"/>
        </w:rPr>
        <w:t xml:space="preserve"> fund flows.</w:t>
      </w:r>
    </w:p>
    <w:p w:rsidRPr="003137A2" w:rsidR="003137A2" w:rsidP="257BFE88" w:rsidRDefault="003137A2" w14:paraId="778FEF07" w14:textId="16AAA317">
      <w:pPr>
        <w:spacing w:before="240" w:after="240" w:line="240" w:lineRule="auto"/>
        <w:rPr>
          <w:rFonts w:eastAsia="Times New Roman" w:cs="Arial"/>
          <w:color w:val="000000" w:themeColor="text1" w:themeTint="FF" w:themeShade="FF"/>
          <w:kern w:val="0"/>
          <w:lang w:eastAsia="en-GB"/>
          <w14:ligatures w14:val="none"/>
        </w:rPr>
      </w:pPr>
      <w:r w:rsidRPr="003137A2" w:rsidR="6D7FFB3E">
        <w:rPr>
          <w:rFonts w:eastAsia="Times New Roman" w:cs="Arial"/>
          <w:color w:val="000000"/>
          <w:kern w:val="0"/>
          <w:lang w:eastAsia="en-GB"/>
          <w14:ligatures w14:val="none"/>
        </w:rPr>
        <w:t xml:space="preserve">• </w:t>
      </w:r>
      <w:r w:rsidRPr="003137A2" w:rsidR="22E16589">
        <w:rPr>
          <w:rFonts w:eastAsia="Times New Roman" w:cs="Arial"/>
          <w:color w:val="000000"/>
          <w:kern w:val="0"/>
          <w:lang w:eastAsia="en-GB"/>
          <w14:ligatures w14:val="none"/>
        </w:rPr>
        <w:t>Understand how ESG scores are</w:t>
      </w:r>
      <w:r w:rsidRPr="003137A2" w:rsidR="4BF2EF0B">
        <w:rPr>
          <w:rFonts w:eastAsia="Times New Roman" w:cs="Arial"/>
          <w:color w:val="000000"/>
          <w:kern w:val="0"/>
          <w:lang w:eastAsia="en-GB"/>
          <w14:ligatures w14:val="none"/>
        </w:rPr>
        <w:t xml:space="preserve"> both</w:t>
      </w:r>
      <w:r w:rsidRPr="003137A2" w:rsidR="22E16589">
        <w:rPr>
          <w:rFonts w:eastAsia="Times New Roman" w:cs="Arial"/>
          <w:color w:val="000000"/>
          <w:kern w:val="0"/>
          <w:lang w:eastAsia="en-GB"/>
          <w14:ligatures w14:val="none"/>
        </w:rPr>
        <w:t xml:space="preserve"> </w:t>
      </w:r>
      <w:r w:rsidRPr="003137A2" w:rsidR="28E2F071">
        <w:rPr>
          <w:rFonts w:eastAsia="Times New Roman" w:cs="Arial"/>
          <w:color w:val="000000"/>
          <w:kern w:val="0"/>
          <w:lang w:eastAsia="en-GB"/>
          <w14:ligatures w14:val="none"/>
        </w:rPr>
        <w:t>assessed</w:t>
      </w:r>
      <w:r w:rsidRPr="003137A2" w:rsidR="6FD47FDC">
        <w:rPr>
          <w:rFonts w:eastAsia="Times New Roman" w:cs="Arial"/>
          <w:color w:val="000000"/>
          <w:kern w:val="0"/>
          <w:lang w:eastAsia="en-GB"/>
          <w14:ligatures w14:val="none"/>
        </w:rPr>
        <w:t xml:space="preserve"> and</w:t>
      </w:r>
      <w:r w:rsidRPr="003137A2" w:rsidR="5CB6FDC8">
        <w:rPr>
          <w:rFonts w:eastAsia="Times New Roman" w:cs="Arial"/>
          <w:color w:val="000000"/>
          <w:kern w:val="0"/>
          <w:lang w:eastAsia="en-GB"/>
          <w14:ligatures w14:val="none"/>
        </w:rPr>
        <w:t xml:space="preserve"> the justification for the assessed </w:t>
      </w:r>
      <w:r w:rsidRPr="003137A2" w:rsidR="3E6E1F91">
        <w:rPr>
          <w:rFonts w:eastAsia="Times New Roman" w:cs="Arial"/>
          <w:color w:val="000000"/>
          <w:kern w:val="0"/>
          <w:lang w:eastAsia="en-GB"/>
          <w14:ligatures w14:val="none"/>
        </w:rPr>
        <w:t>score</w:t>
      </w:r>
      <w:r w:rsidRPr="003137A2" w:rsidR="32318EDC">
        <w:rPr>
          <w:rFonts w:eastAsia="Times New Roman" w:cs="Arial"/>
          <w:color w:val="000000"/>
          <w:kern w:val="0"/>
          <w:lang w:eastAsia="en-GB"/>
          <w14:ligatures w14:val="none"/>
        </w:rPr>
        <w:t>. Also</w:t>
      </w:r>
      <w:r w:rsidRPr="003137A2" w:rsidR="1EECBDAB">
        <w:rPr>
          <w:rFonts w:eastAsia="Times New Roman" w:cs="Arial"/>
          <w:color w:val="000000"/>
          <w:kern w:val="0"/>
          <w:lang w:eastAsia="en-GB"/>
          <w14:ligatures w14:val="none"/>
        </w:rPr>
        <w:t>,</w:t>
      </w:r>
      <w:r w:rsidRPr="003137A2" w:rsidR="32318EDC">
        <w:rPr>
          <w:rFonts w:eastAsia="Times New Roman" w:cs="Arial"/>
          <w:color w:val="000000"/>
          <w:kern w:val="0"/>
          <w:lang w:eastAsia="en-GB"/>
          <w14:ligatures w14:val="none"/>
        </w:rPr>
        <w:t xml:space="preserve"> to s</w:t>
      </w:r>
      <w:r w:rsidRPr="003137A2" w:rsidR="03163A5F">
        <w:rPr>
          <w:rFonts w:eastAsia="Times New Roman" w:cs="Arial"/>
          <w:color w:val="000000"/>
          <w:kern w:val="0"/>
          <w:lang w:eastAsia="en-GB"/>
          <w14:ligatures w14:val="none"/>
        </w:rPr>
        <w:t>how in practice</w:t>
      </w:r>
      <w:r w:rsidRPr="003137A2" w:rsidR="56321498">
        <w:rPr>
          <w:rFonts w:eastAsia="Times New Roman" w:cs="Arial"/>
          <w:color w:val="000000"/>
          <w:kern w:val="0"/>
          <w:lang w:eastAsia="en-GB"/>
          <w14:ligatures w14:val="none"/>
        </w:rPr>
        <w:t xml:space="preserve"> h</w:t>
      </w:r>
      <w:r w:rsidRPr="003137A2" w:rsidR="37530851">
        <w:rPr>
          <w:rFonts w:eastAsia="Times New Roman" w:cs="Arial"/>
          <w:color w:val="000000"/>
          <w:kern w:val="0"/>
          <w:lang w:eastAsia="en-GB"/>
          <w14:ligatures w14:val="none"/>
        </w:rPr>
        <w:t>o</w:t>
      </w:r>
      <w:r w:rsidRPr="003137A2" w:rsidR="56321498">
        <w:rPr>
          <w:rFonts w:eastAsia="Times New Roman" w:cs="Arial"/>
          <w:color w:val="000000"/>
          <w:kern w:val="0"/>
          <w:lang w:eastAsia="en-GB"/>
          <w14:ligatures w14:val="none"/>
        </w:rPr>
        <w:t>w a score</w:t>
      </w:r>
      <w:r w:rsidRPr="003137A2" w:rsidR="03163A5F">
        <w:rPr>
          <w:rFonts w:eastAsia="Times New Roman" w:cs="Arial"/>
          <w:color w:val="000000"/>
          <w:kern w:val="0"/>
          <w:lang w:eastAsia="en-GB"/>
          <w14:ligatures w14:val="none"/>
        </w:rPr>
        <w:t xml:space="preserve"> is</w:t>
      </w:r>
      <w:r w:rsidRPr="003137A2" w:rsidR="61A503E1">
        <w:rPr>
          <w:rFonts w:eastAsia="Times New Roman" w:cs="Arial"/>
          <w:color w:val="000000"/>
          <w:kern w:val="0"/>
          <w:lang w:eastAsia="en-GB"/>
          <w14:ligatures w14:val="none"/>
        </w:rPr>
        <w:t xml:space="preserve"> then</w:t>
      </w:r>
      <w:r w:rsidRPr="003137A2" w:rsidR="03163A5F">
        <w:rPr>
          <w:rFonts w:eastAsia="Times New Roman" w:cs="Arial"/>
          <w:color w:val="000000"/>
          <w:kern w:val="0"/>
          <w:lang w:eastAsia="en-GB"/>
          <w14:ligatures w14:val="none"/>
        </w:rPr>
        <w:t xml:space="preserve"> applied by Investment Managers.</w:t>
      </w:r>
    </w:p>
    <w:p w:rsidRPr="003137A2" w:rsidR="003137A2" w:rsidP="257BFE88" w:rsidRDefault="003137A2" w14:paraId="7FED8C83" w14:textId="0FABDB43">
      <w:pPr>
        <w:pStyle w:val="Normal"/>
        <w:spacing w:before="240" w:after="240" w:line="240" w:lineRule="auto"/>
        <w:rPr>
          <w:rFonts w:eastAsia="Times New Roman" w:cs="Arial"/>
          <w:color w:val="000000" w:themeColor="text1" w:themeTint="FF" w:themeShade="FF"/>
          <w:kern w:val="0"/>
          <w:lang w:eastAsia="en-GB"/>
          <w14:ligatures w14:val="none"/>
        </w:rPr>
      </w:pPr>
      <w:r w:rsidRPr="003137A2" w:rsidR="6D7FFB3E">
        <w:rPr>
          <w:rFonts w:eastAsia="Times New Roman" w:cs="Arial"/>
          <w:color w:val="000000"/>
          <w:kern w:val="0"/>
          <w:lang w:eastAsia="en-GB"/>
          <w14:ligatures w14:val="none"/>
        </w:rPr>
        <w:t xml:space="preserve">• </w:t>
      </w:r>
      <w:r w:rsidRPr="003137A2" w:rsidR="29C62FCB">
        <w:rPr>
          <w:rFonts w:eastAsia="Times New Roman" w:cs="Arial"/>
          <w:color w:val="000000"/>
          <w:kern w:val="0"/>
          <w:lang w:eastAsia="en-GB"/>
          <w14:ligatures w14:val="none"/>
        </w:rPr>
        <w:t>A</w:t>
      </w:r>
      <w:r w:rsidRPr="003137A2" w:rsidR="0C191DDC">
        <w:rPr>
          <w:rFonts w:eastAsia="Times New Roman" w:cs="Arial"/>
          <w:color w:val="000000"/>
          <w:kern w:val="0"/>
          <w:lang w:eastAsia="en-GB"/>
          <w14:ligatures w14:val="none"/>
        </w:rPr>
        <w:t xml:space="preserve">ssess the </w:t>
      </w:r>
      <w:r w:rsidRPr="003137A2" w:rsidR="7A20635E">
        <w:rPr>
          <w:rFonts w:eastAsia="Times New Roman" w:cs="Arial"/>
          <w:color w:val="000000"/>
          <w:kern w:val="0"/>
          <w:lang w:eastAsia="en-GB"/>
          <w14:ligatures w14:val="none"/>
        </w:rPr>
        <w:t xml:space="preserve">relationship between </w:t>
      </w:r>
      <w:r w:rsidRPr="003137A2" w:rsidR="6D7FFB3E">
        <w:rPr>
          <w:rFonts w:eastAsia="Times New Roman" w:cs="Arial"/>
          <w:color w:val="000000"/>
          <w:kern w:val="0"/>
          <w:lang w:eastAsia="en-GB"/>
          <w14:ligatures w14:val="none"/>
        </w:rPr>
        <w:t xml:space="preserve">company level indicators </w:t>
      </w:r>
      <w:r w:rsidRPr="003137A2" w:rsidR="69C75D1B">
        <w:rPr>
          <w:rFonts w:eastAsia="Times New Roman" w:cs="Arial"/>
          <w:color w:val="000000"/>
          <w:kern w:val="0"/>
          <w:lang w:eastAsia="en-GB"/>
          <w14:ligatures w14:val="none"/>
        </w:rPr>
        <w:t>and the</w:t>
      </w:r>
      <w:r w:rsidRPr="003137A2" w:rsidR="6D7FFB3E">
        <w:rPr>
          <w:rFonts w:eastAsia="Times New Roman" w:cs="Arial"/>
          <w:color w:val="000000"/>
          <w:kern w:val="0"/>
          <w:lang w:eastAsia="en-GB"/>
          <w14:ligatures w14:val="none"/>
        </w:rPr>
        <w:t xml:space="preserve"> consequences</w:t>
      </w:r>
      <w:r w:rsidRPr="003137A2" w:rsidR="5358BBED">
        <w:rPr>
          <w:rFonts w:eastAsia="Times New Roman" w:cs="Arial"/>
          <w:color w:val="000000"/>
          <w:kern w:val="0"/>
          <w:lang w:eastAsia="en-GB"/>
          <w14:ligatures w14:val="none"/>
        </w:rPr>
        <w:t xml:space="preserve"> at </w:t>
      </w:r>
      <w:r w:rsidRPr="257BFE88" w:rsidR="5358BBED">
        <w:rPr>
          <w:rFonts w:eastAsia="Times New Roman" w:cs="Arial"/>
          <w:color w:val="000000" w:themeColor="text1" w:themeTint="FF" w:themeShade="FF"/>
          <w:lang w:eastAsia="en-GB"/>
        </w:rPr>
        <w:t>market level</w:t>
      </w:r>
      <w:r w:rsidRPr="003137A2" w:rsidR="6D7FFB3E">
        <w:rPr>
          <w:rFonts w:eastAsia="Times New Roman" w:cs="Arial"/>
          <w:color w:val="000000"/>
          <w:kern w:val="0"/>
          <w:lang w:eastAsia="en-GB"/>
          <w14:ligatures w14:val="none"/>
        </w:rPr>
        <w:t>.</w:t>
      </w:r>
    </w:p>
    <w:p w:rsidRPr="003137A2" w:rsidR="003137A2" w:rsidP="257BFE88" w:rsidRDefault="003137A2" w14:paraId="57348CED" w14:textId="6E42A5D8">
      <w:pPr>
        <w:spacing w:before="240" w:after="240" w:line="240" w:lineRule="auto"/>
        <w:rPr>
          <w:rFonts w:eastAsia="Times New Roman" w:cs="Arial"/>
          <w:color w:val="000000" w:themeColor="text1" w:themeTint="FF" w:themeShade="FF"/>
          <w:kern w:val="0"/>
          <w:lang w:eastAsia="en-GB"/>
          <w14:ligatures w14:val="none"/>
        </w:rPr>
      </w:pPr>
      <w:r w:rsidRPr="003137A2" w:rsidR="6D7FFB3E">
        <w:rPr>
          <w:rFonts w:eastAsia="Times New Roman" w:cs="Arial"/>
          <w:color w:val="000000"/>
          <w:kern w:val="0"/>
          <w:lang w:eastAsia="en-GB"/>
          <w14:ligatures w14:val="none"/>
        </w:rPr>
        <w:t xml:space="preserve">• Assess </w:t>
      </w:r>
      <w:r w:rsidRPr="003137A2" w:rsidR="78E9C793">
        <w:rPr>
          <w:rFonts w:eastAsia="Times New Roman" w:cs="Arial"/>
          <w:color w:val="000000"/>
          <w:kern w:val="0"/>
          <w:lang w:eastAsia="en-GB"/>
          <w14:ligatures w14:val="none"/>
        </w:rPr>
        <w:t>not only the</w:t>
      </w:r>
      <w:r w:rsidRPr="003137A2" w:rsidR="6D7FFB3E">
        <w:rPr>
          <w:rFonts w:eastAsia="Times New Roman" w:cs="Arial"/>
          <w:color w:val="000000"/>
          <w:kern w:val="0"/>
          <w:lang w:eastAsia="en-GB"/>
          <w14:ligatures w14:val="none"/>
        </w:rPr>
        <w:t xml:space="preserve"> fairness </w:t>
      </w:r>
      <w:r w:rsidRPr="003137A2" w:rsidR="57882695">
        <w:rPr>
          <w:rFonts w:eastAsia="Times New Roman" w:cs="Arial"/>
          <w:color w:val="000000"/>
          <w:kern w:val="0"/>
          <w:lang w:eastAsia="en-GB"/>
          <w14:ligatures w14:val="none"/>
        </w:rPr>
        <w:t xml:space="preserve">but also </w:t>
      </w:r>
      <w:r w:rsidRPr="003137A2" w:rsidR="73668C82">
        <w:rPr>
          <w:rFonts w:eastAsia="Times New Roman" w:cs="Arial"/>
          <w:color w:val="000000"/>
          <w:kern w:val="0"/>
          <w:lang w:eastAsia="en-GB"/>
          <w14:ligatures w14:val="none"/>
        </w:rPr>
        <w:t>how</w:t>
      </w:r>
      <w:r w:rsidRPr="003137A2" w:rsidR="57882695">
        <w:rPr>
          <w:rFonts w:eastAsia="Times New Roman" w:cs="Arial"/>
          <w:color w:val="000000"/>
          <w:kern w:val="0"/>
          <w:lang w:eastAsia="en-GB"/>
          <w14:ligatures w14:val="none"/>
        </w:rPr>
        <w:t xml:space="preserve"> </w:t>
      </w:r>
      <w:r w:rsidRPr="003137A2" w:rsidR="6D7FFB3E">
        <w:rPr>
          <w:rFonts w:eastAsia="Times New Roman" w:cs="Arial"/>
          <w:color w:val="000000"/>
          <w:kern w:val="0"/>
          <w:lang w:eastAsia="en-GB"/>
          <w14:ligatures w14:val="none"/>
        </w:rPr>
        <w:t>co</w:t>
      </w:r>
      <w:r w:rsidRPr="003137A2" w:rsidR="07BE7B9D">
        <w:rPr>
          <w:rFonts w:eastAsia="Times New Roman" w:cs="Arial"/>
          <w:color w:val="000000"/>
          <w:kern w:val="0"/>
          <w:lang w:eastAsia="en-GB"/>
          <w14:ligatures w14:val="none"/>
        </w:rPr>
        <w:t>nsiste</w:t>
      </w:r>
      <w:r w:rsidRPr="003137A2" w:rsidR="78231C15">
        <w:rPr>
          <w:rFonts w:eastAsia="Times New Roman" w:cs="Arial"/>
          <w:color w:val="000000"/>
          <w:kern w:val="0"/>
          <w:lang w:eastAsia="en-GB"/>
          <w14:ligatures w14:val="none"/>
        </w:rPr>
        <w:t>nt</w:t>
      </w:r>
      <w:r w:rsidRPr="003137A2" w:rsidR="6D7FFB3E">
        <w:rPr>
          <w:rFonts w:eastAsia="Times New Roman" w:cs="Arial"/>
          <w:color w:val="000000"/>
          <w:kern w:val="0"/>
          <w:lang w:eastAsia="en-GB"/>
          <w14:ligatures w14:val="none"/>
        </w:rPr>
        <w:t xml:space="preserve"> ESG scoring systems</w:t>
      </w:r>
      <w:r w:rsidRPr="003137A2" w:rsidR="5D22D887">
        <w:rPr>
          <w:rFonts w:eastAsia="Times New Roman" w:cs="Arial"/>
          <w:color w:val="000000"/>
          <w:kern w:val="0"/>
          <w:lang w:eastAsia="en-GB"/>
          <w14:ligatures w14:val="none"/>
        </w:rPr>
        <w:t xml:space="preserve"> are</w:t>
      </w:r>
      <w:r w:rsidRPr="003137A2" w:rsidR="6D7FFB3E">
        <w:rPr>
          <w:rFonts w:eastAsia="Times New Roman" w:cs="Arial"/>
          <w:color w:val="000000"/>
          <w:kern w:val="0"/>
          <w:lang w:eastAsia="en-GB"/>
          <w14:ligatures w14:val="none"/>
        </w:rPr>
        <w:t>.</w:t>
      </w:r>
    </w:p>
    <w:p w:rsidRPr="003137A2" w:rsidR="003137A2" w:rsidP="003137A2" w:rsidRDefault="003137A2" w14:paraId="160F4C5F" w14:textId="393843D7">
      <w:pPr>
        <w:spacing w:before="240" w:after="240" w:line="240" w:lineRule="auto"/>
        <w:rPr>
          <w:rFonts w:eastAsia="Times New Roman" w:cs="Arial"/>
          <w:color w:val="000000"/>
          <w:kern w:val="0"/>
          <w:lang w:eastAsia="en-GB"/>
          <w14:ligatures w14:val="none"/>
        </w:rPr>
      </w:pPr>
      <w:r w:rsidRPr="003137A2" w:rsidR="6D7FFB3E">
        <w:rPr>
          <w:rFonts w:eastAsia="Times New Roman" w:cs="Arial"/>
          <w:color w:val="000000"/>
          <w:kern w:val="0"/>
          <w:lang w:eastAsia="en-GB"/>
          <w14:ligatures w14:val="none"/>
        </w:rPr>
        <w:t>This approach aligns with (</w:t>
      </w:r>
      <w:r w:rsidRPr="003137A2" w:rsidR="6D7FFB3E">
        <w:rPr>
          <w:rFonts w:eastAsia="Times New Roman" w:cs="Arial"/>
          <w:color w:val="000000"/>
          <w:kern w:val="0"/>
          <w:lang w:eastAsia="en-GB"/>
          <w14:ligatures w14:val="none"/>
        </w:rPr>
        <w:t>Creswell</w:t>
      </w:r>
      <w:r w:rsidRPr="003137A2" w:rsidR="6D7FFB3E">
        <w:rPr>
          <w:rFonts w:eastAsia="Times New Roman" w:cs="Arial"/>
          <w:color w:val="000000"/>
          <w:kern w:val="0"/>
          <w:lang w:eastAsia="en-GB"/>
          <w14:ligatures w14:val="none"/>
        </w:rPr>
        <w:t>, 2012) argument that mixed methods research is valuable when neither quantitative nor qualitative evidence alone is sufficient to</w:t>
      </w:r>
      <w:r w:rsidRPr="003137A2" w:rsidR="6D7FFB3E">
        <w:rPr>
          <w:rFonts w:eastAsia="Times New Roman" w:cs="Arial"/>
          <w:color w:val="000000"/>
          <w:kern w:val="0"/>
          <w:lang w:eastAsia="en-GB"/>
          <w14:ligatures w14:val="none"/>
        </w:rPr>
        <w:t xml:space="preserve"> understand complex organisational issues (</w:t>
      </w:r>
      <w:r w:rsidRPr="003137A2" w:rsidR="6D7FFB3E">
        <w:rPr>
          <w:rFonts w:eastAsia="Times New Roman" w:cs="Arial"/>
          <w:color w:val="000000"/>
          <w:kern w:val="0"/>
          <w:lang w:eastAsia="en-GB"/>
          <w14:ligatures w14:val="none"/>
        </w:rPr>
        <w:t>Creswell</w:t>
      </w:r>
      <w:r w:rsidRPr="003137A2" w:rsidR="6D7FFB3E">
        <w:rPr>
          <w:rFonts w:eastAsia="Times New Roman" w:cs="Arial"/>
          <w:color w:val="000000"/>
          <w:kern w:val="0"/>
          <w:lang w:eastAsia="en-GB"/>
          <w14:ligatures w14:val="none"/>
        </w:rPr>
        <w:t xml:space="preserve"> and Plano Clark, 2017).</w:t>
      </w:r>
    </w:p>
    <w:p w:rsidRPr="003137A2" w:rsidR="003137A2" w:rsidP="257BFE88" w:rsidRDefault="003137A2" w14:paraId="63F19E0B" w14:textId="77777777">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1965976028" w:id="881759254"/>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3.2 Quantitative Component</w:t>
      </w:r>
      <w:bookmarkEnd w:id="881759254"/>
    </w:p>
    <w:p w:rsidRPr="003137A2" w:rsidR="003137A2" w:rsidP="003137A2" w:rsidRDefault="003137A2" w14:paraId="4748FB6A" w14:textId="27337DA9">
      <w:pPr>
        <w:spacing w:before="240" w:after="240" w:line="240" w:lineRule="auto"/>
        <w:rPr>
          <w:rFonts w:eastAsia="Times New Roman" w:cs="Arial"/>
          <w:color w:val="000000"/>
          <w:kern w:val="0"/>
          <w:lang w:eastAsia="en-GB"/>
          <w14:ligatures w14:val="none"/>
        </w:rPr>
      </w:pPr>
      <w:r w:rsidRPr="003137A2" w:rsidR="74131136">
        <w:rPr>
          <w:rFonts w:eastAsia="Times New Roman" w:cs="Arial"/>
          <w:color w:val="000000"/>
          <w:kern w:val="0"/>
          <w:lang w:eastAsia="en-GB"/>
          <w14:ligatures w14:val="none"/>
        </w:rPr>
        <w:t>The quantitative approach examines ESG positioning and market behaviour between 2018 and 2025 using publicly available secondary data. Rather than estimating a full statistical model, which would require</w:t>
      </w:r>
      <w:r w:rsidRPr="003137A2" w:rsidR="5D612A91">
        <w:rPr>
          <w:rFonts w:eastAsia="Times New Roman" w:cs="Arial"/>
          <w:color w:val="000000"/>
          <w:kern w:val="0"/>
          <w:lang w:eastAsia="en-GB"/>
          <w14:ligatures w14:val="none"/>
        </w:rPr>
        <w:t xml:space="preserve"> </w:t>
      </w:r>
      <w:r w:rsidRPr="003137A2" w:rsidR="3FCE734D">
        <w:rPr>
          <w:rFonts w:eastAsia="Times New Roman" w:cs="Arial"/>
          <w:color w:val="000000"/>
          <w:kern w:val="0"/>
          <w:lang w:eastAsia="en-GB"/>
          <w14:ligatures w14:val="none"/>
        </w:rPr>
        <w:t xml:space="preserve">research </w:t>
      </w:r>
      <w:r w:rsidRPr="003137A2" w:rsidR="5D612A91">
        <w:rPr>
          <w:rFonts w:eastAsia="Times New Roman" w:cs="Arial"/>
          <w:color w:val="000000"/>
          <w:kern w:val="0"/>
          <w:lang w:eastAsia="en-GB"/>
          <w14:ligatures w14:val="none"/>
        </w:rPr>
        <w:t xml:space="preserve">funds to</w:t>
      </w:r>
      <w:r w:rsidRPr="003137A2" w:rsidR="74131136">
        <w:rPr>
          <w:rFonts w:eastAsia="Times New Roman" w:cs="Arial"/>
          <w:color w:val="000000"/>
          <w:kern w:val="0"/>
          <w:lang w:eastAsia="en-GB"/>
          <w14:ligatures w14:val="none"/>
        </w:rPr>
        <w:t xml:space="preserve"> access commercially sensitive and privately held historical MSCI datasets, the study uses quantitative indicators to assess whether patterns commonly associated with ESG scoring are reflected in market outcomes.</w:t>
      </w:r>
    </w:p>
    <w:p w:rsidRPr="003137A2" w:rsidR="003137A2" w:rsidP="257BFE88" w:rsidRDefault="003137A2" w14:paraId="57A12068" w14:textId="77777777">
      <w:pPr>
        <w:keepNext w:val="1"/>
        <w:keepLines w:val="1"/>
        <w:spacing w:before="160" w:after="80"/>
        <w:outlineLvl w:val="2"/>
        <w:rPr>
          <w:rFonts w:ascii="Times New Roman" w:hAnsi="Times New Roman" w:eastAsia="Times New Roman" w:cs="" w:cstheme="majorBidi"/>
          <w:color w:val="0F4761" w:themeColor="accent1" w:themeShade="BF"/>
          <w:sz w:val="27"/>
          <w:szCs w:val="27"/>
          <w:lang w:eastAsia="en-GB"/>
        </w:rPr>
      </w:pPr>
      <w:bookmarkStart w:name="_Toc242571166" w:id="787080594"/>
      <w:r w:rsidRPr="257BFE88" w:rsidR="6D7FFB3E">
        <w:rPr>
          <w:rFonts w:eastAsia="Times New Roman" w:cs="" w:cstheme="majorBidi"/>
          <w:color w:val="0F4761" w:themeColor="accent1" w:themeTint="FF" w:themeShade="BF"/>
          <w:sz w:val="28"/>
          <w:szCs w:val="28"/>
          <w:lang w:eastAsia="en-GB"/>
        </w:rPr>
        <w:t>3.2.1 Data Sources and Variables</w:t>
      </w:r>
      <w:bookmarkEnd w:id="787080594"/>
    </w:p>
    <w:p w:rsidRPr="003137A2" w:rsidR="003137A2" w:rsidP="003137A2" w:rsidRDefault="003137A2" w14:paraId="5B65232D" w14:textId="77777777">
      <w:pPr>
        <w:spacing w:line="240" w:lineRule="auto"/>
        <w:rPr>
          <w:kern w:val="0"/>
          <w14:ligatures w14:val="none"/>
        </w:rPr>
      </w:pPr>
      <w:r w:rsidRPr="003137A2">
        <w:rPr>
          <w:rFonts w:cs="Arial"/>
          <w:color w:val="000000"/>
        </w:rPr>
        <w:t>The quantitative analysis draws on:</w:t>
      </w:r>
    </w:p>
    <w:p w:rsidRPr="003137A2" w:rsidR="003137A2" w:rsidP="003137A2" w:rsidRDefault="003137A2" w14:paraId="520356AE" w14:textId="77777777">
      <w:pPr>
        <w:spacing w:line="240" w:lineRule="auto"/>
      </w:pPr>
      <w:r w:rsidRPr="003137A2">
        <w:rPr>
          <w:rFonts w:cs="Arial"/>
          <w:color w:val="000000"/>
        </w:rPr>
        <w:t>• Headline ESG ratings and sustainability indicators (where publicly accessible).</w:t>
      </w:r>
    </w:p>
    <w:p w:rsidRPr="003137A2" w:rsidR="003137A2" w:rsidP="003137A2" w:rsidRDefault="003137A2" w14:paraId="6521292D" w14:textId="77777777">
      <w:pPr>
        <w:spacing w:line="240" w:lineRule="auto"/>
      </w:pPr>
      <w:r w:rsidRPr="003137A2">
        <w:rPr>
          <w:rFonts w:cs="Arial"/>
          <w:color w:val="000000"/>
        </w:rPr>
        <w:t>• Stock market indicators such as returns and volatility.</w:t>
      </w:r>
    </w:p>
    <w:p w:rsidRPr="003137A2" w:rsidR="003137A2" w:rsidP="003137A2" w:rsidRDefault="003137A2" w14:paraId="443586A1" w14:textId="77777777">
      <w:pPr>
        <w:spacing w:line="240" w:lineRule="auto"/>
      </w:pPr>
      <w:r w:rsidRPr="003137A2">
        <w:rPr>
          <w:rFonts w:cs="Arial"/>
          <w:color w:val="000000"/>
        </w:rPr>
        <w:t>• Market level indicators including ESG labelled fund and ETF flows.</w:t>
      </w:r>
    </w:p>
    <w:p w:rsidRPr="003137A2" w:rsidR="003137A2" w:rsidP="08626363" w:rsidRDefault="003137A2" w14:paraId="547A9BD0" w14:textId="655BF1C6">
      <w:pPr>
        <w:pStyle w:val="Normal"/>
        <w:spacing w:line="240" w:lineRule="auto"/>
      </w:pPr>
      <w:r w:rsidRPr="08626363" w:rsidR="688CEB16">
        <w:rPr>
          <w:rFonts w:cs="Arial"/>
          <w:color w:val="000000" w:themeColor="text1" w:themeTint="FF" w:themeShade="FF"/>
        </w:rPr>
        <w:t>These variables a</w:t>
      </w:r>
      <w:r w:rsidRPr="08626363" w:rsidR="688CEB16">
        <w:rPr>
          <w:rFonts w:cs="Arial"/>
          <w:color w:val="auto"/>
        </w:rPr>
        <w:t xml:space="preserve">llow the study to understand whether ESG </w:t>
      </w:r>
      <w:r w:rsidRPr="08626363" w:rsidR="6CEDF127">
        <w:rPr>
          <w:rFonts w:ascii="Aptos" w:hAnsi="Aptos" w:eastAsia="Aptos" w:cs="Aptos"/>
          <w:noProof w:val="0"/>
          <w:color w:val="auto"/>
          <w:sz w:val="24"/>
          <w:szCs w:val="24"/>
          <w:lang w:val="en-GB"/>
        </w:rPr>
        <w:t xml:space="preserve">ratings </w:t>
      </w:r>
      <w:r w:rsidRPr="08626363" w:rsidR="6CEDF127">
        <w:rPr>
          <w:rFonts w:ascii="Aptos" w:hAnsi="Aptos" w:eastAsia="Aptos" w:cs="Aptos"/>
          <w:noProof w:val="0"/>
          <w:color w:val="auto"/>
          <w:sz w:val="24"/>
          <w:szCs w:val="24"/>
          <w:lang w:val="en-GB"/>
        </w:rPr>
        <w:t>act as meaningful indicators that influence investor behaviour</w:t>
      </w:r>
      <w:r w:rsidRPr="08626363" w:rsidR="6CEDF127">
        <w:rPr>
          <w:rFonts w:ascii="Aptos" w:hAnsi="Aptos" w:eastAsia="Aptos" w:cs="Aptos"/>
          <w:noProof w:val="0"/>
          <w:color w:val="auto"/>
          <w:sz w:val="24"/>
          <w:szCs w:val="24"/>
          <w:lang w:val="en-GB"/>
        </w:rPr>
        <w:t xml:space="preserve"> </w:t>
      </w:r>
      <w:r w:rsidRPr="08626363" w:rsidR="688CEB16">
        <w:rPr>
          <w:rFonts w:cs="Arial"/>
          <w:color w:val="auto"/>
        </w:rPr>
        <w:t xml:space="preserve">or </w:t>
      </w:r>
      <w:r w:rsidRPr="08626363" w:rsidR="688CEB16">
        <w:rPr>
          <w:rFonts w:cs="Arial"/>
          <w:color w:val="000000" w:themeColor="text1" w:themeTint="FF" w:themeShade="FF"/>
        </w:rPr>
        <w:t>perceived risk.</w:t>
      </w:r>
    </w:p>
    <w:p w:rsidRPr="003137A2" w:rsidR="003137A2" w:rsidP="257BFE88" w:rsidRDefault="003137A2" w14:paraId="7EB865C8" w14:textId="77777777">
      <w:pPr>
        <w:keepNext w:val="1"/>
        <w:keepLines w:val="1"/>
        <w:spacing w:before="160" w:after="80"/>
        <w:outlineLvl w:val="2"/>
        <w:rPr>
          <w:rFonts w:eastAsia="" w:cs="" w:eastAsiaTheme="majorEastAsia" w:cstheme="majorBidi"/>
          <w:color w:val="0F4761" w:themeColor="accent1" w:themeShade="BF"/>
          <w:sz w:val="28"/>
          <w:szCs w:val="28"/>
        </w:rPr>
      </w:pPr>
      <w:bookmarkStart w:name="_Toc448513993" w:id="1633434540"/>
      <w:r w:rsidRPr="257BFE88" w:rsidR="6D7FFB3E">
        <w:rPr>
          <w:rFonts w:eastAsia="" w:cs="" w:eastAsiaTheme="majorEastAsia" w:cstheme="majorBidi"/>
          <w:color w:val="0F4761" w:themeColor="accent1" w:themeTint="FF" w:themeShade="BF"/>
          <w:sz w:val="28"/>
          <w:szCs w:val="28"/>
        </w:rPr>
        <w:t>3.2.2 Analytical Logic</w:t>
      </w:r>
      <w:bookmarkEnd w:id="1633434540"/>
      <w:r w:rsidRPr="257BFE88" w:rsidR="6D7FFB3E">
        <w:rPr>
          <w:rFonts w:eastAsia="" w:cs="" w:eastAsiaTheme="majorEastAsia" w:cstheme="majorBidi"/>
          <w:color w:val="0F4761" w:themeColor="accent1" w:themeTint="FF" w:themeShade="BF"/>
          <w:sz w:val="28"/>
          <w:szCs w:val="28"/>
        </w:rPr>
        <w:t xml:space="preserve"> </w:t>
      </w:r>
    </w:p>
    <w:p w:rsidRPr="003137A2" w:rsidR="003137A2" w:rsidP="003137A2" w:rsidRDefault="003137A2" w14:paraId="0325A717" w14:textId="77777777">
      <w:pPr>
        <w:spacing w:line="240" w:lineRule="auto"/>
      </w:pPr>
      <w:r w:rsidRPr="003137A2">
        <w:rPr>
          <w:rFonts w:cs="Arial"/>
          <w:color w:val="000000"/>
        </w:rPr>
        <w:t>Within this approach:</w:t>
      </w:r>
    </w:p>
    <w:p w:rsidRPr="003137A2" w:rsidR="003137A2" w:rsidP="003137A2" w:rsidRDefault="003137A2" w14:paraId="5687D387" w14:textId="77777777">
      <w:pPr>
        <w:spacing w:line="240" w:lineRule="auto"/>
      </w:pPr>
      <w:r w:rsidRPr="003137A2">
        <w:rPr>
          <w:rFonts w:cs="Arial"/>
          <w:color w:val="000000"/>
        </w:rPr>
        <w:t>• ESG ratings function as the independent signal.</w:t>
      </w:r>
    </w:p>
    <w:p w:rsidRPr="003137A2" w:rsidR="003137A2" w:rsidP="257BFE88" w:rsidRDefault="003137A2" w14:paraId="33CAC866" w14:textId="77777777">
      <w:pPr>
        <w:spacing w:line="240" w:lineRule="auto"/>
        <w:rPr>
          <w:rFonts w:cs="Arial"/>
          <w:color w:val="000000" w:themeColor="text1" w:themeTint="FF" w:themeShade="FF"/>
        </w:rPr>
      </w:pPr>
      <w:r w:rsidRPr="257BFE88" w:rsidR="6D7FFB3E">
        <w:rPr>
          <w:rFonts w:cs="Arial"/>
          <w:color w:val="000000" w:themeColor="text1" w:themeTint="FF" w:themeShade="FF"/>
        </w:rPr>
        <w:t>• Stock returns and volatility act as outcome measures.</w:t>
      </w:r>
    </w:p>
    <w:p w:rsidRPr="003137A2" w:rsidR="003137A2" w:rsidP="257BFE88" w:rsidRDefault="003137A2" w14:paraId="0576C02F" w14:textId="04B79520">
      <w:pPr>
        <w:spacing w:line="240" w:lineRule="auto"/>
        <w:rPr>
          <w:rFonts w:cs="Arial"/>
          <w:color w:val="000000" w:themeColor="text1" w:themeTint="FF" w:themeShade="FF"/>
        </w:rPr>
      </w:pPr>
      <w:r w:rsidRPr="257BFE88" w:rsidR="6D7FFB3E">
        <w:rPr>
          <w:rFonts w:cs="Arial"/>
          <w:color w:val="000000" w:themeColor="text1" w:themeTint="FF" w:themeShade="FF"/>
        </w:rPr>
        <w:t xml:space="preserve">• Profitability, company size, </w:t>
      </w:r>
      <w:r w:rsidRPr="257BFE88" w:rsidR="29909585">
        <w:rPr>
          <w:rFonts w:cs="Arial"/>
          <w:color w:val="000000" w:themeColor="text1" w:themeTint="FF" w:themeShade="FF"/>
        </w:rPr>
        <w:t>together with</w:t>
      </w:r>
      <w:r w:rsidRPr="257BFE88" w:rsidR="6D7FFB3E">
        <w:rPr>
          <w:rFonts w:cs="Arial"/>
          <w:color w:val="000000" w:themeColor="text1" w:themeTint="FF" w:themeShade="FF"/>
        </w:rPr>
        <w:t xml:space="preserve"> industry sector </w:t>
      </w:r>
      <w:r w:rsidRPr="257BFE88" w:rsidR="45E3D42D">
        <w:rPr>
          <w:rFonts w:cs="Arial"/>
          <w:color w:val="000000" w:themeColor="text1" w:themeTint="FF" w:themeShade="FF"/>
        </w:rPr>
        <w:t>are used as</w:t>
      </w:r>
      <w:r w:rsidRPr="257BFE88" w:rsidR="6D7FFB3E">
        <w:rPr>
          <w:rFonts w:cs="Arial"/>
          <w:color w:val="000000" w:themeColor="text1" w:themeTint="FF" w:themeShade="FF"/>
        </w:rPr>
        <w:t xml:space="preserve"> control variables.</w:t>
      </w:r>
    </w:p>
    <w:p w:rsidRPr="003137A2" w:rsidR="003137A2" w:rsidP="08626363" w:rsidRDefault="003137A2" w14:paraId="37B7775C" w14:textId="53E83AAA">
      <w:pPr>
        <w:spacing w:line="240" w:lineRule="auto"/>
        <w:rPr>
          <w:rFonts w:cs="Arial"/>
          <w:color w:val="000000" w:themeColor="text1" w:themeTint="FF" w:themeShade="FF"/>
        </w:rPr>
      </w:pPr>
      <w:r w:rsidRPr="257BFE88" w:rsidR="74131136">
        <w:rPr>
          <w:rFonts w:cs="Arial"/>
          <w:color w:val="000000" w:themeColor="text1" w:themeTint="FF" w:themeShade="FF"/>
        </w:rPr>
        <w:t xml:space="preserve">This approach allows a </w:t>
      </w:r>
      <w:r w:rsidRPr="257BFE88" w:rsidR="04674290">
        <w:rPr>
          <w:rFonts w:cs="Arial"/>
          <w:color w:val="000000" w:themeColor="text1" w:themeTint="FF" w:themeShade="FF"/>
        </w:rPr>
        <w:t>structured</w:t>
      </w:r>
      <w:r w:rsidRPr="257BFE88" w:rsidR="74131136">
        <w:rPr>
          <w:rFonts w:cs="Arial"/>
          <w:color w:val="000000" w:themeColor="text1" w:themeTint="FF" w:themeShade="FF"/>
        </w:rPr>
        <w:t xml:space="preserve"> comparison without suggesting </w:t>
      </w:r>
      <w:r w:rsidRPr="257BFE88" w:rsidR="2FBA9C17">
        <w:rPr>
          <w:rFonts w:cs="Arial"/>
          <w:color w:val="000000" w:themeColor="text1" w:themeTint="FF" w:themeShade="FF"/>
        </w:rPr>
        <w:t>a cause and effect</w:t>
      </w:r>
      <w:r w:rsidRPr="257BFE88" w:rsidR="74131136">
        <w:rPr>
          <w:rFonts w:cs="Arial"/>
          <w:color w:val="000000" w:themeColor="text1" w:themeTint="FF" w:themeShade="FF"/>
        </w:rPr>
        <w:t>.</w:t>
      </w:r>
    </w:p>
    <w:p w:rsidRPr="003137A2" w:rsidR="003137A2" w:rsidP="257BFE88" w:rsidRDefault="003137A2" w14:paraId="146AC550" w14:textId="77777777">
      <w:pPr>
        <w:keepNext w:val="1"/>
        <w:keepLines w:val="1"/>
        <w:spacing w:before="160" w:after="80"/>
        <w:outlineLvl w:val="2"/>
        <w:rPr>
          <w:rFonts w:ascii="Times New Roman" w:hAnsi="Times New Roman" w:eastAsia="Times New Roman" w:cs="" w:cstheme="majorBidi"/>
          <w:color w:val="0F4761" w:themeColor="accent1" w:themeShade="BF"/>
          <w:sz w:val="27"/>
          <w:szCs w:val="27"/>
          <w:lang w:eastAsia="en-GB"/>
        </w:rPr>
      </w:pPr>
      <w:bookmarkStart w:name="_Toc721865225" w:id="1661485757"/>
      <w:r w:rsidRPr="257BFE88" w:rsidR="6D7FFB3E">
        <w:rPr>
          <w:rFonts w:eastAsia="Times New Roman" w:cs="" w:cstheme="majorBidi"/>
          <w:color w:val="0F4761" w:themeColor="accent1" w:themeTint="FF" w:themeShade="BF"/>
          <w:sz w:val="28"/>
          <w:szCs w:val="28"/>
          <w:lang w:eastAsia="en-GB"/>
        </w:rPr>
        <w:t>3.2.3 Case Studies: Tesla and ExxonMobil</w:t>
      </w:r>
      <w:bookmarkEnd w:id="1661485757"/>
    </w:p>
    <w:p w:rsidRPr="003137A2" w:rsidR="003137A2" w:rsidP="003137A2" w:rsidRDefault="003137A2" w14:paraId="5F204D13" w14:textId="77777777">
      <w:pPr>
        <w:spacing w:before="240" w:after="240" w:line="240" w:lineRule="auto"/>
        <w:rPr>
          <w:rFonts w:eastAsia="Times New Roman" w:cs="Times New Roman"/>
          <w:kern w:val="0"/>
          <w:lang w:eastAsia="en-GB"/>
          <w14:ligatures w14:val="none"/>
        </w:rPr>
      </w:pPr>
      <w:r w:rsidRPr="003137A2">
        <w:rPr>
          <w:rFonts w:eastAsia="Times New Roman" w:cs="Arial"/>
          <w:color w:val="000000"/>
          <w:kern w:val="0"/>
          <w:lang w:eastAsia="en-GB"/>
          <w14:ligatures w14:val="none"/>
        </w:rPr>
        <w:t xml:space="preserve">To illustrate the quantitative logic, the study uses two frequently analysed </w:t>
      </w:r>
      <w:r w:rsidRPr="003137A2">
        <w:rPr>
          <w:rFonts w:ascii="Aptos" w:hAnsi="Aptos" w:eastAsia="Times New Roman" w:cs="Arial"/>
          <w:color w:val="000000"/>
          <w:kern w:val="0"/>
          <w:lang w:eastAsia="en-GB"/>
          <w14:ligatures w14:val="none"/>
        </w:rPr>
        <w:t>companies</w:t>
      </w:r>
      <w:r w:rsidRPr="003137A2">
        <w:rPr>
          <w:rFonts w:eastAsia="Times New Roman" w:cs="Arial"/>
          <w:color w:val="000000"/>
          <w:kern w:val="0"/>
          <w:lang w:eastAsia="en-GB"/>
          <w14:ligatures w14:val="none"/>
        </w:rPr>
        <w:t>:</w:t>
      </w:r>
    </w:p>
    <w:p w:rsidRPr="003137A2" w:rsidR="003137A2" w:rsidP="08626363" w:rsidRDefault="003137A2" w14:paraId="3173AF29" w14:textId="2AA06017">
      <w:pPr>
        <w:spacing w:before="240" w:beforeAutospacing="off" w:after="240" w:afterAutospacing="off" w:line="240" w:lineRule="auto"/>
        <w:rPr>
          <w:rFonts w:eastAsia="Times New Roman" w:cs="Arial"/>
          <w:color w:val="000000"/>
          <w:kern w:val="0"/>
          <w:lang w:eastAsia="en-GB"/>
          <w14:ligatures w14:val="none"/>
        </w:rPr>
      </w:pPr>
      <w:r w:rsidRPr="003137A2" w:rsidR="74131136">
        <w:rPr>
          <w:rFonts w:eastAsia="Times New Roman" w:cs="Arial"/>
          <w:color w:val="000000"/>
          <w:kern w:val="0"/>
          <w:lang w:eastAsia="en-GB"/>
          <w14:ligatures w14:val="none"/>
        </w:rPr>
        <w:t>• Tes</w:t>
      </w:r>
      <w:r w:rsidRPr="08626363" w:rsidR="74131136">
        <w:rPr>
          <w:rFonts w:eastAsia="Times New Roman" w:cs="Arial"/>
          <w:color w:val="auto"/>
          <w:kern w:val="0"/>
          <w:lang w:eastAsia="en-GB"/>
          <w14:ligatures w14:val="none"/>
        </w:rPr>
        <w:t xml:space="preserve">la: widely regarded as environmentally </w:t>
      </w:r>
      <w:r w:rsidRPr="08626363" w:rsidR="6FBFFE8F">
        <w:rPr>
          <w:rFonts w:eastAsia="Times New Roman" w:cs="Arial"/>
          <w:color w:val="auto"/>
          <w:kern w:val="0"/>
          <w:lang w:eastAsia="en-GB"/>
          <w14:ligatures w14:val="none"/>
        </w:rPr>
        <w:t xml:space="preserve">leading </w:t>
      </w:r>
      <w:r w:rsidRPr="08626363" w:rsidR="150B0484">
        <w:rPr>
          <w:rFonts w:ascii="Aptos" w:hAnsi="Aptos" w:eastAsia="Aptos" w:cs="Aptos"/>
          <w:noProof w:val="0"/>
          <w:color w:val="auto"/>
          <w:sz w:val="24"/>
          <w:szCs w:val="24"/>
          <w:lang w:val="en-GB"/>
        </w:rPr>
        <w:t>yet rated lower on governance and social criteria</w:t>
      </w:r>
      <w:r w:rsidRPr="08626363" w:rsidR="72B23BB2">
        <w:rPr>
          <w:rFonts w:ascii="Aptos" w:hAnsi="Aptos" w:eastAsia="Aptos" w:cs="Aptos"/>
          <w:noProof w:val="0"/>
          <w:color w:val="auto"/>
          <w:sz w:val="24"/>
          <w:szCs w:val="24"/>
          <w:lang w:val="en-GB"/>
        </w:rPr>
        <w:t xml:space="preserve"> in the automotive sector</w:t>
      </w:r>
      <w:r w:rsidRPr="08626363" w:rsidR="150B0484">
        <w:rPr>
          <w:rFonts w:eastAsia="Times New Roman" w:cs="Arial"/>
          <w:color w:val="000000" w:themeColor="text1" w:themeTint="FF" w:themeShade="FF"/>
          <w:lang w:eastAsia="en-GB"/>
        </w:rPr>
        <w:t xml:space="preserve"> </w:t>
      </w:r>
    </w:p>
    <w:p w:rsidRPr="003137A2" w:rsidR="003137A2" w:rsidP="003137A2" w:rsidRDefault="003137A2" w14:paraId="44DC9763" w14:textId="77777777">
      <w:pPr>
        <w:spacing w:before="240" w:after="240" w:line="240" w:lineRule="auto"/>
        <w:rPr>
          <w:rFonts w:eastAsia="Times New Roman" w:cs="Arial"/>
          <w:color w:val="000000"/>
          <w:kern w:val="0"/>
          <w:lang w:eastAsia="en-GB"/>
          <w14:ligatures w14:val="none"/>
        </w:rPr>
      </w:pPr>
      <w:r w:rsidRPr="003137A2">
        <w:rPr>
          <w:rFonts w:eastAsia="Times New Roman" w:cs="Arial"/>
          <w:color w:val="000000"/>
          <w:kern w:val="0"/>
          <w:lang w:eastAsia="en-GB"/>
          <w14:ligatures w14:val="none"/>
        </w:rPr>
        <w:t>• ExxonMobil: carbon</w:t>
      </w:r>
      <w:r w:rsidRPr="003137A2">
        <w:rPr>
          <w:rFonts w:ascii="Cambria Math" w:hAnsi="Cambria Math" w:eastAsia="Times New Roman" w:cs="Cambria Math"/>
          <w:color w:val="000000"/>
          <w:kern w:val="0"/>
          <w:lang w:eastAsia="en-GB"/>
          <w14:ligatures w14:val="none"/>
        </w:rPr>
        <w:t xml:space="preserve"> </w:t>
      </w:r>
      <w:r w:rsidRPr="003137A2">
        <w:rPr>
          <w:rFonts w:eastAsia="Times New Roman" w:cs="Arial"/>
          <w:color w:val="000000"/>
          <w:kern w:val="0"/>
          <w:lang w:eastAsia="en-GB"/>
          <w14:ligatures w14:val="none"/>
        </w:rPr>
        <w:t>intensive, operationally stable and well established in the Oil and Gas energy sector</w:t>
      </w:r>
    </w:p>
    <w:p w:rsidRPr="003137A2" w:rsidR="003137A2" w:rsidP="003137A2" w:rsidRDefault="003137A2" w14:paraId="5DA89298" w14:textId="1FD60647">
      <w:pPr>
        <w:spacing w:before="240" w:after="240" w:line="240" w:lineRule="auto"/>
        <w:rPr>
          <w:rFonts w:eastAsia="Times New Roman" w:cs="Times New Roman"/>
          <w:kern w:val="0"/>
          <w:lang w:eastAsia="en-GB"/>
          <w14:ligatures w14:val="none"/>
        </w:rPr>
      </w:pPr>
      <w:r w:rsidRPr="003137A2" w:rsidR="6D7FFB3E">
        <w:rPr>
          <w:rFonts w:eastAsia="Times New Roman" w:cs="Arial"/>
          <w:color w:val="000000"/>
          <w:kern w:val="0"/>
          <w:lang w:eastAsia="en-GB"/>
          <w14:ligatures w14:val="none"/>
        </w:rPr>
        <w:t xml:space="preserve">These cases highlight how ESG scores </w:t>
      </w:r>
      <w:r w:rsidRPr="003137A2" w:rsidR="4A9E9264">
        <w:rPr>
          <w:rFonts w:eastAsia="Times New Roman" w:cs="Arial"/>
          <w:color w:val="000000"/>
          <w:kern w:val="0"/>
          <w:lang w:eastAsia="en-GB"/>
          <w14:ligatures w14:val="none"/>
        </w:rPr>
        <w:t>interact</w:t>
      </w:r>
      <w:r w:rsidRPr="003137A2" w:rsidR="6D7FFB3E">
        <w:rPr>
          <w:rFonts w:eastAsia="Times New Roman" w:cs="Arial"/>
          <w:color w:val="000000"/>
          <w:kern w:val="0"/>
          <w:lang w:eastAsia="en-GB"/>
          <w14:ligatures w14:val="none"/>
        </w:rPr>
        <w:t xml:space="preserve"> with underlying sector influences, investor</w:t>
      </w:r>
      <w:r w:rsidRPr="003137A2" w:rsidR="6D7FFB3E">
        <w:rPr>
          <w:rFonts w:eastAsia="Times New Roman" w:cs="Arial"/>
          <w:color w:val="000000"/>
          <w:kern w:val="0"/>
          <w:lang w:eastAsia="en-GB"/>
          <w14:ligatures w14:val="none"/>
        </w:rPr>
        <w:t xml:space="preserve"> </w:t>
      </w:r>
      <w:r w:rsidRPr="003137A2" w:rsidR="6D7FFB3E">
        <w:rPr>
          <w:rFonts w:eastAsia="Times New Roman" w:cs="Arial"/>
          <w:color w:val="000000"/>
          <w:kern w:val="0"/>
          <w:lang w:eastAsia="en-GB"/>
          <w14:ligatures w14:val="none"/>
        </w:rPr>
        <w:t>interpretatio</w:t>
      </w:r>
      <w:r w:rsidRPr="003137A2" w:rsidR="6D7FFB3E">
        <w:rPr>
          <w:rFonts w:eastAsia="Times New Roman" w:cs="Arial"/>
          <w:color w:val="000000"/>
          <w:kern w:val="0"/>
          <w:lang w:eastAsia="en-GB"/>
          <w14:ligatures w14:val="none"/>
        </w:rPr>
        <w:t>n</w:t>
      </w:r>
      <w:r w:rsidRPr="003137A2" w:rsidR="6D7FFB3E">
        <w:rPr>
          <w:rFonts w:eastAsia="Times New Roman" w:cs="Arial"/>
          <w:color w:val="000000"/>
          <w:kern w:val="0"/>
          <w:lang w:eastAsia="en-GB"/>
          <w14:ligatures w14:val="none"/>
        </w:rPr>
        <w:t xml:space="preserve"> and</w:t>
      </w:r>
      <w:r w:rsidRPr="003137A2" w:rsidR="6D7FFB3E">
        <w:rPr>
          <w:rFonts w:eastAsia="Times New Roman" w:cs="Arial"/>
          <w:color w:val="000000"/>
          <w:kern w:val="0"/>
          <w:lang w:eastAsia="en-GB"/>
          <w14:ligatures w14:val="none"/>
        </w:rPr>
        <w:t xml:space="preserve"> market interpretations.</w:t>
      </w:r>
    </w:p>
    <w:p w:rsidRPr="003137A2" w:rsidR="003137A2" w:rsidP="003137A2" w:rsidRDefault="003137A2" w14:paraId="270CC50F" w14:textId="77777777">
      <w:pPr>
        <w:spacing w:before="240" w:after="240" w:line="240" w:lineRule="auto"/>
        <w:rPr>
          <w:rFonts w:eastAsia="Times New Roman" w:cs="Times New Roman"/>
          <w:kern w:val="0"/>
          <w:lang w:eastAsia="en-GB"/>
          <w14:ligatures w14:val="none"/>
        </w:rPr>
      </w:pPr>
      <w:r w:rsidRPr="003137A2">
        <w:rPr>
          <w:rFonts w:eastAsia="Times New Roman" w:cs="Arial"/>
          <w:color w:val="000000"/>
          <w:kern w:val="0"/>
          <w:lang w:eastAsia="en-GB"/>
          <w14:ligatures w14:val="none"/>
        </w:rPr>
        <w:t>The cases are not intended to generalise across all businesses but to show how ESG scoring interacts with financial outcomes in practice.</w:t>
      </w:r>
    </w:p>
    <w:p w:rsidRPr="003137A2" w:rsidR="003137A2" w:rsidP="257BFE88" w:rsidRDefault="003137A2" w14:paraId="2FF0A33F" w14:textId="77777777">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1843157620" w:id="1510022178"/>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3.3 Qualitative Component</w:t>
      </w:r>
      <w:bookmarkEnd w:id="1510022178"/>
    </w:p>
    <w:p w:rsidRPr="003137A2" w:rsidR="003137A2" w:rsidP="08626363" w:rsidRDefault="003137A2" w14:paraId="607170EB" w14:textId="52E661E4">
      <w:pPr>
        <w:spacing w:before="240" w:beforeAutospacing="off" w:after="240" w:afterAutospacing="off" w:line="240" w:lineRule="auto"/>
        <w:rPr>
          <w:rFonts w:ascii="Aptos" w:hAnsi="Aptos" w:eastAsia="Aptos" w:cs="Aptos"/>
          <w:noProof w:val="0"/>
          <w:color w:val="auto"/>
          <w:kern w:val="0"/>
          <w:sz w:val="24"/>
          <w:szCs w:val="24"/>
          <w:lang w:val="en-GB"/>
          <w14:ligatures w14:val="none"/>
        </w:rPr>
      </w:pPr>
      <w:r w:rsidRPr="003137A2" w:rsidR="74131136">
        <w:rPr>
          <w:rFonts w:eastAsia="Times New Roman" w:cs="Arial"/>
          <w:color w:val="000000"/>
          <w:kern w:val="0"/>
          <w:lang w:eastAsia="en-GB"/>
          <w14:ligatures w14:val="none"/>
        </w:rPr>
        <w:t xml:space="preserve">The qualitative </w:t>
      </w:r>
      <w:r w:rsidRPr="003137A2" w:rsidR="74131136">
        <w:rPr>
          <w:rFonts w:eastAsia="Times New Roman" w:cs="Arial"/>
          <w:color w:val="000000"/>
          <w:kern w:val="0"/>
          <w:lang w:eastAsia="en-GB"/>
          <w14:ligatures w14:val="none"/>
        </w:rPr>
        <w:t>component</w:t>
      </w:r>
      <w:r w:rsidRPr="003137A2" w:rsidR="74131136">
        <w:rPr>
          <w:rFonts w:eastAsia="Times New Roman" w:cs="Arial"/>
          <w:color w:val="000000"/>
          <w:kern w:val="0"/>
          <w:lang w:eastAsia="en-GB"/>
          <w14:ligatures w14:val="none"/>
        </w:rPr>
        <w:t xml:space="preserve"> uses documentary analysis and focused case study </w:t>
      </w:r>
      <w:r w:rsidRPr="257BFE88" w:rsidR="74131136">
        <w:rPr>
          <w:rFonts w:eastAsia="Times New Roman" w:cs="Arial"/>
          <w:color w:val="auto"/>
          <w:kern w:val="0"/>
          <w:lang w:eastAsia="en-GB"/>
          <w14:ligatures w14:val="none"/>
        </w:rPr>
        <w:t xml:space="preserve">methods to examine how ESG scoring is described</w:t>
      </w:r>
      <w:r w:rsidRPr="257BFE88" w:rsidR="2A9F7332">
        <w:rPr>
          <w:rFonts w:ascii="Aptos" w:hAnsi="Aptos" w:eastAsia="Aptos" w:cs="Aptos"/>
          <w:noProof w:val="0"/>
          <w:color w:val="auto" w:themeColor="text1" w:themeTint="FF" w:themeShade="FF"/>
          <w:sz w:val="24"/>
          <w:szCs w:val="24"/>
          <w:lang w:val="en-GB"/>
        </w:rPr>
        <w:t xml:space="preserve">, </w:t>
      </w:r>
      <w:r w:rsidRPr="257BFE88" w:rsidR="2A9F7332">
        <w:rPr>
          <w:rFonts w:ascii="Aptos" w:hAnsi="Aptos" w:eastAsia="Aptos" w:cs="Aptos"/>
          <w:noProof w:val="0"/>
          <w:color w:val="auto"/>
          <w:sz w:val="24"/>
          <w:szCs w:val="24"/>
          <w:lang w:val="en-GB"/>
        </w:rPr>
        <w:t>j</w:t>
      </w:r>
      <w:r w:rsidRPr="08626363" w:rsidR="2A9F7332">
        <w:rPr>
          <w:rFonts w:ascii="Aptos" w:hAnsi="Aptos" w:eastAsia="Aptos" w:cs="Aptos"/>
          <w:noProof w:val="0"/>
          <w:color w:val="auto"/>
          <w:sz w:val="24"/>
          <w:szCs w:val="24"/>
          <w:lang w:val="en-GB"/>
        </w:rPr>
        <w:t>ustified</w:t>
      </w:r>
      <w:r w:rsidRPr="08626363" w:rsidR="2A9F7332">
        <w:rPr>
          <w:rFonts w:ascii="Aptos" w:hAnsi="Aptos" w:eastAsia="Aptos" w:cs="Aptos"/>
          <w:noProof w:val="0"/>
          <w:color w:val="auto"/>
          <w:sz w:val="24"/>
          <w:szCs w:val="24"/>
          <w:lang w:val="en-GB"/>
        </w:rPr>
        <w:t xml:space="preserve"> and applied by BlackRock and other participants in the market</w:t>
      </w:r>
      <w:r w:rsidRPr="08626363" w:rsidR="2A9F7332">
        <w:rPr>
          <w:rFonts w:ascii="Aptos" w:hAnsi="Aptos" w:eastAsia="Aptos" w:cs="Aptos"/>
          <w:noProof w:val="0"/>
          <w:color w:val="auto"/>
          <w:sz w:val="24"/>
          <w:szCs w:val="24"/>
          <w:lang w:val="en-GB"/>
        </w:rPr>
        <w:t>. The</w:t>
      </w:r>
      <w:r w:rsidRPr="08626363" w:rsidR="2A9F7332">
        <w:rPr>
          <w:rFonts w:ascii="Aptos" w:hAnsi="Aptos" w:eastAsia="Aptos" w:cs="Aptos"/>
          <w:noProof w:val="0"/>
          <w:color w:val="auto"/>
          <w:sz w:val="24"/>
          <w:szCs w:val="24"/>
          <w:lang w:val="en-GB"/>
        </w:rPr>
        <w:t xml:space="preserve"> approach to secondary data analysis was</w:t>
      </w:r>
      <w:r w:rsidRPr="257BFE88" w:rsidR="2A9F7332">
        <w:rPr>
          <w:rFonts w:ascii="Aptos" w:hAnsi="Aptos" w:eastAsia="Aptos" w:cs="Aptos"/>
          <w:noProof w:val="0"/>
          <w:color w:val="auto"/>
          <w:sz w:val="24"/>
          <w:szCs w:val="24"/>
          <w:lang w:val="en-GB"/>
        </w:rPr>
        <w:t xml:space="preserve"> </w:t>
      </w:r>
      <w:r w:rsidRPr="257BFE88" w:rsidR="2A9F7332">
        <w:rPr>
          <w:rFonts w:ascii="Aptos" w:hAnsi="Aptos" w:eastAsia="Aptos" w:cs="Aptos"/>
          <w:noProof w:val="0"/>
          <w:color w:val="auto"/>
          <w:sz w:val="24"/>
          <w:szCs w:val="24"/>
          <w:lang w:val="en-GB"/>
        </w:rPr>
        <w:t xml:space="preserve">informed by </w:t>
      </w:r>
      <w:r w:rsidRPr="257BFE88" w:rsidR="5CAE3443">
        <w:rPr>
          <w:rFonts w:ascii="Aptos" w:hAnsi="Aptos" w:eastAsia="Aptos" w:cs="Aptos"/>
          <w:noProof w:val="0"/>
          <w:color w:val="auto"/>
          <w:sz w:val="24"/>
          <w:szCs w:val="24"/>
          <w:lang w:val="en-GB"/>
        </w:rPr>
        <w:t>(</w:t>
      </w:r>
      <w:r w:rsidRPr="257BFE88" w:rsidR="2A9F7332">
        <w:rPr>
          <w:rFonts w:ascii="Aptos" w:hAnsi="Aptos" w:eastAsia="Aptos" w:cs="Aptos"/>
          <w:noProof w:val="0"/>
          <w:color w:val="auto"/>
          <w:sz w:val="24"/>
          <w:szCs w:val="24"/>
          <w:lang w:val="en-GB"/>
        </w:rPr>
        <w:t>Flick’s</w:t>
      </w:r>
      <w:r w:rsidRPr="257BFE88" w:rsidR="2BFC37DC">
        <w:rPr>
          <w:rFonts w:ascii="Aptos" w:hAnsi="Aptos" w:eastAsia="Aptos" w:cs="Aptos"/>
          <w:noProof w:val="0"/>
          <w:color w:val="auto"/>
          <w:sz w:val="24"/>
          <w:szCs w:val="24"/>
          <w:lang w:val="en-GB"/>
        </w:rPr>
        <w:t xml:space="preserve">, </w:t>
      </w:r>
      <w:r w:rsidRPr="257BFE88" w:rsidR="2A9F7332">
        <w:rPr>
          <w:rFonts w:ascii="Aptos" w:hAnsi="Aptos" w:eastAsia="Aptos" w:cs="Aptos"/>
          <w:noProof w:val="0"/>
          <w:color w:val="auto"/>
          <w:sz w:val="24"/>
          <w:szCs w:val="24"/>
          <w:lang w:val="en-GB"/>
        </w:rPr>
        <w:t>2014) guidance</w:t>
      </w:r>
      <w:r w:rsidRPr="257BFE88" w:rsidR="2A9F7332">
        <w:rPr>
          <w:rFonts w:ascii="Aptos" w:hAnsi="Aptos" w:eastAsia="Aptos" w:cs="Aptos"/>
          <w:noProof w:val="0"/>
          <w:color w:val="auto"/>
          <w:sz w:val="24"/>
          <w:szCs w:val="24"/>
          <w:lang w:val="en-GB"/>
        </w:rPr>
        <w:t xml:space="preserve"> </w:t>
      </w:r>
      <w:r w:rsidRPr="08626363" w:rsidR="2A9F7332">
        <w:rPr>
          <w:rFonts w:ascii="Aptos" w:hAnsi="Aptos" w:eastAsia="Aptos" w:cs="Aptos"/>
          <w:noProof w:val="0"/>
          <w:color w:val="auto"/>
          <w:sz w:val="24"/>
          <w:szCs w:val="24"/>
          <w:lang w:val="en-GB"/>
        </w:rPr>
        <w:t>o</w:t>
      </w:r>
      <w:r w:rsidRPr="08626363" w:rsidR="2A9F7332">
        <w:rPr>
          <w:rFonts w:ascii="Aptos" w:hAnsi="Aptos" w:eastAsia="Aptos" w:cs="Aptos"/>
          <w:noProof w:val="0"/>
          <w:color w:val="auto"/>
          <w:sz w:val="24"/>
          <w:szCs w:val="24"/>
          <w:lang w:val="en-GB"/>
        </w:rPr>
        <w:t>n qualitative research design and documentary analysis.</w:t>
      </w:r>
    </w:p>
    <w:p w:rsidRPr="003137A2" w:rsidR="003137A2" w:rsidP="257BFE88" w:rsidRDefault="003137A2" w14:paraId="28DE0141" w14:textId="77777777">
      <w:pPr>
        <w:keepNext w:val="1"/>
        <w:keepLines w:val="1"/>
        <w:spacing w:before="160" w:after="80"/>
        <w:outlineLvl w:val="2"/>
        <w:rPr>
          <w:rFonts w:eastAsia="" w:cs="" w:eastAsiaTheme="majorEastAsia" w:cstheme="majorBidi"/>
          <w:color w:val="0F4761" w:themeColor="accent1" w:themeShade="BF"/>
          <w:kern w:val="0"/>
          <w:sz w:val="28"/>
          <w:szCs w:val="28"/>
          <w14:ligatures w14:val="none"/>
        </w:rPr>
      </w:pPr>
      <w:bookmarkStart w:name="_Toc418262879" w:id="179866777"/>
      <w:r w:rsidRPr="257BFE88" w:rsidR="6D7FFB3E">
        <w:rPr>
          <w:rFonts w:eastAsia="" w:cs="" w:eastAsiaTheme="majorEastAsia" w:cstheme="majorBidi"/>
          <w:color w:val="0F4761" w:themeColor="accent1" w:themeTint="FF" w:themeShade="BF"/>
          <w:sz w:val="28"/>
          <w:szCs w:val="28"/>
        </w:rPr>
        <w:t>3.3.1 Data Sources</w:t>
      </w:r>
      <w:bookmarkEnd w:id="179866777"/>
      <w:r w:rsidRPr="257BFE88" w:rsidR="6D7FFB3E">
        <w:rPr>
          <w:rFonts w:eastAsia="" w:cs="" w:eastAsiaTheme="majorEastAsia" w:cstheme="majorBidi"/>
          <w:color w:val="0F4761" w:themeColor="accent1" w:themeTint="FF" w:themeShade="BF"/>
          <w:sz w:val="28"/>
          <w:szCs w:val="28"/>
        </w:rPr>
        <w:t xml:space="preserve"> </w:t>
      </w:r>
    </w:p>
    <w:p w:rsidRPr="003137A2" w:rsidR="003137A2" w:rsidP="003137A2" w:rsidRDefault="003137A2" w14:paraId="67E2EBFC" w14:textId="77777777">
      <w:pPr>
        <w:spacing w:line="240" w:lineRule="auto"/>
      </w:pPr>
      <w:r w:rsidRPr="003137A2">
        <w:rPr>
          <w:rFonts w:cs="Arial"/>
          <w:color w:val="000000"/>
        </w:rPr>
        <w:t>The qualitative analysis draws on:</w:t>
      </w:r>
    </w:p>
    <w:p w:rsidRPr="003137A2" w:rsidR="003137A2" w:rsidP="003137A2" w:rsidRDefault="003137A2" w14:paraId="0784066E" w14:textId="63DA1FAE">
      <w:pPr>
        <w:spacing w:line="240" w:lineRule="auto"/>
      </w:pPr>
      <w:r w:rsidRPr="257BFE88" w:rsidR="6D7FFB3E">
        <w:rPr>
          <w:rFonts w:cs="Arial"/>
          <w:color w:val="000000" w:themeColor="text1" w:themeTint="FF" w:themeShade="FF"/>
        </w:rPr>
        <w:t>• BlackRock’s iShares product materials</w:t>
      </w:r>
      <w:r w:rsidRPr="257BFE88" w:rsidR="2CFD2E5E">
        <w:rPr>
          <w:rFonts w:cs="Arial"/>
          <w:color w:val="000000" w:themeColor="text1" w:themeTint="FF" w:themeShade="FF"/>
        </w:rPr>
        <w:t xml:space="preserve"> (BlackRock, 2025)</w:t>
      </w:r>
      <w:r w:rsidRPr="257BFE88" w:rsidR="6D7FFB3E">
        <w:rPr>
          <w:rFonts w:cs="Arial"/>
          <w:color w:val="000000" w:themeColor="text1" w:themeTint="FF" w:themeShade="FF"/>
        </w:rPr>
        <w:t>.</w:t>
      </w:r>
    </w:p>
    <w:p w:rsidRPr="003137A2" w:rsidR="003137A2" w:rsidP="257BFE88" w:rsidRDefault="003137A2" w14:paraId="6EF7624E" w14:textId="0E683639">
      <w:pPr>
        <w:pStyle w:val="Normal"/>
        <w:spacing w:line="240" w:lineRule="auto"/>
      </w:pPr>
      <w:r w:rsidRPr="257BFE88" w:rsidR="6D7FFB3E">
        <w:rPr>
          <w:rFonts w:cs="Arial"/>
          <w:color w:val="000000" w:themeColor="text1" w:themeTint="FF" w:themeShade="FF"/>
        </w:rPr>
        <w:t>• Sustainable investing guidelines</w:t>
      </w:r>
      <w:r w:rsidRPr="257BFE88" w:rsidR="11FBB798">
        <w:rPr>
          <w:rFonts w:ascii="Aptos" w:hAnsi="Aptos" w:eastAsia="Aptos" w:cs="Aptos"/>
          <w:noProof w:val="0"/>
          <w:color w:val="000000" w:themeColor="text1" w:themeTint="FF" w:themeShade="FF"/>
          <w:sz w:val="24"/>
          <w:szCs w:val="24"/>
          <w:lang w:val="en-GB"/>
        </w:rPr>
        <w:t xml:space="preserve"> (BlackRock, 2025)</w:t>
      </w:r>
      <w:r w:rsidRPr="257BFE88" w:rsidR="6D7FFB3E">
        <w:rPr>
          <w:rFonts w:cs="Arial"/>
          <w:color w:val="000000" w:themeColor="text1" w:themeTint="FF" w:themeShade="FF"/>
        </w:rPr>
        <w:t>.</w:t>
      </w:r>
    </w:p>
    <w:p w:rsidRPr="003137A2" w:rsidR="003137A2" w:rsidP="257BFE88" w:rsidRDefault="003137A2" w14:paraId="23833AF5" w14:textId="3174C563">
      <w:pPr>
        <w:pStyle w:val="Normal"/>
        <w:spacing w:line="240" w:lineRule="auto"/>
        <w:rPr>
          <w:rFonts w:cs="Arial"/>
          <w:color w:val="000000" w:themeColor="text1" w:themeTint="FF" w:themeShade="FF"/>
        </w:rPr>
      </w:pPr>
      <w:r w:rsidRPr="257BFE88" w:rsidR="6D7FFB3E">
        <w:rPr>
          <w:rFonts w:cs="Arial"/>
          <w:color w:val="000000" w:themeColor="text1" w:themeTint="FF" w:themeShade="FF"/>
        </w:rPr>
        <w:t>• BlackRock responsible investment practices (BIS) reports</w:t>
      </w:r>
      <w:r w:rsidRPr="257BFE88" w:rsidR="453406D9">
        <w:rPr>
          <w:rFonts w:cs="Arial"/>
          <w:color w:val="000000" w:themeColor="text1" w:themeTint="FF" w:themeShade="FF"/>
        </w:rPr>
        <w:t xml:space="preserve"> </w:t>
      </w:r>
      <w:r w:rsidRPr="257BFE88" w:rsidR="453406D9">
        <w:rPr>
          <w:rFonts w:ascii="Aptos" w:hAnsi="Aptos" w:eastAsia="Aptos" w:cs="Aptos"/>
          <w:noProof w:val="0"/>
          <w:color w:val="000000" w:themeColor="text1" w:themeTint="FF" w:themeShade="FF"/>
          <w:sz w:val="24"/>
          <w:szCs w:val="24"/>
          <w:lang w:val="en-GB"/>
        </w:rPr>
        <w:t>(BlackRock, 2025)</w:t>
      </w:r>
      <w:r w:rsidRPr="257BFE88" w:rsidR="6D7FFB3E">
        <w:rPr>
          <w:rFonts w:cs="Arial"/>
          <w:color w:val="000000" w:themeColor="text1" w:themeTint="FF" w:themeShade="FF"/>
        </w:rPr>
        <w:t>.</w:t>
      </w:r>
    </w:p>
    <w:p w:rsidRPr="003137A2" w:rsidR="003137A2" w:rsidP="257BFE88" w:rsidRDefault="003137A2" w14:paraId="7C797CC7" w14:textId="66EBFDA5">
      <w:pPr>
        <w:pStyle w:val="Normal"/>
        <w:spacing w:line="240" w:lineRule="auto"/>
        <w:rPr>
          <w:rFonts w:cs="Arial"/>
          <w:color w:val="000000" w:themeColor="text1" w:themeTint="FF" w:themeShade="FF"/>
        </w:rPr>
      </w:pPr>
      <w:r w:rsidRPr="257BFE88" w:rsidR="6D7FFB3E">
        <w:rPr>
          <w:rFonts w:cs="Arial"/>
          <w:color w:val="000000" w:themeColor="text1" w:themeTint="FF" w:themeShade="FF"/>
        </w:rPr>
        <w:t>• Fink CEO letters (2018–2025)</w:t>
      </w:r>
      <w:r w:rsidRPr="257BFE88" w:rsidR="434121E2">
        <w:rPr>
          <w:rFonts w:cs="Arial"/>
          <w:color w:val="000000" w:themeColor="text1" w:themeTint="FF" w:themeShade="FF"/>
        </w:rPr>
        <w:t xml:space="preserve"> </w:t>
      </w:r>
      <w:r w:rsidRPr="257BFE88" w:rsidR="434121E2">
        <w:rPr>
          <w:rFonts w:ascii="Aptos" w:hAnsi="Aptos" w:eastAsia="Aptos" w:cs="Aptos"/>
          <w:noProof w:val="0"/>
          <w:color w:val="000000" w:themeColor="text1" w:themeTint="FF" w:themeShade="FF"/>
          <w:sz w:val="24"/>
          <w:szCs w:val="24"/>
          <w:lang w:val="en-GB"/>
        </w:rPr>
        <w:t>(BlackRock, 2025)</w:t>
      </w:r>
      <w:r w:rsidRPr="257BFE88" w:rsidR="6D7FFB3E">
        <w:rPr>
          <w:rFonts w:cs="Arial"/>
          <w:color w:val="000000" w:themeColor="text1" w:themeTint="FF" w:themeShade="FF"/>
        </w:rPr>
        <w:t>.</w:t>
      </w:r>
    </w:p>
    <w:p w:rsidRPr="003137A2" w:rsidR="003137A2" w:rsidP="257BFE88" w:rsidRDefault="003137A2" w14:paraId="5BB4CBD6" w14:textId="4B63C55F">
      <w:pPr>
        <w:pStyle w:val="Normal"/>
        <w:spacing w:line="240" w:lineRule="auto"/>
        <w:rPr>
          <w:rFonts w:cs="Arial"/>
          <w:color w:val="000000" w:themeColor="text1" w:themeTint="FF" w:themeShade="FF"/>
        </w:rPr>
      </w:pPr>
      <w:r w:rsidRPr="257BFE88" w:rsidR="6D7FFB3E">
        <w:rPr>
          <w:rFonts w:cs="Arial"/>
          <w:color w:val="000000" w:themeColor="text1" w:themeTint="FF" w:themeShade="FF"/>
        </w:rPr>
        <w:t>• Corporate sustainability disclosures from Tesla and ExxonMobi</w:t>
      </w:r>
      <w:r w:rsidRPr="257BFE88" w:rsidR="6D7FFB3E">
        <w:rPr>
          <w:rFonts w:cs="Arial"/>
          <w:b w:val="0"/>
          <w:bCs w:val="0"/>
          <w:color w:val="000000" w:themeColor="text1" w:themeTint="FF" w:themeShade="FF"/>
        </w:rPr>
        <w:t>l</w:t>
      </w:r>
      <w:r w:rsidRPr="257BFE88" w:rsidR="3395A0B8">
        <w:rPr>
          <w:rFonts w:cs="Arial"/>
          <w:b w:val="0"/>
          <w:bCs w:val="0"/>
          <w:color w:val="000000" w:themeColor="text1" w:themeTint="FF" w:themeShade="FF"/>
        </w:rPr>
        <w:t xml:space="preserve"> </w:t>
      </w:r>
      <w:r w:rsidRPr="257BFE88" w:rsidR="3395A0B8">
        <w:rPr>
          <w:rFonts w:ascii="Aptos" w:hAnsi="Aptos" w:eastAsia="Aptos" w:cs="Aptos"/>
          <w:b w:val="0"/>
          <w:bCs w:val="0"/>
          <w:noProof w:val="0"/>
          <w:color w:val="000000" w:themeColor="text1" w:themeTint="FF" w:themeShade="FF"/>
          <w:sz w:val="24"/>
          <w:szCs w:val="24"/>
          <w:lang w:val="en-GB"/>
        </w:rPr>
        <w:t>(Tesla, 2025; ExxonMobil, 2025)</w:t>
      </w:r>
      <w:r w:rsidRPr="257BFE88" w:rsidR="6D7FFB3E">
        <w:rPr>
          <w:rFonts w:cs="Arial"/>
          <w:b w:val="0"/>
          <w:bCs w:val="0"/>
          <w:color w:val="000000" w:themeColor="text1" w:themeTint="FF" w:themeShade="FF"/>
        </w:rPr>
        <w:t>.</w:t>
      </w:r>
    </w:p>
    <w:p w:rsidRPr="003137A2" w:rsidR="003137A2" w:rsidP="257BFE88" w:rsidRDefault="003137A2" w14:paraId="41FCC029" w14:textId="47B5DCDC">
      <w:pPr>
        <w:pStyle w:val="Normal"/>
        <w:spacing w:line="240" w:lineRule="auto"/>
      </w:pPr>
      <w:r w:rsidRPr="257BFE88" w:rsidR="6D7FFB3E">
        <w:rPr>
          <w:rFonts w:cs="Arial"/>
          <w:color w:val="000000" w:themeColor="text1" w:themeTint="FF" w:themeShade="FF"/>
        </w:rPr>
        <w:t>• Industry analysis and policy documents</w:t>
      </w:r>
      <w:r w:rsidRPr="257BFE88" w:rsidR="54A59FA4">
        <w:rPr>
          <w:rFonts w:cs="Arial"/>
          <w:color w:val="000000" w:themeColor="text1" w:themeTint="FF" w:themeShade="FF"/>
        </w:rPr>
        <w:t xml:space="preserve"> </w:t>
      </w:r>
      <w:r w:rsidRPr="257BFE88" w:rsidR="54A59FA4">
        <w:rPr>
          <w:rFonts w:ascii="Aptos" w:hAnsi="Aptos" w:eastAsia="Aptos" w:cs="Aptos"/>
          <w:noProof w:val="0"/>
          <w:color w:val="000000" w:themeColor="text1" w:themeTint="FF" w:themeShade="FF"/>
          <w:sz w:val="24"/>
          <w:szCs w:val="24"/>
          <w:lang w:val="en-GB"/>
        </w:rPr>
        <w:t>GSIA, 2025; Morningstar Sustainalytics, 2026)</w:t>
      </w:r>
      <w:r w:rsidRPr="257BFE88" w:rsidR="6D7FFB3E">
        <w:rPr>
          <w:rFonts w:cs="Arial"/>
          <w:color w:val="000000" w:themeColor="text1" w:themeTint="FF" w:themeShade="FF"/>
        </w:rPr>
        <w:t>.</w:t>
      </w:r>
    </w:p>
    <w:p w:rsidRPr="003137A2" w:rsidR="003137A2" w:rsidP="257BFE88" w:rsidRDefault="003137A2" w14:paraId="1864C28F" w14:textId="38CE8DB1">
      <w:pPr>
        <w:pStyle w:val="Normal"/>
        <w:spacing w:line="240" w:lineRule="auto"/>
        <w:rPr>
          <w:rFonts w:cs="Arial"/>
          <w:b w:val="0"/>
          <w:bCs w:val="0"/>
          <w:color w:val="000000" w:themeColor="text1" w:themeTint="FF" w:themeShade="FF"/>
        </w:rPr>
      </w:pPr>
      <w:r w:rsidRPr="257BFE88" w:rsidR="6D7FFB3E">
        <w:rPr>
          <w:rFonts w:cs="Arial"/>
          <w:color w:val="000000" w:themeColor="text1" w:themeTint="FF" w:themeShade="FF"/>
        </w:rPr>
        <w:t>• Market level indicators such as ETF flows</w:t>
      </w:r>
      <w:r w:rsidRPr="257BFE88" w:rsidR="3C5226DB">
        <w:rPr>
          <w:rFonts w:cs="Arial"/>
          <w:color w:val="000000" w:themeColor="text1" w:themeTint="FF" w:themeShade="FF"/>
        </w:rPr>
        <w:t xml:space="preserve"> </w:t>
      </w:r>
      <w:r w:rsidRPr="257BFE88" w:rsidR="3C5226DB">
        <w:rPr>
          <w:rFonts w:ascii="Aptos" w:hAnsi="Aptos" w:eastAsia="Aptos" w:cs="Aptos"/>
          <w:b w:val="0"/>
          <w:bCs w:val="0"/>
          <w:noProof w:val="0"/>
          <w:color w:val="000000" w:themeColor="text1" w:themeTint="FF" w:themeShade="FF"/>
          <w:sz w:val="24"/>
          <w:szCs w:val="24"/>
          <w:lang w:val="en-GB"/>
        </w:rPr>
        <w:t>(Morningstar Sustainalytics, 2026</w:t>
      </w:r>
      <w:r w:rsidRPr="257BFE88" w:rsidR="3C5226DB">
        <w:rPr>
          <w:rFonts w:ascii="Aptos" w:hAnsi="Aptos" w:eastAsia="Aptos" w:cs="Aptos"/>
          <w:b w:val="0"/>
          <w:bCs w:val="0"/>
          <w:noProof w:val="0"/>
          <w:color w:val="000000" w:themeColor="text1" w:themeTint="FF" w:themeShade="FF"/>
          <w:sz w:val="24"/>
          <w:szCs w:val="24"/>
          <w:lang w:val="en-GB"/>
        </w:rPr>
        <w:t>)</w:t>
      </w:r>
      <w:r w:rsidRPr="257BFE88" w:rsidR="6D7FFB3E">
        <w:rPr>
          <w:rFonts w:cs="Arial"/>
          <w:b w:val="0"/>
          <w:bCs w:val="0"/>
          <w:color w:val="000000" w:themeColor="text1" w:themeTint="FF" w:themeShade="FF"/>
        </w:rPr>
        <w:t>.</w:t>
      </w:r>
    </w:p>
    <w:p w:rsidRPr="003137A2" w:rsidR="003137A2" w:rsidP="003137A2" w:rsidRDefault="003137A2" w14:paraId="6C889D5F" w14:textId="76B3B1AD">
      <w:pPr>
        <w:spacing w:line="240" w:lineRule="auto"/>
      </w:pPr>
      <w:r w:rsidRPr="08626363" w:rsidR="688CEB16">
        <w:rPr>
          <w:rFonts w:cs="Arial"/>
          <w:color w:val="000000" w:themeColor="text1" w:themeTint="FF" w:themeShade="FF"/>
        </w:rPr>
        <w:t xml:space="preserve">These sources provide </w:t>
      </w:r>
      <w:r w:rsidRPr="08626363" w:rsidR="20C4F01B">
        <w:rPr>
          <w:rFonts w:cs="Arial"/>
          <w:color w:val="000000" w:themeColor="text1" w:themeTint="FF" w:themeShade="FF"/>
        </w:rPr>
        <w:t xml:space="preserve">evidence of </w:t>
      </w:r>
      <w:r w:rsidRPr="08626363" w:rsidR="688CEB16">
        <w:rPr>
          <w:rFonts w:cs="Arial"/>
          <w:color w:val="000000" w:themeColor="text1" w:themeTint="FF" w:themeShade="FF"/>
        </w:rPr>
        <w:t>how ESG scores are integrated within organisational communication and investment practice.</w:t>
      </w:r>
    </w:p>
    <w:p w:rsidRPr="003137A2" w:rsidR="003137A2" w:rsidP="257BFE88" w:rsidRDefault="003137A2" w14:paraId="500A32E8" w14:textId="77777777">
      <w:pPr>
        <w:keepNext w:val="1"/>
        <w:keepLines w:val="1"/>
        <w:spacing w:before="160" w:after="80"/>
        <w:outlineLvl w:val="2"/>
        <w:rPr>
          <w:rFonts w:eastAsia="" w:cs="" w:eastAsiaTheme="majorEastAsia" w:cstheme="majorBidi"/>
          <w:color w:val="0F4761" w:themeColor="accent1" w:themeShade="BF"/>
          <w:sz w:val="28"/>
          <w:szCs w:val="28"/>
        </w:rPr>
      </w:pPr>
      <w:bookmarkStart w:name="_Toc331523277" w:id="1156131159"/>
      <w:r w:rsidRPr="257BFE88" w:rsidR="6D7FFB3E">
        <w:rPr>
          <w:rFonts w:eastAsia="" w:cs="" w:eastAsiaTheme="majorEastAsia" w:cstheme="majorBidi"/>
          <w:color w:val="0F4761" w:themeColor="accent1" w:themeTint="FF" w:themeShade="BF"/>
          <w:sz w:val="28"/>
          <w:szCs w:val="28"/>
        </w:rPr>
        <w:t>3.3.2 Analytical Approach</w:t>
      </w:r>
      <w:bookmarkEnd w:id="1156131159"/>
      <w:r w:rsidRPr="257BFE88" w:rsidR="6D7FFB3E">
        <w:rPr>
          <w:rFonts w:eastAsia="" w:cs="" w:eastAsiaTheme="majorEastAsia" w:cstheme="majorBidi"/>
          <w:color w:val="0F4761" w:themeColor="accent1" w:themeTint="FF" w:themeShade="BF"/>
          <w:sz w:val="28"/>
          <w:szCs w:val="28"/>
        </w:rPr>
        <w:t xml:space="preserve"> </w:t>
      </w:r>
    </w:p>
    <w:p w:rsidRPr="003137A2" w:rsidR="003137A2" w:rsidP="003137A2" w:rsidRDefault="003137A2" w14:paraId="324FCF9D" w14:textId="395C1B4C">
      <w:pPr>
        <w:spacing w:line="240" w:lineRule="auto"/>
      </w:pPr>
      <w:r w:rsidRPr="08626363" w:rsidR="688CEB16">
        <w:rPr>
          <w:rFonts w:cs="Arial"/>
          <w:color w:val="000000" w:themeColor="text1" w:themeTint="FF" w:themeShade="FF"/>
        </w:rPr>
        <w:t xml:space="preserve">The documentary evidence is analysed using </w:t>
      </w:r>
      <w:r w:rsidRPr="08626363" w:rsidR="22EEE28E">
        <w:rPr>
          <w:rFonts w:cs="Arial"/>
          <w:color w:val="000000" w:themeColor="text1" w:themeTint="FF" w:themeShade="FF"/>
        </w:rPr>
        <w:t xml:space="preserve">key </w:t>
      </w:r>
      <w:r w:rsidRPr="08626363" w:rsidR="688CEB16">
        <w:rPr>
          <w:rFonts w:cs="Arial"/>
          <w:color w:val="000000" w:themeColor="text1" w:themeTint="FF" w:themeShade="FF"/>
        </w:rPr>
        <w:t>themes including:</w:t>
      </w:r>
    </w:p>
    <w:p w:rsidRPr="003137A2" w:rsidR="003137A2" w:rsidP="257BFE88" w:rsidRDefault="003137A2" w14:paraId="3ADC9200" w14:textId="52524C89">
      <w:pPr>
        <w:pStyle w:val="Normal"/>
        <w:spacing w:line="240" w:lineRule="auto"/>
        <w:rPr>
          <w:rFonts w:cs="Arial"/>
          <w:b w:val="0"/>
          <w:bCs w:val="0"/>
          <w:color w:val="000000" w:themeColor="text1" w:themeTint="FF" w:themeShade="FF"/>
        </w:rPr>
      </w:pPr>
      <w:r w:rsidRPr="257BFE88" w:rsidR="6D7FFB3E">
        <w:rPr>
          <w:rFonts w:cs="Arial"/>
          <w:color w:val="000000" w:themeColor="text1" w:themeTint="FF" w:themeShade="FF"/>
        </w:rPr>
        <w:t>• Reliance on third party ESG data</w:t>
      </w:r>
      <w:r w:rsidRPr="257BFE88" w:rsidR="11BAB8C1">
        <w:rPr>
          <w:rFonts w:cs="Arial"/>
          <w:color w:val="000000" w:themeColor="text1" w:themeTint="FF" w:themeShade="FF"/>
        </w:rPr>
        <w:t xml:space="preserve"> </w:t>
      </w:r>
      <w:r w:rsidRPr="257BFE88" w:rsidR="11BAB8C1">
        <w:rPr>
          <w:rFonts w:ascii="Aptos" w:hAnsi="Aptos" w:eastAsia="Aptos" w:cs="Aptos"/>
          <w:b w:val="0"/>
          <w:bCs w:val="0"/>
          <w:noProof w:val="0"/>
          <w:color w:val="000000" w:themeColor="text1" w:themeTint="FF" w:themeShade="FF"/>
          <w:sz w:val="24"/>
          <w:szCs w:val="24"/>
          <w:lang w:val="en-GB"/>
        </w:rPr>
        <w:t>(MSCI, 2025)</w:t>
      </w:r>
      <w:r w:rsidRPr="257BFE88" w:rsidR="6D7FFB3E">
        <w:rPr>
          <w:rFonts w:cs="Arial"/>
          <w:b w:val="0"/>
          <w:bCs w:val="0"/>
          <w:color w:val="000000" w:themeColor="text1" w:themeTint="FF" w:themeShade="FF"/>
        </w:rPr>
        <w:t>.</w:t>
      </w:r>
    </w:p>
    <w:p w:rsidRPr="003137A2" w:rsidR="003137A2" w:rsidP="257BFE88" w:rsidRDefault="003137A2" w14:paraId="3AD9ED48" w14:textId="6C218F88">
      <w:pPr>
        <w:pStyle w:val="Normal"/>
        <w:spacing w:line="240" w:lineRule="auto"/>
        <w:rPr>
          <w:rFonts w:cs="Arial"/>
          <w:color w:val="000000" w:themeColor="text1" w:themeTint="FF" w:themeShade="FF"/>
        </w:rPr>
      </w:pPr>
      <w:r w:rsidRPr="257BFE88" w:rsidR="6D7FFB3E">
        <w:rPr>
          <w:rFonts w:cs="Arial"/>
          <w:color w:val="000000" w:themeColor="text1" w:themeTint="FF" w:themeShade="FF"/>
        </w:rPr>
        <w:t>•</w:t>
      </w:r>
      <w:r w:rsidR="6D7FFB3E">
        <w:rPr/>
        <w:t xml:space="preserve"> </w:t>
      </w:r>
      <w:r w:rsidRPr="257BFE88" w:rsidR="6D7FFB3E">
        <w:rPr>
          <w:rFonts w:cs="Arial"/>
          <w:color w:val="000000" w:themeColor="text1" w:themeTint="FF" w:themeShade="FF"/>
        </w:rPr>
        <w:t>How portfolio level ESG profiles are constructed</w:t>
      </w:r>
      <w:r w:rsidRPr="257BFE88" w:rsidR="2548B9C6">
        <w:rPr>
          <w:rFonts w:cs="Arial"/>
          <w:color w:val="000000" w:themeColor="text1" w:themeTint="FF" w:themeShade="FF"/>
        </w:rPr>
        <w:t xml:space="preserve"> </w:t>
      </w:r>
      <w:r w:rsidRPr="257BFE88" w:rsidR="2548B9C6">
        <w:rPr>
          <w:rFonts w:ascii="Aptos" w:hAnsi="Aptos" w:eastAsia="Aptos" w:cs="Aptos"/>
          <w:noProof w:val="0"/>
          <w:color w:val="000000" w:themeColor="text1" w:themeTint="FF" w:themeShade="FF"/>
          <w:sz w:val="24"/>
          <w:szCs w:val="24"/>
          <w:lang w:val="en-GB"/>
        </w:rPr>
        <w:t>(BlackRock, 2025</w:t>
      </w:r>
      <w:r w:rsidRPr="257BFE88" w:rsidR="2548B9C6">
        <w:rPr>
          <w:rFonts w:ascii="Aptos" w:hAnsi="Aptos" w:eastAsia="Aptos" w:cs="Aptos"/>
          <w:noProof w:val="0"/>
          <w:color w:val="000000" w:themeColor="text1" w:themeTint="FF" w:themeShade="FF"/>
          <w:sz w:val="24"/>
          <w:szCs w:val="24"/>
          <w:lang w:val="en-GB"/>
        </w:rPr>
        <w:t>)</w:t>
      </w:r>
      <w:r w:rsidRPr="257BFE88" w:rsidR="2548B9C6">
        <w:rPr>
          <w:rFonts w:cs="Arial"/>
          <w:color w:val="000000" w:themeColor="text1" w:themeTint="FF" w:themeShade="FF"/>
        </w:rPr>
        <w:t>.</w:t>
      </w:r>
    </w:p>
    <w:p w:rsidRPr="003137A2" w:rsidR="003137A2" w:rsidP="257BFE88" w:rsidRDefault="003137A2" w14:paraId="5570B07B" w14:textId="15F886AC">
      <w:pPr>
        <w:pStyle w:val="Normal"/>
        <w:spacing w:line="240" w:lineRule="auto"/>
        <w:rPr>
          <w:rFonts w:cs="Arial"/>
          <w:color w:val="000000" w:themeColor="text1" w:themeTint="FF" w:themeShade="FF"/>
        </w:rPr>
      </w:pPr>
      <w:r w:rsidRPr="257BFE88" w:rsidR="6D7FFB3E">
        <w:rPr>
          <w:rFonts w:cs="Arial"/>
          <w:color w:val="000000" w:themeColor="text1" w:themeTint="FF" w:themeShade="FF"/>
        </w:rPr>
        <w:t>•</w:t>
      </w:r>
      <w:r w:rsidR="6D7FFB3E">
        <w:rPr/>
        <w:t xml:space="preserve"> </w:t>
      </w:r>
      <w:r w:rsidRPr="257BFE88" w:rsidR="6D7FFB3E">
        <w:rPr>
          <w:rFonts w:cs="Arial"/>
          <w:color w:val="000000" w:themeColor="text1" w:themeTint="FF" w:themeShade="FF"/>
        </w:rPr>
        <w:t>How ESG index products include, exclude, or adjust the weighting of companies</w:t>
      </w:r>
      <w:r w:rsidRPr="257BFE88" w:rsidR="4ABCCEE7">
        <w:rPr>
          <w:rFonts w:cs="Arial"/>
          <w:color w:val="000000" w:themeColor="text1" w:themeTint="FF" w:themeShade="FF"/>
        </w:rPr>
        <w:t xml:space="preserve"> </w:t>
      </w:r>
      <w:r w:rsidRPr="257BFE88" w:rsidR="4ABCCEE7">
        <w:rPr>
          <w:rFonts w:ascii="Aptos" w:hAnsi="Aptos" w:eastAsia="Aptos" w:cs="Aptos"/>
          <w:noProof w:val="0"/>
          <w:color w:val="000000" w:themeColor="text1" w:themeTint="FF" w:themeShade="FF"/>
          <w:sz w:val="24"/>
          <w:szCs w:val="24"/>
          <w:lang w:val="en-GB"/>
        </w:rPr>
        <w:t>(BlackRock, 2025; MSCI, 2025</w:t>
      </w:r>
      <w:r w:rsidRPr="257BFE88" w:rsidR="4ABCCEE7">
        <w:rPr>
          <w:rFonts w:ascii="Aptos" w:hAnsi="Aptos" w:eastAsia="Aptos" w:cs="Aptos"/>
          <w:noProof w:val="0"/>
          <w:color w:val="000000" w:themeColor="text1" w:themeTint="FF" w:themeShade="FF"/>
          <w:sz w:val="24"/>
          <w:szCs w:val="24"/>
          <w:lang w:val="en-GB"/>
        </w:rPr>
        <w:t>)</w:t>
      </w:r>
      <w:r w:rsidRPr="257BFE88" w:rsidR="50871025">
        <w:rPr>
          <w:rFonts w:ascii="Aptos" w:hAnsi="Aptos" w:eastAsia="Aptos" w:cs="Aptos"/>
          <w:noProof w:val="0"/>
          <w:color w:val="000000" w:themeColor="text1" w:themeTint="FF" w:themeShade="FF"/>
          <w:sz w:val="24"/>
          <w:szCs w:val="24"/>
          <w:lang w:val="en-GB"/>
        </w:rPr>
        <w:t>.</w:t>
      </w:r>
    </w:p>
    <w:p w:rsidRPr="003137A2" w:rsidR="003137A2" w:rsidP="257BFE88" w:rsidRDefault="003137A2" w14:paraId="5F2F49E8" w14:textId="57DED8DD">
      <w:pPr>
        <w:pStyle w:val="Normal"/>
        <w:spacing w:line="240" w:lineRule="auto"/>
      </w:pPr>
      <w:r w:rsidRPr="257BFE88" w:rsidR="6D7FFB3E">
        <w:rPr>
          <w:rFonts w:cs="Arial"/>
          <w:color w:val="000000" w:themeColor="text1" w:themeTint="FF" w:themeShade="FF"/>
        </w:rPr>
        <w:t>• Distinctions between responsible investment judgement and external scores</w:t>
      </w:r>
      <w:r w:rsidRPr="257BFE88" w:rsidR="191A15B8">
        <w:rPr>
          <w:rFonts w:cs="Arial"/>
          <w:color w:val="000000" w:themeColor="text1" w:themeTint="FF" w:themeShade="FF"/>
        </w:rPr>
        <w:t xml:space="preserve"> </w:t>
      </w:r>
      <w:r w:rsidRPr="257BFE88" w:rsidR="191A15B8">
        <w:rPr>
          <w:rFonts w:ascii="Aptos" w:hAnsi="Aptos" w:eastAsia="Aptos" w:cs="Aptos"/>
          <w:noProof w:val="0"/>
          <w:color w:val="000000" w:themeColor="text1" w:themeTint="FF" w:themeShade="FF"/>
          <w:sz w:val="24"/>
          <w:szCs w:val="24"/>
          <w:lang w:val="en-GB"/>
        </w:rPr>
        <w:t>(BlackRock, 2025).</w:t>
      </w:r>
    </w:p>
    <w:p w:rsidRPr="003137A2" w:rsidR="003137A2" w:rsidP="257BFE88" w:rsidRDefault="003137A2" w14:paraId="34332059" w14:textId="6206F321">
      <w:pPr>
        <w:pStyle w:val="Normal"/>
        <w:spacing w:line="240" w:lineRule="auto"/>
        <w:rPr>
          <w:rFonts w:cs="Arial"/>
          <w:b w:val="0"/>
          <w:bCs w:val="0"/>
          <w:color w:val="000000" w:themeColor="text1" w:themeTint="FF" w:themeShade="FF"/>
        </w:rPr>
      </w:pPr>
      <w:r w:rsidRPr="257BFE88" w:rsidR="6D7FFB3E">
        <w:rPr>
          <w:rFonts w:cs="Arial"/>
          <w:color w:val="000000" w:themeColor="text1" w:themeTint="FF" w:themeShade="FF"/>
        </w:rPr>
        <w:t>•</w:t>
      </w:r>
      <w:r w:rsidR="6D7FFB3E">
        <w:rPr/>
        <w:t xml:space="preserve"> </w:t>
      </w:r>
      <w:r w:rsidRPr="257BFE88" w:rsidR="6D7FFB3E">
        <w:rPr>
          <w:rFonts w:cs="Arial"/>
          <w:color w:val="000000" w:themeColor="text1" w:themeTint="FF" w:themeShade="FF"/>
        </w:rPr>
        <w:t>How investors respond when companies are included or excluded on ESG grounds</w:t>
      </w:r>
      <w:r w:rsidRPr="257BFE88" w:rsidR="6B0FC700">
        <w:rPr>
          <w:rFonts w:ascii="Aptos" w:hAnsi="Aptos" w:eastAsia="Aptos" w:cs="Aptos"/>
          <w:b w:val="1"/>
          <w:bCs w:val="1"/>
          <w:noProof w:val="0"/>
          <w:color w:val="000000" w:themeColor="text1" w:themeTint="FF" w:themeShade="FF"/>
          <w:sz w:val="24"/>
          <w:szCs w:val="24"/>
          <w:lang w:val="en-GB"/>
        </w:rPr>
        <w:t xml:space="preserve"> </w:t>
      </w:r>
      <w:r w:rsidRPr="257BFE88" w:rsidR="6B0FC700">
        <w:rPr>
          <w:rFonts w:ascii="Aptos" w:hAnsi="Aptos" w:eastAsia="Aptos" w:cs="Aptos"/>
          <w:b w:val="0"/>
          <w:bCs w:val="0"/>
          <w:noProof w:val="0"/>
          <w:color w:val="000000" w:themeColor="text1" w:themeTint="FF" w:themeShade="FF"/>
          <w:sz w:val="24"/>
          <w:szCs w:val="24"/>
          <w:lang w:val="en-GB"/>
        </w:rPr>
        <w:t>(Morningstar Sustainalytics, 2026)</w:t>
      </w:r>
      <w:r w:rsidRPr="257BFE88" w:rsidR="6D7FFB3E">
        <w:rPr>
          <w:rFonts w:cs="Arial"/>
          <w:b w:val="0"/>
          <w:bCs w:val="0"/>
          <w:color w:val="000000" w:themeColor="text1" w:themeTint="FF" w:themeShade="FF"/>
        </w:rPr>
        <w:t>.</w:t>
      </w:r>
    </w:p>
    <w:p w:rsidRPr="003137A2" w:rsidR="003137A2" w:rsidP="003137A2" w:rsidRDefault="003137A2" w14:paraId="286CD2B8" w14:textId="7D3CC464">
      <w:pPr>
        <w:spacing w:before="240" w:after="240" w:line="240" w:lineRule="auto"/>
        <w:rPr>
          <w:rFonts w:eastAsia="Times New Roman" w:cs="Times New Roman"/>
          <w:kern w:val="0"/>
          <w:lang w:eastAsia="en-GB"/>
          <w14:ligatures w14:val="none"/>
        </w:rPr>
      </w:pPr>
      <w:r w:rsidRPr="003137A2" w:rsidR="74131136">
        <w:rPr>
          <w:rFonts w:eastAsia="Times New Roman" w:cs="Arial"/>
          <w:color w:val="000000"/>
          <w:kern w:val="0"/>
          <w:lang w:eastAsia="en-GB"/>
          <w14:ligatures w14:val="none"/>
        </w:rPr>
        <w:t>This approach helps explain how fairness, responsibility</w:t>
      </w:r>
      <w:r w:rsidRPr="003137A2" w:rsidR="74131136">
        <w:rPr>
          <w:rFonts w:eastAsia="Times New Roman" w:cs="Arial"/>
          <w:color w:val="000000"/>
          <w:kern w:val="0"/>
          <w:lang w:eastAsia="en-GB"/>
          <w14:ligatures w14:val="none"/>
        </w:rPr>
        <w:t xml:space="preserve"> and</w:t>
      </w:r>
      <w:r w:rsidRPr="003137A2" w:rsidR="74131136">
        <w:rPr>
          <w:rFonts w:eastAsia="Times New Roman" w:cs="Arial"/>
          <w:color w:val="000000"/>
          <w:kern w:val="0"/>
          <w:lang w:eastAsia="en-GB"/>
          <w14:ligatures w14:val="none"/>
        </w:rPr>
        <w:t xml:space="preserve"> </w:t>
      </w:r>
      <w:r w:rsidRPr="003137A2" w:rsidR="79E0279B">
        <w:rPr>
          <w:rFonts w:eastAsia="Times New Roman" w:cs="Arial"/>
          <w:color w:val="000000"/>
          <w:kern w:val="0"/>
          <w:lang w:eastAsia="en-GB"/>
          <w14:ligatures w14:val="none"/>
        </w:rPr>
        <w:t>long-term</w:t>
      </w:r>
      <w:r w:rsidRPr="003137A2" w:rsidR="74131136">
        <w:rPr>
          <w:rFonts w:eastAsia="Times New Roman" w:cs="Arial"/>
          <w:color w:val="000000"/>
          <w:kern w:val="0"/>
          <w:lang w:eastAsia="en-GB"/>
          <w14:ligatures w14:val="none"/>
        </w:rPr>
        <w:t xml:space="preserve"> value </w:t>
      </w:r>
      <w:r w:rsidRPr="003137A2" w:rsidR="24BA2EE1">
        <w:rPr>
          <w:rFonts w:eastAsia="Times New Roman" w:cs="Arial"/>
          <w:color w:val="000000"/>
          <w:kern w:val="0"/>
          <w:lang w:eastAsia="en-GB"/>
          <w14:ligatures w14:val="none"/>
        </w:rPr>
        <w:t>is</w:t>
      </w:r>
      <w:r w:rsidRPr="003137A2" w:rsidR="74131136">
        <w:rPr>
          <w:rFonts w:eastAsia="Times New Roman" w:cs="Arial"/>
          <w:color w:val="000000"/>
          <w:kern w:val="0"/>
          <w:lang w:eastAsia="en-GB"/>
          <w14:ligatures w14:val="none"/>
        </w:rPr>
        <w:t xml:space="preserve"> constructed in the ESG market.</w:t>
      </w:r>
    </w:p>
    <w:p w:rsidRPr="003137A2" w:rsidR="003137A2" w:rsidP="257BFE88" w:rsidRDefault="003137A2" w14:paraId="71DCB542" w14:textId="77777777">
      <w:pPr>
        <w:keepNext w:val="1"/>
        <w:keepLines w:val="1"/>
        <w:spacing w:before="160" w:after="80"/>
        <w:outlineLvl w:val="2"/>
        <w:rPr>
          <w:rFonts w:ascii="Times New Roman" w:hAnsi="Times New Roman" w:eastAsia="Times New Roman" w:cs="" w:cstheme="majorBidi"/>
          <w:color w:val="0F4761" w:themeColor="accent1" w:themeShade="BF"/>
          <w:sz w:val="27"/>
          <w:szCs w:val="27"/>
          <w:lang w:eastAsia="en-GB"/>
        </w:rPr>
      </w:pPr>
      <w:bookmarkStart w:name="_Toc351825224" w:id="1033553657"/>
      <w:r w:rsidRPr="257BFE88" w:rsidR="6D7FFB3E">
        <w:rPr>
          <w:rFonts w:eastAsia="Times New Roman" w:cs="" w:cstheme="majorBidi"/>
          <w:color w:val="0F4761" w:themeColor="accent1" w:themeTint="FF" w:themeShade="BF"/>
          <w:sz w:val="28"/>
          <w:szCs w:val="28"/>
          <w:lang w:eastAsia="en-GB"/>
        </w:rPr>
        <w:t>3.3.3 Findings from the Case Study Analysis</w:t>
      </w:r>
      <w:bookmarkEnd w:id="1033553657"/>
    </w:p>
    <w:p w:rsidRPr="003137A2" w:rsidR="003137A2" w:rsidP="257BFE88" w:rsidRDefault="003137A2" w14:paraId="3B228BB4" w14:textId="7BD80C66">
      <w:pPr>
        <w:pStyle w:val="Normal"/>
        <w:spacing w:before="240" w:after="240" w:line="240" w:lineRule="auto"/>
        <w:rPr>
          <w:rFonts w:eastAsia="Times New Roman" w:cs="Times New Roman"/>
          <w:kern w:val="0"/>
          <w:lang w:eastAsia="en-GB"/>
          <w14:ligatures w14:val="none"/>
        </w:rPr>
      </w:pPr>
      <w:r w:rsidRPr="003137A2" w:rsidR="74131136">
        <w:rPr>
          <w:rFonts w:eastAsia="Times New Roman" w:cs="Arial"/>
          <w:color w:val="000000"/>
          <w:kern w:val="0"/>
          <w:lang w:eastAsia="en-GB"/>
          <w14:ligatures w14:val="none"/>
        </w:rPr>
        <w:t xml:space="preserve">Tesla’s disclosures highlight environmental innovation and </w:t>
      </w:r>
      <w:r w:rsidRPr="003137A2" w:rsidR="47EF92E3">
        <w:rPr>
          <w:rFonts w:eastAsia="Times New Roman" w:cs="Arial"/>
          <w:color w:val="000000"/>
          <w:kern w:val="0"/>
          <w:lang w:eastAsia="en-GB"/>
          <w14:ligatures w14:val="none"/>
        </w:rPr>
        <w:t xml:space="preserve">leadership in the </w:t>
      </w:r>
      <w:r w:rsidRPr="003137A2" w:rsidR="7EDE1848">
        <w:rPr>
          <w:rFonts w:eastAsia="Times New Roman" w:cs="Arial"/>
          <w:color w:val="000000"/>
          <w:kern w:val="0"/>
          <w:lang w:eastAsia="en-GB"/>
          <w14:ligatures w14:val="none"/>
        </w:rPr>
        <w:t xml:space="preserve">automotive </w:t>
      </w:r>
      <w:r w:rsidRPr="003137A2" w:rsidR="74131136">
        <w:rPr>
          <w:rFonts w:eastAsia="Times New Roman" w:cs="Arial"/>
          <w:color w:val="000000"/>
          <w:kern w:val="0"/>
          <w:lang w:eastAsia="en-GB"/>
          <w14:ligatures w14:val="none"/>
        </w:rPr>
        <w:t xml:space="preserve">sector while ExxonMobil emphasises carbon emissions reduction commitments and governance practice</w:t>
      </w:r>
      <w:r w:rsidRPr="003137A2" w:rsidR="74131136">
        <w:rPr>
          <w:rFonts w:eastAsia="Times New Roman" w:cs="Arial"/>
          <w:b w:val="0"/>
          <w:bCs w:val="0"/>
          <w:color w:val="000000"/>
          <w:kern w:val="0"/>
          <w:lang w:eastAsia="en-GB"/>
          <w14:ligatures w14:val="none"/>
        </w:rPr>
        <w:t xml:space="preserve">s</w:t>
      </w:r>
      <w:r w:rsidRPr="003137A2" w:rsidR="6D1A70B9">
        <w:rPr>
          <w:rFonts w:eastAsia="Times New Roman" w:cs="Arial"/>
          <w:b w:val="0"/>
          <w:bCs w:val="0"/>
          <w:color w:val="000000"/>
          <w:kern w:val="0"/>
          <w:lang w:eastAsia="en-GB"/>
          <w14:ligatures w14:val="none"/>
        </w:rPr>
        <w:t xml:space="preserve"> </w:t>
      </w:r>
      <w:r w:rsidRPr="257BFE88" w:rsidR="6D1A70B9">
        <w:rPr>
          <w:rFonts w:ascii="Aptos" w:hAnsi="Aptos" w:eastAsia="Aptos" w:cs="Aptos"/>
          <w:b w:val="0"/>
          <w:bCs w:val="0"/>
          <w:noProof w:val="0"/>
          <w:color w:val="000000" w:themeColor="text1" w:themeTint="FF" w:themeShade="FF"/>
          <w:sz w:val="24"/>
          <w:szCs w:val="24"/>
          <w:lang w:val="en-GB"/>
        </w:rPr>
        <w:t>(Tesla, 2025; ExxonMobil, 2025)</w:t>
      </w:r>
      <w:r w:rsidRPr="257BFE88" w:rsidR="6D1A70B9">
        <w:rPr>
          <w:rFonts w:ascii="Aptos" w:hAnsi="Aptos" w:eastAsia="Aptos" w:cs="Aptos"/>
          <w:b w:val="0"/>
          <w:bCs w:val="0"/>
          <w:noProof w:val="0"/>
          <w:color w:val="000000" w:themeColor="text1" w:themeTint="FF" w:themeShade="FF"/>
          <w:sz w:val="24"/>
          <w:szCs w:val="24"/>
          <w:lang w:val="en-GB"/>
        </w:rPr>
        <w:t>.</w:t>
      </w:r>
      <w:r w:rsidRPr="003137A2" w:rsidR="74131136">
        <w:rPr>
          <w:rFonts w:eastAsia="Times New Roman" w:cs="Arial"/>
          <w:color w:val="000000"/>
          <w:kern w:val="0"/>
          <w:lang w:eastAsia="en-GB"/>
          <w14:ligatures w14:val="none"/>
        </w:rPr>
        <w:t xml:space="preserve"> These contrast and help give context to how </w:t>
      </w:r>
      <w:r w:rsidRPr="003137A2" w:rsidR="74131136">
        <w:rPr>
          <w:rFonts w:ascii="Aptos" w:hAnsi="Aptos" w:eastAsia="Times New Roman" w:cs="Arial"/>
          <w:color w:val="000000"/>
          <w:kern w:val="0"/>
          <w:lang w:eastAsia="en-GB"/>
          <w14:ligatures w14:val="none"/>
        </w:rPr>
        <w:t>companies</w:t>
      </w:r>
      <w:r w:rsidRPr="003137A2" w:rsidR="74131136">
        <w:rPr>
          <w:rFonts w:eastAsia="Times New Roman" w:cs="Arial"/>
          <w:color w:val="000000"/>
          <w:kern w:val="0"/>
          <w:lang w:eastAsia="en-GB"/>
          <w14:ligatures w14:val="none"/>
        </w:rPr>
        <w:t xml:space="preserve"> respond to ESG scoring pressures and how investors interpret sustainability claims.</w:t>
      </w:r>
    </w:p>
    <w:p w:rsidR="46B12058" w:rsidP="257BFE88" w:rsidRDefault="46B12058" w14:paraId="786CEB09" w14:textId="4B175E77">
      <w:pPr>
        <w:pStyle w:val="Normal"/>
        <w:spacing w:before="240" w:beforeAutospacing="off" w:after="240" w:afterAutospacing="off"/>
        <w:rPr>
          <w:rFonts w:ascii="Aptos" w:hAnsi="Aptos" w:eastAsia="Aptos" w:cs="Aptos"/>
          <w:noProof w:val="0"/>
          <w:color w:val="auto"/>
          <w:sz w:val="24"/>
          <w:szCs w:val="24"/>
          <w:lang w:val="en-GB"/>
        </w:rPr>
      </w:pPr>
      <w:r w:rsidRPr="257BFE88" w:rsidR="0415E462">
        <w:rPr>
          <w:rFonts w:ascii="Aptos" w:hAnsi="Aptos" w:eastAsia="Aptos" w:cs="Aptos"/>
          <w:noProof w:val="0"/>
          <w:color w:val="auto"/>
          <w:sz w:val="24"/>
          <w:szCs w:val="24"/>
          <w:lang w:val="en-GB"/>
        </w:rPr>
        <w:t>BlackRock’s responsible investing messages show a mix of judgement and score</w:t>
      </w:r>
      <w:r w:rsidRPr="257BFE88" w:rsidR="0415E462">
        <w:rPr>
          <w:rFonts w:ascii="Cambria Math" w:hAnsi="Cambria Math" w:eastAsia="Cambria Math" w:cs="Cambria Math"/>
          <w:noProof w:val="0"/>
          <w:color w:val="auto"/>
          <w:sz w:val="24"/>
          <w:szCs w:val="24"/>
          <w:lang w:val="en-GB"/>
        </w:rPr>
        <w:t xml:space="preserve"> </w:t>
      </w:r>
      <w:r w:rsidRPr="257BFE88" w:rsidR="0415E462">
        <w:rPr>
          <w:rFonts w:ascii="Aptos" w:hAnsi="Aptos" w:eastAsia="Aptos" w:cs="Aptos"/>
          <w:noProof w:val="0"/>
          <w:color w:val="auto"/>
          <w:sz w:val="24"/>
          <w:szCs w:val="24"/>
          <w:lang w:val="en-GB"/>
        </w:rPr>
        <w:t>influenced reporting, which is why the study uses more than one research method</w:t>
      </w:r>
      <w:r w:rsidRPr="257BFE88" w:rsidR="2E3571DF">
        <w:rPr>
          <w:rFonts w:ascii="Aptos" w:hAnsi="Aptos" w:eastAsia="Aptos" w:cs="Aptos"/>
          <w:noProof w:val="0"/>
          <w:color w:val="auto"/>
          <w:sz w:val="24"/>
          <w:szCs w:val="24"/>
          <w:lang w:val="en-GB"/>
        </w:rPr>
        <w:t xml:space="preserve"> </w:t>
      </w:r>
      <w:r w:rsidRPr="257BFE88" w:rsidR="2E3571DF">
        <w:rPr>
          <w:rFonts w:ascii="Aptos" w:hAnsi="Aptos" w:eastAsia="Aptos" w:cs="Aptos"/>
          <w:b w:val="0"/>
          <w:bCs w:val="0"/>
          <w:noProof w:val="0"/>
          <w:color w:val="000000" w:themeColor="text1" w:themeTint="FF" w:themeShade="FF"/>
          <w:sz w:val="24"/>
          <w:szCs w:val="24"/>
          <w:lang w:val="en-GB"/>
        </w:rPr>
        <w:t>(BlackRock, 2025; BlackRock, 2025)</w:t>
      </w:r>
      <w:r w:rsidRPr="257BFE88" w:rsidR="2E3571DF">
        <w:rPr>
          <w:rFonts w:ascii="Aptos" w:hAnsi="Aptos" w:eastAsia="Aptos" w:cs="Aptos"/>
          <w:b w:val="0"/>
          <w:bCs w:val="0"/>
          <w:noProof w:val="0"/>
          <w:color w:val="000000" w:themeColor="text1" w:themeTint="FF" w:themeShade="FF"/>
          <w:sz w:val="24"/>
          <w:szCs w:val="24"/>
          <w:lang w:val="en-GB"/>
        </w:rPr>
        <w:t>.</w:t>
      </w:r>
    </w:p>
    <w:p w:rsidRPr="003137A2" w:rsidR="003137A2" w:rsidP="257BFE88" w:rsidRDefault="003137A2" w14:paraId="05CB710A" w14:textId="77777777">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1054232548" w:id="1797329684"/>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3.4 Integration of Methods</w:t>
      </w:r>
      <w:bookmarkEnd w:id="1797329684"/>
    </w:p>
    <w:p w:rsidRPr="003137A2" w:rsidR="003137A2" w:rsidP="003137A2" w:rsidRDefault="003137A2" w14:paraId="68BC4A72" w14:textId="77777777">
      <w:pPr>
        <w:spacing w:before="240" w:after="240" w:line="240" w:lineRule="auto"/>
        <w:rPr>
          <w:rFonts w:eastAsia="Times New Roman" w:cs="Times New Roman"/>
          <w:kern w:val="0"/>
          <w:lang w:eastAsia="en-GB"/>
          <w14:ligatures w14:val="none"/>
        </w:rPr>
      </w:pPr>
      <w:r w:rsidRPr="003137A2">
        <w:rPr>
          <w:rFonts w:eastAsia="Times New Roman" w:cs="Arial"/>
          <w:color w:val="000000"/>
          <w:kern w:val="0"/>
          <w:lang w:eastAsia="en-GB"/>
          <w14:ligatures w14:val="none"/>
        </w:rPr>
        <w:t>The strength of the approach is to connect:</w:t>
      </w:r>
    </w:p>
    <w:p w:rsidRPr="003137A2" w:rsidR="003137A2" w:rsidP="003137A2" w:rsidRDefault="003137A2" w14:paraId="1A80F200" w14:textId="77777777">
      <w:pPr>
        <w:spacing w:before="240" w:after="240" w:line="240" w:lineRule="auto"/>
        <w:rPr>
          <w:rFonts w:eastAsia="Times New Roman" w:cs="Times New Roman"/>
          <w:kern w:val="0"/>
          <w:lang w:eastAsia="en-GB"/>
          <w14:ligatures w14:val="none"/>
        </w:rPr>
      </w:pPr>
      <w:r w:rsidRPr="003137A2">
        <w:rPr>
          <w:rFonts w:eastAsia="Times New Roman" w:cs="Arial"/>
          <w:color w:val="000000"/>
          <w:kern w:val="0"/>
          <w:lang w:eastAsia="en-GB"/>
          <w14:ligatures w14:val="none"/>
        </w:rPr>
        <w:t>• Quantitative patterns (e.g. rating changes, fund flows, volatility)</w:t>
      </w:r>
    </w:p>
    <w:p w:rsidRPr="003137A2" w:rsidR="003137A2" w:rsidP="003137A2" w:rsidRDefault="003137A2" w14:paraId="5FD0A3C5" w14:textId="77777777">
      <w:pPr>
        <w:spacing w:before="240" w:after="240" w:line="240" w:lineRule="auto"/>
        <w:rPr>
          <w:rFonts w:eastAsia="Times New Roman" w:cs="Times New Roman"/>
          <w:kern w:val="0"/>
          <w:lang w:eastAsia="en-GB"/>
          <w14:ligatures w14:val="none"/>
        </w:rPr>
      </w:pPr>
      <w:r w:rsidRPr="003137A2">
        <w:rPr>
          <w:rFonts w:eastAsia="Times New Roman" w:cs="Arial"/>
          <w:color w:val="000000"/>
          <w:kern w:val="0"/>
          <w:lang w:eastAsia="en-GB"/>
          <w14:ligatures w14:val="none"/>
        </w:rPr>
        <w:t xml:space="preserve">• Qualitative interpretations (e.g. responsible investment reporting, product rules, subjective assessments) </w:t>
      </w:r>
    </w:p>
    <w:p w:rsidRPr="003137A2" w:rsidR="003137A2" w:rsidP="257BFE88" w:rsidRDefault="003137A2" w14:paraId="62279821" w14:textId="7E24FF7A">
      <w:pPr>
        <w:pStyle w:val="Normal"/>
        <w:spacing w:before="240" w:after="240" w:line="240" w:lineRule="auto"/>
        <w:rPr>
          <w:rFonts w:ascii="Aptos" w:hAnsi="Aptos" w:eastAsia="Aptos" w:cs="Aptos"/>
          <w:b w:val="0"/>
          <w:bCs w:val="0"/>
          <w:noProof w:val="0"/>
          <w:color w:val="000000" w:themeColor="text1" w:themeTint="FF" w:themeShade="FF"/>
          <w:kern w:val="0"/>
          <w:sz w:val="24"/>
          <w:szCs w:val="24"/>
          <w:lang w:val="en-GB"/>
          <w14:ligatures w14:val="none"/>
        </w:rPr>
      </w:pPr>
      <w:r w:rsidRPr="003137A2" w:rsidR="6D7FFB3E">
        <w:rPr>
          <w:rFonts w:eastAsia="Times New Roman" w:cs="Arial"/>
          <w:color w:val="000000"/>
          <w:kern w:val="0"/>
          <w:lang w:eastAsia="en-GB"/>
          <w14:ligatures w14:val="none"/>
        </w:rPr>
        <w:t>This integration helps evaluate how BlackRock’s use of MSCI</w:t>
      </w:r>
      <w:r w:rsidRPr="003137A2" w:rsidR="6D7FFB3E">
        <w:rPr>
          <w:rFonts w:ascii="Cambria Math" w:hAnsi="Cambria Math" w:eastAsia="Times New Roman" w:cs="Cambria Math"/>
          <w:color w:val="000000"/>
          <w:kern w:val="0"/>
          <w:lang w:eastAsia="en-GB"/>
          <w14:ligatures w14:val="none"/>
        </w:rPr>
        <w:t xml:space="preserve"> </w:t>
      </w:r>
      <w:r w:rsidRPr="003137A2" w:rsidR="6D7FFB3E">
        <w:rPr>
          <w:rFonts w:eastAsia="Times New Roman" w:cs="Arial"/>
          <w:color w:val="000000"/>
          <w:kern w:val="0"/>
          <w:lang w:eastAsia="en-GB"/>
          <w14:ligatures w14:val="none"/>
        </w:rPr>
        <w:t>derived ESG measures may contribute to market effects, while being open about data limits and the interpretive character of the case study</w:t>
      </w:r>
      <w:r w:rsidRPr="003137A2" w:rsidR="10F42DF3">
        <w:rPr>
          <w:rFonts w:eastAsia="Times New Roman" w:cs="Arial"/>
          <w:b w:val="0"/>
          <w:bCs w:val="0"/>
          <w:color w:val="000000"/>
          <w:kern w:val="0"/>
          <w:lang w:eastAsia="en-GB"/>
          <w14:ligatures w14:val="none"/>
        </w:rPr>
        <w:t xml:space="preserve"> </w:t>
      </w:r>
      <w:r w:rsidRPr="257BFE88" w:rsidR="10F42DF3">
        <w:rPr>
          <w:rFonts w:ascii="Aptos" w:hAnsi="Aptos" w:eastAsia="Aptos" w:cs="Aptos"/>
          <w:b w:val="0"/>
          <w:bCs w:val="0"/>
          <w:noProof w:val="0"/>
          <w:color w:val="000000" w:themeColor="text1" w:themeTint="FF" w:themeShade="FF"/>
          <w:sz w:val="24"/>
          <w:szCs w:val="24"/>
          <w:lang w:val="en-GB"/>
        </w:rPr>
        <w:t>(MSCI, 2025; BlackRock, 2025).</w:t>
      </w:r>
    </w:p>
    <w:p w:rsidRPr="003137A2" w:rsidR="003137A2" w:rsidP="257BFE88" w:rsidRDefault="003137A2" w14:paraId="2404027B" w14:textId="5EAAFD89">
      <w:pPr>
        <w:keepNext w:val="1"/>
        <w:keepLines w:val="1"/>
        <w:spacing w:before="160" w:after="80"/>
        <w:outlineLvl w:val="1"/>
        <w:rPr>
          <w:rFonts w:ascii="Aptos Display" w:hAnsi="Aptos Display" w:eastAsia="Times New Roman" w:cs="" w:asciiTheme="majorAscii" w:hAnsiTheme="majorAscii" w:cstheme="majorBidi"/>
          <w:color w:val="0F4761" w:themeColor="accent1" w:themeShade="BF"/>
          <w:sz w:val="32"/>
          <w:szCs w:val="32"/>
          <w:lang w:eastAsia="en-GB"/>
        </w:rPr>
      </w:pPr>
      <w:bookmarkStart w:name="_Toc165521722" w:id="29782730"/>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 xml:space="preserve">3.5 Methodological </w:t>
      </w:r>
      <w:r w:rsidRPr="257BFE88" w:rsidR="184846F6">
        <w:rPr>
          <w:rFonts w:ascii="Aptos Display" w:hAnsi="Aptos Display" w:eastAsia="Times New Roman" w:cs="" w:asciiTheme="majorAscii" w:hAnsiTheme="majorAscii" w:cstheme="majorBidi"/>
          <w:color w:val="0F4761" w:themeColor="accent1" w:themeTint="FF" w:themeShade="BF"/>
          <w:sz w:val="32"/>
          <w:szCs w:val="32"/>
          <w:lang w:eastAsia="en-GB"/>
        </w:rPr>
        <w:t>Weaknesses</w:t>
      </w:r>
      <w:bookmarkEnd w:id="29782730"/>
    </w:p>
    <w:p w:rsidRPr="003137A2" w:rsidR="003137A2" w:rsidP="257BFE88" w:rsidRDefault="003137A2" w14:paraId="48DFF004" w14:textId="2075B56A">
      <w:pPr>
        <w:spacing w:before="240" w:after="240" w:line="240" w:lineRule="auto"/>
        <w:rPr>
          <w:rFonts w:eastAsia="Times New Roman" w:cs="Arial"/>
          <w:color w:val="000000" w:themeColor="text1" w:themeTint="FF" w:themeShade="FF"/>
          <w:kern w:val="0"/>
          <w:lang w:eastAsia="en-GB"/>
          <w14:ligatures w14:val="none"/>
        </w:rPr>
      </w:pPr>
      <w:r w:rsidRPr="003137A2" w:rsidR="4D3DB3EB">
        <w:rPr>
          <w:rFonts w:eastAsia="Times New Roman" w:cs="Arial"/>
          <w:color w:val="000000"/>
          <w:kern w:val="0"/>
          <w:lang w:eastAsia="en-GB"/>
          <w14:ligatures w14:val="none"/>
        </w:rPr>
        <w:t xml:space="preserve">It is </w:t>
      </w:r>
      <w:r w:rsidRPr="003137A2" w:rsidR="4D3DB3EB">
        <w:rPr>
          <w:rFonts w:eastAsia="Times New Roman" w:cs="Arial"/>
          <w:color w:val="000000"/>
          <w:kern w:val="0"/>
          <w:lang w:eastAsia="en-GB"/>
          <w14:ligatures w14:val="none"/>
        </w:rPr>
        <w:t>evident</w:t>
      </w:r>
      <w:r w:rsidRPr="003137A2" w:rsidR="4D3DB3EB">
        <w:rPr>
          <w:rFonts w:eastAsia="Times New Roman" w:cs="Arial"/>
          <w:color w:val="000000"/>
          <w:kern w:val="0"/>
          <w:lang w:eastAsia="en-GB"/>
          <w14:ligatures w14:val="none"/>
        </w:rPr>
        <w:t xml:space="preserve"> and</w:t>
      </w:r>
      <w:r w:rsidRPr="003137A2" w:rsidR="6D7FFB3E">
        <w:rPr>
          <w:rFonts w:eastAsia="Times New Roman" w:cs="Arial"/>
          <w:color w:val="000000"/>
          <w:kern w:val="0"/>
          <w:lang w:eastAsia="en-GB"/>
          <w14:ligatures w14:val="none"/>
        </w:rPr>
        <w:t xml:space="preserve"> acknowledge</w:t>
      </w:r>
      <w:r w:rsidRPr="003137A2" w:rsidR="5B7C4D7A">
        <w:rPr>
          <w:rFonts w:eastAsia="Times New Roman" w:cs="Arial"/>
          <w:color w:val="000000"/>
          <w:kern w:val="0"/>
          <w:lang w:eastAsia="en-GB"/>
          <w14:ligatures w14:val="none"/>
        </w:rPr>
        <w:t>d that</w:t>
      </w:r>
      <w:r w:rsidRPr="003137A2" w:rsidR="6D7FFB3E">
        <w:rPr>
          <w:rFonts w:eastAsia="Times New Roman" w:cs="Arial"/>
          <w:color w:val="000000"/>
          <w:kern w:val="0"/>
          <w:lang w:eastAsia="en-GB"/>
          <w14:ligatures w14:val="none"/>
        </w:rPr>
        <w:t xml:space="preserve"> there are limitations </w:t>
      </w:r>
      <w:r w:rsidRPr="003137A2" w:rsidR="4BA5B65C">
        <w:rPr>
          <w:rFonts w:eastAsia="Times New Roman" w:cs="Arial"/>
          <w:color w:val="000000"/>
          <w:kern w:val="0"/>
          <w:lang w:eastAsia="en-GB"/>
          <w14:ligatures w14:val="none"/>
        </w:rPr>
        <w:t>in</w:t>
      </w:r>
      <w:r w:rsidRPr="003137A2" w:rsidR="6D7FFB3E">
        <w:rPr>
          <w:rFonts w:eastAsia="Times New Roman" w:cs="Arial"/>
          <w:color w:val="000000"/>
          <w:kern w:val="0"/>
          <w:lang w:eastAsia="en-GB"/>
          <w14:ligatures w14:val="none"/>
        </w:rPr>
        <w:t xml:space="preserve"> the analysis</w:t>
      </w:r>
      <w:r w:rsidRPr="003137A2" w:rsidR="535667C6">
        <w:rPr>
          <w:rFonts w:eastAsia="Times New Roman" w:cs="Arial"/>
          <w:color w:val="000000"/>
          <w:kern w:val="0"/>
          <w:lang w:eastAsia="en-GB"/>
          <w14:ligatures w14:val="none"/>
        </w:rPr>
        <w:t xml:space="preserve"> undertaken. The identified </w:t>
      </w:r>
      <w:r w:rsidRPr="003137A2" w:rsidR="7E3027AD">
        <w:rPr>
          <w:rFonts w:eastAsia="Times New Roman" w:cs="Arial"/>
          <w:color w:val="000000"/>
          <w:kern w:val="0"/>
          <w:lang w:eastAsia="en-GB"/>
          <w14:ligatures w14:val="none"/>
        </w:rPr>
        <w:t>weaknesses</w:t>
      </w:r>
      <w:r w:rsidRPr="003137A2" w:rsidR="35E248C4">
        <w:rPr>
          <w:rFonts w:eastAsia="Times New Roman" w:cs="Arial"/>
          <w:color w:val="000000"/>
          <w:kern w:val="0"/>
          <w:lang w:eastAsia="en-GB"/>
          <w14:ligatures w14:val="none"/>
        </w:rPr>
        <w:t xml:space="preserve"> include</w:t>
      </w:r>
      <w:r w:rsidRPr="003137A2" w:rsidR="5F792BB9">
        <w:rPr>
          <w:rFonts w:eastAsia="Times New Roman" w:cs="Arial"/>
          <w:color w:val="000000"/>
          <w:kern w:val="0"/>
          <w:lang w:eastAsia="en-GB"/>
          <w14:ligatures w14:val="none"/>
        </w:rPr>
        <w:t>:</w:t>
      </w:r>
    </w:p>
    <w:p w:rsidRPr="003137A2" w:rsidR="003137A2" w:rsidP="257BFE88" w:rsidRDefault="003137A2" w14:paraId="5207A04B" w14:textId="0CEEA708">
      <w:pPr>
        <w:spacing w:before="240" w:after="240" w:line="240" w:lineRule="auto"/>
        <w:rPr>
          <w:rFonts w:eastAsia="Times New Roman" w:cs="Arial"/>
          <w:color w:val="000000" w:themeColor="text1" w:themeTint="FF" w:themeShade="FF"/>
          <w:kern w:val="0"/>
          <w:lang w:eastAsia="en-GB"/>
          <w14:ligatures w14:val="none"/>
        </w:rPr>
      </w:pPr>
      <w:r w:rsidRPr="003137A2" w:rsidR="6D7FFB3E">
        <w:rPr>
          <w:rFonts w:eastAsia="Times New Roman" w:cs="Arial"/>
          <w:color w:val="000000"/>
          <w:kern w:val="0"/>
          <w:lang w:eastAsia="en-GB"/>
          <w14:ligatures w14:val="none"/>
        </w:rPr>
        <w:t>• Reliance on</w:t>
      </w:r>
      <w:r w:rsidRPr="003137A2" w:rsidR="11A5E2CE">
        <w:rPr>
          <w:rFonts w:eastAsia="Times New Roman" w:cs="Arial"/>
          <w:color w:val="000000"/>
          <w:kern w:val="0"/>
          <w:lang w:eastAsia="en-GB"/>
          <w14:ligatures w14:val="none"/>
        </w:rPr>
        <w:t>ly on</w:t>
      </w:r>
      <w:r w:rsidRPr="003137A2" w:rsidR="6D7FFB3E">
        <w:rPr>
          <w:rFonts w:eastAsia="Times New Roman" w:cs="Arial"/>
          <w:color w:val="000000"/>
          <w:kern w:val="0"/>
          <w:lang w:eastAsia="en-GB"/>
          <w14:ligatures w14:val="none"/>
        </w:rPr>
        <w:t xml:space="preserve"> publicly available ESG data</w:t>
      </w:r>
      <w:r w:rsidRPr="003137A2" w:rsidR="4DB06E47">
        <w:rPr>
          <w:rFonts w:eastAsia="Times New Roman" w:cs="Arial"/>
          <w:color w:val="000000"/>
          <w:kern w:val="0"/>
          <w:lang w:eastAsia="en-GB"/>
          <w14:ligatures w14:val="none"/>
        </w:rPr>
        <w:t>. This does</w:t>
      </w:r>
      <w:r w:rsidRPr="003137A2" w:rsidR="6D7FFB3E">
        <w:rPr>
          <w:rFonts w:eastAsia="Times New Roman" w:cs="Arial"/>
          <w:color w:val="000000"/>
          <w:kern w:val="0"/>
          <w:lang w:eastAsia="en-GB"/>
          <w14:ligatures w14:val="none"/>
        </w:rPr>
        <w:t xml:space="preserve"> </w:t>
      </w:r>
      <w:r w:rsidRPr="003137A2" w:rsidR="07164464">
        <w:rPr>
          <w:rFonts w:eastAsia="Times New Roman" w:cs="Arial"/>
          <w:color w:val="000000"/>
          <w:kern w:val="0"/>
          <w:lang w:eastAsia="en-GB"/>
          <w14:ligatures w14:val="none"/>
        </w:rPr>
        <w:t>restrict</w:t>
      </w:r>
      <w:r w:rsidRPr="003137A2" w:rsidR="6D7FFB3E">
        <w:rPr>
          <w:rFonts w:eastAsia="Times New Roman" w:cs="Arial"/>
          <w:color w:val="000000"/>
          <w:kern w:val="0"/>
          <w:lang w:eastAsia="en-GB"/>
          <w14:ligatures w14:val="none"/>
        </w:rPr>
        <w:t xml:space="preserve"> the depth of quantitative modelling</w:t>
      </w:r>
      <w:r w:rsidRPr="003137A2" w:rsidR="4D91D824">
        <w:rPr>
          <w:rFonts w:eastAsia="Times New Roman" w:cs="Arial"/>
          <w:color w:val="000000"/>
          <w:kern w:val="0"/>
          <w:lang w:eastAsia="en-GB"/>
          <w14:ligatures w14:val="none"/>
        </w:rPr>
        <w:t xml:space="preserve"> that could be undertaken</w:t>
      </w:r>
      <w:r w:rsidRPr="003137A2" w:rsidR="6D7FFB3E">
        <w:rPr>
          <w:rFonts w:eastAsia="Times New Roman" w:cs="Arial"/>
          <w:color w:val="000000"/>
          <w:kern w:val="0"/>
          <w:lang w:eastAsia="en-GB"/>
          <w14:ligatures w14:val="none"/>
        </w:rPr>
        <w:t>.</w:t>
      </w:r>
    </w:p>
    <w:p w:rsidRPr="003137A2" w:rsidR="003137A2" w:rsidP="003137A2" w:rsidRDefault="003137A2" w14:paraId="099D4B18" w14:textId="4775E209">
      <w:pPr>
        <w:spacing w:before="240" w:after="240" w:line="240" w:lineRule="auto"/>
        <w:rPr>
          <w:rFonts w:eastAsia="Times New Roman" w:cs="Times New Roman"/>
          <w:kern w:val="0"/>
          <w:lang w:eastAsia="en-GB"/>
          <w14:ligatures w14:val="none"/>
        </w:rPr>
      </w:pPr>
      <w:r w:rsidRPr="003137A2" w:rsidR="6D7FFB3E">
        <w:rPr>
          <w:rFonts w:eastAsia="Times New Roman" w:cs="Arial"/>
          <w:color w:val="000000"/>
          <w:kern w:val="0"/>
          <w:lang w:eastAsia="en-GB"/>
          <w14:ligatures w14:val="none"/>
        </w:rPr>
        <w:t xml:space="preserve">• Case study examples</w:t>
      </w:r>
      <w:r w:rsidRPr="003137A2" w:rsidR="7853C290">
        <w:rPr>
          <w:rFonts w:eastAsia="Times New Roman" w:cs="Arial"/>
          <w:color w:val="000000"/>
          <w:kern w:val="0"/>
          <w:lang w:eastAsia="en-GB"/>
          <w14:ligatures w14:val="none"/>
        </w:rPr>
        <w:t xml:space="preserve"> are limited and only </w:t>
      </w:r>
      <w:r w:rsidRPr="003137A2" w:rsidR="1ACE003B">
        <w:rPr>
          <w:rFonts w:eastAsia="Times New Roman" w:cs="Arial"/>
          <w:color w:val="000000"/>
          <w:kern w:val="0"/>
          <w:lang w:eastAsia="en-GB"/>
          <w14:ligatures w14:val="none"/>
        </w:rPr>
        <w:t xml:space="preserve">clarify</w:t>
      </w:r>
      <w:r w:rsidRPr="003137A2" w:rsidR="6D7FFB3E">
        <w:rPr>
          <w:rFonts w:eastAsia="Times New Roman" w:cs="Arial"/>
          <w:color w:val="000000"/>
          <w:kern w:val="0"/>
          <w:lang w:eastAsia="en-GB"/>
          <w14:ligatures w14:val="none"/>
        </w:rPr>
        <w:t xml:space="preserve"> patterns</w:t>
      </w:r>
      <w:r w:rsidRPr="003137A2" w:rsidR="743E37AD">
        <w:rPr>
          <w:rFonts w:eastAsia="Times New Roman" w:cs="Arial"/>
          <w:color w:val="000000"/>
          <w:kern w:val="0"/>
          <w:lang w:eastAsia="en-GB"/>
          <w14:ligatures w14:val="none"/>
        </w:rPr>
        <w:t xml:space="preserve">. It is therefore not possible </w:t>
      </w:r>
      <w:r w:rsidRPr="003137A2" w:rsidR="743E37AD">
        <w:rPr>
          <w:rFonts w:eastAsia="Times New Roman" w:cs="Arial"/>
          <w:color w:val="000000"/>
          <w:kern w:val="0"/>
          <w:lang w:eastAsia="en-GB"/>
          <w14:ligatures w14:val="none"/>
        </w:rPr>
        <w:t xml:space="preserve">to apply findings </w:t>
      </w:r>
      <w:r w:rsidRPr="003137A2" w:rsidR="743E37AD">
        <w:rPr>
          <w:rFonts w:eastAsia="Times New Roman" w:cs="Arial"/>
          <w:color w:val="000000"/>
          <w:kern w:val="0"/>
          <w:lang w:eastAsia="en-GB"/>
          <w14:ligatures w14:val="none"/>
        </w:rPr>
        <w:t xml:space="preserve">as a general </w:t>
      </w:r>
      <w:r w:rsidRPr="003137A2" w:rsidR="743E37AD">
        <w:rPr>
          <w:rFonts w:eastAsia="Times New Roman" w:cs="Arial"/>
          <w:color w:val="000000"/>
          <w:kern w:val="0"/>
          <w:lang w:eastAsia="en-GB"/>
          <w14:ligatures w14:val="none"/>
        </w:rPr>
        <w:t xml:space="preserve">rule</w:t>
      </w:r>
      <w:r w:rsidRPr="003137A2" w:rsidR="743E37AD">
        <w:rPr>
          <w:rFonts w:eastAsia="Times New Roman" w:cs="Arial"/>
          <w:color w:val="000000"/>
          <w:kern w:val="0"/>
          <w:lang w:eastAsia="en-GB"/>
          <w14:ligatures w14:val="none"/>
        </w:rPr>
        <w:t xml:space="preserve"> across</w:t>
      </w:r>
      <w:r w:rsidRPr="003137A2" w:rsidR="6D7FFB3E">
        <w:rPr>
          <w:rFonts w:eastAsia="Times New Roman" w:cs="Arial"/>
          <w:color w:val="000000"/>
          <w:kern w:val="0"/>
          <w:lang w:eastAsia="en-GB"/>
          <w14:ligatures w14:val="none"/>
        </w:rPr>
        <w:t xml:space="preserve"> all </w:t>
      </w:r>
      <w:r w:rsidRPr="003137A2" w:rsidR="6D7FFB3E">
        <w:rPr>
          <w:rFonts w:ascii="Aptos" w:hAnsi="Aptos" w:eastAsia="Times New Roman" w:cs="Arial"/>
          <w:color w:val="000000"/>
          <w:kern w:val="0"/>
          <w:lang w:eastAsia="en-GB"/>
          <w14:ligatures w14:val="none"/>
        </w:rPr>
        <w:t>companies.</w:t>
      </w:r>
    </w:p>
    <w:p w:rsidRPr="003137A2" w:rsidR="003137A2" w:rsidP="257BFE88" w:rsidRDefault="003137A2" w14:paraId="72569622" w14:textId="2797D6DF">
      <w:pPr>
        <w:spacing w:before="240" w:after="240" w:line="240" w:lineRule="auto"/>
        <w:rPr>
          <w:rFonts w:eastAsia="Times New Roman" w:cs="Arial"/>
          <w:color w:val="000000" w:themeColor="text1" w:themeTint="FF" w:themeShade="FF"/>
          <w:kern w:val="0"/>
          <w:lang w:eastAsia="en-GB"/>
          <w14:ligatures w14:val="none"/>
        </w:rPr>
      </w:pPr>
      <w:r w:rsidRPr="003137A2" w:rsidR="6D7FFB3E">
        <w:rPr>
          <w:rFonts w:eastAsia="Times New Roman" w:cs="Arial"/>
          <w:color w:val="000000"/>
          <w:kern w:val="0"/>
          <w:lang w:eastAsia="en-GB"/>
          <w14:ligatures w14:val="none"/>
        </w:rPr>
        <w:t>• Documentary analysis reflects reported account</w:t>
      </w:r>
      <w:r w:rsidRPr="003137A2" w:rsidR="330C0237">
        <w:rPr>
          <w:rFonts w:eastAsia="Times New Roman" w:cs="Arial"/>
          <w:color w:val="000000"/>
          <w:kern w:val="0"/>
          <w:lang w:eastAsia="en-GB"/>
          <w14:ligatures w14:val="none"/>
        </w:rPr>
        <w:t xml:space="preserve"> only. It is recognised this</w:t>
      </w:r>
      <w:r w:rsidRPr="003137A2" w:rsidR="6D7FFB3E">
        <w:rPr>
          <w:rFonts w:eastAsia="Times New Roman" w:cs="Arial"/>
          <w:color w:val="000000"/>
          <w:kern w:val="0"/>
          <w:lang w:eastAsia="en-GB"/>
          <w14:ligatures w14:val="none"/>
        </w:rPr>
        <w:t xml:space="preserve"> may be selective or strategic</w:t>
      </w:r>
      <w:r w:rsidRPr="003137A2" w:rsidR="69EFBF77">
        <w:rPr>
          <w:rFonts w:eastAsia="Times New Roman" w:cs="Arial"/>
          <w:color w:val="000000"/>
          <w:kern w:val="0"/>
          <w:lang w:eastAsia="en-GB"/>
          <w14:ligatures w14:val="none"/>
        </w:rPr>
        <w:t xml:space="preserve"> information</w:t>
      </w:r>
      <w:r w:rsidRPr="003137A2" w:rsidR="4862B89C">
        <w:rPr>
          <w:rFonts w:eastAsia="Times New Roman" w:cs="Arial"/>
          <w:color w:val="000000"/>
          <w:kern w:val="0"/>
          <w:lang w:eastAsia="en-GB"/>
          <w14:ligatures w14:val="none"/>
        </w:rPr>
        <w:t xml:space="preserve"> and so no</w:t>
      </w:r>
      <w:r w:rsidRPr="003137A2" w:rsidR="4862B89C">
        <w:rPr>
          <w:rFonts w:eastAsia="Times New Roman" w:cs="Arial"/>
          <w:color w:val="000000"/>
          <w:kern w:val="0"/>
          <w:lang w:eastAsia="en-GB"/>
          <w14:ligatures w14:val="none"/>
        </w:rPr>
        <w:t>t a full</w:t>
      </w:r>
      <w:r w:rsidRPr="003137A2" w:rsidR="4862B89C">
        <w:rPr>
          <w:rFonts w:eastAsia="Times New Roman" w:cs="Arial"/>
          <w:color w:val="000000"/>
          <w:kern w:val="0"/>
          <w:lang w:eastAsia="en-GB"/>
          <w14:ligatures w14:val="none"/>
        </w:rPr>
        <w:t xml:space="preserve"> or </w:t>
      </w:r>
      <w:r w:rsidRPr="003137A2" w:rsidR="4862B89C">
        <w:rPr>
          <w:rFonts w:eastAsia="Times New Roman" w:cs="Arial"/>
          <w:color w:val="000000"/>
          <w:kern w:val="0"/>
          <w:lang w:eastAsia="en-GB"/>
          <w14:ligatures w14:val="none"/>
        </w:rPr>
        <w:t>accurate</w:t>
      </w:r>
      <w:r w:rsidRPr="003137A2" w:rsidR="4862B89C">
        <w:rPr>
          <w:rFonts w:eastAsia="Times New Roman" w:cs="Arial"/>
          <w:color w:val="000000"/>
          <w:kern w:val="0"/>
          <w:lang w:eastAsia="en-GB"/>
          <w14:ligatures w14:val="none"/>
        </w:rPr>
        <w:t xml:space="preserve"> picture</w:t>
      </w:r>
      <w:r w:rsidRPr="003137A2" w:rsidR="6D7FFB3E">
        <w:rPr>
          <w:rFonts w:eastAsia="Times New Roman" w:cs="Arial"/>
          <w:color w:val="000000"/>
          <w:kern w:val="0"/>
          <w:lang w:eastAsia="en-GB"/>
          <w14:ligatures w14:val="none"/>
        </w:rPr>
        <w:t>.</w:t>
      </w:r>
    </w:p>
    <w:p w:rsidRPr="003137A2" w:rsidR="003137A2" w:rsidP="257BFE88" w:rsidRDefault="003137A2" w14:paraId="585D3D7A" w14:textId="7BF62290">
      <w:pPr>
        <w:pStyle w:val="Normal"/>
        <w:spacing w:before="240" w:beforeAutospacing="off" w:after="240" w:afterAutospacing="off" w:line="240" w:lineRule="auto"/>
        <w:rPr>
          <w:rFonts w:ascii="Aptos" w:hAnsi="Aptos" w:eastAsia="Aptos" w:cs="Aptos"/>
          <w:b w:val="0"/>
          <w:bCs w:val="0"/>
          <w:noProof w:val="0"/>
          <w:color w:val="000000" w:themeColor="text1" w:themeTint="FF" w:themeShade="FF"/>
          <w:sz w:val="24"/>
          <w:szCs w:val="24"/>
          <w:lang w:val="en-GB"/>
        </w:rPr>
      </w:pPr>
      <w:r w:rsidRPr="003137A2" w:rsidR="6D7FFB3E">
        <w:rPr>
          <w:rFonts w:eastAsia="Times New Roman" w:cs="Arial"/>
          <w:color w:val="000000"/>
          <w:kern w:val="0"/>
          <w:lang w:eastAsia="en-GB"/>
          <w14:ligatures w14:val="none"/>
        </w:rPr>
        <w:t xml:space="preserve">• </w:t>
      </w:r>
      <w:r w:rsidRPr="003137A2" w:rsidR="34026E74">
        <w:rPr>
          <w:rFonts w:eastAsia="Times New Roman" w:cs="Arial"/>
          <w:color w:val="000000"/>
          <w:kern w:val="0"/>
          <w:lang w:eastAsia="en-GB"/>
          <w14:ligatures w14:val="none"/>
        </w:rPr>
        <w:t>I</w:t>
      </w:r>
      <w:r w:rsidRPr="003137A2" w:rsidR="6D7FFB3E">
        <w:rPr>
          <w:rFonts w:eastAsia="Times New Roman" w:cs="Arial"/>
          <w:color w:val="000000"/>
          <w:kern w:val="0"/>
          <w:lang w:eastAsia="en-GB"/>
          <w14:ligatures w14:val="none"/>
        </w:rPr>
        <w:t>ndicators</w:t>
      </w:r>
      <w:r w:rsidRPr="003137A2" w:rsidR="15E4220F">
        <w:rPr>
          <w:rFonts w:eastAsia="Times New Roman" w:cs="Arial"/>
          <w:color w:val="000000"/>
          <w:kern w:val="0"/>
          <w:lang w:eastAsia="en-GB"/>
          <w14:ligatures w14:val="none"/>
        </w:rPr>
        <w:t xml:space="preserve"> that are at m</w:t>
      </w:r>
      <w:r w:rsidRPr="257BFE88" w:rsidR="15E4220F">
        <w:rPr>
          <w:rFonts w:eastAsia="Times New Roman" w:cs="Arial"/>
          <w:color w:val="000000" w:themeColor="text1" w:themeTint="FF" w:themeShade="FF"/>
          <w:lang w:eastAsia="en-GB"/>
        </w:rPr>
        <w:t xml:space="preserve">arket level, for example </w:t>
      </w:r>
      <w:r w:rsidRPr="003137A2" w:rsidR="6D7FFB3E">
        <w:rPr>
          <w:rFonts w:eastAsia="Times New Roman" w:cs="Arial"/>
          <w:color w:val="000000"/>
          <w:kern w:val="0"/>
          <w:lang w:eastAsia="en-GB"/>
          <w14:ligatures w14:val="none"/>
        </w:rPr>
        <w:t>ETF flows</w:t>
      </w:r>
      <w:r w:rsidRPr="003137A2" w:rsidR="164EDA6E">
        <w:rPr>
          <w:rFonts w:eastAsia="Times New Roman" w:cs="Arial"/>
          <w:color w:val="000000"/>
          <w:kern w:val="0"/>
          <w:lang w:eastAsia="en-GB"/>
          <w14:ligatures w14:val="none"/>
        </w:rPr>
        <w:t>,</w:t>
      </w:r>
      <w:r w:rsidRPr="003137A2" w:rsidR="6D7FFB3E">
        <w:rPr>
          <w:rFonts w:eastAsia="Times New Roman" w:cs="Arial"/>
          <w:color w:val="000000"/>
          <w:kern w:val="0"/>
          <w:lang w:eastAsia="en-GB"/>
          <w14:ligatures w14:val="none"/>
        </w:rPr>
        <w:t xml:space="preserve"> </w:t>
      </w:r>
      <w:r w:rsidRPr="003137A2" w:rsidR="5447F4EF">
        <w:rPr>
          <w:rFonts w:eastAsia="Times New Roman" w:cs="Arial"/>
          <w:color w:val="000000"/>
          <w:kern w:val="0"/>
          <w:lang w:eastAsia="en-GB"/>
          <w14:ligatures w14:val="none"/>
        </w:rPr>
        <w:t>only show that there is correlation</w:t>
      </w:r>
      <w:r w:rsidRPr="003137A2" w:rsidR="6D7FFB3E">
        <w:rPr>
          <w:rFonts w:eastAsia="Times New Roman" w:cs="Arial"/>
          <w:color w:val="000000"/>
          <w:kern w:val="0"/>
          <w:lang w:eastAsia="en-GB"/>
          <w14:ligatures w14:val="none"/>
        </w:rPr>
        <w:t xml:space="preserve"> </w:t>
      </w:r>
      <w:r w:rsidRPr="003137A2" w:rsidR="634678F0">
        <w:rPr>
          <w:rFonts w:eastAsia="Times New Roman" w:cs="Arial"/>
          <w:color w:val="000000"/>
          <w:kern w:val="0"/>
          <w:lang w:eastAsia="en-GB"/>
          <w14:ligatures w14:val="none"/>
        </w:rPr>
        <w:t xml:space="preserve">and do not show that there is a </w:t>
      </w:r>
      <w:r w:rsidRPr="003137A2" w:rsidR="6D7FFB3E">
        <w:rPr>
          <w:rFonts w:eastAsia="Times New Roman" w:cs="Arial"/>
          <w:color w:val="000000"/>
          <w:kern w:val="0"/>
          <w:lang w:eastAsia="en-GB"/>
          <w14:ligatures w14:val="none"/>
        </w:rPr>
        <w:t>caus</w:t>
      </w:r>
      <w:r w:rsidRPr="003137A2" w:rsidR="54CFA07C">
        <w:rPr>
          <w:rFonts w:eastAsia="Times New Roman" w:cs="Arial"/>
          <w:color w:val="000000"/>
          <w:kern w:val="0"/>
          <w:lang w:eastAsia="en-GB"/>
          <w14:ligatures w14:val="none"/>
        </w:rPr>
        <w:t>e/effect relationship</w:t>
      </w:r>
      <w:r w:rsidRPr="003137A2" w:rsidR="65B31204">
        <w:rPr>
          <w:rFonts w:eastAsia="Times New Roman" w:cs="Arial"/>
          <w:color w:val="000000"/>
          <w:kern w:val="0"/>
          <w:lang w:eastAsia="en-GB"/>
          <w14:ligatures w14:val="none"/>
        </w:rPr>
        <w:t xml:space="preserve"> </w:t>
      </w:r>
      <w:r w:rsidRPr="257BFE88" w:rsidR="65B31204">
        <w:rPr>
          <w:rFonts w:ascii="Aptos" w:hAnsi="Aptos" w:eastAsia="Aptos" w:cs="Aptos"/>
          <w:b w:val="0"/>
          <w:bCs w:val="0"/>
          <w:noProof w:val="0"/>
          <w:color w:val="000000" w:themeColor="text1" w:themeTint="FF" w:themeShade="FF"/>
          <w:sz w:val="24"/>
          <w:szCs w:val="24"/>
          <w:lang w:val="en-GB"/>
        </w:rPr>
        <w:t>(Morningstar Sustainalytics, 2026)</w:t>
      </w:r>
      <w:r w:rsidRPr="257BFE88" w:rsidR="66F88E8F">
        <w:rPr>
          <w:rFonts w:ascii="Aptos" w:hAnsi="Aptos" w:eastAsia="Aptos" w:cs="Aptos"/>
          <w:b w:val="0"/>
          <w:bCs w:val="0"/>
          <w:noProof w:val="0"/>
          <w:color w:val="000000" w:themeColor="text1" w:themeTint="FF" w:themeShade="FF"/>
          <w:sz w:val="24"/>
          <w:szCs w:val="24"/>
          <w:lang w:val="en-GB"/>
        </w:rPr>
        <w:t>.</w:t>
      </w:r>
    </w:p>
    <w:p w:rsidRPr="003137A2" w:rsidR="003137A2" w:rsidP="257BFE88" w:rsidRDefault="003137A2" w14:paraId="0DB32FBC" w14:textId="7673393B">
      <w:pPr>
        <w:pStyle w:val="Normal"/>
        <w:spacing w:before="240" w:beforeAutospacing="off" w:after="240" w:afterAutospacing="off" w:line="240" w:lineRule="auto"/>
        <w:ind w:left="0"/>
        <w:rPr>
          <w:kern w:val="0"/>
          <w:highlight w:val="yellow"/>
          <w:lang w:eastAsia="en-GB"/>
          <w14:ligatures w14:val="none"/>
        </w:rPr>
      </w:pPr>
      <w:r w:rsidRPr="257BFE88" w:rsidR="66F88E8F">
        <w:rPr>
          <w:rFonts w:eastAsia="Times New Roman" w:cs="Arial"/>
          <w:color w:val="000000" w:themeColor="text1" w:themeTint="FF" w:themeShade="FF"/>
          <w:lang w:eastAsia="en-GB"/>
        </w:rPr>
        <w:t xml:space="preserve">• </w:t>
      </w:r>
      <w:r w:rsidRPr="257BFE88" w:rsidR="370AB8EE">
        <w:rPr>
          <w:rFonts w:eastAsia="Times New Roman" w:cs="Arial"/>
          <w:color w:val="000000" w:themeColor="text1" w:themeTint="FF" w:themeShade="FF"/>
          <w:lang w:eastAsia="en-GB"/>
        </w:rPr>
        <w:t>The absence of i</w:t>
      </w:r>
      <w:r w:rsidRPr="257BFE88" w:rsidR="370AB8EE">
        <w:rPr>
          <w:lang w:eastAsia="en-GB"/>
        </w:rPr>
        <w:t xml:space="preserve">nterviews, surveys, or practitioner case studies </w:t>
      </w:r>
      <w:r w:rsidRPr="257BFE88" w:rsidR="28E95054">
        <w:rPr>
          <w:lang w:eastAsia="en-GB"/>
        </w:rPr>
        <w:t>limits</w:t>
      </w:r>
      <w:r w:rsidRPr="257BFE88" w:rsidR="370AB8EE">
        <w:rPr>
          <w:lang w:eastAsia="en-GB"/>
        </w:rPr>
        <w:t xml:space="preserve"> insight into how ESG considerations are applied within organisations</w:t>
      </w:r>
      <w:r w:rsidRPr="257BFE88" w:rsidR="0F6C6F1B">
        <w:rPr>
          <w:lang w:eastAsia="en-GB"/>
        </w:rPr>
        <w:t xml:space="preserve"> or </w:t>
      </w:r>
      <w:r w:rsidRPr="257BFE88" w:rsidR="370AB8EE">
        <w:rPr>
          <w:lang w:eastAsia="en-GB"/>
        </w:rPr>
        <w:t xml:space="preserve">how investment professionals interpret </w:t>
      </w:r>
      <w:r w:rsidRPr="257BFE88" w:rsidR="370AB8EE">
        <w:rPr>
          <w:lang w:eastAsia="en-GB"/>
        </w:rPr>
        <w:t>rating</w:t>
      </w:r>
      <w:r w:rsidRPr="257BFE88" w:rsidR="24799971">
        <w:rPr>
          <w:lang w:eastAsia="en-GB"/>
        </w:rPr>
        <w:t xml:space="preserve"> </w:t>
      </w:r>
      <w:r w:rsidRPr="257BFE88" w:rsidR="370AB8EE">
        <w:rPr>
          <w:lang w:eastAsia="en-GB"/>
        </w:rPr>
        <w:t>based</w:t>
      </w:r>
      <w:r w:rsidRPr="257BFE88" w:rsidR="370AB8EE">
        <w:rPr>
          <w:lang w:eastAsia="en-GB"/>
        </w:rPr>
        <w:t xml:space="preserve"> </w:t>
      </w:r>
      <w:r w:rsidRPr="257BFE88" w:rsidR="6CDF5D66">
        <w:rPr>
          <w:lang w:eastAsia="en-GB"/>
        </w:rPr>
        <w:t>indicators</w:t>
      </w:r>
      <w:r w:rsidRPr="257BFE88" w:rsidR="370AB8EE">
        <w:rPr>
          <w:lang w:eastAsia="en-GB"/>
        </w:rPr>
        <w:t xml:space="preserve"> in practice.</w:t>
      </w:r>
    </w:p>
    <w:p w:rsidRPr="003137A2" w:rsidR="003137A2" w:rsidP="003137A2" w:rsidRDefault="003137A2" w14:paraId="3902252B" w14:textId="77777777">
      <w:pPr>
        <w:spacing w:before="240" w:after="240" w:line="240" w:lineRule="auto"/>
        <w:rPr>
          <w:rFonts w:eastAsia="Times New Roman" w:cs="Times New Roman"/>
          <w:kern w:val="0"/>
          <w:lang w:eastAsia="en-GB"/>
          <w14:ligatures w14:val="none"/>
        </w:rPr>
      </w:pPr>
      <w:r w:rsidRPr="003137A2">
        <w:rPr>
          <w:rFonts w:eastAsia="Times New Roman" w:cs="Arial"/>
          <w:color w:val="000000"/>
          <w:kern w:val="0"/>
          <w:lang w:eastAsia="en-GB"/>
          <w14:ligatures w14:val="none"/>
        </w:rPr>
        <w:t>These limitations are consistent with the constraints of secondary data research and are clearly and openly referred to in the study.</w:t>
      </w:r>
    </w:p>
    <w:p w:rsidRPr="003137A2" w:rsidR="003137A2" w:rsidP="257BFE88" w:rsidRDefault="003137A2" w14:paraId="2258C142" w14:textId="77777777">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2049975818" w:id="1311973812"/>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3.6 Summary</w:t>
      </w:r>
      <w:bookmarkEnd w:id="1311973812"/>
    </w:p>
    <w:p w:rsidRPr="003137A2" w:rsidR="003137A2" w:rsidP="08626363" w:rsidRDefault="003137A2" w14:paraId="41FAC443" w14:textId="4750F41E">
      <w:pPr>
        <w:pStyle w:val="Normal"/>
        <w:spacing w:before="240" w:after="240" w:line="240" w:lineRule="auto"/>
        <w:rPr>
          <w:rFonts w:eastAsia="Times New Roman" w:cs="Arial"/>
          <w:color w:val="000000"/>
          <w:kern w:val="0"/>
          <w:lang w:eastAsia="en-GB"/>
          <w14:ligatures w14:val="none"/>
        </w:rPr>
      </w:pPr>
      <w:r w:rsidRPr="003137A2" w:rsidR="74131136">
        <w:rPr>
          <w:rFonts w:eastAsia="Times New Roman" w:cs="Arial"/>
          <w:color w:val="000000"/>
          <w:kern w:val="0"/>
          <w:lang w:eastAsia="en-GB"/>
          <w14:ligatures w14:val="none"/>
        </w:rPr>
        <w:t xml:space="preserve">The </w:t>
      </w:r>
      <w:r w:rsidRPr="003137A2" w:rsidR="74131136">
        <w:rPr>
          <w:rFonts w:eastAsia="Times New Roman" w:cs="Arial"/>
          <w:color w:val="000000"/>
          <w:kern w:val="0"/>
          <w:lang w:eastAsia="en-GB"/>
          <w14:ligatures w14:val="none"/>
        </w:rPr>
        <w:t>methodology</w:t>
      </w:r>
      <w:r w:rsidRPr="003137A2" w:rsidR="74131136">
        <w:rPr>
          <w:rFonts w:eastAsia="Times New Roman" w:cs="Arial"/>
          <w:color w:val="000000"/>
          <w:kern w:val="0"/>
          <w:lang w:eastAsia="en-GB"/>
          <w14:ligatures w14:val="none"/>
        </w:rPr>
        <w:t xml:space="preserve"> </w:t>
      </w:r>
      <w:r w:rsidRPr="003137A2" w:rsidR="74131136">
        <w:rPr>
          <w:rFonts w:eastAsia="Times New Roman" w:cs="Arial"/>
          <w:color w:val="000000"/>
          <w:kern w:val="0"/>
          <w:lang w:eastAsia="en-GB"/>
          <w14:ligatures w14:val="none"/>
        </w:rPr>
        <w:t>establishes</w:t>
      </w:r>
      <w:r w:rsidRPr="003137A2" w:rsidR="74131136">
        <w:rPr>
          <w:rFonts w:eastAsia="Times New Roman" w:cs="Arial"/>
          <w:color w:val="000000"/>
          <w:kern w:val="0"/>
          <w:lang w:eastAsia="en-GB"/>
          <w14:ligatures w14:val="none"/>
        </w:rPr>
        <w:t xml:space="preserve"> a strong basis for evaluating the fairness and market consequences of ESG scoring systems. By combining quantitative indicators with interpretive qualitative analysis, the study shows both how ESG scoring </w:t>
      </w:r>
      <w:r w:rsidRPr="003137A2" w:rsidR="74131136">
        <w:rPr>
          <w:rFonts w:eastAsia="Times New Roman" w:cs="Arial"/>
          <w:color w:val="000000"/>
          <w:kern w:val="0"/>
          <w:lang w:eastAsia="en-GB"/>
          <w14:ligatures w14:val="none"/>
        </w:rPr>
        <w:t>operates</w:t>
      </w:r>
      <w:r w:rsidRPr="003137A2" w:rsidR="74131136">
        <w:rPr>
          <w:rFonts w:eastAsia="Times New Roman" w:cs="Arial"/>
          <w:color w:val="000000"/>
          <w:kern w:val="0"/>
          <w:lang w:eastAsia="en-GB"/>
          <w14:ligatures w14:val="none"/>
        </w:rPr>
        <w:t xml:space="preserve"> and how it is understood within large</w:t>
      </w:r>
      <w:r w:rsidRPr="003137A2" w:rsidR="74131136">
        <w:rPr>
          <w:rFonts w:ascii="Cambria Math" w:hAnsi="Cambria Math" w:eastAsia="Times New Roman" w:cs="Cambria Math"/>
          <w:color w:val="000000"/>
          <w:kern w:val="0"/>
          <w:lang w:eastAsia="en-GB"/>
          <w14:ligatures w14:val="none"/>
        </w:rPr>
        <w:t xml:space="preserve"> </w:t>
      </w:r>
      <w:r w:rsidRPr="08626363" w:rsidR="74131136">
        <w:rPr>
          <w:rFonts w:eastAsia="Times New Roman" w:cs="Arial"/>
          <w:color w:val="auto"/>
          <w:kern w:val="0"/>
          <w:lang w:eastAsia="en-GB"/>
          <w14:ligatures w14:val="none"/>
        </w:rPr>
        <w:t xml:space="preserve">scale asset management. </w:t>
      </w:r>
      <w:r w:rsidRPr="08626363" w:rsidR="2BC61C3F">
        <w:rPr>
          <w:rFonts w:ascii="Aptos" w:hAnsi="Aptos" w:eastAsia="Aptos" w:cs="Aptos"/>
          <w:noProof w:val="0"/>
          <w:color w:val="auto"/>
          <w:sz w:val="24"/>
          <w:szCs w:val="24"/>
          <w:lang w:val="en-GB"/>
        </w:rPr>
        <w:t xml:space="preserve">The approach aligns with </w:t>
      </w:r>
      <w:r w:rsidRPr="08626363" w:rsidR="3722C57C">
        <w:rPr>
          <w:rFonts w:ascii="Aptos" w:hAnsi="Aptos" w:eastAsia="Aptos" w:cs="Aptos"/>
          <w:noProof w:val="0"/>
          <w:color w:val="auto"/>
          <w:sz w:val="24"/>
          <w:szCs w:val="24"/>
          <w:lang w:val="en-GB"/>
        </w:rPr>
        <w:t>(</w:t>
      </w:r>
      <w:r w:rsidRPr="08626363" w:rsidR="2BC61C3F">
        <w:rPr>
          <w:rFonts w:ascii="Aptos" w:hAnsi="Aptos" w:eastAsia="Aptos" w:cs="Aptos"/>
          <w:noProof w:val="0"/>
          <w:color w:val="auto"/>
          <w:sz w:val="24"/>
          <w:szCs w:val="24"/>
          <w:lang w:val="en-GB"/>
        </w:rPr>
        <w:t>Gray’s</w:t>
      </w:r>
      <w:r w:rsidRPr="08626363" w:rsidR="57F993AC">
        <w:rPr>
          <w:rFonts w:ascii="Aptos" w:hAnsi="Aptos" w:eastAsia="Aptos" w:cs="Aptos"/>
          <w:noProof w:val="0"/>
          <w:color w:val="auto"/>
          <w:sz w:val="24"/>
          <w:szCs w:val="24"/>
          <w:lang w:val="en-GB"/>
        </w:rPr>
        <w:t xml:space="preserve">, </w:t>
      </w:r>
      <w:r w:rsidRPr="08626363" w:rsidR="2BC61C3F">
        <w:rPr>
          <w:rFonts w:ascii="Aptos" w:hAnsi="Aptos" w:eastAsia="Aptos" w:cs="Aptos"/>
          <w:noProof w:val="0"/>
          <w:color w:val="auto"/>
          <w:sz w:val="24"/>
          <w:szCs w:val="24"/>
          <w:lang w:val="en-GB"/>
        </w:rPr>
        <w:t xml:space="preserve">2018) guidance on conducting research in organisations, while ethical considerations follow the principles outlined in the </w:t>
      </w:r>
      <w:r w:rsidRPr="08626363" w:rsidR="34C54C51">
        <w:rPr>
          <w:rFonts w:ascii="Aptos" w:hAnsi="Aptos" w:eastAsia="Aptos" w:cs="Aptos"/>
          <w:noProof w:val="0"/>
          <w:color w:val="auto"/>
          <w:sz w:val="24"/>
          <w:szCs w:val="24"/>
          <w:lang w:val="en-GB"/>
        </w:rPr>
        <w:t>(</w:t>
      </w:r>
      <w:r w:rsidRPr="08626363" w:rsidR="2BC61C3F">
        <w:rPr>
          <w:rFonts w:ascii="Aptos" w:hAnsi="Aptos" w:eastAsia="Aptos" w:cs="Aptos"/>
          <w:noProof w:val="0"/>
          <w:color w:val="auto"/>
          <w:sz w:val="24"/>
          <w:szCs w:val="24"/>
          <w:lang w:val="en-GB"/>
        </w:rPr>
        <w:t>ASET</w:t>
      </w:r>
      <w:r w:rsidRPr="08626363" w:rsidR="2C91E9D8">
        <w:rPr>
          <w:rFonts w:ascii="Aptos" w:hAnsi="Aptos" w:eastAsia="Aptos" w:cs="Aptos"/>
          <w:noProof w:val="0"/>
          <w:color w:val="auto"/>
          <w:sz w:val="24"/>
          <w:szCs w:val="24"/>
          <w:lang w:val="en-GB"/>
        </w:rPr>
        <w:t xml:space="preserve">, </w:t>
      </w:r>
      <w:r w:rsidRPr="08626363" w:rsidR="2BC61C3F">
        <w:rPr>
          <w:rFonts w:ascii="Aptos" w:hAnsi="Aptos" w:eastAsia="Aptos" w:cs="Aptos"/>
          <w:noProof w:val="0"/>
          <w:color w:val="auto"/>
          <w:sz w:val="24"/>
          <w:szCs w:val="24"/>
          <w:lang w:val="en-GB"/>
        </w:rPr>
        <w:t>2013) Good Practice Guide.</w:t>
      </w:r>
    </w:p>
    <w:p w:rsidRPr="003137A2" w:rsidR="003137A2" w:rsidP="257BFE88" w:rsidRDefault="003137A2" w14:paraId="0772888F" w14:textId="6A29EDD7">
      <w:pPr>
        <w:pStyle w:val="Normal"/>
        <w:spacing w:before="240" w:after="240" w:line="240" w:lineRule="auto"/>
        <w:rPr>
          <w:rFonts w:ascii="Arial" w:hAnsi="Arial" w:eastAsia="Times New Roman" w:cs="Arial"/>
          <w:color w:val="000000"/>
          <w:kern w:val="0"/>
          <w:lang w:eastAsia="en-GB"/>
          <w14:ligatures w14:val="none"/>
        </w:rPr>
      </w:pPr>
    </w:p>
    <w:p w:rsidR="257BFE88" w:rsidP="257BFE88" w:rsidRDefault="257BFE88" w14:paraId="30441393" w14:textId="19495F1E">
      <w:pPr>
        <w:pStyle w:val="Normal"/>
        <w:spacing w:before="240" w:after="240" w:line="240" w:lineRule="auto"/>
        <w:rPr>
          <w:rFonts w:ascii="Arial" w:hAnsi="Arial" w:eastAsia="Times New Roman" w:cs="Arial"/>
          <w:color w:val="000000" w:themeColor="text1" w:themeTint="FF" w:themeShade="FF"/>
          <w:lang w:eastAsia="en-GB"/>
        </w:rPr>
      </w:pPr>
    </w:p>
    <w:p w:rsidR="257BFE88" w:rsidP="257BFE88" w:rsidRDefault="257BFE88" w14:paraId="6459E3DB" w14:textId="777E98E9">
      <w:pPr>
        <w:pStyle w:val="Normal"/>
        <w:spacing w:before="240" w:after="240" w:line="240" w:lineRule="auto"/>
        <w:rPr>
          <w:rFonts w:ascii="Arial" w:hAnsi="Arial" w:eastAsia="Times New Roman" w:cs="Arial"/>
          <w:color w:val="000000" w:themeColor="text1" w:themeTint="FF" w:themeShade="FF"/>
          <w:lang w:eastAsia="en-GB"/>
        </w:rPr>
      </w:pPr>
    </w:p>
    <w:p w:rsidR="257BFE88" w:rsidP="257BFE88" w:rsidRDefault="257BFE88" w14:paraId="22341D7C" w14:textId="6BBE304B">
      <w:pPr>
        <w:pStyle w:val="Normal"/>
        <w:spacing w:before="240" w:after="240" w:line="240" w:lineRule="auto"/>
        <w:rPr>
          <w:rFonts w:ascii="Arial" w:hAnsi="Arial" w:eastAsia="Times New Roman" w:cs="Arial"/>
          <w:color w:val="000000" w:themeColor="text1" w:themeTint="FF" w:themeShade="FF"/>
          <w:lang w:eastAsia="en-GB"/>
        </w:rPr>
      </w:pPr>
    </w:p>
    <w:p w:rsidR="257BFE88" w:rsidP="257BFE88" w:rsidRDefault="257BFE88" w14:paraId="673915BE" w14:textId="4027EBC8">
      <w:pPr>
        <w:pStyle w:val="Normal"/>
        <w:spacing w:before="240" w:after="240" w:line="240" w:lineRule="auto"/>
        <w:rPr>
          <w:rFonts w:ascii="Arial" w:hAnsi="Arial" w:eastAsia="Times New Roman" w:cs="Arial"/>
          <w:color w:val="000000" w:themeColor="text1" w:themeTint="FF" w:themeShade="FF"/>
          <w:lang w:eastAsia="en-GB"/>
        </w:rPr>
      </w:pPr>
    </w:p>
    <w:p w:rsidRPr="003137A2" w:rsidR="003137A2" w:rsidP="08626363" w:rsidRDefault="003137A2" w14:paraId="4FED8DEC" w14:textId="56724DD1">
      <w:pPr>
        <w:pStyle w:val="Normal"/>
        <w:keepNext w:val="1"/>
        <w:keepLines w:val="1"/>
        <w:spacing w:before="360" w:after="80"/>
        <w:outlineLvl w:val="0"/>
        <w:rPr>
          <w:rFonts w:ascii="Aptos Display" w:hAnsi="Aptos Display" w:eastAsia="" w:cs="" w:asciiTheme="majorAscii" w:hAnsiTheme="majorAscii" w:eastAsiaTheme="majorEastAsia" w:cstheme="majorBidi"/>
          <w:b w:val="1"/>
          <w:bCs w:val="1"/>
          <w:color w:val="0F4761" w:themeColor="accent1" w:themeShade="BF"/>
          <w:sz w:val="40"/>
          <w:szCs w:val="40"/>
        </w:rPr>
      </w:pPr>
      <w:bookmarkStart w:name="_Toc916006965" w:id="1277595959"/>
      <w:r w:rsidRPr="257BFE88" w:rsidR="74131136">
        <w:rPr>
          <w:rFonts w:ascii="Aptos Display" w:hAnsi="Aptos Display" w:eastAsia="" w:cs="" w:asciiTheme="majorAscii" w:hAnsiTheme="majorAscii" w:eastAsiaTheme="majorEastAsia" w:cstheme="majorBidi"/>
          <w:color w:val="0F4761" w:themeColor="accent1" w:themeTint="FF" w:themeShade="BF"/>
          <w:sz w:val="40"/>
          <w:szCs w:val="40"/>
        </w:rPr>
        <w:t>4. Findings and Analysis</w:t>
      </w:r>
      <w:bookmarkEnd w:id="1277595959"/>
      <w:r w:rsidRPr="257BFE88" w:rsidR="74131136">
        <w:rPr>
          <w:rFonts w:ascii="Aptos Display" w:hAnsi="Aptos Display" w:eastAsia="" w:cs="" w:asciiTheme="majorAscii" w:hAnsiTheme="majorAscii" w:eastAsiaTheme="majorEastAsia" w:cstheme="majorBidi"/>
          <w:b w:val="1"/>
          <w:bCs w:val="1"/>
          <w:color w:val="0F4761" w:themeColor="accent1" w:themeTint="FF" w:themeShade="BF"/>
          <w:sz w:val="40"/>
          <w:szCs w:val="40"/>
        </w:rPr>
        <w:t xml:space="preserve"> </w:t>
      </w:r>
    </w:p>
    <w:p w:rsidR="08626363" w:rsidRDefault="08626363" w14:paraId="67068B24" w14:textId="3028E4B3"/>
    <w:p w:rsidRPr="003137A2" w:rsidR="003137A2" w:rsidP="003137A2" w:rsidRDefault="003137A2" w14:paraId="676A6482" w14:textId="76C7F7B6">
      <w:r w:rsidR="6D7FFB3E">
        <w:rPr/>
        <w:t>This section presents findings obtained from the mixed method approac</w:t>
      </w:r>
      <w:r w:rsidR="16CE1A8D">
        <w:rPr/>
        <w:t>h and</w:t>
      </w:r>
      <w:r w:rsidR="7CA15BF4">
        <w:rPr/>
        <w:t xml:space="preserve"> considers</w:t>
      </w:r>
      <w:r w:rsidR="402CECC8">
        <w:rPr/>
        <w:t xml:space="preserve"> </w:t>
      </w:r>
      <w:r w:rsidR="6D7FFB3E">
        <w:rPr/>
        <w:t>how ESG scoring systems</w:t>
      </w:r>
      <w:r w:rsidR="1CAED80B">
        <w:rPr/>
        <w:t xml:space="preserve"> are</w:t>
      </w:r>
      <w:r w:rsidR="6D7FFB3E">
        <w:rPr/>
        <w:t xml:space="preserve"> relate</w:t>
      </w:r>
      <w:r w:rsidR="3B9D58AC">
        <w:rPr/>
        <w:t>d</w:t>
      </w:r>
      <w:r w:rsidR="6D7FFB3E">
        <w:rPr/>
        <w:t xml:space="preserve"> to financial </w:t>
      </w:r>
      <w:r w:rsidR="68076D7D">
        <w:rPr/>
        <w:t>performance</w:t>
      </w:r>
      <w:r w:rsidR="4556C794">
        <w:rPr/>
        <w:t xml:space="preserve"> and</w:t>
      </w:r>
      <w:r w:rsidR="6D7FFB3E">
        <w:rPr/>
        <w:t xml:space="preserve"> </w:t>
      </w:r>
      <w:r w:rsidR="6D7FFB3E">
        <w:rPr/>
        <w:t xml:space="preserve">organisational behaviour </w:t>
      </w:r>
      <w:r w:rsidR="6D7FFB3E">
        <w:rPr/>
        <w:t>a</w:t>
      </w:r>
      <w:r w:rsidR="34042853">
        <w:rPr/>
        <w:t xml:space="preserve">s well as </w:t>
      </w:r>
      <w:r w:rsidR="3ED6AE49">
        <w:rPr/>
        <w:t xml:space="preserve">any </w:t>
      </w:r>
      <w:r w:rsidR="6D7FFB3E">
        <w:rPr/>
        <w:t>market level changes. </w:t>
      </w:r>
    </w:p>
    <w:p w:rsidRPr="003137A2" w:rsidR="003137A2" w:rsidP="003137A2" w:rsidRDefault="003137A2" w14:paraId="779EBDE5" w14:textId="77777777">
      <w:r w:rsidRPr="003137A2">
        <w:t xml:space="preserve">The analysis is in three stages: </w:t>
      </w:r>
    </w:p>
    <w:p w:rsidRPr="003137A2" w:rsidR="003137A2" w:rsidP="257BFE88" w:rsidRDefault="003137A2" w14:paraId="1FE7DEE6" w14:textId="1EDF9D84">
      <w:pPr>
        <w:numPr>
          <w:ilvl w:val="0"/>
          <w:numId w:val="7"/>
        </w:numPr>
        <w:spacing/>
        <w:contextualSpacing w:val="1"/>
        <w:rPr/>
      </w:pPr>
      <w:r w:rsidR="6D7FFB3E">
        <w:rPr/>
        <w:t>Examination of the quantitative indicators, ESG ratings, stock market performance</w:t>
      </w:r>
      <w:r w:rsidR="6D7FFB3E">
        <w:rPr/>
        <w:t xml:space="preserve"> and</w:t>
      </w:r>
      <w:r w:rsidR="6D7FFB3E">
        <w:rPr/>
        <w:t xml:space="preserve"> profitability using Tesla and ExxonMobil to illustrate. </w:t>
      </w:r>
    </w:p>
    <w:p w:rsidRPr="003137A2" w:rsidR="003137A2" w:rsidP="257BFE88" w:rsidRDefault="003137A2" w14:paraId="1D5ED5D4" w14:textId="44C71B7F">
      <w:pPr>
        <w:numPr>
          <w:ilvl w:val="0"/>
          <w:numId w:val="7"/>
        </w:numPr>
        <w:spacing/>
        <w:contextualSpacing w:val="1"/>
        <w:rPr/>
      </w:pPr>
      <w:r w:rsidR="6D7FFB3E">
        <w:rPr/>
        <w:t>Analysis of the qualitative evidence from BlackRock’s disclosures, responsible investment practices reporting</w:t>
      </w:r>
      <w:r w:rsidR="6D7FFB3E">
        <w:rPr/>
        <w:t xml:space="preserve"> and</w:t>
      </w:r>
      <w:r w:rsidR="6D7FFB3E">
        <w:rPr/>
        <w:t xml:space="preserve"> corporate sustainability communications.</w:t>
      </w:r>
    </w:p>
    <w:p w:rsidRPr="003137A2" w:rsidR="003137A2" w:rsidP="003137A2" w:rsidRDefault="003137A2" w14:paraId="5A3DE94D" w14:textId="77777777">
      <w:pPr>
        <w:numPr>
          <w:ilvl w:val="0"/>
          <w:numId w:val="7"/>
        </w:numPr>
        <w:contextualSpacing/>
      </w:pPr>
      <w:r w:rsidRPr="003137A2">
        <w:t>Pulling these strands together to assess how the use of ESG scores at scale may generate unintended financial and economic consequences.</w:t>
      </w:r>
    </w:p>
    <w:p w:rsidR="688CEB16" w:rsidP="08626363" w:rsidRDefault="688CEB16" w14:paraId="7E740857" w14:textId="5A6FA8DF">
      <w:pPr>
        <w:spacing w:before="240" w:beforeAutospacing="off" w:after="240" w:afterAutospacing="off"/>
      </w:pPr>
      <w:r w:rsidR="74131136">
        <w:rPr/>
        <w:t>Importantly, this approach moves from company level and organisational behaviour to market</w:t>
      </w:r>
      <w:r w:rsidRPr="257BFE88" w:rsidR="74131136">
        <w:rPr>
          <w:rFonts w:ascii="Cambria Math" w:hAnsi="Cambria Math" w:cs="Cambria Math"/>
        </w:rPr>
        <w:t xml:space="preserve"> </w:t>
      </w:r>
      <w:r w:rsidR="74131136">
        <w:rPr/>
        <w:t xml:space="preserve">wide effects, providing a structured assessment of how ESG scoring systems may </w:t>
      </w:r>
      <w:r w:rsidR="1D6F11BF">
        <w:rPr/>
        <w:t>cause</w:t>
      </w:r>
      <w:r w:rsidR="74131136">
        <w:rPr/>
        <w:t xml:space="preserve"> unintended consequences</w:t>
      </w:r>
      <w:r w:rsidR="639BC09F">
        <w:rPr/>
        <w:t xml:space="preserve"> </w:t>
      </w:r>
      <w:r w:rsidRPr="257BFE88" w:rsidR="639BC09F">
        <w:rPr>
          <w:rFonts w:ascii="Aptos" w:hAnsi="Aptos" w:eastAsia="Aptos" w:cs="Aptos"/>
          <w:b w:val="0"/>
          <w:bCs w:val="0"/>
          <w:noProof w:val="0"/>
          <w:color w:val="000000" w:themeColor="text1" w:themeTint="FF" w:themeShade="FF"/>
          <w:sz w:val="24"/>
          <w:szCs w:val="24"/>
          <w:lang w:val="en-GB"/>
        </w:rPr>
        <w:t>(Arslan, 2025; Goerzen, 2025; Liu, 2025; Zhu, 2025)</w:t>
      </w:r>
    </w:p>
    <w:p w:rsidRPr="003137A2" w:rsidR="003137A2" w:rsidP="257BFE88" w:rsidRDefault="003137A2" w14:paraId="4E0D05D8" w14:textId="77777777">
      <w:pPr>
        <w:keepNext w:val="1"/>
        <w:keepLines w:val="1"/>
        <w:spacing w:before="160" w:after="80"/>
        <w:outlineLvl w:val="1"/>
        <w:rPr>
          <w:rFonts w:ascii="Aptos Display" w:hAnsi="Aptos Display" w:eastAsia="" w:cs="" w:asciiTheme="majorAscii" w:hAnsiTheme="majorAscii" w:eastAsiaTheme="majorEastAsia" w:cstheme="majorBidi"/>
          <w:color w:val="0F4761" w:themeColor="accent1" w:themeShade="BF"/>
          <w:sz w:val="32"/>
          <w:szCs w:val="32"/>
        </w:rPr>
      </w:pPr>
      <w:bookmarkStart w:name="_Toc2002750667" w:id="1294401220"/>
      <w:r w:rsidRPr="257BFE88" w:rsidR="6D7FFB3E">
        <w:rPr>
          <w:rFonts w:ascii="Aptos Display" w:hAnsi="Aptos Display" w:eastAsia="" w:cs="" w:asciiTheme="majorAscii" w:hAnsiTheme="majorAscii" w:eastAsiaTheme="majorEastAsia" w:cstheme="majorBidi"/>
          <w:color w:val="0F4761" w:themeColor="accent1" w:themeTint="FF" w:themeShade="BF"/>
          <w:sz w:val="32"/>
          <w:szCs w:val="32"/>
        </w:rPr>
        <w:t>4.1 Quantitative Findings</w:t>
      </w:r>
      <w:bookmarkEnd w:id="1294401220"/>
    </w:p>
    <w:p w:rsidRPr="003137A2" w:rsidR="003137A2" w:rsidP="257BFE88" w:rsidRDefault="003137A2" w14:paraId="64A6137F" w14:textId="77777777">
      <w:pPr>
        <w:keepNext w:val="1"/>
        <w:keepLines w:val="1"/>
        <w:spacing w:before="160" w:after="80"/>
        <w:outlineLvl w:val="2"/>
        <w:rPr>
          <w:rFonts w:eastAsia="" w:cs="" w:eastAsiaTheme="majorEastAsia" w:cstheme="majorBidi"/>
          <w:color w:val="0F4761" w:themeColor="accent1" w:themeShade="BF"/>
          <w:sz w:val="28"/>
          <w:szCs w:val="28"/>
        </w:rPr>
      </w:pPr>
      <w:bookmarkStart w:name="_Toc1361901597" w:id="145533751"/>
      <w:r w:rsidRPr="257BFE88" w:rsidR="6D7FFB3E">
        <w:rPr>
          <w:rFonts w:eastAsia="" w:cs="" w:eastAsiaTheme="majorEastAsia" w:cstheme="majorBidi"/>
          <w:color w:val="0F4761" w:themeColor="accent1" w:themeTint="FF" w:themeShade="BF"/>
          <w:sz w:val="28"/>
          <w:szCs w:val="28"/>
        </w:rPr>
        <w:t>4.1.1 Overview of Quantitative analysis</w:t>
      </w:r>
      <w:bookmarkEnd w:id="145533751"/>
    </w:p>
    <w:p w:rsidRPr="003137A2" w:rsidR="003137A2" w:rsidP="08626363" w:rsidRDefault="003137A2" w14:paraId="3975DFBF" w14:textId="167DF2C3">
      <w:pPr>
        <w:spacing w:before="240" w:beforeAutospacing="off" w:after="240" w:afterAutospacing="off"/>
      </w:pPr>
      <w:r w:rsidR="74131136">
        <w:rPr/>
        <w:t>The quantitative findings are based on publicly accessible i</w:t>
      </w:r>
      <w:r w:rsidR="74131136">
        <w:rPr/>
        <w:t>ndicators covering 2018 to 2025</w:t>
      </w:r>
      <w:r w:rsidR="57C34E41">
        <w:rPr/>
        <w:t xml:space="preserve"> </w:t>
      </w:r>
      <w:r w:rsidR="1C3F58D1">
        <w:rPr/>
        <w:t>(</w:t>
      </w:r>
      <w:r w:rsidRPr="257BFE88" w:rsidR="57C34E41">
        <w:rPr>
          <w:rFonts w:ascii="Aptos" w:hAnsi="Aptos" w:eastAsia="Aptos" w:cs="Aptos"/>
          <w:noProof w:val="0"/>
          <w:color w:val="000000" w:themeColor="text1" w:themeTint="FF" w:themeShade="FF"/>
          <w:sz w:val="24"/>
          <w:szCs w:val="24"/>
          <w:lang w:val="en-GB"/>
        </w:rPr>
        <w:t>Escobar-Saldívar, 202</w:t>
      </w:r>
      <w:r w:rsidRPr="257BFE88" w:rsidR="57C34E41">
        <w:rPr>
          <w:rFonts w:ascii="Aptos" w:hAnsi="Aptos" w:eastAsia="Aptos" w:cs="Aptos"/>
          <w:noProof w:val="0"/>
          <w:color w:val="000000" w:themeColor="text1" w:themeTint="FF" w:themeShade="FF"/>
          <w:sz w:val="24"/>
          <w:szCs w:val="24"/>
          <w:lang w:val="en-GB"/>
        </w:rPr>
        <w:t xml:space="preserve">5; </w:t>
      </w:r>
      <w:r w:rsidRPr="257BFE88" w:rsidR="57C34E41">
        <w:rPr>
          <w:rFonts w:ascii="Aptos" w:hAnsi="Aptos" w:eastAsia="Aptos" w:cs="Aptos"/>
          <w:noProof w:val="0"/>
          <w:color w:val="000000" w:themeColor="text1" w:themeTint="FF" w:themeShade="FF"/>
          <w:sz w:val="24"/>
          <w:szCs w:val="24"/>
          <w:lang w:val="en-GB"/>
        </w:rPr>
        <w:t>Gup</w:t>
      </w:r>
      <w:r w:rsidRPr="257BFE88" w:rsidR="57C34E41">
        <w:rPr>
          <w:rFonts w:ascii="Aptos" w:hAnsi="Aptos" w:eastAsia="Aptos" w:cs="Aptos"/>
          <w:noProof w:val="0"/>
          <w:color w:val="000000" w:themeColor="text1" w:themeTint="FF" w:themeShade="FF"/>
          <w:sz w:val="24"/>
          <w:szCs w:val="24"/>
          <w:lang w:val="en-GB"/>
        </w:rPr>
        <w:t>ta and Cha</w:t>
      </w:r>
      <w:r w:rsidRPr="257BFE88" w:rsidR="57C34E41">
        <w:rPr>
          <w:rFonts w:ascii="Aptos" w:hAnsi="Aptos" w:eastAsia="Aptos" w:cs="Aptos"/>
          <w:noProof w:val="0"/>
          <w:color w:val="000000" w:themeColor="text1" w:themeTint="FF" w:themeShade="FF"/>
          <w:sz w:val="24"/>
          <w:szCs w:val="24"/>
          <w:lang w:val="en-GB"/>
        </w:rPr>
        <w:t>udhary, 2026)</w:t>
      </w:r>
      <w:r w:rsidR="74131136">
        <w:rPr/>
        <w:t>. T</w:t>
      </w:r>
      <w:r w:rsidR="74131136">
        <w:rPr/>
        <w:t>he a</w:t>
      </w:r>
      <w:r w:rsidR="74131136">
        <w:rPr/>
        <w:t>nalysis assesses whether observable differences in ESG positioning correspond with differences in returns, volatility</w:t>
      </w:r>
      <w:r w:rsidR="74131136">
        <w:rPr/>
        <w:t xml:space="preserve"> and</w:t>
      </w:r>
      <w:r w:rsidR="74131136">
        <w:rPr/>
        <w:t xml:space="preserve"> profitability</w:t>
      </w:r>
      <w:r w:rsidR="76CBC6D1">
        <w:rPr/>
        <w:t xml:space="preserve"> </w:t>
      </w:r>
      <w:r w:rsidRPr="257BFE88" w:rsidR="76CBC6D1">
        <w:rPr>
          <w:rFonts w:ascii="Aptos" w:hAnsi="Aptos" w:eastAsia="Aptos" w:cs="Aptos"/>
          <w:noProof w:val="0"/>
          <w:color w:val="000000" w:themeColor="text1" w:themeTint="FF" w:themeShade="FF"/>
          <w:sz w:val="24"/>
          <w:szCs w:val="24"/>
          <w:lang w:val="en-GB"/>
        </w:rPr>
        <w:t xml:space="preserve">(Al </w:t>
      </w:r>
      <w:r w:rsidRPr="257BFE88" w:rsidR="76CBC6D1">
        <w:rPr>
          <w:rFonts w:ascii="Aptos" w:hAnsi="Aptos" w:eastAsia="Aptos" w:cs="Aptos"/>
          <w:noProof w:val="0"/>
          <w:color w:val="000000" w:themeColor="text1" w:themeTint="FF" w:themeShade="FF"/>
          <w:sz w:val="24"/>
          <w:szCs w:val="24"/>
          <w:lang w:val="en-GB"/>
        </w:rPr>
        <w:t>Amosh</w:t>
      </w:r>
      <w:r w:rsidRPr="257BFE88" w:rsidR="76CBC6D1">
        <w:rPr>
          <w:rFonts w:ascii="Aptos" w:hAnsi="Aptos" w:eastAsia="Aptos" w:cs="Aptos"/>
          <w:noProof w:val="0"/>
          <w:color w:val="000000" w:themeColor="text1" w:themeTint="FF" w:themeShade="FF"/>
          <w:sz w:val="24"/>
          <w:szCs w:val="24"/>
          <w:lang w:val="en-GB"/>
        </w:rPr>
        <w:t>, 2025; Wu, 2025)</w:t>
      </w:r>
      <w:r w:rsidR="74131136">
        <w:rPr/>
        <w:t>. Because the analysis relies on publicly available indicators and an interpretive mixed</w:t>
      </w:r>
      <w:r w:rsidRPr="257BFE88" w:rsidR="74131136">
        <w:rPr>
          <w:rFonts w:ascii="Cambria Math" w:hAnsi="Cambria Math" w:cs="Cambria Math"/>
        </w:rPr>
        <w:t xml:space="preserve"> </w:t>
      </w:r>
      <w:r w:rsidR="74131136">
        <w:rPr/>
        <w:t xml:space="preserve">methods approach, it is limited in that it can only </w:t>
      </w:r>
      <w:r w:rsidR="74131136">
        <w:rPr/>
        <w:t>identify</w:t>
      </w:r>
      <w:r w:rsidR="74131136">
        <w:rPr/>
        <w:t xml:space="preserve"> relationships and trends</w:t>
      </w:r>
      <w:r w:rsidR="7ACC8A42">
        <w:rPr/>
        <w:t xml:space="preserve"> </w:t>
      </w:r>
      <w:r w:rsidRPr="257BFE88" w:rsidR="7ACC8A42">
        <w:rPr>
          <w:rFonts w:ascii="Aptos" w:hAnsi="Aptos" w:eastAsia="Aptos" w:cs="Aptos"/>
          <w:noProof w:val="0"/>
          <w:color w:val="000000" w:themeColor="text1" w:themeTint="FF" w:themeShade="FF"/>
          <w:sz w:val="24"/>
          <w:szCs w:val="24"/>
          <w:lang w:val="en-GB"/>
        </w:rPr>
        <w:t xml:space="preserve">(Zubizarreta, 2026). </w:t>
      </w:r>
      <w:r w:rsidR="74131136">
        <w:rPr/>
        <w:t xml:space="preserve">The approach cannot </w:t>
      </w:r>
      <w:r w:rsidR="74131136">
        <w:rPr/>
        <w:t>determine</w:t>
      </w:r>
      <w:r w:rsidR="74131136">
        <w:rPr/>
        <w:t xml:space="preserve"> whether ESG scores directly cause changes in returns, volatility, or investor behaviour</w:t>
      </w:r>
      <w:r w:rsidRPr="257BFE88" w:rsidR="7DF61AA5">
        <w:rPr>
          <w:rFonts w:ascii="Aptos" w:hAnsi="Aptos" w:eastAsia="Aptos" w:cs="Aptos"/>
          <w:noProof w:val="0"/>
          <w:color w:val="000000" w:themeColor="text1" w:themeTint="FF" w:themeShade="FF"/>
          <w:sz w:val="24"/>
          <w:szCs w:val="24"/>
          <w:lang w:val="en-GB"/>
        </w:rPr>
        <w:t xml:space="preserve"> (Zubizarreta, 2026; </w:t>
      </w:r>
      <w:r w:rsidRPr="257BFE88" w:rsidR="7DF61AA5">
        <w:rPr>
          <w:rFonts w:ascii="Aptos" w:hAnsi="Aptos" w:eastAsia="Aptos" w:cs="Aptos"/>
          <w:noProof w:val="0"/>
          <w:color w:val="000000" w:themeColor="text1" w:themeTint="FF" w:themeShade="FF"/>
          <w:sz w:val="24"/>
          <w:szCs w:val="24"/>
          <w:lang w:val="en-GB"/>
        </w:rPr>
        <w:t>Ylä</w:t>
      </w:r>
      <w:r w:rsidRPr="257BFE88" w:rsidR="7DF61AA5">
        <w:rPr>
          <w:rFonts w:ascii="Aptos" w:hAnsi="Aptos" w:eastAsia="Aptos" w:cs="Aptos"/>
          <w:noProof w:val="0"/>
          <w:color w:val="000000" w:themeColor="text1" w:themeTint="FF" w:themeShade="FF"/>
          <w:sz w:val="24"/>
          <w:szCs w:val="24"/>
          <w:lang w:val="en-GB"/>
        </w:rPr>
        <w:t>-Anttila, 2026)</w:t>
      </w:r>
    </w:p>
    <w:p w:rsidRPr="003137A2" w:rsidR="003137A2" w:rsidP="08626363" w:rsidRDefault="003137A2" w14:paraId="7FD90654" w14:textId="33B46618">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74131136">
        <w:rPr/>
        <w:t>To illustrate these broad patterns, this graph compares an ESG</w:t>
      </w:r>
      <w:r w:rsidRPr="257BFE88" w:rsidR="74131136">
        <w:rPr>
          <w:rFonts w:ascii="Cambria Math" w:hAnsi="Cambria Math" w:cs="Cambria Math"/>
        </w:rPr>
        <w:t xml:space="preserve"> </w:t>
      </w:r>
      <w:r w:rsidR="74131136">
        <w:rPr/>
        <w:t>focused index with its parent benchmark</w:t>
      </w:r>
      <w:r w:rsidR="5BD38792">
        <w:rPr/>
        <w:t xml:space="preserve">. </w:t>
      </w:r>
      <w:r w:rsidR="74131136">
        <w:rPr/>
        <w:t>In index</w:t>
      </w:r>
      <w:r w:rsidRPr="257BFE88" w:rsidR="74131136">
        <w:rPr>
          <w:rFonts w:ascii="Cambria Math" w:hAnsi="Cambria Math" w:cs="Cambria Math"/>
        </w:rPr>
        <w:t xml:space="preserve"> </w:t>
      </w:r>
      <w:r w:rsidR="74131136">
        <w:rPr/>
        <w:t xml:space="preserve">linked investing a parent benchmark (or parent index) is the original, broad market index from which a specialised or </w:t>
      </w:r>
      <w:r w:rsidR="74131136">
        <w:rPr/>
        <w:t>ESG</w:t>
      </w:r>
      <w:r w:rsidR="41E6D439">
        <w:rPr/>
        <w:t xml:space="preserve"> </w:t>
      </w:r>
      <w:r w:rsidR="74131136">
        <w:rPr/>
        <w:t>adjusted</w:t>
      </w:r>
      <w:r w:rsidR="74131136">
        <w:rPr/>
        <w:t xml:space="preserve"> index is derived</w:t>
      </w:r>
      <w:r w:rsidR="57E5FCA7">
        <w:rPr/>
        <w:t>.</w:t>
      </w:r>
      <w:r w:rsidR="6074F856">
        <w:rPr/>
        <w:t xml:space="preserve"> </w:t>
      </w:r>
      <w:r w:rsidR="6074F856">
        <w:rPr>
          <w:b w:val="0"/>
          <w:bCs w:val="0"/>
        </w:rPr>
        <w:t>(</w:t>
      </w:r>
      <w:r w:rsidRPr="257BFE88" w:rsidR="6074F856">
        <w:rPr>
          <w:rFonts w:ascii="Aptos" w:hAnsi="Aptos" w:eastAsia="Aptos" w:cs="Aptos"/>
          <w:b w:val="0"/>
          <w:bCs w:val="0"/>
          <w:noProof w:val="0"/>
          <w:color w:val="000000" w:themeColor="text1" w:themeTint="FF" w:themeShade="FF"/>
          <w:sz w:val="24"/>
          <w:szCs w:val="24"/>
          <w:lang w:val="en-GB"/>
        </w:rPr>
        <w:t>Gupta and Chaudhary, 2026</w:t>
      </w:r>
      <w:r w:rsidRPr="257BFE88" w:rsidR="0B7F863A">
        <w:rPr>
          <w:rFonts w:ascii="Aptos" w:hAnsi="Aptos" w:eastAsia="Aptos" w:cs="Aptos"/>
          <w:b w:val="0"/>
          <w:bCs w:val="0"/>
          <w:noProof w:val="0"/>
          <w:color w:val="000000" w:themeColor="text1" w:themeTint="FF" w:themeShade="FF"/>
          <w:sz w:val="24"/>
          <w:szCs w:val="24"/>
          <w:lang w:val="en-GB"/>
        </w:rPr>
        <w:t xml:space="preserve">; </w:t>
      </w:r>
      <w:r w:rsidRPr="257BFE88" w:rsidR="0B7F863A">
        <w:rPr>
          <w:rFonts w:ascii="Aptos" w:hAnsi="Aptos" w:eastAsia="Aptos" w:cs="Aptos"/>
          <w:b w:val="0"/>
          <w:bCs w:val="0"/>
          <w:noProof w:val="0"/>
          <w:color w:val="000000" w:themeColor="text1" w:themeTint="FF" w:themeShade="FF"/>
          <w:sz w:val="24"/>
          <w:szCs w:val="24"/>
          <w:lang w:val="en-GB"/>
        </w:rPr>
        <w:t>chen</w:t>
      </w:r>
      <w:r w:rsidRPr="257BFE88" w:rsidR="0B7F863A">
        <w:rPr>
          <w:rFonts w:ascii="Aptos" w:hAnsi="Aptos" w:eastAsia="Aptos" w:cs="Aptos"/>
          <w:b w:val="0"/>
          <w:bCs w:val="0"/>
          <w:noProof w:val="0"/>
          <w:color w:val="000000" w:themeColor="text1" w:themeTint="FF" w:themeShade="FF"/>
          <w:sz w:val="24"/>
          <w:szCs w:val="24"/>
          <w:lang w:val="en-GB"/>
        </w:rPr>
        <w:t xml:space="preserve"> et al,</w:t>
      </w:r>
      <w:r w:rsidRPr="257BFE88" w:rsidR="406A53FC">
        <w:rPr>
          <w:rFonts w:ascii="Aptos" w:hAnsi="Aptos" w:eastAsia="Aptos" w:cs="Aptos"/>
          <w:b w:val="0"/>
          <w:bCs w:val="0"/>
          <w:noProof w:val="0"/>
          <w:color w:val="000000" w:themeColor="text1" w:themeTint="FF" w:themeShade="FF"/>
          <w:sz w:val="24"/>
          <w:szCs w:val="24"/>
          <w:lang w:val="en-GB"/>
        </w:rPr>
        <w:t xml:space="preserve"> 2025)</w:t>
      </w:r>
      <w:r w:rsidRPr="257BFE88" w:rsidR="0B7F863A">
        <w:rPr>
          <w:rFonts w:ascii="Aptos" w:hAnsi="Aptos" w:eastAsia="Aptos" w:cs="Aptos"/>
          <w:b w:val="0"/>
          <w:bCs w:val="0"/>
          <w:noProof w:val="0"/>
          <w:color w:val="000000" w:themeColor="text1" w:themeTint="FF" w:themeShade="FF"/>
          <w:sz w:val="24"/>
          <w:szCs w:val="24"/>
          <w:lang w:val="en-GB"/>
        </w:rPr>
        <w:t xml:space="preserve"> </w:t>
      </w:r>
    </w:p>
    <w:p w:rsidRPr="003137A2" w:rsidR="003137A2" w:rsidP="003137A2" w:rsidRDefault="003137A2" w14:paraId="036A7009" w14:textId="681522B1">
      <w:pPr>
        <w:rPr>
          <w:b w:val="0"/>
          <w:bCs w:val="0"/>
        </w:rPr>
      </w:pPr>
    </w:p>
    <w:p w:rsidRPr="003137A2" w:rsidR="003137A2" w:rsidP="003137A2" w:rsidRDefault="003137A2" w14:paraId="2558BDB9" w14:textId="77777777">
      <w:pPr>
        <w:spacing w:before="240" w:after="240" w:line="240" w:lineRule="auto"/>
        <w:rPr>
          <w:rFonts w:ascii="Times New Roman" w:hAnsi="Times New Roman" w:eastAsia="Times New Roman" w:cs="Times New Roman"/>
          <w:kern w:val="0"/>
          <w:lang w:eastAsia="en-GB"/>
          <w14:ligatures w14:val="none"/>
        </w:rPr>
      </w:pPr>
      <w:r w:rsidRPr="003137A2">
        <w:rPr>
          <w:rFonts w:ascii="Arial" w:hAnsi="Arial" w:eastAsia="Times New Roman" w:cs="Arial"/>
          <w:b/>
          <w:bCs/>
          <w:noProof/>
          <w:color w:val="000000"/>
          <w:kern w:val="0"/>
          <w:sz w:val="26"/>
          <w:szCs w:val="26"/>
          <w:bdr w:val="none" w:color="auto" w:sz="0" w:space="0" w:frame="1"/>
          <w:lang w:eastAsia="en-GB"/>
          <w14:ligatures w14:val="none"/>
        </w:rPr>
        <w:drawing>
          <wp:inline distT="0" distB="0" distL="0" distR="0" wp14:anchorId="320AE8D8" wp14:editId="67937B10">
            <wp:extent cx="5730240" cy="3817620"/>
            <wp:effectExtent l="0" t="0" r="381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0240" cy="3817620"/>
                    </a:xfrm>
                    <a:prstGeom prst="rect">
                      <a:avLst/>
                    </a:prstGeom>
                    <a:noFill/>
                    <a:ln>
                      <a:noFill/>
                    </a:ln>
                  </pic:spPr>
                </pic:pic>
              </a:graphicData>
            </a:graphic>
          </wp:inline>
        </w:drawing>
      </w:r>
    </w:p>
    <w:p w:rsidRPr="003137A2" w:rsidR="003137A2" w:rsidP="003137A2" w:rsidRDefault="003137A2" w14:paraId="58731B60" w14:textId="77777777">
      <w:pPr>
        <w:spacing w:after="0" w:line="240" w:lineRule="auto"/>
        <w:rPr>
          <w:rFonts w:ascii="Times New Roman" w:hAnsi="Times New Roman" w:eastAsia="Times New Roman" w:cs="Times New Roman"/>
          <w:kern w:val="0"/>
          <w:lang w:eastAsia="en-GB"/>
          <w14:ligatures w14:val="none"/>
        </w:rPr>
      </w:pPr>
    </w:p>
    <w:p w:rsidRPr="003137A2" w:rsidR="003137A2" w:rsidP="08626363" w:rsidRDefault="003137A2" w14:paraId="52EE226B" w14:textId="575161DD">
      <w:pPr>
        <w:spacing w:before="240" w:after="240" w:line="240" w:lineRule="auto"/>
        <w:rPr>
          <w:rFonts w:eastAsia="Times New Roman" w:cs="Arial"/>
          <w:color w:val="000000" w:themeColor="text1" w:themeTint="FF" w:themeShade="FF"/>
          <w:kern w:val="0"/>
          <w:lang w:eastAsia="en-GB"/>
          <w14:ligatures w14:val="none"/>
        </w:rPr>
      </w:pPr>
      <w:r w:rsidRPr="003137A2" w:rsidR="688CEB16">
        <w:rPr>
          <w:rFonts w:eastAsia="Times New Roman" w:cs="Arial"/>
          <w:b w:val="1"/>
          <w:bCs w:val="1"/>
          <w:color w:val="000000"/>
          <w:kern w:val="0"/>
          <w:lang w:eastAsia="en-GB"/>
          <w14:ligatures w14:val="none"/>
        </w:rPr>
        <w:t>Source:</w:t>
      </w:r>
      <w:r w:rsidRPr="003137A2" w:rsidR="688CEB16">
        <w:rPr>
          <w:rFonts w:eastAsia="Times New Roman" w:cs="Arial"/>
          <w:color w:val="000000"/>
          <w:kern w:val="0"/>
          <w:lang w:eastAsia="en-GB"/>
          <w14:ligatures w14:val="none"/>
        </w:rPr>
        <w:t xml:space="preserve"> </w:t>
      </w:r>
      <w:r w:rsidRPr="003137A2" w:rsidR="7384D0B3">
        <w:rPr>
          <w:rFonts w:eastAsia="Times New Roman" w:cs="Arial"/>
          <w:color w:val="000000"/>
          <w:kern w:val="0"/>
          <w:lang w:eastAsia="en-GB"/>
          <w14:ligatures w14:val="none"/>
        </w:rPr>
        <w:t xml:space="preserve">(</w:t>
      </w:r>
      <w:r w:rsidRPr="003137A2" w:rsidR="688CEB16">
        <w:rPr>
          <w:rFonts w:eastAsia="Times New Roman" w:cs="Arial"/>
          <w:color w:val="000000"/>
          <w:kern w:val="0"/>
          <w:lang w:eastAsia="en-GB"/>
          <w14:ligatures w14:val="none"/>
        </w:rPr>
        <w:t xml:space="preserve">MSCI</w:t>
      </w:r>
      <w:r w:rsidRPr="003137A2" w:rsidR="6B70F86A">
        <w:rPr>
          <w:rFonts w:eastAsia="Times New Roman" w:cs="Arial"/>
          <w:color w:val="000000"/>
          <w:kern w:val="0"/>
          <w:lang w:eastAsia="en-GB"/>
          <w14:ligatures w14:val="none"/>
        </w:rPr>
        <w:t xml:space="preserve">, </w:t>
      </w:r>
      <w:r w:rsidRPr="003137A2" w:rsidR="688CEB16">
        <w:rPr>
          <w:rFonts w:eastAsia="Times New Roman" w:cs="Arial"/>
          <w:color w:val="000000"/>
          <w:kern w:val="0"/>
          <w:lang w:eastAsia="en-GB"/>
          <w14:ligatures w14:val="none"/>
        </w:rPr>
        <w:t xml:space="preserve">2026)</w:t>
      </w:r>
    </w:p>
    <w:p w:rsidRPr="003137A2" w:rsidR="003137A2" w:rsidP="003137A2" w:rsidRDefault="003137A2" w14:paraId="14AB35F8" w14:textId="6AB90A12">
      <w:r w:rsidR="475CA23C">
        <w:rPr/>
        <w:t>The data</w:t>
      </w:r>
      <w:r w:rsidR="6D7FFB3E">
        <w:rPr/>
        <w:t xml:space="preserve"> shows</w:t>
      </w:r>
      <w:r w:rsidR="70A07867">
        <w:rPr/>
        <w:t xml:space="preserve"> that the</w:t>
      </w:r>
      <w:r w:rsidR="6D7FFB3E">
        <w:rPr/>
        <w:t xml:space="preserve"> ESG index </w:t>
      </w:r>
      <w:r w:rsidR="4494C868">
        <w:rPr/>
        <w:t>produced</w:t>
      </w:r>
      <w:r w:rsidR="6D7FFB3E">
        <w:rPr/>
        <w:t xml:space="preserve"> similar or slightly better cumulative returns and </w:t>
      </w:r>
      <w:r w:rsidR="01590E3C">
        <w:rPr/>
        <w:t>was just as volatile</w:t>
      </w:r>
      <w:r w:rsidR="6D7FFB3E">
        <w:rPr/>
        <w:t>.</w:t>
      </w:r>
      <w:r w:rsidR="6D7FFB3E">
        <w:rPr/>
        <w:t xml:space="preserve"> This supports the idea that ESG positioning may be associated with stable or favourable market outcomes. </w:t>
      </w:r>
      <w:r w:rsidR="6D7FFB3E">
        <w:rPr/>
        <w:t xml:space="preserve">The ESG ratings provide </w:t>
      </w:r>
      <w:r w:rsidR="53F09E69">
        <w:rPr/>
        <w:t xml:space="preserve">only </w:t>
      </w:r>
      <w:r w:rsidR="6D7FFB3E">
        <w:rPr/>
        <w:t xml:space="preserve">a simplified </w:t>
      </w:r>
      <w:r w:rsidR="6D7FFB3E">
        <w:rPr/>
        <w:t>indication</w:t>
      </w:r>
      <w:r w:rsidR="6D7FFB3E">
        <w:rPr/>
        <w:t xml:space="preserve"> of sustainability related risk</w:t>
      </w:r>
      <w:r w:rsidR="2C352CB5">
        <w:rPr/>
        <w:t>. The overall financial</w:t>
      </w:r>
      <w:r w:rsidR="6D7FFB3E">
        <w:rPr/>
        <w:t xml:space="preserve"> outcomes </w:t>
      </w:r>
      <w:r w:rsidR="7E32E9D3">
        <w:rPr/>
        <w:t xml:space="preserve">are </w:t>
      </w:r>
      <w:r w:rsidR="6D7FFB3E">
        <w:rPr/>
        <w:t xml:space="preserve">strongly influenced by </w:t>
      </w:r>
      <w:r w:rsidR="1E0E134B">
        <w:rPr/>
        <w:t xml:space="preserve">industry </w:t>
      </w:r>
      <w:r w:rsidR="6D7FFB3E">
        <w:rPr/>
        <w:t>sector factors</w:t>
      </w:r>
      <w:r w:rsidR="39D4DDB3">
        <w:rPr/>
        <w:t xml:space="preserve">, </w:t>
      </w:r>
      <w:r w:rsidR="6D7FFB3E">
        <w:rPr/>
        <w:t xml:space="preserve">business </w:t>
      </w:r>
      <w:r w:rsidR="6D7FFB3E">
        <w:rPr/>
        <w:t>models</w:t>
      </w:r>
      <w:r w:rsidR="6D7FFB3E">
        <w:rPr/>
        <w:t xml:space="preserve"> and</w:t>
      </w:r>
      <w:r w:rsidR="006B2022">
        <w:rPr/>
        <w:t xml:space="preserve"> the</w:t>
      </w:r>
      <w:r w:rsidR="6D7FFB3E">
        <w:rPr/>
        <w:t xml:space="preserve"> macroeconomic conditions</w:t>
      </w:r>
      <w:r w:rsidR="482ADAB0">
        <w:rPr/>
        <w:t xml:space="preserve"> at that time</w:t>
      </w:r>
      <w:r w:rsidR="6D7FFB3E">
        <w:rPr/>
        <w:t xml:space="preserve"> (Abate, 2025; Kyei-Mensah, 2026).</w:t>
      </w:r>
    </w:p>
    <w:p w:rsidRPr="003137A2" w:rsidR="003137A2" w:rsidP="257BFE88" w:rsidRDefault="003137A2" w14:paraId="07422F6F" w14:textId="77777777">
      <w:pPr>
        <w:keepNext w:val="1"/>
        <w:keepLines w:val="1"/>
        <w:spacing w:before="160" w:after="80"/>
        <w:outlineLvl w:val="2"/>
        <w:rPr>
          <w:rFonts w:eastAsia="" w:cs="" w:eastAsiaTheme="majorEastAsia" w:cstheme="majorBidi"/>
          <w:color w:val="0F4761" w:themeColor="accent1" w:themeShade="BF"/>
          <w:sz w:val="28"/>
          <w:szCs w:val="28"/>
        </w:rPr>
      </w:pPr>
      <w:bookmarkStart w:name="_Toc256906928" w:id="2112383252"/>
      <w:r w:rsidRPr="257BFE88" w:rsidR="6D7FFB3E">
        <w:rPr>
          <w:rFonts w:eastAsia="" w:cs="" w:eastAsiaTheme="majorEastAsia" w:cstheme="majorBidi"/>
          <w:color w:val="0F4761" w:themeColor="accent1" w:themeTint="FF" w:themeShade="BF"/>
          <w:sz w:val="28"/>
          <w:szCs w:val="28"/>
        </w:rPr>
        <w:t>4.1.2 ESG Ratings as an Independent Signal</w:t>
      </w:r>
      <w:bookmarkEnd w:id="2112383252"/>
    </w:p>
    <w:p w:rsidRPr="003137A2" w:rsidR="003137A2" w:rsidP="003137A2" w:rsidRDefault="003137A2" w14:paraId="11225B9E" w14:textId="4D920632">
      <w:r w:rsidR="688CEB16">
        <w:rPr/>
        <w:t>The Tesla and ExxonMobil analysis illustrates that ESG ratings reflect a range of factors, which means they can act in ways that are unexpected as in these examples:</w:t>
      </w:r>
    </w:p>
    <w:p w:rsidRPr="003137A2" w:rsidR="003137A2" w:rsidP="003137A2" w:rsidRDefault="003137A2" w14:paraId="6E2168E7" w14:textId="77777777">
      <w:r w:rsidRPr="003137A2">
        <w:t>• Tesla is widely perceived as environmentally aligned, yet its composite ESG ratings often reflect governance and social concerns.</w:t>
      </w:r>
    </w:p>
    <w:p w:rsidRPr="003137A2" w:rsidR="003137A2" w:rsidP="003137A2" w:rsidRDefault="003137A2" w14:paraId="12C26214" w14:textId="30EC0E65">
      <w:r w:rsidR="6D7FFB3E">
        <w:rPr/>
        <w:t>• ExxonMobil receives lower environmental scores</w:t>
      </w:r>
      <w:r w:rsidR="581EF3CC">
        <w:rPr/>
        <w:t xml:space="preserve">. This is because it has </w:t>
      </w:r>
      <w:r w:rsidR="6D7FFB3E">
        <w:rPr/>
        <w:t>carbon intensive operations</w:t>
      </w:r>
      <w:r w:rsidR="729DC6AB">
        <w:rPr/>
        <w:t>. However, it does</w:t>
      </w:r>
      <w:r w:rsidR="6D7FFB3E">
        <w:rPr/>
        <w:t xml:space="preserve"> </w:t>
      </w:r>
      <w:r w:rsidR="62A51675">
        <w:rPr/>
        <w:t>perform</w:t>
      </w:r>
      <w:r w:rsidR="6D7FFB3E">
        <w:rPr/>
        <w:t xml:space="preserve"> more consistently on governance and operational stability</w:t>
      </w:r>
      <w:r w:rsidR="0938D576">
        <w:rPr/>
        <w:t xml:space="preserve"> scores</w:t>
      </w:r>
      <w:r w:rsidR="6D7FFB3E">
        <w:rPr/>
        <w:t>.</w:t>
      </w:r>
    </w:p>
    <w:p w:rsidRPr="003137A2" w:rsidR="003137A2" w:rsidP="003137A2" w:rsidRDefault="003137A2" w14:paraId="46394BFE" w14:textId="08D2F851">
      <w:r w:rsidR="74131136">
        <w:rPr/>
        <w:t>The contrast</w:t>
      </w:r>
      <w:r w:rsidR="34DCF40F">
        <w:rPr/>
        <w:t xml:space="preserve"> between </w:t>
      </w:r>
      <w:r w:rsidR="01B811F1">
        <w:rPr/>
        <w:t xml:space="preserve">Tesla and ExxonMobil </w:t>
      </w:r>
      <w:r w:rsidR="74131136">
        <w:rPr/>
        <w:t>show</w:t>
      </w:r>
      <w:r w:rsidR="51E0DF08">
        <w:rPr/>
        <w:t>s</w:t>
      </w:r>
      <w:r w:rsidR="74131136">
        <w:rPr/>
        <w:t xml:space="preserve"> that ESG ratings are not a simple indicator of environmental performance. Instead, they reflect how each provider designs its </w:t>
      </w:r>
      <w:r w:rsidR="0D691540">
        <w:rPr/>
        <w:t>approach</w:t>
      </w:r>
      <w:r w:rsidR="74131136">
        <w:rPr/>
        <w:t>, adjust</w:t>
      </w:r>
      <w:r w:rsidR="24CF7139">
        <w:rPr/>
        <w:t>ed</w:t>
      </w:r>
      <w:r w:rsidR="74131136">
        <w:rPr/>
        <w:t xml:space="preserve"> for sector differences</w:t>
      </w:r>
      <w:r w:rsidR="74131136">
        <w:rPr/>
        <w:t xml:space="preserve"> and</w:t>
      </w:r>
      <w:r w:rsidR="74131136">
        <w:rPr/>
        <w:t xml:space="preserve"> weight</w:t>
      </w:r>
      <w:r w:rsidR="224753FE">
        <w:rPr/>
        <w:t>ed</w:t>
      </w:r>
      <w:r w:rsidR="74131136">
        <w:rPr/>
        <w:t xml:space="preserve"> governance factors (Galema and Gerritsen, 2025).</w:t>
      </w:r>
    </w:p>
    <w:p w:rsidRPr="003137A2" w:rsidR="003137A2" w:rsidP="003137A2" w:rsidRDefault="003137A2" w14:paraId="1F2527FE" w14:textId="77777777">
      <w:r w:rsidRPr="003137A2">
        <w:t>These differences show why ESG ratings can send mixed signals to investors and why they must be interpreted in the context of their design and data sources.</w:t>
      </w:r>
    </w:p>
    <w:p w:rsidRPr="003137A2" w:rsidR="003137A2" w:rsidP="257BFE88" w:rsidRDefault="003137A2" w14:paraId="6F7BF125" w14:textId="77777777">
      <w:pPr>
        <w:keepNext w:val="1"/>
        <w:keepLines w:val="1"/>
        <w:spacing w:before="160" w:after="80"/>
        <w:outlineLvl w:val="2"/>
        <w:rPr>
          <w:rFonts w:eastAsia="" w:cs="" w:eastAsiaTheme="majorEastAsia" w:cstheme="majorBidi"/>
          <w:color w:val="0F4761" w:themeColor="accent1" w:themeShade="BF"/>
          <w:sz w:val="28"/>
          <w:szCs w:val="28"/>
        </w:rPr>
      </w:pPr>
      <w:bookmarkStart w:name="_Toc684655252" w:id="415657317"/>
      <w:r w:rsidRPr="257BFE88" w:rsidR="6D7FFB3E">
        <w:rPr>
          <w:rFonts w:eastAsia="" w:cs="" w:eastAsiaTheme="majorEastAsia" w:cstheme="majorBidi"/>
          <w:color w:val="0F4761" w:themeColor="accent1" w:themeTint="FF" w:themeShade="BF"/>
          <w:sz w:val="28"/>
          <w:szCs w:val="28"/>
        </w:rPr>
        <w:t>4.1.3 Stock Market Performance (Returns and Volatility)</w:t>
      </w:r>
      <w:bookmarkEnd w:id="415657317"/>
    </w:p>
    <w:p w:rsidRPr="003137A2" w:rsidR="003137A2" w:rsidP="003137A2" w:rsidRDefault="003137A2" w14:paraId="00DF094A" w14:textId="77777777">
      <w:r w:rsidRPr="003137A2">
        <w:t>The stock market data reinforces that ESG ratings alone do not determine financial outcomes:</w:t>
      </w:r>
    </w:p>
    <w:p w:rsidRPr="003137A2" w:rsidR="003137A2" w:rsidP="003137A2" w:rsidRDefault="003137A2" w14:paraId="0773FE47" w14:textId="77777777">
      <w:r w:rsidRPr="003137A2">
        <w:t>• Tesla shows strong growth and financial gains across the period, but with high volatility which is typical of a company focused on growth.</w:t>
      </w:r>
    </w:p>
    <w:p w:rsidRPr="003137A2" w:rsidR="003137A2" w:rsidP="003137A2" w:rsidRDefault="003137A2" w14:paraId="07EEAB96" w14:textId="1BE42459">
      <w:r w:rsidR="6D7FFB3E">
        <w:rPr/>
        <w:t xml:space="preserve">• ExxonMobil delivers more moderate gains and lower volatility which is expected from a more a mature established fossil fuels </w:t>
      </w:r>
      <w:r w:rsidR="516EB8B3">
        <w:rPr/>
        <w:t xml:space="preserve">driven </w:t>
      </w:r>
      <w:r w:rsidR="6D7FFB3E">
        <w:rPr/>
        <w:t xml:space="preserve">energy company. </w:t>
      </w:r>
    </w:p>
    <w:p w:rsidRPr="003137A2" w:rsidR="003137A2" w:rsidP="08626363" w:rsidRDefault="003137A2" w14:paraId="32073651" w14:textId="43C5EA65">
      <w:pPr>
        <w:keepNext/>
        <w:keepLines/>
        <w:spacing w:before="240" w:beforeAutospacing="off" w:after="240" w:afterAutospacing="off"/>
        <w:outlineLvl w:val="3"/>
        <w:rPr>
          <w:rFonts w:ascii="Aptos" w:hAnsi="Aptos" w:eastAsia="Aptos" w:cs="Aptos"/>
          <w:noProof w:val="0"/>
          <w:color w:val="000000" w:themeColor="text1" w:themeTint="FF" w:themeShade="FF"/>
          <w:sz w:val="24"/>
          <w:szCs w:val="24"/>
          <w:lang w:val="en-GB"/>
        </w:rPr>
      </w:pPr>
      <w:r w:rsidRPr="08626363" w:rsidR="688CEB16">
        <w:rPr>
          <w:rFonts w:eastAsia="" w:cs="" w:eastAsiaTheme="majorEastAsia" w:cstheme="majorBidi"/>
          <w:i w:val="1"/>
          <w:iCs w:val="1"/>
          <w:color w:val="0F4761" w:themeColor="accent1" w:themeTint="FF" w:themeShade="BF"/>
        </w:rPr>
        <w:t>The chart below illustrates findings</w:t>
      </w:r>
      <w:r w:rsidRPr="08626363" w:rsidR="66B6E9E8">
        <w:rPr>
          <w:rFonts w:eastAsia="" w:cs="" w:eastAsiaTheme="majorEastAsia" w:cstheme="majorBidi"/>
          <w:i w:val="1"/>
          <w:iCs w:val="1"/>
          <w:color w:val="0F4761" w:themeColor="accent1" w:themeTint="FF" w:themeShade="BF"/>
        </w:rPr>
        <w:t xml:space="preserve"> from</w:t>
      </w:r>
      <w:r w:rsidRPr="08626363" w:rsidR="688CEB16">
        <w:rPr>
          <w:rFonts w:eastAsia="" w:cs="" w:eastAsiaTheme="majorEastAsia" w:cstheme="majorBidi"/>
          <w:i w:val="1"/>
          <w:iCs w:val="1"/>
          <w:color w:val="0F4761" w:themeColor="accent1" w:themeTint="FF" w:themeShade="BF"/>
        </w:rPr>
        <w:t xml:space="preserve"> </w:t>
      </w:r>
      <w:r w:rsidRPr="08626363" w:rsidR="393D5638">
        <w:rPr>
          <w:rFonts w:eastAsia="" w:cs="" w:eastAsiaTheme="majorEastAsia" w:cstheme="majorBidi"/>
          <w:i w:val="1"/>
          <w:iCs w:val="1"/>
          <w:color w:val="0F4761" w:themeColor="accent1" w:themeTint="FF" w:themeShade="BF"/>
        </w:rPr>
        <w:t>(</w:t>
      </w:r>
      <w:r w:rsidRPr="08626363" w:rsidR="2184071C">
        <w:rPr>
          <w:rFonts w:ascii="Aptos" w:hAnsi="Aptos" w:eastAsia="" w:cs="" w:asciiTheme="minorAscii" w:hAnsiTheme="minorAscii" w:eastAsiaTheme="majorEastAsia" w:cstheme="majorBidi"/>
          <w:i w:val="1"/>
          <w:iCs w:val="1"/>
          <w:noProof w:val="0"/>
          <w:color w:val="0F4761" w:themeColor="accent1" w:themeTint="FF" w:themeShade="BF"/>
          <w:sz w:val="24"/>
          <w:szCs w:val="24"/>
          <w:lang w:val="en-GB" w:eastAsia="en-US" w:bidi="ar-SA"/>
        </w:rPr>
        <w:t>FinanceCharts</w:t>
      </w:r>
      <w:r w:rsidRPr="08626363" w:rsidR="3A0331EC">
        <w:rPr>
          <w:rFonts w:ascii="Aptos" w:hAnsi="Aptos" w:eastAsia="" w:cs="" w:asciiTheme="minorAscii" w:hAnsiTheme="minorAscii" w:eastAsiaTheme="majorEastAsia" w:cstheme="majorBidi"/>
          <w:i w:val="1"/>
          <w:iCs w:val="1"/>
          <w:noProof w:val="0"/>
          <w:color w:val="0F4761" w:themeColor="accent1" w:themeTint="FF" w:themeShade="BF"/>
          <w:sz w:val="24"/>
          <w:szCs w:val="24"/>
          <w:lang w:val="en-GB" w:eastAsia="en-US" w:bidi="ar-SA"/>
        </w:rPr>
        <w:t xml:space="preserve">, </w:t>
      </w:r>
      <w:r w:rsidRPr="08626363" w:rsidR="2184071C">
        <w:rPr>
          <w:rFonts w:ascii="Aptos" w:hAnsi="Aptos" w:eastAsia="" w:cs="" w:asciiTheme="minorAscii" w:hAnsiTheme="minorAscii" w:eastAsiaTheme="majorEastAsia" w:cstheme="majorBidi"/>
          <w:i w:val="1"/>
          <w:iCs w:val="1"/>
          <w:noProof w:val="0"/>
          <w:color w:val="0F4761" w:themeColor="accent1" w:themeTint="FF" w:themeShade="BF"/>
          <w:sz w:val="24"/>
          <w:szCs w:val="24"/>
          <w:lang w:val="en-GB" w:eastAsia="en-US" w:bidi="ar-SA"/>
        </w:rPr>
        <w:t>2026</w:t>
      </w:r>
      <w:r w:rsidRPr="08626363" w:rsidR="102B6B77">
        <w:rPr>
          <w:rFonts w:ascii="Aptos" w:hAnsi="Aptos" w:eastAsia="" w:cs="" w:asciiTheme="minorAscii" w:hAnsiTheme="minorAscii" w:eastAsiaTheme="majorEastAsia" w:cstheme="majorBidi"/>
          <w:i w:val="1"/>
          <w:iCs w:val="1"/>
          <w:noProof w:val="0"/>
          <w:color w:val="0F4761" w:themeColor="accent1" w:themeTint="FF" w:themeShade="BF"/>
          <w:sz w:val="24"/>
          <w:szCs w:val="24"/>
          <w:lang w:val="en-GB" w:eastAsia="en-US" w:bidi="ar-SA"/>
        </w:rPr>
        <w:t>;</w:t>
      </w:r>
      <w:r w:rsidRPr="08626363" w:rsidR="2184071C">
        <w:rPr>
          <w:rFonts w:ascii="Aptos" w:hAnsi="Aptos" w:eastAsia="" w:cs="" w:asciiTheme="minorAscii" w:hAnsiTheme="minorAscii" w:eastAsiaTheme="majorEastAsia" w:cstheme="majorBidi"/>
          <w:i w:val="1"/>
          <w:iCs w:val="1"/>
          <w:noProof w:val="0"/>
          <w:color w:val="0F4761" w:themeColor="accent1" w:themeTint="FF" w:themeShade="BF"/>
          <w:sz w:val="24"/>
          <w:szCs w:val="24"/>
          <w:lang w:val="en-GB" w:eastAsia="en-US" w:bidi="ar-SA"/>
        </w:rPr>
        <w:t xml:space="preserve"> </w:t>
      </w:r>
      <w:r w:rsidRPr="08626363" w:rsidR="2184071C">
        <w:rPr>
          <w:rFonts w:ascii="Aptos" w:hAnsi="Aptos" w:eastAsia="" w:cs="" w:asciiTheme="minorAscii" w:hAnsiTheme="minorAscii" w:eastAsiaTheme="majorEastAsia" w:cstheme="majorBidi"/>
          <w:i w:val="1"/>
          <w:iCs w:val="1"/>
          <w:noProof w:val="0"/>
          <w:color w:val="0F4761" w:themeColor="accent1" w:themeTint="FF" w:themeShade="BF"/>
          <w:sz w:val="24"/>
          <w:szCs w:val="24"/>
          <w:lang w:val="en-GB" w:eastAsia="en-US" w:bidi="ar-SA"/>
        </w:rPr>
        <w:t>Slickcharts</w:t>
      </w:r>
      <w:r w:rsidRPr="08626363" w:rsidR="0B21B8BC">
        <w:rPr>
          <w:rFonts w:ascii="Aptos" w:hAnsi="Aptos" w:eastAsia="" w:cs="" w:asciiTheme="minorAscii" w:hAnsiTheme="minorAscii" w:eastAsiaTheme="majorEastAsia" w:cstheme="majorBidi"/>
          <w:i w:val="1"/>
          <w:iCs w:val="1"/>
          <w:noProof w:val="0"/>
          <w:color w:val="0F4761" w:themeColor="accent1" w:themeTint="FF" w:themeShade="BF"/>
          <w:sz w:val="24"/>
          <w:szCs w:val="24"/>
          <w:lang w:val="en-GB" w:eastAsia="en-US" w:bidi="ar-SA"/>
        </w:rPr>
        <w:t xml:space="preserve">, </w:t>
      </w:r>
      <w:r w:rsidRPr="08626363" w:rsidR="2184071C">
        <w:rPr>
          <w:rFonts w:ascii="Aptos" w:hAnsi="Aptos" w:eastAsia="" w:cs="" w:asciiTheme="minorAscii" w:hAnsiTheme="minorAscii" w:eastAsiaTheme="majorEastAsia" w:cstheme="majorBidi"/>
          <w:i w:val="1"/>
          <w:iCs w:val="1"/>
          <w:noProof w:val="0"/>
          <w:color w:val="0F4761" w:themeColor="accent1" w:themeTint="FF" w:themeShade="BF"/>
          <w:sz w:val="24"/>
          <w:szCs w:val="24"/>
          <w:lang w:val="en-GB" w:eastAsia="en-US" w:bidi="ar-SA"/>
        </w:rPr>
        <w:t>2026</w:t>
      </w:r>
      <w:r w:rsidRPr="08626363" w:rsidR="5442A2C8">
        <w:rPr>
          <w:rFonts w:ascii="Aptos" w:hAnsi="Aptos" w:eastAsia="" w:cs="" w:asciiTheme="minorAscii" w:hAnsiTheme="minorAscii" w:eastAsiaTheme="majorEastAsia" w:cstheme="majorBidi"/>
          <w:i w:val="1"/>
          <w:iCs w:val="1"/>
          <w:noProof w:val="0"/>
          <w:color w:val="0F4761" w:themeColor="accent1" w:themeTint="FF" w:themeShade="BF"/>
          <w:sz w:val="24"/>
          <w:szCs w:val="24"/>
          <w:lang w:val="en-GB" w:eastAsia="en-US" w:bidi="ar-SA"/>
        </w:rPr>
        <w:t xml:space="preserve">; </w:t>
      </w:r>
      <w:r w:rsidRPr="08626363" w:rsidR="2184071C">
        <w:rPr>
          <w:rFonts w:ascii="Aptos" w:hAnsi="Aptos" w:eastAsia="" w:cs="" w:asciiTheme="minorAscii" w:hAnsiTheme="minorAscii" w:eastAsiaTheme="majorEastAsia" w:cstheme="majorBidi"/>
          <w:i w:val="1"/>
          <w:iCs w:val="1"/>
          <w:noProof w:val="0"/>
          <w:color w:val="0F4761" w:themeColor="accent1" w:themeTint="FF" w:themeShade="BF"/>
          <w:sz w:val="24"/>
          <w:szCs w:val="24"/>
          <w:lang w:val="en-GB" w:eastAsia="en-US" w:bidi="ar-SA"/>
        </w:rPr>
        <w:t>Total Real Returns</w:t>
      </w:r>
      <w:r w:rsidRPr="08626363" w:rsidR="38045564">
        <w:rPr>
          <w:rFonts w:ascii="Aptos" w:hAnsi="Aptos" w:eastAsia="" w:cs="" w:asciiTheme="minorAscii" w:hAnsiTheme="minorAscii" w:eastAsiaTheme="majorEastAsia" w:cstheme="majorBidi"/>
          <w:i w:val="1"/>
          <w:iCs w:val="1"/>
          <w:noProof w:val="0"/>
          <w:color w:val="0F4761" w:themeColor="accent1" w:themeTint="FF" w:themeShade="BF"/>
          <w:sz w:val="24"/>
          <w:szCs w:val="24"/>
          <w:lang w:val="en-GB" w:eastAsia="en-US" w:bidi="ar-SA"/>
        </w:rPr>
        <w:t xml:space="preserve">, </w:t>
      </w:r>
      <w:r w:rsidRPr="08626363" w:rsidR="2184071C">
        <w:rPr>
          <w:rFonts w:ascii="Aptos" w:hAnsi="Aptos" w:eastAsia="" w:cs="" w:asciiTheme="minorAscii" w:hAnsiTheme="minorAscii" w:eastAsiaTheme="majorEastAsia" w:cstheme="majorBidi"/>
          <w:i w:val="1"/>
          <w:iCs w:val="1"/>
          <w:noProof w:val="0"/>
          <w:color w:val="0F4761" w:themeColor="accent1" w:themeTint="FF" w:themeShade="BF"/>
          <w:sz w:val="24"/>
          <w:szCs w:val="24"/>
          <w:lang w:val="en-GB" w:eastAsia="en-US" w:bidi="ar-SA"/>
        </w:rPr>
        <w:t>2026)</w:t>
      </w:r>
    </w:p>
    <w:p w:rsidRPr="003137A2" w:rsidR="003137A2" w:rsidP="003137A2" w:rsidRDefault="003137A2" w14:paraId="59BB8ADB" w14:textId="77777777">
      <w:r w:rsidR="6D7FFB3E">
        <w:drawing>
          <wp:inline wp14:editId="054959B2" wp14:anchorId="1FE4F16D">
            <wp:extent cx="5158740" cy="3333750"/>
            <wp:effectExtent l="0" t="0" r="0" b="0"/>
            <wp:docPr id="5438259" name="Picture 5"/>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7"/>
                    <pic:cNvPicPr>
                      <a:picLocks noChangeAspect="1" noChangeArrowheads="1"/>
                    </pic:cNvPicPr>
                  </pic:nvPicPr>
                  <pic:blipFill>
                    <a:blip xmlns:r="http://schemas.openxmlformats.org/officeDocument/2006/relationships" r:embed="rId7">
                      <a:extLst>
                        <a:ext uri="{28A0092B-C50C-407E-A947-70E740481C1C}">
                          <a14:useLocalDpi xmlns:a14="http://schemas.microsoft.com/office/drawing/2010/main"/>
                        </a:ext>
                      </a:extLst>
                    </a:blip>
                    <a:srcRect/>
                    <a:stretch>
                      <a:fillRect/>
                    </a:stretch>
                  </pic:blipFill>
                  <pic:spPr bwMode="auto">
                    <a:xfrm rot="0">
                      <a:off x="0" y="0"/>
                      <a:ext cx="5158740" cy="3333750"/>
                    </a:xfrm>
                    <a:prstGeom prst="rect">
                      <a:avLst/>
                    </a:prstGeom>
                    <a:noFill/>
                    <a:ln>
                      <a:noFill/>
                    </a:ln>
                  </pic:spPr>
                </pic:pic>
              </a:graphicData>
            </a:graphic>
          </wp:inline>
        </w:drawing>
      </w:r>
    </w:p>
    <w:p w:rsidRPr="003137A2" w:rsidR="003137A2" w:rsidP="003137A2" w:rsidRDefault="003137A2" w14:paraId="21421336" w14:textId="142B98BF">
      <w:r w:rsidR="74131136">
        <w:rPr/>
        <w:t xml:space="preserve">Source: </w:t>
      </w:r>
      <w:r w:rsidR="168A4195">
        <w:rPr/>
        <w:t>(</w:t>
      </w:r>
      <w:r w:rsidR="74131136">
        <w:rPr/>
        <w:t>Slickcharts</w:t>
      </w:r>
      <w:r w:rsidR="5C2FC33C">
        <w:rPr/>
        <w:t xml:space="preserve">, </w:t>
      </w:r>
      <w:r w:rsidR="74131136">
        <w:rPr/>
        <w:t>2026)</w:t>
      </w:r>
    </w:p>
    <w:p w:rsidR="5950AB98" w:rsidRDefault="5950AB98" w14:paraId="18D0DD3E" w14:textId="4BDF7140">
      <w:r w:rsidR="5950AB98">
        <w:rPr/>
        <w:t>The comparative analysis shows that markets are influenced mainly by sectors and economic conditions. The conclusion is that ESG scores are acting as just one of many signals that require interpretation (Larsson and Leuhusen, 2025).</w:t>
      </w:r>
    </w:p>
    <w:p w:rsidR="257BFE88" w:rsidP="257BFE88" w:rsidRDefault="257BFE88" w14:paraId="3EA954D9" w14:textId="085B32A3">
      <w:pPr>
        <w:pStyle w:val="Normal"/>
        <w:keepNext w:val="1"/>
        <w:keepLines w:val="1"/>
        <w:spacing w:before="160" w:after="80"/>
        <w:outlineLvl w:val="2"/>
        <w:rPr>
          <w:rFonts w:eastAsia="" w:cs="" w:eastAsiaTheme="majorEastAsia" w:cstheme="majorBidi"/>
          <w:color w:val="0F4761" w:themeColor="accent1" w:themeTint="FF" w:themeShade="BF"/>
          <w:sz w:val="28"/>
          <w:szCs w:val="28"/>
        </w:rPr>
      </w:pPr>
    </w:p>
    <w:p w:rsidRPr="003137A2" w:rsidR="003137A2" w:rsidP="257BFE88" w:rsidRDefault="003137A2" w14:paraId="1CDE2F68" w14:textId="77777777">
      <w:pPr>
        <w:keepNext w:val="1"/>
        <w:keepLines w:val="1"/>
        <w:spacing w:before="160" w:after="80"/>
        <w:outlineLvl w:val="2"/>
        <w:rPr>
          <w:rFonts w:eastAsia="" w:cs="" w:eastAsiaTheme="majorEastAsia" w:cstheme="majorBidi"/>
          <w:color w:val="0F4761" w:themeColor="accent1" w:themeShade="BF"/>
          <w:sz w:val="28"/>
          <w:szCs w:val="28"/>
        </w:rPr>
      </w:pPr>
      <w:bookmarkStart w:name="_Toc1007440361" w:id="1097223124"/>
      <w:r w:rsidRPr="257BFE88" w:rsidR="6D7FFB3E">
        <w:rPr>
          <w:rFonts w:eastAsia="" w:cs="" w:eastAsiaTheme="majorEastAsia" w:cstheme="majorBidi"/>
          <w:color w:val="0F4761" w:themeColor="accent1" w:themeTint="FF" w:themeShade="BF"/>
          <w:sz w:val="28"/>
          <w:szCs w:val="28"/>
        </w:rPr>
        <w:t>4.1.4 Profitability as an Indicator</w:t>
      </w:r>
      <w:bookmarkEnd w:id="1097223124"/>
    </w:p>
    <w:p w:rsidRPr="003137A2" w:rsidR="003137A2" w:rsidP="003137A2" w:rsidRDefault="003137A2" w14:paraId="12CD6673" w14:textId="77777777">
      <w:r w:rsidRPr="003137A2">
        <w:t xml:space="preserve">Analysis of profitability trends also show how difficult it is to interpret ESG scores. </w:t>
      </w:r>
    </w:p>
    <w:p w:rsidRPr="003137A2" w:rsidR="003137A2" w:rsidP="003137A2" w:rsidRDefault="003137A2" w14:paraId="6CE0100F" w14:textId="77777777">
      <w:r w:rsidRPr="003137A2">
        <w:t xml:space="preserve">Tesla’s profitability rises and falls sharply because it is still in a growth phase and faces strong competitive pressures. </w:t>
      </w:r>
    </w:p>
    <w:p w:rsidRPr="003137A2" w:rsidR="003137A2" w:rsidP="003137A2" w:rsidRDefault="003137A2" w14:paraId="6AD4F7D2" w14:textId="43BEA24B">
      <w:r w:rsidR="6D7FFB3E">
        <w:rPr/>
        <w:t xml:space="preserve">ExxonMobil’s profitability is steadier and </w:t>
      </w:r>
      <w:r w:rsidR="6D7FFB3E">
        <w:rPr/>
        <w:t>largely follows</w:t>
      </w:r>
      <w:r w:rsidR="6D7FFB3E">
        <w:rPr/>
        <w:t xml:space="preserve"> commodity prices and the demands of </w:t>
      </w:r>
      <w:r w:rsidR="36DCEBB5">
        <w:rPr/>
        <w:t>capital</w:t>
      </w:r>
      <w:r w:rsidR="37864B45">
        <w:rPr/>
        <w:t xml:space="preserve"> </w:t>
      </w:r>
      <w:r w:rsidR="36DCEBB5">
        <w:rPr/>
        <w:t>intensive</w:t>
      </w:r>
      <w:r w:rsidR="6D7FFB3E">
        <w:rPr/>
        <w:t xml:space="preserve"> operations. </w:t>
      </w:r>
    </w:p>
    <w:p w:rsidRPr="003137A2" w:rsidR="003137A2" w:rsidP="003137A2" w:rsidRDefault="003137A2" w14:paraId="0734348B" w14:textId="04060EBC">
      <w:r w:rsidR="6D7FFB3E">
        <w:rPr/>
        <w:t xml:space="preserve">These </w:t>
      </w:r>
      <w:r w:rsidR="0ED4AF3B">
        <w:rPr/>
        <w:t>figures</w:t>
      </w:r>
      <w:r w:rsidR="6D7FFB3E">
        <w:rPr/>
        <w:t xml:space="preserve"> show tha</w:t>
      </w:r>
      <w:r w:rsidR="68544FE3">
        <w:rPr/>
        <w:t>t profit levels are</w:t>
      </w:r>
      <w:r w:rsidR="6000B9D0">
        <w:rPr/>
        <w:t xml:space="preserve"> affected</w:t>
      </w:r>
      <w:r w:rsidR="6D7FFB3E">
        <w:rPr/>
        <w:t xml:space="preserve"> </w:t>
      </w:r>
      <w:r w:rsidR="6D7FFB3E">
        <w:rPr/>
        <w:t>mainly by</w:t>
      </w:r>
      <w:r w:rsidR="6D7FFB3E">
        <w:rPr/>
        <w:t xml:space="preserve"> sector and economic conditions</w:t>
      </w:r>
      <w:r w:rsidR="32821125">
        <w:rPr/>
        <w:t xml:space="preserve">. </w:t>
      </w:r>
      <w:r w:rsidR="6D7FFB3E">
        <w:rPr/>
        <w:t xml:space="preserve">ESG ratings </w:t>
      </w:r>
      <w:r w:rsidR="17B54E7A">
        <w:rPr/>
        <w:t xml:space="preserve">are </w:t>
      </w:r>
      <w:r w:rsidR="6D7FFB3E">
        <w:rPr/>
        <w:t xml:space="preserve">acting as only </w:t>
      </w:r>
      <w:r w:rsidR="6D7FFB3E">
        <w:rPr/>
        <w:t xml:space="preserve">one </w:t>
      </w:r>
      <w:r w:rsidR="2EAA9990">
        <w:rPr/>
        <w:t>factor</w:t>
      </w:r>
      <w:r w:rsidR="6D7FFB3E">
        <w:rPr/>
        <w:t xml:space="preserve"> a</w:t>
      </w:r>
      <w:r w:rsidR="6D7FFB3E">
        <w:rPr/>
        <w:t>mong many (Abate, 2025).</w:t>
      </w:r>
      <w:r w:rsidR="6D7FFB3E">
        <w:rPr/>
        <w:t xml:space="preserve">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005"/>
        <w:gridCol w:w="3005"/>
        <w:gridCol w:w="3006"/>
      </w:tblGrid>
      <w:tr w:rsidRPr="003137A2" w:rsidR="003137A2" w:rsidTr="00581845" w14:paraId="64079E82" w14:textId="77777777">
        <w:tc>
          <w:tcPr>
            <w:tcW w:w="3005" w:type="dxa"/>
          </w:tcPr>
          <w:p w:rsidRPr="003137A2" w:rsidR="003137A2" w:rsidP="003137A2" w:rsidRDefault="003137A2" w14:paraId="78D078B5" w14:textId="77777777">
            <w:pPr>
              <w:jc w:val="center"/>
              <w:rPr>
                <w:b/>
                <w:bCs/>
              </w:rPr>
            </w:pPr>
            <w:r w:rsidRPr="003137A2">
              <w:rPr>
                <w:b/>
                <w:bCs/>
              </w:rPr>
              <w:t>YEAR</w:t>
            </w:r>
          </w:p>
        </w:tc>
        <w:tc>
          <w:tcPr>
            <w:tcW w:w="3005" w:type="dxa"/>
          </w:tcPr>
          <w:p w:rsidRPr="003137A2" w:rsidR="003137A2" w:rsidP="003137A2" w:rsidRDefault="003137A2" w14:paraId="70B3AB24" w14:textId="77777777">
            <w:pPr>
              <w:jc w:val="center"/>
              <w:rPr>
                <w:b/>
                <w:bCs/>
              </w:rPr>
            </w:pPr>
            <w:r w:rsidRPr="003137A2">
              <w:rPr>
                <w:b/>
                <w:bCs/>
              </w:rPr>
              <w:t>Tesla Net Income (USD millions)</w:t>
            </w:r>
          </w:p>
          <w:p w:rsidRPr="003137A2" w:rsidR="003137A2" w:rsidP="003137A2" w:rsidRDefault="003137A2" w14:paraId="37B979CB" w14:textId="77777777">
            <w:pPr>
              <w:jc w:val="center"/>
              <w:rPr>
                <w:b/>
                <w:bCs/>
              </w:rPr>
            </w:pPr>
          </w:p>
        </w:tc>
        <w:tc>
          <w:tcPr>
            <w:tcW w:w="3006" w:type="dxa"/>
          </w:tcPr>
          <w:p w:rsidRPr="003137A2" w:rsidR="003137A2" w:rsidP="003137A2" w:rsidRDefault="003137A2" w14:paraId="61822202" w14:textId="77777777">
            <w:pPr>
              <w:jc w:val="center"/>
              <w:rPr>
                <w:b/>
                <w:bCs/>
              </w:rPr>
            </w:pPr>
            <w:r w:rsidRPr="003137A2">
              <w:rPr>
                <w:b/>
                <w:bCs/>
              </w:rPr>
              <w:t>ExxonMobil Net Income (USD millions)</w:t>
            </w:r>
          </w:p>
          <w:p w:rsidRPr="003137A2" w:rsidR="003137A2" w:rsidP="003137A2" w:rsidRDefault="003137A2" w14:paraId="585F8895" w14:textId="77777777">
            <w:pPr>
              <w:jc w:val="center"/>
              <w:rPr>
                <w:b/>
                <w:bCs/>
              </w:rPr>
            </w:pPr>
          </w:p>
        </w:tc>
      </w:tr>
      <w:tr w:rsidRPr="003137A2" w:rsidR="003137A2" w:rsidTr="00581845" w14:paraId="467C6E3B" w14:textId="77777777">
        <w:tc>
          <w:tcPr>
            <w:tcW w:w="0" w:type="auto"/>
            <w:hideMark/>
          </w:tcPr>
          <w:p w:rsidRPr="003137A2" w:rsidR="003137A2" w:rsidP="003137A2" w:rsidRDefault="003137A2" w14:paraId="1358CE07"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2018</w:t>
            </w:r>
          </w:p>
        </w:tc>
        <w:tc>
          <w:tcPr>
            <w:tcW w:w="0" w:type="auto"/>
            <w:hideMark/>
          </w:tcPr>
          <w:p w:rsidRPr="003137A2" w:rsidR="003137A2" w:rsidP="003137A2" w:rsidRDefault="003137A2" w14:paraId="50E48C21" w14:textId="77777777">
            <w:pPr>
              <w:jc w:val="center"/>
              <w:rPr>
                <w:rFonts w:ascii="Segoe UI" w:hAnsi="Segoe UI" w:eastAsia="Times New Roman" w:cs="Segoe UI"/>
                <w:b/>
                <w:bCs/>
                <w:color w:val="EE0000"/>
                <w:kern w:val="0"/>
                <w:sz w:val="23"/>
                <w:szCs w:val="23"/>
                <w:lang w:eastAsia="en-GB"/>
                <w14:ligatures w14:val="none"/>
              </w:rPr>
            </w:pPr>
            <w:r w:rsidRPr="003137A2">
              <w:rPr>
                <w:rFonts w:ascii="Segoe UI" w:hAnsi="Segoe UI" w:eastAsia="Times New Roman" w:cs="Segoe UI"/>
                <w:b/>
                <w:bCs/>
                <w:color w:val="EE0000"/>
                <w:kern w:val="0"/>
                <w:sz w:val="23"/>
                <w:szCs w:val="23"/>
                <w:lang w:eastAsia="en-GB"/>
                <w14:ligatures w14:val="none"/>
              </w:rPr>
              <w:t>-976</w:t>
            </w:r>
          </w:p>
        </w:tc>
        <w:tc>
          <w:tcPr>
            <w:tcW w:w="0" w:type="auto"/>
            <w:hideMark/>
          </w:tcPr>
          <w:p w:rsidRPr="003137A2" w:rsidR="003137A2" w:rsidP="003137A2" w:rsidRDefault="003137A2" w14:paraId="6AE0A08F"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20,840</w:t>
            </w:r>
          </w:p>
        </w:tc>
      </w:tr>
      <w:tr w:rsidRPr="003137A2" w:rsidR="003137A2" w:rsidTr="00581845" w14:paraId="453BFAA0" w14:textId="77777777">
        <w:tc>
          <w:tcPr>
            <w:tcW w:w="0" w:type="auto"/>
            <w:hideMark/>
          </w:tcPr>
          <w:p w:rsidRPr="003137A2" w:rsidR="003137A2" w:rsidP="003137A2" w:rsidRDefault="003137A2" w14:paraId="2E9DB702"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2019</w:t>
            </w:r>
          </w:p>
        </w:tc>
        <w:tc>
          <w:tcPr>
            <w:tcW w:w="0" w:type="auto"/>
            <w:hideMark/>
          </w:tcPr>
          <w:p w:rsidRPr="003137A2" w:rsidR="003137A2" w:rsidP="003137A2" w:rsidRDefault="003137A2" w14:paraId="73829EF1" w14:textId="77777777">
            <w:pPr>
              <w:jc w:val="center"/>
              <w:rPr>
                <w:rFonts w:ascii="Segoe UI" w:hAnsi="Segoe UI" w:eastAsia="Times New Roman" w:cs="Segoe UI"/>
                <w:b/>
                <w:bCs/>
                <w:color w:val="EE0000"/>
                <w:kern w:val="0"/>
                <w:sz w:val="23"/>
                <w:szCs w:val="23"/>
                <w:lang w:eastAsia="en-GB"/>
                <w14:ligatures w14:val="none"/>
              </w:rPr>
            </w:pPr>
            <w:r w:rsidRPr="003137A2">
              <w:rPr>
                <w:rFonts w:ascii="Segoe UI" w:hAnsi="Segoe UI" w:eastAsia="Times New Roman" w:cs="Segoe UI"/>
                <w:b/>
                <w:bCs/>
                <w:color w:val="EE0000"/>
                <w:kern w:val="0"/>
                <w:sz w:val="23"/>
                <w:szCs w:val="23"/>
                <w:lang w:eastAsia="en-GB"/>
                <w14:ligatures w14:val="none"/>
              </w:rPr>
              <w:t>-862</w:t>
            </w:r>
          </w:p>
        </w:tc>
        <w:tc>
          <w:tcPr>
            <w:tcW w:w="0" w:type="auto"/>
            <w:hideMark/>
          </w:tcPr>
          <w:p w:rsidRPr="003137A2" w:rsidR="003137A2" w:rsidP="003137A2" w:rsidRDefault="003137A2" w14:paraId="75186DDF"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14,340</w:t>
            </w:r>
          </w:p>
        </w:tc>
      </w:tr>
      <w:tr w:rsidRPr="003137A2" w:rsidR="003137A2" w:rsidTr="00581845" w14:paraId="49468192" w14:textId="77777777">
        <w:tc>
          <w:tcPr>
            <w:tcW w:w="0" w:type="auto"/>
            <w:hideMark/>
          </w:tcPr>
          <w:p w:rsidRPr="003137A2" w:rsidR="003137A2" w:rsidP="003137A2" w:rsidRDefault="003137A2" w14:paraId="290A9448"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2020</w:t>
            </w:r>
          </w:p>
        </w:tc>
        <w:tc>
          <w:tcPr>
            <w:tcW w:w="0" w:type="auto"/>
            <w:hideMark/>
          </w:tcPr>
          <w:p w:rsidRPr="003137A2" w:rsidR="003137A2" w:rsidP="003137A2" w:rsidRDefault="003137A2" w14:paraId="15E764ED"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690</w:t>
            </w:r>
          </w:p>
        </w:tc>
        <w:tc>
          <w:tcPr>
            <w:tcW w:w="0" w:type="auto"/>
            <w:hideMark/>
          </w:tcPr>
          <w:p w:rsidRPr="003137A2" w:rsidR="003137A2" w:rsidP="003137A2" w:rsidRDefault="003137A2" w14:paraId="6917989C"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EE0000"/>
                <w:kern w:val="0"/>
                <w:sz w:val="23"/>
                <w:szCs w:val="23"/>
                <w:lang w:eastAsia="en-GB"/>
                <w14:ligatures w14:val="none"/>
              </w:rPr>
              <w:t>-22,440</w:t>
            </w:r>
          </w:p>
        </w:tc>
      </w:tr>
      <w:tr w:rsidRPr="003137A2" w:rsidR="003137A2" w:rsidTr="00581845" w14:paraId="591399E4" w14:textId="77777777">
        <w:tc>
          <w:tcPr>
            <w:tcW w:w="0" w:type="auto"/>
            <w:hideMark/>
          </w:tcPr>
          <w:p w:rsidRPr="003137A2" w:rsidR="003137A2" w:rsidP="003137A2" w:rsidRDefault="003137A2" w14:paraId="30E5A345"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2021</w:t>
            </w:r>
          </w:p>
        </w:tc>
        <w:tc>
          <w:tcPr>
            <w:tcW w:w="0" w:type="auto"/>
            <w:hideMark/>
          </w:tcPr>
          <w:p w:rsidRPr="003137A2" w:rsidR="003137A2" w:rsidP="003137A2" w:rsidRDefault="003137A2" w14:paraId="74B550C0"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5,524</w:t>
            </w:r>
          </w:p>
        </w:tc>
        <w:tc>
          <w:tcPr>
            <w:tcW w:w="0" w:type="auto"/>
            <w:hideMark/>
          </w:tcPr>
          <w:p w:rsidRPr="003137A2" w:rsidR="003137A2" w:rsidP="003137A2" w:rsidRDefault="003137A2" w14:paraId="6AE7C8EA"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23,040</w:t>
            </w:r>
          </w:p>
        </w:tc>
      </w:tr>
      <w:tr w:rsidRPr="003137A2" w:rsidR="003137A2" w:rsidTr="00581845" w14:paraId="4B5FE5BF" w14:textId="77777777">
        <w:tc>
          <w:tcPr>
            <w:tcW w:w="0" w:type="auto"/>
            <w:hideMark/>
          </w:tcPr>
          <w:p w:rsidRPr="003137A2" w:rsidR="003137A2" w:rsidP="003137A2" w:rsidRDefault="003137A2" w14:paraId="6003946C"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2022</w:t>
            </w:r>
          </w:p>
        </w:tc>
        <w:tc>
          <w:tcPr>
            <w:tcW w:w="0" w:type="auto"/>
            <w:hideMark/>
          </w:tcPr>
          <w:p w:rsidRPr="003137A2" w:rsidR="003137A2" w:rsidP="003137A2" w:rsidRDefault="003137A2" w14:paraId="0461CFDA"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12,583</w:t>
            </w:r>
          </w:p>
        </w:tc>
        <w:tc>
          <w:tcPr>
            <w:tcW w:w="0" w:type="auto"/>
            <w:hideMark/>
          </w:tcPr>
          <w:p w:rsidRPr="003137A2" w:rsidR="003137A2" w:rsidP="003137A2" w:rsidRDefault="003137A2" w14:paraId="376F7ECA"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55,740</w:t>
            </w:r>
          </w:p>
        </w:tc>
      </w:tr>
      <w:tr w:rsidRPr="003137A2" w:rsidR="003137A2" w:rsidTr="00581845" w14:paraId="08DE44E5" w14:textId="77777777">
        <w:tc>
          <w:tcPr>
            <w:tcW w:w="0" w:type="auto"/>
            <w:hideMark/>
          </w:tcPr>
          <w:p w:rsidRPr="003137A2" w:rsidR="003137A2" w:rsidP="003137A2" w:rsidRDefault="003137A2" w14:paraId="38FDAC79"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2023</w:t>
            </w:r>
          </w:p>
        </w:tc>
        <w:tc>
          <w:tcPr>
            <w:tcW w:w="0" w:type="auto"/>
            <w:hideMark/>
          </w:tcPr>
          <w:p w:rsidRPr="003137A2" w:rsidR="003137A2" w:rsidP="003137A2" w:rsidRDefault="003137A2" w14:paraId="76CE80DC"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14,997</w:t>
            </w:r>
          </w:p>
        </w:tc>
        <w:tc>
          <w:tcPr>
            <w:tcW w:w="0" w:type="auto"/>
            <w:hideMark/>
          </w:tcPr>
          <w:p w:rsidRPr="003137A2" w:rsidR="003137A2" w:rsidP="003137A2" w:rsidRDefault="003137A2" w14:paraId="6B326F21"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36,010</w:t>
            </w:r>
          </w:p>
        </w:tc>
      </w:tr>
      <w:tr w:rsidRPr="003137A2" w:rsidR="003137A2" w:rsidTr="00581845" w14:paraId="0B0A756F" w14:textId="77777777">
        <w:tc>
          <w:tcPr>
            <w:tcW w:w="0" w:type="auto"/>
            <w:hideMark/>
          </w:tcPr>
          <w:p w:rsidRPr="003137A2" w:rsidR="003137A2" w:rsidP="003137A2" w:rsidRDefault="003137A2" w14:paraId="5205BB10"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2024</w:t>
            </w:r>
          </w:p>
        </w:tc>
        <w:tc>
          <w:tcPr>
            <w:tcW w:w="0" w:type="auto"/>
            <w:hideMark/>
          </w:tcPr>
          <w:p w:rsidRPr="003137A2" w:rsidR="003137A2" w:rsidP="003137A2" w:rsidRDefault="003137A2" w14:paraId="40E645A8"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7,091</w:t>
            </w:r>
          </w:p>
        </w:tc>
        <w:tc>
          <w:tcPr>
            <w:tcW w:w="0" w:type="auto"/>
            <w:hideMark/>
          </w:tcPr>
          <w:p w:rsidRPr="003137A2" w:rsidR="003137A2" w:rsidP="003137A2" w:rsidRDefault="003137A2" w14:paraId="5D0B06A3"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33,680</w:t>
            </w:r>
          </w:p>
        </w:tc>
      </w:tr>
      <w:tr w:rsidRPr="003137A2" w:rsidR="003137A2" w:rsidTr="00581845" w14:paraId="72DAB60B" w14:textId="77777777">
        <w:tc>
          <w:tcPr>
            <w:tcW w:w="0" w:type="auto"/>
            <w:hideMark/>
          </w:tcPr>
          <w:p w:rsidRPr="003137A2" w:rsidR="003137A2" w:rsidP="003137A2" w:rsidRDefault="003137A2" w14:paraId="2B47CB1D"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2025</w:t>
            </w:r>
          </w:p>
        </w:tc>
        <w:tc>
          <w:tcPr>
            <w:tcW w:w="0" w:type="auto"/>
            <w:hideMark/>
          </w:tcPr>
          <w:p w:rsidRPr="003137A2" w:rsidR="003137A2" w:rsidP="003137A2" w:rsidRDefault="003137A2" w14:paraId="7C47DC51"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3,794</w:t>
            </w:r>
          </w:p>
        </w:tc>
        <w:tc>
          <w:tcPr>
            <w:tcW w:w="0" w:type="auto"/>
            <w:hideMark/>
          </w:tcPr>
          <w:p w:rsidRPr="003137A2" w:rsidR="003137A2" w:rsidP="003137A2" w:rsidRDefault="003137A2" w14:paraId="6BDC05E3" w14:textId="77777777">
            <w:pPr>
              <w:jc w:val="center"/>
              <w:rPr>
                <w:rFonts w:ascii="Segoe UI" w:hAnsi="Segoe UI" w:eastAsia="Times New Roman" w:cs="Segoe UI"/>
                <w:b/>
                <w:bCs/>
                <w:color w:val="000000"/>
                <w:kern w:val="0"/>
                <w:sz w:val="23"/>
                <w:szCs w:val="23"/>
                <w:lang w:eastAsia="en-GB"/>
                <w14:ligatures w14:val="none"/>
              </w:rPr>
            </w:pPr>
            <w:r w:rsidRPr="003137A2">
              <w:rPr>
                <w:rFonts w:ascii="Segoe UI" w:hAnsi="Segoe UI" w:eastAsia="Times New Roman" w:cs="Segoe UI"/>
                <w:b/>
                <w:bCs/>
                <w:color w:val="000000"/>
                <w:kern w:val="0"/>
                <w:sz w:val="23"/>
                <w:szCs w:val="23"/>
                <w:lang w:eastAsia="en-GB"/>
                <w14:ligatures w14:val="none"/>
              </w:rPr>
              <w:t>28,844</w:t>
            </w:r>
          </w:p>
        </w:tc>
      </w:tr>
    </w:tbl>
    <w:p w:rsidRPr="003137A2" w:rsidR="003137A2" w:rsidP="003137A2" w:rsidRDefault="003137A2" w14:paraId="4B86C971" w14:textId="77777777">
      <w:pPr>
        <w:rPr>
          <w:rFonts w:ascii="Segoe UI" w:hAnsi="Segoe UI" w:cs="Segoe UI"/>
          <w:i/>
          <w:iCs/>
          <w:color w:val="000000"/>
          <w:sz w:val="23"/>
          <w:szCs w:val="23"/>
          <w:shd w:val="clear" w:color="auto" w:fill="FFFFFF"/>
        </w:rPr>
      </w:pPr>
    </w:p>
    <w:p w:rsidRPr="003137A2" w:rsidR="003137A2" w:rsidP="257BFE88" w:rsidRDefault="003137A2" w14:paraId="57A89749" w14:textId="518BED58">
      <w:pPr>
        <w:pStyle w:val="Normal"/>
        <w:spacing w:before="240" w:beforeAutospacing="off" w:after="240" w:afterAutospacing="off"/>
        <w:rPr>
          <w:rFonts w:ascii="Aptos" w:hAnsi="Aptos"/>
          <w:i w:val="1"/>
          <w:iCs w:val="1"/>
          <w:color w:val="0F4761" w:themeColor="accent1" w:themeTint="FF" w:themeShade="BF"/>
          <w:sz w:val="24"/>
          <w:szCs w:val="24"/>
        </w:rPr>
      </w:pPr>
      <w:r w:rsidRPr="257BFE88" w:rsidR="74131136">
        <w:rPr>
          <w:rFonts w:eastAsia="" w:cs="" w:eastAsiaTheme="majorEastAsia" w:cstheme="majorBidi"/>
          <w:i w:val="1"/>
          <w:iCs w:val="1"/>
          <w:color w:val="0F4761" w:themeColor="accent1" w:themeTint="FF" w:themeShade="BF"/>
        </w:rPr>
        <w:t>Annual Net Income: Tesla Inc. (TSLA) vs. Exxon Mobil Corp. (XOM), 2018–2025 (USD millions)</w:t>
      </w:r>
      <w:r w:rsidRPr="257BFE88" w:rsidR="48255A33">
        <w:rPr>
          <w:rFonts w:eastAsia="" w:cs="" w:eastAsiaTheme="majorEastAsia" w:cstheme="majorBidi"/>
          <w:i w:val="1"/>
          <w:iCs w:val="1"/>
          <w:color w:val="0F4761" w:themeColor="accent1" w:themeTint="FF" w:themeShade="BF"/>
        </w:rPr>
        <w:t xml:space="preserve"> </w:t>
      </w:r>
      <w:r w:rsidRPr="257BFE88" w:rsidR="43F4EC30">
        <w:rPr>
          <w:rFonts w:ascii="Aptos" w:hAnsi="Aptos"/>
          <w:i w:val="1"/>
          <w:iCs w:val="1"/>
          <w:color w:val="0F4761" w:themeColor="accent1" w:themeTint="FF" w:themeShade="BF"/>
          <w:sz w:val="24"/>
          <w:szCs w:val="24"/>
        </w:rPr>
        <w:t>Negative values show a net loss.</w:t>
      </w:r>
    </w:p>
    <w:p w:rsidRPr="003137A2" w:rsidR="003137A2" w:rsidP="257BFE88" w:rsidRDefault="003137A2" w14:paraId="494F6FB4" w14:textId="4B764649">
      <w:pPr>
        <w:pStyle w:val="Normal"/>
        <w:spacing w:before="240" w:beforeAutospacing="off" w:after="240" w:afterAutospacing="off"/>
        <w:rPr>
          <w:rFonts w:ascii="Aptos" w:hAnsi="Aptos" w:eastAsia="" w:cs="" w:asciiTheme="minorAscii" w:hAnsiTheme="minorAscii" w:eastAsiaTheme="majorEastAsia" w:cstheme="majorBidi"/>
          <w:i w:val="1"/>
          <w:iCs w:val="1"/>
          <w:color w:val="0F4761" w:themeColor="accent1" w:themeTint="FF" w:themeShade="BF"/>
          <w:sz w:val="24"/>
          <w:szCs w:val="24"/>
          <w:lang w:eastAsia="en-US" w:bidi="ar-SA"/>
        </w:rPr>
      </w:pPr>
      <w:r w:rsidRPr="257BFE88" w:rsidR="5EED1962">
        <w:rPr>
          <w:rFonts w:ascii="Segoe UI" w:hAnsi="Segoe UI" w:eastAsia="Segoe UI" w:cs="Segoe UI"/>
          <w:noProof w:val="0"/>
          <w:color w:val="000000" w:themeColor="text1" w:themeTint="FF" w:themeShade="FF"/>
          <w:sz w:val="23"/>
          <w:szCs w:val="23"/>
          <w:lang w:val="en-GB"/>
        </w:rPr>
        <w:t>Source: Compiled from (Tesla, Inc. 2026; Exxon Mobil Corporation, 2026; Macrotrends, 2026).</w:t>
      </w:r>
    </w:p>
    <w:p w:rsidRPr="003137A2" w:rsidR="003137A2" w:rsidP="257BFE88" w:rsidRDefault="003137A2" w14:paraId="757D7512" w14:textId="5A7BF78E">
      <w:pPr>
        <w:spacing w:before="240" w:beforeAutospacing="off" w:after="240" w:afterAutospacing="off"/>
        <w:rPr>
          <w:rFonts w:ascii="Segoe UI" w:hAnsi="Segoe UI" w:cs="Segoe UI"/>
          <w:i w:val="1"/>
          <w:iCs w:val="1"/>
          <w:color w:val="000000" w:themeColor="text1" w:themeTint="FF" w:themeShade="FF"/>
          <w:sz w:val="23"/>
          <w:szCs w:val="23"/>
        </w:rPr>
      </w:pPr>
      <w:r w:rsidRPr="257BFE88" w:rsidR="74131136">
        <w:rPr>
          <w:rFonts w:ascii="Segoe UI" w:hAnsi="Segoe UI" w:cs="Segoe UI"/>
          <w:i w:val="0"/>
          <w:iCs w:val="0"/>
          <w:color w:val="000000"/>
          <w:sz w:val="23"/>
          <w:szCs w:val="23"/>
          <w:shd w:val="clear" w:color="auto" w:fill="FFFFFF"/>
        </w:rPr>
        <w:t xml:space="preserve">T</w:t>
      </w:r>
      <w:r w:rsidRPr="257BFE88" w:rsidR="1E665850">
        <w:rPr>
          <w:rFonts w:ascii="Segoe UI" w:hAnsi="Segoe UI" w:cs="Segoe UI"/>
          <w:i w:val="0"/>
          <w:iCs w:val="0"/>
          <w:color w:val="000000"/>
          <w:sz w:val="23"/>
          <w:szCs w:val="23"/>
          <w:shd w:val="clear" w:color="auto" w:fill="FFFFFF"/>
        </w:rPr>
        <w:t xml:space="preserve">he data shows T</w:t>
      </w:r>
      <w:r w:rsidRPr="257BFE88" w:rsidR="74131136">
        <w:rPr>
          <w:rFonts w:ascii="Segoe UI" w:hAnsi="Segoe UI" w:cs="Segoe UI"/>
          <w:i w:val="0"/>
          <w:iCs w:val="0"/>
          <w:color w:val="000000"/>
          <w:sz w:val="23"/>
          <w:szCs w:val="23"/>
          <w:shd w:val="clear" w:color="auto" w:fill="FFFFFF"/>
        </w:rPr>
        <w:t xml:space="preserve">esla </w:t>
      </w:r>
      <w:r w:rsidRPr="257BFE88" w:rsidR="54A1DBB6">
        <w:rPr>
          <w:rFonts w:ascii="Segoe UI" w:hAnsi="Segoe UI" w:cs="Segoe UI"/>
          <w:i w:val="0"/>
          <w:iCs w:val="0"/>
          <w:color w:val="000000"/>
          <w:sz w:val="23"/>
          <w:szCs w:val="23"/>
          <w:shd w:val="clear" w:color="auto" w:fill="FFFFFF"/>
        </w:rPr>
        <w:t xml:space="preserve">has moved</w:t>
      </w:r>
      <w:r w:rsidRPr="257BFE88" w:rsidR="74131136">
        <w:rPr>
          <w:rFonts w:ascii="Segoe UI" w:hAnsi="Segoe UI" w:cs="Segoe UI"/>
          <w:i w:val="0"/>
          <w:iCs w:val="0"/>
          <w:color w:val="000000"/>
          <w:sz w:val="23"/>
          <w:szCs w:val="23"/>
          <w:shd w:val="clear" w:color="auto" w:fill="FFFFFF"/>
        </w:rPr>
        <w:t xml:space="preserve"> from consistent losses to strong profit</w:t>
      </w:r>
      <w:r w:rsidRPr="257BFE88" w:rsidR="79E7D922">
        <w:rPr>
          <w:rFonts w:ascii="Segoe UI" w:hAnsi="Segoe UI" w:cs="Segoe UI"/>
          <w:i w:val="0"/>
          <w:iCs w:val="0"/>
          <w:color w:val="000000"/>
          <w:sz w:val="23"/>
          <w:szCs w:val="23"/>
          <w:shd w:val="clear" w:color="auto" w:fill="FFFFFF"/>
        </w:rPr>
        <w:t xml:space="preserve">s</w:t>
      </w:r>
      <w:r w:rsidRPr="257BFE88" w:rsidR="74131136">
        <w:rPr>
          <w:rFonts w:ascii="Segoe UI" w:hAnsi="Segoe UI" w:cs="Segoe UI"/>
          <w:i w:val="0"/>
          <w:iCs w:val="0"/>
          <w:color w:val="000000"/>
          <w:sz w:val="23"/>
          <w:szCs w:val="23"/>
          <w:shd w:val="clear" w:color="auto" w:fill="FFFFFF"/>
        </w:rPr>
        <w:t xml:space="preserve"> before </w:t>
      </w:r>
      <w:r w:rsidRPr="257BFE88" w:rsidR="11CE0459">
        <w:rPr>
          <w:rFonts w:ascii="Segoe UI" w:hAnsi="Segoe UI" w:cs="Segoe UI"/>
          <w:i w:val="0"/>
          <w:iCs w:val="0"/>
          <w:color w:val="000000"/>
          <w:sz w:val="23"/>
          <w:szCs w:val="23"/>
          <w:shd w:val="clear" w:color="auto" w:fill="FFFFFF"/>
        </w:rPr>
        <w:t xml:space="preserve">a levelling out of results</w:t>
      </w:r>
      <w:r w:rsidRPr="257BFE88" w:rsidR="74131136">
        <w:rPr>
          <w:rFonts w:ascii="Segoe UI" w:hAnsi="Segoe UI" w:cs="Segoe UI"/>
          <w:i w:val="0"/>
          <w:iCs w:val="0"/>
          <w:color w:val="000000"/>
          <w:sz w:val="23"/>
          <w:szCs w:val="23"/>
          <w:shd w:val="clear" w:color="auto" w:fill="FFFFFF"/>
        </w:rPr>
        <w:t xml:space="preserve"> in 2024–2025</w:t>
      </w:r>
      <w:r w:rsidRPr="257BFE88" w:rsidR="39C5A1EB">
        <w:rPr>
          <w:rFonts w:ascii="Segoe UI" w:hAnsi="Segoe UI" w:cs="Segoe UI"/>
          <w:i w:val="0"/>
          <w:iCs w:val="0"/>
          <w:color w:val="000000"/>
          <w:sz w:val="23"/>
          <w:szCs w:val="23"/>
          <w:shd w:val="clear" w:color="auto" w:fill="FFFFFF"/>
        </w:rPr>
        <w:t xml:space="preserve">.</w:t>
      </w:r>
      <w:r w:rsidRPr="257BFE88" w:rsidR="74131136">
        <w:rPr>
          <w:rFonts w:ascii="Segoe UI" w:hAnsi="Segoe UI" w:cs="Segoe UI"/>
          <w:i w:val="0"/>
          <w:iCs w:val="0"/>
          <w:color w:val="000000"/>
          <w:sz w:val="23"/>
          <w:szCs w:val="23"/>
          <w:shd w:val="clear" w:color="auto" w:fill="FFFFFF"/>
        </w:rPr>
        <w:t xml:space="preserve"> ExxonMobil showed high </w:t>
      </w:r>
      <w:r w:rsidRPr="257BFE88" w:rsidR="74131136">
        <w:rPr>
          <w:rFonts w:ascii="Segoe UI" w:hAnsi="Segoe UI" w:cs="Segoe UI"/>
          <w:i w:val="0"/>
          <w:iCs w:val="0"/>
          <w:color w:val="000000"/>
          <w:sz w:val="23"/>
          <w:szCs w:val="23"/>
          <w:shd w:val="clear" w:color="auto" w:fill="FFFFFF"/>
        </w:rPr>
        <w:t xml:space="preserve">volatility</w:t>
      </w:r>
      <w:r w:rsidRPr="257BFE88" w:rsidR="74131136">
        <w:rPr>
          <w:rFonts w:ascii="Segoe UI" w:hAnsi="Segoe UI" w:cs="Segoe UI"/>
          <w:i w:val="0"/>
          <w:iCs w:val="0"/>
          <w:color w:val="000000"/>
          <w:sz w:val="23"/>
          <w:szCs w:val="23"/>
          <w:shd w:val="clear" w:color="auto" w:fill="FFFFFF"/>
        </w:rPr>
        <w:t xml:space="preserve"> </w:t>
      </w:r>
      <w:r w:rsidRPr="257BFE88" w:rsidR="1A192658">
        <w:rPr>
          <w:rFonts w:ascii="Segoe UI" w:hAnsi="Segoe UI" w:cs="Segoe UI"/>
          <w:i w:val="0"/>
          <w:iCs w:val="0"/>
          <w:color w:val="000000"/>
          <w:sz w:val="23"/>
          <w:szCs w:val="23"/>
          <w:shd w:val="clear" w:color="auto" w:fill="FFFFFF"/>
        </w:rPr>
        <w:t xml:space="preserve">which is linked </w:t>
      </w:r>
      <w:r w:rsidRPr="257BFE88" w:rsidR="74131136">
        <w:rPr>
          <w:rFonts w:ascii="Segoe UI" w:hAnsi="Segoe UI" w:cs="Segoe UI"/>
          <w:i w:val="0"/>
          <w:iCs w:val="0"/>
          <w:color w:val="000000"/>
          <w:sz w:val="23"/>
          <w:szCs w:val="23"/>
          <w:shd w:val="clear" w:color="auto" w:fill="FFFFFF"/>
        </w:rPr>
        <w:t xml:space="preserve">to oil prices</w:t>
      </w:r>
      <w:r w:rsidRPr="257BFE88" w:rsidR="489EDFD3">
        <w:rPr>
          <w:rFonts w:ascii="Segoe UI" w:hAnsi="Segoe UI" w:cs="Segoe UI"/>
          <w:i w:val="0"/>
          <w:iCs w:val="0"/>
          <w:color w:val="000000"/>
          <w:sz w:val="23"/>
          <w:szCs w:val="23"/>
          <w:shd w:val="clear" w:color="auto" w:fill="FFFFFF"/>
        </w:rPr>
        <w:t xml:space="preserve"> fluctuating</w:t>
      </w:r>
      <w:r w:rsidRPr="257BFE88" w:rsidR="02328226">
        <w:rPr>
          <w:rFonts w:ascii="Segoe UI" w:hAnsi="Segoe UI" w:cs="Segoe UI"/>
          <w:i w:val="0"/>
          <w:iCs w:val="0"/>
          <w:color w:val="000000"/>
          <w:sz w:val="23"/>
          <w:szCs w:val="23"/>
          <w:shd w:val="clear" w:color="auto" w:fill="FFFFFF"/>
        </w:rPr>
        <w:t xml:space="preserve"> and </w:t>
      </w:r>
      <w:r w:rsidRPr="257BFE88" w:rsidR="489EDFD3">
        <w:rPr>
          <w:rFonts w:ascii="Segoe UI" w:hAnsi="Segoe UI" w:cs="Segoe UI"/>
          <w:i w:val="0"/>
          <w:iCs w:val="0"/>
          <w:color w:val="000000"/>
          <w:sz w:val="23"/>
          <w:szCs w:val="23"/>
          <w:shd w:val="clear" w:color="auto" w:fill="FFFFFF"/>
        </w:rPr>
        <w:t xml:space="preserve">of note is </w:t>
      </w:r>
      <w:r w:rsidRPr="257BFE88" w:rsidR="74131136">
        <w:rPr>
          <w:rFonts w:ascii="Segoe UI" w:hAnsi="Segoe UI" w:cs="Segoe UI"/>
          <w:i w:val="0"/>
          <w:iCs w:val="0"/>
          <w:color w:val="000000"/>
          <w:sz w:val="23"/>
          <w:szCs w:val="23"/>
          <w:shd w:val="clear" w:color="auto" w:fill="FFFFFF"/>
        </w:rPr>
        <w:t xml:space="preserve">the 2020 loss</w:t>
      </w:r>
      <w:r w:rsidRPr="257BFE88" w:rsidR="5F88361D">
        <w:rPr>
          <w:rFonts w:ascii="Segoe UI" w:hAnsi="Segoe UI" w:cs="Segoe UI"/>
          <w:i w:val="0"/>
          <w:iCs w:val="0"/>
          <w:color w:val="000000"/>
          <w:sz w:val="23"/>
          <w:szCs w:val="23"/>
          <w:shd w:val="clear" w:color="auto" w:fill="FFFFFF"/>
        </w:rPr>
        <w:t xml:space="preserve"> which is</w:t>
      </w:r>
      <w:r w:rsidRPr="257BFE88" w:rsidR="74131136">
        <w:rPr>
          <w:rFonts w:ascii="Segoe UI" w:hAnsi="Segoe UI" w:cs="Segoe UI"/>
          <w:i w:val="0"/>
          <w:iCs w:val="0"/>
          <w:color w:val="000000"/>
          <w:sz w:val="23"/>
          <w:szCs w:val="23"/>
          <w:shd w:val="clear" w:color="auto" w:fill="FFFFFF"/>
        </w:rPr>
        <w:t xml:space="preserve"> followed by record profits in 2022</w:t>
      </w:r>
      <w:r w:rsidRPr="257BFE88" w:rsidR="74131136">
        <w:rPr>
          <w:rFonts w:ascii="Segoe UI" w:hAnsi="Segoe UI" w:cs="Segoe UI"/>
          <w:i w:val="1"/>
          <w:iCs w:val="1"/>
          <w:color w:val="000000"/>
          <w:sz w:val="23"/>
          <w:szCs w:val="23"/>
          <w:shd w:val="clear" w:color="auto" w:fill="FFFFFF"/>
        </w:rPr>
        <w:t xml:space="preserve">.</w:t>
      </w:r>
      <w:r w:rsidRPr="257BFE88" w:rsidR="74131136">
        <w:rPr>
          <w:rFonts w:ascii="Segoe UI" w:hAnsi="Segoe UI" w:cs="Segoe UI"/>
          <w:i w:val="1"/>
          <w:iCs w:val="1"/>
          <w:color w:val="000000"/>
          <w:sz w:val="23"/>
          <w:szCs w:val="23"/>
          <w:shd w:val="clear" w:color="auto" w:fill="FFFFFF"/>
        </w:rPr>
        <w:t xml:space="preserve"> </w:t>
      </w:r>
    </w:p>
    <w:p w:rsidRPr="003137A2" w:rsidR="003137A2" w:rsidP="003137A2" w:rsidRDefault="003137A2" w14:paraId="084440AF" w14:textId="102A7589">
      <w:r w:rsidR="74131136">
        <w:rPr/>
        <w:t>This analysis</w:t>
      </w:r>
      <w:r w:rsidR="3A3A1E00">
        <w:rPr/>
        <w:t xml:space="preserve"> strongly</w:t>
      </w:r>
      <w:r w:rsidR="5100E87F">
        <w:rPr/>
        <w:t xml:space="preserve"> </w:t>
      </w:r>
      <w:r w:rsidR="3E0D19FD">
        <w:rPr/>
        <w:t>supports t</w:t>
      </w:r>
      <w:r w:rsidR="74131136">
        <w:rPr/>
        <w:t>he findings that ESG scores cannot be evaluated without considering the underlying business model</w:t>
      </w:r>
      <w:r w:rsidR="5D7FD696">
        <w:rPr/>
        <w:t>.</w:t>
      </w:r>
    </w:p>
    <w:p w:rsidRPr="003137A2" w:rsidR="003137A2" w:rsidP="003137A2" w:rsidRDefault="003137A2" w14:paraId="3D72355E" w14:textId="77777777">
      <w:pPr>
        <w:rPr>
          <w:b/>
          <w:bCs/>
        </w:rPr>
      </w:pPr>
    </w:p>
    <w:p w:rsidRPr="003137A2" w:rsidR="003137A2" w:rsidP="257BFE88" w:rsidRDefault="003137A2" w14:paraId="61762F0A" w14:textId="77777777">
      <w:pPr>
        <w:keepNext w:val="1"/>
        <w:keepLines w:val="1"/>
        <w:spacing w:before="160" w:after="80"/>
        <w:outlineLvl w:val="2"/>
        <w:rPr>
          <w:rFonts w:eastAsia="" w:cs="" w:eastAsiaTheme="majorEastAsia" w:cstheme="majorBidi"/>
          <w:color w:val="0F4761" w:themeColor="accent1" w:themeShade="BF"/>
          <w:sz w:val="28"/>
          <w:szCs w:val="28"/>
        </w:rPr>
      </w:pPr>
      <w:bookmarkStart w:name="_Toc881656734" w:id="234003003"/>
      <w:r w:rsidRPr="257BFE88" w:rsidR="6D7FFB3E">
        <w:rPr>
          <w:rFonts w:eastAsia="" w:cs="" w:eastAsiaTheme="majorEastAsia" w:cstheme="majorBidi"/>
          <w:color w:val="0F4761" w:themeColor="accent1" w:themeTint="FF" w:themeShade="BF"/>
          <w:sz w:val="28"/>
          <w:szCs w:val="28"/>
        </w:rPr>
        <w:t>4.1.5 Summary of quantitative evidence from comparative analysis of Tesla and Exxon Mobil</w:t>
      </w:r>
      <w:bookmarkEnd w:id="234003003"/>
    </w:p>
    <w:p w:rsidRPr="003137A2" w:rsidR="003137A2" w:rsidP="003137A2" w:rsidRDefault="003137A2" w14:paraId="0DF76EF3" w14:textId="3923C876">
      <w:r w:rsidR="74131136">
        <w:rPr/>
        <w:t xml:space="preserve">Tesla and ExxonMobil show different combinations of returns, </w:t>
      </w:r>
      <w:r w:rsidR="74131136">
        <w:rPr/>
        <w:t>volatility</w:t>
      </w:r>
      <w:r w:rsidR="74131136">
        <w:rPr/>
        <w:t xml:space="preserve"> and profitability, which helps explain why investors and product providers rely on simplified ESG </w:t>
      </w:r>
      <w:r w:rsidR="489F290E">
        <w:rPr/>
        <w:t>indicator</w:t>
      </w:r>
      <w:r w:rsidR="74131136">
        <w:rPr/>
        <w:t xml:space="preserve">s. </w:t>
      </w:r>
      <w:r w:rsidR="74131136">
        <w:rPr/>
        <w:t xml:space="preserve">At the same time, the results make </w:t>
      </w:r>
      <w:r w:rsidR="119085C8">
        <w:rPr/>
        <w:t xml:space="preserve">it </w:t>
      </w:r>
      <w:r w:rsidR="74131136">
        <w:rPr/>
        <w:t xml:space="preserve">clear that ESG ratings cannot be considered in isolation. Market outcomes are influenced </w:t>
      </w:r>
      <w:r w:rsidR="74131136">
        <w:rPr/>
        <w:t>mainly by</w:t>
      </w:r>
      <w:r w:rsidR="74131136">
        <w:rPr/>
        <w:t xml:space="preserve"> sector exposure, investor </w:t>
      </w:r>
      <w:r w:rsidR="74131136">
        <w:rPr/>
        <w:t>sentiment</w:t>
      </w:r>
      <w:r w:rsidR="74131136">
        <w:rPr/>
        <w:t xml:space="preserve"> and</w:t>
      </w:r>
      <w:r w:rsidR="74131136">
        <w:rPr/>
        <w:t xml:space="preserve"> wider economic conditions, with ESG scores acting as only one informative signal (</w:t>
      </w:r>
      <w:r w:rsidR="74131136">
        <w:rPr/>
        <w:t>Ky</w:t>
      </w:r>
      <w:r w:rsidR="74131136">
        <w:rPr/>
        <w:t>ei</w:t>
      </w:r>
      <w:r w:rsidR="484D8A4D">
        <w:rPr/>
        <w:t>-</w:t>
      </w:r>
      <w:r w:rsidR="74131136">
        <w:rPr/>
        <w:t>Mensah</w:t>
      </w:r>
      <w:r w:rsidR="74131136">
        <w:rPr/>
        <w:t xml:space="preserve">, 2026) </w:t>
      </w:r>
    </w:p>
    <w:p w:rsidRPr="003137A2" w:rsidR="003137A2" w:rsidP="003137A2" w:rsidRDefault="003137A2" w14:paraId="68680B5C" w14:textId="77777777">
      <w:r w:rsidRPr="003137A2">
        <w:t>Together, these findings suggest that ESG scores may oversimplify complex financial realities, which can contribute to unintended consequences when used at scale.</w:t>
      </w:r>
    </w:p>
    <w:p w:rsidRPr="003137A2" w:rsidR="003137A2" w:rsidP="003137A2" w:rsidRDefault="003137A2" w14:paraId="7A88B344" w14:textId="77777777">
      <w:pPr>
        <w:rPr>
          <w:b/>
          <w:bCs/>
        </w:rPr>
      </w:pPr>
    </w:p>
    <w:p w:rsidRPr="003137A2" w:rsidR="003137A2" w:rsidP="257BFE88" w:rsidRDefault="003137A2" w14:paraId="695238A7" w14:textId="77777777">
      <w:pPr>
        <w:keepNext w:val="1"/>
        <w:keepLines w:val="1"/>
        <w:spacing w:before="160" w:after="80"/>
        <w:outlineLvl w:val="2"/>
        <w:rPr>
          <w:rFonts w:eastAsia="" w:cs="" w:eastAsiaTheme="majorEastAsia" w:cstheme="majorBidi"/>
          <w:color w:val="0F4761" w:themeColor="accent1" w:themeShade="BF"/>
          <w:sz w:val="28"/>
          <w:szCs w:val="28"/>
        </w:rPr>
      </w:pPr>
      <w:bookmarkStart w:name="_Toc1198252140" w:id="1196523556"/>
      <w:r w:rsidRPr="257BFE88" w:rsidR="6D7FFB3E">
        <w:rPr>
          <w:rFonts w:eastAsia="" w:cs="" w:eastAsiaTheme="majorEastAsia" w:cstheme="majorBidi"/>
          <w:color w:val="0F4761" w:themeColor="accent1" w:themeTint="FF" w:themeShade="BF"/>
          <w:sz w:val="28"/>
          <w:szCs w:val="28"/>
        </w:rPr>
        <w:t>4.1.6 Market</w:t>
      </w:r>
      <w:r w:rsidRPr="257BFE88" w:rsidR="6D7FFB3E">
        <w:rPr>
          <w:rFonts w:eastAsia="" w:cs="Cambria Math" w:eastAsiaTheme="majorEastAsia"/>
          <w:color w:val="0F4761" w:themeColor="accent1" w:themeTint="FF" w:themeShade="BF"/>
          <w:sz w:val="28"/>
          <w:szCs w:val="28"/>
        </w:rPr>
        <w:t xml:space="preserve"> </w:t>
      </w:r>
      <w:r w:rsidRPr="257BFE88" w:rsidR="6D7FFB3E">
        <w:rPr>
          <w:rFonts w:eastAsia="" w:cs="" w:eastAsiaTheme="majorEastAsia" w:cstheme="majorBidi"/>
          <w:color w:val="0F4761" w:themeColor="accent1" w:themeTint="FF" w:themeShade="BF"/>
          <w:sz w:val="28"/>
          <w:szCs w:val="28"/>
        </w:rPr>
        <w:t>Level ESG Investment Trends</w:t>
      </w:r>
      <w:bookmarkEnd w:id="1196523556"/>
    </w:p>
    <w:p w:rsidRPr="003137A2" w:rsidR="003137A2" w:rsidP="08626363" w:rsidRDefault="003137A2" w14:paraId="12544FBD" w14:textId="43894BF6">
      <w:pPr>
        <w:keepNext w:val="1"/>
        <w:keepLines w:val="1"/>
        <w:spacing w:before="80" w:after="40"/>
        <w:outlineLvl w:val="3"/>
        <w:rPr>
          <w:rFonts w:ascii="Times New Roman" w:hAnsi="Times New Roman" w:eastAsia="Times New Roman" w:cs="Times New Roman"/>
          <w:i w:val="1"/>
          <w:iCs w:val="1"/>
          <w:color w:val="0F4761" w:themeColor="accent1" w:themeShade="BF"/>
          <w:lang w:eastAsia="en-GB"/>
        </w:rPr>
      </w:pPr>
      <w:r w:rsidRPr="08626363" w:rsidR="688CEB16">
        <w:rPr>
          <w:rFonts w:eastAsia="Times New Roman" w:cs="" w:cstheme="majorBidi"/>
          <w:i w:val="1"/>
          <w:iCs w:val="1"/>
          <w:color w:val="0F4761" w:themeColor="accent1" w:themeTint="FF" w:themeShade="BF"/>
          <w:lang w:eastAsia="en-GB"/>
        </w:rPr>
        <w:t>Time-Series Line Chart: Annual Net Flows into Global Sustainable Funds (2018–2025)</w:t>
      </w:r>
      <w:r w:rsidRPr="08626363" w:rsidR="3CF2FE13">
        <w:rPr>
          <w:rFonts w:eastAsia="Times New Roman" w:cs="" w:cstheme="majorBidi"/>
          <w:i w:val="1"/>
          <w:iCs w:val="1"/>
          <w:color w:val="0F4761" w:themeColor="accent1" w:themeTint="FF" w:themeShade="BF"/>
          <w:lang w:eastAsia="en-GB"/>
        </w:rPr>
        <w:t xml:space="preserve"> (Morningstar, 2026)</w:t>
      </w:r>
    </w:p>
    <w:p w:rsidRPr="003137A2" w:rsidR="003137A2" w:rsidP="003137A2" w:rsidRDefault="003137A2" w14:paraId="4783BCCF" w14:textId="77777777">
      <w:pPr>
        <w:spacing w:before="240" w:after="240" w:line="240" w:lineRule="auto"/>
        <w:rPr>
          <w:rFonts w:ascii="Times New Roman" w:hAnsi="Times New Roman" w:eastAsia="Times New Roman" w:cs="Times New Roman"/>
          <w:kern w:val="0"/>
          <w:lang w:eastAsia="en-GB"/>
          <w14:ligatures w14:val="none"/>
        </w:rPr>
      </w:pPr>
      <w:r w:rsidR="688CEB16">
        <w:drawing>
          <wp:inline wp14:editId="36C6BCD6" wp14:anchorId="268B86F4">
            <wp:extent cx="5730240" cy="3817620"/>
            <wp:effectExtent l="0" t="0" r="3810" b="0"/>
            <wp:docPr id="2"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pic:cNvPicPr>
                      <a:picLocks noChangeAspect="1" noChangeArrowheads="1"/>
                    </pic:cNvPicPr>
                  </pic:nvPicPr>
                  <pic:blipFill>
                    <a:blip xmlns:r="http://schemas.openxmlformats.org/officeDocument/2006/relationships" r:embed="rId8" cstate="print">
                      <a:extLst>
                        <a:ext uri="{28A0092B-C50C-407E-A947-70E740481C1C}">
                          <a14:useLocalDpi xmlns:a14="http://schemas.microsoft.com/office/drawing/2010/main" val="0"/>
                        </a:ext>
                      </a:extLst>
                    </a:blip>
                    <a:srcRect/>
                    <a:stretch>
                      <a:fillRect/>
                    </a:stretch>
                  </pic:blipFill>
                  <pic:spPr bwMode="auto">
                    <a:xfrm>
                      <a:off x="0" y="0"/>
                      <a:ext cx="5730240" cy="3817620"/>
                    </a:xfrm>
                    <a:prstGeom prst="rect">
                      <a:avLst/>
                    </a:prstGeom>
                    <a:noFill/>
                    <a:ln>
                      <a:noFill/>
                    </a:ln>
                  </pic:spPr>
                </pic:pic>
              </a:graphicData>
            </a:graphic>
          </wp:inline>
        </w:drawing>
      </w:r>
    </w:p>
    <w:p w:rsidRPr="003137A2" w:rsidR="003137A2" w:rsidP="08626363" w:rsidRDefault="003137A2" w14:paraId="1488F00D" w14:textId="254E2D1A">
      <w:pPr>
        <w:spacing w:before="240" w:beforeAutospacing="off" w:after="240" w:afterAutospacing="off"/>
        <w:rPr>
          <w:rFonts w:ascii="Aptos" w:hAnsi="Aptos" w:eastAsia="Aptos" w:cs="Aptos"/>
          <w:noProof w:val="0"/>
          <w:color w:val="000000" w:themeColor="text1" w:themeTint="FF" w:themeShade="FF"/>
          <w:sz w:val="24"/>
          <w:szCs w:val="24"/>
          <w:lang w:val="en-GB"/>
        </w:rPr>
      </w:pPr>
      <w:r w:rsidRPr="08626363" w:rsidR="0BF1970D">
        <w:rPr>
          <w:rFonts w:ascii="Aptos" w:hAnsi="Aptos" w:eastAsia="Aptos" w:cs="Aptos"/>
          <w:noProof w:val="0"/>
          <w:color w:val="000000" w:themeColor="text1" w:themeTint="FF" w:themeShade="FF"/>
          <w:sz w:val="24"/>
          <w:szCs w:val="24"/>
          <w:lang w:val="en-GB"/>
        </w:rPr>
        <w:t xml:space="preserve">Source: </w:t>
      </w:r>
      <w:r w:rsidRPr="08626363" w:rsidR="505E1FE4">
        <w:rPr>
          <w:rFonts w:ascii="Aptos" w:hAnsi="Aptos" w:eastAsia="Aptos" w:cs="Aptos"/>
          <w:noProof w:val="0"/>
          <w:color w:val="000000" w:themeColor="text1" w:themeTint="FF" w:themeShade="FF"/>
          <w:sz w:val="24"/>
          <w:szCs w:val="24"/>
          <w:lang w:val="en-GB"/>
        </w:rPr>
        <w:t>(</w:t>
      </w:r>
      <w:r w:rsidRPr="08626363" w:rsidR="27FD3B8D">
        <w:rPr>
          <w:rFonts w:ascii="Aptos" w:hAnsi="Aptos" w:eastAsia="Aptos" w:cs="Aptos"/>
          <w:noProof w:val="0"/>
          <w:color w:val="000000" w:themeColor="text1" w:themeTint="FF" w:themeShade="FF"/>
          <w:sz w:val="24"/>
          <w:szCs w:val="24"/>
          <w:lang w:val="en-GB"/>
        </w:rPr>
        <w:t>Morningstar</w:t>
      </w:r>
      <w:r w:rsidRPr="08626363" w:rsidR="3D282A8A">
        <w:rPr>
          <w:rFonts w:ascii="Aptos" w:hAnsi="Aptos" w:eastAsia="Aptos" w:cs="Aptos"/>
          <w:noProof w:val="0"/>
          <w:color w:val="000000" w:themeColor="text1" w:themeTint="FF" w:themeShade="FF"/>
          <w:sz w:val="24"/>
          <w:szCs w:val="24"/>
          <w:lang w:val="en-GB"/>
        </w:rPr>
        <w:t xml:space="preserve">, </w:t>
      </w:r>
      <w:r w:rsidRPr="08626363" w:rsidR="27FD3B8D">
        <w:rPr>
          <w:rFonts w:ascii="Aptos" w:hAnsi="Aptos" w:eastAsia="Aptos" w:cs="Aptos"/>
          <w:noProof w:val="0"/>
          <w:color w:val="000000" w:themeColor="text1" w:themeTint="FF" w:themeShade="FF"/>
          <w:sz w:val="24"/>
          <w:szCs w:val="24"/>
          <w:lang w:val="en-GB"/>
        </w:rPr>
        <w:t>2026)</w:t>
      </w:r>
    </w:p>
    <w:p w:rsidR="08626363" w:rsidP="257BFE88" w:rsidRDefault="08626363" w14:paraId="7169A961" w14:textId="5927F612">
      <w:pPr>
        <w:keepNext w:val="1"/>
        <w:keepLines w:val="1"/>
        <w:spacing w:before="240" w:beforeAutospacing="off" w:after="240" w:afterAutospacing="off"/>
        <w:rPr>
          <w:rFonts w:ascii="Aptos" w:hAnsi="Aptos" w:eastAsia="Aptos" w:cs="Aptos"/>
          <w:noProof w:val="0"/>
          <w:color w:val="000000" w:themeColor="text1" w:themeTint="FF" w:themeShade="FF"/>
          <w:sz w:val="24"/>
          <w:szCs w:val="24"/>
          <w:lang w:val="en-GB"/>
        </w:rPr>
      </w:pPr>
      <w:r w:rsidR="74131136">
        <w:rPr/>
        <w:t>This line chart shows how investor money moved into or out of ESG</w:t>
      </w:r>
      <w:r w:rsidRPr="257BFE88" w:rsidR="74131136">
        <w:rPr>
          <w:rFonts w:ascii="Cambria Math" w:hAnsi="Cambria Math" w:cs="Cambria Math"/>
        </w:rPr>
        <w:t xml:space="preserve"> </w:t>
      </w:r>
      <w:r w:rsidR="74131136">
        <w:rPr/>
        <w:t>labelled funds over time. From 2018 to 2023, flows were consistently positive, reflecting strong investor demand. In 2024, flows in</w:t>
      </w:r>
      <w:r w:rsidR="3D109366">
        <w:rPr/>
        <w:t xml:space="preserve"> </w:t>
      </w:r>
      <w:r w:rsidR="74131136">
        <w:rPr/>
        <w:t>slowed but remained positive. In 2025, the trend reversed sharply, with the first annual outflow since tracking began. This suggests a change in investor sentiment and informs findings for this research</w:t>
      </w:r>
      <w:r w:rsidR="24556EED">
        <w:rPr/>
        <w:t xml:space="preserve"> </w:t>
      </w:r>
      <w:r w:rsidRPr="257BFE88" w:rsidR="24556EED">
        <w:rPr>
          <w:rFonts w:ascii="Aptos" w:hAnsi="Aptos" w:eastAsia="Aptos" w:cs="Aptos"/>
          <w:noProof w:val="0"/>
          <w:color w:val="000000" w:themeColor="text1" w:themeTint="FF" w:themeShade="FF"/>
          <w:sz w:val="24"/>
          <w:szCs w:val="24"/>
          <w:lang w:val="en-GB"/>
        </w:rPr>
        <w:t>(Morningstar, 2026; GSIA, 2025).</w:t>
      </w:r>
    </w:p>
    <w:p w:rsidRPr="003137A2" w:rsidR="003137A2" w:rsidP="003137A2" w:rsidRDefault="003137A2" w14:paraId="62A0DCD3" w14:textId="77777777">
      <w:pPr>
        <w:keepNext/>
        <w:keepLines/>
        <w:spacing w:before="80" w:after="40"/>
        <w:outlineLvl w:val="3"/>
        <w:rPr>
          <w:rFonts w:eastAsiaTheme="majorEastAsia" w:cstheme="majorBidi"/>
          <w:i/>
          <w:iCs/>
          <w:color w:val="0F4761" w:themeColor="accent1" w:themeShade="BF"/>
        </w:rPr>
      </w:pPr>
      <w:r w:rsidRPr="003137A2">
        <w:rPr>
          <w:rFonts w:eastAsiaTheme="majorEastAsia" w:cstheme="majorBidi"/>
          <w:i/>
          <w:iCs/>
          <w:color w:val="0F4761" w:themeColor="accent1" w:themeShade="BF"/>
        </w:rPr>
        <w:t>Compiled annual data (2018–2025) – Net flows &amp; Assets Under Management (AUM) (USD billions; source: Morningstar Direct summaries, 2025 reports):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965"/>
        <w:gridCol w:w="2817"/>
        <w:gridCol w:w="2650"/>
        <w:gridCol w:w="2584"/>
      </w:tblGrid>
      <w:tr w:rsidRPr="003137A2" w:rsidR="003137A2" w:rsidTr="00581845" w14:paraId="1FE7A2A6" w14:textId="77777777">
        <w:trPr>
          <w:trHeight w:val="770"/>
        </w:trPr>
        <w:tc>
          <w:tcPr>
            <w:tcW w:w="0" w:type="auto"/>
            <w:tcMar>
              <w:top w:w="100" w:type="dxa"/>
              <w:left w:w="100" w:type="dxa"/>
              <w:bottom w:w="100" w:type="dxa"/>
              <w:right w:w="100" w:type="dxa"/>
            </w:tcMar>
            <w:hideMark/>
          </w:tcPr>
          <w:p w:rsidRPr="003137A2" w:rsidR="003137A2" w:rsidP="003137A2" w:rsidRDefault="003137A2" w14:paraId="50446B3C" w14:textId="77777777">
            <w:pPr>
              <w:rPr>
                <w:b/>
                <w:bCs/>
              </w:rPr>
            </w:pPr>
            <w:r w:rsidRPr="003137A2">
              <w:rPr>
                <w:b/>
                <w:bCs/>
              </w:rPr>
              <w:t>Year</w:t>
            </w:r>
          </w:p>
        </w:tc>
        <w:tc>
          <w:tcPr>
            <w:tcW w:w="0" w:type="auto"/>
            <w:tcMar>
              <w:top w:w="100" w:type="dxa"/>
              <w:left w:w="100" w:type="dxa"/>
              <w:bottom w:w="100" w:type="dxa"/>
              <w:right w:w="100" w:type="dxa"/>
            </w:tcMar>
            <w:hideMark/>
          </w:tcPr>
          <w:p w:rsidRPr="003137A2" w:rsidR="003137A2" w:rsidP="003137A2" w:rsidRDefault="003137A2" w14:paraId="6BD2BBCE" w14:textId="77777777">
            <w:pPr>
              <w:rPr>
                <w:b/>
                <w:bCs/>
              </w:rPr>
            </w:pPr>
            <w:r w:rsidRPr="003137A2">
              <w:rPr>
                <w:b/>
                <w:bCs/>
              </w:rPr>
              <w:t>Net Flows (USD bn)</w:t>
            </w:r>
          </w:p>
        </w:tc>
        <w:tc>
          <w:tcPr>
            <w:tcW w:w="0" w:type="auto"/>
            <w:tcMar>
              <w:top w:w="100" w:type="dxa"/>
              <w:left w:w="100" w:type="dxa"/>
              <w:bottom w:w="100" w:type="dxa"/>
              <w:right w:w="100" w:type="dxa"/>
            </w:tcMar>
            <w:hideMark/>
          </w:tcPr>
          <w:p w:rsidRPr="003137A2" w:rsidR="003137A2" w:rsidP="003137A2" w:rsidRDefault="003137A2" w14:paraId="0E7BB3F7" w14:textId="77777777">
            <w:pPr>
              <w:rPr>
                <w:b/>
                <w:bCs/>
              </w:rPr>
            </w:pPr>
            <w:r w:rsidRPr="003137A2">
              <w:rPr>
                <w:b/>
                <w:bCs/>
              </w:rPr>
              <w:t>End-of-Year AUM     (USD tn)</w:t>
            </w:r>
          </w:p>
        </w:tc>
        <w:tc>
          <w:tcPr>
            <w:tcW w:w="0" w:type="auto"/>
            <w:tcMar>
              <w:top w:w="100" w:type="dxa"/>
              <w:left w:w="100" w:type="dxa"/>
              <w:bottom w:w="100" w:type="dxa"/>
              <w:right w:w="100" w:type="dxa"/>
            </w:tcMar>
            <w:hideMark/>
          </w:tcPr>
          <w:p w:rsidRPr="003137A2" w:rsidR="003137A2" w:rsidP="003137A2" w:rsidRDefault="003137A2" w14:paraId="3AB3D463" w14:textId="77777777">
            <w:pPr>
              <w:rPr>
                <w:b/>
                <w:bCs/>
              </w:rPr>
            </w:pPr>
            <w:r w:rsidRPr="003137A2">
              <w:rPr>
                <w:b/>
                <w:bCs/>
              </w:rPr>
              <w:t>Notes / Regional Split</w:t>
            </w:r>
          </w:p>
        </w:tc>
      </w:tr>
      <w:tr w:rsidRPr="003137A2" w:rsidR="003137A2" w:rsidTr="00581845" w14:paraId="4F75B903" w14:textId="77777777">
        <w:trPr>
          <w:trHeight w:val="770"/>
        </w:trPr>
        <w:tc>
          <w:tcPr>
            <w:tcW w:w="0" w:type="auto"/>
            <w:tcMar>
              <w:top w:w="100" w:type="dxa"/>
              <w:left w:w="100" w:type="dxa"/>
              <w:bottom w:w="100" w:type="dxa"/>
              <w:right w:w="100" w:type="dxa"/>
            </w:tcMar>
            <w:hideMark/>
          </w:tcPr>
          <w:p w:rsidRPr="003137A2" w:rsidR="003137A2" w:rsidP="003137A2" w:rsidRDefault="003137A2" w14:paraId="14577520" w14:textId="77777777">
            <w:r w:rsidRPr="003137A2">
              <w:t>2018</w:t>
            </w:r>
          </w:p>
        </w:tc>
        <w:tc>
          <w:tcPr>
            <w:tcW w:w="0" w:type="auto"/>
            <w:tcMar>
              <w:top w:w="100" w:type="dxa"/>
              <w:left w:w="100" w:type="dxa"/>
              <w:bottom w:w="100" w:type="dxa"/>
              <w:right w:w="100" w:type="dxa"/>
            </w:tcMar>
            <w:hideMark/>
          </w:tcPr>
          <w:p w:rsidRPr="003137A2" w:rsidR="003137A2" w:rsidP="003137A2" w:rsidRDefault="003137A2" w14:paraId="7A3516A7" w14:textId="77777777">
            <w:r w:rsidRPr="003137A2">
              <w:t>Baseline (tracking start)</w:t>
            </w:r>
          </w:p>
        </w:tc>
        <w:tc>
          <w:tcPr>
            <w:tcW w:w="0" w:type="auto"/>
            <w:tcMar>
              <w:top w:w="100" w:type="dxa"/>
              <w:left w:w="100" w:type="dxa"/>
              <w:bottom w:w="100" w:type="dxa"/>
              <w:right w:w="100" w:type="dxa"/>
            </w:tcMar>
            <w:hideMark/>
          </w:tcPr>
          <w:p w:rsidRPr="003137A2" w:rsidR="003137A2" w:rsidP="003137A2" w:rsidRDefault="003137A2" w14:paraId="61B2F030" w14:textId="77777777">
            <w:r w:rsidRPr="003137A2">
              <w:t>~0.6</w:t>
            </w:r>
          </w:p>
        </w:tc>
        <w:tc>
          <w:tcPr>
            <w:tcW w:w="0" w:type="auto"/>
            <w:tcMar>
              <w:top w:w="100" w:type="dxa"/>
              <w:left w:w="100" w:type="dxa"/>
              <w:bottom w:w="100" w:type="dxa"/>
              <w:right w:w="100" w:type="dxa"/>
            </w:tcMar>
            <w:hideMark/>
          </w:tcPr>
          <w:p w:rsidRPr="003137A2" w:rsidR="003137A2" w:rsidP="003137A2" w:rsidRDefault="003137A2" w14:paraId="28B55474" w14:textId="77777777">
            <w:r w:rsidRPr="003137A2">
              <w:t>Global sustainable fund universe established</w:t>
            </w:r>
          </w:p>
        </w:tc>
      </w:tr>
      <w:tr w:rsidRPr="003137A2" w:rsidR="003137A2" w:rsidTr="00581845" w14:paraId="50CEB613" w14:textId="77777777">
        <w:trPr>
          <w:trHeight w:val="1040"/>
        </w:trPr>
        <w:tc>
          <w:tcPr>
            <w:tcW w:w="0" w:type="auto"/>
            <w:tcMar>
              <w:top w:w="100" w:type="dxa"/>
              <w:left w:w="100" w:type="dxa"/>
              <w:bottom w:w="100" w:type="dxa"/>
              <w:right w:w="100" w:type="dxa"/>
            </w:tcMar>
            <w:hideMark/>
          </w:tcPr>
          <w:p w:rsidRPr="003137A2" w:rsidR="003137A2" w:rsidP="003137A2" w:rsidRDefault="003137A2" w14:paraId="72477DE1" w14:textId="77777777">
            <w:r w:rsidRPr="003137A2">
              <w:t>2019–2023</w:t>
            </w:r>
          </w:p>
        </w:tc>
        <w:tc>
          <w:tcPr>
            <w:tcW w:w="0" w:type="auto"/>
            <w:tcMar>
              <w:top w:w="100" w:type="dxa"/>
              <w:left w:w="100" w:type="dxa"/>
              <w:bottom w:w="100" w:type="dxa"/>
              <w:right w:w="100" w:type="dxa"/>
            </w:tcMar>
            <w:hideMark/>
          </w:tcPr>
          <w:p w:rsidRPr="003137A2" w:rsidR="003137A2" w:rsidP="003137A2" w:rsidRDefault="003137A2" w14:paraId="3BB5201E" w14:textId="77777777">
            <w:r w:rsidRPr="003137A2">
              <w:t>Strongly positive (cumulative &gt;$300 bn inflows across period)</w:t>
            </w:r>
          </w:p>
        </w:tc>
        <w:tc>
          <w:tcPr>
            <w:tcW w:w="0" w:type="auto"/>
            <w:tcMar>
              <w:top w:w="100" w:type="dxa"/>
              <w:left w:w="100" w:type="dxa"/>
              <w:bottom w:w="100" w:type="dxa"/>
              <w:right w:w="100" w:type="dxa"/>
            </w:tcMar>
            <w:hideMark/>
          </w:tcPr>
          <w:p w:rsidRPr="003137A2" w:rsidR="003137A2" w:rsidP="003137A2" w:rsidRDefault="003137A2" w14:paraId="2E9DF0A6" w14:textId="77777777">
            <w:r w:rsidRPr="003137A2">
              <w:t>Progressive growth to ~$3.2 tn by end-2023</w:t>
            </w:r>
          </w:p>
        </w:tc>
        <w:tc>
          <w:tcPr>
            <w:tcW w:w="0" w:type="auto"/>
            <w:tcMar>
              <w:top w:w="100" w:type="dxa"/>
              <w:left w:w="100" w:type="dxa"/>
              <w:bottom w:w="100" w:type="dxa"/>
              <w:right w:w="100" w:type="dxa"/>
            </w:tcMar>
            <w:hideMark/>
          </w:tcPr>
          <w:p w:rsidRPr="003137A2" w:rsidR="003137A2" w:rsidP="003137A2" w:rsidRDefault="003137A2" w14:paraId="7C25CA4C" w14:textId="77777777">
            <w:r w:rsidRPr="003137A2">
              <w:t>Europe dominant throughout</w:t>
            </w:r>
          </w:p>
        </w:tc>
      </w:tr>
      <w:tr w:rsidRPr="003137A2" w:rsidR="003137A2" w:rsidTr="00581845" w14:paraId="6C2BCBBB" w14:textId="77777777">
        <w:trPr>
          <w:trHeight w:val="770"/>
        </w:trPr>
        <w:tc>
          <w:tcPr>
            <w:tcW w:w="0" w:type="auto"/>
            <w:tcMar>
              <w:top w:w="100" w:type="dxa"/>
              <w:left w:w="100" w:type="dxa"/>
              <w:bottom w:w="100" w:type="dxa"/>
              <w:right w:w="100" w:type="dxa"/>
            </w:tcMar>
            <w:hideMark/>
          </w:tcPr>
          <w:p w:rsidRPr="003137A2" w:rsidR="003137A2" w:rsidP="003137A2" w:rsidRDefault="003137A2" w14:paraId="252BE978" w14:textId="77777777">
            <w:r w:rsidRPr="003137A2">
              <w:t>2024</w:t>
            </w:r>
          </w:p>
        </w:tc>
        <w:tc>
          <w:tcPr>
            <w:tcW w:w="0" w:type="auto"/>
            <w:tcMar>
              <w:top w:w="100" w:type="dxa"/>
              <w:left w:w="100" w:type="dxa"/>
              <w:bottom w:w="100" w:type="dxa"/>
              <w:right w:w="100" w:type="dxa"/>
            </w:tcMar>
            <w:hideMark/>
          </w:tcPr>
          <w:p w:rsidRPr="003137A2" w:rsidR="003137A2" w:rsidP="003137A2" w:rsidRDefault="003137A2" w14:paraId="20A87005" w14:textId="77777777">
            <w:r w:rsidRPr="003137A2">
              <w:t>+38</w:t>
            </w:r>
          </w:p>
        </w:tc>
        <w:tc>
          <w:tcPr>
            <w:tcW w:w="0" w:type="auto"/>
            <w:tcMar>
              <w:top w:w="100" w:type="dxa"/>
              <w:left w:w="100" w:type="dxa"/>
              <w:bottom w:w="100" w:type="dxa"/>
              <w:right w:w="100" w:type="dxa"/>
            </w:tcMar>
            <w:hideMark/>
          </w:tcPr>
          <w:p w:rsidRPr="003137A2" w:rsidR="003137A2" w:rsidP="003137A2" w:rsidRDefault="003137A2" w14:paraId="78DE37F8" w14:textId="77777777">
            <w:r w:rsidRPr="003137A2">
              <w:t>~3.6 (pre-2025 appreciation)</w:t>
            </w:r>
          </w:p>
        </w:tc>
        <w:tc>
          <w:tcPr>
            <w:tcW w:w="0" w:type="auto"/>
            <w:tcMar>
              <w:top w:w="100" w:type="dxa"/>
              <w:left w:w="100" w:type="dxa"/>
              <w:bottom w:w="100" w:type="dxa"/>
              <w:right w:w="100" w:type="dxa"/>
            </w:tcMar>
            <w:hideMark/>
          </w:tcPr>
          <w:p w:rsidRPr="003137A2" w:rsidR="003137A2" w:rsidP="003137A2" w:rsidRDefault="003137A2" w14:paraId="0016223A" w14:textId="77777777">
            <w:r w:rsidRPr="003137A2">
              <w:t>Positive inflows</w:t>
            </w:r>
          </w:p>
        </w:tc>
      </w:tr>
      <w:tr w:rsidRPr="003137A2" w:rsidR="003137A2" w:rsidTr="00581845" w14:paraId="0F9AFC25" w14:textId="77777777">
        <w:trPr>
          <w:trHeight w:val="2390"/>
        </w:trPr>
        <w:tc>
          <w:tcPr>
            <w:tcW w:w="0" w:type="auto"/>
            <w:tcMar>
              <w:top w:w="100" w:type="dxa"/>
              <w:left w:w="100" w:type="dxa"/>
              <w:bottom w:w="100" w:type="dxa"/>
              <w:right w:w="100" w:type="dxa"/>
            </w:tcMar>
            <w:hideMark/>
          </w:tcPr>
          <w:p w:rsidRPr="003137A2" w:rsidR="003137A2" w:rsidP="003137A2" w:rsidRDefault="003137A2" w14:paraId="6733BBC5" w14:textId="77777777">
            <w:r w:rsidRPr="003137A2">
              <w:t>2025</w:t>
            </w:r>
          </w:p>
        </w:tc>
        <w:tc>
          <w:tcPr>
            <w:tcW w:w="0" w:type="auto"/>
            <w:tcMar>
              <w:top w:w="100" w:type="dxa"/>
              <w:left w:w="100" w:type="dxa"/>
              <w:bottom w:w="100" w:type="dxa"/>
              <w:right w:w="100" w:type="dxa"/>
            </w:tcMar>
            <w:hideMark/>
          </w:tcPr>
          <w:p w:rsidRPr="003137A2" w:rsidR="003137A2" w:rsidP="003137A2" w:rsidRDefault="003137A2" w14:paraId="46B75F57" w14:textId="77777777">
            <w:r w:rsidRPr="003137A2">
              <w:t>–84 (first annual outflows since 2018)</w:t>
            </w:r>
          </w:p>
        </w:tc>
        <w:tc>
          <w:tcPr>
            <w:tcW w:w="0" w:type="auto"/>
            <w:tcMar>
              <w:top w:w="100" w:type="dxa"/>
              <w:left w:w="100" w:type="dxa"/>
              <w:bottom w:w="100" w:type="dxa"/>
              <w:right w:w="100" w:type="dxa"/>
            </w:tcMar>
            <w:hideMark/>
          </w:tcPr>
          <w:p w:rsidRPr="003137A2" w:rsidR="003137A2" w:rsidP="003137A2" w:rsidRDefault="003137A2" w14:paraId="03D1603B" w14:textId="77777777">
            <w:r w:rsidRPr="003137A2">
              <w:t>~3.9 (up ~4% on market appreciation despite flows)</w:t>
            </w:r>
          </w:p>
        </w:tc>
        <w:tc>
          <w:tcPr>
            <w:tcW w:w="0" w:type="auto"/>
            <w:tcMar>
              <w:top w:w="100" w:type="dxa"/>
              <w:left w:w="100" w:type="dxa"/>
              <w:bottom w:w="100" w:type="dxa"/>
              <w:right w:w="100" w:type="dxa"/>
            </w:tcMar>
            <w:hideMark/>
          </w:tcPr>
          <w:p w:rsidRPr="003137A2" w:rsidR="003137A2" w:rsidP="003137A2" w:rsidRDefault="003137A2" w14:paraId="12655FD3" w14:textId="77777777">
            <w:r w:rsidRPr="003137A2">
              <w:t>Europe: –$20 bn in Q4 alone (86% of global AUM)</w:t>
            </w:r>
          </w:p>
          <w:p w:rsidRPr="003137A2" w:rsidR="003137A2" w:rsidP="003137A2" w:rsidRDefault="003137A2" w14:paraId="5619D175" w14:textId="77777777">
            <w:r w:rsidRPr="003137A2">
              <w:t>US: –$21 bn annual (9% of global AUM, $368 bn peak)</w:t>
            </w:r>
          </w:p>
          <w:p w:rsidRPr="003137A2" w:rsidR="003137A2" w:rsidP="003137A2" w:rsidRDefault="003137A2" w14:paraId="37854AFF" w14:textId="77777777">
            <w:r w:rsidRPr="003137A2">
              <w:t>Rest of World: outflows in Asia ex-Japan &amp; China</w:t>
            </w:r>
          </w:p>
        </w:tc>
      </w:tr>
    </w:tbl>
    <w:p w:rsidRPr="003137A2" w:rsidR="003137A2" w:rsidP="003137A2" w:rsidRDefault="003137A2" w14:paraId="47C7D34F" w14:textId="77777777">
      <w:pPr>
        <w:rPr>
          <w:b/>
          <w:bCs/>
        </w:rPr>
      </w:pPr>
    </w:p>
    <w:p w:rsidRPr="003137A2" w:rsidR="003137A2" w:rsidP="003137A2" w:rsidRDefault="003137A2" w14:paraId="58025C8F" w14:textId="40402686">
      <w:r w:rsidRPr="257BFE88" w:rsidR="6D7FFB3E">
        <w:rPr>
          <w:b w:val="1"/>
          <w:bCs w:val="1"/>
        </w:rPr>
        <w:t xml:space="preserve">Key 2025 quarterly </w:t>
      </w:r>
      <w:r w:rsidRPr="257BFE88" w:rsidR="7B8F2930">
        <w:rPr>
          <w:b w:val="1"/>
          <w:bCs w:val="1"/>
        </w:rPr>
        <w:t xml:space="preserve">figures </w:t>
      </w:r>
      <w:r w:rsidR="6D7FFB3E">
        <w:rPr/>
        <w:t>(</w:t>
      </w:r>
      <w:r w:rsidR="6D7FFB3E">
        <w:rPr/>
        <w:t>public Morningstar Q3/Q4 2025 reports):</w:t>
      </w:r>
    </w:p>
    <w:p w:rsidRPr="003137A2" w:rsidR="003137A2" w:rsidP="003137A2" w:rsidRDefault="003137A2" w14:paraId="6DA5B223" w14:textId="77777777">
      <w:pPr>
        <w:numPr>
          <w:ilvl w:val="0"/>
          <w:numId w:val="4"/>
        </w:numPr>
      </w:pPr>
      <w:r w:rsidRPr="003137A2">
        <w:t>Q3 2025: –$55 bn</w:t>
      </w:r>
    </w:p>
    <w:p w:rsidRPr="003137A2" w:rsidR="003137A2" w:rsidP="003137A2" w:rsidRDefault="003137A2" w14:paraId="08AFE0E7" w14:textId="77777777">
      <w:pPr>
        <w:numPr>
          <w:ilvl w:val="0"/>
          <w:numId w:val="4"/>
        </w:numPr>
      </w:pPr>
      <w:r w:rsidRPr="003137A2">
        <w:t>Q4 2025: –$27 bn</w:t>
      </w:r>
    </w:p>
    <w:p w:rsidR="58BC8CE0" w:rsidP="257BFE88" w:rsidRDefault="58BC8CE0" w14:paraId="59DA7BC3" w14:textId="1DAFFBE0">
      <w:pPr>
        <w:numPr>
          <w:ilvl w:val="0"/>
          <w:numId w:val="4"/>
        </w:numPr>
        <w:rPr>
          <w:rFonts w:ascii="Aptos" w:hAnsi="Aptos" w:eastAsia="Aptos"/>
          <w:b w:val="0"/>
          <w:bCs w:val="0"/>
          <w:i w:val="0"/>
          <w:iCs w:val="0"/>
          <w:noProof w:val="0"/>
          <w:sz w:val="24"/>
          <w:szCs w:val="24"/>
          <w:lang w:val="en-GB"/>
        </w:rPr>
      </w:pPr>
      <w:r w:rsidRPr="257BFE88" w:rsidR="58BC8CE0">
        <w:rPr>
          <w:rFonts w:ascii="Aptos" w:hAnsi="Aptos" w:eastAsia="Aptos"/>
          <w:b w:val="0"/>
          <w:bCs w:val="0"/>
          <w:i w:val="0"/>
          <w:iCs w:val="0"/>
          <w:noProof w:val="0"/>
          <w:sz w:val="24"/>
          <w:szCs w:val="24"/>
          <w:lang w:val="en-GB"/>
        </w:rPr>
        <w:t>All regions experienced net withdrawals in the second half of 2025 which is the first time Europe recorded a full year of outflows.</w:t>
      </w:r>
    </w:p>
    <w:p w:rsidR="257BFE88" w:rsidP="257BFE88" w:rsidRDefault="257BFE88" w14:paraId="45B13070" w14:textId="48744346">
      <w:pPr>
        <w:rPr>
          <w:b w:val="1"/>
          <w:bCs w:val="1"/>
        </w:rPr>
      </w:pPr>
    </w:p>
    <w:p w:rsidR="257BFE88" w:rsidP="257BFE88" w:rsidRDefault="257BFE88" w14:paraId="6392B0E7" w14:textId="2EFBD29A">
      <w:pPr>
        <w:rPr>
          <w:b w:val="1"/>
          <w:bCs w:val="1"/>
        </w:rPr>
      </w:pPr>
    </w:p>
    <w:p w:rsidRPr="003137A2" w:rsidR="003137A2" w:rsidP="003137A2" w:rsidRDefault="003137A2" w14:paraId="616F0FED" w14:textId="59B78B59">
      <w:pPr/>
      <w:r w:rsidRPr="257BFE88" w:rsidR="6D7FFB3E">
        <w:rPr>
          <w:b w:val="1"/>
          <w:bCs w:val="1"/>
        </w:rPr>
        <w:t xml:space="preserve">Broader GSIA </w:t>
      </w:r>
      <w:r w:rsidRPr="257BFE88" w:rsidR="3CA9045A">
        <w:rPr>
          <w:b w:val="1"/>
          <w:bCs w:val="1"/>
        </w:rPr>
        <w:t>(</w:t>
      </w:r>
      <w:r w:rsidRPr="257BFE88" w:rsidR="3CA9045A">
        <w:rPr>
          <w:rFonts w:ascii="Aptos" w:hAnsi="Aptos" w:eastAsia="Aptos" w:cs="Aptos"/>
          <w:b w:val="1"/>
          <w:bCs w:val="1"/>
          <w:noProof w:val="0"/>
          <w:color w:val="000000" w:themeColor="text1" w:themeTint="FF" w:themeShade="FF"/>
          <w:sz w:val="24"/>
          <w:szCs w:val="24"/>
          <w:lang w:val="en-GB"/>
        </w:rPr>
        <w:t>G</w:t>
      </w:r>
      <w:r w:rsidRPr="257BFE88" w:rsidR="3CA9045A">
        <w:rPr>
          <w:rFonts w:ascii="Aptos" w:hAnsi="Aptos" w:eastAsia="Aptos" w:cs="Aptos"/>
          <w:b w:val="1"/>
          <w:bCs w:val="1"/>
          <w:noProof w:val="0"/>
          <w:color w:val="000000" w:themeColor="text1" w:themeTint="FF" w:themeShade="FF"/>
          <w:sz w:val="24"/>
          <w:szCs w:val="24"/>
          <w:lang w:val="en-GB"/>
        </w:rPr>
        <w:t>SIA</w:t>
      </w:r>
      <w:r w:rsidRPr="257BFE88" w:rsidR="3CA9045A">
        <w:rPr>
          <w:rFonts w:ascii="Aptos" w:hAnsi="Aptos" w:eastAsia="Aptos" w:cs="Aptos"/>
          <w:b w:val="1"/>
          <w:bCs w:val="1"/>
          <w:noProof w:val="0"/>
          <w:color w:val="000000" w:themeColor="text1" w:themeTint="FF" w:themeShade="FF"/>
          <w:sz w:val="24"/>
          <w:szCs w:val="24"/>
          <w:lang w:val="en-GB"/>
        </w:rPr>
        <w:t>, 2025)</w:t>
      </w:r>
      <w:r w:rsidR="6D7FFB3E">
        <w:rPr/>
        <w:t xml:space="preserve"> </w:t>
      </w:r>
      <w:r w:rsidRPr="257BFE88" w:rsidR="36851309">
        <w:rPr>
          <w:rFonts w:ascii="Aptos" w:hAnsi="Aptos" w:eastAsia="Aptos"/>
          <w:b w:val="0"/>
          <w:bCs w:val="0"/>
          <w:i w:val="0"/>
          <w:iCs w:val="0"/>
          <w:noProof w:val="0"/>
          <w:sz w:val="24"/>
          <w:szCs w:val="24"/>
          <w:lang w:val="en-GB"/>
        </w:rPr>
        <w:t xml:space="preserve">By late 2024 to 2025, global assets invested using </w:t>
      </w:r>
      <w:r w:rsidRPr="257BFE88" w:rsidR="0B1707A2">
        <w:rPr>
          <w:rFonts w:ascii="Aptos" w:hAnsi="Aptos" w:eastAsia="Aptos"/>
          <w:b w:val="0"/>
          <w:bCs w:val="0"/>
          <w:i w:val="0"/>
          <w:iCs w:val="0"/>
          <w:noProof w:val="0"/>
          <w:sz w:val="24"/>
          <w:szCs w:val="24"/>
          <w:lang w:val="en-GB"/>
        </w:rPr>
        <w:t xml:space="preserve">ESG </w:t>
      </w:r>
      <w:r w:rsidRPr="257BFE88" w:rsidR="36851309">
        <w:rPr>
          <w:rFonts w:ascii="Aptos" w:hAnsi="Aptos" w:eastAsia="Aptos"/>
          <w:b w:val="0"/>
          <w:bCs w:val="0"/>
          <w:i w:val="0"/>
          <w:iCs w:val="0"/>
          <w:noProof w:val="0"/>
          <w:sz w:val="24"/>
          <w:szCs w:val="24"/>
          <w:lang w:val="en-GB"/>
        </w:rPr>
        <w:t xml:space="preserve">approaches reached approximately $16.7 trillion, </w:t>
      </w:r>
      <w:r w:rsidRPr="257BFE88" w:rsidR="36851309">
        <w:rPr>
          <w:rFonts w:ascii="Aptos" w:hAnsi="Aptos" w:eastAsia="Aptos"/>
          <w:b w:val="0"/>
          <w:bCs w:val="0"/>
          <w:i w:val="0"/>
          <w:iCs w:val="0"/>
          <w:noProof w:val="0"/>
          <w:sz w:val="24"/>
          <w:szCs w:val="24"/>
          <w:lang w:val="en-GB"/>
        </w:rPr>
        <w:t>representing</w:t>
      </w:r>
      <w:r w:rsidRPr="257BFE88" w:rsidR="36851309">
        <w:rPr>
          <w:rFonts w:ascii="Aptos" w:hAnsi="Aptos" w:eastAsia="Aptos"/>
          <w:b w:val="0"/>
          <w:bCs w:val="0"/>
          <w:i w:val="0"/>
          <w:iCs w:val="0"/>
          <w:noProof w:val="0"/>
          <w:sz w:val="24"/>
          <w:szCs w:val="24"/>
          <w:lang w:val="en-GB"/>
        </w:rPr>
        <w:t xml:space="preserve"> 49% growth over two years. However, this figure is based on a narrower definition than in </w:t>
      </w:r>
      <w:r w:rsidRPr="257BFE88" w:rsidR="36851309">
        <w:rPr>
          <w:rFonts w:ascii="Aptos" w:hAnsi="Aptos" w:eastAsia="Aptos"/>
          <w:b w:val="0"/>
          <w:bCs w:val="0"/>
          <w:i w:val="0"/>
          <w:iCs w:val="0"/>
          <w:noProof w:val="0"/>
          <w:sz w:val="24"/>
          <w:szCs w:val="24"/>
          <w:lang w:val="en-GB"/>
        </w:rPr>
        <w:t>previous</w:t>
      </w:r>
      <w:r w:rsidRPr="257BFE88" w:rsidR="36851309">
        <w:rPr>
          <w:rFonts w:ascii="Aptos" w:hAnsi="Aptos" w:eastAsia="Aptos"/>
          <w:b w:val="0"/>
          <w:bCs w:val="0"/>
          <w:i w:val="0"/>
          <w:iCs w:val="0"/>
          <w:noProof w:val="0"/>
          <w:sz w:val="24"/>
          <w:szCs w:val="24"/>
          <w:lang w:val="en-GB"/>
        </w:rPr>
        <w:t xml:space="preserve"> GSIA reports, focusing only on funds that clearly </w:t>
      </w:r>
      <w:r w:rsidRPr="257BFE88" w:rsidR="36851309">
        <w:rPr>
          <w:rFonts w:ascii="Aptos" w:hAnsi="Aptos" w:eastAsia="Aptos"/>
          <w:b w:val="0"/>
          <w:bCs w:val="0"/>
          <w:i w:val="0"/>
          <w:iCs w:val="0"/>
          <w:noProof w:val="0"/>
          <w:sz w:val="24"/>
          <w:szCs w:val="24"/>
          <w:lang w:val="en-GB"/>
        </w:rPr>
        <w:t>disclose</w:t>
      </w:r>
      <w:r w:rsidRPr="257BFE88" w:rsidR="36851309">
        <w:rPr>
          <w:rFonts w:ascii="Aptos" w:hAnsi="Aptos" w:eastAsia="Aptos"/>
          <w:b w:val="0"/>
          <w:bCs w:val="0"/>
          <w:i w:val="0"/>
          <w:iCs w:val="0"/>
          <w:noProof w:val="0"/>
          <w:sz w:val="24"/>
          <w:szCs w:val="24"/>
          <w:lang w:val="en-GB"/>
        </w:rPr>
        <w:t xml:space="preserve"> their sustainability approach (GSIA 7th Global Sustainable Investment Review, 11 November 2025).</w:t>
      </w:r>
      <w:r w:rsidR="36851309">
        <w:rPr/>
        <w:t xml:space="preserve"> </w:t>
      </w:r>
      <w:r w:rsidR="1F765BC3">
        <w:rPr/>
        <w:t xml:space="preserve"> </w:t>
      </w:r>
      <w:r w:rsidRPr="257BFE88" w:rsidR="36851309">
        <w:rPr>
          <w:rFonts w:ascii="Aptos" w:hAnsi="Aptos" w:eastAsia="Aptos"/>
          <w:b w:val="0"/>
          <w:bCs w:val="0"/>
          <w:i w:val="0"/>
          <w:iCs w:val="0"/>
          <w:noProof w:val="0"/>
          <w:sz w:val="24"/>
          <w:szCs w:val="24"/>
          <w:lang w:val="en-GB"/>
        </w:rPr>
        <w:t xml:space="preserve">Despite continued growth in overall Assets Under Management (AUM), </w:t>
      </w:r>
      <w:r w:rsidRPr="257BFE88" w:rsidR="1B389E62">
        <w:rPr>
          <w:rFonts w:ascii="Aptos" w:hAnsi="Aptos" w:eastAsia="Aptos"/>
          <w:b w:val="0"/>
          <w:bCs w:val="0"/>
          <w:i w:val="0"/>
          <w:iCs w:val="0"/>
          <w:noProof w:val="0"/>
          <w:sz w:val="24"/>
          <w:szCs w:val="24"/>
          <w:lang w:val="en-GB"/>
        </w:rPr>
        <w:t>caused</w:t>
      </w:r>
      <w:r w:rsidRPr="257BFE88" w:rsidR="36851309">
        <w:rPr>
          <w:rFonts w:ascii="Aptos" w:hAnsi="Aptos" w:eastAsia="Aptos"/>
          <w:b w:val="0"/>
          <w:bCs w:val="0"/>
          <w:i w:val="0"/>
          <w:iCs w:val="0"/>
          <w:noProof w:val="0"/>
          <w:sz w:val="24"/>
          <w:szCs w:val="24"/>
          <w:lang w:val="en-GB"/>
        </w:rPr>
        <w:t xml:space="preserve"> in part by market performance, the sharp reversal in 2025 fund flows suggests that ESG ratings may no longer function as a strong positive signal for investor behaviour, particularly in the context of increasing regulatory and political headwinds.</w:t>
      </w:r>
      <w:r w:rsidR="36851309">
        <w:rPr/>
        <w:t xml:space="preserve"> </w:t>
      </w:r>
    </w:p>
    <w:p w:rsidRPr="003137A2" w:rsidR="003137A2" w:rsidP="003137A2" w:rsidRDefault="003137A2" w14:paraId="5DD16F41" w14:textId="7833DAB2">
      <w:pPr/>
    </w:p>
    <w:p w:rsidRPr="003137A2" w:rsidR="003137A2" w:rsidP="003137A2" w:rsidRDefault="003137A2" w14:paraId="544DFF12" w14:textId="585A7DF6">
      <w:pPr>
        <w:rPr>
          <w:b w:val="1"/>
          <w:bCs w:val="1"/>
          <w:color w:val="E97132" w:themeColor="accent2"/>
        </w:rPr>
      </w:pPr>
      <w:r w:rsidR="6D7FFB3E">
        <w:rPr/>
        <w:t>The table below is an example of how fund</w:t>
      </w:r>
      <w:r w:rsidRPr="257BFE88" w:rsidR="6D7FFB3E">
        <w:rPr>
          <w:rFonts w:ascii="Cambria Math" w:hAnsi="Cambria Math" w:cs="Cambria Math"/>
        </w:rPr>
        <w:t xml:space="preserve"> </w:t>
      </w:r>
      <w:r w:rsidR="6D7FFB3E">
        <w:rPr/>
        <w:t>level flows and AUM can be used to assess the strength of investor demand for ESG</w:t>
      </w:r>
      <w:r w:rsidRPr="257BFE88" w:rsidR="6D7FFB3E">
        <w:rPr>
          <w:rFonts w:ascii="Cambria Math" w:hAnsi="Cambria Math" w:cs="Cambria Math"/>
        </w:rPr>
        <w:t xml:space="preserve"> </w:t>
      </w:r>
      <w:r w:rsidR="6D7FFB3E">
        <w:rPr/>
        <w:t>labelled products:</w:t>
      </w:r>
    </w:p>
    <w:p w:rsidRPr="003137A2" w:rsidR="003137A2" w:rsidP="003137A2" w:rsidRDefault="003137A2" w14:paraId="4F3F3393" w14:textId="77777777">
      <w:pPr>
        <w:keepNext/>
        <w:keepLines/>
        <w:spacing w:before="80" w:after="40"/>
        <w:outlineLvl w:val="3"/>
        <w:rPr>
          <w:rFonts w:eastAsiaTheme="majorEastAsia" w:cstheme="majorBidi"/>
          <w:i/>
          <w:iCs/>
          <w:color w:val="0F4761" w:themeColor="accent1" w:themeShade="BF"/>
        </w:rPr>
      </w:pPr>
      <w:r w:rsidRPr="003137A2">
        <w:rPr>
          <w:rFonts w:eastAsiaTheme="majorEastAsia" w:cstheme="majorBidi"/>
          <w:i/>
          <w:iCs/>
          <w:color w:val="0F4761" w:themeColor="accent1" w:themeShade="BF"/>
        </w:rPr>
        <w:t>ESG vs. Conventional Fund Flows (2024–2025) and AUM Growth (2018–2025)</w:t>
      </w:r>
    </w:p>
    <w:p w:rsidRPr="003137A2" w:rsidR="003137A2" w:rsidP="003137A2" w:rsidRDefault="003137A2" w14:paraId="46AA66AB" w14:textId="77777777">
      <w:pPr>
        <w:rPr>
          <w:b/>
          <w:bCs/>
        </w:rPr>
      </w:pPr>
      <w:r w:rsidRPr="003137A2">
        <w:rPr>
          <w:b/>
          <w:bCs/>
          <w:noProof/>
        </w:rPr>
        <w:drawing>
          <wp:inline distT="0" distB="0" distL="0" distR="0" wp14:anchorId="0BDF76B2" wp14:editId="16D93527">
            <wp:extent cx="5730240" cy="2453640"/>
            <wp:effectExtent l="0" t="0" r="3810" b="3810"/>
            <wp:docPr id="114267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240" cy="2453640"/>
                    </a:xfrm>
                    <a:prstGeom prst="rect">
                      <a:avLst/>
                    </a:prstGeom>
                    <a:noFill/>
                    <a:ln>
                      <a:noFill/>
                    </a:ln>
                  </pic:spPr>
                </pic:pic>
              </a:graphicData>
            </a:graphic>
          </wp:inline>
        </w:drawing>
      </w:r>
    </w:p>
    <w:p w:rsidRPr="003137A2" w:rsidR="003137A2" w:rsidP="003137A2" w:rsidRDefault="003137A2" w14:paraId="123186EA" w14:textId="2F9D00AC">
      <w:r w:rsidR="688CEB16">
        <w:rPr/>
        <w:t xml:space="preserve">Source: </w:t>
      </w:r>
      <w:r w:rsidR="60C50781">
        <w:rPr/>
        <w:t>(</w:t>
      </w:r>
      <w:r w:rsidR="688CEB16">
        <w:rPr/>
        <w:t>Morningstar</w:t>
      </w:r>
      <w:r w:rsidR="119531F4">
        <w:rPr/>
        <w:t xml:space="preserve">, </w:t>
      </w:r>
      <w:r w:rsidR="688CEB16">
        <w:rPr/>
        <w:t>2026)</w:t>
      </w:r>
    </w:p>
    <w:p w:rsidRPr="003137A2" w:rsidR="003137A2" w:rsidP="257BFE88" w:rsidRDefault="003137A2" w14:paraId="11117BDA" w14:textId="213F33A1">
      <w:pPr>
        <w:pStyle w:val="Normal"/>
      </w:pPr>
      <w:r w:rsidR="6D7FFB3E">
        <w:rPr/>
        <w:t>This</w:t>
      </w:r>
      <w:r w:rsidR="6D7FFB3E">
        <w:rPr/>
        <w:t xml:space="preserve"> bar chart compares flows into ESG funds with flows into conventional funds. </w:t>
      </w:r>
      <w:r w:rsidR="0FA29443">
        <w:rPr/>
        <w:t>It shows tha</w:t>
      </w:r>
      <w:r w:rsidR="0FA29443">
        <w:rPr/>
        <w:t>t</w:t>
      </w:r>
      <w:r w:rsidR="6D7FFB3E">
        <w:rPr/>
        <w:t xml:space="preserve"> conventional funds continued to attract capital</w:t>
      </w:r>
      <w:r w:rsidR="4EE96BAE">
        <w:rPr/>
        <w:t xml:space="preserve"> while </w:t>
      </w:r>
      <w:r w:rsidR="6D7FFB3E">
        <w:rPr/>
        <w:t>ESG funds experienced net outflows in 2025</w:t>
      </w:r>
      <w:r w:rsidR="5EE68507">
        <w:rPr/>
        <w:t xml:space="preserve"> </w:t>
      </w:r>
      <w:r w:rsidRPr="257BFE88" w:rsidR="5EE68507">
        <w:rPr>
          <w:rFonts w:ascii="Aptos" w:hAnsi="Aptos" w:eastAsia="Aptos" w:cs="Aptos"/>
          <w:noProof w:val="0"/>
          <w:color w:val="000000" w:themeColor="text1" w:themeTint="FF" w:themeShade="FF"/>
          <w:sz w:val="24"/>
          <w:szCs w:val="24"/>
          <w:lang w:val="en-GB"/>
        </w:rPr>
        <w:t>(Morningstar Sustainalytics, 2026)</w:t>
      </w:r>
      <w:r w:rsidR="6D7FFB3E">
        <w:rPr/>
        <w:t xml:space="preserve">. The chart also shows that total ESG assets under management continued to grow over the longer period, </w:t>
      </w:r>
      <w:r w:rsidR="0871C2C7">
        <w:rPr/>
        <w:t>as a consequence</w:t>
      </w:r>
      <w:r w:rsidR="0871C2C7">
        <w:rPr/>
        <w:t xml:space="preserve"> of</w:t>
      </w:r>
      <w:r w:rsidR="0871C2C7">
        <w:rPr/>
        <w:t xml:space="preserve"> </w:t>
      </w:r>
      <w:r w:rsidR="6D7FFB3E">
        <w:rPr/>
        <w:t>market appreciation rather than new inflows</w:t>
      </w:r>
      <w:r w:rsidR="5C0C1297">
        <w:rPr/>
        <w:t xml:space="preserve"> </w:t>
      </w:r>
      <w:r w:rsidRPr="257BFE88" w:rsidR="5C0C1297">
        <w:rPr>
          <w:rFonts w:ascii="Aptos" w:hAnsi="Aptos" w:eastAsia="Aptos" w:cs="Aptos"/>
          <w:noProof w:val="0"/>
          <w:color w:val="000000" w:themeColor="text1" w:themeTint="FF" w:themeShade="FF"/>
          <w:sz w:val="24"/>
          <w:szCs w:val="24"/>
          <w:lang w:val="en-GB"/>
        </w:rPr>
        <w:t>(GSIA, 2025)</w:t>
      </w:r>
      <w:r w:rsidR="6D7FFB3E">
        <w:rPr/>
        <w:t>.</w:t>
      </w:r>
      <w:r w:rsidR="6D7FFB3E">
        <w:rPr/>
        <w:t xml:space="preserve"> This inconsistency may </w:t>
      </w:r>
      <w:r w:rsidR="5B574CCA">
        <w:rPr/>
        <w:t xml:space="preserve">lead investors to misinterpret market </w:t>
      </w:r>
      <w:r w:rsidR="5FCA1C4F">
        <w:rPr/>
        <w:t>indicators about the strength of ESG investment demands</w:t>
      </w:r>
      <w:r w:rsidR="6D7FFB3E">
        <w:rPr/>
        <w:t>.</w:t>
      </w:r>
      <w:r w:rsidR="6D7FFB3E">
        <w:rPr/>
        <w:t xml:space="preserve"> </w:t>
      </w:r>
    </w:p>
    <w:p w:rsidRPr="003137A2" w:rsidR="003137A2" w:rsidP="003137A2" w:rsidRDefault="003137A2" w14:paraId="66C9208D" w14:textId="77777777"/>
    <w:p w:rsidR="257BFE88" w:rsidRDefault="257BFE88" w14:paraId="0CDA71E6" w14:textId="69C5261B"/>
    <w:p w:rsidR="257BFE88" w:rsidRDefault="257BFE88" w14:paraId="6D8D4382" w14:textId="2B77A64F"/>
    <w:p w:rsidRPr="003137A2" w:rsidR="003137A2" w:rsidP="257BFE88" w:rsidRDefault="003137A2" w14:paraId="4CF2B091" w14:textId="54A3DBE3">
      <w:pPr>
        <w:pStyle w:val="Normal"/>
      </w:pPr>
      <w:r w:rsidR="6D7FFB3E">
        <w:rPr/>
        <w:t>Below a stacked bar chart shows how different regions contributed to global ESG fund flows. Europe, which accounts for the majority of ESG assets, drove both the positive flows in 2024 and the negative flows in 2025. The reversal across all regions in late 2025 highlights a global shift in ESG investment behaviour</w:t>
      </w:r>
      <w:r w:rsidR="1BD84028">
        <w:rPr/>
        <w:t xml:space="preserve"> (</w:t>
      </w:r>
      <w:r w:rsidRPr="257BFE88" w:rsidR="1BD84028">
        <w:rPr>
          <w:rFonts w:ascii="Aptos" w:hAnsi="Aptos" w:eastAsia="Aptos" w:cs="Aptos"/>
          <w:noProof w:val="0"/>
          <w:color w:val="000000" w:themeColor="text1" w:themeTint="FF" w:themeShade="FF"/>
          <w:sz w:val="24"/>
          <w:szCs w:val="24"/>
          <w:lang w:val="en-GB"/>
        </w:rPr>
        <w:t>Reuters, 2025)</w:t>
      </w:r>
      <w:r w:rsidR="6D7FFB3E">
        <w:rPr/>
        <w:t>.</w:t>
      </w:r>
    </w:p>
    <w:p w:rsidRPr="003137A2" w:rsidR="003137A2" w:rsidP="003137A2" w:rsidRDefault="003137A2" w14:paraId="6719C9BC" w14:textId="77777777">
      <w:pPr>
        <w:keepNext/>
        <w:keepLines/>
        <w:spacing w:before="80" w:after="40"/>
        <w:outlineLvl w:val="3"/>
        <w:rPr>
          <w:rFonts w:eastAsiaTheme="majorEastAsia" w:cstheme="majorBidi"/>
          <w:i/>
          <w:iCs/>
          <w:color w:val="0F4761" w:themeColor="accent1" w:themeShade="BF"/>
        </w:rPr>
      </w:pPr>
      <w:r w:rsidRPr="003137A2">
        <w:rPr>
          <w:rFonts w:eastAsiaTheme="majorEastAsia" w:cstheme="majorBidi"/>
          <w:i/>
          <w:iCs/>
          <w:color w:val="0F4761" w:themeColor="accent1" w:themeShade="BF"/>
        </w:rPr>
        <w:t>Regional Contribution to Global Flows (Europe vs. US vs. Rest of World, 2024–2025)</w:t>
      </w:r>
    </w:p>
    <w:p w:rsidRPr="003137A2" w:rsidR="003137A2" w:rsidP="003137A2" w:rsidRDefault="003137A2" w14:paraId="635D24D6" w14:textId="77777777">
      <w:pPr>
        <w:rPr>
          <w:b/>
          <w:bCs/>
        </w:rPr>
      </w:pPr>
      <w:r w:rsidRPr="003137A2">
        <w:rPr>
          <w:b/>
          <w:bCs/>
          <w:noProof/>
        </w:rPr>
        <w:drawing>
          <wp:inline distT="0" distB="0" distL="0" distR="0" wp14:anchorId="25D8CC45" wp14:editId="09214843">
            <wp:extent cx="5730240" cy="3817620"/>
            <wp:effectExtent l="0" t="0" r="3810" b="0"/>
            <wp:docPr id="183194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0240" cy="3817620"/>
                    </a:xfrm>
                    <a:prstGeom prst="rect">
                      <a:avLst/>
                    </a:prstGeom>
                    <a:noFill/>
                    <a:ln>
                      <a:noFill/>
                    </a:ln>
                  </pic:spPr>
                </pic:pic>
              </a:graphicData>
            </a:graphic>
          </wp:inline>
        </w:drawing>
      </w:r>
    </w:p>
    <w:p w:rsidR="688CEB16" w:rsidRDefault="688CEB16" w14:paraId="1080E513" w14:textId="79E31735">
      <w:r w:rsidR="688CEB16">
        <w:rPr/>
        <w:t xml:space="preserve">Source: </w:t>
      </w:r>
      <w:r w:rsidR="0822897B">
        <w:rPr/>
        <w:t>(</w:t>
      </w:r>
      <w:r w:rsidRPr="08626363" w:rsidR="0822897B">
        <w:rPr>
          <w:rFonts w:ascii="Aptos" w:hAnsi="Aptos" w:eastAsia="Aptos" w:cs="Aptos"/>
          <w:noProof w:val="0"/>
          <w:color w:val="000000" w:themeColor="text1" w:themeTint="FF" w:themeShade="FF"/>
          <w:sz w:val="24"/>
          <w:szCs w:val="24"/>
          <w:lang w:val="en-GB"/>
        </w:rPr>
        <w:t>Morningstar, 2026)</w:t>
      </w:r>
    </w:p>
    <w:p w:rsidR="08626363" w:rsidRDefault="08626363" w14:paraId="20AEFD3C" w14:textId="22EE363E"/>
    <w:p w:rsidRPr="003137A2" w:rsidR="003137A2" w:rsidP="257BFE88" w:rsidRDefault="003137A2" w14:paraId="499002DA" w14:textId="77777777">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1270660519" w:id="619488447"/>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4.2 Qualitative Findings</w:t>
      </w:r>
      <w:bookmarkEnd w:id="619488447"/>
    </w:p>
    <w:p w:rsidRPr="003137A2" w:rsidR="003137A2" w:rsidP="257BFE88" w:rsidRDefault="003137A2" w14:paraId="34CA40D5" w14:textId="77777777">
      <w:pPr>
        <w:keepNext w:val="1"/>
        <w:keepLines w:val="1"/>
        <w:spacing w:before="160" w:after="80"/>
        <w:outlineLvl w:val="2"/>
        <w:rPr>
          <w:rFonts w:ascii="Times New Roman" w:hAnsi="Times New Roman" w:eastAsia="Times New Roman" w:cs="" w:cstheme="majorBidi"/>
          <w:color w:val="0F4761" w:themeColor="accent1" w:themeShade="BF"/>
          <w:sz w:val="27"/>
          <w:szCs w:val="27"/>
          <w:lang w:eastAsia="en-GB"/>
        </w:rPr>
      </w:pPr>
      <w:bookmarkStart w:name="_Toc78280217" w:id="158729420"/>
      <w:r w:rsidRPr="257BFE88" w:rsidR="6D7FFB3E">
        <w:rPr>
          <w:rFonts w:eastAsia="Times New Roman" w:cs="" w:cstheme="majorBidi"/>
          <w:color w:val="0F4761" w:themeColor="accent1" w:themeTint="FF" w:themeShade="BF"/>
          <w:sz w:val="28"/>
          <w:szCs w:val="28"/>
          <w:lang w:eastAsia="en-GB"/>
        </w:rPr>
        <w:t>4.2.1 Overview of Qualitative Themes</w:t>
      </w:r>
      <w:bookmarkEnd w:id="158729420"/>
    </w:p>
    <w:p w:rsidRPr="003137A2" w:rsidR="003137A2" w:rsidP="003137A2" w:rsidRDefault="003137A2" w14:paraId="4E260AD6" w14:textId="5819C8DB">
      <w:pPr>
        <w:spacing w:before="240" w:after="240" w:line="240" w:lineRule="auto"/>
        <w:rPr>
          <w:rFonts w:ascii="Times New Roman" w:hAnsi="Times New Roman" w:eastAsia="Times New Roman" w:cs="Times New Roman"/>
          <w:kern w:val="0"/>
          <w:lang w:eastAsia="en-GB"/>
          <w14:ligatures w14:val="none"/>
        </w:rPr>
      </w:pPr>
      <w:r w:rsidRPr="003137A2" w:rsidR="74131136">
        <w:rPr>
          <w:rFonts w:eastAsia="Times New Roman" w:cs="Arial"/>
          <w:color w:val="000000"/>
          <w:kern w:val="0"/>
          <w:lang w:eastAsia="en-GB"/>
          <w14:ligatures w14:val="none"/>
        </w:rPr>
        <w:t xml:space="preserve">The qualitative analysis draws on BlackRock’s disclosures, responsible investment practice reports, corporate sustainability </w:t>
      </w:r>
      <w:r w:rsidRPr="003137A2" w:rsidR="74131136">
        <w:rPr>
          <w:rFonts w:eastAsia="Times New Roman" w:cs="Arial"/>
          <w:color w:val="000000"/>
          <w:kern w:val="0"/>
          <w:lang w:eastAsia="en-GB"/>
          <w14:ligatures w14:val="none"/>
        </w:rPr>
        <w:t xml:space="preserve">documents</w:t>
      </w:r>
      <w:r w:rsidRPr="003137A2" w:rsidR="74131136">
        <w:rPr>
          <w:rFonts w:eastAsia="Times New Roman" w:cs="Arial"/>
          <w:color w:val="000000"/>
          <w:kern w:val="0"/>
          <w:lang w:eastAsia="en-GB"/>
          <w14:ligatures w14:val="none"/>
        </w:rPr>
        <w:t xml:space="preserve"> and market analysis. The findings show how ESG scoring is presented, </w:t>
      </w:r>
      <w:r w:rsidRPr="003137A2" w:rsidR="74131136">
        <w:rPr>
          <w:rFonts w:eastAsia="Times New Roman" w:cs="Arial"/>
          <w:color w:val="000000"/>
          <w:kern w:val="0"/>
          <w:lang w:eastAsia="en-GB"/>
          <w14:ligatures w14:val="none"/>
        </w:rPr>
        <w:t xml:space="preserve">justified</w:t>
      </w:r>
      <w:r w:rsidRPr="003137A2" w:rsidR="74131136">
        <w:rPr>
          <w:rFonts w:eastAsia="Times New Roman" w:cs="Arial"/>
          <w:color w:val="000000"/>
          <w:kern w:val="0"/>
          <w:lang w:eastAsia="en-GB"/>
          <w14:ligatures w14:val="none"/>
        </w:rPr>
        <w:t xml:space="preserve"> and applied in practice</w:t>
      </w:r>
      <w:r w:rsidRPr="003137A2" w:rsidR="74131136">
        <w:rPr>
          <w:rFonts w:eastAsia="Times New Roman" w:cs="Arial"/>
          <w:color w:val="000000"/>
          <w:kern w:val="0"/>
          <w:lang w:eastAsia="en-GB"/>
          <w14:ligatures w14:val="none"/>
        </w:rPr>
        <w:t xml:space="preserve"> and</w:t>
      </w:r>
      <w:r w:rsidRPr="003137A2" w:rsidR="74131136">
        <w:rPr>
          <w:rFonts w:eastAsia="Times New Roman" w:cs="Arial"/>
          <w:color w:val="000000"/>
          <w:kern w:val="0"/>
          <w:lang w:eastAsia="en-GB"/>
          <w14:ligatures w14:val="none"/>
        </w:rPr>
        <w:t xml:space="preserve"> how </w:t>
      </w:r>
      <w:r w:rsidRPr="003137A2" w:rsidR="74131136">
        <w:rPr>
          <w:rFonts w:eastAsia="Times New Roman" w:cs="Arial"/>
          <w:color w:val="000000"/>
          <w:kern w:val="0"/>
          <w:lang w:eastAsia="en-GB"/>
          <w14:ligatures w14:val="none"/>
        </w:rPr>
        <w:t>third</w:t>
      </w:r>
      <w:r w:rsidRPr="003137A2" w:rsidR="577F28A9">
        <w:rPr>
          <w:rFonts w:eastAsia="Times New Roman" w:cs="Arial"/>
          <w:color w:val="000000"/>
          <w:kern w:val="0"/>
          <w:lang w:eastAsia="en-GB"/>
          <w14:ligatures w14:val="none"/>
        </w:rPr>
        <w:t xml:space="preserve"> </w:t>
      </w:r>
      <w:r w:rsidRPr="003137A2" w:rsidR="74131136">
        <w:rPr>
          <w:rFonts w:eastAsia="Times New Roman" w:cs="Arial"/>
          <w:color w:val="000000"/>
          <w:kern w:val="0"/>
          <w:lang w:eastAsia="en-GB"/>
          <w14:ligatures w14:val="none"/>
        </w:rPr>
        <w:t>party</w:t>
      </w:r>
      <w:r w:rsidRPr="003137A2" w:rsidR="74131136">
        <w:rPr>
          <w:rFonts w:eastAsia="Times New Roman" w:cs="Arial"/>
          <w:color w:val="000000"/>
          <w:kern w:val="0"/>
          <w:lang w:eastAsia="en-GB"/>
          <w14:ligatures w14:val="none"/>
        </w:rPr>
        <w:t xml:space="preserve"> ratings, particularly </w:t>
      </w:r>
      <w:r w:rsidRPr="257BFE88" w:rsidR="74131136">
        <w:rPr>
          <w:rFonts w:eastAsia="Times New Roman" w:cs="Arial"/>
          <w:color w:val="000000"/>
          <w:kern w:val="0"/>
          <w:lang w:eastAsia="en-GB"/>
          <w14:ligatures w14:val="none"/>
        </w:rPr>
        <w:t>meas</w:t>
      </w:r>
      <w:r w:rsidRPr="003137A2" w:rsidR="74131136">
        <w:rPr>
          <w:rFonts w:eastAsia="Times New Roman" w:cs="Arial"/>
          <w:color w:val="000000"/>
          <w:kern w:val="0"/>
          <w:lang w:eastAsia="en-GB"/>
          <w14:ligatures w14:val="none"/>
        </w:rPr>
        <w:t>ure</w:t>
      </w:r>
      <w:r w:rsidRPr="003137A2" w:rsidR="74131136">
        <w:rPr>
          <w:rFonts w:eastAsia="Times New Roman" w:cs="Arial"/>
          <w:color w:val="000000"/>
          <w:kern w:val="0"/>
          <w:lang w:eastAsia="en-GB"/>
          <w14:ligatures w14:val="none"/>
        </w:rPr>
        <w:t>s</w:t>
      </w:r>
      <w:r w:rsidRPr="003137A2" w:rsidR="341ADA3C">
        <w:rPr>
          <w:rFonts w:eastAsia="Times New Roman" w:cs="Arial"/>
          <w:color w:val="000000"/>
          <w:kern w:val="0"/>
          <w:lang w:eastAsia="en-GB"/>
          <w14:ligatures w14:val="none"/>
        </w:rPr>
        <w:t xml:space="preserve"> sourced from MSCI</w:t>
      </w:r>
      <w:r w:rsidRPr="003137A2" w:rsidR="74131136">
        <w:rPr>
          <w:rFonts w:eastAsia="Times New Roman" w:cs="Arial"/>
          <w:color w:val="000000"/>
          <w:kern w:val="0"/>
          <w:lang w:eastAsia="en-GB"/>
          <w14:ligatures w14:val="none"/>
        </w:rPr>
        <w:t>, become built into the investment processes</w:t>
      </w:r>
      <w:r w:rsidRPr="003137A2" w:rsidR="74131136">
        <w:rPr>
          <w:rFonts w:ascii="Arial" w:hAnsi="Arial" w:eastAsia="Times New Roman" w:cs="Arial"/>
          <w:color w:val="000000"/>
          <w:kern w:val="0"/>
          <w:lang w:eastAsia="en-GB"/>
          <w14:ligatures w14:val="none"/>
        </w:rPr>
        <w:t>.</w:t>
      </w:r>
    </w:p>
    <w:p w:rsidRPr="003137A2" w:rsidR="003137A2" w:rsidP="257BFE88" w:rsidRDefault="003137A2" w14:paraId="247A9D51" w14:textId="77777777">
      <w:pPr>
        <w:keepNext w:val="1"/>
        <w:keepLines w:val="1"/>
        <w:spacing w:before="160" w:after="80"/>
        <w:outlineLvl w:val="2"/>
        <w:rPr>
          <w:rFonts w:ascii="Times New Roman" w:hAnsi="Times New Roman" w:eastAsia="Times New Roman" w:cs="" w:cstheme="majorBidi"/>
          <w:color w:val="0F4761" w:themeColor="accent1" w:themeShade="BF"/>
          <w:sz w:val="27"/>
          <w:szCs w:val="27"/>
          <w:lang w:eastAsia="en-GB"/>
        </w:rPr>
      </w:pPr>
      <w:bookmarkStart w:name="_Toc1788851531" w:id="886211945"/>
      <w:r w:rsidRPr="257BFE88" w:rsidR="6D7FFB3E">
        <w:rPr>
          <w:rFonts w:eastAsia="Times New Roman" w:cs="" w:cstheme="majorBidi"/>
          <w:color w:val="0F4761" w:themeColor="accent1" w:themeTint="FF" w:themeShade="BF"/>
          <w:sz w:val="28"/>
          <w:szCs w:val="28"/>
          <w:lang w:eastAsia="en-GB"/>
        </w:rPr>
        <w:t>4.2.2 BlackRock’s Use of Third Party ESG Data</w:t>
      </w:r>
      <w:bookmarkEnd w:id="886211945"/>
    </w:p>
    <w:p w:rsidRPr="003137A2" w:rsidR="003137A2" w:rsidP="257BFE88" w:rsidRDefault="003137A2" w14:paraId="2D973218" w14:textId="2EA962B1">
      <w:pPr>
        <w:pStyle w:val="Normal"/>
        <w:spacing w:before="240" w:after="240" w:line="240" w:lineRule="auto"/>
        <w:rPr>
          <w:rFonts w:eastAsia="Times New Roman" w:cs="Arial"/>
          <w:color w:val="000000" w:themeColor="text1" w:themeTint="FF" w:themeShade="FF"/>
          <w:kern w:val="0"/>
          <w:lang w:eastAsia="en-GB"/>
          <w14:ligatures w14:val="none"/>
        </w:rPr>
      </w:pPr>
      <w:r w:rsidRPr="257BFE88" w:rsidR="6D7FFB3E">
        <w:rPr>
          <w:rFonts w:eastAsia="Times New Roman" w:cs="Arial"/>
          <w:color w:val="000000"/>
          <w:kern w:val="0"/>
          <w:lang w:eastAsia="en-GB"/>
          <w14:ligatures w14:val="none"/>
        </w:rPr>
        <w:t>BlackRock’s</w:t>
      </w:r>
      <w:r w:rsidRPr="257BFE88" w:rsidR="6D7FFB3E">
        <w:rPr>
          <w:rFonts w:eastAsia="Times New Roman" w:cs="Arial"/>
          <w:color w:val="000000"/>
          <w:kern w:val="0"/>
          <w:lang w:eastAsia="en-GB"/>
          <w14:ligatures w14:val="none"/>
        </w:rPr>
        <w:t xml:space="preserve"> </w:t>
      </w:r>
      <w:r w:rsidRPr="257BFE88" w:rsidR="13913F7F">
        <w:rPr>
          <w:rFonts w:eastAsia="Times New Roman" w:cs="Arial"/>
          <w:color w:val="000000"/>
          <w:kern w:val="0"/>
          <w:lang w:eastAsia="en-GB"/>
          <w14:ligatures w14:val="none"/>
        </w:rPr>
        <w:t>communicatio</w:t>
      </w:r>
      <w:r w:rsidRPr="257BFE88" w:rsidR="722AABF7">
        <w:rPr>
          <w:rFonts w:eastAsia="Times New Roman" w:cs="Arial"/>
          <w:color w:val="000000"/>
          <w:kern w:val="0"/>
          <w:lang w:eastAsia="en-GB"/>
          <w14:ligatures w14:val="none"/>
        </w:rPr>
        <w:t>ns</w:t>
      </w:r>
      <w:r w:rsidRPr="257BFE88" w:rsidR="582FB5E4">
        <w:rPr>
          <w:rFonts w:eastAsia="Times New Roman" w:cs="Arial"/>
          <w:color w:val="000000"/>
          <w:kern w:val="0"/>
          <w:lang w:eastAsia="en-GB"/>
          <w14:ligatures w14:val="none"/>
        </w:rPr>
        <w:t xml:space="preserve"> to investors</w:t>
      </w:r>
      <w:r w:rsidRPr="257BFE88" w:rsidR="722AABF7">
        <w:rPr>
          <w:rFonts w:eastAsia="Times New Roman" w:cs="Arial"/>
          <w:color w:val="000000"/>
          <w:kern w:val="0"/>
          <w:lang w:eastAsia="en-GB"/>
          <w14:ligatures w14:val="none"/>
        </w:rPr>
        <w:t xml:space="preserve"> on sustainable investments rely</w:t>
      </w:r>
      <w:r w:rsidRPr="257BFE88" w:rsidR="4C0BB76B">
        <w:rPr>
          <w:rFonts w:eastAsia="Times New Roman" w:cs="Arial"/>
          <w:color w:val="000000"/>
          <w:kern w:val="0"/>
          <w:lang w:eastAsia="en-GB"/>
          <w14:ligatures w14:val="none"/>
        </w:rPr>
        <w:t xml:space="preserve"> heavily</w:t>
      </w:r>
      <w:r w:rsidRPr="257BFE88" w:rsidR="6D7FFB3E">
        <w:rPr>
          <w:rFonts w:eastAsia="Times New Roman" w:cs="Arial"/>
          <w:color w:val="000000"/>
          <w:kern w:val="0"/>
          <w:lang w:eastAsia="en-GB"/>
          <w14:ligatures w14:val="none"/>
        </w:rPr>
        <w:t xml:space="preserve"> </w:t>
      </w:r>
      <w:r w:rsidRPr="257BFE88" w:rsidR="4F98A021">
        <w:rPr>
          <w:rFonts w:eastAsia="Times New Roman" w:cs="Arial"/>
          <w:color w:val="000000"/>
          <w:kern w:val="0"/>
          <w:lang w:eastAsia="en-GB"/>
          <w14:ligatures w14:val="none"/>
        </w:rPr>
        <w:t>on ESG data from MSCI scoring</w:t>
      </w:r>
      <w:r w:rsidRPr="257BFE88" w:rsidR="771776ED">
        <w:rPr>
          <w:rFonts w:eastAsia="Times New Roman" w:cs="Arial"/>
          <w:color w:val="000000"/>
          <w:kern w:val="0"/>
          <w:lang w:eastAsia="en-GB"/>
          <w14:ligatures w14:val="none"/>
        </w:rPr>
        <w:t xml:space="preserve"> combined</w:t>
      </w:r>
      <w:r w:rsidRPr="257BFE88" w:rsidR="4F98A021">
        <w:rPr>
          <w:rFonts w:eastAsia="Times New Roman" w:cs="Arial"/>
          <w:color w:val="000000"/>
          <w:kern w:val="0"/>
          <w:lang w:eastAsia="en-GB"/>
          <w14:ligatures w14:val="none"/>
        </w:rPr>
        <w:t xml:space="preserve"> to the f</w:t>
      </w:r>
      <w:r w:rsidRPr="257BFE88" w:rsidR="4479382B">
        <w:rPr>
          <w:rFonts w:eastAsia="Times New Roman" w:cs="Arial"/>
          <w:color w:val="000000"/>
          <w:kern w:val="0"/>
          <w:lang w:eastAsia="en-GB"/>
          <w14:ligatures w14:val="none"/>
        </w:rPr>
        <w:t>u</w:t>
      </w:r>
      <w:r w:rsidRPr="257BFE88" w:rsidR="4F98A021">
        <w:rPr>
          <w:rFonts w:eastAsia="Times New Roman" w:cs="Arial"/>
          <w:color w:val="000000"/>
          <w:kern w:val="0"/>
          <w:lang w:eastAsia="en-GB"/>
          <w14:ligatures w14:val="none"/>
        </w:rPr>
        <w:t>nd level</w:t>
      </w:r>
      <w:r w:rsidRPr="257BFE88" w:rsidR="3B27276A">
        <w:rPr>
          <w:rFonts w:eastAsia="Times New Roman" w:cs="Arial"/>
          <w:color w:val="000000"/>
          <w:kern w:val="0"/>
          <w:lang w:eastAsia="en-GB"/>
          <w14:ligatures w14:val="none"/>
        </w:rPr>
        <w:t xml:space="preserve"> (</w:t>
      </w:r>
      <w:r w:rsidRPr="257BFE88" w:rsidR="3B27276A">
        <w:rPr>
          <w:rFonts w:ascii="Aptos" w:hAnsi="Aptos" w:eastAsia="Aptos" w:cs="Aptos"/>
          <w:noProof w:val="0"/>
          <w:color w:val="000000" w:themeColor="text1" w:themeTint="FF" w:themeShade="FF"/>
          <w:sz w:val="24"/>
          <w:szCs w:val="24"/>
          <w:lang w:val="en-GB"/>
        </w:rPr>
        <w:t>BlackRock, 2024)</w:t>
      </w:r>
      <w:r w:rsidRPr="257BFE88" w:rsidR="159056EF">
        <w:rPr>
          <w:rFonts w:ascii="Aptos" w:hAnsi="Aptos" w:eastAsia="Aptos" w:cs="Aptos"/>
          <w:noProof w:val="0"/>
          <w:color w:val="000000" w:themeColor="text1" w:themeTint="FF" w:themeShade="FF"/>
          <w:sz w:val="24"/>
          <w:szCs w:val="24"/>
          <w:lang w:val="en-GB"/>
        </w:rPr>
        <w:t xml:space="preserve"> </w:t>
      </w:r>
      <w:r w:rsidRPr="257BFE88" w:rsidR="6D7FFB3E">
        <w:rPr>
          <w:rFonts w:eastAsia="Times New Roman" w:cs="Arial"/>
          <w:color w:val="000000"/>
          <w:kern w:val="0"/>
          <w:lang w:eastAsia="en-GB"/>
          <w14:ligatures w14:val="none"/>
        </w:rPr>
        <w:t>This</w:t>
      </w:r>
      <w:r w:rsidRPr="257BFE88" w:rsidR="671D88CB">
        <w:rPr>
          <w:rFonts w:eastAsia="Times New Roman" w:cs="Arial"/>
          <w:color w:val="000000"/>
          <w:kern w:val="0"/>
          <w:lang w:eastAsia="en-GB"/>
          <w14:ligatures w14:val="none"/>
        </w:rPr>
        <w:t xml:space="preserve"> “packaging” of individual companies ESG scores </w:t>
      </w:r>
      <w:r w:rsidRPr="257BFE88" w:rsidR="2B2673FC">
        <w:rPr>
          <w:rFonts w:eastAsia="Times New Roman" w:cs="Arial"/>
          <w:color w:val="000000"/>
          <w:kern w:val="0"/>
          <w:lang w:eastAsia="en-GB"/>
          <w14:ligatures w14:val="none"/>
        </w:rPr>
        <w:t xml:space="preserve">as </w:t>
      </w:r>
      <w:r w:rsidRPr="257BFE88" w:rsidR="671D88CB">
        <w:rPr>
          <w:rFonts w:eastAsia="Times New Roman" w:cs="Arial"/>
          <w:color w:val="000000"/>
          <w:kern w:val="0"/>
          <w:lang w:eastAsia="en-GB"/>
          <w14:ligatures w14:val="none"/>
        </w:rPr>
        <w:t xml:space="preserve">one fund level </w:t>
      </w:r>
      <w:r w:rsidRPr="257BFE88" w:rsidR="37F1D348">
        <w:rPr>
          <w:rFonts w:eastAsia="Times New Roman" w:cs="Arial"/>
          <w:color w:val="000000"/>
          <w:kern w:val="0"/>
          <w:lang w:eastAsia="en-GB"/>
          <w14:ligatures w14:val="none"/>
        </w:rPr>
        <w:t xml:space="preserve">measure that investors </w:t>
      </w:r>
      <w:r w:rsidRPr="257BFE88" w:rsidR="4B845FE7">
        <w:rPr>
          <w:rFonts w:eastAsia="Times New Roman" w:cs="Arial"/>
          <w:color w:val="000000"/>
          <w:kern w:val="0"/>
          <w:lang w:eastAsia="en-GB"/>
          <w14:ligatures w14:val="none"/>
        </w:rPr>
        <w:t>see/use</w:t>
      </w:r>
      <w:r w:rsidRPr="257BFE88" w:rsidR="6D7FFB3E">
        <w:rPr>
          <w:rFonts w:eastAsia="Times New Roman" w:cs="Arial"/>
          <w:color w:val="000000"/>
          <w:kern w:val="0"/>
          <w:lang w:eastAsia="en-GB"/>
          <w14:ligatures w14:val="none"/>
        </w:rPr>
        <w:t xml:space="preserve"> has two important implications:</w:t>
      </w:r>
    </w:p>
    <w:p w:rsidRPr="003137A2" w:rsidR="003137A2" w:rsidP="257BFE88" w:rsidRDefault="003137A2" w14:paraId="1C6983FC" w14:textId="69F3130B">
      <w:pPr>
        <w:spacing w:before="240" w:after="0" w:line="240" w:lineRule="auto"/>
        <w:ind w:left="720" w:hanging="360"/>
        <w:rPr>
          <w:rFonts w:eastAsia="Times New Roman" w:cs="Arial"/>
          <w:color w:val="000000" w:themeColor="text1" w:themeTint="FF" w:themeShade="FF"/>
          <w:kern w:val="0"/>
          <w:lang w:eastAsia="en-GB"/>
          <w14:ligatures w14:val="none"/>
        </w:rPr>
      </w:pPr>
      <w:r w:rsidRPr="257BFE88" w:rsidR="6D7FFB3E">
        <w:rPr>
          <w:rFonts w:eastAsia="Times New Roman" w:cs="Arial"/>
          <w:color w:val="000000"/>
          <w:kern w:val="0"/>
          <w:lang w:eastAsia="en-GB"/>
          <w14:ligatures w14:val="none"/>
        </w:rPr>
        <w:t>1.</w:t>
      </w:r>
      <w:r w:rsidRPr="257BFE88" w:rsidR="6D7FFB3E">
        <w:rPr>
          <w:rFonts w:eastAsia="Times New Roman" w:cs="Times New Roman"/>
          <w:color w:val="000000"/>
          <w:kern w:val="0"/>
          <w:sz w:val="14"/>
          <w:szCs w:val="14"/>
          <w:lang w:eastAsia="en-GB"/>
          <w14:ligatures w14:val="none"/>
        </w:rPr>
        <w:t xml:space="preserve">       </w:t>
      </w:r>
      <w:r w:rsidRPr="257BFE88" w:rsidR="42524F04">
        <w:rPr>
          <w:rFonts w:eastAsia="Times New Roman" w:cs="Times New Roman"/>
          <w:color w:val="000000"/>
          <w:kern w:val="0"/>
          <w:sz w:val="24"/>
          <w:szCs w:val="24"/>
          <w:lang w:eastAsia="en-GB"/>
          <w14:ligatures w14:val="none"/>
        </w:rPr>
        <w:t xml:space="preserve">A c</w:t>
      </w:r>
      <w:r w:rsidRPr="257BFE88" w:rsidR="6D7FFB3E">
        <w:rPr>
          <w:rFonts w:eastAsia="Times New Roman" w:cs="Arial"/>
          <w:color w:val="000000"/>
          <w:kern w:val="0"/>
          <w:lang w:eastAsia="en-GB"/>
          <w14:ligatures w14:val="none"/>
        </w:rPr>
        <w:t xml:space="preserve">hanges </w:t>
      </w:r>
      <w:r w:rsidRPr="257BFE88" w:rsidR="4E3BBB8B">
        <w:rPr>
          <w:rFonts w:eastAsia="Times New Roman" w:cs="Arial"/>
          <w:color w:val="000000"/>
          <w:kern w:val="0"/>
          <w:lang w:eastAsia="en-GB"/>
          <w14:ligatures w14:val="none"/>
        </w:rPr>
        <w:t xml:space="preserve">in </w:t>
      </w:r>
      <w:r w:rsidRPr="257BFE88" w:rsidR="4BDF5F33">
        <w:rPr>
          <w:rFonts w:eastAsia="Times New Roman" w:cs="Arial"/>
          <w:color w:val="000000"/>
          <w:kern w:val="0"/>
          <w:lang w:eastAsia="en-GB"/>
          <w14:ligatures w14:val="none"/>
        </w:rPr>
        <w:t>one</w:t>
      </w:r>
      <w:r w:rsidRPr="257BFE88" w:rsidR="4E3BBB8B">
        <w:rPr>
          <w:rFonts w:eastAsia="Times New Roman" w:cs="Arial"/>
          <w:color w:val="000000"/>
          <w:kern w:val="0"/>
          <w:lang w:eastAsia="en-GB"/>
          <w14:ligatures w14:val="none"/>
        </w:rPr>
        <w:t xml:space="preserve"> </w:t>
      </w:r>
      <w:r w:rsidRPr="257BFE88" w:rsidR="79A77CCB">
        <w:rPr>
          <w:rFonts w:eastAsia="Times New Roman" w:cs="Arial"/>
          <w:color w:val="000000"/>
          <w:kern w:val="0"/>
          <w:lang w:eastAsia="en-GB"/>
          <w14:ligatures w14:val="none"/>
        </w:rPr>
        <w:t>company's</w:t>
      </w:r>
      <w:r w:rsidRPr="257BFE88" w:rsidR="4E3BBB8B">
        <w:rPr>
          <w:rFonts w:eastAsia="Times New Roman" w:cs="Arial"/>
          <w:color w:val="000000"/>
          <w:kern w:val="0"/>
          <w:lang w:eastAsia="en-GB"/>
          <w14:ligatures w14:val="none"/>
        </w:rPr>
        <w:t xml:space="preserve"> </w:t>
      </w:r>
      <w:r w:rsidRPr="257BFE88" w:rsidR="6D7FFB3E">
        <w:rPr>
          <w:rFonts w:eastAsia="Times New Roman" w:cs="Arial"/>
          <w:color w:val="000000"/>
          <w:kern w:val="0"/>
          <w:lang w:eastAsia="en-GB"/>
          <w14:ligatures w14:val="none"/>
        </w:rPr>
        <w:t xml:space="preserve">ESG </w:t>
      </w:r>
      <w:r w:rsidRPr="257BFE88" w:rsidR="71C3C656">
        <w:rPr>
          <w:rFonts w:eastAsia="Times New Roman" w:cs="Arial"/>
          <w:color w:val="000000"/>
          <w:kern w:val="0"/>
          <w:lang w:eastAsia="en-GB"/>
          <w14:ligatures w14:val="none"/>
        </w:rPr>
        <w:t>rating</w:t>
      </w:r>
      <w:r w:rsidRPr="257BFE88" w:rsidR="6D7FFB3E">
        <w:rPr>
          <w:rFonts w:eastAsia="Times New Roman" w:cs="Arial"/>
          <w:color w:val="000000"/>
          <w:kern w:val="0"/>
          <w:lang w:eastAsia="en-GB"/>
          <w14:ligatures w14:val="none"/>
        </w:rPr>
        <w:t xml:space="preserve"> </w:t>
      </w:r>
      <w:r w:rsidRPr="257BFE88" w:rsidR="5ADF7982">
        <w:rPr>
          <w:rFonts w:eastAsia="Times New Roman" w:cs="Arial"/>
          <w:color w:val="000000"/>
          <w:kern w:val="0"/>
          <w:lang w:eastAsia="en-GB"/>
          <w14:ligatures w14:val="none"/>
        </w:rPr>
        <w:t xml:space="preserve">can </w:t>
      </w:r>
      <w:r w:rsidRPr="257BFE88" w:rsidR="5583D53F">
        <w:rPr>
          <w:rFonts w:eastAsia="Times New Roman" w:cs="Arial"/>
          <w:color w:val="000000"/>
          <w:kern w:val="0"/>
          <w:lang w:eastAsia="en-GB"/>
          <w14:ligatures w14:val="none"/>
        </w:rPr>
        <w:t>alter a funds overall</w:t>
      </w:r>
      <w:r w:rsidRPr="257BFE88" w:rsidR="5ADF7982">
        <w:rPr>
          <w:rFonts w:eastAsia="Times New Roman" w:cs="Arial"/>
          <w:color w:val="000000"/>
          <w:kern w:val="0"/>
          <w:lang w:eastAsia="en-GB"/>
          <w14:ligatures w14:val="none"/>
        </w:rPr>
        <w:t xml:space="preserve"> ESG score </w:t>
      </w:r>
      <w:r w:rsidRPr="257BFE88" w:rsidR="7BEF4E18">
        <w:rPr>
          <w:rFonts w:eastAsia="Times New Roman" w:cs="Arial"/>
          <w:color w:val="000000"/>
          <w:kern w:val="0"/>
          <w:lang w:eastAsia="en-GB"/>
          <w14:ligatures w14:val="none"/>
        </w:rPr>
        <w:t>(</w:t>
      </w:r>
      <w:r w:rsidRPr="257BFE88" w:rsidR="5ADF7982">
        <w:rPr>
          <w:rFonts w:eastAsia="Times New Roman" w:cs="Arial"/>
          <w:color w:val="000000"/>
          <w:kern w:val="0"/>
          <w:lang w:eastAsia="en-GB"/>
          <w14:ligatures w14:val="none"/>
        </w:rPr>
        <w:t>up or down</w:t>
      </w:r>
      <w:r w:rsidRPr="257BFE88" w:rsidR="54AAD497">
        <w:rPr>
          <w:rFonts w:eastAsia="Times New Roman" w:cs="Arial"/>
          <w:color w:val="000000"/>
          <w:kern w:val="0"/>
          <w:lang w:eastAsia="en-GB"/>
          <w14:ligatures w14:val="none"/>
        </w:rPr>
        <w:t>)</w:t>
      </w:r>
      <w:r w:rsidRPr="257BFE88" w:rsidR="778AE7A2">
        <w:rPr>
          <w:rFonts w:eastAsia="Times New Roman" w:cs="Arial"/>
          <w:color w:val="000000"/>
          <w:kern w:val="0"/>
          <w:lang w:eastAsia="en-GB"/>
          <w14:ligatures w14:val="none"/>
        </w:rPr>
        <w:t>. This can happen</w:t>
      </w:r>
      <w:r w:rsidRPr="257BFE88" w:rsidR="5ADF7982">
        <w:rPr>
          <w:rFonts w:eastAsia="Times New Roman" w:cs="Arial"/>
          <w:color w:val="000000"/>
          <w:kern w:val="0"/>
          <w:lang w:eastAsia="en-GB"/>
          <w14:ligatures w14:val="none"/>
        </w:rPr>
        <w:t xml:space="preserve"> </w:t>
      </w:r>
      <w:r w:rsidRPr="257BFE88" w:rsidR="6D7FFB3E">
        <w:rPr>
          <w:rFonts w:eastAsia="Times New Roman" w:cs="Arial"/>
          <w:color w:val="000000"/>
          <w:kern w:val="0"/>
          <w:lang w:eastAsia="en-GB"/>
          <w14:ligatures w14:val="none"/>
        </w:rPr>
        <w:t xml:space="preserve">even </w:t>
      </w:r>
      <w:r w:rsidRPr="257BFE88" w:rsidR="46CA1389">
        <w:rPr>
          <w:rFonts w:eastAsia="Times New Roman" w:cs="Arial"/>
          <w:color w:val="000000"/>
          <w:kern w:val="0"/>
          <w:lang w:eastAsia="en-GB"/>
          <w14:ligatures w14:val="none"/>
        </w:rPr>
        <w:t>if the actual</w:t>
      </w:r>
      <w:r w:rsidRPr="257BFE88" w:rsidR="6D7FFB3E">
        <w:rPr>
          <w:rFonts w:eastAsia="Times New Roman" w:cs="Arial"/>
          <w:color w:val="000000"/>
          <w:kern w:val="0"/>
          <w:lang w:eastAsia="en-GB"/>
          <w14:ligatures w14:val="none"/>
        </w:rPr>
        <w:t xml:space="preserve"> holdings </w:t>
      </w:r>
      <w:r w:rsidRPr="257BFE88" w:rsidR="6D7FFB3E">
        <w:rPr>
          <w:rFonts w:eastAsia="Times New Roman" w:cs="Arial"/>
          <w:color w:val="000000"/>
          <w:kern w:val="0"/>
          <w:lang w:eastAsia="en-GB"/>
          <w14:ligatures w14:val="none"/>
        </w:rPr>
        <w:t>remain</w:t>
      </w:r>
      <w:r w:rsidRPr="257BFE88" w:rsidR="6D7FFB3E">
        <w:rPr>
          <w:rFonts w:eastAsia="Times New Roman" w:cs="Arial"/>
          <w:color w:val="000000"/>
          <w:kern w:val="0"/>
          <w:lang w:eastAsia="en-GB"/>
          <w14:ligatures w14:val="none"/>
        </w:rPr>
        <w:t xml:space="preserve"> unchanged</w:t>
      </w:r>
      <w:r w:rsidRPr="257BFE88" w:rsidR="13D5FFDC">
        <w:rPr>
          <w:rFonts w:eastAsia="Times New Roman" w:cs="Arial"/>
          <w:color w:val="000000"/>
          <w:kern w:val="0"/>
          <w:lang w:eastAsia="en-GB"/>
          <w14:ligatures w14:val="none"/>
        </w:rPr>
        <w:t xml:space="preserve"> and nothing has been bought</w:t>
      </w:r>
      <w:r w:rsidRPr="257BFE88" w:rsidR="1D93B914">
        <w:rPr>
          <w:rFonts w:eastAsia="Times New Roman" w:cs="Arial"/>
          <w:color w:val="000000"/>
          <w:kern w:val="0"/>
          <w:lang w:eastAsia="en-GB"/>
          <w14:ligatures w14:val="none"/>
        </w:rPr>
        <w:t xml:space="preserve"> or sold</w:t>
      </w:r>
      <w:r w:rsidRPr="257BFE88" w:rsidR="13D5FFDC">
        <w:rPr>
          <w:rFonts w:eastAsia="Times New Roman" w:cs="Arial"/>
          <w:color w:val="000000"/>
          <w:kern w:val="0"/>
          <w:lang w:eastAsia="en-GB"/>
          <w14:ligatures w14:val="none"/>
        </w:rPr>
        <w:t>.</w:t>
      </w:r>
    </w:p>
    <w:p w:rsidRPr="003137A2" w:rsidR="003137A2" w:rsidP="257BFE88" w:rsidRDefault="003137A2" w14:paraId="5F7BD112" w14:textId="6BB8E462">
      <w:pPr>
        <w:spacing w:after="240" w:line="240" w:lineRule="auto"/>
        <w:ind w:left="720" w:hanging="360"/>
        <w:rPr>
          <w:rFonts w:eastAsia="Times New Roman" w:cs="Arial"/>
          <w:color w:val="000000" w:themeColor="text1" w:themeTint="FF" w:themeShade="FF"/>
          <w:lang w:eastAsia="en-GB"/>
        </w:rPr>
      </w:pPr>
      <w:r w:rsidRPr="257BFE88" w:rsidR="6D7FFB3E">
        <w:rPr>
          <w:rFonts w:eastAsia="Times New Roman" w:cs="Arial"/>
          <w:color w:val="000000"/>
          <w:kern w:val="0"/>
          <w:lang w:eastAsia="en-GB"/>
          <w14:ligatures w14:val="none"/>
        </w:rPr>
        <w:t>2.</w:t>
      </w:r>
      <w:r w:rsidRPr="257BFE88" w:rsidR="6D7FFB3E">
        <w:rPr>
          <w:rFonts w:eastAsia="Times New Roman" w:cs="Times New Roman"/>
          <w:color w:val="000000"/>
          <w:kern w:val="0"/>
          <w:sz w:val="14"/>
          <w:szCs w:val="14"/>
          <w:lang w:eastAsia="en-GB"/>
          <w14:ligatures w14:val="none"/>
        </w:rPr>
        <w:t xml:space="preserve">       </w:t>
      </w:r>
      <w:r w:rsidRPr="257BFE88" w:rsidR="2DAAF05C">
        <w:rPr>
          <w:rFonts w:ascii="Aptos" w:hAnsi="Aptos" w:eastAsia="Times New Roman" w:cs="Arial"/>
          <w:b w:val="0"/>
          <w:bCs w:val="0"/>
          <w:i w:val="0"/>
          <w:iCs w:val="0"/>
          <w:noProof w:val="0"/>
          <w:sz w:val="24"/>
          <w:szCs w:val="24"/>
          <w:lang w:val="en-GB"/>
        </w:rPr>
        <w:t>ESG scores can start to affect financial decisions when they are built into investment rules, such as how funds are constructed, what companies are included or excluded</w:t>
      </w:r>
      <w:r w:rsidRPr="257BFE88" w:rsidR="0887E459">
        <w:rPr>
          <w:rFonts w:ascii="Aptos" w:hAnsi="Aptos" w:eastAsia="Times New Roman" w:cs="Arial"/>
          <w:b w:val="0"/>
          <w:bCs w:val="0"/>
          <w:i w:val="0"/>
          <w:iCs w:val="0"/>
          <w:noProof w:val="0"/>
          <w:sz w:val="24"/>
          <w:szCs w:val="24"/>
          <w:lang w:val="en-GB"/>
        </w:rPr>
        <w:t xml:space="preserve"> </w:t>
      </w:r>
      <w:r w:rsidRPr="257BFE88" w:rsidR="2DAAF05C">
        <w:rPr>
          <w:rFonts w:ascii="Aptos" w:hAnsi="Aptos" w:eastAsia="Times New Roman" w:cs="Arial"/>
          <w:b w:val="0"/>
          <w:bCs w:val="0"/>
          <w:i w:val="0"/>
          <w:iCs w:val="0"/>
          <w:noProof w:val="0"/>
          <w:sz w:val="24"/>
          <w:szCs w:val="24"/>
          <w:lang w:val="en-GB"/>
        </w:rPr>
        <w:t>and how products are labelled</w:t>
      </w:r>
      <w:r w:rsidRPr="257BFE88" w:rsidR="09AA375B">
        <w:rPr>
          <w:rFonts w:ascii="Aptos" w:hAnsi="Aptos" w:eastAsia="Times New Roman" w:cs="Arial"/>
          <w:b w:val="0"/>
          <w:bCs w:val="0"/>
          <w:i w:val="0"/>
          <w:iCs w:val="0"/>
          <w:noProof w:val="0"/>
          <w:sz w:val="24"/>
          <w:szCs w:val="24"/>
          <w:lang w:val="en-GB"/>
        </w:rPr>
        <w:t xml:space="preserve">. </w:t>
      </w:r>
    </w:p>
    <w:p w:rsidRPr="003137A2" w:rsidR="003137A2" w:rsidP="257BFE88" w:rsidRDefault="003137A2" w14:paraId="6CCF6003" w14:textId="048A14F4">
      <w:pPr>
        <w:spacing w:after="240" w:line="240" w:lineRule="auto"/>
        <w:ind w:left="360" w:hanging="360"/>
        <w:rPr>
          <w:rFonts w:eastAsia="Times New Roman" w:cs="Arial"/>
          <w:color w:val="000000"/>
          <w:kern w:val="0"/>
          <w:lang w:eastAsia="en-GB"/>
          <w14:ligatures w14:val="none"/>
        </w:rPr>
      </w:pPr>
      <w:r w:rsidRPr="257BFE88" w:rsidR="6D7FFB3E">
        <w:rPr>
          <w:rFonts w:eastAsia="Times New Roman" w:cs="Arial"/>
          <w:color w:val="000000"/>
          <w:kern w:val="0"/>
          <w:lang w:eastAsia="en-GB"/>
          <w14:ligatures w14:val="none"/>
        </w:rPr>
        <w:t xml:space="preserve"> </w:t>
      </w:r>
      <w:r>
        <w:tab/>
      </w:r>
      <w:r w:rsidRPr="003137A2" w:rsidR="74131136">
        <w:rPr>
          <w:rFonts w:eastAsia="Times New Roman" w:cs="Arial"/>
          <w:color w:val="000000"/>
          <w:kern w:val="0"/>
          <w:lang w:eastAsia="en-GB"/>
          <w14:ligatures w14:val="none"/>
        </w:rPr>
        <w:t xml:space="preserve">This creates a feedback loop in which third party </w:t>
      </w:r>
      <w:r w:rsidRPr="003137A2" w:rsidR="33DFD070">
        <w:rPr>
          <w:rFonts w:eastAsia="Times New Roman" w:cs="Arial"/>
          <w:color w:val="000000"/>
          <w:kern w:val="0"/>
          <w:lang w:eastAsia="en-GB"/>
          <w14:ligatures w14:val="none"/>
        </w:rPr>
        <w:t>index</w:t>
      </w:r>
      <w:r w:rsidRPr="003137A2" w:rsidR="33DFD070">
        <w:rPr>
          <w:rFonts w:eastAsia="Times New Roman" w:cs="Arial"/>
          <w:color w:val="000000"/>
          <w:kern w:val="0"/>
          <w:lang w:eastAsia="en-GB"/>
          <w14:ligatures w14:val="none"/>
        </w:rPr>
        <w:t xml:space="preserve"> rules</w:t>
      </w:r>
      <w:r w:rsidRPr="003137A2" w:rsidR="74131136">
        <w:rPr>
          <w:rFonts w:eastAsia="Times New Roman" w:cs="Arial"/>
          <w:color w:val="000000"/>
          <w:kern w:val="0"/>
          <w:lang w:eastAsia="en-GB"/>
          <w14:ligatures w14:val="none"/>
        </w:rPr>
        <w:t xml:space="preserve"> influence fund design,</w:t>
      </w:r>
      <w:r w:rsidRPr="003137A2" w:rsidR="05C34DA0">
        <w:rPr>
          <w:rFonts w:eastAsia="Times New Roman" w:cs="Arial"/>
          <w:color w:val="000000"/>
          <w:kern w:val="0"/>
          <w:lang w:eastAsia="en-GB"/>
          <w14:ligatures w14:val="none"/>
        </w:rPr>
        <w:t xml:space="preserve"> </w:t>
      </w:r>
      <w:r w:rsidRPr="003137A2" w:rsidR="74131136">
        <w:rPr>
          <w:rFonts w:eastAsia="Times New Roman" w:cs="Arial"/>
          <w:color w:val="000000"/>
          <w:kern w:val="0"/>
          <w:lang w:eastAsia="en-GB"/>
          <w14:ligatures w14:val="none"/>
        </w:rPr>
        <w:t xml:space="preserve">invest</w:t>
      </w:r>
      <w:r w:rsidRPr="003137A2" w:rsidR="74131136">
        <w:rPr>
          <w:rFonts w:eastAsia="Times New Roman" w:cs="Arial"/>
          <w:color w:val="000000"/>
          <w:kern w:val="0"/>
          <w:lang w:eastAsia="en-GB"/>
          <w14:ligatures w14:val="none"/>
        </w:rPr>
        <w:t xml:space="preserve">or </w:t>
      </w:r>
      <w:r w:rsidRPr="003137A2" w:rsidR="74131136">
        <w:rPr>
          <w:rFonts w:eastAsia="Times New Roman" w:cs="Arial"/>
          <w:color w:val="000000"/>
          <w:kern w:val="0"/>
          <w:lang w:eastAsia="en-GB"/>
          <w14:ligatures w14:val="none"/>
        </w:rPr>
        <w:t>percepti</w:t>
      </w:r>
      <w:r w:rsidRPr="003137A2" w:rsidR="74131136">
        <w:rPr>
          <w:rFonts w:eastAsia="Times New Roman" w:cs="Arial"/>
          <w:color w:val="000000"/>
          <w:kern w:val="0"/>
          <w:lang w:eastAsia="en-GB"/>
          <w14:ligatures w14:val="none"/>
        </w:rPr>
        <w:t>ons</w:t>
      </w:r>
      <w:r w:rsidRPr="003137A2" w:rsidR="74131136">
        <w:rPr>
          <w:rFonts w:eastAsia="Times New Roman" w:cs="Arial"/>
          <w:color w:val="000000"/>
          <w:kern w:val="0"/>
          <w:lang w:eastAsia="en-GB"/>
          <w14:ligatures w14:val="none"/>
        </w:rPr>
        <w:t xml:space="preserve"> a</w:t>
      </w:r>
      <w:r w:rsidRPr="003137A2" w:rsidR="74131136">
        <w:rPr>
          <w:rFonts w:eastAsia="Times New Roman" w:cs="Arial"/>
          <w:color w:val="000000"/>
          <w:kern w:val="0"/>
          <w:lang w:eastAsia="en-GB"/>
          <w14:ligatures w14:val="none"/>
        </w:rPr>
        <w:t xml:space="preserve">nd</w:t>
      </w:r>
      <w:r w:rsidRPr="003137A2" w:rsidR="74131136">
        <w:rPr>
          <w:rFonts w:eastAsia="Times New Roman" w:cs="Arial"/>
          <w:color w:val="000000"/>
          <w:kern w:val="0"/>
          <w:lang w:eastAsia="en-GB"/>
          <w14:ligatures w14:val="none"/>
        </w:rPr>
        <w:t xml:space="preserve"> </w:t>
      </w:r>
      <w:r w:rsidRPr="003137A2" w:rsidR="74131136">
        <w:rPr>
          <w:rFonts w:eastAsia="Times New Roman" w:cs="Arial"/>
          <w:color w:val="000000"/>
          <w:kern w:val="0"/>
          <w:lang w:eastAsia="en-GB"/>
          <w14:ligatures w14:val="none"/>
        </w:rPr>
        <w:t>ultimately capi</w:t>
      </w:r>
      <w:r w:rsidRPr="003137A2" w:rsidR="74131136">
        <w:rPr>
          <w:rFonts w:eastAsia="Times New Roman" w:cs="Arial"/>
          <w:color w:val="000000"/>
          <w:kern w:val="0"/>
          <w:lang w:eastAsia="en-GB"/>
          <w14:ligatures w14:val="none"/>
        </w:rPr>
        <w:t>tal</w:t>
      </w:r>
      <w:r w:rsidRPr="003137A2" w:rsidR="74131136">
        <w:rPr>
          <w:rFonts w:eastAsia="Times New Roman" w:cs="Arial"/>
          <w:color w:val="000000"/>
          <w:kern w:val="0"/>
          <w:lang w:eastAsia="en-GB"/>
          <w14:ligatures w14:val="none"/>
        </w:rPr>
        <w:t xml:space="preserve"> flow</w:t>
      </w:r>
      <w:r w:rsidRPr="003137A2" w:rsidR="74131136">
        <w:rPr>
          <w:rFonts w:eastAsia="Times New Roman" w:cs="Arial"/>
          <w:color w:val="000000"/>
          <w:kern w:val="0"/>
          <w:lang w:eastAsia="en-GB"/>
          <w14:ligatures w14:val="none"/>
        </w:rPr>
        <w:t>s (</w:t>
      </w:r>
      <w:r w:rsidRPr="003137A2" w:rsidR="74131136">
        <w:rPr>
          <w:rFonts w:eastAsia="Times New Roman" w:cs="Arial"/>
          <w:color w:val="000000"/>
          <w:kern w:val="0"/>
          <w:lang w:eastAsia="en-GB"/>
          <w14:ligatures w14:val="none"/>
        </w:rPr>
        <w:t>Baront</w:t>
      </w:r>
      <w:r w:rsidRPr="003137A2" w:rsidR="74131136">
        <w:rPr>
          <w:rFonts w:eastAsia="Times New Roman" w:cs="Arial"/>
          <w:color w:val="000000"/>
          <w:kern w:val="0"/>
          <w:lang w:eastAsia="en-GB"/>
          <w14:ligatures w14:val="none"/>
        </w:rPr>
        <w:t>ini</w:t>
      </w:r>
      <w:r w:rsidRPr="257BFE88" w:rsidR="360D96AF">
        <w:rPr>
          <w:rFonts w:ascii="Aptos" w:hAnsi="Aptos" w:eastAsia="Aptos" w:cs="Aptos"/>
          <w:noProof w:val="0"/>
          <w:color w:val="000000" w:themeColor="text1" w:themeTint="FF" w:themeShade="FF"/>
          <w:sz w:val="24"/>
          <w:szCs w:val="24"/>
          <w:lang w:val="en-GB"/>
        </w:rPr>
        <w:t xml:space="preserve"> and </w:t>
      </w:r>
      <w:r w:rsidRPr="257BFE88" w:rsidR="360D96AF">
        <w:rPr>
          <w:rFonts w:ascii="Aptos" w:hAnsi="Aptos" w:eastAsia="Aptos" w:cs="Aptos"/>
          <w:noProof w:val="0"/>
          <w:color w:val="000000" w:themeColor="text1" w:themeTint="FF" w:themeShade="FF"/>
          <w:sz w:val="24"/>
          <w:szCs w:val="24"/>
          <w:lang w:val="en-GB"/>
        </w:rPr>
        <w:t>Gioja</w:t>
      </w:r>
      <w:r w:rsidRPr="003137A2" w:rsidR="74131136">
        <w:rPr>
          <w:rFonts w:eastAsia="Times New Roman" w:cs="Arial"/>
          <w:color w:val="000000"/>
          <w:kern w:val="0"/>
          <w:lang w:eastAsia="en-GB"/>
          <w14:ligatures w14:val="none"/>
        </w:rPr>
        <w:t>, 2025).</w:t>
      </w:r>
    </w:p>
    <w:p w:rsidRPr="003137A2" w:rsidR="003137A2" w:rsidP="257BFE88" w:rsidRDefault="003137A2" w14:paraId="6AA33FE2" w14:textId="77777777">
      <w:pPr>
        <w:keepNext w:val="1"/>
        <w:keepLines w:val="1"/>
        <w:spacing w:before="160" w:after="80"/>
        <w:outlineLvl w:val="2"/>
        <w:rPr>
          <w:rFonts w:ascii="Times New Roman" w:hAnsi="Times New Roman" w:eastAsia="Times New Roman" w:cs="" w:cstheme="majorBidi"/>
          <w:color w:val="0F4761" w:themeColor="accent1" w:themeShade="BF"/>
          <w:sz w:val="27"/>
          <w:szCs w:val="27"/>
          <w:lang w:eastAsia="en-GB"/>
        </w:rPr>
      </w:pPr>
      <w:bookmarkStart w:name="_Toc431872161" w:id="1336676025"/>
      <w:r w:rsidRPr="257BFE88" w:rsidR="6D7FFB3E">
        <w:rPr>
          <w:rFonts w:eastAsia="Times New Roman" w:cs="" w:cstheme="majorBidi"/>
          <w:color w:val="0F4761" w:themeColor="accent1" w:themeTint="FF" w:themeShade="BF"/>
          <w:sz w:val="28"/>
          <w:szCs w:val="28"/>
          <w:lang w:eastAsia="en-GB"/>
        </w:rPr>
        <w:t>4.2.3 Governance interpretation and the Limits of ESG Scores</w:t>
      </w:r>
      <w:bookmarkEnd w:id="1336676025"/>
    </w:p>
    <w:p w:rsidRPr="003137A2" w:rsidR="003137A2" w:rsidP="08626363" w:rsidRDefault="003137A2" w14:paraId="13D6B76B" w14:textId="4D974C1F">
      <w:pPr>
        <w:pStyle w:val="Normal"/>
        <w:spacing w:before="240" w:after="240" w:line="240" w:lineRule="auto"/>
        <w:rPr>
          <w:rFonts w:eastAsia="Times New Roman" w:cs="Times New Roman"/>
          <w:kern w:val="0"/>
          <w:lang w:eastAsia="en-GB"/>
          <w14:ligatures w14:val="none"/>
        </w:rPr>
      </w:pPr>
      <w:r w:rsidRPr="003137A2" w:rsidR="74131136">
        <w:rPr>
          <w:rFonts w:eastAsia="Times New Roman" w:cs="Arial"/>
          <w:color w:val="000000"/>
          <w:kern w:val="0"/>
          <w:lang w:eastAsia="en-GB"/>
          <w14:ligatures w14:val="none"/>
        </w:rPr>
        <w:t xml:space="preserve">BlackRock’s reporting emphasises long term financial relevance, governance </w:t>
      </w:r>
      <w:r w:rsidRPr="003137A2" w:rsidR="74131136">
        <w:rPr>
          <w:rFonts w:eastAsia="Times New Roman" w:cs="Arial"/>
          <w:color w:val="000000"/>
          <w:kern w:val="0"/>
          <w:lang w:eastAsia="en-GB"/>
          <w14:ligatures w14:val="none"/>
        </w:rPr>
        <w:t>quality</w:t>
      </w:r>
      <w:r w:rsidRPr="003137A2" w:rsidR="74131136">
        <w:rPr>
          <w:rFonts w:eastAsia="Times New Roman" w:cs="Arial"/>
          <w:color w:val="000000"/>
          <w:kern w:val="0"/>
          <w:lang w:eastAsia="en-GB"/>
          <w14:ligatures w14:val="none"/>
        </w:rPr>
        <w:t xml:space="preserve"> and climate risk management</w:t>
      </w:r>
      <w:r w:rsidRPr="003137A2" w:rsidR="360E55E7">
        <w:rPr>
          <w:rFonts w:eastAsia="Times New Roman" w:cs="Arial"/>
          <w:color w:val="000000"/>
          <w:kern w:val="0"/>
          <w:lang w:eastAsia="en-GB"/>
          <w14:ligatures w14:val="none"/>
        </w:rPr>
        <w:t xml:space="preserve"> (BlackRock, 2025</w:t>
      </w:r>
      <w:r w:rsidRPr="003137A2" w:rsidR="360E55E7">
        <w:rPr>
          <w:rFonts w:eastAsia="Times New Roman" w:cs="Arial"/>
          <w:color w:val="000000"/>
          <w:kern w:val="0"/>
          <w:lang w:eastAsia="en-GB"/>
          <w14:ligatures w14:val="none"/>
        </w:rPr>
        <w:t>)</w:t>
      </w:r>
      <w:r w:rsidRPr="003137A2" w:rsidR="57BEB4AB">
        <w:rPr>
          <w:rFonts w:eastAsia="Times New Roman" w:cs="Arial"/>
          <w:color w:val="000000"/>
          <w:kern w:val="0"/>
          <w:lang w:eastAsia="en-GB"/>
          <w14:ligatures w14:val="none"/>
        </w:rPr>
        <w:t>.</w:t>
      </w:r>
      <w:r w:rsidRPr="003137A2" w:rsidR="74131136">
        <w:rPr>
          <w:rFonts w:eastAsia="Times New Roman" w:cs="Arial"/>
          <w:color w:val="000000"/>
          <w:kern w:val="0"/>
          <w:lang w:eastAsia="en-GB"/>
          <w14:ligatures w14:val="none"/>
        </w:rPr>
        <w:t xml:space="preserve"> </w:t>
      </w:r>
      <w:r w:rsidRPr="003137A2" w:rsidR="74131136">
        <w:rPr>
          <w:rFonts w:eastAsia="Times New Roman" w:cs="Arial"/>
          <w:color w:val="000000"/>
          <w:kern w:val="0"/>
          <w:lang w:eastAsia="en-GB"/>
          <w14:ligatures w14:val="none"/>
        </w:rPr>
        <w:t>Importantly, governance decisions are not presented as direct outcomes of ESG scores. Instead, BlackRock</w:t>
      </w:r>
      <w:r w:rsidRPr="003137A2" w:rsidR="2B11B29C">
        <w:rPr>
          <w:rFonts w:eastAsia="Times New Roman" w:cs="Arial"/>
          <w:color w:val="000000"/>
          <w:kern w:val="0"/>
          <w:lang w:eastAsia="en-GB"/>
          <w14:ligatures w14:val="none"/>
        </w:rPr>
        <w:t xml:space="preserve"> presents</w:t>
      </w:r>
      <w:r w:rsidRPr="003137A2" w:rsidR="74131136">
        <w:rPr>
          <w:rFonts w:eastAsia="Times New Roman" w:cs="Arial"/>
          <w:color w:val="000000"/>
          <w:kern w:val="0"/>
          <w:lang w:eastAsia="en-GB"/>
          <w14:ligatures w14:val="none"/>
        </w:rPr>
        <w:t xml:space="preserve"> engagement and voting as </w:t>
      </w:r>
      <w:r w:rsidRPr="003137A2" w:rsidR="7C4F586B">
        <w:rPr>
          <w:rFonts w:eastAsia="Times New Roman" w:cs="Arial"/>
          <w:color w:val="000000"/>
          <w:kern w:val="0"/>
          <w:lang w:eastAsia="en-GB"/>
          <w14:ligatures w14:val="none"/>
        </w:rPr>
        <w:t xml:space="preserve">based on </w:t>
      </w:r>
      <w:r w:rsidRPr="003137A2" w:rsidR="74131136">
        <w:rPr>
          <w:rFonts w:eastAsia="Times New Roman" w:cs="Arial"/>
          <w:color w:val="000000"/>
          <w:kern w:val="0"/>
          <w:lang w:eastAsia="en-GB"/>
          <w14:ligatures w14:val="none"/>
        </w:rPr>
        <w:t>judgement</w:t>
      </w:r>
      <w:r w:rsidRPr="003137A2" w:rsidR="14C6997A">
        <w:rPr>
          <w:rFonts w:eastAsia="Times New Roman" w:cs="Arial"/>
          <w:color w:val="000000"/>
          <w:kern w:val="0"/>
          <w:lang w:eastAsia="en-GB"/>
          <w14:ligatures w14:val="none"/>
        </w:rPr>
        <w:t xml:space="preserve"> influenced by</w:t>
      </w:r>
      <w:r w:rsidRPr="003137A2" w:rsidR="74131136">
        <w:rPr>
          <w:rFonts w:eastAsia="Times New Roman" w:cs="Arial"/>
          <w:color w:val="000000"/>
          <w:kern w:val="0"/>
          <w:lang w:eastAsia="en-GB"/>
          <w14:ligatures w14:val="none"/>
        </w:rPr>
        <w:t xml:space="preserve"> context</w:t>
      </w:r>
      <w:r w:rsidRPr="003137A2" w:rsidR="74131136">
        <w:rPr>
          <w:rFonts w:eastAsia="Times New Roman" w:cs="Arial"/>
          <w:color w:val="000000"/>
          <w:kern w:val="0"/>
          <w:lang w:eastAsia="en-GB"/>
          <w14:ligatures w14:val="none"/>
        </w:rPr>
        <w:t xml:space="preserve"> and</w:t>
      </w:r>
      <w:r w:rsidRPr="003137A2" w:rsidR="74131136">
        <w:rPr>
          <w:rFonts w:eastAsia="Times New Roman" w:cs="Arial"/>
          <w:color w:val="000000"/>
          <w:kern w:val="0"/>
          <w:lang w:eastAsia="en-GB"/>
          <w14:ligatures w14:val="none"/>
        </w:rPr>
        <w:t xml:space="preserve"> informed by multiple sources</w:t>
      </w:r>
      <w:r w:rsidRPr="003137A2" w:rsidR="2B659CCD">
        <w:rPr>
          <w:rFonts w:eastAsia="Times New Roman" w:cs="Arial"/>
          <w:color w:val="000000"/>
          <w:kern w:val="0"/>
          <w:lang w:eastAsia="en-GB"/>
          <w14:ligatures w14:val="none"/>
        </w:rPr>
        <w:t xml:space="preserve"> of information</w:t>
      </w:r>
      <w:r w:rsidRPr="003137A2" w:rsidR="4B41B81C">
        <w:rPr>
          <w:rFonts w:eastAsia="Times New Roman" w:cs="Arial"/>
          <w:color w:val="000000"/>
          <w:kern w:val="0"/>
          <w:lang w:eastAsia="en-GB"/>
          <w14:ligatures w14:val="none"/>
        </w:rPr>
        <w:t xml:space="preserve"> </w:t>
      </w:r>
      <w:r w:rsidRPr="08626363" w:rsidR="4B41B81C">
        <w:rPr>
          <w:rFonts w:ascii="Aptos" w:hAnsi="Aptos" w:eastAsia="Aptos" w:cs="Aptos"/>
          <w:noProof w:val="0"/>
          <w:color w:val="000000" w:themeColor="text1" w:themeTint="FF" w:themeShade="FF"/>
          <w:sz w:val="24"/>
          <w:szCs w:val="24"/>
          <w:lang w:val="en-GB"/>
        </w:rPr>
        <w:t>(BlackRock, 2025; BlackRock, 2025)</w:t>
      </w:r>
      <w:r w:rsidRPr="003137A2" w:rsidR="74131136">
        <w:rPr>
          <w:rFonts w:eastAsia="Times New Roman" w:cs="Arial"/>
          <w:color w:val="000000"/>
          <w:kern w:val="0"/>
          <w:lang w:eastAsia="en-GB"/>
          <w14:ligatures w14:val="none"/>
        </w:rPr>
        <w:t>.</w:t>
      </w:r>
    </w:p>
    <w:p w:rsidRPr="003137A2" w:rsidR="003137A2" w:rsidP="003137A2" w:rsidRDefault="003137A2" w14:paraId="2F473015" w14:textId="77777777">
      <w:pPr>
        <w:spacing w:before="240" w:after="240" w:line="240" w:lineRule="auto"/>
        <w:rPr>
          <w:rFonts w:eastAsia="Times New Roman" w:cs="Times New Roman"/>
          <w:kern w:val="0"/>
          <w:lang w:eastAsia="en-GB"/>
          <w14:ligatures w14:val="none"/>
        </w:rPr>
      </w:pPr>
      <w:r w:rsidRPr="003137A2">
        <w:rPr>
          <w:rFonts w:eastAsia="Times New Roman" w:cs="Arial"/>
          <w:color w:val="000000"/>
          <w:kern w:val="0"/>
          <w:lang w:eastAsia="en-GB"/>
          <w14:ligatures w14:val="none"/>
        </w:rPr>
        <w:t>This distinction highlights a tension:</w:t>
      </w:r>
    </w:p>
    <w:p w:rsidRPr="003137A2" w:rsidR="003137A2" w:rsidP="003137A2" w:rsidRDefault="003137A2" w14:paraId="590C4F8C" w14:textId="5CF0066A">
      <w:pPr>
        <w:spacing w:before="240" w:after="240" w:line="240" w:lineRule="auto"/>
        <w:rPr>
          <w:rFonts w:eastAsia="Times New Roman" w:cs="Times New Roman"/>
          <w:kern w:val="0"/>
          <w:lang w:eastAsia="en-GB"/>
          <w14:ligatures w14:val="none"/>
        </w:rPr>
      </w:pPr>
      <w:r w:rsidRPr="003137A2" w:rsidR="6D7FFB3E">
        <w:rPr>
          <w:rFonts w:eastAsia="Times New Roman" w:cs="Arial"/>
          <w:color w:val="000000"/>
          <w:kern w:val="0"/>
          <w:lang w:eastAsia="en-GB"/>
          <w14:ligatures w14:val="none"/>
        </w:rPr>
        <w:t xml:space="preserve">• Governance is presented as </w:t>
      </w:r>
      <w:r w:rsidRPr="003137A2" w:rsidR="2F823FD8">
        <w:rPr>
          <w:rFonts w:eastAsia="Times New Roman" w:cs="Arial"/>
          <w:color w:val="000000"/>
          <w:kern w:val="0"/>
          <w:lang w:eastAsia="en-GB"/>
          <w14:ligatures w14:val="none"/>
        </w:rPr>
        <w:t xml:space="preserve">a matter of </w:t>
      </w:r>
      <w:r w:rsidRPr="003137A2" w:rsidR="6D7FFB3E">
        <w:rPr>
          <w:rFonts w:eastAsia="Times New Roman" w:cs="Arial"/>
          <w:color w:val="000000"/>
          <w:kern w:val="0"/>
          <w:lang w:eastAsia="en-GB"/>
          <w14:ligatures w14:val="none"/>
        </w:rPr>
        <w:t>independent judgement,</w:t>
      </w:r>
    </w:p>
    <w:p w:rsidRPr="003137A2" w:rsidR="003137A2" w:rsidP="003137A2" w:rsidRDefault="003137A2" w14:paraId="4854975C" w14:textId="77777777">
      <w:pPr>
        <w:spacing w:before="240" w:after="240" w:line="240" w:lineRule="auto"/>
        <w:rPr>
          <w:rFonts w:eastAsia="Times New Roman" w:cs="Times New Roman"/>
          <w:kern w:val="0"/>
          <w:lang w:eastAsia="en-GB"/>
          <w14:ligatures w14:val="none"/>
        </w:rPr>
      </w:pPr>
      <w:r w:rsidRPr="003137A2" w:rsidR="6D7FFB3E">
        <w:rPr>
          <w:rFonts w:eastAsia="Times New Roman" w:cs="Arial"/>
          <w:color w:val="000000"/>
          <w:kern w:val="0"/>
          <w:lang w:eastAsia="en-GB"/>
          <w14:ligatures w14:val="none"/>
        </w:rPr>
        <w:t>• while product reporting relies heavily on external ESG scores.</w:t>
      </w:r>
    </w:p>
    <w:p w:rsidRPr="003137A2" w:rsidR="003137A2" w:rsidP="257BFE88" w:rsidRDefault="003137A2" w14:paraId="703F74AB" w14:textId="020D90E6">
      <w:pPr>
        <w:pStyle w:val="Normal"/>
        <w:spacing w:before="240" w:after="240" w:line="240" w:lineRule="auto"/>
        <w:rPr>
          <w:rFonts w:eastAsia="Times New Roman" w:cs="Arial"/>
          <w:color w:val="000000"/>
          <w:kern w:val="0"/>
          <w:lang w:eastAsia="en-GB"/>
          <w14:ligatures w14:val="none"/>
        </w:rPr>
      </w:pPr>
      <w:r w:rsidRPr="257BFE88" w:rsidR="0E91121A">
        <w:rPr>
          <w:rFonts w:ascii="Aptos" w:hAnsi="Aptos" w:eastAsia="Aptos" w:cs="Aptos"/>
          <w:noProof w:val="0"/>
          <w:sz w:val="24"/>
          <w:szCs w:val="24"/>
          <w:lang w:val="en-GB"/>
        </w:rPr>
        <w:t>This helps explain why ESG ratings can influence markets, even though they are not used to decide how BlackRock</w:t>
      </w:r>
      <w:r w:rsidRPr="257BFE88" w:rsidR="23772FAC">
        <w:rPr>
          <w:rFonts w:ascii="Aptos" w:hAnsi="Aptos" w:eastAsia="Aptos" w:cs="Aptos"/>
          <w:noProof w:val="0"/>
          <w:sz w:val="24"/>
          <w:szCs w:val="24"/>
          <w:lang w:val="en-GB"/>
        </w:rPr>
        <w:t xml:space="preserve"> make</w:t>
      </w:r>
      <w:r w:rsidRPr="257BFE88" w:rsidR="12B81920">
        <w:rPr>
          <w:rFonts w:ascii="Aptos" w:hAnsi="Aptos" w:eastAsia="Aptos" w:cs="Aptos"/>
          <w:noProof w:val="0"/>
          <w:sz w:val="24"/>
          <w:szCs w:val="24"/>
          <w:lang w:val="en-GB"/>
        </w:rPr>
        <w:t>s</w:t>
      </w:r>
      <w:r w:rsidRPr="257BFE88" w:rsidR="0E91121A">
        <w:rPr>
          <w:rFonts w:ascii="Aptos" w:hAnsi="Aptos" w:eastAsia="Aptos" w:cs="Aptos"/>
          <w:noProof w:val="0"/>
          <w:sz w:val="24"/>
          <w:szCs w:val="24"/>
          <w:lang w:val="en-GB"/>
        </w:rPr>
        <w:t xml:space="preserve"> vot</w:t>
      </w:r>
      <w:r w:rsidRPr="257BFE88" w:rsidR="770FA91B">
        <w:rPr>
          <w:rFonts w:ascii="Aptos" w:hAnsi="Aptos" w:eastAsia="Aptos" w:cs="Aptos"/>
          <w:noProof w:val="0"/>
          <w:sz w:val="24"/>
          <w:szCs w:val="24"/>
          <w:lang w:val="en-GB"/>
        </w:rPr>
        <w:t>ing decisions</w:t>
      </w:r>
      <w:r w:rsidRPr="257BFE88" w:rsidR="0E91121A">
        <w:rPr>
          <w:rFonts w:ascii="Aptos" w:hAnsi="Aptos" w:eastAsia="Aptos" w:cs="Aptos"/>
          <w:noProof w:val="0"/>
          <w:sz w:val="24"/>
          <w:szCs w:val="24"/>
          <w:lang w:val="en-GB"/>
        </w:rPr>
        <w:t xml:space="preserve"> </w:t>
      </w:r>
      <w:r w:rsidRPr="003137A2" w:rsidR="74131136">
        <w:rPr>
          <w:rFonts w:eastAsia="Times New Roman" w:cs="Arial"/>
          <w:color w:val="000000"/>
          <w:kern w:val="0"/>
          <w:lang w:eastAsia="en-GB"/>
          <w14:ligatures w14:val="none"/>
        </w:rPr>
        <w:t xml:space="preserve">(</w:t>
      </w:r>
      <w:r w:rsidRPr="003137A2" w:rsidR="74131136">
        <w:rPr>
          <w:rFonts w:eastAsia="Times New Roman" w:cs="Arial"/>
          <w:color w:val="000000"/>
          <w:kern w:val="0"/>
          <w:lang w:eastAsia="en-GB"/>
          <w14:ligatures w14:val="none"/>
        </w:rPr>
        <w:t>Strampe</w:t>
      </w:r>
      <w:r w:rsidRPr="003137A2" w:rsidR="74131136">
        <w:rPr>
          <w:rFonts w:eastAsia="Times New Roman" w:cs="Arial"/>
          <w:color w:val="000000"/>
          <w:kern w:val="0"/>
          <w:lang w:eastAsia="en-GB"/>
          <w14:ligatures w14:val="none"/>
        </w:rPr>
        <w:t>lli</w:t>
      </w:r>
      <w:r w:rsidRPr="003137A2" w:rsidR="74131136">
        <w:rPr>
          <w:rFonts w:eastAsia="Times New Roman" w:cs="Arial"/>
          <w:color w:val="000000"/>
          <w:kern w:val="0"/>
          <w:lang w:eastAsia="en-GB"/>
          <w14:ligatures w14:val="none"/>
        </w:rPr>
        <w:t>, 2024).</w:t>
      </w:r>
    </w:p>
    <w:p w:rsidRPr="003137A2" w:rsidR="003137A2" w:rsidP="257BFE88" w:rsidRDefault="003137A2" w14:paraId="4D6BB291" w14:textId="77777777">
      <w:pPr>
        <w:keepNext w:val="1"/>
        <w:keepLines w:val="1"/>
        <w:spacing w:before="160" w:after="80"/>
        <w:outlineLvl w:val="2"/>
        <w:rPr>
          <w:rFonts w:ascii="Times New Roman" w:hAnsi="Times New Roman" w:eastAsia="Times New Roman" w:cs="" w:cstheme="majorBidi"/>
          <w:color w:val="0F4761" w:themeColor="accent1" w:themeShade="BF"/>
          <w:sz w:val="27"/>
          <w:szCs w:val="27"/>
          <w:lang w:eastAsia="en-GB"/>
        </w:rPr>
      </w:pPr>
      <w:bookmarkStart w:name="_Toc745143249" w:id="1102419210"/>
      <w:r w:rsidRPr="257BFE88" w:rsidR="6D7FFB3E">
        <w:rPr>
          <w:rFonts w:eastAsia="Times New Roman" w:cs="" w:cstheme="majorBidi"/>
          <w:color w:val="0F4761" w:themeColor="accent1" w:themeTint="FF" w:themeShade="BF"/>
          <w:sz w:val="28"/>
          <w:szCs w:val="28"/>
          <w:lang w:eastAsia="en-GB"/>
        </w:rPr>
        <w:t>4.2.4 Market Indicators and Investment Flows</w:t>
      </w:r>
      <w:bookmarkEnd w:id="1102419210"/>
      <w:r w:rsidRPr="257BFE88" w:rsidR="6D7FFB3E">
        <w:rPr>
          <w:rFonts w:eastAsia="Times New Roman" w:cs="" w:cstheme="majorBidi"/>
          <w:color w:val="0F4761" w:themeColor="accent1" w:themeTint="FF" w:themeShade="BF"/>
          <w:sz w:val="28"/>
          <w:szCs w:val="28"/>
          <w:lang w:eastAsia="en-GB"/>
        </w:rPr>
        <w:t xml:space="preserve"> </w:t>
      </w:r>
    </w:p>
    <w:p w:rsidR="64F7694B" w:rsidP="257BFE88" w:rsidRDefault="64F7694B" w14:paraId="78E7946F" w14:textId="32466CEF">
      <w:pPr>
        <w:spacing w:before="240" w:after="240" w:line="240" w:lineRule="auto"/>
        <w:rPr>
          <w:rFonts w:eastAsia="Times New Roman" w:cs="Arial"/>
          <w:color w:val="000000" w:themeColor="text1" w:themeTint="FF" w:themeShade="FF"/>
          <w:lang w:eastAsia="en-GB"/>
        </w:rPr>
      </w:pPr>
      <w:r w:rsidRPr="257BFE88" w:rsidR="64F7694B">
        <w:rPr>
          <w:rFonts w:ascii="Aptos" w:hAnsi="Aptos" w:eastAsia="Times New Roman" w:cs="Arial"/>
          <w:b w:val="0"/>
          <w:bCs w:val="0"/>
          <w:i w:val="0"/>
          <w:iCs w:val="0"/>
          <w:noProof w:val="0"/>
          <w:sz w:val="24"/>
          <w:szCs w:val="24"/>
          <w:lang w:val="en-GB"/>
        </w:rPr>
        <w:t>There are two main ways ESG scores can have wider effects on the economy:</w:t>
      </w:r>
    </w:p>
    <w:p w:rsidRPr="003137A2" w:rsidR="003137A2" w:rsidP="257BFE88" w:rsidRDefault="003137A2" w14:paraId="3125B0B2" w14:textId="09640495">
      <w:pPr>
        <w:pStyle w:val="ListParagraph"/>
        <w:keepNext w:val="1"/>
        <w:keepLines w:val="1"/>
        <w:numPr>
          <w:ilvl w:val="0"/>
          <w:numId w:val="12"/>
        </w:numPr>
        <w:spacing w:before="80" w:after="40"/>
        <w:outlineLvl w:val="3"/>
        <w:rPr>
          <w:rFonts w:ascii="Times New Roman" w:hAnsi="Times New Roman" w:eastAsia="Times New Roman" w:cs="Times New Roman"/>
          <w:i w:val="1"/>
          <w:iCs w:val="1"/>
          <w:color w:val="0F4761" w:themeColor="accent1" w:themeShade="BF"/>
          <w:lang w:eastAsia="en-GB"/>
        </w:rPr>
      </w:pPr>
      <w:r w:rsidRPr="257BFE88" w:rsidR="6D7FFB3E">
        <w:rPr>
          <w:rFonts w:eastAsia="Times New Roman" w:cs="" w:cstheme="majorBidi"/>
          <w:i w:val="1"/>
          <w:iCs w:val="1"/>
          <w:color w:val="0F4761" w:themeColor="accent1" w:themeTint="FF" w:themeShade="BF"/>
          <w:lang w:eastAsia="en-GB"/>
        </w:rPr>
        <w:t>ETF and Fund Flows</w:t>
      </w:r>
    </w:p>
    <w:p w:rsidRPr="003137A2" w:rsidR="003137A2" w:rsidP="003137A2" w:rsidRDefault="003137A2" w14:paraId="10DE396B" w14:textId="1B0F9E70">
      <w:pPr>
        <w:spacing w:before="240" w:after="240" w:line="240" w:lineRule="auto"/>
        <w:rPr>
          <w:rFonts w:eastAsia="Times New Roman" w:cs="Times New Roman"/>
          <w:kern w:val="0"/>
          <w:lang w:eastAsia="en-GB"/>
          <w14:ligatures w14:val="none"/>
        </w:rPr>
      </w:pPr>
      <w:r w:rsidRPr="003137A2" w:rsidR="6D7FFB3E">
        <w:rPr>
          <w:rFonts w:eastAsia="Times New Roman" w:cs="Arial"/>
          <w:color w:val="000000"/>
          <w:kern w:val="0"/>
          <w:lang w:eastAsia="en-GB"/>
          <w14:ligatures w14:val="none"/>
        </w:rPr>
        <w:t xml:space="preserve">Global ESG labelled funds </w:t>
      </w:r>
      <w:r w:rsidRPr="003137A2" w:rsidR="5C46D100">
        <w:rPr>
          <w:rFonts w:eastAsia="Times New Roman" w:cs="Arial"/>
          <w:color w:val="000000"/>
          <w:kern w:val="0"/>
          <w:lang w:eastAsia="en-GB"/>
          <w14:ligatures w14:val="none"/>
        </w:rPr>
        <w:t xml:space="preserve">saw large net withdrawals </w:t>
      </w:r>
      <w:r w:rsidRPr="003137A2" w:rsidR="6D7FFB3E">
        <w:rPr>
          <w:rFonts w:eastAsia="Times New Roman" w:cs="Arial"/>
          <w:color w:val="000000"/>
          <w:kern w:val="0"/>
          <w:lang w:eastAsia="en-GB"/>
          <w14:ligatures w14:val="none"/>
        </w:rPr>
        <w:t>in 2025</w:t>
      </w:r>
      <w:r w:rsidRPr="003137A2" w:rsidR="1AE515BC">
        <w:rPr>
          <w:rFonts w:eastAsia="Times New Roman" w:cs="Arial"/>
          <w:color w:val="000000"/>
          <w:kern w:val="0"/>
          <w:lang w:eastAsia="en-GB"/>
          <w14:ligatures w14:val="none"/>
        </w:rPr>
        <w:t>,</w:t>
      </w:r>
      <w:r w:rsidRPr="003137A2" w:rsidR="3AF3C8DB">
        <w:rPr>
          <w:rFonts w:eastAsia="Times New Roman" w:cs="Arial"/>
          <w:color w:val="000000"/>
          <w:kern w:val="0"/>
          <w:lang w:eastAsia="en-GB"/>
          <w14:ligatures w14:val="none"/>
        </w:rPr>
        <w:t xml:space="preserve"> end</w:t>
      </w:r>
      <w:r w:rsidRPr="003137A2" w:rsidR="590F0938">
        <w:rPr>
          <w:rFonts w:eastAsia="Times New Roman" w:cs="Arial"/>
          <w:color w:val="000000"/>
          <w:kern w:val="0"/>
          <w:lang w:eastAsia="en-GB"/>
          <w14:ligatures w14:val="none"/>
        </w:rPr>
        <w:t>ing</w:t>
      </w:r>
      <w:r w:rsidRPr="003137A2" w:rsidR="3AF3C8DB">
        <w:rPr>
          <w:rFonts w:eastAsia="Times New Roman" w:cs="Arial"/>
          <w:color w:val="000000"/>
          <w:kern w:val="0"/>
          <w:lang w:eastAsia="en-GB"/>
          <w14:ligatures w14:val="none"/>
        </w:rPr>
        <w:t xml:space="preserve"> many</w:t>
      </w:r>
      <w:r w:rsidRPr="003137A2" w:rsidR="6D7FFB3E">
        <w:rPr>
          <w:rFonts w:eastAsia="Times New Roman" w:cs="Arial"/>
          <w:color w:val="000000"/>
          <w:kern w:val="0"/>
          <w:lang w:eastAsia="en-GB"/>
          <w14:ligatures w14:val="none"/>
        </w:rPr>
        <w:t xml:space="preserve"> years of</w:t>
      </w:r>
      <w:r w:rsidRPr="003137A2" w:rsidR="23D019F2">
        <w:rPr>
          <w:rFonts w:eastAsia="Times New Roman" w:cs="Arial"/>
          <w:color w:val="000000"/>
          <w:kern w:val="0"/>
          <w:lang w:eastAsia="en-GB"/>
          <w14:ligatures w14:val="none"/>
        </w:rPr>
        <w:t xml:space="preserve"> steady</w:t>
      </w:r>
      <w:r w:rsidRPr="003137A2" w:rsidR="6D7FFB3E">
        <w:rPr>
          <w:rFonts w:eastAsia="Times New Roman" w:cs="Arial"/>
          <w:color w:val="000000"/>
          <w:kern w:val="0"/>
          <w:lang w:eastAsia="en-GB"/>
          <w14:ligatures w14:val="none"/>
        </w:rPr>
        <w:t xml:space="preserve"> inflows</w:t>
      </w:r>
      <w:r w:rsidRPr="003137A2" w:rsidR="596FF24B">
        <w:rPr>
          <w:rFonts w:eastAsia="Times New Roman" w:cs="Arial"/>
          <w:color w:val="000000"/>
          <w:kern w:val="0"/>
          <w:lang w:eastAsia="en-GB"/>
          <w14:ligatures w14:val="none"/>
        </w:rPr>
        <w:t xml:space="preserve">. </w:t>
      </w:r>
      <w:r w:rsidRPr="003137A2" w:rsidR="4CE6D0BF">
        <w:rPr>
          <w:rFonts w:eastAsia="Times New Roman" w:cs="Arial"/>
          <w:color w:val="000000"/>
          <w:kern w:val="0"/>
          <w:lang w:eastAsia="en-GB"/>
          <w14:ligatures w14:val="none"/>
        </w:rPr>
        <w:t>A</w:t>
      </w:r>
      <w:r w:rsidRPr="003137A2" w:rsidR="6D7FFB3E">
        <w:rPr>
          <w:rFonts w:eastAsia="Times New Roman" w:cs="Arial"/>
          <w:color w:val="000000"/>
          <w:kern w:val="0"/>
          <w:lang w:eastAsia="en-GB"/>
          <w14:ligatures w14:val="none"/>
        </w:rPr>
        <w:t>pproximately £63 billion</w:t>
      </w:r>
      <w:r w:rsidRPr="003137A2" w:rsidR="020BF8B3">
        <w:rPr>
          <w:rFonts w:eastAsia="Times New Roman" w:cs="Arial"/>
          <w:color w:val="000000"/>
          <w:kern w:val="0"/>
          <w:lang w:eastAsia="en-GB"/>
          <w14:ligatures w14:val="none"/>
        </w:rPr>
        <w:t xml:space="preserve"> was withdrawn in the year</w:t>
      </w:r>
      <w:r w:rsidRPr="003137A2" w:rsidR="6D7FFB3E">
        <w:rPr>
          <w:rFonts w:eastAsia="Times New Roman" w:cs="Arial"/>
          <w:color w:val="000000"/>
          <w:kern w:val="0"/>
          <w:lang w:eastAsia="en-GB"/>
          <w14:ligatures w14:val="none"/>
        </w:rPr>
        <w:t>, including around £20 billion</w:t>
      </w:r>
      <w:r w:rsidRPr="003137A2" w:rsidR="3216A3E0">
        <w:rPr>
          <w:rFonts w:eastAsia="Times New Roman" w:cs="Arial"/>
          <w:color w:val="000000"/>
          <w:kern w:val="0"/>
          <w:lang w:eastAsia="en-GB"/>
          <w14:ligatures w14:val="none"/>
        </w:rPr>
        <w:t xml:space="preserve"> </w:t>
      </w:r>
      <w:r w:rsidRPr="003137A2" w:rsidR="6D7FFB3E">
        <w:rPr>
          <w:rFonts w:eastAsia="Times New Roman" w:cs="Arial"/>
          <w:color w:val="000000"/>
          <w:kern w:val="0"/>
          <w:lang w:eastAsia="en-GB"/>
          <w14:ligatures w14:val="none"/>
        </w:rPr>
        <w:t>in the final quarter (Morningstar, 2026).</w:t>
      </w:r>
      <w:r w:rsidRPr="003137A2" w:rsidR="070944A3">
        <w:rPr>
          <w:rFonts w:eastAsia="Times New Roman" w:cs="Arial"/>
          <w:color w:val="000000"/>
          <w:kern w:val="0"/>
          <w:lang w:eastAsia="en-GB"/>
          <w14:ligatures w14:val="none"/>
        </w:rPr>
        <w:t xml:space="preserve"> </w:t>
      </w:r>
      <w:r w:rsidRPr="003137A2" w:rsidR="6D7FFB3E">
        <w:rPr>
          <w:rFonts w:eastAsia="Times New Roman" w:cs="Arial"/>
          <w:color w:val="000000"/>
          <w:kern w:val="0"/>
          <w:lang w:eastAsia="en-GB"/>
          <w14:ligatures w14:val="none"/>
        </w:rPr>
        <w:t xml:space="preserve">These </w:t>
      </w:r>
      <w:r w:rsidRPr="003137A2" w:rsidR="7856E95A">
        <w:rPr>
          <w:rFonts w:eastAsia="Times New Roman" w:cs="Arial"/>
          <w:color w:val="000000"/>
          <w:kern w:val="0"/>
          <w:lang w:eastAsia="en-GB"/>
          <w14:ligatures w14:val="none"/>
        </w:rPr>
        <w:t>out</w:t>
      </w:r>
      <w:r w:rsidRPr="003137A2" w:rsidR="6D7FFB3E">
        <w:rPr>
          <w:rFonts w:eastAsia="Times New Roman" w:cs="Arial"/>
          <w:color w:val="000000"/>
          <w:kern w:val="0"/>
          <w:lang w:eastAsia="en-GB"/>
          <w14:ligatures w14:val="none"/>
        </w:rPr>
        <w:t xml:space="preserve">flows </w:t>
      </w:r>
      <w:r w:rsidRPr="003137A2" w:rsidR="64741A6D">
        <w:rPr>
          <w:rFonts w:eastAsia="Times New Roman" w:cs="Arial"/>
          <w:color w:val="000000"/>
          <w:kern w:val="0"/>
          <w:lang w:eastAsia="en-GB"/>
          <w14:ligatures w14:val="none"/>
        </w:rPr>
        <w:t>increase the</w:t>
      </w:r>
      <w:r w:rsidRPr="003137A2" w:rsidR="6D7FFB3E">
        <w:rPr>
          <w:rFonts w:eastAsia="Times New Roman" w:cs="Arial"/>
          <w:color w:val="000000"/>
          <w:kern w:val="0"/>
          <w:lang w:eastAsia="en-GB"/>
          <w14:ligatures w14:val="none"/>
        </w:rPr>
        <w:t xml:space="preserve"> </w:t>
      </w:r>
      <w:r w:rsidRPr="003137A2" w:rsidR="67CDB185">
        <w:rPr>
          <w:rFonts w:eastAsia="Times New Roman" w:cs="Arial"/>
          <w:color w:val="000000"/>
          <w:kern w:val="0"/>
          <w:lang w:eastAsia="en-GB"/>
          <w14:ligatures w14:val="none"/>
        </w:rPr>
        <w:t>effect of</w:t>
      </w:r>
      <w:r w:rsidRPr="003137A2" w:rsidR="6D7FFB3E">
        <w:rPr>
          <w:rFonts w:eastAsia="Times New Roman" w:cs="Arial"/>
          <w:color w:val="000000"/>
          <w:kern w:val="0"/>
          <w:lang w:eastAsia="en-GB"/>
          <w14:ligatures w14:val="none"/>
        </w:rPr>
        <w:t xml:space="preserve"> </w:t>
      </w:r>
      <w:r w:rsidRPr="003137A2" w:rsidR="6D7FFB3E">
        <w:rPr>
          <w:rFonts w:eastAsia="Times New Roman" w:cs="Arial"/>
          <w:color w:val="000000"/>
          <w:kern w:val="0"/>
          <w:lang w:eastAsia="en-GB"/>
          <w14:ligatures w14:val="none"/>
        </w:rPr>
        <w:t>rating based</w:t>
      </w:r>
      <w:r w:rsidRPr="003137A2" w:rsidR="6D7FFB3E">
        <w:rPr>
          <w:rFonts w:eastAsia="Times New Roman" w:cs="Arial"/>
          <w:color w:val="000000"/>
          <w:kern w:val="0"/>
          <w:lang w:eastAsia="en-GB"/>
          <w14:ligatures w14:val="none"/>
        </w:rPr>
        <w:t xml:space="preserve"> product rules, </w:t>
      </w:r>
      <w:r w:rsidRPr="257BFE88" w:rsidR="3599F819">
        <w:rPr>
          <w:rFonts w:ascii="Aptos" w:hAnsi="Aptos" w:eastAsia="Aptos" w:cs="Aptos"/>
          <w:noProof w:val="0"/>
          <w:sz w:val="24"/>
          <w:szCs w:val="24"/>
          <w:lang w:val="en-GB"/>
        </w:rPr>
        <w:t>as selling by investors automatic</w:t>
      </w:r>
      <w:r w:rsidRPr="257BFE88" w:rsidR="7681D4C4">
        <w:rPr>
          <w:rFonts w:ascii="Aptos" w:hAnsi="Aptos" w:eastAsia="Aptos" w:cs="Aptos"/>
          <w:noProof w:val="0"/>
          <w:sz w:val="24"/>
          <w:szCs w:val="24"/>
          <w:lang w:val="en-GB"/>
        </w:rPr>
        <w:t>ally causes a</w:t>
      </w:r>
      <w:r w:rsidRPr="257BFE88" w:rsidR="3599F819">
        <w:rPr>
          <w:rFonts w:ascii="Aptos" w:hAnsi="Aptos" w:eastAsia="Aptos" w:cs="Aptos"/>
          <w:noProof w:val="0"/>
          <w:sz w:val="24"/>
          <w:szCs w:val="24"/>
          <w:lang w:val="en-GB"/>
        </w:rPr>
        <w:t xml:space="preserve"> rebalancing of portfolios </w:t>
      </w:r>
      <w:r w:rsidRPr="003137A2" w:rsidR="6D7FFB3E">
        <w:rPr>
          <w:rFonts w:eastAsia="Times New Roman" w:cs="Arial"/>
          <w:color w:val="000000"/>
          <w:kern w:val="0"/>
          <w:lang w:eastAsia="en-GB"/>
          <w14:ligatures w14:val="none"/>
        </w:rPr>
        <w:t>(Morningstar, 2026).</w:t>
      </w:r>
    </w:p>
    <w:p w:rsidRPr="003137A2" w:rsidR="003137A2" w:rsidP="257BFE88" w:rsidRDefault="003137A2" w14:paraId="384D67C2" w14:textId="3B9EC745">
      <w:pPr>
        <w:pStyle w:val="ListParagraph"/>
        <w:keepNext w:val="1"/>
        <w:keepLines w:val="1"/>
        <w:numPr>
          <w:ilvl w:val="0"/>
          <w:numId w:val="12"/>
        </w:numPr>
        <w:spacing w:before="80" w:after="40"/>
        <w:outlineLvl w:val="3"/>
        <w:rPr>
          <w:rFonts w:ascii="Times New Roman" w:hAnsi="Times New Roman" w:eastAsia="Times New Roman" w:cs="Times New Roman"/>
          <w:i w:val="1"/>
          <w:iCs w:val="1"/>
          <w:color w:val="0F4761" w:themeColor="accent1" w:themeShade="BF"/>
          <w:lang w:eastAsia="en-GB"/>
        </w:rPr>
      </w:pPr>
      <w:r w:rsidRPr="257BFE88" w:rsidR="74131136">
        <w:rPr>
          <w:rFonts w:eastAsia="Times New Roman" w:cs="" w:cstheme="majorBidi"/>
          <w:i w:val="1"/>
          <w:iCs w:val="1"/>
          <w:color w:val="0F4761" w:themeColor="accent1" w:themeTint="FF" w:themeShade="BF"/>
          <w:lang w:eastAsia="en-GB"/>
        </w:rPr>
        <w:t>Index Inclusion and Exclusion Effects</w:t>
      </w:r>
    </w:p>
    <w:p w:rsidRPr="003137A2" w:rsidR="003137A2" w:rsidP="08626363" w:rsidRDefault="003137A2" w14:paraId="0C924590" w14:textId="3F3D93E4">
      <w:pPr>
        <w:pStyle w:val="Normal"/>
        <w:spacing w:before="240" w:after="240" w:line="240" w:lineRule="auto"/>
        <w:rPr>
          <w:rFonts w:eastAsia="Times New Roman" w:cs="Arial"/>
          <w:color w:val="000000"/>
          <w:kern w:val="0"/>
          <w:lang w:eastAsia="en-GB"/>
          <w14:ligatures w14:val="none"/>
        </w:rPr>
      </w:pPr>
      <w:r w:rsidRPr="257BFE88" w:rsidR="1A6ABE22">
        <w:rPr>
          <w:rFonts w:ascii="Aptos" w:hAnsi="Aptos" w:eastAsia="Times New Roman" w:cs="Arial"/>
          <w:b w:val="0"/>
          <w:bCs w:val="0"/>
          <w:i w:val="0"/>
          <w:iCs w:val="0"/>
          <w:noProof w:val="0"/>
          <w:sz w:val="24"/>
          <w:szCs w:val="24"/>
          <w:lang w:val="en-GB"/>
        </w:rPr>
        <w:t xml:space="preserve">If a stock market index uses ESG scores as part of its rules, a change in a company’s ESG rating can decide whether the company stays in that index at all and how much of </w:t>
      </w:r>
      <w:r w:rsidRPr="257BFE88" w:rsidR="1A6ABE22">
        <w:rPr>
          <w:rFonts w:ascii="Aptos" w:hAnsi="Aptos" w:eastAsia="Times New Roman" w:cs="Arial"/>
          <w:b w:val="0"/>
          <w:bCs w:val="0"/>
          <w:i w:val="0"/>
          <w:iCs w:val="0"/>
          <w:noProof w:val="0"/>
          <w:sz w:val="24"/>
          <w:szCs w:val="24"/>
          <w:lang w:val="en-GB"/>
        </w:rPr>
        <w:t>it</w:t>
      </w:r>
      <w:r w:rsidRPr="257BFE88" w:rsidR="1A6ABE22">
        <w:rPr>
          <w:rFonts w:ascii="Aptos" w:hAnsi="Aptos" w:eastAsia="Times New Roman" w:cs="Arial"/>
          <w:b w:val="0"/>
          <w:bCs w:val="0"/>
          <w:i w:val="0"/>
          <w:iCs w:val="0"/>
          <w:noProof w:val="0"/>
          <w:sz w:val="24"/>
          <w:szCs w:val="24"/>
          <w:lang w:val="en-GB"/>
        </w:rPr>
        <w:t xml:space="preserve"> investors want to hold.</w:t>
      </w:r>
      <w:r w:rsidRPr="257BFE88" w:rsidR="1A6ABE22">
        <w:rPr>
          <w:rFonts w:eastAsia="Times New Roman" w:cs="Arial"/>
          <w:color w:val="000000" w:themeColor="text1" w:themeTint="FF" w:themeShade="FF"/>
          <w:lang w:eastAsia="en-GB"/>
        </w:rPr>
        <w:t xml:space="preserve"> In o</w:t>
      </w:r>
      <w:r w:rsidRPr="257BFE88" w:rsidR="168C1B42">
        <w:rPr>
          <w:rFonts w:eastAsia="Times New Roman" w:cs="Arial"/>
          <w:color w:val="000000" w:themeColor="text1" w:themeTint="FF" w:themeShade="FF"/>
          <w:lang w:eastAsia="en-GB"/>
        </w:rPr>
        <w:t xml:space="preserve">ther </w:t>
      </w:r>
      <w:r w:rsidRPr="257BFE88" w:rsidR="168C1B42">
        <w:rPr>
          <w:rFonts w:eastAsia="Times New Roman" w:cs="Arial"/>
          <w:color w:val="000000" w:themeColor="text1" w:themeTint="FF" w:themeShade="FF"/>
          <w:lang w:eastAsia="en-GB"/>
        </w:rPr>
        <w:t>words,</w:t>
      </w:r>
      <w:r w:rsidRPr="257BFE88" w:rsidR="168C1B42">
        <w:rPr>
          <w:rFonts w:eastAsia="Times New Roman" w:cs="Arial"/>
          <w:color w:val="000000" w:themeColor="text1" w:themeTint="FF" w:themeShade="FF"/>
          <w:lang w:eastAsia="en-GB"/>
        </w:rPr>
        <w:t xml:space="preserve"> it</w:t>
      </w:r>
      <w:r w:rsidRPr="257BFE88" w:rsidR="74131136">
        <w:rPr>
          <w:rFonts w:eastAsia="Times New Roman" w:cs="Arial"/>
          <w:noProof w:val="0"/>
          <w:color w:val="000000" w:themeColor="text1" w:themeTint="FF" w:themeShade="FF"/>
          <w:lang w:eastAsia="en-GB"/>
        </w:rPr>
        <w:t xml:space="preserve"> can </w:t>
      </w:r>
      <w:r w:rsidRPr="257BFE88" w:rsidR="6D24C2A0">
        <w:rPr>
          <w:rFonts w:eastAsia="Times New Roman" w:cs="Arial"/>
          <w:noProof w:val="0"/>
          <w:color w:val="000000" w:themeColor="text1" w:themeTint="FF" w:themeShade="FF"/>
          <w:lang w:eastAsia="en-GB"/>
        </w:rPr>
        <w:t xml:space="preserve">cause</w:t>
      </w:r>
      <w:r w:rsidRPr="257BFE88" w:rsidR="74131136">
        <w:rPr>
          <w:rFonts w:eastAsia="Times New Roman" w:cs="Arial"/>
          <w:noProof w:val="0"/>
          <w:color w:val="000000" w:themeColor="text1" w:themeTint="FF" w:themeShade="FF"/>
          <w:lang w:eastAsia="en-GB"/>
        </w:rPr>
        <w:t xml:space="preserve"> </w:t>
      </w:r>
      <w:r w:rsidRPr="003137A2" w:rsidR="74131136">
        <w:rPr>
          <w:rFonts w:eastAsia="Times New Roman" w:cs="Arial"/>
          <w:color w:val="000000"/>
          <w:kern w:val="0"/>
          <w:lang w:eastAsia="en-GB"/>
          <w14:ligatures w14:val="none"/>
        </w:rPr>
        <w:t xml:space="preserve">short term</w:t>
      </w:r>
      <w:r w:rsidRPr="003137A2" w:rsidR="74131136">
        <w:rPr>
          <w:rFonts w:eastAsia="Times New Roman" w:cs="Arial"/>
          <w:color w:val="000000"/>
          <w:kern w:val="0"/>
          <w:lang w:eastAsia="en-GB"/>
          <w14:ligatures w14:val="none"/>
        </w:rPr>
        <w:t xml:space="preserve"> buying or selling that has little to do with the company</w:t>
      </w:r>
      <w:r w:rsidRPr="257BFE88" w:rsidR="74131136">
        <w:rPr>
          <w:rFonts w:ascii="Aptos" w:hAnsi="Aptos" w:eastAsia="Times New Roman" w:cs="Aptos"/>
          <w:color w:val="000000"/>
          <w:kern w:val="0"/>
          <w:lang w:eastAsia="en-GB"/>
          <w14:ligatures w14:val="none"/>
        </w:rPr>
        <w:t xml:space="preserve">’</w:t>
      </w:r>
      <w:r w:rsidRPr="257BFE88" w:rsidR="74131136">
        <w:rPr>
          <w:rFonts w:eastAsia="Times New Roman" w:cs="Arial"/>
          <w:color w:val="000000"/>
          <w:kern w:val="0"/>
          <w:lang w:eastAsia="en-GB"/>
          <w14:ligatures w14:val="none"/>
        </w:rPr>
        <w:t xml:space="preserve">s actual financial performance, especially in sectors where sustainability reporting plays </w:t>
      </w:r>
      <w:r w:rsidRPr="003137A2" w:rsidR="74131136">
        <w:rPr>
          <w:rFonts w:eastAsia="Times New Roman" w:cs="Arial"/>
          <w:color w:val="000000"/>
          <w:kern w:val="0"/>
          <w:lang w:eastAsia="en-GB"/>
          <w14:ligatures w14:val="none"/>
        </w:rPr>
        <w:t xml:space="preserve">a big role</w:t>
      </w:r>
      <w:r w:rsidRPr="003137A2" w:rsidR="74131136">
        <w:rPr>
          <w:rFonts w:eastAsia="Times New Roman" w:cs="Arial"/>
          <w:color w:val="000000"/>
          <w:kern w:val="0"/>
          <w:lang w:eastAsia="en-GB"/>
          <w14:ligatures w14:val="none"/>
        </w:rPr>
        <w:t xml:space="preserve"> (</w:t>
      </w:r>
      <w:r w:rsidRPr="003137A2" w:rsidR="74131136">
        <w:rPr>
          <w:rFonts w:eastAsia="Times New Roman" w:cs="Arial"/>
          <w:color w:val="000000"/>
          <w:kern w:val="0"/>
          <w:lang w:eastAsia="en-GB"/>
          <w14:ligatures w14:val="none"/>
        </w:rPr>
        <w:t xml:space="preserve">Barontini</w:t>
      </w:r>
      <w:r w:rsidRPr="003137A2" w:rsidR="4CDCABB1">
        <w:rPr>
          <w:rFonts w:eastAsia="Times New Roman" w:cs="Arial"/>
          <w:color w:val="000000"/>
          <w:kern w:val="0"/>
          <w:lang w:eastAsia="en-GB"/>
          <w14:ligatures w14:val="none"/>
        </w:rPr>
        <w:t xml:space="preserve"> </w:t>
      </w:r>
      <w:r w:rsidRPr="257BFE88" w:rsidR="4CDCABB1">
        <w:rPr>
          <w:rFonts w:ascii="Aptos" w:hAnsi="Aptos" w:eastAsia="Aptos" w:cs="Aptos"/>
          <w:noProof w:val="0"/>
          <w:color w:val="000000"/>
          <w:kern w:val="0"/>
          <w:sz w:val="24"/>
          <w:szCs w:val="24"/>
          <w:lang w:val="en-GB"/>
          <w14:ligatures w14:val="none"/>
        </w:rPr>
        <w:t xml:space="preserve">and </w:t>
      </w:r>
      <w:r w:rsidRPr="257BFE88" w:rsidR="4CDCABB1">
        <w:rPr>
          <w:rFonts w:ascii="Aptos" w:hAnsi="Aptos" w:eastAsia="Aptos" w:cs="Aptos"/>
          <w:noProof w:val="0"/>
          <w:color w:val="000000" w:themeColor="text1" w:themeTint="FF" w:themeShade="FF"/>
          <w:sz w:val="24"/>
          <w:szCs w:val="24"/>
          <w:lang w:val="en-GB"/>
        </w:rPr>
        <w:t>Gioja</w:t>
      </w:r>
      <w:r w:rsidRPr="257BFE88" w:rsidR="4CDCABB1">
        <w:rPr>
          <w:rFonts w:ascii="Aptos" w:hAnsi="Aptos" w:eastAsia="Aptos" w:cs="Aptos"/>
          <w:noProof w:val="0"/>
          <w:color w:val="000000" w:themeColor="text1" w:themeTint="FF" w:themeShade="FF"/>
          <w:sz w:val="24"/>
          <w:szCs w:val="24"/>
          <w:lang w:val="en-GB"/>
        </w:rPr>
        <w:t>,</w:t>
      </w:r>
      <w:r w:rsidRPr="003137A2" w:rsidR="74131136">
        <w:rPr>
          <w:rFonts w:eastAsia="Times New Roman" w:cs="Arial"/>
          <w:color w:val="000000"/>
          <w:kern w:val="0"/>
          <w:lang w:eastAsia="en-GB"/>
          <w14:ligatures w14:val="none"/>
        </w:rPr>
        <w:t xml:space="preserve"> 2025).</w:t>
      </w:r>
    </w:p>
    <w:p w:rsidR="257BFE88" w:rsidP="257BFE88" w:rsidRDefault="257BFE88" w14:paraId="4687CF0D" w14:textId="2D0FD106">
      <w:pPr>
        <w:pStyle w:val="Normal"/>
        <w:spacing w:before="240" w:after="240" w:line="240" w:lineRule="auto"/>
        <w:rPr>
          <w:rFonts w:eastAsia="Times New Roman" w:cs="Arial"/>
          <w:color w:val="000000" w:themeColor="text1" w:themeTint="FF" w:themeShade="FF"/>
          <w:lang w:eastAsia="en-GB"/>
        </w:rPr>
      </w:pPr>
    </w:p>
    <w:p w:rsidRPr="003137A2" w:rsidR="003137A2" w:rsidP="257BFE88" w:rsidRDefault="003137A2" w14:paraId="62834EBF" w14:textId="77777777">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69613858" w:id="469783212"/>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4.3 Integrated Interpretation of Findings</w:t>
      </w:r>
      <w:bookmarkEnd w:id="469783212"/>
    </w:p>
    <w:p w:rsidRPr="003137A2" w:rsidR="003137A2" w:rsidP="003137A2" w:rsidRDefault="003137A2" w14:paraId="6270E062" w14:textId="77777777">
      <w:pPr>
        <w:spacing w:before="240" w:after="240" w:line="240" w:lineRule="auto"/>
        <w:rPr>
          <w:rFonts w:eastAsia="Times New Roman" w:cs="Times New Roman"/>
          <w:kern w:val="0"/>
          <w:lang w:eastAsia="en-GB"/>
          <w14:ligatures w14:val="none"/>
        </w:rPr>
      </w:pPr>
      <w:r w:rsidRPr="003137A2">
        <w:rPr>
          <w:rFonts w:eastAsia="Times New Roman" w:cs="Arial"/>
          <w:color w:val="000000"/>
          <w:kern w:val="0"/>
          <w:lang w:eastAsia="en-GB"/>
          <w14:ligatures w14:val="none"/>
        </w:rPr>
        <w:t>The integrated analysis shows a complex picture of ESG scoring:</w:t>
      </w:r>
    </w:p>
    <w:p w:rsidRPr="003137A2" w:rsidR="003137A2" w:rsidP="08626363" w:rsidRDefault="003137A2" w14:paraId="1F5CF821" w14:textId="284B26B4">
      <w:pPr>
        <w:spacing w:before="240" w:beforeAutospacing="off" w:after="240" w:afterAutospacing="off" w:line="240" w:lineRule="auto"/>
        <w:rPr>
          <w:rFonts w:eastAsia="Times New Roman" w:cs="Times New Roman"/>
          <w:kern w:val="0"/>
          <w:lang w:eastAsia="en-GB"/>
          <w14:ligatures w14:val="none"/>
        </w:rPr>
      </w:pPr>
      <w:r w:rsidRPr="003137A2" w:rsidR="74131136">
        <w:rPr>
          <w:rFonts w:eastAsia="Times New Roman" w:cs="Arial"/>
          <w:color w:val="000000"/>
          <w:kern w:val="0"/>
          <w:lang w:eastAsia="en-GB"/>
          <w14:ligatures w14:val="none"/>
        </w:rPr>
        <w:t>• Quantitative evidence shows that financial outcomes are influenced primarily by sector, business model</w:t>
      </w:r>
      <w:r w:rsidRPr="003137A2" w:rsidR="74131136">
        <w:rPr>
          <w:rFonts w:eastAsia="Times New Roman" w:cs="Arial"/>
          <w:color w:val="000000"/>
          <w:kern w:val="0"/>
          <w:lang w:eastAsia="en-GB"/>
          <w14:ligatures w14:val="none"/>
        </w:rPr>
        <w:t xml:space="preserve"> and</w:t>
      </w:r>
      <w:r w:rsidRPr="003137A2" w:rsidR="74131136">
        <w:rPr>
          <w:rFonts w:eastAsia="Times New Roman" w:cs="Arial"/>
          <w:color w:val="000000"/>
          <w:kern w:val="0"/>
          <w:lang w:eastAsia="en-GB"/>
          <w14:ligatures w14:val="none"/>
        </w:rPr>
        <w:t xml:space="preserve"> macroeconomic conditions</w:t>
      </w:r>
      <w:r w:rsidRPr="003137A2" w:rsidR="7819288A">
        <w:rPr>
          <w:rFonts w:eastAsia="Times New Roman" w:cs="Arial"/>
          <w:color w:val="000000"/>
          <w:kern w:val="0"/>
          <w:lang w:eastAsia="en-GB"/>
          <w14:ligatures w14:val="none"/>
        </w:rPr>
        <w:t xml:space="preserve"> </w:t>
      </w:r>
      <w:r w:rsidRPr="08626363" w:rsidR="7819288A">
        <w:rPr>
          <w:rFonts w:ascii="Aptos" w:hAnsi="Aptos" w:eastAsia="Aptos" w:cs="Aptos"/>
          <w:noProof w:val="0"/>
          <w:color w:val="000000" w:themeColor="text1" w:themeTint="FF" w:themeShade="FF"/>
          <w:sz w:val="24"/>
          <w:szCs w:val="24"/>
          <w:lang w:val="en-GB"/>
        </w:rPr>
        <w:t>(Wu, 2025; Shi, 2025)</w:t>
      </w:r>
      <w:r w:rsidRPr="003137A2" w:rsidR="74131136">
        <w:rPr>
          <w:rFonts w:eastAsia="Times New Roman" w:cs="Arial"/>
          <w:color w:val="000000"/>
          <w:kern w:val="0"/>
          <w:lang w:eastAsia="en-GB"/>
          <w14:ligatures w14:val="none"/>
        </w:rPr>
        <w:t>.</w:t>
      </w:r>
    </w:p>
    <w:p w:rsidRPr="003137A2" w:rsidR="003137A2" w:rsidP="257BFE88" w:rsidRDefault="003137A2" w14:paraId="4CA7CC60" w14:textId="51840ED6">
      <w:pPr>
        <w:pStyle w:val="Normal"/>
        <w:spacing w:before="240" w:beforeAutospacing="off" w:after="240" w:afterAutospacing="off" w:line="240" w:lineRule="auto"/>
        <w:rPr>
          <w:rFonts w:eastAsia="Times New Roman" w:cs="Times New Roman"/>
          <w:kern w:val="0"/>
          <w:lang w:eastAsia="en-GB"/>
          <w14:ligatures w14:val="none"/>
        </w:rPr>
      </w:pPr>
      <w:r w:rsidRPr="003137A2" w:rsidR="74131136">
        <w:rPr>
          <w:rFonts w:eastAsia="Times New Roman" w:cs="Arial"/>
          <w:color w:val="000000"/>
          <w:kern w:val="0"/>
          <w:lang w:eastAsia="en-GB"/>
          <w14:ligatures w14:val="none"/>
        </w:rPr>
        <w:t xml:space="preserve">• </w:t>
      </w:r>
      <w:r w:rsidRPr="257BFE88" w:rsidR="7EB30460">
        <w:rPr>
          <w:rFonts w:ascii="Aptos" w:hAnsi="Aptos" w:eastAsia="Aptos" w:cs="Aptos"/>
          <w:noProof w:val="0"/>
          <w:sz w:val="24"/>
          <w:szCs w:val="24"/>
          <w:lang w:val="en-GB"/>
        </w:rPr>
        <w:t xml:space="preserve">Qualitative evidence </w:t>
      </w:r>
      <w:r w:rsidRPr="257BFE88" w:rsidR="264D599E">
        <w:rPr>
          <w:rFonts w:ascii="Aptos" w:hAnsi="Aptos" w:eastAsia="Aptos" w:cs="Aptos"/>
          <w:noProof w:val="0"/>
          <w:sz w:val="24"/>
          <w:szCs w:val="24"/>
          <w:lang w:val="en-GB"/>
        </w:rPr>
        <w:t>indicates</w:t>
      </w:r>
      <w:r w:rsidRPr="257BFE88" w:rsidR="7EB30460">
        <w:rPr>
          <w:rFonts w:ascii="Aptos" w:hAnsi="Aptos" w:eastAsia="Aptos" w:cs="Aptos"/>
          <w:noProof w:val="0"/>
          <w:sz w:val="24"/>
          <w:szCs w:val="24"/>
          <w:lang w:val="en-GB"/>
        </w:rPr>
        <w:t xml:space="preserve"> that ESG scores </w:t>
      </w:r>
      <w:r w:rsidRPr="257BFE88" w:rsidR="43DFB10C">
        <w:rPr>
          <w:rFonts w:ascii="Aptos" w:hAnsi="Aptos" w:eastAsia="Aptos" w:cs="Aptos"/>
          <w:noProof w:val="0"/>
          <w:sz w:val="24"/>
          <w:szCs w:val="24"/>
          <w:lang w:val="en-GB"/>
        </w:rPr>
        <w:t xml:space="preserve">matter </w:t>
      </w:r>
      <w:r w:rsidRPr="257BFE88" w:rsidR="7EB30460">
        <w:rPr>
          <w:rFonts w:ascii="Aptos" w:hAnsi="Aptos" w:eastAsia="Aptos" w:cs="Aptos"/>
          <w:noProof w:val="0"/>
          <w:sz w:val="24"/>
          <w:szCs w:val="24"/>
          <w:lang w:val="en-GB"/>
        </w:rPr>
        <w:t>because they are built into large scale fund rules and investor reporting</w:t>
      </w:r>
      <w:r w:rsidRPr="257BFE88" w:rsidR="7EB30460">
        <w:rPr>
          <w:rFonts w:ascii="Aptos" w:hAnsi="Aptos" w:eastAsia="Aptos" w:cs="Aptos"/>
          <w:noProof w:val="0"/>
          <w:sz w:val="24"/>
          <w:szCs w:val="24"/>
          <w:lang w:val="en-GB"/>
        </w:rPr>
        <w:t xml:space="preserve"> </w:t>
      </w:r>
      <w:r w:rsidRPr="257BFE88" w:rsidR="3ED90C0A">
        <w:rPr>
          <w:rFonts w:ascii="Aptos" w:hAnsi="Aptos" w:eastAsia="Aptos" w:cs="Aptos"/>
          <w:noProof w:val="0"/>
          <w:sz w:val="24"/>
          <w:szCs w:val="24"/>
          <w:lang w:val="en-GB"/>
        </w:rPr>
        <w:t xml:space="preserve">systems </w:t>
      </w:r>
      <w:r w:rsidRPr="257BFE88" w:rsidR="3ED90C0A">
        <w:rPr>
          <w:rFonts w:ascii="Aptos" w:hAnsi="Aptos" w:eastAsia="Aptos" w:cs="Aptos"/>
          <w:noProof w:val="0"/>
          <w:sz w:val="24"/>
          <w:szCs w:val="24"/>
          <w:lang w:val="en-GB"/>
        </w:rPr>
        <w:t>(</w:t>
      </w:r>
      <w:r w:rsidRPr="257BFE88" w:rsidR="787CD458">
        <w:rPr>
          <w:rFonts w:ascii="Aptos" w:hAnsi="Aptos" w:eastAsia="Aptos" w:cs="Aptos"/>
          <w:noProof w:val="0"/>
          <w:color w:val="000000"/>
          <w:kern w:val="0"/>
          <w:sz w:val="24"/>
          <w:szCs w:val="24"/>
          <w:lang w:val="en-GB"/>
          <w14:ligatures w14:val="none"/>
        </w:rPr>
        <w:t xml:space="preserve">Car</w:t>
      </w:r>
      <w:r w:rsidRPr="257BFE88" w:rsidR="787CD458">
        <w:rPr>
          <w:rFonts w:ascii="Aptos" w:hAnsi="Aptos" w:eastAsia="Aptos" w:cs="Aptos"/>
          <w:noProof w:val="0"/>
          <w:color w:val="000000"/>
          <w:kern w:val="0"/>
          <w:sz w:val="24"/>
          <w:szCs w:val="24"/>
          <w:lang w:val="en-GB"/>
          <w14:ligatures w14:val="none"/>
        </w:rPr>
        <w:t xml:space="preserve">è</w:t>
      </w:r>
      <w:r w:rsidRPr="08626363" w:rsidR="787CD458">
        <w:rPr>
          <w:rFonts w:ascii="Aptos" w:hAnsi="Aptos" w:eastAsia="Aptos" w:cs="Aptos"/>
          <w:noProof w:val="0"/>
          <w:color w:val="000000" w:themeColor="text1" w:themeTint="FF" w:themeShade="FF"/>
          <w:sz w:val="24"/>
          <w:szCs w:val="24"/>
          <w:lang w:val="en-GB"/>
        </w:rPr>
        <w:t>, 2026; ICMA, 2026)</w:t>
      </w:r>
      <w:r w:rsidRPr="003137A2" w:rsidR="74131136">
        <w:rPr>
          <w:rFonts w:eastAsia="Times New Roman" w:cs="Arial"/>
          <w:color w:val="000000"/>
          <w:kern w:val="0"/>
          <w:lang w:eastAsia="en-GB"/>
          <w14:ligatures w14:val="none"/>
        </w:rPr>
        <w:t>.</w:t>
      </w:r>
    </w:p>
    <w:p w:rsidRPr="003137A2" w:rsidR="003137A2" w:rsidP="257BFE88" w:rsidRDefault="003137A2" w14:paraId="475D448D" w14:textId="7E1AD15A">
      <w:pPr>
        <w:spacing w:before="240" w:beforeAutospacing="off" w:after="240" w:afterAutospacing="off" w:line="240" w:lineRule="auto"/>
        <w:rPr>
          <w:rFonts w:eastAsia="Times New Roman" w:cs="Times New Roman"/>
          <w:lang w:eastAsia="en-GB"/>
        </w:rPr>
      </w:pPr>
      <w:r w:rsidRPr="003137A2" w:rsidR="74131136">
        <w:rPr>
          <w:rFonts w:eastAsia="Times New Roman" w:cs="Arial"/>
          <w:color w:val="000000"/>
          <w:kern w:val="0"/>
          <w:lang w:eastAsia="en-GB"/>
          <w14:ligatures w14:val="none"/>
        </w:rPr>
        <w:t xml:space="preserve">• Market data shows that ESG </w:t>
      </w:r>
      <w:r w:rsidRPr="003137A2" w:rsidR="0F6C937F">
        <w:rPr>
          <w:rFonts w:eastAsia="Times New Roman" w:cs="Arial"/>
          <w:color w:val="000000"/>
          <w:kern w:val="0"/>
          <w:lang w:eastAsia="en-GB"/>
          <w14:ligatures w14:val="none"/>
        </w:rPr>
        <w:t>label</w:t>
      </w:r>
      <w:r w:rsidRPr="003137A2" w:rsidR="1908856E">
        <w:rPr>
          <w:rFonts w:eastAsia="Times New Roman" w:cs="Arial"/>
          <w:color w:val="000000"/>
          <w:kern w:val="0"/>
          <w:lang w:eastAsia="en-GB"/>
          <w14:ligatures w14:val="none"/>
        </w:rPr>
        <w:t>s</w:t>
      </w:r>
      <w:r w:rsidRPr="003137A2" w:rsidR="74131136">
        <w:rPr>
          <w:rFonts w:eastAsia="Times New Roman" w:cs="Arial"/>
          <w:color w:val="000000"/>
          <w:kern w:val="0"/>
          <w:lang w:eastAsia="en-GB"/>
          <w14:ligatures w14:val="none"/>
        </w:rPr>
        <w:t xml:space="preserve"> can increase buying and selling </w:t>
      </w:r>
      <w:r w:rsidRPr="003137A2" w:rsidR="210E9E07">
        <w:rPr>
          <w:rFonts w:eastAsia="Times New Roman" w:cs="Arial"/>
          <w:color w:val="000000"/>
          <w:kern w:val="0"/>
          <w:lang w:eastAsia="en-GB"/>
          <w14:ligatures w14:val="none"/>
        </w:rPr>
        <w:t>activity</w:t>
      </w:r>
      <w:r w:rsidRPr="003137A2" w:rsidR="159C0741">
        <w:rPr>
          <w:rFonts w:eastAsia="Times New Roman" w:cs="Arial"/>
          <w:color w:val="000000"/>
          <w:kern w:val="0"/>
          <w:lang w:eastAsia="en-GB"/>
          <w14:ligatures w14:val="none"/>
        </w:rPr>
        <w:t xml:space="preserve"> </w:t>
      </w:r>
      <w:r w:rsidRPr="08626363" w:rsidR="159C0741">
        <w:rPr>
          <w:rFonts w:ascii="Aptos" w:hAnsi="Aptos" w:eastAsia="Aptos" w:cs="Aptos"/>
          <w:noProof w:val="0"/>
          <w:color w:val="000000" w:themeColor="text1" w:themeTint="FF" w:themeShade="FF"/>
          <w:sz w:val="24"/>
          <w:szCs w:val="24"/>
          <w:lang w:val="en-GB"/>
        </w:rPr>
        <w:t>(Zuo, 2026; Shi, 2025)</w:t>
      </w:r>
      <w:r w:rsidRPr="003137A2" w:rsidR="74131136">
        <w:rPr>
          <w:rFonts w:eastAsia="Times New Roman" w:cs="Arial"/>
          <w:color w:val="000000"/>
          <w:kern w:val="0"/>
          <w:lang w:eastAsia="en-GB"/>
          <w14:ligatures w14:val="none"/>
        </w:rPr>
        <w:t>.</w:t>
      </w:r>
    </w:p>
    <w:p w:rsidRPr="003137A2" w:rsidR="003137A2" w:rsidP="257BFE88" w:rsidRDefault="003137A2" w14:paraId="43EE7A8D" w14:textId="29495CA1">
      <w:pPr>
        <w:spacing w:before="240" w:beforeAutospacing="off" w:after="240" w:afterAutospacing="off" w:line="240" w:lineRule="auto"/>
        <w:rPr>
          <w:rFonts w:ascii="Aptos" w:hAnsi="Aptos" w:eastAsia="Aptos" w:cs="Aptos"/>
          <w:noProof w:val="0"/>
          <w:color w:val="000000" w:themeColor="text1" w:themeTint="FF" w:themeShade="FF"/>
          <w:kern w:val="0"/>
          <w:sz w:val="24"/>
          <w:szCs w:val="24"/>
          <w:lang w:val="en-GB"/>
          <w14:ligatures w14:val="none"/>
        </w:rPr>
      </w:pPr>
      <w:r w:rsidRPr="257BFE88" w:rsidR="0B5C6427">
        <w:rPr>
          <w:rFonts w:ascii="Aptos" w:hAnsi="Aptos" w:eastAsia="Aptos" w:cs="Aptos"/>
          <w:noProof w:val="0"/>
          <w:sz w:val="24"/>
          <w:szCs w:val="24"/>
          <w:lang w:val="en-GB"/>
        </w:rPr>
        <w:t>T</w:t>
      </w:r>
      <w:r w:rsidRPr="257BFE88" w:rsidR="3D83272A">
        <w:rPr>
          <w:rFonts w:ascii="Aptos" w:hAnsi="Aptos" w:eastAsia="Aptos" w:cs="Aptos"/>
          <w:noProof w:val="0"/>
          <w:sz w:val="24"/>
          <w:szCs w:val="24"/>
          <w:lang w:val="en-GB"/>
        </w:rPr>
        <w:t>aken t</w:t>
      </w:r>
      <w:r w:rsidRPr="257BFE88" w:rsidR="0B5C6427">
        <w:rPr>
          <w:rFonts w:ascii="Aptos" w:hAnsi="Aptos" w:eastAsia="Aptos" w:cs="Aptos"/>
          <w:noProof w:val="0"/>
          <w:sz w:val="24"/>
          <w:szCs w:val="24"/>
          <w:lang w:val="en-GB"/>
        </w:rPr>
        <w:t>ogether the</w:t>
      </w:r>
      <w:r w:rsidRPr="257BFE88" w:rsidR="3017BBBB">
        <w:rPr>
          <w:rFonts w:ascii="Aptos" w:hAnsi="Aptos" w:eastAsia="Aptos" w:cs="Aptos"/>
          <w:noProof w:val="0"/>
          <w:sz w:val="24"/>
          <w:szCs w:val="24"/>
          <w:lang w:val="en-GB"/>
        </w:rPr>
        <w:t>se</w:t>
      </w:r>
      <w:r w:rsidRPr="257BFE88" w:rsidR="0B5C6427">
        <w:rPr>
          <w:rFonts w:ascii="Aptos" w:hAnsi="Aptos" w:eastAsia="Aptos" w:cs="Aptos"/>
          <w:noProof w:val="0"/>
          <w:sz w:val="24"/>
          <w:szCs w:val="24"/>
          <w:lang w:val="en-GB"/>
        </w:rPr>
        <w:t xml:space="preserve"> findings show that limited</w:t>
      </w:r>
      <w:r w:rsidRPr="257BFE88" w:rsidR="0A2D272D">
        <w:rPr>
          <w:rFonts w:ascii="Aptos" w:hAnsi="Aptos" w:eastAsia="Aptos" w:cs="Aptos"/>
          <w:noProof w:val="0"/>
          <w:sz w:val="24"/>
          <w:szCs w:val="24"/>
          <w:lang w:val="en-GB"/>
        </w:rPr>
        <w:t xml:space="preserve"> openness </w:t>
      </w:r>
      <w:r w:rsidRPr="257BFE88" w:rsidR="0B5C6427">
        <w:rPr>
          <w:rFonts w:ascii="Aptos" w:hAnsi="Aptos" w:eastAsia="Aptos" w:cs="Aptos"/>
          <w:noProof w:val="0"/>
          <w:sz w:val="24"/>
          <w:szCs w:val="24"/>
          <w:lang w:val="en-GB"/>
        </w:rPr>
        <w:t xml:space="preserve">and inconsistency in ESG scoring </w:t>
      </w:r>
      <w:r w:rsidRPr="257BFE88" w:rsidR="07118432">
        <w:rPr>
          <w:rFonts w:ascii="Aptos" w:hAnsi="Aptos" w:eastAsia="Aptos" w:cs="Aptos"/>
          <w:noProof w:val="0"/>
          <w:sz w:val="24"/>
          <w:szCs w:val="24"/>
          <w:lang w:val="en-GB"/>
        </w:rPr>
        <w:t>reduces</w:t>
      </w:r>
      <w:r w:rsidRPr="257BFE88" w:rsidR="0B5C6427">
        <w:rPr>
          <w:rFonts w:ascii="Aptos" w:hAnsi="Aptos" w:eastAsia="Aptos" w:cs="Aptos"/>
          <w:noProof w:val="0"/>
          <w:sz w:val="24"/>
          <w:szCs w:val="24"/>
          <w:lang w:val="en-GB"/>
        </w:rPr>
        <w:t xml:space="preserve"> information quality</w:t>
      </w:r>
      <w:r w:rsidRPr="257BFE88" w:rsidR="4FB551C8">
        <w:rPr>
          <w:rFonts w:ascii="Aptos" w:hAnsi="Aptos" w:eastAsia="Aptos" w:cs="Aptos"/>
          <w:noProof w:val="0"/>
          <w:sz w:val="24"/>
          <w:szCs w:val="24"/>
          <w:lang w:val="en-GB"/>
        </w:rPr>
        <w:t>. This in turn</w:t>
      </w:r>
      <w:r w:rsidRPr="257BFE88" w:rsidR="73208640">
        <w:rPr>
          <w:rFonts w:ascii="Aptos" w:hAnsi="Aptos" w:eastAsia="Aptos" w:cs="Aptos"/>
          <w:noProof w:val="0"/>
          <w:sz w:val="24"/>
          <w:szCs w:val="24"/>
          <w:lang w:val="en-GB"/>
        </w:rPr>
        <w:t xml:space="preserve"> both</w:t>
      </w:r>
      <w:r w:rsidRPr="257BFE88" w:rsidR="4FB551C8">
        <w:rPr>
          <w:rFonts w:ascii="Aptos" w:hAnsi="Aptos" w:eastAsia="Aptos" w:cs="Aptos"/>
          <w:noProof w:val="0"/>
          <w:sz w:val="24"/>
          <w:szCs w:val="24"/>
          <w:lang w:val="en-GB"/>
        </w:rPr>
        <w:t xml:space="preserve"> affects</w:t>
      </w:r>
      <w:r w:rsidRPr="257BFE88" w:rsidR="0B5C6427">
        <w:rPr>
          <w:rFonts w:ascii="Aptos" w:hAnsi="Aptos" w:eastAsia="Aptos" w:cs="Aptos"/>
          <w:noProof w:val="0"/>
          <w:sz w:val="24"/>
          <w:szCs w:val="24"/>
          <w:lang w:val="en-GB"/>
        </w:rPr>
        <w:t xml:space="preserve"> investment decisions</w:t>
      </w:r>
      <w:r w:rsidRPr="257BFE88" w:rsidR="1AA2639E">
        <w:rPr>
          <w:rFonts w:ascii="Aptos" w:hAnsi="Aptos" w:eastAsia="Aptos" w:cs="Aptos"/>
          <w:noProof w:val="0"/>
          <w:sz w:val="24"/>
          <w:szCs w:val="24"/>
          <w:lang w:val="en-GB"/>
        </w:rPr>
        <w:t xml:space="preserve"> </w:t>
      </w:r>
      <w:r w:rsidRPr="257BFE88" w:rsidR="0B5C6427">
        <w:rPr>
          <w:rFonts w:ascii="Aptos" w:hAnsi="Aptos" w:eastAsia="Aptos" w:cs="Aptos"/>
          <w:noProof w:val="0"/>
          <w:sz w:val="24"/>
          <w:szCs w:val="24"/>
          <w:lang w:val="en-GB"/>
        </w:rPr>
        <w:t xml:space="preserve">and how companies react to external assessments (OECD, 2025; Shi, 2025). </w:t>
      </w:r>
      <w:r w:rsidRPr="257BFE88" w:rsidR="727B2477">
        <w:rPr>
          <w:rFonts w:ascii="Aptos" w:hAnsi="Aptos" w:eastAsia="Aptos" w:cs="Aptos"/>
          <w:noProof w:val="0"/>
          <w:sz w:val="24"/>
          <w:szCs w:val="24"/>
          <w:lang w:val="en-GB"/>
        </w:rPr>
        <w:t xml:space="preserve">As a result, </w:t>
      </w:r>
      <w:r w:rsidRPr="257BFE88" w:rsidR="0B5C6427">
        <w:rPr>
          <w:rFonts w:ascii="Aptos" w:hAnsi="Aptos" w:eastAsia="Aptos" w:cs="Aptos"/>
          <w:noProof w:val="0"/>
          <w:sz w:val="24"/>
          <w:szCs w:val="24"/>
          <w:lang w:val="en-GB"/>
        </w:rPr>
        <w:t xml:space="preserve">ESG scores </w:t>
      </w:r>
      <w:r w:rsidRPr="257BFE88" w:rsidR="4E7CBE9A">
        <w:rPr>
          <w:rFonts w:ascii="Aptos" w:hAnsi="Aptos" w:eastAsia="Aptos" w:cs="Aptos"/>
          <w:noProof w:val="0"/>
          <w:sz w:val="24"/>
          <w:szCs w:val="24"/>
          <w:lang w:val="en-GB"/>
        </w:rPr>
        <w:t>influence</w:t>
      </w:r>
      <w:r w:rsidRPr="257BFE88" w:rsidR="4E7CBE9A">
        <w:rPr>
          <w:rFonts w:ascii="Aptos" w:hAnsi="Aptos" w:eastAsia="Aptos" w:cs="Aptos"/>
          <w:noProof w:val="0"/>
          <w:sz w:val="24"/>
          <w:szCs w:val="24"/>
          <w:lang w:val="en-GB"/>
        </w:rPr>
        <w:t xml:space="preserve"> </w:t>
      </w:r>
      <w:r w:rsidRPr="257BFE88" w:rsidR="0B5C6427">
        <w:rPr>
          <w:rFonts w:ascii="Aptos" w:hAnsi="Aptos" w:eastAsia="Aptos" w:cs="Aptos"/>
          <w:noProof w:val="0"/>
          <w:sz w:val="24"/>
          <w:szCs w:val="24"/>
          <w:lang w:val="en-GB"/>
        </w:rPr>
        <w:t>and</w:t>
      </w:r>
      <w:r w:rsidRPr="257BFE88" w:rsidR="0B5C6427">
        <w:rPr>
          <w:rFonts w:ascii="Aptos" w:hAnsi="Aptos" w:eastAsia="Aptos" w:cs="Aptos"/>
          <w:noProof w:val="0"/>
          <w:sz w:val="24"/>
          <w:szCs w:val="24"/>
          <w:lang w:val="en-GB"/>
        </w:rPr>
        <w:t xml:space="preserve"> </w:t>
      </w:r>
      <w:r w:rsidRPr="257BFE88" w:rsidR="2FDF2266">
        <w:rPr>
          <w:rFonts w:ascii="Aptos" w:hAnsi="Aptos" w:eastAsia="Aptos" w:cs="Aptos"/>
          <w:noProof w:val="0"/>
          <w:sz w:val="24"/>
          <w:szCs w:val="24"/>
          <w:lang w:val="en-GB"/>
        </w:rPr>
        <w:t xml:space="preserve">sometimes </w:t>
      </w:r>
      <w:r w:rsidRPr="257BFE88" w:rsidR="0B5C6427">
        <w:rPr>
          <w:rFonts w:ascii="Aptos" w:hAnsi="Aptos" w:eastAsia="Aptos" w:cs="Aptos"/>
          <w:noProof w:val="0"/>
          <w:sz w:val="24"/>
          <w:szCs w:val="24"/>
          <w:lang w:val="en-GB"/>
        </w:rPr>
        <w:t xml:space="preserve">restrict behaviour, particularly when they are built into </w:t>
      </w:r>
      <w:r w:rsidRPr="257BFE88" w:rsidR="051D6B2A">
        <w:rPr>
          <w:rFonts w:ascii="Aptos" w:hAnsi="Aptos" w:eastAsia="Aptos" w:cs="Aptos"/>
          <w:noProof w:val="0"/>
          <w:sz w:val="24"/>
          <w:szCs w:val="24"/>
          <w:lang w:val="en-GB"/>
        </w:rPr>
        <w:t>index linked</w:t>
      </w:r>
      <w:r w:rsidRPr="257BFE88" w:rsidR="0B5C6427">
        <w:rPr>
          <w:rFonts w:ascii="Aptos" w:hAnsi="Aptos" w:eastAsia="Aptos" w:cs="Aptos"/>
          <w:noProof w:val="0"/>
          <w:sz w:val="24"/>
          <w:szCs w:val="24"/>
          <w:lang w:val="en-GB"/>
        </w:rPr>
        <w:t xml:space="preserve"> products and fund labels (</w:t>
      </w:r>
      <w:r w:rsidRPr="257BFE88" w:rsidR="0B5C6427">
        <w:rPr>
          <w:rFonts w:ascii="Aptos" w:hAnsi="Aptos" w:eastAsia="Aptos" w:cs="Aptos"/>
          <w:noProof w:val="0"/>
          <w:sz w:val="24"/>
          <w:szCs w:val="24"/>
          <w:lang w:val="en-GB"/>
        </w:rPr>
        <w:t>Carè</w:t>
      </w:r>
      <w:r w:rsidRPr="257BFE88" w:rsidR="0B5C6427">
        <w:rPr>
          <w:rFonts w:ascii="Aptos" w:hAnsi="Aptos" w:eastAsia="Aptos" w:cs="Aptos"/>
          <w:noProof w:val="0"/>
          <w:sz w:val="24"/>
          <w:szCs w:val="24"/>
          <w:lang w:val="en-GB"/>
        </w:rPr>
        <w:t>, 2026; Zuo, 2026).</w:t>
      </w:r>
    </w:p>
    <w:p w:rsidRPr="003137A2" w:rsidR="003137A2" w:rsidP="003137A2" w:rsidRDefault="003137A2" w14:paraId="2EE03F47" w14:textId="77777777">
      <w:pPr>
        <w:spacing w:before="240" w:after="240" w:line="240" w:lineRule="auto"/>
        <w:rPr>
          <w:rFonts w:ascii="Arial" w:hAnsi="Arial" w:eastAsia="Times New Roman" w:cs="Arial"/>
          <w:b w:val="1"/>
          <w:bCs w:val="1"/>
          <w:color w:val="000000"/>
          <w:kern w:val="0"/>
          <w:sz w:val="44"/>
          <w:szCs w:val="44"/>
          <w:lang w:eastAsia="en-GB"/>
          <w14:ligatures w14:val="none"/>
        </w:rPr>
      </w:pPr>
      <w:r w:rsidRPr="003137A2" w:rsidR="6D7FFB3E">
        <w:rPr>
          <w:rFonts w:ascii="Arial" w:hAnsi="Arial" w:eastAsia="Times New Roman" w:cs="Arial"/>
          <w:b w:val="1"/>
          <w:bCs w:val="1"/>
          <w:color w:val="000000"/>
          <w:kern w:val="0"/>
          <w:sz w:val="44"/>
          <w:szCs w:val="44"/>
          <w:lang w:eastAsia="en-GB"/>
          <w14:ligatures w14:val="none"/>
        </w:rPr>
        <w:t> </w:t>
      </w:r>
    </w:p>
    <w:p w:rsidRPr="003137A2" w:rsidR="003137A2" w:rsidP="003137A2" w:rsidRDefault="003137A2" w14:paraId="6BE84847" w14:textId="77777777">
      <w:pPr>
        <w:spacing w:before="240" w:after="240" w:line="240" w:lineRule="auto"/>
        <w:rPr>
          <w:rFonts w:ascii="Arial" w:hAnsi="Arial" w:eastAsia="Times New Roman" w:cs="Arial"/>
          <w:b/>
          <w:bCs/>
          <w:color w:val="000000"/>
          <w:kern w:val="0"/>
          <w:sz w:val="44"/>
          <w:szCs w:val="44"/>
          <w:lang w:eastAsia="en-GB"/>
          <w14:ligatures w14:val="none"/>
        </w:rPr>
      </w:pPr>
    </w:p>
    <w:p w:rsidRPr="003137A2" w:rsidR="003137A2" w:rsidP="003137A2" w:rsidRDefault="003137A2" w14:paraId="4929C28E" w14:textId="77777777">
      <w:pPr>
        <w:spacing w:before="240" w:after="240" w:line="240" w:lineRule="auto"/>
        <w:rPr>
          <w:rFonts w:ascii="Arial" w:hAnsi="Arial" w:eastAsia="Times New Roman" w:cs="Arial"/>
          <w:b/>
          <w:bCs/>
          <w:color w:val="000000"/>
          <w:kern w:val="0"/>
          <w:sz w:val="44"/>
          <w:szCs w:val="44"/>
          <w:lang w:eastAsia="en-GB"/>
          <w14:ligatures w14:val="none"/>
        </w:rPr>
      </w:pPr>
    </w:p>
    <w:p w:rsidRPr="003137A2" w:rsidR="003137A2" w:rsidP="003137A2" w:rsidRDefault="003137A2" w14:paraId="621997AD" w14:textId="77777777">
      <w:pPr>
        <w:spacing w:before="240" w:after="240" w:line="240" w:lineRule="auto"/>
        <w:rPr>
          <w:rFonts w:ascii="Arial" w:hAnsi="Arial" w:eastAsia="Times New Roman" w:cs="Arial"/>
          <w:b/>
          <w:bCs/>
          <w:color w:val="000000"/>
          <w:kern w:val="0"/>
          <w:sz w:val="44"/>
          <w:szCs w:val="44"/>
          <w:lang w:eastAsia="en-GB"/>
          <w14:ligatures w14:val="none"/>
        </w:rPr>
      </w:pPr>
    </w:p>
    <w:p w:rsidRPr="003137A2" w:rsidR="003137A2" w:rsidP="003137A2" w:rsidRDefault="003137A2" w14:paraId="0ADCBCBD" w14:textId="77777777">
      <w:pPr>
        <w:spacing w:before="240" w:after="240" w:line="240" w:lineRule="auto"/>
        <w:rPr>
          <w:rFonts w:ascii="Arial" w:hAnsi="Arial" w:eastAsia="Times New Roman" w:cs="Arial"/>
          <w:b/>
          <w:bCs/>
          <w:color w:val="000000"/>
          <w:kern w:val="0"/>
          <w:sz w:val="44"/>
          <w:szCs w:val="44"/>
          <w:lang w:eastAsia="en-GB"/>
          <w14:ligatures w14:val="none"/>
        </w:rPr>
      </w:pPr>
    </w:p>
    <w:p w:rsidRPr="003137A2" w:rsidR="003137A2" w:rsidP="003137A2" w:rsidRDefault="003137A2" w14:paraId="51415FEC" w14:textId="77777777">
      <w:pPr>
        <w:spacing w:before="240" w:after="240" w:line="240" w:lineRule="auto"/>
        <w:rPr>
          <w:rFonts w:ascii="Arial" w:hAnsi="Arial" w:eastAsia="Times New Roman" w:cs="Arial"/>
          <w:b/>
          <w:bCs/>
          <w:color w:val="000000"/>
          <w:kern w:val="0"/>
          <w:sz w:val="44"/>
          <w:szCs w:val="44"/>
          <w:lang w:eastAsia="en-GB"/>
          <w14:ligatures w14:val="none"/>
        </w:rPr>
      </w:pPr>
    </w:p>
    <w:p w:rsidRPr="003137A2" w:rsidR="003137A2" w:rsidP="003137A2" w:rsidRDefault="003137A2" w14:paraId="5409C297" w14:textId="77777777">
      <w:pPr>
        <w:spacing w:before="240" w:after="240" w:line="240" w:lineRule="auto"/>
        <w:rPr>
          <w:rFonts w:ascii="Arial" w:hAnsi="Arial" w:eastAsia="Times New Roman" w:cs="Arial"/>
          <w:b/>
          <w:bCs/>
          <w:color w:val="000000"/>
          <w:kern w:val="0"/>
          <w:sz w:val="44"/>
          <w:szCs w:val="44"/>
          <w:lang w:eastAsia="en-GB"/>
          <w14:ligatures w14:val="none"/>
        </w:rPr>
      </w:pPr>
    </w:p>
    <w:p w:rsidRPr="003137A2" w:rsidR="003137A2" w:rsidP="003137A2" w:rsidRDefault="003137A2" w14:paraId="202F3E2B" w14:textId="77777777">
      <w:pPr>
        <w:spacing w:before="240" w:after="240" w:line="240" w:lineRule="auto"/>
        <w:rPr>
          <w:rFonts w:ascii="Arial" w:hAnsi="Arial" w:eastAsia="Times New Roman" w:cs="Arial"/>
          <w:b/>
          <w:bCs/>
          <w:color w:val="000000"/>
          <w:kern w:val="0"/>
          <w:sz w:val="44"/>
          <w:szCs w:val="44"/>
          <w:lang w:eastAsia="en-GB"/>
          <w14:ligatures w14:val="none"/>
        </w:rPr>
      </w:pPr>
    </w:p>
    <w:p w:rsidRPr="003137A2" w:rsidR="003137A2" w:rsidP="003137A2" w:rsidRDefault="003137A2" w14:paraId="4F70CA31" w14:textId="77777777">
      <w:pPr>
        <w:spacing w:before="240" w:after="240" w:line="240" w:lineRule="auto"/>
        <w:rPr>
          <w:rFonts w:ascii="Times New Roman" w:hAnsi="Times New Roman" w:eastAsia="Times New Roman" w:cs="Times New Roman"/>
          <w:kern w:val="0"/>
          <w:lang w:eastAsia="en-GB"/>
          <w14:ligatures w14:val="none"/>
        </w:rPr>
      </w:pPr>
    </w:p>
    <w:p w:rsidR="257BFE88" w:rsidP="257BFE88" w:rsidRDefault="257BFE88" w14:paraId="5EFE1644" w14:textId="422F3A2B">
      <w:pPr>
        <w:spacing w:before="240" w:after="240" w:line="240" w:lineRule="auto"/>
        <w:rPr>
          <w:rFonts w:ascii="Times New Roman" w:hAnsi="Times New Roman" w:eastAsia="Times New Roman" w:cs="Times New Roman"/>
          <w:lang w:eastAsia="en-GB"/>
        </w:rPr>
      </w:pPr>
    </w:p>
    <w:p w:rsidR="257BFE88" w:rsidP="257BFE88" w:rsidRDefault="257BFE88" w14:paraId="6FB2DDE1" w14:textId="643CCAEF">
      <w:pPr>
        <w:spacing w:before="240" w:after="240" w:line="240" w:lineRule="auto"/>
        <w:rPr>
          <w:rFonts w:ascii="Times New Roman" w:hAnsi="Times New Roman" w:eastAsia="Times New Roman" w:cs="Times New Roman"/>
          <w:lang w:eastAsia="en-GB"/>
        </w:rPr>
      </w:pPr>
    </w:p>
    <w:p w:rsidR="257BFE88" w:rsidP="257BFE88" w:rsidRDefault="257BFE88" w14:paraId="77AC84CE" w14:textId="3429E676">
      <w:pPr>
        <w:spacing w:before="240" w:after="240" w:line="240" w:lineRule="auto"/>
        <w:rPr>
          <w:rFonts w:ascii="Times New Roman" w:hAnsi="Times New Roman" w:eastAsia="Times New Roman" w:cs="Times New Roman"/>
          <w:lang w:eastAsia="en-GB"/>
        </w:rPr>
      </w:pPr>
    </w:p>
    <w:p w:rsidR="257BFE88" w:rsidP="257BFE88" w:rsidRDefault="257BFE88" w14:paraId="48D85F28" w14:textId="15FE30FF">
      <w:pPr>
        <w:spacing w:before="240" w:after="240" w:line="240" w:lineRule="auto"/>
        <w:rPr>
          <w:rFonts w:ascii="Times New Roman" w:hAnsi="Times New Roman" w:eastAsia="Times New Roman" w:cs="Times New Roman"/>
          <w:lang w:eastAsia="en-GB"/>
        </w:rPr>
      </w:pPr>
    </w:p>
    <w:p w:rsidR="257BFE88" w:rsidP="257BFE88" w:rsidRDefault="257BFE88" w14:paraId="4F2D3EB1" w14:textId="75AA1AE8">
      <w:pPr>
        <w:spacing w:before="240" w:after="240" w:line="240" w:lineRule="auto"/>
        <w:rPr>
          <w:rFonts w:ascii="Times New Roman" w:hAnsi="Times New Roman" w:eastAsia="Times New Roman" w:cs="Times New Roman"/>
          <w:lang w:eastAsia="en-GB"/>
        </w:rPr>
      </w:pPr>
    </w:p>
    <w:p w:rsidR="08626363" w:rsidP="08626363" w:rsidRDefault="08626363" w14:paraId="1293A748" w14:textId="223B6A17">
      <w:pPr>
        <w:spacing w:before="240" w:after="240" w:line="240" w:lineRule="auto"/>
        <w:rPr>
          <w:rFonts w:ascii="Times New Roman" w:hAnsi="Times New Roman" w:eastAsia="Times New Roman" w:cs="Times New Roman"/>
          <w:lang w:eastAsia="en-GB"/>
        </w:rPr>
      </w:pPr>
    </w:p>
    <w:p w:rsidRPr="003137A2" w:rsidR="003137A2" w:rsidP="257BFE88" w:rsidRDefault="003137A2" w14:paraId="35099A16" w14:textId="77777777">
      <w:pPr>
        <w:keepNext w:val="1"/>
        <w:keepLines w:val="1"/>
        <w:spacing w:before="360" w:after="80"/>
        <w:outlineLvl w:val="0"/>
        <w:rPr>
          <w:rFonts w:ascii="Times New Roman" w:hAnsi="Times New Roman" w:eastAsia="Times New Roman" w:cs="" w:cstheme="majorBidi"/>
          <w:color w:val="0F4761" w:themeColor="accent1" w:themeShade="BF"/>
          <w:sz w:val="48"/>
          <w:szCs w:val="48"/>
          <w:lang w:eastAsia="en-GB"/>
        </w:rPr>
      </w:pPr>
      <w:bookmarkStart w:name="_Toc373256948" w:id="1945505267"/>
      <w:r w:rsidRPr="003137A2" w:rsidR="6D7FFB3E">
        <w:rPr>
          <w:rFonts w:ascii="Arial" w:hAnsi="Arial" w:eastAsia="Times New Roman" w:cs="Arial"/>
          <w:color w:val="0F4761" w:themeColor="accent1" w:themeShade="BF"/>
          <w:kern w:val="0"/>
          <w:sz w:val="44"/>
          <w:szCs w:val="44"/>
          <w:lang w:eastAsia="en-GB"/>
        </w:rPr>
        <w:t xml:space="preserve">5. </w:t>
      </w:r>
      <w:r w:rsidRPr="257BFE88" w:rsidR="6D7FFB3E">
        <w:rPr>
          <w:rFonts w:ascii="Aptos Display" w:hAnsi="Aptos Display" w:eastAsia="Times New Roman" w:cs="" w:asciiTheme="majorAscii" w:hAnsiTheme="majorAscii" w:cstheme="majorBidi"/>
          <w:color w:val="0F4761" w:themeColor="accent1" w:themeShade="BF"/>
          <w:sz w:val="40"/>
          <w:szCs w:val="40"/>
          <w:lang w:eastAsia="en-GB"/>
        </w:rPr>
        <w:t>Discussion and Critical Evaluation</w:t>
      </w:r>
      <w:bookmarkEnd w:id="1945505267"/>
    </w:p>
    <w:p w:rsidRPr="003137A2" w:rsidR="003137A2" w:rsidP="257BFE88" w:rsidRDefault="003137A2" w14:paraId="4C690121" w14:textId="77777777">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1928928037" w:id="189479704"/>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5.1 Interpretation of Findings</w:t>
      </w:r>
      <w:bookmarkEnd w:id="189479704"/>
    </w:p>
    <w:p w:rsidRPr="003137A2" w:rsidR="003137A2" w:rsidP="08626363" w:rsidRDefault="003137A2" w14:paraId="735D1F3C" w14:textId="0E4AE274">
      <w:pPr>
        <w:spacing w:before="240" w:beforeAutospacing="off" w:after="240" w:afterAutospacing="off" w:line="240" w:lineRule="auto"/>
        <w:rPr>
          <w:rFonts w:eastAsia="Times New Roman" w:cs="Times New Roman"/>
          <w:kern w:val="0"/>
          <w:lang w:eastAsia="en-GB"/>
          <w14:ligatures w14:val="none"/>
        </w:rPr>
      </w:pPr>
      <w:r w:rsidRPr="003137A2" w:rsidR="74131136">
        <w:rPr>
          <w:rFonts w:eastAsia="Times New Roman" w:cs="Arial"/>
          <w:color w:val="000000"/>
          <w:kern w:val="0"/>
          <w:lang w:eastAsia="en-GB"/>
          <w14:ligatures w14:val="none"/>
        </w:rPr>
        <w:t xml:space="preserve">The findings of this study </w:t>
      </w:r>
      <w:r w:rsidRPr="003137A2" w:rsidR="0AB2CB38">
        <w:rPr>
          <w:rFonts w:eastAsia="Times New Roman" w:cs="Arial"/>
          <w:color w:val="000000"/>
          <w:kern w:val="0"/>
          <w:lang w:eastAsia="en-GB"/>
          <w14:ligatures w14:val="none"/>
        </w:rPr>
        <w:t xml:space="preserve">show clearly </w:t>
      </w:r>
      <w:r w:rsidRPr="003137A2" w:rsidR="74131136">
        <w:rPr>
          <w:rFonts w:eastAsia="Times New Roman" w:cs="Arial"/>
          <w:color w:val="000000"/>
          <w:kern w:val="0"/>
          <w:lang w:eastAsia="en-GB"/>
          <w14:ligatures w14:val="none"/>
        </w:rPr>
        <w:t xml:space="preserve">that the influence of </w:t>
      </w:r>
      <w:r w:rsidRPr="003137A2" w:rsidR="4E299C17">
        <w:rPr>
          <w:rFonts w:eastAsia="Times New Roman" w:cs="Arial"/>
          <w:color w:val="000000"/>
          <w:kern w:val="0"/>
          <w:lang w:eastAsia="en-GB"/>
          <w14:ligatures w14:val="none"/>
        </w:rPr>
        <w:t xml:space="preserve">the </w:t>
      </w:r>
      <w:r w:rsidRPr="003137A2" w:rsidR="74131136">
        <w:rPr>
          <w:rFonts w:eastAsia="Times New Roman" w:cs="Arial"/>
          <w:color w:val="000000"/>
          <w:kern w:val="0"/>
          <w:lang w:eastAsia="en-GB"/>
          <w14:ligatures w14:val="none"/>
        </w:rPr>
        <w:t xml:space="preserve">ESG scoring systems </w:t>
      </w:r>
      <w:r w:rsidRPr="003137A2" w:rsidR="7A64ABD4">
        <w:rPr>
          <w:rFonts w:eastAsia="Times New Roman" w:cs="Arial"/>
          <w:color w:val="000000"/>
          <w:kern w:val="0"/>
          <w:lang w:eastAsia="en-GB"/>
          <w14:ligatures w14:val="none"/>
        </w:rPr>
        <w:t xml:space="preserve">have a variable outcome.</w:t>
      </w:r>
      <w:r w:rsidRPr="003137A2" w:rsidR="0AD67127">
        <w:rPr>
          <w:rFonts w:eastAsia="Times New Roman" w:cs="Arial"/>
          <w:color w:val="000000"/>
          <w:kern w:val="0"/>
          <w:lang w:eastAsia="en-GB"/>
          <w14:ligatures w14:val="none"/>
        </w:rPr>
        <w:t xml:space="preserve"> The </w:t>
      </w:r>
      <w:r w:rsidRPr="003137A2" w:rsidR="67885D46">
        <w:rPr>
          <w:rFonts w:eastAsia="Times New Roman" w:cs="Arial"/>
          <w:color w:val="000000"/>
          <w:kern w:val="0"/>
          <w:lang w:eastAsia="en-GB"/>
          <w14:ligatures w14:val="none"/>
        </w:rPr>
        <w:t xml:space="preserve">consequence of that influence </w:t>
      </w:r>
      <w:r w:rsidRPr="003137A2" w:rsidR="74131136">
        <w:rPr>
          <w:rFonts w:eastAsia="Times New Roman" w:cs="Arial"/>
          <w:color w:val="000000"/>
          <w:kern w:val="0"/>
          <w:lang w:eastAsia="en-GB"/>
          <w14:ligatures w14:val="none"/>
        </w:rPr>
        <w:t xml:space="preserve">depends on context and is influenced by </w:t>
      </w:r>
      <w:r w:rsidRPr="003137A2" w:rsidR="062651E7">
        <w:rPr>
          <w:rFonts w:eastAsia="Times New Roman" w:cs="Arial"/>
          <w:color w:val="000000"/>
          <w:kern w:val="0"/>
          <w:lang w:eastAsia="en-GB"/>
          <w14:ligatures w14:val="none"/>
        </w:rPr>
        <w:t xml:space="preserve">many</w:t>
      </w:r>
      <w:r w:rsidRPr="003137A2" w:rsidR="74131136">
        <w:rPr>
          <w:rFonts w:eastAsia="Times New Roman" w:cs="Arial"/>
          <w:color w:val="000000"/>
          <w:kern w:val="0"/>
          <w:lang w:eastAsia="en-GB"/>
          <w14:ligatures w14:val="none"/>
        </w:rPr>
        <w:t xml:space="preserve"> </w:t>
      </w:r>
      <w:r w:rsidRPr="003137A2" w:rsidR="352E9ED6">
        <w:rPr>
          <w:rFonts w:eastAsia="Times New Roman" w:cs="Arial"/>
          <w:color w:val="000000"/>
          <w:kern w:val="0"/>
          <w:lang w:eastAsia="en-GB"/>
          <w14:ligatures w14:val="none"/>
        </w:rPr>
        <w:t xml:space="preserve">factors</w:t>
      </w:r>
      <w:r w:rsidRPr="003137A2" w:rsidR="352E9ED6">
        <w:rPr>
          <w:rFonts w:eastAsia="Times New Roman" w:cs="Arial"/>
          <w:color w:val="000000"/>
          <w:kern w:val="0"/>
          <w:lang w:eastAsia="en-GB"/>
          <w14:ligatures w14:val="none"/>
        </w:rPr>
        <w:t xml:space="preserve"> </w:t>
      </w:r>
      <w:r w:rsidRPr="08626363" w:rsidR="7C560E99">
        <w:rPr>
          <w:rFonts w:ascii="Aptos" w:hAnsi="Aptos" w:eastAsia="Aptos" w:cs="Aptos"/>
          <w:noProof w:val="0"/>
          <w:color w:val="000000" w:themeColor="text1" w:themeTint="FF" w:themeShade="FF"/>
          <w:sz w:val="24"/>
          <w:szCs w:val="24"/>
          <w:lang w:val="en-GB"/>
        </w:rPr>
        <w:t>(Dincă, 20</w:t>
      </w:r>
      <w:r w:rsidRPr="08626363" w:rsidR="7C560E99">
        <w:rPr>
          <w:rFonts w:ascii="Aptos" w:hAnsi="Aptos" w:eastAsia="Aptos" w:cs="Aptos"/>
          <w:noProof w:val="0"/>
          <w:color w:val="000000" w:themeColor="text1" w:themeTint="FF" w:themeShade="FF"/>
          <w:sz w:val="24"/>
          <w:szCs w:val="24"/>
          <w:lang w:val="en-GB"/>
        </w:rPr>
        <w:t>25; Herman, 2025)</w:t>
      </w:r>
      <w:r w:rsidRPr="003137A2" w:rsidR="74131136">
        <w:rPr>
          <w:rFonts w:eastAsia="Times New Roman" w:cs="Arial"/>
          <w:color w:val="000000"/>
          <w:kern w:val="0"/>
          <w:lang w:eastAsia="en-GB"/>
          <w14:ligatures w14:val="none"/>
        </w:rPr>
        <w:t>.  ESG processes are designed to encourage responsible corporate behaviour and support long term value creation</w:t>
      </w:r>
      <w:r w:rsidRPr="003137A2" w:rsidR="5ADB7CBA">
        <w:rPr>
          <w:rFonts w:eastAsia="Times New Roman" w:cs="Arial"/>
          <w:color w:val="000000"/>
          <w:kern w:val="0"/>
          <w:lang w:eastAsia="en-GB"/>
          <w14:ligatures w14:val="none"/>
        </w:rPr>
        <w:t>. H</w:t>
      </w:r>
      <w:r w:rsidRPr="003137A2" w:rsidR="3E92D503">
        <w:rPr>
          <w:rFonts w:eastAsia="Times New Roman" w:cs="Arial"/>
          <w:color w:val="000000"/>
          <w:kern w:val="0"/>
          <w:lang w:eastAsia="en-GB"/>
          <w14:ligatures w14:val="none"/>
        </w:rPr>
        <w:t>owever</w:t>
      </w:r>
      <w:r w:rsidRPr="003137A2" w:rsidR="28DE5681">
        <w:rPr>
          <w:rFonts w:eastAsia="Times New Roman" w:cs="Arial"/>
          <w:color w:val="000000"/>
          <w:kern w:val="0"/>
          <w:lang w:eastAsia="en-GB"/>
          <w14:ligatures w14:val="none"/>
        </w:rPr>
        <w:t xml:space="preserve">, </w:t>
      </w:r>
      <w:r w:rsidRPr="003137A2" w:rsidR="74131136">
        <w:rPr>
          <w:rFonts w:eastAsia="Times New Roman" w:cs="Arial"/>
          <w:color w:val="000000"/>
          <w:kern w:val="0"/>
          <w:lang w:eastAsia="en-GB"/>
          <w14:ligatures w14:val="none"/>
        </w:rPr>
        <w:t xml:space="preserve">the data shows that ESG ratings </w:t>
      </w:r>
      <w:r w:rsidRPr="003137A2" w:rsidR="33B7D97E">
        <w:rPr>
          <w:rFonts w:eastAsia="Times New Roman" w:cs="Arial"/>
          <w:color w:val="000000"/>
          <w:kern w:val="0"/>
          <w:lang w:eastAsia="en-GB"/>
          <w14:ligatures w14:val="none"/>
        </w:rPr>
        <w:t xml:space="preserve">on </w:t>
      </w:r>
      <w:r w:rsidRPr="003137A2" w:rsidR="58A0D71E">
        <w:rPr>
          <w:rFonts w:eastAsia="Times New Roman" w:cs="Arial"/>
          <w:color w:val="000000"/>
          <w:kern w:val="0"/>
          <w:lang w:eastAsia="en-GB"/>
          <w14:ligatures w14:val="none"/>
        </w:rPr>
        <w:t>their</w:t>
      </w:r>
      <w:r w:rsidRPr="003137A2" w:rsidR="33B7D97E">
        <w:rPr>
          <w:rFonts w:eastAsia="Times New Roman" w:cs="Arial"/>
          <w:color w:val="000000"/>
          <w:kern w:val="0"/>
          <w:lang w:eastAsia="en-GB"/>
          <w14:ligatures w14:val="none"/>
        </w:rPr>
        <w:t xml:space="preserve"> own </w:t>
      </w:r>
      <w:r w:rsidRPr="003137A2" w:rsidR="3BC72596">
        <w:rPr>
          <w:rFonts w:eastAsia="Times New Roman" w:cs="Arial"/>
          <w:color w:val="000000"/>
          <w:kern w:val="0"/>
          <w:lang w:eastAsia="en-GB"/>
          <w14:ligatures w14:val="none"/>
        </w:rPr>
        <w:t xml:space="preserve">do not </w:t>
      </w:r>
      <w:r w:rsidRPr="003137A2" w:rsidR="74131136">
        <w:rPr>
          <w:rFonts w:eastAsia="Times New Roman" w:cs="Arial"/>
          <w:color w:val="000000"/>
          <w:kern w:val="0"/>
          <w:lang w:eastAsia="en-GB"/>
          <w14:ligatures w14:val="none"/>
        </w:rPr>
        <w:t>reliably predict market performance (Kyei-Mensah, 2026; Galema and Gerritsen, 2025</w:t>
      </w:r>
      <w:r w:rsidRPr="003137A2" w:rsidR="3C80B057">
        <w:rPr>
          <w:rFonts w:eastAsia="Times New Roman" w:cs="Arial"/>
          <w:color w:val="000000"/>
          <w:kern w:val="0"/>
          <w:lang w:eastAsia="en-GB"/>
          <w14:ligatures w14:val="none"/>
        </w:rPr>
        <w:t xml:space="preserve">; </w:t>
      </w:r>
      <w:r w:rsidRPr="08626363" w:rsidR="3C80B057">
        <w:rPr>
          <w:rFonts w:ascii="Aptos" w:hAnsi="Aptos" w:eastAsia="Aptos" w:cs="Aptos"/>
          <w:noProof w:val="0"/>
          <w:color w:val="000000" w:themeColor="text1" w:themeTint="FF" w:themeShade="FF"/>
          <w:sz w:val="24"/>
          <w:szCs w:val="24"/>
          <w:lang w:val="en-GB"/>
        </w:rPr>
        <w:t>Taskin, 2025</w:t>
      </w:r>
      <w:r w:rsidRPr="003137A2" w:rsidR="74131136">
        <w:rPr>
          <w:rFonts w:eastAsia="Times New Roman" w:cs="Arial"/>
          <w:color w:val="000000"/>
          <w:kern w:val="0"/>
          <w:lang w:eastAsia="en-GB"/>
          <w14:ligatures w14:val="none"/>
        </w:rPr>
        <w:t>).</w:t>
      </w:r>
    </w:p>
    <w:p w:rsidRPr="003137A2" w:rsidR="003137A2" w:rsidP="257BFE88" w:rsidRDefault="003137A2" w14:paraId="28152D79" w14:textId="70AD56FA">
      <w:pPr>
        <w:pStyle w:val="Normal"/>
        <w:spacing w:before="240" w:after="240" w:line="240" w:lineRule="auto"/>
        <w:rPr>
          <w:rFonts w:eastAsia="Times New Roman" w:cs="Times New Roman"/>
          <w:kern w:val="0"/>
          <w:highlight w:val="green"/>
          <w:lang w:eastAsia="en-GB"/>
          <w14:ligatures w14:val="none"/>
        </w:rPr>
      </w:pPr>
      <w:r w:rsidRPr="003137A2" w:rsidR="6D7FFB3E">
        <w:rPr>
          <w:rFonts w:eastAsia="Times New Roman" w:cs="Arial"/>
          <w:color w:val="000000"/>
          <w:kern w:val="0"/>
          <w:lang w:eastAsia="en-GB"/>
          <w14:ligatures w14:val="none"/>
        </w:rPr>
        <w:t xml:space="preserve">The contrasting cases of Tesla and ExxonMobil are a good example of the complex factors involved. Tesla’s strong environmental positioning and higher ESG positioning did not lead to stable performance as instead, the company showed high volatility characteristic of growing companies. ExxonMobil, despite lower ESG ratings showed steadier profitability and returns expected from a </w:t>
      </w:r>
      <w:r w:rsidRPr="003137A2" w:rsidR="6D7FFB3E">
        <w:rPr/>
        <w:t>more a mature established fossil</w:t>
      </w:r>
      <w:r w:rsidRPr="003137A2" w:rsidR="6D7FFB3E">
        <w:rPr>
          <w:rFonts w:ascii="Cambria Math" w:hAnsi="Cambria Math" w:cs="Cambria Math"/>
        </w:rPr>
        <w:t xml:space="preserve"> </w:t>
      </w:r>
      <w:r w:rsidRPr="003137A2" w:rsidR="6D7FFB3E">
        <w:rPr/>
        <w:t xml:space="preserve">fuel energy co</w:t>
      </w:r>
      <w:r w:rsidRPr="003137A2" w:rsidR="6D7FFB3E">
        <w:rPr/>
        <w:t xml:space="preserve">mpany.</w:t>
      </w:r>
      <w:r w:rsidRPr="003137A2" w:rsidR="6D7FFB3E">
        <w:rPr/>
        <w:t xml:space="preserve"> </w:t>
      </w:r>
      <w:r w:rsidRPr="003137A2" w:rsidR="7AB18EEE">
        <w:rPr/>
        <w:t xml:space="preserve">T</w:t>
      </w:r>
      <w:r w:rsidRPr="257BFE88" w:rsidR="1E2FD2C0">
        <w:rPr>
          <w:rFonts w:ascii="Aptos" w:hAnsi="Aptos" w:eastAsia="Aptos"/>
          <w:b w:val="0"/>
          <w:bCs w:val="0"/>
          <w:i w:val="0"/>
          <w:iCs w:val="0"/>
          <w:noProof w:val="0"/>
          <w:sz w:val="24"/>
          <w:szCs w:val="24"/>
          <w:lang w:val="en-GB"/>
        </w:rPr>
        <w:t xml:space="preserve">he evidence </w:t>
      </w:r>
      <w:r w:rsidRPr="257BFE88" w:rsidR="2C063F65">
        <w:rPr>
          <w:rFonts w:ascii="Aptos" w:hAnsi="Aptos" w:eastAsia="Aptos"/>
          <w:b w:val="0"/>
          <w:bCs w:val="0"/>
          <w:i w:val="0"/>
          <w:iCs w:val="0"/>
          <w:noProof w:val="0"/>
          <w:sz w:val="24"/>
          <w:szCs w:val="24"/>
          <w:lang w:val="en-GB"/>
        </w:rPr>
        <w:t xml:space="preserve">shows that </w:t>
      </w:r>
      <w:r w:rsidRPr="257BFE88" w:rsidR="1E2FD2C0">
        <w:rPr>
          <w:rFonts w:ascii="Aptos" w:hAnsi="Aptos" w:eastAsia="Aptos"/>
          <w:b w:val="0"/>
          <w:bCs w:val="0"/>
          <w:i w:val="0"/>
          <w:iCs w:val="0"/>
          <w:noProof w:val="0"/>
          <w:sz w:val="24"/>
          <w:szCs w:val="24"/>
          <w:lang w:val="en-GB"/>
        </w:rPr>
        <w:t xml:space="preserve">the </w:t>
      </w:r>
      <w:r w:rsidRPr="257BFE88" w:rsidR="683EF077">
        <w:rPr>
          <w:rFonts w:ascii="Aptos" w:hAnsi="Aptos" w:eastAsia="Aptos"/>
          <w:b w:val="0"/>
          <w:bCs w:val="0"/>
          <w:i w:val="0"/>
          <w:iCs w:val="0"/>
          <w:noProof w:val="0"/>
          <w:sz w:val="24"/>
          <w:szCs w:val="24"/>
          <w:lang w:val="en-GB"/>
        </w:rPr>
        <w:t>companies</w:t>
      </w:r>
      <w:r w:rsidRPr="257BFE88" w:rsidR="683EF077">
        <w:rPr>
          <w:rFonts w:ascii="Aptos" w:hAnsi="Aptos" w:eastAsia="Aptos"/>
          <w:b w:val="0"/>
          <w:bCs w:val="0"/>
          <w:i w:val="0"/>
          <w:iCs w:val="0"/>
          <w:noProof w:val="0"/>
          <w:sz w:val="24"/>
          <w:szCs w:val="24"/>
          <w:lang w:val="en-GB"/>
        </w:rPr>
        <w:t xml:space="preserve"> </w:t>
      </w:r>
      <w:r w:rsidRPr="257BFE88" w:rsidR="1E2FD2C0">
        <w:rPr>
          <w:rFonts w:ascii="Aptos" w:hAnsi="Aptos" w:eastAsia="Aptos"/>
          <w:b w:val="0"/>
          <w:bCs w:val="0"/>
          <w:i w:val="0"/>
          <w:iCs w:val="0"/>
          <w:noProof w:val="0"/>
          <w:sz w:val="24"/>
          <w:szCs w:val="24"/>
          <w:lang w:val="en-GB"/>
        </w:rPr>
        <w:t>industry</w:t>
      </w:r>
      <w:r w:rsidRPr="257BFE88" w:rsidR="3AC86439">
        <w:rPr>
          <w:rFonts w:ascii="Aptos" w:hAnsi="Aptos" w:eastAsia="Aptos"/>
          <w:b w:val="0"/>
          <w:bCs w:val="0"/>
          <w:i w:val="0"/>
          <w:iCs w:val="0"/>
          <w:noProof w:val="0"/>
          <w:sz w:val="24"/>
          <w:szCs w:val="24"/>
          <w:lang w:val="en-GB"/>
        </w:rPr>
        <w:t>/sector</w:t>
      </w:r>
      <w:r w:rsidRPr="257BFE88" w:rsidR="1E2FD2C0">
        <w:rPr>
          <w:rFonts w:ascii="Aptos" w:hAnsi="Aptos" w:eastAsia="Aptos"/>
          <w:b w:val="0"/>
          <w:bCs w:val="0"/>
          <w:i w:val="0"/>
          <w:iCs w:val="0"/>
          <w:noProof w:val="0"/>
          <w:sz w:val="24"/>
          <w:szCs w:val="24"/>
          <w:lang w:val="en-GB"/>
        </w:rPr>
        <w:t xml:space="preserve">, </w:t>
      </w:r>
      <w:r w:rsidRPr="257BFE88" w:rsidR="15EB1B55">
        <w:rPr>
          <w:rFonts w:ascii="Aptos" w:hAnsi="Aptos" w:eastAsia="Aptos"/>
          <w:b w:val="0"/>
          <w:bCs w:val="0"/>
          <w:i w:val="0"/>
          <w:iCs w:val="0"/>
          <w:noProof w:val="0"/>
          <w:sz w:val="24"/>
          <w:szCs w:val="24"/>
          <w:lang w:val="en-GB"/>
        </w:rPr>
        <w:t>the wider</w:t>
      </w:r>
      <w:r w:rsidRPr="257BFE88" w:rsidR="1E2FD2C0">
        <w:rPr>
          <w:rFonts w:ascii="Aptos" w:hAnsi="Aptos" w:eastAsia="Aptos"/>
          <w:b w:val="0"/>
          <w:bCs w:val="0"/>
          <w:i w:val="0"/>
          <w:iCs w:val="0"/>
          <w:noProof w:val="0"/>
          <w:sz w:val="24"/>
          <w:szCs w:val="24"/>
          <w:lang w:val="en-GB"/>
        </w:rPr>
        <w:t xml:space="preserve"> econom</w:t>
      </w:r>
      <w:r w:rsidRPr="257BFE88" w:rsidR="2F7E38C2">
        <w:rPr>
          <w:rFonts w:ascii="Aptos" w:hAnsi="Aptos" w:eastAsia="Aptos"/>
          <w:b w:val="0"/>
          <w:bCs w:val="0"/>
          <w:i w:val="0"/>
          <w:iCs w:val="0"/>
          <w:noProof w:val="0"/>
          <w:sz w:val="24"/>
          <w:szCs w:val="24"/>
          <w:lang w:val="en-GB"/>
        </w:rPr>
        <w:t xml:space="preserve">y </w:t>
      </w:r>
      <w:r w:rsidRPr="257BFE88" w:rsidR="1E2FD2C0">
        <w:rPr>
          <w:rFonts w:ascii="Aptos" w:hAnsi="Aptos" w:eastAsia="Aptos"/>
          <w:b w:val="0"/>
          <w:bCs w:val="0"/>
          <w:i w:val="0"/>
          <w:iCs w:val="0"/>
          <w:noProof w:val="0"/>
          <w:sz w:val="24"/>
          <w:szCs w:val="24"/>
          <w:lang w:val="en-GB"/>
        </w:rPr>
        <w:t xml:space="preserve">and its business model </w:t>
      </w:r>
      <w:r w:rsidRPr="257BFE88" w:rsidR="2D275403">
        <w:rPr>
          <w:rFonts w:ascii="Aptos" w:hAnsi="Aptos" w:eastAsia="Aptos"/>
          <w:b w:val="0"/>
          <w:bCs w:val="0"/>
          <w:i w:val="0"/>
          <w:iCs w:val="0"/>
          <w:noProof w:val="0"/>
          <w:sz w:val="24"/>
          <w:szCs w:val="24"/>
          <w:lang w:val="en-GB"/>
        </w:rPr>
        <w:t xml:space="preserve">have the </w:t>
      </w:r>
      <w:r w:rsidRPr="257BFE88" w:rsidR="59E196F8">
        <w:rPr>
          <w:rFonts w:ascii="Aptos" w:hAnsi="Aptos" w:eastAsia="Aptos"/>
          <w:b w:val="0"/>
          <w:bCs w:val="0"/>
          <w:i w:val="0"/>
          <w:iCs w:val="0"/>
          <w:noProof w:val="0"/>
          <w:sz w:val="24"/>
          <w:szCs w:val="24"/>
          <w:lang w:val="en-GB"/>
        </w:rPr>
        <w:t>strong</w:t>
      </w:r>
      <w:r w:rsidRPr="257BFE88" w:rsidR="2D275403">
        <w:rPr>
          <w:rFonts w:ascii="Aptos" w:hAnsi="Aptos" w:eastAsia="Aptos"/>
          <w:b w:val="0"/>
          <w:bCs w:val="0"/>
          <w:i w:val="0"/>
          <w:iCs w:val="0"/>
          <w:noProof w:val="0"/>
          <w:sz w:val="24"/>
          <w:szCs w:val="24"/>
          <w:lang w:val="en-GB"/>
        </w:rPr>
        <w:t xml:space="preserve">est influence on </w:t>
      </w:r>
      <w:r w:rsidRPr="257BFE88" w:rsidR="1E2FD2C0">
        <w:rPr>
          <w:rFonts w:ascii="Aptos" w:hAnsi="Aptos" w:eastAsia="Aptos"/>
          <w:b w:val="0"/>
          <w:bCs w:val="0"/>
          <w:i w:val="0"/>
          <w:iCs w:val="0"/>
          <w:noProof w:val="0"/>
          <w:sz w:val="24"/>
          <w:szCs w:val="24"/>
          <w:lang w:val="en-GB"/>
        </w:rPr>
        <w:t xml:space="preserve">financial performance. ESG ratings </w:t>
      </w:r>
      <w:r w:rsidRPr="257BFE88" w:rsidR="7DA544B4">
        <w:rPr>
          <w:rFonts w:ascii="Aptos" w:hAnsi="Aptos" w:eastAsia="Aptos"/>
          <w:b w:val="0"/>
          <w:bCs w:val="0"/>
          <w:i w:val="0"/>
          <w:iCs w:val="0"/>
          <w:noProof w:val="0"/>
          <w:sz w:val="24"/>
          <w:szCs w:val="24"/>
          <w:lang w:val="en-GB"/>
        </w:rPr>
        <w:t>still matter</w:t>
      </w:r>
      <w:r w:rsidRPr="257BFE88" w:rsidR="1E2FD2C0">
        <w:rPr>
          <w:rFonts w:ascii="Aptos" w:hAnsi="Aptos" w:eastAsia="Aptos"/>
          <w:b w:val="0"/>
          <w:bCs w:val="0"/>
          <w:i w:val="0"/>
          <w:iCs w:val="0"/>
          <w:noProof w:val="0"/>
          <w:sz w:val="24"/>
          <w:szCs w:val="24"/>
          <w:lang w:val="en-GB"/>
        </w:rPr>
        <w:t xml:space="preserve">, but they are only one of several </w:t>
      </w:r>
      <w:r w:rsidRPr="257BFE88" w:rsidR="1E2FD2C0">
        <w:rPr>
          <w:rFonts w:ascii="Aptos" w:hAnsi="Aptos" w:eastAsia="Aptos"/>
          <w:b w:val="0"/>
          <w:bCs w:val="0"/>
          <w:i w:val="0"/>
          <w:iCs w:val="0"/>
          <w:noProof w:val="0"/>
          <w:sz w:val="24"/>
          <w:szCs w:val="24"/>
          <w:lang w:val="en-GB"/>
        </w:rPr>
        <w:t>influences (</w:t>
      </w:r>
      <w:r w:rsidRPr="08626363" w:rsidR="52576184">
        <w:rPr>
          <w:rFonts w:ascii="Aptos" w:hAnsi="Aptos" w:eastAsia="Aptos" w:cs="Aptos"/>
          <w:noProof w:val="0"/>
          <w:color w:val="000000" w:themeColor="text1" w:themeTint="FF" w:themeShade="FF"/>
          <w:sz w:val="24"/>
          <w:szCs w:val="24"/>
          <w:lang w:val="en-GB"/>
        </w:rPr>
        <w:t>Herman, 2025; Li, 2025)</w:t>
      </w:r>
      <w:r w:rsidRPr="003137A2" w:rsidR="74131136">
        <w:rPr>
          <w:rFonts w:eastAsia="Times New Roman" w:cs="Arial"/>
          <w:color w:val="000000"/>
          <w:kern w:val="0"/>
          <w:lang w:eastAsia="en-GB"/>
          <w14:ligatures w14:val="none"/>
        </w:rPr>
        <w:t>.</w:t>
      </w:r>
    </w:p>
    <w:p w:rsidRPr="003137A2" w:rsidR="003137A2" w:rsidP="08626363" w:rsidRDefault="003137A2" w14:paraId="4F7E4D87" w14:textId="148C5904">
      <w:pPr>
        <w:spacing w:before="240" w:beforeAutospacing="off" w:after="240" w:afterAutospacing="off" w:line="240" w:lineRule="auto"/>
        <w:rPr>
          <w:rFonts w:eastAsia="Times New Roman" w:cs="Arial"/>
          <w:color w:val="000000"/>
          <w:kern w:val="0"/>
          <w:lang w:eastAsia="en-GB"/>
          <w14:ligatures w14:val="none"/>
        </w:rPr>
      </w:pPr>
      <w:r w:rsidRPr="003137A2" w:rsidR="097D170F">
        <w:rPr>
          <w:rFonts w:eastAsia="Times New Roman" w:cs="Arial"/>
          <w:color w:val="000000"/>
          <w:kern w:val="0"/>
          <w:lang w:eastAsia="en-GB"/>
          <w14:ligatures w14:val="none"/>
        </w:rPr>
        <w:t>S</w:t>
      </w:r>
      <w:r w:rsidRPr="003137A2" w:rsidR="74131136">
        <w:rPr>
          <w:rFonts w:eastAsia="Times New Roman" w:cs="Arial"/>
          <w:color w:val="000000"/>
          <w:kern w:val="0"/>
          <w:lang w:eastAsia="en-GB"/>
          <w14:ligatures w14:val="none"/>
        </w:rPr>
        <w:t xml:space="preserve">trategic management </w:t>
      </w:r>
      <w:r w:rsidRPr="003137A2" w:rsidR="3BEC2D9F">
        <w:rPr>
          <w:rFonts w:eastAsia="Times New Roman" w:cs="Arial"/>
          <w:color w:val="000000"/>
          <w:kern w:val="0"/>
          <w:lang w:eastAsia="en-GB"/>
          <w14:ligatures w14:val="none"/>
        </w:rPr>
        <w:t>theory aligns with this finding and</w:t>
      </w:r>
      <w:r w:rsidRPr="003137A2" w:rsidR="04EE7FED">
        <w:rPr>
          <w:rFonts w:eastAsia="Times New Roman" w:cs="Arial"/>
          <w:color w:val="000000"/>
          <w:kern w:val="0"/>
          <w:lang w:eastAsia="en-GB"/>
          <w14:ligatures w14:val="none"/>
        </w:rPr>
        <w:t xml:space="preserve"> </w:t>
      </w:r>
      <w:r w:rsidRPr="003137A2" w:rsidR="66407CBF">
        <w:rPr>
          <w:rFonts w:eastAsia="Times New Roman" w:cs="Arial"/>
          <w:color w:val="000000"/>
          <w:kern w:val="0"/>
          <w:lang w:eastAsia="en-GB"/>
          <w14:ligatures w14:val="none"/>
        </w:rPr>
        <w:t>argues that</w:t>
      </w:r>
      <w:r w:rsidRPr="003137A2" w:rsidR="759BCFC9">
        <w:rPr>
          <w:rFonts w:eastAsia="Times New Roman" w:cs="Arial"/>
          <w:color w:val="000000"/>
          <w:kern w:val="0"/>
          <w:lang w:eastAsia="en-GB"/>
          <w14:ligatures w14:val="none"/>
        </w:rPr>
        <w:t xml:space="preserve"> </w:t>
      </w:r>
      <w:r w:rsidRPr="003137A2" w:rsidR="74131136">
        <w:rPr>
          <w:rFonts w:eastAsia="Times New Roman" w:cs="Arial"/>
          <w:color w:val="000000"/>
          <w:kern w:val="0"/>
          <w:lang w:eastAsia="en-GB"/>
          <w14:ligatures w14:val="none"/>
        </w:rPr>
        <w:t xml:space="preserve">organisational performance </w:t>
      </w:r>
      <w:r w:rsidRPr="003137A2" w:rsidR="7E32DE89">
        <w:rPr>
          <w:rFonts w:eastAsia="Times New Roman" w:cs="Arial"/>
          <w:color w:val="000000"/>
          <w:kern w:val="0"/>
          <w:lang w:eastAsia="en-GB"/>
          <w14:ligatures w14:val="none"/>
        </w:rPr>
        <w:t>depend</w:t>
      </w:r>
      <w:r w:rsidRPr="003137A2" w:rsidR="7677197D">
        <w:rPr>
          <w:rFonts w:eastAsia="Times New Roman" w:cs="Arial"/>
          <w:color w:val="000000"/>
          <w:kern w:val="0"/>
          <w:lang w:eastAsia="en-GB"/>
          <w14:ligatures w14:val="none"/>
        </w:rPr>
        <w:t>s</w:t>
      </w:r>
      <w:r w:rsidRPr="003137A2" w:rsidR="7E32DE89">
        <w:rPr>
          <w:rFonts w:eastAsia="Times New Roman" w:cs="Arial"/>
          <w:color w:val="000000"/>
          <w:kern w:val="0"/>
          <w:lang w:eastAsia="en-GB"/>
          <w14:ligatures w14:val="none"/>
        </w:rPr>
        <w:t xml:space="preserve"> on the</w:t>
      </w:r>
      <w:r w:rsidRPr="003137A2" w:rsidR="74131136">
        <w:rPr>
          <w:rFonts w:eastAsia="Times New Roman" w:cs="Arial"/>
          <w:color w:val="000000"/>
          <w:kern w:val="0"/>
          <w:lang w:eastAsia="en-GB"/>
          <w14:ligatures w14:val="none"/>
        </w:rPr>
        <w:t xml:space="preserve"> interaction of internal </w:t>
      </w:r>
      <w:r w:rsidRPr="003137A2" w:rsidR="70750556">
        <w:rPr>
          <w:rFonts w:eastAsia="Times New Roman" w:cs="Arial"/>
          <w:color w:val="000000"/>
          <w:kern w:val="0"/>
          <w:lang w:eastAsia="en-GB"/>
          <w14:ligatures w14:val="none"/>
        </w:rPr>
        <w:t>strength</w:t>
      </w:r>
      <w:r w:rsidRPr="003137A2" w:rsidR="74131136">
        <w:rPr>
          <w:rFonts w:eastAsia="Times New Roman" w:cs="Arial"/>
          <w:color w:val="000000"/>
          <w:kern w:val="0"/>
          <w:lang w:eastAsia="en-GB"/>
          <w14:ligatures w14:val="none"/>
        </w:rPr>
        <w:t>s, external pressures</w:t>
      </w:r>
      <w:r w:rsidRPr="003137A2" w:rsidR="74131136">
        <w:rPr>
          <w:rFonts w:eastAsia="Times New Roman" w:cs="Arial"/>
          <w:color w:val="000000"/>
          <w:kern w:val="0"/>
          <w:lang w:eastAsia="en-GB"/>
          <w14:ligatures w14:val="none"/>
        </w:rPr>
        <w:t xml:space="preserve"> and</w:t>
      </w:r>
      <w:r w:rsidRPr="003137A2" w:rsidR="74131136">
        <w:rPr>
          <w:rFonts w:eastAsia="Times New Roman" w:cs="Arial"/>
          <w:color w:val="000000"/>
          <w:kern w:val="0"/>
          <w:lang w:eastAsia="en-GB"/>
          <w14:ligatures w14:val="none"/>
        </w:rPr>
        <w:t xml:space="preserve"> market structure</w:t>
      </w:r>
      <w:r w:rsidRPr="003137A2" w:rsidR="612C5105">
        <w:rPr>
          <w:rFonts w:eastAsia="Times New Roman" w:cs="Arial"/>
          <w:color w:val="000000"/>
          <w:kern w:val="0"/>
          <w:lang w:eastAsia="en-GB"/>
          <w14:ligatures w14:val="none"/>
        </w:rPr>
        <w:t xml:space="preserve"> and </w:t>
      </w:r>
      <w:r w:rsidRPr="003137A2" w:rsidR="74131136">
        <w:rPr>
          <w:rFonts w:eastAsia="Times New Roman" w:cs="Arial"/>
          <w:color w:val="000000"/>
          <w:kern w:val="0"/>
          <w:lang w:eastAsia="en-GB"/>
          <w14:ligatures w14:val="none"/>
        </w:rPr>
        <w:t xml:space="preserve">not from any single </w:t>
      </w:r>
      <w:r w:rsidRPr="003137A2" w:rsidR="1808C1C0">
        <w:rPr>
          <w:rFonts w:eastAsia="Times New Roman" w:cs="Arial"/>
          <w:color w:val="000000"/>
          <w:kern w:val="0"/>
          <w:lang w:eastAsia="en-GB"/>
          <w14:ligatures w14:val="none"/>
        </w:rPr>
        <w:t xml:space="preserve">factor </w:t>
      </w:r>
      <w:r w:rsidRPr="08626363" w:rsidR="21D3D020">
        <w:rPr>
          <w:rFonts w:ascii="Aptos" w:hAnsi="Aptos" w:eastAsia="Aptos" w:cs="Aptos"/>
          <w:noProof w:val="0"/>
          <w:color w:val="000000" w:themeColor="text1" w:themeTint="FF" w:themeShade="FF"/>
          <w:sz w:val="24"/>
          <w:szCs w:val="24"/>
          <w:lang w:val="en-GB"/>
        </w:rPr>
        <w:t>(</w:t>
      </w:r>
      <w:r w:rsidRPr="08626363" w:rsidR="21D3D020">
        <w:rPr>
          <w:rFonts w:ascii="Aptos" w:hAnsi="Aptos" w:eastAsia="Aptos" w:cs="Aptos"/>
          <w:noProof w:val="0"/>
          <w:color w:val="000000" w:themeColor="text1" w:themeTint="FF" w:themeShade="FF"/>
          <w:sz w:val="24"/>
          <w:szCs w:val="24"/>
          <w:lang w:val="en-GB"/>
        </w:rPr>
        <w:t>Riefolo</w:t>
      </w:r>
      <w:r w:rsidRPr="08626363" w:rsidR="21D3D020">
        <w:rPr>
          <w:rFonts w:ascii="Aptos" w:hAnsi="Aptos" w:eastAsia="Aptos" w:cs="Aptos"/>
          <w:noProof w:val="0"/>
          <w:color w:val="000000" w:themeColor="text1" w:themeTint="FF" w:themeShade="FF"/>
          <w:sz w:val="24"/>
          <w:szCs w:val="24"/>
          <w:lang w:val="en-GB"/>
        </w:rPr>
        <w:t>, 2026)</w:t>
      </w:r>
      <w:r w:rsidRPr="003137A2" w:rsidR="74131136">
        <w:rPr>
          <w:rFonts w:eastAsia="Times New Roman" w:cs="Arial"/>
          <w:color w:val="000000"/>
          <w:kern w:val="0"/>
          <w:lang w:eastAsia="en-GB"/>
          <w14:ligatures w14:val="none"/>
        </w:rPr>
        <w:t xml:space="preserve">.</w:t>
      </w:r>
      <w:r w:rsidRPr="003137A2" w:rsidR="74131136">
        <w:rPr>
          <w:rFonts w:eastAsia="Times New Roman" w:cs="Arial"/>
          <w:color w:val="000000"/>
          <w:kern w:val="0"/>
          <w:lang w:eastAsia="en-GB"/>
          <w14:ligatures w14:val="none"/>
        </w:rPr>
        <w:t xml:space="preserve"> E</w:t>
      </w:r>
      <w:r w:rsidRPr="003137A2" w:rsidR="74131136">
        <w:rPr>
          <w:rFonts w:eastAsia="Times New Roman" w:cs="Arial"/>
          <w:color w:val="000000"/>
          <w:kern w:val="0"/>
          <w:lang w:eastAsia="en-GB"/>
          <w14:ligatures w14:val="none"/>
        </w:rPr>
        <w:t xml:space="preserve">SG scores</w:t>
      </w:r>
      <w:r w:rsidRPr="003137A2" w:rsidR="74131136">
        <w:rPr>
          <w:rFonts w:eastAsia="Times New Roman" w:cs="Arial"/>
          <w:color w:val="000000"/>
          <w:kern w:val="0"/>
          <w:lang w:eastAsia="en-GB"/>
          <w14:ligatures w14:val="none"/>
        </w:rPr>
        <w:t xml:space="preserve"> therefore</w:t>
      </w:r>
      <w:r w:rsidRPr="003137A2" w:rsidR="74131136">
        <w:rPr>
          <w:rFonts w:eastAsia="Times New Roman" w:cs="Arial"/>
          <w:color w:val="000000"/>
          <w:kern w:val="0"/>
          <w:lang w:eastAsia="en-GB"/>
          <w14:ligatures w14:val="none"/>
        </w:rPr>
        <w:t xml:space="preserve"> contribu</w:t>
      </w:r>
      <w:r w:rsidRPr="003137A2" w:rsidR="74131136">
        <w:rPr>
          <w:rFonts w:eastAsia="Times New Roman" w:cs="Arial"/>
          <w:color w:val="000000"/>
          <w:kern w:val="0"/>
          <w:lang w:eastAsia="en-GB"/>
          <w14:ligatures w14:val="none"/>
        </w:rPr>
        <w:t xml:space="preserve">te to, but do not </w:t>
      </w:r>
      <w:r w:rsidRPr="003137A2" w:rsidR="74131136">
        <w:rPr>
          <w:rFonts w:eastAsia="Times New Roman" w:cs="Arial"/>
          <w:color w:val="000000"/>
          <w:kern w:val="0"/>
          <w:lang w:eastAsia="en-GB"/>
          <w14:ligatures w14:val="none"/>
        </w:rPr>
        <w:t>determine</w:t>
      </w:r>
      <w:r w:rsidRPr="003137A2" w:rsidR="74131136">
        <w:rPr>
          <w:rFonts w:eastAsia="Times New Roman" w:cs="Arial"/>
          <w:color w:val="000000"/>
          <w:kern w:val="0"/>
          <w:lang w:eastAsia="en-GB"/>
          <w14:ligatures w14:val="none"/>
        </w:rPr>
        <w:t xml:space="preserve"> investor decision making or valuation</w:t>
      </w:r>
      <w:r w:rsidRPr="003137A2" w:rsidR="4CEBCDC3">
        <w:rPr>
          <w:rFonts w:eastAsia="Times New Roman" w:cs="Arial"/>
          <w:color w:val="000000"/>
          <w:kern w:val="0"/>
          <w:lang w:eastAsia="en-GB"/>
          <w14:ligatures w14:val="none"/>
        </w:rPr>
        <w:t xml:space="preserve"> </w:t>
      </w:r>
      <w:r w:rsidRPr="08626363" w:rsidR="4CEBCDC3">
        <w:rPr>
          <w:rFonts w:ascii="Aptos" w:hAnsi="Aptos" w:eastAsia="Aptos" w:cs="Aptos"/>
          <w:noProof w:val="0"/>
          <w:color w:val="000000" w:themeColor="text1" w:themeTint="FF" w:themeShade="FF"/>
          <w:sz w:val="24"/>
          <w:szCs w:val="24"/>
          <w:lang w:val="en-GB"/>
        </w:rPr>
        <w:t>(Dincă, 2025; Taskin, 2025)</w:t>
      </w:r>
      <w:r w:rsidRPr="003137A2" w:rsidR="74131136">
        <w:rPr>
          <w:rFonts w:eastAsia="Times New Roman" w:cs="Arial"/>
          <w:color w:val="000000"/>
          <w:kern w:val="0"/>
          <w:lang w:eastAsia="en-GB"/>
          <w14:ligatures w14:val="none"/>
        </w:rPr>
        <w:t>.</w:t>
      </w:r>
    </w:p>
    <w:p w:rsidRPr="003137A2" w:rsidR="003137A2" w:rsidP="003137A2" w:rsidRDefault="003137A2" w14:paraId="3B711454" w14:textId="77777777">
      <w:pPr>
        <w:spacing w:before="240" w:after="240" w:line="240" w:lineRule="auto"/>
        <w:rPr>
          <w:rFonts w:ascii="Arial" w:hAnsi="Arial" w:eastAsia="Times New Roman" w:cs="Arial"/>
          <w:color w:val="000000"/>
          <w:kern w:val="0"/>
          <w:lang w:eastAsia="en-GB"/>
          <w14:ligatures w14:val="none"/>
        </w:rPr>
      </w:pPr>
    </w:p>
    <w:p w:rsidRPr="003137A2" w:rsidR="003137A2" w:rsidP="257BFE88" w:rsidRDefault="003137A2" w14:paraId="7C259DA6" w14:textId="77777777">
      <w:pPr>
        <w:keepNext w:val="1"/>
        <w:keepLines w:val="1"/>
        <w:spacing w:before="160" w:after="80"/>
        <w:outlineLvl w:val="1"/>
        <w:rPr>
          <w:rFonts w:ascii="Aptos Display" w:hAnsi="Aptos Display" w:eastAsia="Times New Roman" w:cs="" w:asciiTheme="majorAscii" w:hAnsiTheme="majorAscii" w:cstheme="majorBidi"/>
          <w:color w:val="0F4761" w:themeColor="accent1" w:themeShade="BF"/>
          <w:sz w:val="32"/>
          <w:szCs w:val="32"/>
          <w:lang w:eastAsia="en-GB"/>
        </w:rPr>
      </w:pPr>
      <w:bookmarkStart w:name="_Toc293490165" w:id="1053268273"/>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5.2 Media Influence and the Formation of the Research Question</w:t>
      </w:r>
      <w:bookmarkEnd w:id="1053268273"/>
    </w:p>
    <w:p w:rsidRPr="003137A2" w:rsidR="003137A2" w:rsidP="003137A2" w:rsidRDefault="003137A2" w14:paraId="4A1DDFEA" w14:textId="1202755E">
      <w:pPr>
        <w:spacing w:before="240" w:after="240" w:line="240" w:lineRule="auto"/>
        <w:rPr>
          <w:rFonts w:eastAsia="Times New Roman" w:cs="Arial"/>
          <w:color w:val="000000"/>
          <w:kern w:val="0"/>
          <w:lang w:eastAsia="en-GB"/>
          <w14:ligatures w14:val="none"/>
        </w:rPr>
      </w:pPr>
      <w:r w:rsidRPr="257BFE88" w:rsidR="48D5DF40">
        <w:rPr>
          <w:rFonts w:eastAsia="Times New Roman" w:cs="Arial"/>
          <w:color w:val="000000" w:themeColor="text1" w:themeTint="FF" w:themeShade="FF"/>
          <w:lang w:eastAsia="en-GB"/>
        </w:rPr>
        <w:t xml:space="preserve">The </w:t>
      </w:r>
      <w:r w:rsidRPr="257BFE88" w:rsidR="48D5DF40">
        <w:rPr>
          <w:rFonts w:eastAsia="Times New Roman" w:cs="Arial"/>
          <w:color w:val="000000" w:themeColor="text1" w:themeTint="FF" w:themeShade="FF"/>
          <w:lang w:eastAsia="en-GB"/>
        </w:rPr>
        <w:t>initial</w:t>
      </w:r>
      <w:r w:rsidRPr="257BFE88" w:rsidR="48D5DF40">
        <w:rPr>
          <w:rFonts w:eastAsia="Times New Roman" w:cs="Arial"/>
          <w:color w:val="000000" w:themeColor="text1" w:themeTint="FF" w:themeShade="FF"/>
          <w:lang w:eastAsia="en-GB"/>
        </w:rPr>
        <w:t xml:space="preserve"> research question came after</w:t>
      </w:r>
      <w:r w:rsidRPr="257BFE88" w:rsidR="48D5DF40">
        <w:rPr>
          <w:rFonts w:eastAsia="Times New Roman" w:cs="Arial"/>
          <w:color w:val="000000" w:themeColor="text1" w:themeTint="FF" w:themeShade="FF"/>
          <w:lang w:eastAsia="en-GB"/>
        </w:rPr>
        <w:t xml:space="preserve"> </w:t>
      </w:r>
      <w:r w:rsidRPr="257BFE88" w:rsidR="48D5DF40">
        <w:rPr>
          <w:rFonts w:eastAsia="Times New Roman" w:cs="Arial"/>
          <w:color w:val="000000" w:themeColor="text1" w:themeTint="FF" w:themeShade="FF"/>
          <w:lang w:eastAsia="en-GB"/>
        </w:rPr>
        <w:t>personal investment researc</w:t>
      </w:r>
      <w:r w:rsidRPr="257BFE88" w:rsidR="48D5DF40">
        <w:rPr>
          <w:rFonts w:eastAsia="Times New Roman" w:cs="Arial"/>
          <w:color w:val="000000" w:themeColor="text1" w:themeTint="FF" w:themeShade="FF"/>
          <w:lang w:eastAsia="en-GB"/>
        </w:rPr>
        <w:t xml:space="preserve">h </w:t>
      </w:r>
      <w:r w:rsidRPr="257BFE88" w:rsidR="3E69DBE5">
        <w:rPr>
          <w:rFonts w:eastAsia="Times New Roman" w:cs="Arial"/>
          <w:color w:val="000000" w:themeColor="text1" w:themeTint="FF" w:themeShade="FF"/>
          <w:lang w:eastAsia="en-GB"/>
        </w:rPr>
        <w:t>attracte</w:t>
      </w:r>
      <w:r w:rsidRPr="257BFE88" w:rsidR="3E69DBE5">
        <w:rPr>
          <w:rFonts w:eastAsia="Times New Roman" w:cs="Arial"/>
          <w:color w:val="000000" w:themeColor="text1" w:themeTint="FF" w:themeShade="FF"/>
          <w:lang w:eastAsia="en-GB"/>
        </w:rPr>
        <w:t>d</w:t>
      </w:r>
      <w:r w:rsidRPr="257BFE88" w:rsidR="48D5DF40">
        <w:rPr>
          <w:rFonts w:eastAsia="Times New Roman" w:cs="Arial"/>
          <w:color w:val="000000" w:themeColor="text1" w:themeTint="FF" w:themeShade="FF"/>
          <w:lang w:eastAsia="en-GB"/>
        </w:rPr>
        <w:t xml:space="preserve"> </w:t>
      </w:r>
      <w:r w:rsidRPr="257BFE88" w:rsidR="45C0F103">
        <w:rPr>
          <w:rFonts w:eastAsia="Times New Roman" w:cs="Arial"/>
          <w:color w:val="000000" w:themeColor="text1" w:themeTint="FF" w:themeShade="FF"/>
          <w:lang w:eastAsia="en-GB"/>
        </w:rPr>
        <w:t>n</w:t>
      </w:r>
      <w:r w:rsidRPr="257BFE88" w:rsidR="45C0F103">
        <w:rPr>
          <w:rFonts w:eastAsia="Times New Roman" w:cs="Arial"/>
          <w:color w:val="000000" w:themeColor="text1" w:themeTint="FF" w:themeShade="FF"/>
          <w:lang w:eastAsia="en-GB"/>
        </w:rPr>
        <w:t>umerous</w:t>
      </w:r>
      <w:r w:rsidRPr="257BFE88" w:rsidR="48D5DF40">
        <w:rPr>
          <w:rFonts w:eastAsia="Times New Roman" w:cs="Arial"/>
          <w:color w:val="000000" w:themeColor="text1" w:themeTint="FF" w:themeShade="FF"/>
          <w:lang w:eastAsia="en-GB"/>
        </w:rPr>
        <w:t xml:space="preserve"> </w:t>
      </w:r>
      <w:r w:rsidRPr="257BFE88" w:rsidR="48D5DF40">
        <w:rPr>
          <w:rFonts w:eastAsia="Times New Roman" w:cs="Arial"/>
          <w:color w:val="000000" w:themeColor="text1" w:themeTint="FF" w:themeShade="FF"/>
          <w:lang w:eastAsia="en-GB"/>
        </w:rPr>
        <w:t>report</w:t>
      </w:r>
      <w:r w:rsidRPr="257BFE88" w:rsidR="6382FC4D">
        <w:rPr>
          <w:rFonts w:eastAsia="Times New Roman" w:cs="Arial"/>
          <w:color w:val="000000" w:themeColor="text1" w:themeTint="FF" w:themeShade="FF"/>
          <w:lang w:eastAsia="en-GB"/>
        </w:rPr>
        <w:t>s</w:t>
      </w:r>
      <w:r w:rsidRPr="257BFE88" w:rsidR="48D5DF40">
        <w:rPr>
          <w:rFonts w:eastAsia="Times New Roman" w:cs="Arial"/>
          <w:color w:val="000000" w:themeColor="text1" w:themeTint="FF" w:themeShade="FF"/>
          <w:lang w:eastAsia="en-GB"/>
        </w:rPr>
        <w:t xml:space="preserve"> on BlackRock, Larry Fink</w:t>
      </w:r>
      <w:r w:rsidRPr="257BFE88" w:rsidR="48D5DF40">
        <w:rPr>
          <w:rFonts w:eastAsia="Times New Roman" w:cs="Arial"/>
          <w:color w:val="000000" w:themeColor="text1" w:themeTint="FF" w:themeShade="FF"/>
          <w:lang w:eastAsia="en-GB"/>
        </w:rPr>
        <w:t xml:space="preserve"> and</w:t>
      </w:r>
      <w:r w:rsidRPr="257BFE88" w:rsidR="48D5DF40">
        <w:rPr>
          <w:rFonts w:eastAsia="Times New Roman" w:cs="Arial"/>
          <w:color w:val="000000" w:themeColor="text1" w:themeTint="FF" w:themeShade="FF"/>
          <w:lang w:eastAsia="en-GB"/>
        </w:rPr>
        <w:t xml:space="preserve"> ESG scoring systems</w:t>
      </w:r>
      <w:r w:rsidRPr="257BFE88" w:rsidR="33032E11">
        <w:rPr>
          <w:rFonts w:eastAsia="Times New Roman" w:cs="Arial"/>
          <w:color w:val="000000" w:themeColor="text1" w:themeTint="FF" w:themeShade="FF"/>
          <w:lang w:eastAsia="en-GB"/>
        </w:rPr>
        <w:t>.</w:t>
      </w:r>
      <w:r w:rsidRPr="257BFE88" w:rsidR="78D847D4">
        <w:rPr>
          <w:rFonts w:eastAsia="Times New Roman" w:cs="Arial"/>
          <w:color w:val="000000" w:themeColor="text1" w:themeTint="FF" w:themeShade="FF"/>
          <w:lang w:eastAsia="en-GB"/>
        </w:rPr>
        <w:t xml:space="preserve"> Many of the reports were </w:t>
      </w:r>
      <w:r w:rsidRPr="257BFE88" w:rsidR="78D847D4">
        <w:rPr>
          <w:rFonts w:eastAsia="Times New Roman" w:cs="Arial"/>
          <w:color w:val="000000" w:themeColor="text1" w:themeTint="FF" w:themeShade="FF"/>
          <w:lang w:eastAsia="en-GB"/>
        </w:rPr>
        <w:t>very critical</w:t>
      </w:r>
      <w:r w:rsidRPr="257BFE88" w:rsidR="78D847D4">
        <w:rPr>
          <w:rFonts w:eastAsia="Times New Roman" w:cs="Arial"/>
          <w:color w:val="000000" w:themeColor="text1" w:themeTint="FF" w:themeShade="FF"/>
          <w:lang w:eastAsia="en-GB"/>
        </w:rPr>
        <w:t xml:space="preserve"> and negative toward the company, Fink and ESG scoring systems. </w:t>
      </w:r>
      <w:r w:rsidRPr="08626363" w:rsidR="74131136">
        <w:rPr>
          <w:rFonts w:eastAsia="Times New Roman" w:cs="Arial"/>
          <w:color w:val="000000"/>
          <w:kern w:val="0"/>
          <w:lang w:eastAsia="en-GB"/>
          <w14:ligatures w14:val="none"/>
        </w:rPr>
        <w:t xml:space="preserve">Although it was </w:t>
      </w:r>
      <w:r w:rsidRPr="08626363" w:rsidR="74131136">
        <w:rPr>
          <w:rFonts w:eastAsia="Times New Roman" w:cs="Arial"/>
          <w:color w:val="000000"/>
          <w:kern w:val="0"/>
          <w:lang w:eastAsia="en-GB"/>
          <w14:ligatures w14:val="none"/>
        </w:rPr>
        <w:t>evident</w:t>
      </w:r>
      <w:r w:rsidRPr="08626363" w:rsidR="74131136">
        <w:rPr>
          <w:rFonts w:eastAsia="Times New Roman" w:cs="Arial"/>
          <w:color w:val="000000"/>
          <w:kern w:val="0"/>
          <w:lang w:eastAsia="en-GB"/>
          <w14:ligatures w14:val="none"/>
        </w:rPr>
        <w:t xml:space="preserve"> that much of </w:t>
      </w:r>
      <w:r w:rsidRPr="08626363" w:rsidR="2C3F55C6">
        <w:rPr>
          <w:rFonts w:eastAsia="Times New Roman" w:cs="Arial"/>
          <w:color w:val="000000"/>
          <w:kern w:val="0"/>
          <w:lang w:eastAsia="en-GB"/>
          <w14:ligatures w14:val="none"/>
        </w:rPr>
        <w:t xml:space="preserve">received </w:t>
      </w:r>
      <w:r w:rsidRPr="08626363" w:rsidR="74131136">
        <w:rPr>
          <w:rFonts w:eastAsia="Times New Roman" w:cs="Arial"/>
          <w:color w:val="000000"/>
          <w:kern w:val="0"/>
          <w:lang w:eastAsia="en-GB"/>
          <w14:ligatures w14:val="none"/>
        </w:rPr>
        <w:t>material lacked accuracy, it repeated</w:t>
      </w:r>
      <w:r w:rsidRPr="08626363" w:rsidR="4B9BD197">
        <w:rPr>
          <w:rFonts w:eastAsia="Times New Roman" w:cs="Arial"/>
          <w:color w:val="000000"/>
          <w:kern w:val="0"/>
          <w:lang w:eastAsia="en-GB"/>
          <w14:ligatures w14:val="none"/>
        </w:rPr>
        <w:t>ly</w:t>
      </w:r>
      <w:r w:rsidRPr="08626363" w:rsidR="74131136">
        <w:rPr>
          <w:rFonts w:eastAsia="Times New Roman" w:cs="Arial"/>
          <w:color w:val="000000"/>
          <w:kern w:val="0"/>
          <w:lang w:eastAsia="en-GB"/>
          <w14:ligatures w14:val="none"/>
        </w:rPr>
        <w:t xml:space="preserve"> </w:t>
      </w:r>
      <w:r w:rsidRPr="08626363" w:rsidR="78E22B20">
        <w:rPr>
          <w:rFonts w:eastAsia="Times New Roman" w:cs="Arial"/>
          <w:color w:val="000000"/>
          <w:kern w:val="0"/>
          <w:lang w:eastAsia="en-GB"/>
          <w14:ligatures w14:val="none"/>
        </w:rPr>
        <w:t xml:space="preserve">being received </w:t>
      </w:r>
      <w:r w:rsidRPr="08626363" w:rsidR="35FD7067">
        <w:rPr>
          <w:rFonts w:eastAsia="Times New Roman" w:cs="Arial"/>
          <w:color w:val="000000"/>
          <w:kern w:val="0"/>
          <w:lang w:eastAsia="en-GB"/>
          <w14:ligatures w14:val="none"/>
        </w:rPr>
        <w:t xml:space="preserve">contributed</w:t>
      </w:r>
      <w:r w:rsidRPr="08626363" w:rsidR="74131136">
        <w:rPr>
          <w:rFonts w:eastAsia="Times New Roman" w:cs="Arial"/>
          <w:color w:val="000000"/>
          <w:kern w:val="0"/>
          <w:lang w:eastAsia="en-GB"/>
          <w14:ligatures w14:val="none"/>
        </w:rPr>
        <w:t xml:space="preserve"> to the </w:t>
      </w:r>
      <w:r w:rsidRPr="08626363" w:rsidR="74131136">
        <w:rPr>
          <w:rFonts w:eastAsia="Times New Roman" w:cs="Arial"/>
          <w:color w:val="000000"/>
          <w:kern w:val="0"/>
          <w:lang w:eastAsia="en-GB"/>
          <w14:ligatures w14:val="none"/>
        </w:rPr>
        <w:t>perception</w:t>
      </w:r>
      <w:r w:rsidRPr="08626363" w:rsidR="74131136">
        <w:rPr>
          <w:rFonts w:eastAsia="Times New Roman" w:cs="Arial"/>
          <w:color w:val="000000"/>
          <w:kern w:val="0"/>
          <w:lang w:eastAsia="en-GB"/>
          <w14:ligatures w14:val="none"/>
        </w:rPr>
        <w:t xml:space="preserve"> that ESG scoring and BlackRock had developed a system that disproportionately </w:t>
      </w:r>
      <w:r w:rsidRPr="08626363" w:rsidR="74131136">
        <w:rPr>
          <w:rFonts w:eastAsia="Times New Roman" w:cs="Arial"/>
          <w:color w:val="000000"/>
          <w:kern w:val="0"/>
          <w:lang w:eastAsia="en-GB"/>
          <w14:ligatures w14:val="none"/>
        </w:rPr>
        <w:t>benefited</w:t>
      </w:r>
      <w:r w:rsidRPr="08626363" w:rsidR="74131136">
        <w:rPr>
          <w:rFonts w:eastAsia="Times New Roman" w:cs="Arial"/>
          <w:color w:val="000000"/>
          <w:kern w:val="0"/>
          <w:lang w:eastAsia="en-GB"/>
          <w14:ligatures w14:val="none"/>
        </w:rPr>
        <w:t xml:space="preserve"> their own interests.</w:t>
      </w:r>
      <w:r w:rsidRPr="003137A2" w:rsidR="74131136">
        <w:rPr>
          <w:rFonts w:eastAsia="Times New Roman" w:cs="Arial"/>
          <w:color w:val="000000"/>
          <w:kern w:val="0"/>
          <w:lang w:eastAsia="en-GB"/>
          <w14:ligatures w14:val="none"/>
        </w:rPr>
        <w:t xml:space="preserve"> </w:t>
      </w:r>
    </w:p>
    <w:p w:rsidR="25EA2B55" w:rsidP="257BFE88" w:rsidRDefault="25EA2B55" w14:paraId="4B64E276" w14:textId="541364EB">
      <w:pPr>
        <w:spacing w:before="240" w:after="240" w:line="240" w:lineRule="auto"/>
        <w:rPr>
          <w:rFonts w:eastAsia="Times New Roman" w:cs="Arial"/>
          <w:color w:val="000000" w:themeColor="text1" w:themeTint="FF" w:themeShade="FF"/>
          <w:lang w:eastAsia="en-GB"/>
        </w:rPr>
      </w:pPr>
      <w:r w:rsidRPr="257BFE88" w:rsidR="25EA2B55">
        <w:rPr>
          <w:rFonts w:eastAsia="Times New Roman" w:cs="Arial"/>
          <w:color w:val="000000" w:themeColor="text1" w:themeTint="FF" w:themeShade="FF"/>
          <w:lang w:eastAsia="en-GB"/>
        </w:rPr>
        <w:t>In today’s algorithm</w:t>
      </w:r>
      <w:r w:rsidRPr="257BFE88" w:rsidR="25EA2B55">
        <w:rPr>
          <w:rFonts w:eastAsia="Times New Roman" w:cs="Cambria Math"/>
          <w:color w:val="000000" w:themeColor="text1" w:themeTint="FF" w:themeShade="FF"/>
          <w:lang w:eastAsia="en-GB"/>
        </w:rPr>
        <w:t xml:space="preserve"> </w:t>
      </w:r>
      <w:r w:rsidRPr="257BFE88" w:rsidR="25EA2B55">
        <w:rPr>
          <w:rFonts w:eastAsia="Times New Roman" w:cs="Arial"/>
          <w:color w:val="000000" w:themeColor="text1" w:themeTint="FF" w:themeShade="FF"/>
          <w:lang w:eastAsia="en-GB"/>
        </w:rPr>
        <w:t>led social media environment, personalised content feeds tend to increase levels of contentious information, often prioritising negative assessments, misinformation, or conspiracy</w:t>
      </w:r>
      <w:r w:rsidRPr="257BFE88" w:rsidR="25EA2B55">
        <w:rPr>
          <w:rFonts w:ascii="Cambria Math" w:hAnsi="Cambria Math" w:eastAsia="Times New Roman" w:cs="Cambria Math"/>
          <w:color w:val="000000" w:themeColor="text1" w:themeTint="FF" w:themeShade="FF"/>
          <w:lang w:eastAsia="en-GB"/>
        </w:rPr>
        <w:t xml:space="preserve"> </w:t>
      </w:r>
      <w:r w:rsidRPr="257BFE88" w:rsidR="25EA2B55">
        <w:rPr>
          <w:rFonts w:eastAsia="Times New Roman" w:cs="Arial"/>
          <w:color w:val="000000" w:themeColor="text1" w:themeTint="FF" w:themeShade="FF"/>
          <w:lang w:eastAsia="en-GB"/>
        </w:rPr>
        <w:t>based commentary (Cinelli et al., 2021; Guess et al., 2023).</w:t>
      </w:r>
    </w:p>
    <w:p w:rsidRPr="003137A2" w:rsidR="003137A2" w:rsidP="003137A2" w:rsidRDefault="003137A2" w14:paraId="77240286" w14:textId="217BC7DC">
      <w:pPr>
        <w:spacing w:before="240" w:after="240" w:line="240" w:lineRule="auto"/>
        <w:rPr>
          <w:rFonts w:eastAsia="Times New Roman" w:cs="Arial"/>
          <w:color w:val="000000"/>
          <w:kern w:val="0"/>
          <w:lang w:eastAsia="en-GB"/>
          <w14:ligatures w14:val="none"/>
        </w:rPr>
      </w:pPr>
      <w:r w:rsidRPr="003137A2" w:rsidR="6D7FFB3E">
        <w:rPr>
          <w:rFonts w:eastAsia="Times New Roman" w:cs="Arial"/>
          <w:color w:val="000000"/>
          <w:kern w:val="0"/>
          <w:lang w:eastAsia="en-GB"/>
          <w14:ligatures w14:val="none"/>
        </w:rPr>
        <w:t xml:space="preserve">Truly independent media is increasingly rare</w:t>
      </w:r>
      <w:r w:rsidRPr="003137A2" w:rsidR="686AB30B">
        <w:rPr>
          <w:rFonts w:eastAsia="Times New Roman" w:cs="Arial"/>
          <w:color w:val="000000"/>
          <w:kern w:val="0"/>
          <w:lang w:eastAsia="en-GB"/>
          <w14:ligatures w14:val="none"/>
        </w:rPr>
        <w:t xml:space="preserve">. D</w:t>
      </w:r>
      <w:r w:rsidRPr="003137A2" w:rsidR="6D7FFB3E">
        <w:rPr>
          <w:rFonts w:eastAsia="Times New Roman" w:cs="Arial"/>
          <w:color w:val="000000"/>
          <w:kern w:val="0"/>
          <w:lang w:eastAsia="en-GB"/>
          <w14:ligatures w14:val="none"/>
        </w:rPr>
        <w:t xml:space="preserve">igital information</w:t>
      </w:r>
      <w:r w:rsidRPr="003137A2" w:rsidR="6B27329F">
        <w:rPr>
          <w:rFonts w:eastAsia="Times New Roman" w:cs="Arial"/>
          <w:color w:val="000000"/>
          <w:kern w:val="0"/>
          <w:lang w:eastAsia="en-GB"/>
          <w14:ligatures w14:val="none"/>
        </w:rPr>
        <w:t xml:space="preserve"> is</w:t>
      </w:r>
      <w:r w:rsidRPr="003137A2" w:rsidR="6D7FFB3E">
        <w:rPr>
          <w:rFonts w:eastAsia="Times New Roman" w:cs="Arial"/>
          <w:color w:val="000000"/>
          <w:kern w:val="0"/>
          <w:lang w:eastAsia="en-GB"/>
          <w14:ligatures w14:val="none"/>
        </w:rPr>
        <w:t xml:space="preserve"> informed by commercial incentives, </w:t>
      </w:r>
      <w:r w:rsidRPr="003137A2" w:rsidR="291D1111">
        <w:rPr>
          <w:rFonts w:eastAsia="Times New Roman" w:cs="Arial"/>
          <w:color w:val="000000"/>
          <w:kern w:val="0"/>
          <w:lang w:eastAsia="en-GB"/>
          <w14:ligatures w14:val="none"/>
        </w:rPr>
        <w:t xml:space="preserve">by </w:t>
      </w:r>
      <w:r w:rsidRPr="003137A2" w:rsidR="6D7FFB3E">
        <w:rPr>
          <w:rFonts w:eastAsia="Times New Roman" w:cs="Arial"/>
          <w:color w:val="000000"/>
          <w:kern w:val="0"/>
          <w:lang w:eastAsia="en-GB"/>
          <w14:ligatures w14:val="none"/>
        </w:rPr>
        <w:t xml:space="preserve">political pressures</w:t>
      </w:r>
      <w:r w:rsidRPr="003137A2" w:rsidR="6D7FFB3E">
        <w:rPr>
          <w:rFonts w:eastAsia="Times New Roman" w:cs="Arial"/>
          <w:color w:val="000000"/>
          <w:kern w:val="0"/>
          <w:lang w:eastAsia="en-GB"/>
          <w14:ligatures w14:val="none"/>
        </w:rPr>
        <w:t xml:space="preserve"> and</w:t>
      </w:r>
      <w:r w:rsidRPr="003137A2" w:rsidR="6D7FFB3E">
        <w:rPr>
          <w:rFonts w:eastAsia="Times New Roman" w:cs="Arial"/>
          <w:color w:val="000000"/>
          <w:kern w:val="0"/>
          <w:lang w:eastAsia="en-GB"/>
          <w14:ligatures w14:val="none"/>
        </w:rPr>
        <w:t xml:space="preserve"> algorithm</w:t>
      </w:r>
      <w:r w:rsidRPr="003137A2" w:rsidR="534DAA60">
        <w:rPr>
          <w:rFonts w:eastAsia="Times New Roman" w:cs="Arial"/>
          <w:color w:val="000000"/>
          <w:kern w:val="0"/>
          <w:lang w:eastAsia="en-GB"/>
          <w14:ligatures w14:val="none"/>
        </w:rPr>
        <w:t xml:space="preserve">s in</w:t>
      </w:r>
      <w:r w:rsidRPr="003137A2" w:rsidR="6D7FFB3E">
        <w:rPr>
          <w:rFonts w:eastAsia="Times New Roman" w:cs="Arial"/>
          <w:color w:val="000000"/>
          <w:kern w:val="0"/>
          <w:lang w:eastAsia="en-GB"/>
          <w14:ligatures w14:val="none"/>
        </w:rPr>
        <w:t xml:space="preserve"> distribution systems </w:t>
      </w:r>
      <w:r w:rsidRPr="003137A2" w:rsidR="37417FCF">
        <w:rPr>
          <w:rFonts w:eastAsia="Times New Roman" w:cs="Arial"/>
          <w:color w:val="000000"/>
          <w:kern w:val="0"/>
          <w:lang w:eastAsia="en-GB"/>
          <w14:ligatures w14:val="none"/>
        </w:rPr>
        <w:t xml:space="preserve">aiming to increase</w:t>
      </w:r>
      <w:r w:rsidRPr="003137A2" w:rsidR="6D7FFB3E">
        <w:rPr>
          <w:rFonts w:eastAsia="Times New Roman" w:cs="Arial"/>
          <w:color w:val="000000"/>
          <w:kern w:val="0"/>
          <w:lang w:eastAsia="en-GB"/>
          <w14:ligatures w14:val="none"/>
        </w:rPr>
        <w:t xml:space="preserve"> engagement </w:t>
      </w:r>
      <w:r w:rsidRPr="003137A2" w:rsidR="2006AB02">
        <w:rPr>
          <w:rFonts w:eastAsia="Times New Roman" w:cs="Arial"/>
          <w:color w:val="000000"/>
          <w:kern w:val="0"/>
          <w:lang w:eastAsia="en-GB"/>
          <w14:ligatures w14:val="none"/>
        </w:rPr>
        <w:t xml:space="preserve">without concerns for</w:t>
      </w:r>
      <w:r w:rsidRPr="003137A2" w:rsidR="6D7FFB3E">
        <w:rPr>
          <w:rFonts w:eastAsia="Times New Roman" w:cs="Arial"/>
          <w:color w:val="000000"/>
          <w:kern w:val="0"/>
          <w:lang w:eastAsia="en-GB"/>
          <w14:ligatures w14:val="none"/>
        </w:rPr>
        <w:t xml:space="preserve"> accuracy (McChesney, 2015; Napoli, 2019).</w:t>
      </w:r>
      <w:r w:rsidRPr="003137A2" w:rsidR="6D7FFB3E">
        <w:rPr>
          <w:rFonts w:eastAsia="Times New Roman" w:cs="Arial"/>
          <w:color w:val="000000"/>
          <w:kern w:val="0"/>
          <w:lang w:eastAsia="en-GB"/>
          <w14:ligatures w14:val="none"/>
        </w:rPr>
        <w:t xml:space="preserve"> </w:t>
      </w:r>
    </w:p>
    <w:p w:rsidRPr="003137A2" w:rsidR="003137A2" w:rsidP="003137A2" w:rsidRDefault="003137A2" w14:paraId="3B81CBCF" w14:textId="0838135B">
      <w:pPr>
        <w:spacing w:before="240" w:after="240" w:line="240" w:lineRule="auto"/>
        <w:rPr>
          <w:rFonts w:eastAsia="Times New Roman" w:cs="Arial"/>
          <w:color w:val="000000"/>
          <w:kern w:val="0"/>
          <w:lang w:eastAsia="en-GB"/>
          <w14:ligatures w14:val="none"/>
        </w:rPr>
      </w:pPr>
      <w:r w:rsidRPr="003137A2" w:rsidR="688CEB16">
        <w:rPr>
          <w:rFonts w:eastAsia="Times New Roman" w:cs="Arial"/>
          <w:color w:val="000000"/>
          <w:kern w:val="0"/>
          <w:lang w:eastAsia="en-GB"/>
          <w14:ligatures w14:val="none"/>
        </w:rPr>
        <w:t xml:space="preserve">Information from all sources must be evaluated critically </w:t>
      </w:r>
      <w:r w:rsidRPr="003137A2" w:rsidR="29F3E87B">
        <w:rPr>
          <w:rFonts w:eastAsia="Times New Roman" w:cs="Arial"/>
          <w:color w:val="000000"/>
          <w:kern w:val="0"/>
          <w:lang w:eastAsia="en-GB"/>
          <w14:ligatures w14:val="none"/>
        </w:rPr>
        <w:t xml:space="preserve">consid</w:t>
      </w:r>
      <w:r w:rsidRPr="003137A2" w:rsidR="29F3E87B">
        <w:rPr>
          <w:rFonts w:eastAsia="Times New Roman" w:cs="Arial"/>
          <w:color w:val="000000"/>
          <w:kern w:val="0"/>
          <w:lang w:eastAsia="en-GB"/>
          <w14:ligatures w14:val="none"/>
        </w:rPr>
        <w:t xml:space="preserve">ering</w:t>
      </w:r>
      <w:r w:rsidRPr="003137A2" w:rsidR="688CEB16">
        <w:rPr>
          <w:rFonts w:eastAsia="Times New Roman" w:cs="Arial"/>
          <w:color w:val="000000"/>
          <w:kern w:val="0"/>
          <w:lang w:eastAsia="en-GB"/>
          <w14:ligatures w14:val="none"/>
        </w:rPr>
        <w:t xml:space="preserve"> potential bias, selective presentation, or questionable validity. This is an issue that poses growing challenges for society (Pariser, 2011). </w:t>
      </w:r>
    </w:p>
    <w:p w:rsidRPr="003137A2" w:rsidR="003137A2" w:rsidP="003137A2" w:rsidRDefault="003137A2" w14:paraId="7D74AB39" w14:textId="12F74279">
      <w:pPr>
        <w:spacing w:before="240" w:after="240" w:line="240" w:lineRule="auto"/>
        <w:rPr>
          <w:rFonts w:eastAsia="Times New Roman" w:cs="Arial"/>
          <w:color w:val="000000"/>
          <w:kern w:val="0"/>
          <w:lang w:eastAsia="en-GB"/>
          <w14:ligatures w14:val="none"/>
        </w:rPr>
      </w:pPr>
      <w:r w:rsidRPr="003137A2" w:rsidR="2632B6D7">
        <w:rPr>
          <w:rFonts w:eastAsia="Times New Roman" w:cs="Arial"/>
          <w:color w:val="000000"/>
          <w:kern w:val="0"/>
          <w:lang w:eastAsia="en-GB"/>
          <w14:ligatures w14:val="none"/>
        </w:rPr>
        <w:t xml:space="preserve">The e</w:t>
      </w:r>
      <w:r w:rsidRPr="003137A2" w:rsidR="74131136">
        <w:rPr>
          <w:rFonts w:eastAsia="Times New Roman" w:cs="Arial"/>
          <w:color w:val="000000"/>
          <w:kern w:val="0"/>
          <w:lang w:eastAsia="en-GB"/>
          <w14:ligatures w14:val="none"/>
        </w:rPr>
        <w:t xml:space="preserve">xperience of the current media environment </w:t>
      </w:r>
      <w:r w:rsidRPr="003137A2" w:rsidR="23D69926">
        <w:rPr>
          <w:rFonts w:eastAsia="Times New Roman" w:cs="Arial"/>
          <w:color w:val="000000"/>
          <w:kern w:val="0"/>
          <w:lang w:eastAsia="en-GB"/>
          <w14:ligatures w14:val="none"/>
        </w:rPr>
        <w:t xml:space="preserve">caused the </w:t>
      </w:r>
      <w:r w:rsidRPr="003137A2" w:rsidR="74131136">
        <w:rPr>
          <w:rFonts w:eastAsia="Times New Roman" w:cs="Arial"/>
          <w:color w:val="000000"/>
          <w:kern w:val="0"/>
          <w:lang w:eastAsia="en-GB"/>
          <w14:ligatures w14:val="none"/>
        </w:rPr>
        <w:t xml:space="preserve">negative reports about ESG scoring to seem credible and more widespread than they </w:t>
      </w:r>
      <w:r w:rsidRPr="003137A2" w:rsidR="3AF665FA">
        <w:rPr>
          <w:rFonts w:eastAsia="Times New Roman" w:cs="Arial"/>
          <w:color w:val="000000"/>
          <w:kern w:val="0"/>
          <w:lang w:eastAsia="en-GB"/>
          <w14:ligatures w14:val="none"/>
        </w:rPr>
        <w:t>were</w:t>
      </w:r>
      <w:r w:rsidRPr="003137A2" w:rsidR="74131136">
        <w:rPr>
          <w:rFonts w:eastAsia="Times New Roman" w:cs="Arial"/>
          <w:color w:val="000000"/>
          <w:kern w:val="0"/>
          <w:lang w:eastAsia="en-GB"/>
          <w14:ligatures w14:val="none"/>
        </w:rPr>
        <w:t xml:space="preserve">. By research using credible journalistic sources, regulatory documents, </w:t>
      </w:r>
      <w:r w:rsidRPr="003137A2" w:rsidR="66DC78B8">
        <w:rPr>
          <w:rFonts w:eastAsia="Times New Roman" w:cs="Arial"/>
          <w:color w:val="000000"/>
          <w:kern w:val="0"/>
          <w:lang w:eastAsia="en-GB"/>
          <w14:ligatures w14:val="none"/>
        </w:rPr>
        <w:t>peer reviewed</w:t>
      </w:r>
      <w:r w:rsidRPr="003137A2" w:rsidR="74131136">
        <w:rPr>
          <w:rFonts w:eastAsia="Times New Roman" w:cs="Arial"/>
          <w:color w:val="000000"/>
          <w:kern w:val="0"/>
          <w:lang w:eastAsia="en-GB"/>
          <w14:ligatures w14:val="none"/>
        </w:rPr>
        <w:t xml:space="preserve"> literature</w:t>
      </w:r>
      <w:r w:rsidRPr="003137A2" w:rsidR="74131136">
        <w:rPr>
          <w:rFonts w:eastAsia="Times New Roman" w:cs="Arial"/>
          <w:color w:val="000000"/>
          <w:kern w:val="0"/>
          <w:lang w:eastAsia="en-GB"/>
          <w14:ligatures w14:val="none"/>
        </w:rPr>
        <w:t xml:space="preserve"> and</w:t>
      </w:r>
      <w:r w:rsidRPr="003137A2" w:rsidR="74131136">
        <w:rPr>
          <w:rFonts w:eastAsia="Times New Roman" w:cs="Arial"/>
          <w:color w:val="000000"/>
          <w:kern w:val="0"/>
          <w:lang w:eastAsia="en-GB"/>
          <w14:ligatures w14:val="none"/>
        </w:rPr>
        <w:t xml:space="preserve"> Business Management teaching, the study developed a more balanced and evidence led understanding of ESG scoring. </w:t>
      </w:r>
      <w:r w:rsidRPr="003137A2" w:rsidR="46751E12">
        <w:rPr>
          <w:rFonts w:eastAsia="Times New Roman" w:cs="Arial"/>
          <w:color w:val="000000"/>
          <w:kern w:val="0"/>
          <w:lang w:eastAsia="en-GB"/>
          <w14:ligatures w14:val="none"/>
        </w:rPr>
        <w:t xml:space="preserve">The research</w:t>
      </w:r>
      <w:r w:rsidRPr="003137A2" w:rsidR="74131136">
        <w:rPr>
          <w:rFonts w:eastAsia="Times New Roman" w:cs="Arial"/>
          <w:color w:val="000000"/>
          <w:kern w:val="0"/>
          <w:lang w:eastAsia="en-GB"/>
          <w14:ligatures w14:val="none"/>
        </w:rPr>
        <w:t xml:space="preserve"> brought about a change in</w:t>
      </w:r>
      <w:r w:rsidRPr="003137A2" w:rsidR="18D8BA14">
        <w:rPr>
          <w:rFonts w:eastAsia="Times New Roman" w:cs="Arial"/>
          <w:color w:val="000000"/>
          <w:kern w:val="0"/>
          <w:lang w:eastAsia="en-GB"/>
          <w14:ligatures w14:val="none"/>
        </w:rPr>
        <w:t xml:space="preserve"> knowledge and</w:t>
      </w:r>
      <w:r w:rsidRPr="003137A2" w:rsidR="74131136">
        <w:rPr>
          <w:rFonts w:eastAsia="Times New Roman" w:cs="Arial"/>
          <w:color w:val="000000"/>
          <w:kern w:val="0"/>
          <w:lang w:eastAsia="en-GB"/>
          <w14:ligatures w14:val="none"/>
        </w:rPr>
        <w:t xml:space="preserve"> perspective that </w:t>
      </w:r>
      <w:r w:rsidRPr="003137A2" w:rsidR="74131136">
        <w:rPr>
          <w:rFonts w:eastAsia="Times New Roman" w:cs="Arial"/>
          <w:color w:val="000000"/>
          <w:kern w:val="0"/>
          <w:lang w:eastAsia="en-GB"/>
          <w14:ligatures w14:val="none"/>
        </w:rPr>
        <w:t>demonstrates</w:t>
      </w:r>
      <w:r w:rsidRPr="003137A2" w:rsidR="74131136">
        <w:rPr>
          <w:rFonts w:eastAsia="Times New Roman" w:cs="Arial"/>
          <w:color w:val="000000"/>
          <w:kern w:val="0"/>
          <w:lang w:eastAsia="en-GB"/>
          <w14:ligatures w14:val="none"/>
        </w:rPr>
        <w:t xml:space="preserve"> how systematic inquiry can challenge initial biases and lead to conclusions that differ markedly from those </w:t>
      </w:r>
      <w:r w:rsidRPr="003137A2" w:rsidR="74131136">
        <w:rPr>
          <w:rFonts w:eastAsia="Times New Roman" w:cs="Arial"/>
          <w:color w:val="000000"/>
          <w:kern w:val="0"/>
          <w:lang w:eastAsia="en-GB"/>
          <w14:ligatures w14:val="none"/>
        </w:rPr>
        <w:t>anticipated</w:t>
      </w:r>
      <w:r w:rsidRPr="003137A2" w:rsidR="74131136">
        <w:rPr>
          <w:rFonts w:eastAsia="Times New Roman" w:cs="Arial"/>
          <w:color w:val="000000"/>
          <w:kern w:val="0"/>
          <w:lang w:eastAsia="en-GB"/>
          <w14:ligatures w14:val="none"/>
        </w:rPr>
        <w:t xml:space="preserve"> at the outset (Cottrell, 2015).</w:t>
      </w:r>
    </w:p>
    <w:p w:rsidRPr="003137A2" w:rsidR="003137A2" w:rsidP="257BFE88" w:rsidRDefault="003137A2" w14:paraId="7FD9A08A" w14:textId="77777777">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2130746973" w:id="2032068746"/>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5.3 Critical Evaluation of ESG Scoring Consequences</w:t>
      </w:r>
      <w:bookmarkEnd w:id="2032068746"/>
    </w:p>
    <w:p w:rsidRPr="003137A2" w:rsidR="003137A2" w:rsidP="003137A2" w:rsidRDefault="003137A2" w14:paraId="5AF0D1A1" w14:textId="77777777">
      <w:pPr>
        <w:spacing w:before="240" w:after="240" w:line="240" w:lineRule="auto"/>
        <w:rPr>
          <w:rFonts w:ascii="Times New Roman" w:hAnsi="Times New Roman" w:eastAsia="Times New Roman" w:cs="Times New Roman"/>
          <w:kern w:val="0"/>
          <w:lang w:eastAsia="en-GB"/>
          <w14:ligatures w14:val="none"/>
        </w:rPr>
      </w:pPr>
      <w:r w:rsidRPr="003137A2" w:rsidR="6D7FFB3E">
        <w:rPr>
          <w:rFonts w:eastAsia="Times New Roman" w:cs="Arial"/>
          <w:color w:val="000000"/>
          <w:kern w:val="0"/>
          <w:lang w:eastAsia="en-GB"/>
          <w14:ligatures w14:val="none"/>
        </w:rPr>
        <w:t>The findings highlight several limitations and unintended consequences associated with ESG scoring systems</w:t>
      </w:r>
      <w:r w:rsidRPr="003137A2" w:rsidR="6D7FFB3E">
        <w:rPr>
          <w:rFonts w:ascii="Arial" w:hAnsi="Arial" w:eastAsia="Times New Roman" w:cs="Arial"/>
          <w:color w:val="000000"/>
          <w:kern w:val="0"/>
          <w:lang w:eastAsia="en-GB"/>
          <w14:ligatures w14:val="none"/>
        </w:rPr>
        <w:t>.</w:t>
      </w:r>
    </w:p>
    <w:p w:rsidRPr="003137A2" w:rsidR="003137A2" w:rsidP="257BFE88" w:rsidRDefault="003137A2" w14:paraId="63A7054C" w14:textId="009897CA">
      <w:pPr>
        <w:keepNext w:val="1"/>
        <w:keepLines w:val="1"/>
        <w:spacing w:before="160" w:after="80"/>
        <w:outlineLvl w:val="2"/>
        <w:rPr>
          <w:rFonts w:eastAsia="Times New Roman" w:cs="" w:cstheme="majorBidi"/>
          <w:color w:val="0F4761" w:themeColor="accent1" w:themeShade="BF"/>
          <w:sz w:val="28"/>
          <w:szCs w:val="28"/>
          <w:lang w:eastAsia="en-GB"/>
        </w:rPr>
      </w:pPr>
      <w:r w:rsidRPr="257BFE88" w:rsidR="74131136">
        <w:rPr>
          <w:rFonts w:ascii="Arial" w:hAnsi="Arial" w:eastAsia="Times New Roman" w:cs="Arial"/>
          <w:color w:val="0F4761" w:themeColor="accent1" w:themeTint="FF" w:themeShade="BF"/>
          <w:sz w:val="28"/>
          <w:szCs w:val="28"/>
          <w:lang w:eastAsia="en-GB"/>
        </w:rPr>
        <w:t> </w:t>
      </w:r>
      <w:bookmarkStart w:name="_Toc1087089803" w:id="12320143"/>
      <w:r w:rsidRPr="257BFE88" w:rsidR="74131136">
        <w:rPr>
          <w:rFonts w:eastAsia="Times New Roman" w:cs="" w:cstheme="majorBidi"/>
          <w:color w:val="0F4761" w:themeColor="accent1" w:themeTint="FF" w:themeShade="BF"/>
          <w:sz w:val="28"/>
          <w:szCs w:val="28"/>
          <w:lang w:eastAsia="en-GB"/>
        </w:rPr>
        <w:t xml:space="preserve">5.3.1 </w:t>
      </w:r>
      <w:r w:rsidRPr="257BFE88" w:rsidR="189C16F2">
        <w:rPr>
          <w:rFonts w:eastAsia="Times New Roman" w:cs="" w:cstheme="majorBidi"/>
          <w:color w:val="0F4761" w:themeColor="accent1" w:themeTint="FF" w:themeShade="BF"/>
          <w:sz w:val="28"/>
          <w:szCs w:val="28"/>
          <w:lang w:eastAsia="en-GB"/>
        </w:rPr>
        <w:t xml:space="preserve">Inconsistency and Limited </w:t>
      </w:r>
      <w:r w:rsidRPr="257BFE88" w:rsidR="2CD0F28D">
        <w:rPr>
          <w:rFonts w:eastAsia="Times New Roman" w:cs="" w:cstheme="majorBidi"/>
          <w:color w:val="0F4761" w:themeColor="accent1" w:themeTint="FF" w:themeShade="BF"/>
          <w:sz w:val="28"/>
          <w:szCs w:val="28"/>
          <w:lang w:eastAsia="en-GB"/>
        </w:rPr>
        <w:t>Openness</w:t>
      </w:r>
      <w:bookmarkEnd w:id="12320143"/>
    </w:p>
    <w:p w:rsidR="028D5DFA" w:rsidP="08626363" w:rsidRDefault="028D5DFA" w14:paraId="2F33AFDD" w14:textId="1FDD4E2B">
      <w:pPr>
        <w:spacing w:before="240" w:beforeAutospacing="off" w:after="240" w:afterAutospacing="off"/>
        <w:rPr>
          <w:rFonts w:eastAsia="Times New Roman" w:cs="Arial"/>
          <w:color w:val="auto"/>
          <w:lang w:eastAsia="en-GB"/>
        </w:rPr>
      </w:pPr>
      <w:r w:rsidRPr="257BFE88" w:rsidR="40A8775C">
        <w:rPr>
          <w:rFonts w:ascii="Aptos" w:hAnsi="Aptos" w:eastAsia="Aptos" w:cs="Aptos"/>
          <w:noProof w:val="0"/>
          <w:color w:val="auto"/>
          <w:sz w:val="24"/>
          <w:szCs w:val="24"/>
          <w:lang w:val="en-GB"/>
        </w:rPr>
        <w:t>ESG ratings are constructed using different weighting schemes</w:t>
      </w:r>
      <w:r w:rsidRPr="257BFE88" w:rsidR="4408F729">
        <w:rPr>
          <w:rFonts w:ascii="Aptos" w:hAnsi="Aptos" w:eastAsia="Aptos" w:cs="Aptos"/>
          <w:noProof w:val="0"/>
          <w:color w:val="auto"/>
          <w:sz w:val="24"/>
          <w:szCs w:val="24"/>
          <w:lang w:val="en-GB"/>
        </w:rPr>
        <w:t xml:space="preserve"> and</w:t>
      </w:r>
      <w:r w:rsidRPr="257BFE88" w:rsidR="40A8775C">
        <w:rPr>
          <w:rFonts w:ascii="Aptos" w:hAnsi="Aptos" w:eastAsia="Aptos" w:cs="Aptos"/>
          <w:noProof w:val="0"/>
          <w:color w:val="auto"/>
          <w:sz w:val="24"/>
          <w:szCs w:val="24"/>
          <w:lang w:val="en-GB"/>
        </w:rPr>
        <w:t xml:space="preserve"> data sources</w:t>
      </w:r>
      <w:r w:rsidRPr="257BFE88" w:rsidR="140100A4">
        <w:rPr>
          <w:rFonts w:ascii="Aptos" w:hAnsi="Aptos" w:eastAsia="Aptos" w:cs="Aptos"/>
          <w:noProof w:val="0"/>
          <w:color w:val="auto"/>
          <w:sz w:val="24"/>
          <w:szCs w:val="24"/>
          <w:lang w:val="en-GB"/>
        </w:rPr>
        <w:t xml:space="preserve">. </w:t>
      </w:r>
      <w:r w:rsidRPr="257BFE88" w:rsidR="4EA0D06E">
        <w:rPr>
          <w:rFonts w:ascii="Aptos" w:hAnsi="Aptos" w:eastAsia="Aptos" w:cs="Aptos"/>
          <w:noProof w:val="0"/>
          <w:color w:val="auto"/>
          <w:sz w:val="24"/>
          <w:szCs w:val="24"/>
          <w:lang w:val="en-GB"/>
        </w:rPr>
        <w:t xml:space="preserve">The methods used are not openly shared as </w:t>
      </w:r>
      <w:r w:rsidRPr="257BFE88" w:rsidR="4BCDC59B">
        <w:rPr>
          <w:rFonts w:ascii="Aptos" w:hAnsi="Aptos" w:eastAsia="Aptos" w:cs="Aptos"/>
          <w:noProof w:val="0"/>
          <w:color w:val="auto"/>
          <w:sz w:val="24"/>
          <w:szCs w:val="24"/>
          <w:lang w:val="en-GB"/>
        </w:rPr>
        <w:t>ESG</w:t>
      </w:r>
      <w:r w:rsidRPr="257BFE88" w:rsidR="4EA0D06E">
        <w:rPr>
          <w:rFonts w:ascii="Aptos" w:hAnsi="Aptos" w:eastAsia="Aptos" w:cs="Aptos"/>
          <w:noProof w:val="0"/>
          <w:color w:val="auto"/>
          <w:sz w:val="24"/>
          <w:szCs w:val="24"/>
          <w:lang w:val="en-GB"/>
        </w:rPr>
        <w:t xml:space="preserve"> </w:t>
      </w:r>
      <w:r w:rsidRPr="257BFE88" w:rsidR="32E08C18">
        <w:rPr>
          <w:rFonts w:ascii="Aptos" w:hAnsi="Aptos" w:eastAsia="Aptos" w:cs="Aptos"/>
          <w:noProof w:val="0"/>
          <w:color w:val="auto"/>
          <w:sz w:val="24"/>
          <w:szCs w:val="24"/>
          <w:lang w:val="en-GB"/>
        </w:rPr>
        <w:t xml:space="preserve">providers want </w:t>
      </w:r>
      <w:r w:rsidRPr="257BFE88" w:rsidR="4EA0D06E">
        <w:rPr>
          <w:rFonts w:ascii="Aptos" w:hAnsi="Aptos" w:eastAsia="Aptos" w:cs="Aptos"/>
          <w:noProof w:val="0"/>
          <w:color w:val="auto"/>
          <w:sz w:val="24"/>
          <w:szCs w:val="24"/>
          <w:lang w:val="en-GB"/>
        </w:rPr>
        <w:t>to protect their business interests</w:t>
      </w:r>
      <w:r w:rsidRPr="257BFE88" w:rsidR="472011A4">
        <w:rPr>
          <w:rFonts w:ascii="Aptos" w:hAnsi="Aptos" w:eastAsia="Aptos" w:cs="Aptos"/>
          <w:noProof w:val="0"/>
          <w:color w:val="auto"/>
          <w:sz w:val="24"/>
          <w:szCs w:val="24"/>
          <w:lang w:val="en-GB"/>
        </w:rPr>
        <w:t xml:space="preserve"> </w:t>
      </w:r>
      <w:r w:rsidRPr="257BFE88" w:rsidR="472011A4">
        <w:rPr>
          <w:rFonts w:ascii="Aptos" w:hAnsi="Aptos" w:eastAsia="Aptos" w:cs="Aptos"/>
          <w:noProof w:val="0"/>
          <w:color w:val="000000" w:themeColor="text1" w:themeTint="FF" w:themeShade="FF"/>
          <w:sz w:val="24"/>
          <w:szCs w:val="24"/>
          <w:lang w:val="en-GB"/>
        </w:rPr>
        <w:t>(Shi, 2025)</w:t>
      </w:r>
      <w:r w:rsidRPr="257BFE88" w:rsidR="40A8775C">
        <w:rPr>
          <w:rFonts w:ascii="Aptos" w:hAnsi="Aptos" w:eastAsia="Aptos" w:cs="Aptos"/>
          <w:noProof w:val="0"/>
          <w:color w:val="auto"/>
          <w:sz w:val="24"/>
          <w:szCs w:val="24"/>
          <w:lang w:val="en-GB"/>
        </w:rPr>
        <w:t xml:space="preserve">. These </w:t>
      </w:r>
      <w:r w:rsidRPr="257BFE88" w:rsidR="209FF998">
        <w:rPr>
          <w:rFonts w:ascii="Aptos" w:hAnsi="Aptos" w:eastAsia="Aptos" w:cs="Aptos"/>
          <w:noProof w:val="0"/>
          <w:color w:val="auto"/>
          <w:sz w:val="24"/>
          <w:szCs w:val="24"/>
          <w:lang w:val="en-GB"/>
        </w:rPr>
        <w:t>differences</w:t>
      </w:r>
      <w:r w:rsidRPr="257BFE88" w:rsidR="4C070699">
        <w:rPr>
          <w:rFonts w:ascii="Aptos" w:hAnsi="Aptos" w:eastAsia="Aptos" w:cs="Aptos"/>
          <w:noProof w:val="0"/>
          <w:color w:val="auto"/>
          <w:sz w:val="24"/>
          <w:szCs w:val="24"/>
          <w:lang w:val="en-GB"/>
        </w:rPr>
        <w:t xml:space="preserve"> in approach</w:t>
      </w:r>
      <w:r w:rsidRPr="257BFE88" w:rsidR="209FF998">
        <w:rPr>
          <w:rFonts w:ascii="Aptos" w:hAnsi="Aptos" w:eastAsia="Aptos" w:cs="Aptos"/>
          <w:noProof w:val="0"/>
          <w:color w:val="auto"/>
          <w:sz w:val="24"/>
          <w:szCs w:val="24"/>
          <w:lang w:val="en-GB"/>
        </w:rPr>
        <w:t xml:space="preserve"> </w:t>
      </w:r>
      <w:r w:rsidRPr="257BFE88" w:rsidR="40A8775C">
        <w:rPr>
          <w:rFonts w:ascii="Aptos" w:hAnsi="Aptos" w:eastAsia="Aptos" w:cs="Aptos"/>
          <w:noProof w:val="0"/>
          <w:color w:val="auto"/>
          <w:sz w:val="24"/>
          <w:szCs w:val="24"/>
          <w:lang w:val="en-GB"/>
        </w:rPr>
        <w:t>create inconsistency a</w:t>
      </w:r>
      <w:r w:rsidRPr="257BFE88" w:rsidR="48BC4B97">
        <w:rPr>
          <w:rFonts w:ascii="Aptos" w:hAnsi="Aptos" w:eastAsia="Aptos" w:cs="Aptos"/>
          <w:noProof w:val="0"/>
          <w:color w:val="auto"/>
          <w:sz w:val="24"/>
          <w:szCs w:val="24"/>
          <w:lang w:val="en-GB"/>
        </w:rPr>
        <w:t xml:space="preserve">mongst </w:t>
      </w:r>
      <w:r w:rsidRPr="257BFE88" w:rsidR="40A8775C">
        <w:rPr>
          <w:rFonts w:ascii="Aptos" w:hAnsi="Aptos" w:eastAsia="Aptos" w:cs="Aptos"/>
          <w:noProof w:val="0"/>
          <w:color w:val="auto"/>
          <w:sz w:val="24"/>
          <w:szCs w:val="24"/>
          <w:lang w:val="en-GB"/>
        </w:rPr>
        <w:t>providers and</w:t>
      </w:r>
      <w:r w:rsidRPr="257BFE88" w:rsidR="51D37FEF">
        <w:rPr>
          <w:rFonts w:ascii="Aptos" w:hAnsi="Aptos" w:eastAsia="Aptos" w:cs="Aptos"/>
          <w:noProof w:val="0"/>
          <w:color w:val="auto"/>
          <w:sz w:val="24"/>
          <w:szCs w:val="24"/>
          <w:lang w:val="en-GB"/>
        </w:rPr>
        <w:t xml:space="preserve"> make</w:t>
      </w:r>
      <w:r w:rsidRPr="257BFE88" w:rsidR="40A8775C">
        <w:rPr>
          <w:rFonts w:ascii="Aptos" w:hAnsi="Aptos" w:eastAsia="Aptos" w:cs="Aptos"/>
          <w:noProof w:val="0"/>
          <w:color w:val="auto"/>
          <w:sz w:val="24"/>
          <w:szCs w:val="24"/>
          <w:lang w:val="en-GB"/>
        </w:rPr>
        <w:t xml:space="preserve"> reliability of ESG scores</w:t>
      </w:r>
      <w:r w:rsidRPr="257BFE88" w:rsidR="106A99F5">
        <w:rPr>
          <w:rFonts w:ascii="Aptos" w:hAnsi="Aptos" w:eastAsia="Aptos" w:cs="Aptos"/>
          <w:noProof w:val="0"/>
          <w:color w:val="auto"/>
          <w:sz w:val="24"/>
          <w:szCs w:val="24"/>
          <w:lang w:val="en-GB"/>
        </w:rPr>
        <w:t xml:space="preserve"> unreliable.</w:t>
      </w:r>
      <w:r w:rsidRPr="257BFE88" w:rsidR="70FBA28C">
        <w:rPr>
          <w:rFonts w:ascii="Aptos" w:hAnsi="Aptos" w:eastAsia="Aptos" w:cs="Aptos"/>
          <w:noProof w:val="0"/>
          <w:color w:val="auto"/>
          <w:sz w:val="24"/>
          <w:szCs w:val="24"/>
          <w:lang w:val="en-GB"/>
        </w:rPr>
        <w:t xml:space="preserve"> </w:t>
      </w:r>
      <w:r w:rsidRPr="257BFE88" w:rsidR="348FC118">
        <w:rPr>
          <w:rFonts w:ascii="Aptos" w:hAnsi="Aptos" w:eastAsia="Aptos" w:cs="Aptos"/>
          <w:noProof w:val="0"/>
          <w:color w:val="auto"/>
          <w:sz w:val="24"/>
          <w:szCs w:val="24"/>
          <w:lang w:val="en-GB"/>
        </w:rPr>
        <w:t>ES</w:t>
      </w:r>
      <w:r w:rsidRPr="257BFE88" w:rsidR="348FC118">
        <w:rPr>
          <w:rFonts w:ascii="Aptos" w:hAnsi="Aptos" w:eastAsia="Aptos" w:cs="Aptos"/>
          <w:noProof w:val="0"/>
          <w:color w:val="auto"/>
          <w:sz w:val="24"/>
          <w:szCs w:val="24"/>
          <w:lang w:val="en-GB"/>
        </w:rPr>
        <w:t>G</w:t>
      </w:r>
      <w:r w:rsidRPr="257BFE88" w:rsidR="70FBA28C">
        <w:rPr>
          <w:rFonts w:ascii="Aptos" w:hAnsi="Aptos" w:eastAsia="Aptos" w:cs="Aptos"/>
          <w:noProof w:val="0"/>
          <w:color w:val="auto"/>
          <w:sz w:val="24"/>
          <w:szCs w:val="24"/>
          <w:lang w:val="en-GB"/>
        </w:rPr>
        <w:t xml:space="preserve"> scoring cannot be</w:t>
      </w:r>
      <w:r w:rsidRPr="257BFE88" w:rsidR="40A8775C">
        <w:rPr>
          <w:rFonts w:ascii="Aptos" w:hAnsi="Aptos" w:eastAsia="Aptos" w:cs="Aptos"/>
          <w:noProof w:val="0"/>
          <w:color w:val="auto"/>
          <w:sz w:val="24"/>
          <w:szCs w:val="24"/>
          <w:lang w:val="en-GB"/>
        </w:rPr>
        <w:t xml:space="preserve"> </w:t>
      </w:r>
      <w:r w:rsidRPr="257BFE88" w:rsidR="1DEF6328">
        <w:rPr>
          <w:rFonts w:ascii="Aptos" w:hAnsi="Aptos" w:eastAsia="Aptos" w:cs="Aptos"/>
          <w:noProof w:val="0"/>
          <w:color w:val="auto"/>
          <w:sz w:val="24"/>
          <w:szCs w:val="24"/>
          <w:lang w:val="en-GB"/>
        </w:rPr>
        <w:t xml:space="preserve">the </w:t>
      </w:r>
      <w:r w:rsidRPr="257BFE88" w:rsidR="40A8775C">
        <w:rPr>
          <w:rFonts w:ascii="Aptos" w:hAnsi="Aptos" w:eastAsia="Aptos" w:cs="Aptos"/>
          <w:noProof w:val="0"/>
          <w:color w:val="auto"/>
          <w:sz w:val="24"/>
          <w:szCs w:val="24"/>
          <w:lang w:val="en-GB"/>
        </w:rPr>
        <w:t>objective indicator</w:t>
      </w:r>
      <w:r w:rsidRPr="257BFE88" w:rsidR="22BA68E1">
        <w:rPr>
          <w:rFonts w:ascii="Aptos" w:hAnsi="Aptos" w:eastAsia="Aptos" w:cs="Aptos"/>
          <w:noProof w:val="0"/>
          <w:color w:val="auto"/>
          <w:sz w:val="24"/>
          <w:szCs w:val="24"/>
          <w:lang w:val="en-GB"/>
        </w:rPr>
        <w:t xml:space="preserve"> </w:t>
      </w:r>
      <w:r w:rsidRPr="257BFE88" w:rsidR="40A8775C">
        <w:rPr>
          <w:rFonts w:ascii="Aptos" w:hAnsi="Aptos" w:eastAsia="Aptos" w:cs="Aptos"/>
          <w:noProof w:val="0"/>
          <w:color w:val="auto"/>
          <w:sz w:val="24"/>
          <w:szCs w:val="24"/>
          <w:lang w:val="en-GB"/>
        </w:rPr>
        <w:t>of sustainability performance</w:t>
      </w:r>
      <w:r w:rsidRPr="257BFE88" w:rsidR="02340A19">
        <w:rPr>
          <w:rFonts w:ascii="Aptos" w:hAnsi="Aptos" w:eastAsia="Aptos" w:cs="Aptos"/>
          <w:noProof w:val="0"/>
          <w:color w:val="auto"/>
          <w:sz w:val="24"/>
          <w:szCs w:val="24"/>
          <w:lang w:val="en-GB"/>
        </w:rPr>
        <w:t xml:space="preserve"> it </w:t>
      </w:r>
      <w:r w:rsidRPr="257BFE88" w:rsidR="080139FA">
        <w:rPr>
          <w:rFonts w:ascii="Aptos" w:hAnsi="Aptos" w:eastAsia="Aptos" w:cs="Aptos"/>
          <w:noProof w:val="0"/>
          <w:color w:val="auto"/>
          <w:sz w:val="24"/>
          <w:szCs w:val="24"/>
          <w:lang w:val="en-GB"/>
        </w:rPr>
        <w:t>claims to be</w:t>
      </w:r>
      <w:r w:rsidRPr="257BFE88" w:rsidR="2C7EB941">
        <w:rPr>
          <w:rFonts w:ascii="Aptos" w:hAnsi="Aptos" w:eastAsia="Aptos" w:cs="Aptos"/>
          <w:noProof w:val="0"/>
          <w:color w:val="auto"/>
          <w:sz w:val="24"/>
          <w:szCs w:val="24"/>
          <w:lang w:val="en-GB"/>
        </w:rPr>
        <w:t xml:space="preserve"> </w:t>
      </w:r>
      <w:r w:rsidRPr="257BFE88" w:rsidR="2C7EB941">
        <w:rPr>
          <w:rFonts w:ascii="Aptos" w:hAnsi="Aptos" w:eastAsia="Aptos" w:cs="Aptos"/>
          <w:noProof w:val="0"/>
          <w:color w:val="000000" w:themeColor="text1" w:themeTint="FF" w:themeShade="FF"/>
          <w:sz w:val="24"/>
          <w:szCs w:val="24"/>
          <w:lang w:val="en-GB"/>
        </w:rPr>
        <w:t>(Zubizarreta, 2026).</w:t>
      </w:r>
      <w:r w:rsidRPr="257BFE88" w:rsidR="40A8775C">
        <w:rPr>
          <w:rFonts w:eastAsia="Times New Roman" w:cs="Arial"/>
          <w:color w:val="auto"/>
          <w:lang w:eastAsia="en-GB"/>
        </w:rPr>
        <w:t xml:space="preserve"> </w:t>
      </w:r>
    </w:p>
    <w:p w:rsidRPr="003137A2" w:rsidR="003137A2" w:rsidP="257BFE88" w:rsidRDefault="003137A2" w14:paraId="565AA617" w14:textId="77777777">
      <w:pPr>
        <w:keepNext w:val="1"/>
        <w:keepLines w:val="1"/>
        <w:spacing w:before="160" w:after="80"/>
        <w:outlineLvl w:val="2"/>
        <w:rPr>
          <w:rFonts w:ascii="Times New Roman" w:hAnsi="Times New Roman" w:eastAsia="Times New Roman" w:cs="" w:cstheme="majorBidi"/>
          <w:color w:val="0F4761" w:themeColor="accent1" w:themeShade="BF"/>
          <w:sz w:val="27"/>
          <w:szCs w:val="27"/>
          <w:lang w:eastAsia="en-GB"/>
        </w:rPr>
      </w:pPr>
      <w:bookmarkStart w:name="_Toc1296181734" w:id="1647985560"/>
      <w:r w:rsidRPr="257BFE88" w:rsidR="6D7FFB3E">
        <w:rPr>
          <w:rFonts w:eastAsia="Times New Roman" w:cs="" w:cstheme="majorBidi"/>
          <w:color w:val="0F4761" w:themeColor="accent1" w:themeTint="FF" w:themeShade="BF"/>
          <w:sz w:val="28"/>
          <w:szCs w:val="28"/>
          <w:lang w:eastAsia="en-GB"/>
        </w:rPr>
        <w:t>5.3.2 Mechanical Market Effects</w:t>
      </w:r>
      <w:bookmarkEnd w:id="1647985560"/>
    </w:p>
    <w:p w:rsidRPr="003137A2" w:rsidR="003137A2" w:rsidP="257BFE88" w:rsidRDefault="003137A2" w14:paraId="05355CB3" w14:textId="19FD6532">
      <w:pPr>
        <w:pStyle w:val="Normal"/>
        <w:spacing w:before="240" w:beforeAutospacing="off" w:after="240" w:afterAutospacing="off" w:line="240" w:lineRule="auto"/>
        <w:rPr>
          <w:rFonts w:eastAsia="Times New Roman" w:cs="Times New Roman"/>
          <w:lang w:eastAsia="en-GB"/>
        </w:rPr>
      </w:pPr>
      <w:r w:rsidRPr="003137A2" w:rsidR="74131136">
        <w:rPr>
          <w:rFonts w:eastAsia="Times New Roman" w:cs="Arial"/>
          <w:color w:val="000000"/>
          <w:kern w:val="0"/>
          <w:lang w:eastAsia="en-GB"/>
          <w14:ligatures w14:val="none"/>
        </w:rPr>
        <w:t xml:space="preserve">When ESG scores are built into index </w:t>
      </w:r>
      <w:r w:rsidRPr="003137A2" w:rsidR="536E0A01">
        <w:rPr>
          <w:rFonts w:eastAsia="Times New Roman" w:cs="Arial"/>
          <w:color w:val="000000"/>
          <w:kern w:val="0"/>
          <w:lang w:eastAsia="en-GB"/>
          <w14:ligatures w14:val="none"/>
        </w:rPr>
        <w:t>rule</w:t>
      </w:r>
      <w:r w:rsidRPr="003137A2" w:rsidR="74131136">
        <w:rPr>
          <w:rFonts w:eastAsia="Times New Roman" w:cs="Arial"/>
          <w:color w:val="000000"/>
          <w:kern w:val="0"/>
          <w:lang w:eastAsia="en-GB"/>
          <w14:ligatures w14:val="none"/>
        </w:rPr>
        <w:t>s, screening rules, or fund classifications a rating change can lead to an automatic reallocation effect</w:t>
      </w:r>
      <w:r w:rsidRPr="003137A2" w:rsidR="4BC3B328">
        <w:rPr>
          <w:rFonts w:eastAsia="Times New Roman" w:cs="Arial"/>
          <w:color w:val="000000"/>
          <w:kern w:val="0"/>
          <w:lang w:eastAsia="en-GB"/>
          <w14:ligatures w14:val="none"/>
        </w:rPr>
        <w:t xml:space="preserve"> </w:t>
      </w:r>
      <w:r w:rsidRPr="08626363" w:rsidR="4BC3B328">
        <w:rPr>
          <w:rFonts w:ascii="Aptos" w:hAnsi="Aptos" w:eastAsia="Aptos" w:cs="Aptos"/>
          <w:noProof w:val="0"/>
          <w:color w:val="000000" w:themeColor="text1" w:themeTint="FF" w:themeShade="FF"/>
          <w:sz w:val="24"/>
          <w:szCs w:val="24"/>
          <w:lang w:val="en-GB"/>
        </w:rPr>
        <w:t>(</w:t>
      </w:r>
      <w:r w:rsidRPr="08626363" w:rsidR="4BC3B328">
        <w:rPr>
          <w:rFonts w:ascii="Aptos" w:hAnsi="Aptos" w:eastAsia="Aptos" w:cs="Aptos"/>
          <w:noProof w:val="0"/>
          <w:color w:val="000000" w:themeColor="text1" w:themeTint="FF" w:themeShade="FF"/>
          <w:sz w:val="24"/>
          <w:szCs w:val="24"/>
          <w:lang w:val="en-GB"/>
        </w:rPr>
        <w:t>Barontini</w:t>
      </w:r>
      <w:r w:rsidRPr="08626363" w:rsidR="4BC3B328">
        <w:rPr>
          <w:rFonts w:ascii="Aptos" w:hAnsi="Aptos" w:eastAsia="Aptos" w:cs="Aptos"/>
          <w:noProof w:val="0"/>
          <w:color w:val="000000" w:themeColor="text1" w:themeTint="FF" w:themeShade="FF"/>
          <w:sz w:val="24"/>
          <w:szCs w:val="24"/>
          <w:lang w:val="en-GB"/>
        </w:rPr>
        <w:t xml:space="preserve"> and </w:t>
      </w:r>
      <w:r w:rsidRPr="08626363" w:rsidR="4BC3B328">
        <w:rPr>
          <w:rFonts w:ascii="Aptos" w:hAnsi="Aptos" w:eastAsia="Aptos" w:cs="Aptos"/>
          <w:noProof w:val="0"/>
          <w:color w:val="000000" w:themeColor="text1" w:themeTint="FF" w:themeShade="FF"/>
          <w:sz w:val="24"/>
          <w:szCs w:val="24"/>
          <w:lang w:val="en-GB"/>
        </w:rPr>
        <w:t>Gioja</w:t>
      </w:r>
      <w:r w:rsidRPr="08626363" w:rsidR="4BC3B328">
        <w:rPr>
          <w:rFonts w:ascii="Aptos" w:hAnsi="Aptos" w:eastAsia="Aptos" w:cs="Aptos"/>
          <w:noProof w:val="0"/>
          <w:color w:val="000000" w:themeColor="text1" w:themeTint="FF" w:themeShade="FF"/>
          <w:sz w:val="24"/>
          <w:szCs w:val="24"/>
          <w:lang w:val="en-GB"/>
        </w:rPr>
        <w:t>, 2025)</w:t>
      </w:r>
      <w:r w:rsidRPr="003137A2" w:rsidR="74131136">
        <w:rPr>
          <w:rFonts w:eastAsia="Times New Roman" w:cs="Arial"/>
          <w:color w:val="000000"/>
          <w:kern w:val="0"/>
          <w:lang w:eastAsia="en-GB"/>
          <w14:ligatures w14:val="none"/>
        </w:rPr>
        <w:t xml:space="preserve">. These changes may increase market movements </w:t>
      </w:r>
      <w:r w:rsidRPr="003137A2" w:rsidR="0829D747">
        <w:rPr>
          <w:rFonts w:eastAsia="Times New Roman" w:cs="Arial"/>
          <w:color w:val="000000"/>
          <w:kern w:val="0"/>
          <w:lang w:eastAsia="en-GB"/>
          <w14:ligatures w14:val="none"/>
        </w:rPr>
        <w:t xml:space="preserve">that are not </w:t>
      </w:r>
      <w:r w:rsidRPr="003137A2" w:rsidR="74131136">
        <w:rPr>
          <w:rFonts w:eastAsia="Times New Roman" w:cs="Arial"/>
          <w:color w:val="000000"/>
          <w:kern w:val="0"/>
          <w:lang w:eastAsia="en-GB"/>
          <w14:ligatures w14:val="none"/>
        </w:rPr>
        <w:t xml:space="preserve">related to a company’s </w:t>
      </w:r>
      <w:r w:rsidRPr="003137A2" w:rsidR="49EA0C64">
        <w:rPr>
          <w:rFonts w:eastAsia="Times New Roman" w:cs="Arial"/>
          <w:color w:val="000000"/>
          <w:kern w:val="0"/>
          <w:lang w:eastAsia="en-GB"/>
          <w14:ligatures w14:val="none"/>
        </w:rPr>
        <w:t>actual</w:t>
      </w:r>
      <w:r w:rsidRPr="003137A2" w:rsidR="74131136">
        <w:rPr>
          <w:rFonts w:eastAsia="Times New Roman" w:cs="Arial"/>
          <w:color w:val="000000"/>
          <w:kern w:val="0"/>
          <w:lang w:eastAsia="en-GB"/>
          <w14:ligatures w14:val="none"/>
        </w:rPr>
        <w:t xml:space="preserve"> performance, particul</w:t>
      </w:r>
      <w:r w:rsidRPr="003137A2" w:rsidR="74131136">
        <w:rPr>
          <w:rFonts w:eastAsia="Times New Roman" w:cs="Arial"/>
          <w:color w:val="000000"/>
          <w:kern w:val="0"/>
          <w:lang w:eastAsia="en-GB"/>
          <w14:ligatures w14:val="none"/>
        </w:rPr>
        <w:t>arly duri</w:t>
      </w:r>
      <w:r w:rsidRPr="003137A2" w:rsidR="74131136">
        <w:rPr>
          <w:rFonts w:eastAsia="Times New Roman" w:cs="Arial"/>
          <w:color w:val="000000"/>
          <w:kern w:val="0"/>
          <w:lang w:eastAsia="en-GB"/>
          <w14:ligatures w14:val="none"/>
        </w:rPr>
        <w:t xml:space="preserve">ng periods of </w:t>
      </w:r>
      <w:r w:rsidRPr="003137A2" w:rsidR="14407A89">
        <w:rPr>
          <w:rFonts w:eastAsia="Times New Roman" w:cs="Arial"/>
          <w:color w:val="000000"/>
          <w:kern w:val="0"/>
          <w:lang w:eastAsia="en-GB"/>
          <w14:ligatures w14:val="none"/>
        </w:rPr>
        <w:t>large</w:t>
      </w:r>
      <w:r w:rsidRPr="003137A2" w:rsidR="74131136">
        <w:rPr>
          <w:rFonts w:eastAsia="Times New Roman" w:cs="Arial"/>
          <w:color w:val="000000"/>
          <w:kern w:val="0"/>
          <w:lang w:eastAsia="en-GB"/>
          <w14:ligatures w14:val="none"/>
        </w:rPr>
        <w:t xml:space="preserve"> inflows or outflows in ESG</w:t>
      </w:r>
      <w:r w:rsidRPr="003137A2" w:rsidR="6A9CC022">
        <w:rPr>
          <w:rFonts w:eastAsia="Times New Roman" w:cs="Arial"/>
          <w:color w:val="000000"/>
          <w:kern w:val="0"/>
          <w:lang w:eastAsia="en-GB"/>
          <w14:ligatures w14:val="none"/>
        </w:rPr>
        <w:t xml:space="preserve"> focused</w:t>
      </w:r>
      <w:r w:rsidRPr="003137A2" w:rsidR="74131136">
        <w:rPr>
          <w:rFonts w:eastAsia="Times New Roman" w:cs="Arial"/>
          <w:color w:val="000000"/>
          <w:kern w:val="0"/>
          <w:lang w:eastAsia="en-GB"/>
          <w14:ligatures w14:val="none"/>
        </w:rPr>
        <w:t xml:space="preserve"> funds. </w:t>
      </w:r>
    </w:p>
    <w:p w:rsidRPr="003137A2" w:rsidR="003137A2" w:rsidP="257BFE88" w:rsidRDefault="003137A2" w14:paraId="6EA2B158" w14:textId="26E761D2">
      <w:pPr>
        <w:pStyle w:val="Normal"/>
        <w:spacing w:before="240" w:beforeAutospacing="off" w:after="240" w:afterAutospacing="off" w:line="240" w:lineRule="auto"/>
        <w:rPr>
          <w:rFonts w:eastAsia="Times New Roman" w:cs="Times New Roman"/>
          <w:kern w:val="0"/>
          <w:lang w:eastAsia="en-GB"/>
          <w14:ligatures w14:val="none"/>
        </w:rPr>
      </w:pPr>
      <w:r w:rsidRPr="003137A2" w:rsidR="74131136">
        <w:rPr>
          <w:rFonts w:eastAsia="Times New Roman" w:cs="Arial"/>
          <w:color w:val="000000"/>
          <w:kern w:val="0"/>
          <w:lang w:eastAsia="en-GB"/>
          <w14:ligatures w14:val="none"/>
        </w:rPr>
        <w:t>The</w:t>
      </w:r>
      <w:r w:rsidRPr="003137A2" w:rsidR="0525828C">
        <w:rPr>
          <w:rFonts w:eastAsia="Times New Roman" w:cs="Arial"/>
          <w:color w:val="000000"/>
          <w:kern w:val="0"/>
          <w:lang w:eastAsia="en-GB"/>
          <w14:ligatures w14:val="none"/>
        </w:rPr>
        <w:t xml:space="preserve"> sudden</w:t>
      </w:r>
      <w:r w:rsidRPr="003137A2" w:rsidR="74131136">
        <w:rPr>
          <w:rFonts w:eastAsia="Times New Roman" w:cs="Arial"/>
          <w:color w:val="000000"/>
          <w:kern w:val="0"/>
          <w:lang w:eastAsia="en-GB"/>
          <w14:ligatures w14:val="none"/>
        </w:rPr>
        <w:t xml:space="preserve"> </w:t>
      </w:r>
      <w:r w:rsidRPr="003137A2" w:rsidR="46112761">
        <w:rPr>
          <w:rFonts w:eastAsia="Times New Roman" w:cs="Arial"/>
          <w:color w:val="000000"/>
          <w:kern w:val="0"/>
          <w:lang w:eastAsia="en-GB"/>
          <w14:ligatures w14:val="none"/>
        </w:rPr>
        <w:t>change</w:t>
      </w:r>
      <w:r w:rsidRPr="003137A2" w:rsidR="0DD5D666">
        <w:rPr>
          <w:rFonts w:eastAsia="Times New Roman" w:cs="Arial"/>
          <w:color w:val="000000"/>
          <w:kern w:val="0"/>
          <w:lang w:eastAsia="en-GB"/>
          <w14:ligatures w14:val="none"/>
        </w:rPr>
        <w:t xml:space="preserve"> in 2025</w:t>
      </w:r>
      <w:r w:rsidRPr="003137A2" w:rsidR="74131136">
        <w:rPr>
          <w:rFonts w:eastAsia="Times New Roman" w:cs="Arial"/>
          <w:color w:val="000000"/>
          <w:kern w:val="0"/>
          <w:lang w:eastAsia="en-GB"/>
          <w14:ligatures w14:val="none"/>
        </w:rPr>
        <w:t xml:space="preserve"> to net outflows of approximately £63</w:t>
      </w:r>
      <w:r w:rsidRPr="003137A2" w:rsidR="74131136">
        <w:rPr>
          <w:rFonts w:ascii="Arial" w:hAnsi="Arial" w:eastAsia="Times New Roman" w:cs="Arial"/>
          <w:color w:val="000000"/>
          <w:kern w:val="0"/>
          <w:lang w:eastAsia="en-GB"/>
          <w14:ligatures w14:val="none"/>
        </w:rPr>
        <w:t> </w:t>
      </w:r>
      <w:r w:rsidRPr="003137A2" w:rsidR="74131136">
        <w:rPr>
          <w:rFonts w:eastAsia="Times New Roman" w:cs="Arial"/>
          <w:color w:val="000000"/>
          <w:kern w:val="0"/>
          <w:lang w:eastAsia="en-GB"/>
          <w14:ligatures w14:val="none"/>
        </w:rPr>
        <w:t>billion</w:t>
      </w:r>
      <w:r w:rsidRPr="003137A2" w:rsidR="03948EFF">
        <w:rPr>
          <w:rFonts w:eastAsia="Times New Roman" w:cs="Arial"/>
          <w:color w:val="000000"/>
          <w:kern w:val="0"/>
          <w:lang w:eastAsia="en-GB"/>
          <w14:ligatures w14:val="none"/>
        </w:rPr>
        <w:t xml:space="preserve"> from ESG focused funds</w:t>
      </w:r>
      <w:r w:rsidRPr="003137A2" w:rsidR="74131136">
        <w:rPr>
          <w:rFonts w:eastAsia="Times New Roman" w:cs="Arial"/>
          <w:color w:val="000000"/>
          <w:kern w:val="0"/>
          <w:lang w:eastAsia="en-GB"/>
          <w14:ligatures w14:val="none"/>
        </w:rPr>
        <w:t xml:space="preserve"> shows how changes in investor opinion can </w:t>
      </w:r>
      <w:r w:rsidRPr="003137A2" w:rsidR="3A7AB700">
        <w:rPr>
          <w:rFonts w:eastAsia="Times New Roman" w:cs="Arial"/>
          <w:color w:val="000000"/>
          <w:kern w:val="0"/>
          <w:lang w:eastAsia="en-GB"/>
          <w14:ligatures w14:val="none"/>
        </w:rPr>
        <w:t>quickly affect</w:t>
      </w:r>
      <w:r w:rsidRPr="003137A2" w:rsidR="74131136">
        <w:rPr>
          <w:rFonts w:eastAsia="Times New Roman" w:cs="Arial"/>
          <w:color w:val="000000"/>
          <w:kern w:val="0"/>
          <w:lang w:eastAsia="en-GB"/>
          <w14:ligatures w14:val="none"/>
        </w:rPr>
        <w:t xml:space="preserve"> index</w:t>
      </w:r>
      <w:r w:rsidRPr="003137A2" w:rsidR="74131136">
        <w:rPr>
          <w:rFonts w:ascii="Cambria Math" w:hAnsi="Cambria Math" w:eastAsia="Times New Roman" w:cs="Cambria Math"/>
          <w:color w:val="000000"/>
          <w:kern w:val="0"/>
          <w:lang w:eastAsia="en-GB"/>
          <w14:ligatures w14:val="none"/>
        </w:rPr>
        <w:t xml:space="preserve"> </w:t>
      </w:r>
      <w:r w:rsidRPr="003137A2" w:rsidR="74131136">
        <w:rPr>
          <w:rFonts w:eastAsia="Times New Roman" w:cs="Arial"/>
          <w:color w:val="000000"/>
          <w:kern w:val="0"/>
          <w:lang w:eastAsia="en-GB"/>
          <w14:ligatures w14:val="none"/>
        </w:rPr>
        <w:t xml:space="preserve">linked </w:t>
      </w:r>
      <w:r w:rsidRPr="003137A2" w:rsidR="2A3F4C84">
        <w:rPr>
          <w:rFonts w:eastAsia="Times New Roman" w:cs="Arial"/>
          <w:color w:val="000000"/>
          <w:kern w:val="0"/>
          <w:lang w:eastAsia="en-GB"/>
          <w14:ligatures w14:val="none"/>
        </w:rPr>
        <w:t xml:space="preserve">investment </w:t>
      </w:r>
      <w:r w:rsidRPr="003137A2" w:rsidR="74131136">
        <w:rPr>
          <w:rFonts w:eastAsia="Times New Roman" w:cs="Arial"/>
          <w:color w:val="000000"/>
          <w:kern w:val="0"/>
          <w:lang w:eastAsia="en-GB"/>
          <w14:ligatures w14:val="none"/>
        </w:rPr>
        <w:t>products (</w:t>
      </w:r>
      <w:r w:rsidRPr="003137A2" w:rsidR="74131136">
        <w:rPr>
          <w:rFonts w:eastAsia="Times New Roman" w:cs="Arial"/>
          <w:color w:val="000000"/>
          <w:kern w:val="0"/>
          <w:lang w:eastAsia="en-GB"/>
          <w14:ligatures w14:val="none"/>
        </w:rPr>
        <w:t>Barontini</w:t>
      </w:r>
      <w:r w:rsidRPr="003137A2" w:rsidR="2EEEA978">
        <w:rPr>
          <w:rFonts w:eastAsia="Times New Roman" w:cs="Arial"/>
          <w:color w:val="000000"/>
          <w:kern w:val="0"/>
          <w:lang w:eastAsia="en-GB"/>
          <w14:ligatures w14:val="none"/>
        </w:rPr>
        <w:t xml:space="preserve"> </w:t>
      </w:r>
      <w:r w:rsidRPr="257BFE88" w:rsidR="2EEEA978">
        <w:rPr>
          <w:rFonts w:ascii="Aptos" w:hAnsi="Aptos" w:eastAsia="Aptos" w:cs="Aptos"/>
          <w:noProof w:val="0"/>
          <w:color w:val="000000" w:themeColor="text1" w:themeTint="FF" w:themeShade="FF"/>
          <w:sz w:val="24"/>
          <w:szCs w:val="24"/>
          <w:lang w:val="en-GB"/>
        </w:rPr>
        <w:t xml:space="preserve">and </w:t>
      </w:r>
      <w:r w:rsidRPr="257BFE88" w:rsidR="2EEEA978">
        <w:rPr>
          <w:rFonts w:ascii="Aptos" w:hAnsi="Aptos" w:eastAsia="Aptos" w:cs="Aptos"/>
          <w:noProof w:val="0"/>
          <w:color w:val="000000" w:themeColor="text1" w:themeTint="FF" w:themeShade="FF"/>
          <w:sz w:val="24"/>
          <w:szCs w:val="24"/>
          <w:lang w:val="en-GB"/>
        </w:rPr>
        <w:t>Gioja</w:t>
      </w:r>
      <w:r w:rsidRPr="003137A2" w:rsidR="74131136">
        <w:rPr>
          <w:rFonts w:eastAsia="Times New Roman" w:cs="Arial"/>
          <w:color w:val="000000"/>
          <w:kern w:val="0"/>
          <w:lang w:eastAsia="en-GB"/>
          <w14:ligatures w14:val="none"/>
        </w:rPr>
        <w:t>, 2025; Morningstar, 2026).</w:t>
      </w:r>
    </w:p>
    <w:p w:rsidRPr="003137A2" w:rsidR="003137A2" w:rsidP="257BFE88" w:rsidRDefault="003137A2" w14:paraId="727A79DF" w14:textId="77777777">
      <w:pPr>
        <w:keepNext w:val="1"/>
        <w:keepLines w:val="1"/>
        <w:spacing w:before="160" w:after="80"/>
        <w:outlineLvl w:val="2"/>
        <w:rPr>
          <w:rFonts w:ascii="Times New Roman" w:hAnsi="Times New Roman" w:eastAsia="Times New Roman" w:cs="" w:cstheme="majorBidi"/>
          <w:color w:val="0F4761" w:themeColor="accent1" w:themeShade="BF"/>
          <w:sz w:val="27"/>
          <w:szCs w:val="27"/>
          <w:lang w:eastAsia="en-GB"/>
        </w:rPr>
      </w:pPr>
      <w:bookmarkStart w:name="_Toc1652851548" w:id="501475643"/>
      <w:r w:rsidRPr="257BFE88" w:rsidR="6D7FFB3E">
        <w:rPr>
          <w:rFonts w:eastAsia="Times New Roman" w:cs="" w:cstheme="majorBidi"/>
          <w:color w:val="0F4761" w:themeColor="accent1" w:themeTint="FF" w:themeShade="BF"/>
          <w:sz w:val="28"/>
          <w:szCs w:val="28"/>
          <w:lang w:eastAsia="en-GB"/>
        </w:rPr>
        <w:t>5.3.3 Risk of Misinterpretation</w:t>
      </w:r>
      <w:bookmarkEnd w:id="501475643"/>
    </w:p>
    <w:p w:rsidRPr="003137A2" w:rsidR="003137A2" w:rsidP="08626363" w:rsidRDefault="003137A2" w14:paraId="5FA2586B" w14:textId="4D8FB396">
      <w:pPr>
        <w:spacing w:before="240" w:beforeAutospacing="off" w:after="240" w:afterAutospacing="off" w:line="240" w:lineRule="auto"/>
        <w:rPr>
          <w:rFonts w:ascii="Aptos" w:hAnsi="Aptos" w:eastAsia="Times New Roman" w:cs="Times New Roman"/>
          <w:kern w:val="0"/>
          <w:lang w:eastAsia="en-GB"/>
          <w14:ligatures w14:val="none"/>
        </w:rPr>
      </w:pPr>
      <w:r w:rsidRPr="003137A2" w:rsidR="74131136">
        <w:rPr>
          <w:rFonts w:ascii="Aptos" w:hAnsi="Aptos" w:eastAsia="Times New Roman" w:cs="Arial"/>
          <w:color w:val="000000"/>
          <w:kern w:val="0"/>
          <w:lang w:eastAsia="en-GB"/>
          <w14:ligatures w14:val="none"/>
        </w:rPr>
        <w:t xml:space="preserve">Investors may treat ESG scores as </w:t>
      </w:r>
      <w:r w:rsidRPr="003137A2" w:rsidR="74131136">
        <w:rPr>
          <w:rFonts w:ascii="Aptos" w:hAnsi="Aptos" w:eastAsia="Times New Roman" w:cs="Arial"/>
          <w:color w:val="000000"/>
          <w:kern w:val="0"/>
          <w:lang w:eastAsia="en-GB"/>
          <w14:ligatures w14:val="none"/>
        </w:rPr>
        <w:t>forward</w:t>
      </w:r>
      <w:r w:rsidRPr="003137A2" w:rsidR="74131136">
        <w:rPr>
          <w:rFonts w:ascii="Cambria Math" w:hAnsi="Cambria Math" w:eastAsia="Times New Roman" w:cs="Cambria Math"/>
          <w:color w:val="000000"/>
          <w:kern w:val="0"/>
          <w:lang w:eastAsia="en-GB"/>
          <w14:ligatures w14:val="none"/>
        </w:rPr>
        <w:t xml:space="preserve"> </w:t>
      </w:r>
      <w:r w:rsidRPr="003137A2" w:rsidR="74131136">
        <w:rPr>
          <w:rFonts w:ascii="Aptos" w:hAnsi="Aptos" w:eastAsia="Times New Roman" w:cs="Arial"/>
          <w:color w:val="000000"/>
          <w:kern w:val="0"/>
          <w:lang w:eastAsia="en-GB"/>
          <w14:ligatures w14:val="none"/>
        </w:rPr>
        <w:t>looking</w:t>
      </w:r>
      <w:r w:rsidRPr="003137A2" w:rsidR="74131136">
        <w:rPr>
          <w:rFonts w:ascii="Aptos" w:hAnsi="Aptos" w:eastAsia="Times New Roman" w:cs="Arial"/>
          <w:color w:val="000000"/>
          <w:kern w:val="0"/>
          <w:lang w:eastAsia="en-GB"/>
          <w14:ligatures w14:val="none"/>
        </w:rPr>
        <w:t xml:space="preserve"> signals of risk or ethical </w:t>
      </w:r>
      <w:r w:rsidRPr="003137A2" w:rsidR="0EF547F4">
        <w:rPr>
          <w:rFonts w:ascii="Aptos" w:hAnsi="Aptos" w:eastAsia="Times New Roman" w:cs="Arial"/>
          <w:color w:val="000000"/>
          <w:kern w:val="0"/>
          <w:lang w:eastAsia="en-GB"/>
          <w14:ligatures w14:val="none"/>
        </w:rPr>
        <w:t xml:space="preserve">standards</w:t>
      </w:r>
      <w:r w:rsidRPr="003137A2" w:rsidR="4F711FFD">
        <w:rPr>
          <w:rFonts w:ascii="Aptos" w:hAnsi="Aptos" w:eastAsia="Times New Roman" w:cs="Arial"/>
          <w:color w:val="000000"/>
          <w:kern w:val="0"/>
          <w:lang w:eastAsia="en-GB"/>
          <w14:ligatures w14:val="none"/>
        </w:rPr>
        <w:t xml:space="preserve">. </w:t>
      </w:r>
      <w:r w:rsidRPr="003137A2" w:rsidR="74131136">
        <w:rPr>
          <w:rFonts w:ascii="Aptos" w:hAnsi="Aptos" w:eastAsia="Times New Roman" w:cs="Arial"/>
          <w:color w:val="000000"/>
          <w:kern w:val="0"/>
          <w:lang w:eastAsia="en-GB"/>
          <w14:ligatures w14:val="none"/>
        </w:rPr>
        <w:t xml:space="preserve"> </w:t>
      </w:r>
      <w:r w:rsidRPr="003137A2" w:rsidR="7C6AB1E3">
        <w:rPr>
          <w:rFonts w:ascii="Aptos" w:hAnsi="Aptos" w:eastAsia="Times New Roman" w:cs="Arial"/>
          <w:color w:val="000000"/>
          <w:kern w:val="0"/>
          <w:lang w:eastAsia="en-GB"/>
          <w14:ligatures w14:val="none"/>
        </w:rPr>
        <w:t xml:space="preserve">However,</w:t>
      </w:r>
      <w:r w:rsidRPr="003137A2" w:rsidR="4573945A">
        <w:rPr>
          <w:rFonts w:ascii="Aptos" w:hAnsi="Aptos" w:eastAsia="Times New Roman" w:cs="Arial"/>
          <w:color w:val="000000"/>
          <w:kern w:val="0"/>
          <w:lang w:eastAsia="en-GB"/>
          <w14:ligatures w14:val="none"/>
        </w:rPr>
        <w:t xml:space="preserve"> it is </w:t>
      </w:r>
      <w:r w:rsidRPr="003137A2" w:rsidR="4573945A">
        <w:rPr>
          <w:rFonts w:ascii="Aptos" w:hAnsi="Aptos" w:eastAsia="Times New Roman" w:cs="Arial"/>
          <w:color w:val="000000"/>
          <w:kern w:val="0"/>
          <w:lang w:eastAsia="en-GB"/>
          <w14:ligatures w14:val="none"/>
        </w:rPr>
        <w:t xml:space="preserve">evident</w:t>
      </w:r>
      <w:r w:rsidRPr="003137A2" w:rsidR="74131136">
        <w:rPr>
          <w:rFonts w:ascii="Aptos" w:hAnsi="Aptos" w:eastAsia="Times New Roman" w:cs="Arial"/>
          <w:color w:val="000000"/>
          <w:kern w:val="0"/>
          <w:lang w:eastAsia="en-GB"/>
          <w14:ligatures w14:val="none"/>
        </w:rPr>
        <w:t xml:space="preserve"> many ratings are </w:t>
      </w:r>
      <w:r w:rsidRPr="003137A2" w:rsidR="74131136">
        <w:rPr>
          <w:rFonts w:ascii="Aptos" w:hAnsi="Aptos" w:eastAsia="Times New Roman" w:cs="Arial"/>
          <w:color w:val="000000"/>
          <w:kern w:val="0"/>
          <w:lang w:eastAsia="en-GB"/>
          <w14:ligatures w14:val="none"/>
        </w:rPr>
        <w:t>largely backward</w:t>
      </w:r>
      <w:r w:rsidRPr="003137A2" w:rsidR="74131136">
        <w:rPr>
          <w:rFonts w:ascii="Cambria Math" w:hAnsi="Cambria Math" w:eastAsia="Times New Roman" w:cs="Cambria Math"/>
          <w:color w:val="000000"/>
          <w:kern w:val="0"/>
          <w:lang w:eastAsia="en-GB"/>
          <w14:ligatures w14:val="none"/>
        </w:rPr>
        <w:t xml:space="preserve"> </w:t>
      </w:r>
      <w:r w:rsidRPr="003137A2" w:rsidR="74131136">
        <w:rPr>
          <w:rFonts w:ascii="Aptos" w:hAnsi="Aptos" w:eastAsia="Times New Roman" w:cs="Arial"/>
          <w:color w:val="000000"/>
          <w:kern w:val="0"/>
          <w:lang w:eastAsia="en-GB"/>
          <w14:ligatures w14:val="none"/>
        </w:rPr>
        <w:t>looking and</w:t>
      </w:r>
      <w:r w:rsidRPr="003137A2" w:rsidR="4E488116">
        <w:rPr>
          <w:rFonts w:ascii="Aptos" w:hAnsi="Aptos" w:eastAsia="Times New Roman" w:cs="Arial"/>
          <w:color w:val="000000"/>
          <w:kern w:val="0"/>
          <w:lang w:eastAsia="en-GB"/>
          <w14:ligatures w14:val="none"/>
        </w:rPr>
        <w:t xml:space="preserve"> are</w:t>
      </w:r>
      <w:r w:rsidRPr="003137A2" w:rsidR="74131136">
        <w:rPr>
          <w:rFonts w:ascii="Aptos" w:hAnsi="Aptos" w:eastAsia="Times New Roman" w:cs="Arial"/>
          <w:color w:val="000000"/>
          <w:kern w:val="0"/>
          <w:lang w:eastAsia="en-GB"/>
          <w14:ligatures w14:val="none"/>
        </w:rPr>
        <w:t xml:space="preserve"> based on company </w:t>
      </w:r>
      <w:r w:rsidRPr="003137A2" w:rsidR="2B0DB072">
        <w:rPr>
          <w:rFonts w:ascii="Aptos" w:hAnsi="Aptos" w:eastAsia="Times New Roman" w:cs="Arial"/>
          <w:color w:val="000000"/>
          <w:kern w:val="0"/>
          <w:lang w:eastAsia="en-GB"/>
          <w14:ligatures w14:val="none"/>
        </w:rPr>
        <w:t xml:space="preserve">information that is not verified as </w:t>
      </w:r>
      <w:r w:rsidRPr="003137A2" w:rsidR="2B0DB072">
        <w:rPr>
          <w:rFonts w:ascii="Aptos" w:hAnsi="Aptos" w:eastAsia="Times New Roman" w:cs="Arial"/>
          <w:color w:val="000000"/>
          <w:kern w:val="0"/>
          <w:lang w:eastAsia="en-GB"/>
          <w14:ligatures w14:val="none"/>
        </w:rPr>
        <w:t>accurate</w:t>
      </w:r>
      <w:r w:rsidRPr="003137A2" w:rsidR="2B0DB072">
        <w:rPr>
          <w:rFonts w:ascii="Aptos" w:hAnsi="Aptos" w:eastAsia="Times New Roman" w:cs="Arial"/>
          <w:color w:val="000000"/>
          <w:kern w:val="0"/>
          <w:lang w:eastAsia="en-GB"/>
          <w14:ligatures w14:val="none"/>
        </w:rPr>
        <w:t xml:space="preserve"> </w:t>
      </w:r>
      <w:r w:rsidRPr="08626363" w:rsidR="07F77775">
        <w:rPr>
          <w:rFonts w:ascii="Aptos" w:hAnsi="Aptos" w:eastAsia="Aptos" w:cs="Aptos"/>
          <w:noProof w:val="0"/>
          <w:color w:val="000000" w:themeColor="text1" w:themeTint="FF" w:themeShade="FF"/>
          <w:sz w:val="24"/>
          <w:szCs w:val="24"/>
          <w:lang w:val="en-GB"/>
        </w:rPr>
        <w:t>(Dincă, 2025)</w:t>
      </w:r>
      <w:r w:rsidRPr="003137A2" w:rsidR="74131136">
        <w:rPr>
          <w:rFonts w:ascii="Aptos" w:hAnsi="Aptos" w:eastAsia="Times New Roman" w:cs="Arial"/>
          <w:color w:val="000000"/>
          <w:kern w:val="0"/>
          <w:lang w:eastAsia="en-GB"/>
          <w14:ligatures w14:val="none"/>
        </w:rPr>
        <w:t xml:space="preserve">. </w:t>
      </w:r>
      <w:r w:rsidRPr="003137A2" w:rsidR="4333E12E">
        <w:rPr>
          <w:rFonts w:ascii="Aptos" w:hAnsi="Aptos" w:eastAsia="Times New Roman" w:cs="Arial"/>
          <w:color w:val="000000"/>
          <w:kern w:val="0"/>
          <w:lang w:eastAsia="en-GB"/>
          <w14:ligatures w14:val="none"/>
        </w:rPr>
        <w:t xml:space="preserve"> </w:t>
      </w:r>
      <w:r w:rsidRPr="003137A2" w:rsidR="4333E12E">
        <w:rPr>
          <w:rFonts w:ascii="Aptos" w:hAnsi="Aptos" w:eastAsia="Times New Roman" w:cs="Arial"/>
          <w:color w:val="000000"/>
          <w:kern w:val="0"/>
          <w:lang w:eastAsia="en-GB"/>
          <w14:ligatures w14:val="none"/>
        </w:rPr>
        <w:t xml:space="preserve">In </w:t>
      </w:r>
      <w:r w:rsidRPr="003137A2" w:rsidR="1A1BA065">
        <w:rPr>
          <w:rFonts w:ascii="Aptos" w:hAnsi="Aptos" w:eastAsia="Times New Roman" w:cs="Arial"/>
          <w:color w:val="000000"/>
          <w:kern w:val="0"/>
          <w:lang w:eastAsia="en-GB"/>
          <w14:ligatures w14:val="none"/>
        </w:rPr>
        <w:t>consequence there</w:t>
      </w:r>
      <w:r w:rsidRPr="003137A2" w:rsidR="4333E12E">
        <w:rPr>
          <w:rFonts w:ascii="Aptos" w:hAnsi="Aptos" w:eastAsia="Times New Roman" w:cs="Arial"/>
          <w:color w:val="000000"/>
          <w:kern w:val="0"/>
          <w:lang w:eastAsia="en-GB"/>
          <w14:ligatures w14:val="none"/>
        </w:rPr>
        <w:t xml:space="preserve"> can be</w:t>
      </w:r>
      <w:r w:rsidRPr="003137A2" w:rsidR="74131136">
        <w:rPr>
          <w:rFonts w:ascii="Aptos" w:hAnsi="Aptos" w:eastAsia="Times New Roman" w:cs="Arial"/>
          <w:color w:val="000000"/>
          <w:kern w:val="0"/>
          <w:lang w:eastAsia="en-GB"/>
          <w14:ligatures w14:val="none"/>
        </w:rPr>
        <w:t xml:space="preserve"> an over</w:t>
      </w:r>
      <w:r w:rsidRPr="003137A2" w:rsidR="74131136">
        <w:rPr>
          <w:rFonts w:ascii="Cambria Math" w:hAnsi="Cambria Math" w:eastAsia="Times New Roman" w:cs="Cambria Math"/>
          <w:color w:val="000000"/>
          <w:kern w:val="0"/>
          <w:lang w:eastAsia="en-GB"/>
          <w14:ligatures w14:val="none"/>
        </w:rPr>
        <w:t xml:space="preserve"> </w:t>
      </w:r>
      <w:r w:rsidRPr="003137A2" w:rsidR="74131136">
        <w:rPr>
          <w:rFonts w:ascii="Aptos" w:hAnsi="Aptos" w:eastAsia="Times New Roman" w:cs="Arial"/>
          <w:color w:val="000000"/>
          <w:kern w:val="0"/>
          <w:lang w:eastAsia="en-GB"/>
          <w14:ligatures w14:val="none"/>
        </w:rPr>
        <w:t>reliance on simplified me</w:t>
      </w:r>
      <w:r w:rsidRPr="003137A2" w:rsidR="3451C9FD">
        <w:rPr>
          <w:rFonts w:ascii="Aptos" w:hAnsi="Aptos" w:eastAsia="Times New Roman" w:cs="Arial"/>
          <w:color w:val="000000"/>
          <w:kern w:val="0"/>
          <w:lang w:eastAsia="en-GB"/>
          <w14:ligatures w14:val="none"/>
        </w:rPr>
        <w:t>asure</w:t>
      </w:r>
      <w:r w:rsidRPr="003137A2" w:rsidR="74131136">
        <w:rPr>
          <w:rFonts w:ascii="Aptos" w:hAnsi="Aptos" w:eastAsia="Times New Roman" w:cs="Arial"/>
          <w:color w:val="000000"/>
          <w:kern w:val="0"/>
          <w:lang w:eastAsia="en-GB"/>
          <w14:ligatures w14:val="none"/>
        </w:rPr>
        <w:t xml:space="preserve"> that do not fully reflect a company</w:t>
      </w:r>
      <w:r w:rsidRPr="003137A2" w:rsidR="74131136">
        <w:rPr>
          <w:rFonts w:ascii="Aptos" w:hAnsi="Aptos" w:eastAsia="Times New Roman" w:cs="Aptos"/>
          <w:color w:val="000000"/>
          <w:kern w:val="0"/>
          <w:lang w:eastAsia="en-GB"/>
          <w14:ligatures w14:val="none"/>
        </w:rPr>
        <w:t>’</w:t>
      </w:r>
      <w:r w:rsidRPr="003137A2" w:rsidR="74131136">
        <w:rPr>
          <w:rFonts w:ascii="Aptos" w:hAnsi="Aptos" w:eastAsia="Times New Roman" w:cs="Arial"/>
          <w:color w:val="000000"/>
          <w:kern w:val="0"/>
          <w:lang w:eastAsia="en-GB"/>
          <w14:ligatures w14:val="none"/>
        </w:rPr>
        <w:t xml:space="preserve">s actual performance, strategic resilience, or </w:t>
      </w:r>
      <w:r w:rsidRPr="003137A2" w:rsidR="74131136">
        <w:rPr>
          <w:rFonts w:ascii="Aptos" w:hAnsi="Aptos" w:eastAsia="Times New Roman" w:cs="Arial"/>
          <w:color w:val="000000"/>
          <w:kern w:val="0"/>
          <w:lang w:eastAsia="en-GB"/>
          <w14:ligatures w14:val="none"/>
        </w:rPr>
        <w:t>long</w:t>
      </w:r>
      <w:r w:rsidRPr="003137A2" w:rsidR="74131136">
        <w:rPr>
          <w:rFonts w:ascii="Cambria Math" w:hAnsi="Cambria Math" w:eastAsia="Times New Roman" w:cs="Cambria Math"/>
          <w:color w:val="000000"/>
          <w:kern w:val="0"/>
          <w:lang w:eastAsia="en-GB"/>
          <w14:ligatures w14:val="none"/>
        </w:rPr>
        <w:t xml:space="preserve"> </w:t>
      </w:r>
      <w:r w:rsidRPr="003137A2" w:rsidR="3F2FBF5D">
        <w:rPr>
          <w:rFonts w:ascii="Aptos" w:hAnsi="Aptos" w:eastAsia="Times New Roman" w:cs="Arial"/>
          <w:color w:val="000000"/>
          <w:kern w:val="0"/>
          <w:lang w:eastAsia="en-GB"/>
          <w14:ligatures w14:val="none"/>
        </w:rPr>
        <w:t xml:space="preserve">term growth</w:t>
      </w:r>
      <w:r w:rsidRPr="003137A2" w:rsidR="481EFA11">
        <w:rPr>
          <w:rFonts w:ascii="Aptos" w:hAnsi="Aptos" w:eastAsia="Times New Roman" w:cs="Arial"/>
          <w:color w:val="000000"/>
          <w:kern w:val="0"/>
          <w:lang w:eastAsia="en-GB"/>
          <w14:ligatures w14:val="none"/>
        </w:rPr>
        <w:t xml:space="preserve"> </w:t>
      </w:r>
      <w:r w:rsidRPr="08626363" w:rsidR="481EFA11">
        <w:rPr>
          <w:rFonts w:ascii="Aptos" w:hAnsi="Aptos" w:eastAsia="Aptos" w:cs="Aptos"/>
          <w:noProof w:val="0"/>
          <w:color w:val="000000" w:themeColor="text1" w:themeTint="FF" w:themeShade="FF"/>
          <w:sz w:val="24"/>
          <w:szCs w:val="24"/>
          <w:lang w:val="en-GB"/>
        </w:rPr>
        <w:t>(Taskin, 2025)</w:t>
      </w:r>
      <w:r w:rsidRPr="003137A2" w:rsidR="74131136">
        <w:rPr>
          <w:rFonts w:ascii="Aptos" w:hAnsi="Aptos" w:eastAsia="Times New Roman" w:cs="Arial"/>
          <w:color w:val="000000"/>
          <w:kern w:val="0"/>
          <w:lang w:eastAsia="en-GB"/>
          <w14:ligatures w14:val="none"/>
        </w:rPr>
        <w:t xml:space="preserve">.</w:t>
      </w:r>
      <w:r w:rsidRPr="003137A2" w:rsidR="74131136">
        <w:rPr>
          <w:rFonts w:ascii="Aptos" w:hAnsi="Aptos" w:eastAsia="Times New Roman" w:cs="Arial"/>
          <w:color w:val="000000"/>
          <w:kern w:val="0"/>
          <w:lang w:eastAsia="en-GB"/>
          <w14:ligatures w14:val="none"/>
        </w:rPr>
        <w:t xml:space="preserve"> </w:t>
      </w:r>
    </w:p>
    <w:p w:rsidRPr="003137A2" w:rsidR="003137A2" w:rsidP="257BFE88" w:rsidRDefault="003137A2" w14:paraId="7226FD2D" w14:textId="429A047F">
      <w:pPr>
        <w:keepNext w:val="1"/>
        <w:keepLines w:val="1"/>
        <w:spacing w:before="160" w:after="80"/>
        <w:outlineLvl w:val="2"/>
        <w:rPr>
          <w:rFonts w:ascii="Times New Roman" w:hAnsi="Times New Roman" w:eastAsia="Times New Roman" w:cs="" w:cstheme="majorBidi"/>
          <w:color w:val="0F4761" w:themeColor="accent1" w:themeShade="BF"/>
          <w:sz w:val="27"/>
          <w:szCs w:val="27"/>
          <w:lang w:eastAsia="en-GB"/>
        </w:rPr>
      </w:pPr>
      <w:bookmarkStart w:name="_Toc1759229733" w:id="323211087"/>
      <w:r w:rsidRPr="257BFE88" w:rsidR="6D7FFB3E">
        <w:rPr>
          <w:rFonts w:eastAsia="Times New Roman" w:cs="" w:cstheme="majorBidi"/>
          <w:color w:val="0F4761" w:themeColor="accent1" w:themeTint="FF" w:themeShade="BF"/>
          <w:sz w:val="28"/>
          <w:szCs w:val="28"/>
          <w:lang w:eastAsia="en-GB"/>
        </w:rPr>
        <w:t>5.3.4 Positive</w:t>
      </w:r>
      <w:r w:rsidRPr="257BFE88" w:rsidR="6B68453E">
        <w:rPr>
          <w:rFonts w:eastAsia="Times New Roman" w:cs="" w:cstheme="majorBidi"/>
          <w:color w:val="0F4761" w:themeColor="accent1" w:themeTint="FF" w:themeShade="BF"/>
          <w:sz w:val="28"/>
          <w:szCs w:val="28"/>
          <w:lang w:eastAsia="en-GB"/>
        </w:rPr>
        <w:t xml:space="preserve"> Aspects</w:t>
      </w:r>
      <w:bookmarkEnd w:id="323211087"/>
      <w:r w:rsidRPr="257BFE88" w:rsidR="6B68453E">
        <w:rPr>
          <w:rFonts w:eastAsia="Times New Roman" w:cs="" w:cstheme="majorBidi"/>
          <w:color w:val="0F4761" w:themeColor="accent1" w:themeTint="FF" w:themeShade="BF"/>
          <w:sz w:val="28"/>
          <w:szCs w:val="28"/>
          <w:lang w:eastAsia="en-GB"/>
        </w:rPr>
        <w:t xml:space="preserve"> </w:t>
      </w:r>
    </w:p>
    <w:p w:rsidRPr="003137A2" w:rsidR="003137A2" w:rsidP="08626363" w:rsidRDefault="003137A2" w14:paraId="5CCB8E4C" w14:textId="4CCED308">
      <w:pPr>
        <w:pStyle w:val="Normal"/>
        <w:spacing w:before="240" w:after="240" w:line="240" w:lineRule="auto"/>
        <w:rPr>
          <w:rFonts w:ascii="Aptos" w:hAnsi="Aptos" w:eastAsia="Times New Roman" w:cs="Arial"/>
          <w:color w:val="000000"/>
          <w:kern w:val="0"/>
          <w:lang w:eastAsia="en-GB"/>
          <w14:ligatures w14:val="none"/>
        </w:rPr>
      </w:pPr>
      <w:r w:rsidRPr="003137A2" w:rsidR="74131136">
        <w:rPr>
          <w:rFonts w:ascii="Aptos" w:hAnsi="Aptos" w:eastAsia="Times New Roman" w:cs="Arial"/>
          <w:color w:val="000000"/>
          <w:kern w:val="0"/>
          <w:lang w:eastAsia="en-GB"/>
          <w14:ligatures w14:val="none"/>
        </w:rPr>
        <w:t xml:space="preserve">Despite the limitations</w:t>
      </w:r>
      <w:r w:rsidRPr="003137A2" w:rsidR="039341B5">
        <w:rPr>
          <w:rFonts w:ascii="Aptos" w:hAnsi="Aptos" w:eastAsia="Times New Roman" w:cs="Arial"/>
          <w:color w:val="000000"/>
          <w:kern w:val="0"/>
          <w:lang w:eastAsia="en-GB"/>
          <w14:ligatures w14:val="none"/>
        </w:rPr>
        <w:t xml:space="preserve"> </w:t>
      </w:r>
      <w:r w:rsidRPr="003137A2" w:rsidR="039341B5">
        <w:rPr>
          <w:rFonts w:ascii="Aptos" w:hAnsi="Aptos" w:eastAsia="Times New Roman" w:cs="Arial"/>
          <w:color w:val="000000"/>
          <w:kern w:val="0"/>
          <w:lang w:eastAsia="en-GB"/>
          <w14:ligatures w14:val="none"/>
        </w:rPr>
        <w:t xml:space="preserve">identified</w:t>
      </w:r>
      <w:r w:rsidRPr="003137A2" w:rsidR="74131136">
        <w:rPr>
          <w:rFonts w:ascii="Aptos" w:hAnsi="Aptos" w:eastAsia="Times New Roman" w:cs="Arial"/>
          <w:color w:val="000000"/>
          <w:kern w:val="0"/>
          <w:lang w:eastAsia="en-GB"/>
          <w14:ligatures w14:val="none"/>
        </w:rPr>
        <w:t xml:space="preserve">, ESG scoring systems have contributed to raising </w:t>
      </w:r>
      <w:r w:rsidRPr="003137A2" w:rsidR="74131136">
        <w:rPr>
          <w:rFonts w:ascii="Aptos" w:hAnsi="Aptos" w:eastAsia="Times New Roman" w:cs="Arial"/>
          <w:color w:val="000000"/>
          <w:kern w:val="0"/>
          <w:lang w:eastAsia="en-GB"/>
          <w14:ligatures w14:val="none"/>
        </w:rPr>
        <w:t>minimum</w:t>
      </w:r>
      <w:r w:rsidRPr="003137A2" w:rsidR="74131136">
        <w:rPr>
          <w:rFonts w:ascii="Aptos" w:hAnsi="Aptos" w:eastAsia="Times New Roman" w:cs="Arial"/>
          <w:color w:val="000000"/>
          <w:kern w:val="0"/>
          <w:lang w:eastAsia="en-GB"/>
          <w14:ligatures w14:val="none"/>
        </w:rPr>
        <w:t xml:space="preserve"> standards of corporate behaviour. Research shows that sustainability practices and reporting requirements can strengthen governance</w:t>
      </w:r>
      <w:r w:rsidRPr="003137A2" w:rsidR="74131136">
        <w:rPr>
          <w:rFonts w:ascii="Aptos" w:hAnsi="Aptos" w:eastAsia="Times New Roman" w:cs="Arial"/>
          <w:color w:val="000000"/>
          <w:kern w:val="0"/>
          <w:lang w:eastAsia="en-GB"/>
          <w14:ligatures w14:val="none"/>
        </w:rPr>
        <w:t xml:space="preserve"> structures</w:t>
      </w:r>
      <w:r w:rsidRPr="003137A2" w:rsidR="74131136">
        <w:rPr>
          <w:rFonts w:ascii="Aptos" w:hAnsi="Aptos" w:eastAsia="Times New Roman" w:cs="Arial"/>
          <w:color w:val="000000"/>
          <w:kern w:val="0"/>
          <w:lang w:eastAsia="en-GB"/>
          <w14:ligatures w14:val="none"/>
        </w:rPr>
        <w:t xml:space="preserve">, improve internal </w:t>
      </w:r>
      <w:r w:rsidRPr="003137A2" w:rsidR="74131136">
        <w:rPr>
          <w:rFonts w:ascii="Aptos" w:hAnsi="Aptos" w:eastAsia="Times New Roman" w:cs="Arial"/>
          <w:color w:val="000000"/>
          <w:kern w:val="0"/>
          <w:lang w:eastAsia="en-GB"/>
          <w14:ligatures w14:val="none"/>
        </w:rPr>
        <w:t>p</w:t>
      </w:r>
      <w:r w:rsidRPr="003137A2" w:rsidR="74131136">
        <w:rPr>
          <w:rFonts w:ascii="Aptos" w:hAnsi="Aptos" w:eastAsia="Times New Roman" w:cs="Arial"/>
          <w:color w:val="000000"/>
          <w:kern w:val="0"/>
          <w:lang w:eastAsia="en-GB"/>
          <w14:ligatures w14:val="none"/>
        </w:rPr>
        <w:t>rocesses</w:t>
      </w:r>
      <w:r w:rsidRPr="003137A2" w:rsidR="74131136">
        <w:rPr>
          <w:rFonts w:ascii="Aptos" w:hAnsi="Aptos" w:eastAsia="Times New Roman" w:cs="Arial"/>
          <w:color w:val="000000"/>
          <w:kern w:val="0"/>
          <w:lang w:eastAsia="en-GB"/>
          <w14:ligatures w14:val="none"/>
        </w:rPr>
        <w:t xml:space="preserve"> a</w:t>
      </w:r>
      <w:r w:rsidRPr="003137A2" w:rsidR="74131136">
        <w:rPr>
          <w:rFonts w:ascii="Aptos" w:hAnsi="Aptos" w:eastAsia="Times New Roman" w:cs="Arial"/>
          <w:color w:val="000000"/>
          <w:kern w:val="0"/>
          <w:lang w:eastAsia="en-GB"/>
          <w14:ligatures w14:val="none"/>
        </w:rPr>
        <w:t>nd</w:t>
      </w:r>
      <w:r w:rsidRPr="003137A2" w:rsidR="74131136">
        <w:rPr>
          <w:rFonts w:ascii="Aptos" w:hAnsi="Aptos" w:eastAsia="Times New Roman" w:cs="Arial"/>
          <w:color w:val="000000"/>
          <w:kern w:val="0"/>
          <w:lang w:eastAsia="en-GB"/>
          <w14:ligatures w14:val="none"/>
        </w:rPr>
        <w:t xml:space="preserve"> encourage more responsible conduct (</w:t>
      </w:r>
      <w:r w:rsidRPr="08626363" w:rsidR="74131136">
        <w:rPr>
          <w:rFonts w:ascii="Aptos" w:hAnsi="Aptos" w:eastAsia="Times New Roman" w:cs="Arial"/>
          <w:color w:val="000000"/>
          <w:kern w:val="0"/>
          <w:lang w:eastAsia="en-GB"/>
          <w14:ligatures w14:val="none"/>
        </w:rPr>
        <w:t xml:space="preserve">Eccles, Ioannou &amp; Serafeim, </w:t>
      </w:r>
      <w:r w:rsidRPr="08626363" w:rsidR="74131136">
        <w:rPr>
          <w:rFonts w:ascii="Aptos" w:hAnsi="Aptos" w:eastAsia="Times New Roman" w:cs="Arial"/>
          <w:color w:val="000000"/>
          <w:kern w:val="0"/>
          <w:lang w:eastAsia="en-GB"/>
          <w14:ligatures w14:val="none"/>
        </w:rPr>
        <w:t>2014; Ioannou &amp; Serafeim, 2017)</w:t>
      </w:r>
      <w:r w:rsidRPr="003137A2" w:rsidR="74131136">
        <w:rPr>
          <w:rFonts w:ascii="Aptos" w:hAnsi="Aptos" w:eastAsia="Times New Roman" w:cs="Arial"/>
          <w:color w:val="000000"/>
          <w:kern w:val="0"/>
          <w:lang w:eastAsia="en-GB"/>
          <w14:ligatures w14:val="none"/>
        </w:rPr>
        <w:t xml:space="preserve">. The ESG approach has also </w:t>
      </w:r>
      <w:r w:rsidRPr="003137A2" w:rsidR="3B4EFA90">
        <w:rPr>
          <w:rFonts w:ascii="Aptos" w:hAnsi="Aptos" w:eastAsia="Times New Roman" w:cs="Arial"/>
          <w:color w:val="000000"/>
          <w:kern w:val="0"/>
          <w:lang w:eastAsia="en-GB"/>
          <w14:ligatures w14:val="none"/>
        </w:rPr>
        <w:t xml:space="preserve">encouraged</w:t>
      </w:r>
      <w:r w:rsidRPr="003137A2" w:rsidR="74131136">
        <w:rPr>
          <w:rFonts w:ascii="Aptos" w:hAnsi="Aptos" w:eastAsia="Times New Roman" w:cs="Arial"/>
          <w:color w:val="000000"/>
          <w:kern w:val="0"/>
          <w:lang w:eastAsia="en-GB"/>
          <w14:ligatures w14:val="none"/>
        </w:rPr>
        <w:t xml:space="preserve"> companies to</w:t>
      </w:r>
      <w:r w:rsidRPr="003137A2" w:rsidR="07E3BAC6">
        <w:rPr>
          <w:rFonts w:ascii="Aptos" w:hAnsi="Aptos" w:eastAsia="Times New Roman" w:cs="Arial"/>
          <w:color w:val="000000"/>
          <w:kern w:val="0"/>
          <w:lang w:eastAsia="en-GB"/>
          <w14:ligatures w14:val="none"/>
        </w:rPr>
        <w:t xml:space="preserve"> be more</w:t>
      </w:r>
      <w:r w:rsidRPr="003137A2" w:rsidR="74131136">
        <w:rPr>
          <w:rFonts w:ascii="Aptos" w:hAnsi="Aptos" w:eastAsia="Times New Roman" w:cs="Arial"/>
          <w:color w:val="000000"/>
          <w:kern w:val="0"/>
          <w:lang w:eastAsia="en-GB"/>
          <w14:ligatures w14:val="none"/>
        </w:rPr>
        <w:t xml:space="preserve"> </w:t>
      </w:r>
      <w:r w:rsidRPr="08626363" w:rsidR="618FE171">
        <w:rPr>
          <w:rFonts w:ascii="Aptos" w:hAnsi="Aptos" w:eastAsia="Aptos" w:cs="Aptos"/>
          <w:noProof w:val="0"/>
          <w:color w:val="auto"/>
          <w:sz w:val="24"/>
          <w:szCs w:val="24"/>
          <w:lang w:val="en-GB"/>
        </w:rPr>
        <w:t>o</w:t>
      </w:r>
      <w:r w:rsidRPr="08626363" w:rsidR="06B3FF68">
        <w:rPr>
          <w:rFonts w:ascii="Aptos" w:hAnsi="Aptos" w:eastAsia="Aptos" w:cs="Aptos"/>
          <w:noProof w:val="0"/>
          <w:color w:val="auto"/>
          <w:sz w:val="24"/>
          <w:szCs w:val="24"/>
          <w:lang w:val="en-GB"/>
        </w:rPr>
        <w:t>pen and honest. ESG scoring as a result has</w:t>
      </w:r>
      <w:r w:rsidRPr="08626363" w:rsidR="618FE171">
        <w:rPr>
          <w:rFonts w:ascii="Aptos" w:hAnsi="Aptos" w:eastAsia="Aptos" w:cs="Aptos"/>
          <w:noProof w:val="0"/>
          <w:color w:val="auto"/>
          <w:sz w:val="24"/>
          <w:szCs w:val="24"/>
          <w:lang w:val="en-GB"/>
        </w:rPr>
        <w:t xml:space="preserve"> </w:t>
      </w:r>
      <w:r w:rsidRPr="08626363" w:rsidR="618FE171">
        <w:rPr>
          <w:rFonts w:ascii="Aptos" w:hAnsi="Aptos" w:eastAsia="Aptos" w:cs="Aptos"/>
          <w:noProof w:val="0"/>
          <w:color w:val="auto"/>
          <w:sz w:val="24"/>
          <w:szCs w:val="24"/>
          <w:lang w:val="en-GB"/>
        </w:rPr>
        <w:t>improved</w:t>
      </w:r>
      <w:r w:rsidRPr="08626363" w:rsidR="618FE171">
        <w:rPr>
          <w:rFonts w:ascii="Aptos" w:hAnsi="Aptos" w:eastAsia="Aptos" w:cs="Aptos"/>
          <w:noProof w:val="0"/>
          <w:color w:val="000000" w:themeColor="text1" w:themeTint="FF" w:themeShade="FF"/>
          <w:sz w:val="24"/>
          <w:szCs w:val="24"/>
          <w:lang w:val="en-GB"/>
        </w:rPr>
        <w:t xml:space="preserve"> </w:t>
      </w:r>
      <w:r w:rsidRPr="003137A2" w:rsidR="74131136">
        <w:rPr>
          <w:rFonts w:ascii="Aptos" w:hAnsi="Aptos" w:eastAsia="Times New Roman" w:cs="Arial"/>
          <w:color w:val="000000"/>
          <w:kern w:val="0"/>
          <w:lang w:eastAsia="en-GB"/>
          <w14:ligatures w14:val="none"/>
        </w:rPr>
        <w:t xml:space="preserve">management of environmental and social risks </w:t>
      </w:r>
      <w:r w:rsidRPr="08626363" w:rsidR="74131136">
        <w:rPr>
          <w:rFonts w:ascii="Aptos" w:hAnsi="Aptos" w:eastAsia="Times New Roman" w:cs="Arial"/>
          <w:color w:val="000000"/>
          <w:kern w:val="0"/>
          <w:lang w:eastAsia="en-GB"/>
          <w14:ligatures w14:val="none"/>
        </w:rPr>
        <w:t xml:space="preserve">(Christensen, Hail &amp; </w:t>
      </w:r>
      <w:r w:rsidRPr="08626363" w:rsidR="74131136">
        <w:rPr>
          <w:rFonts w:ascii="Aptos" w:hAnsi="Aptos" w:eastAsia="Times New Roman" w:cs="Arial"/>
          <w:color w:val="000000"/>
          <w:kern w:val="0"/>
          <w:lang w:eastAsia="en-GB"/>
          <w14:ligatures w14:val="none"/>
        </w:rPr>
        <w:t>Leuz</w:t>
      </w:r>
      <w:r w:rsidRPr="08626363" w:rsidR="74131136">
        <w:rPr>
          <w:rFonts w:ascii="Aptos" w:hAnsi="Aptos" w:eastAsia="Times New Roman" w:cs="Arial"/>
          <w:color w:val="000000"/>
          <w:kern w:val="0"/>
          <w:lang w:eastAsia="en-GB"/>
          <w14:ligatures w14:val="none"/>
        </w:rPr>
        <w:t>, 2021)</w:t>
      </w:r>
      <w:r w:rsidRPr="003137A2" w:rsidR="74131136">
        <w:rPr>
          <w:rFonts w:ascii="Aptos" w:hAnsi="Aptos" w:eastAsia="Times New Roman" w:cs="Arial"/>
          <w:color w:val="000000"/>
          <w:kern w:val="0"/>
          <w:lang w:eastAsia="en-GB"/>
          <w14:ligatures w14:val="none"/>
        </w:rPr>
        <w:t xml:space="preserve">. </w:t>
      </w:r>
      <w:r w:rsidRPr="003137A2" w:rsidR="6A214191">
        <w:rPr>
          <w:rFonts w:ascii="Aptos" w:hAnsi="Aptos" w:eastAsia="Times New Roman" w:cs="Arial"/>
          <w:color w:val="000000"/>
          <w:kern w:val="0"/>
          <w:lang w:eastAsia="en-GB"/>
          <w14:ligatures w14:val="none"/>
        </w:rPr>
        <w:t>At the same time</w:t>
      </w:r>
      <w:r w:rsidRPr="003137A2" w:rsidR="74131136">
        <w:rPr>
          <w:rFonts w:ascii="Aptos" w:hAnsi="Aptos" w:eastAsia="Times New Roman" w:cs="Arial"/>
          <w:color w:val="000000"/>
          <w:kern w:val="0"/>
          <w:lang w:eastAsia="en-GB"/>
          <w14:ligatures w14:val="none"/>
        </w:rPr>
        <w:t xml:space="preserve">, ESG approaches have increased investor awareness of sustainability</w:t>
      </w:r>
      <w:r w:rsidRPr="003137A2" w:rsidR="74131136">
        <w:rPr>
          <w:rFonts w:ascii="Cambria Math" w:hAnsi="Cambria Math" w:eastAsia="Times New Roman" w:cs="Cambria Math"/>
          <w:color w:val="000000"/>
          <w:kern w:val="0"/>
          <w:lang w:eastAsia="en-GB"/>
          <w14:ligatures w14:val="none"/>
        </w:rPr>
        <w:t xml:space="preserve"> </w:t>
      </w:r>
      <w:r w:rsidRPr="003137A2" w:rsidR="74131136">
        <w:rPr>
          <w:rFonts w:ascii="Aptos" w:hAnsi="Aptos" w:eastAsia="Times New Roman" w:cs="Arial"/>
          <w:color w:val="000000"/>
          <w:kern w:val="0"/>
          <w:lang w:eastAsia="en-GB"/>
          <w14:ligatures w14:val="none"/>
        </w:rPr>
        <w:t xml:space="preserve">related risks and opportunities</w:t>
      </w:r>
      <w:r w:rsidRPr="003137A2" w:rsidR="25D551AA">
        <w:rPr>
          <w:rFonts w:ascii="Aptos" w:hAnsi="Aptos" w:eastAsia="Times New Roman" w:cs="Arial"/>
          <w:color w:val="000000"/>
          <w:kern w:val="0"/>
          <w:lang w:eastAsia="en-GB"/>
          <w14:ligatures w14:val="none"/>
        </w:rPr>
        <w:t xml:space="preserve">. E</w:t>
      </w:r>
      <w:r w:rsidRPr="003137A2" w:rsidR="74131136">
        <w:rPr>
          <w:rFonts w:ascii="Aptos" w:hAnsi="Aptos" w:eastAsia="Times New Roman" w:cs="Arial"/>
          <w:color w:val="000000"/>
          <w:kern w:val="0"/>
          <w:lang w:eastAsia="en-GB"/>
          <w14:ligatures w14:val="none"/>
        </w:rPr>
        <w:t xml:space="preserve">ven if the underlying operation is far from pe</w:t>
      </w:r>
      <w:r w:rsidRPr="003137A2" w:rsidR="74131136">
        <w:rPr>
          <w:rFonts w:ascii="Aptos" w:hAnsi="Aptos" w:eastAsia="Times New Roman" w:cs="Arial"/>
          <w:color w:val="000000"/>
          <w:kern w:val="0"/>
          <w:lang w:eastAsia="en-GB"/>
          <w14:ligatures w14:val="none"/>
        </w:rPr>
        <w:t xml:space="preserve">rfect</w:t>
      </w:r>
      <w:r w:rsidRPr="003137A2" w:rsidR="11FC077F">
        <w:rPr>
          <w:rFonts w:ascii="Aptos" w:hAnsi="Aptos" w:eastAsia="Times New Roman" w:cs="Arial"/>
          <w:color w:val="000000"/>
          <w:kern w:val="0"/>
          <w:lang w:eastAsia="en-GB"/>
          <w14:ligatures w14:val="none"/>
        </w:rPr>
        <w:t xml:space="preserve">, ESG has influenced </w:t>
      </w:r>
      <w:r w:rsidRPr="003137A2" w:rsidR="454A39E8">
        <w:rPr>
          <w:rFonts w:ascii="Aptos" w:hAnsi="Aptos" w:eastAsia="Times New Roman" w:cs="Arial"/>
          <w:color w:val="000000"/>
          <w:kern w:val="0"/>
          <w:lang w:eastAsia="en-GB"/>
          <w14:ligatures w14:val="none"/>
        </w:rPr>
        <w:t xml:space="preserve">changes</w:t>
      </w:r>
      <w:r w:rsidRPr="003137A2" w:rsidR="11FC077F">
        <w:rPr>
          <w:rFonts w:ascii="Aptos" w:hAnsi="Aptos" w:eastAsia="Times New Roman" w:cs="Arial"/>
          <w:color w:val="000000"/>
          <w:kern w:val="0"/>
          <w:lang w:eastAsia="en-GB"/>
          <w14:ligatures w14:val="none"/>
        </w:rPr>
        <w:t xml:space="preserve"> in </w:t>
      </w:r>
      <w:r w:rsidRPr="003137A2" w:rsidR="29C0AE71">
        <w:rPr>
          <w:rFonts w:ascii="Aptos" w:hAnsi="Aptos" w:eastAsia="Times New Roman" w:cs="Arial"/>
          <w:color w:val="000000"/>
          <w:kern w:val="0"/>
          <w:lang w:eastAsia="en-GB"/>
          <w14:ligatures w14:val="none"/>
        </w:rPr>
        <w:t xml:space="preserve">a positive</w:t>
      </w:r>
      <w:r w:rsidRPr="003137A2" w:rsidR="11FC077F">
        <w:rPr>
          <w:rFonts w:ascii="Aptos" w:hAnsi="Aptos" w:eastAsia="Times New Roman" w:cs="Arial"/>
          <w:color w:val="000000"/>
          <w:kern w:val="0"/>
          <w:lang w:eastAsia="en-GB"/>
          <w14:ligatures w14:val="none"/>
        </w:rPr>
        <w:t xml:space="preserve"> direction </w:t>
      </w:r>
      <w:r w:rsidRPr="08626363" w:rsidR="74131136">
        <w:rPr>
          <w:rFonts w:ascii="Aptos" w:hAnsi="Aptos" w:eastAsia="Times New Roman" w:cs="Arial"/>
          <w:color w:val="000000"/>
          <w:kern w:val="0"/>
          <w:lang w:eastAsia="en-GB"/>
          <w14:ligatures w14:val="none"/>
        </w:rPr>
        <w:t>(Fr</w:t>
      </w:r>
      <w:r w:rsidRPr="08626363" w:rsidR="74131136">
        <w:rPr>
          <w:rFonts w:ascii="Aptos" w:hAnsi="Aptos" w:eastAsia="Times New Roman" w:cs="Arial"/>
          <w:color w:val="000000"/>
          <w:kern w:val="0"/>
          <w:lang w:eastAsia="en-GB"/>
          <w14:ligatures w14:val="none"/>
        </w:rPr>
        <w:t xml:space="preserve">iede, Busch &amp; Bassen, 2015; </w:t>
      </w:r>
      <w:r w:rsidRPr="08626363" w:rsidR="74131136">
        <w:rPr>
          <w:rFonts w:ascii="Aptos" w:hAnsi="Aptos" w:eastAsia="Times New Roman" w:cs="Arial"/>
          <w:color w:val="000000"/>
          <w:kern w:val="0"/>
          <w:lang w:eastAsia="en-GB"/>
          <w14:ligatures w14:val="none"/>
        </w:rPr>
        <w:t>Kotsantonis</w:t>
      </w:r>
      <w:r w:rsidRPr="08626363" w:rsidR="74131136">
        <w:rPr>
          <w:rFonts w:ascii="Aptos" w:hAnsi="Aptos" w:eastAsia="Times New Roman" w:cs="Arial"/>
          <w:color w:val="000000"/>
          <w:kern w:val="0"/>
          <w:lang w:eastAsia="en-GB"/>
          <w14:ligatures w14:val="none"/>
        </w:rPr>
        <w:t>, Pinney &amp; Serafeim, 2016).</w:t>
      </w:r>
    </w:p>
    <w:p w:rsidRPr="003137A2" w:rsidR="003137A2" w:rsidP="257BFE88" w:rsidRDefault="003137A2" w14:paraId="081EE9A2" w14:textId="7CF66EBD">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178672706" w:id="809120242"/>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5.4 Influence of Political, Regulatory</w:t>
      </w:r>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 xml:space="preserve"> and</w:t>
      </w:r>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 xml:space="preserve"> Global Contexts</w:t>
      </w:r>
      <w:bookmarkEnd w:id="809120242"/>
    </w:p>
    <w:p w:rsidRPr="003137A2" w:rsidR="003137A2" w:rsidP="257BFE88" w:rsidRDefault="003137A2" w14:paraId="24F58E2C" w14:textId="304372DA">
      <w:pPr>
        <w:spacing w:before="240" w:beforeAutospacing="off" w:after="240" w:afterAutospacing="off"/>
        <w:rPr>
          <w:rFonts w:ascii="Aptos" w:hAnsi="Aptos" w:eastAsia="Aptos" w:cs="Aptos"/>
          <w:noProof w:val="0"/>
          <w:color w:val="000000" w:themeColor="text1" w:themeTint="FF" w:themeShade="FF"/>
          <w:sz w:val="24"/>
          <w:szCs w:val="24"/>
          <w:lang w:val="en-GB"/>
        </w:rPr>
      </w:pPr>
      <w:r w:rsidR="74131136">
        <w:rPr/>
        <w:t xml:space="preserve">The study </w:t>
      </w:r>
      <w:r w:rsidR="79E04258">
        <w:rPr/>
        <w:t xml:space="preserve">finds </w:t>
      </w:r>
      <w:r w:rsidR="74131136">
        <w:rPr/>
        <w:t xml:space="preserve">that ESG </w:t>
      </w:r>
      <w:r w:rsidR="3A3D69FB">
        <w:rPr/>
        <w:t>performance is</w:t>
      </w:r>
      <w:r w:rsidR="16F31E7E">
        <w:rPr/>
        <w:t xml:space="preserve"> </w:t>
      </w:r>
      <w:r w:rsidR="329639E5">
        <w:rPr/>
        <w:t>closel</w:t>
      </w:r>
      <w:r w:rsidR="599B9043">
        <w:rPr/>
        <w:t>y tied</w:t>
      </w:r>
      <w:r w:rsidR="329639E5">
        <w:rPr/>
        <w:t xml:space="preserve"> </w:t>
      </w:r>
      <w:r w:rsidR="329639E5">
        <w:rPr/>
        <w:t>to the</w:t>
      </w:r>
      <w:r w:rsidR="74131136">
        <w:rPr/>
        <w:t xml:space="preserve"> </w:t>
      </w:r>
      <w:r w:rsidR="74131136">
        <w:rPr/>
        <w:t xml:space="preserve">political, regulatory and global </w:t>
      </w:r>
      <w:r w:rsidR="67E194B3">
        <w:rPr/>
        <w:t>circumstances</w:t>
      </w:r>
      <w:r w:rsidR="74131136">
        <w:rPr/>
        <w:t xml:space="preserve"> in which businesses </w:t>
      </w:r>
      <w:r w:rsidR="74131136">
        <w:rPr/>
        <w:t>operate</w:t>
      </w:r>
      <w:r w:rsidRPr="257BFE88" w:rsidR="39D2E248">
        <w:rPr>
          <w:rFonts w:ascii="Aptos" w:hAnsi="Aptos" w:eastAsia="Aptos" w:cs="Aptos"/>
          <w:noProof w:val="0"/>
          <w:color w:val="000000" w:themeColor="text1" w:themeTint="FF" w:themeShade="FF"/>
          <w:sz w:val="24"/>
          <w:szCs w:val="24"/>
          <w:lang w:val="en-GB"/>
        </w:rPr>
        <w:t xml:space="preserve"> (Sinn, 2025; Wang, 2025)</w:t>
      </w:r>
      <w:r w:rsidR="74131136">
        <w:rPr/>
        <w:t xml:space="preserve">. </w:t>
      </w:r>
      <w:r w:rsidR="74131136">
        <w:rPr/>
        <w:t xml:space="preserve">ESG scoring systems </w:t>
      </w:r>
      <w:r w:rsidR="394BCE8B">
        <w:rPr/>
        <w:t xml:space="preserve">are influenced by </w:t>
      </w:r>
      <w:r w:rsidR="16AA2A3B">
        <w:rPr/>
        <w:t>external factors</w:t>
      </w:r>
      <w:r w:rsidR="3B15B77D">
        <w:rPr/>
        <w:t xml:space="preserve"> such as </w:t>
      </w:r>
      <w:r w:rsidR="59C1AB5C">
        <w:rPr/>
        <w:t>G</w:t>
      </w:r>
      <w:r w:rsidR="32E06F7A">
        <w:rPr/>
        <w:t>overnment</w:t>
      </w:r>
      <w:r w:rsidR="74131136">
        <w:rPr/>
        <w:t xml:space="preserve"> </w:t>
      </w:r>
      <w:r w:rsidR="74131136">
        <w:rPr/>
        <w:t>policy,</w:t>
      </w:r>
      <w:r w:rsidR="74131136">
        <w:rPr/>
        <w:t xml:space="preserve"> </w:t>
      </w:r>
      <w:r w:rsidR="6B1CFCF5">
        <w:rPr/>
        <w:t>laws on disclosures,</w:t>
      </w:r>
      <w:r w:rsidR="74131136">
        <w:rPr/>
        <w:t xml:space="preserve"> cultural expectations</w:t>
      </w:r>
      <w:r w:rsidR="74131136">
        <w:rPr/>
        <w:t xml:space="preserve"> and</w:t>
      </w:r>
      <w:r w:rsidR="74131136">
        <w:rPr/>
        <w:t xml:space="preserve"> public </w:t>
      </w:r>
      <w:r w:rsidR="41F3AC79">
        <w:rPr/>
        <w:t>attention</w:t>
      </w:r>
      <w:r w:rsidR="1A88A449">
        <w:rPr/>
        <w:t>/pressure</w:t>
      </w:r>
      <w:r w:rsidR="146E7E36">
        <w:rPr/>
        <w:t xml:space="preserve">. These </w:t>
      </w:r>
      <w:r w:rsidR="12C2CD10">
        <w:rPr/>
        <w:t>influence</w:t>
      </w:r>
      <w:r w:rsidR="146E7E36">
        <w:rPr/>
        <w:t>s</w:t>
      </w:r>
      <w:r w:rsidR="1A88A449">
        <w:rPr/>
        <w:t xml:space="preserve"> </w:t>
      </w:r>
      <w:r w:rsidR="74131136">
        <w:rPr/>
        <w:t>vary around the world</w:t>
      </w:r>
      <w:r w:rsidR="32A07E67">
        <w:rPr/>
        <w:t xml:space="preserve"> and are continually changing</w:t>
      </w:r>
      <w:r w:rsidR="242D6284">
        <w:rPr/>
        <w:t xml:space="preserve">. </w:t>
      </w:r>
      <w:r w:rsidR="0DB79AD4">
        <w:rPr/>
        <w:t>External</w:t>
      </w:r>
      <w:r w:rsidR="242D6284">
        <w:rPr/>
        <w:t xml:space="preserve"> </w:t>
      </w:r>
      <w:r w:rsidR="74131136">
        <w:rPr/>
        <w:t>factors</w:t>
      </w:r>
      <w:r w:rsidR="17CC99B0">
        <w:rPr/>
        <w:t xml:space="preserve"> strongly</w:t>
      </w:r>
      <w:r w:rsidR="74131136">
        <w:rPr/>
        <w:t xml:space="preserve"> </w:t>
      </w:r>
      <w:r w:rsidR="74131136">
        <w:rPr/>
        <w:t>influence how companies respond to sustainability pressures</w:t>
      </w:r>
      <w:r w:rsidR="357FDF6E">
        <w:rPr/>
        <w:t xml:space="preserve"> </w:t>
      </w:r>
      <w:r w:rsidR="0632A876">
        <w:rPr/>
        <w:t>and</w:t>
      </w:r>
      <w:r w:rsidR="625BC440">
        <w:rPr/>
        <w:t xml:space="preserve"> </w:t>
      </w:r>
      <w:r w:rsidR="74131136">
        <w:rPr/>
        <w:t xml:space="preserve">how investors interpret ESG </w:t>
      </w:r>
      <w:r w:rsidR="4F820109">
        <w:rPr/>
        <w:t>indicator</w:t>
      </w:r>
      <w:r w:rsidR="74131136">
        <w:rPr/>
        <w:t>s</w:t>
      </w:r>
      <w:r w:rsidR="3E8B5191">
        <w:rPr/>
        <w:t xml:space="preserve">. </w:t>
      </w:r>
      <w:r w:rsidR="3E8B5191">
        <w:rPr/>
        <w:t>Again,</w:t>
      </w:r>
      <w:r w:rsidR="3E8B5191">
        <w:rPr/>
        <w:t xml:space="preserve"> t</w:t>
      </w:r>
      <w:r w:rsidR="3E8B5191">
        <w:rPr/>
        <w:t xml:space="preserve">his </w:t>
      </w:r>
      <w:r w:rsidR="3E8B5191">
        <w:rPr/>
        <w:t>e</w:t>
      </w:r>
      <w:r w:rsidR="3E8B5191">
        <w:rPr/>
        <w:t>vide</w:t>
      </w:r>
      <w:r w:rsidR="3E8B5191">
        <w:rPr/>
        <w:t>nces</w:t>
      </w:r>
      <w:r w:rsidR="74131136">
        <w:rPr/>
        <w:t xml:space="preserve"> </w:t>
      </w:r>
      <w:r w:rsidR="74131136">
        <w:rPr/>
        <w:t>that ESG scores alone do not explain market behaviour</w:t>
      </w:r>
      <w:r w:rsidRPr="257BFE88" w:rsidR="4AC7FF8B">
        <w:rPr>
          <w:rFonts w:ascii="Aptos" w:hAnsi="Aptos" w:eastAsia="Aptos" w:cs="Aptos"/>
          <w:noProof w:val="0"/>
          <w:color w:val="000000" w:themeColor="text1" w:themeTint="FF" w:themeShade="FF"/>
          <w:sz w:val="24"/>
          <w:szCs w:val="24"/>
          <w:lang w:val="en-GB"/>
        </w:rPr>
        <w:t xml:space="preserve"> (Li and Wu, 2025).</w:t>
      </w:r>
    </w:p>
    <w:p w:rsidRPr="003137A2" w:rsidR="003137A2" w:rsidP="257BFE88" w:rsidRDefault="003137A2" w14:paraId="7B5BE8CD" w14:textId="77777777">
      <w:pPr>
        <w:keepNext w:val="1"/>
        <w:keepLines w:val="1"/>
        <w:spacing w:before="160" w:after="80"/>
        <w:outlineLvl w:val="2"/>
        <w:rPr>
          <w:rFonts w:eastAsia="" w:cs="" w:eastAsiaTheme="majorEastAsia" w:cstheme="majorBidi"/>
          <w:color w:val="0F4761" w:themeColor="accent1" w:themeShade="BF"/>
          <w:sz w:val="28"/>
          <w:szCs w:val="28"/>
        </w:rPr>
      </w:pPr>
      <w:bookmarkStart w:name="_Toc1246968560" w:id="1495748730"/>
      <w:r w:rsidRPr="257BFE88" w:rsidR="6D7FFB3E">
        <w:rPr>
          <w:rFonts w:eastAsia="" w:cs="" w:eastAsiaTheme="majorEastAsia" w:cstheme="majorBidi"/>
          <w:color w:val="0F4761" w:themeColor="accent1" w:themeTint="FF" w:themeShade="BF"/>
          <w:sz w:val="28"/>
          <w:szCs w:val="28"/>
        </w:rPr>
        <w:t>5.4.1 Regulatory and Policy Environments</w:t>
      </w:r>
      <w:bookmarkEnd w:id="1495748730"/>
    </w:p>
    <w:p w:rsidRPr="003137A2" w:rsidR="003137A2" w:rsidP="257BFE88" w:rsidRDefault="003137A2" w14:paraId="0FFEF0DE" w14:textId="380EFD52">
      <w:pPr>
        <w:pStyle w:val="Normal"/>
      </w:pPr>
      <w:r w:rsidRPr="257BFE88" w:rsidR="2BEB7FA8">
        <w:rPr>
          <w:rFonts w:ascii="Aptos" w:hAnsi="Aptos" w:eastAsia="Aptos"/>
          <w:noProof w:val="0"/>
          <w:sz w:val="24"/>
          <w:szCs w:val="24"/>
          <w:lang w:val="en-GB"/>
        </w:rPr>
        <w:t xml:space="preserve">Regulatory changes are now one of the main forces shaping corporate ESG behaviour in the </w:t>
      </w:r>
      <w:r w:rsidRPr="257BFE88" w:rsidR="2BEB7FA8">
        <w:rPr>
          <w:rFonts w:ascii="Aptos" w:hAnsi="Aptos" w:eastAsia="Aptos"/>
          <w:noProof w:val="0"/>
          <w:sz w:val="24"/>
          <w:szCs w:val="24"/>
          <w:lang w:val="en-GB"/>
        </w:rPr>
        <w:t>world's</w:t>
      </w:r>
      <w:r w:rsidRPr="257BFE88" w:rsidR="2BEB7FA8">
        <w:rPr>
          <w:rFonts w:ascii="Aptos" w:hAnsi="Aptos" w:eastAsia="Aptos"/>
          <w:noProof w:val="0"/>
          <w:sz w:val="24"/>
          <w:szCs w:val="24"/>
          <w:lang w:val="en-GB"/>
        </w:rPr>
        <w:t xml:space="preserve"> leading economies.</w:t>
      </w:r>
      <w:r w:rsidRPr="257BFE88" w:rsidR="2BEB7FA8">
        <w:rPr>
          <w:rFonts w:ascii="Aptos" w:hAnsi="Aptos" w:eastAsia="Aptos"/>
          <w:noProof w:val="0"/>
          <w:sz w:val="24"/>
          <w:szCs w:val="24"/>
          <w:lang w:val="en-GB"/>
        </w:rPr>
        <w:t xml:space="preserve"> </w:t>
      </w:r>
    </w:p>
    <w:p w:rsidRPr="003137A2" w:rsidR="003137A2" w:rsidP="08626363" w:rsidRDefault="003137A2" w14:paraId="426B39CF" w14:textId="451E0684">
      <w:pPr>
        <w:spacing w:before="240" w:beforeAutospacing="off" w:after="240" w:afterAutospacing="off"/>
      </w:pPr>
      <w:r w:rsidRPr="257BFE88" w:rsidR="74131136">
        <w:rPr>
          <w:rFonts w:eastAsia="" w:cs="" w:eastAsiaTheme="majorEastAsia" w:cstheme="majorBidi"/>
          <w:i w:val="1"/>
          <w:iCs w:val="1"/>
          <w:color w:val="0F4761" w:themeColor="accent1" w:themeShade="BF"/>
        </w:rPr>
        <w:t>In the European Union</w:t>
      </w:r>
      <w:r w:rsidRPr="003137A2" w:rsidR="74131136">
        <w:rPr/>
        <w:t xml:space="preserve">, climate </w:t>
      </w:r>
      <w:r w:rsidRPr="003137A2" w:rsidR="7CF9109A">
        <w:rPr/>
        <w:t>policy</w:t>
      </w:r>
      <w:r w:rsidRPr="003137A2" w:rsidR="74131136">
        <w:rPr/>
        <w:t xml:space="preserve"> has </w:t>
      </w:r>
      <w:r w:rsidRPr="003137A2" w:rsidR="67A743A5">
        <w:rPr/>
        <w:t>moved forward quickly</w:t>
      </w:r>
      <w:r w:rsidRPr="003137A2" w:rsidR="74131136">
        <w:rPr/>
        <w:t xml:space="preserve"> through</w:t>
      </w:r>
      <w:r w:rsidRPr="003137A2" w:rsidR="6B921A00">
        <w:rPr/>
        <w:t xml:space="preserve"> new rules on</w:t>
      </w:r>
      <w:r w:rsidRPr="003137A2" w:rsidR="74131136">
        <w:rPr/>
        <w:t xml:space="preserve"> mandatory disclosure an</w:t>
      </w:r>
      <w:r w:rsidRPr="003137A2" w:rsidR="74131136">
        <w:rPr/>
        <w:t>d due</w:t>
      </w:r>
      <w:r w:rsidRPr="003137A2" w:rsidR="7A102BB2">
        <w:rPr/>
        <w:t xml:space="preserve"> </w:t>
      </w:r>
      <w:r w:rsidRPr="003137A2" w:rsidR="74131136">
        <w:rPr/>
        <w:t xml:space="preserve">dilige</w:t>
      </w:r>
      <w:r w:rsidRPr="003137A2" w:rsidR="74131136">
        <w:rPr/>
        <w:t xml:space="preserve">nce.</w:t>
      </w:r>
      <w:r w:rsidRPr="003137A2" w:rsidR="74131136">
        <w:rPr/>
        <w:t xml:space="preserve"> The Corporate Sustainability Due Diligence Directive (CSDDD, 2024) requires large co</w:t>
      </w:r>
      <w:r w:rsidRPr="003137A2" w:rsidR="74131136">
        <w:rPr/>
        <w:t xml:space="preserve">mpanies </w:t>
      </w:r>
      <w:r w:rsidRPr="003137A2" w:rsidR="74131136">
        <w:rPr>
          <w:rFonts w:ascii="Aptos" w:hAnsi="Aptos" w:cs="Aptos"/>
        </w:rPr>
        <w:t xml:space="preserve">whic</w:t>
      </w:r>
      <w:r w:rsidRPr="003137A2" w:rsidR="74131136">
        <w:rPr>
          <w:rFonts w:ascii="Aptos" w:hAnsi="Aptos" w:cs="Aptos"/>
        </w:rPr>
        <w:t xml:space="preserve">h </w:t>
      </w:r>
      <w:r w:rsidRPr="003137A2" w:rsidR="74131136">
        <w:rPr/>
        <w:t xml:space="preserve">includes </w:t>
      </w:r>
      <w:r w:rsidRPr="003137A2" w:rsidR="74131136">
        <w:rPr/>
        <w:t>non</w:t>
      </w:r>
      <w:r w:rsidRPr="003137A2" w:rsidR="6E5A53D1">
        <w:rPr/>
        <w:t xml:space="preserve"> </w:t>
      </w:r>
      <w:r w:rsidRPr="003137A2" w:rsidR="74131136">
        <w:rPr/>
        <w:t xml:space="preserve">EU</w:t>
      </w:r>
      <w:r w:rsidRPr="003137A2" w:rsidR="74131136">
        <w:rPr/>
        <w:t xml:space="preserve"> </w:t>
      </w:r>
      <w:r w:rsidRPr="003137A2" w:rsidR="74131136">
        <w:rPr>
          <w:rFonts w:ascii="Aptos" w:hAnsi="Aptos" w:eastAsia="Times New Roman" w:cs="Arial"/>
          <w:color w:val="000000"/>
          <w:kern w:val="0"/>
          <w:lang w:eastAsia="en-GB"/>
          <w14:ligatures w14:val="none"/>
        </w:rPr>
        <w:t>companies</w:t>
      </w:r>
      <w:r w:rsidRPr="003137A2" w:rsidR="74131136">
        <w:rPr/>
        <w:t xml:space="preserve"> </w:t>
      </w:r>
      <w:r w:rsidRPr="003137A2" w:rsidR="74131136">
        <w:rPr/>
        <w:t xml:space="preserve">operating</w:t>
      </w:r>
      <w:r w:rsidRPr="003137A2" w:rsidR="74131136">
        <w:rPr/>
        <w:t xml:space="preserve"> in the Single Market</w:t>
      </w:r>
      <w:r w:rsidRPr="003137A2" w:rsidR="74131136">
        <w:rPr>
          <w:rFonts w:ascii="Aptos" w:hAnsi="Aptos" w:cs="Aptos"/>
        </w:rPr>
        <w:t xml:space="preserve"> </w:t>
      </w:r>
      <w:r w:rsidRPr="003137A2" w:rsidR="74131136">
        <w:rPr/>
        <w:t xml:space="preserve">to </w:t>
      </w:r>
      <w:r w:rsidRPr="003137A2" w:rsidR="74131136">
        <w:rPr/>
        <w:t>identify</w:t>
      </w:r>
      <w:r w:rsidRPr="003137A2" w:rsidR="74131136">
        <w:rPr/>
        <w:t xml:space="preserve"> and mitigate climate</w:t>
      </w:r>
      <w:r w:rsidRPr="003137A2" w:rsidR="74131136">
        <w:rPr>
          <w:rFonts w:ascii="Cambria Math" w:hAnsi="Cambria Math" w:cs="Cambria Math"/>
        </w:rPr>
        <w:t xml:space="preserve"> </w:t>
      </w:r>
      <w:r w:rsidRPr="003137A2" w:rsidR="74131136">
        <w:rPr/>
        <w:t>related risks and adverse human</w:t>
      </w:r>
      <w:r w:rsidRPr="003137A2" w:rsidR="74131136">
        <w:rPr>
          <w:rFonts w:ascii="Cambria Math" w:hAnsi="Cambria Math" w:cs="Cambria Math"/>
        </w:rPr>
        <w:t xml:space="preserve"> </w:t>
      </w:r>
      <w:r w:rsidRPr="003137A2" w:rsidR="74131136">
        <w:rPr/>
        <w:t>rights affects across global supply chains</w:t>
      </w:r>
      <w:r w:rsidRPr="003137A2" w:rsidR="09ACE19C">
        <w:rPr/>
        <w:t xml:space="preserve"> </w:t>
      </w:r>
      <w:r w:rsidRPr="08626363" w:rsidR="09ACE19C">
        <w:rPr>
          <w:rFonts w:ascii="Aptos" w:hAnsi="Aptos" w:eastAsia="Aptos" w:cs="Aptos"/>
          <w:noProof w:val="0"/>
          <w:color w:val="000000" w:themeColor="text1" w:themeTint="FF" w:themeShade="FF"/>
          <w:sz w:val="24"/>
          <w:szCs w:val="24"/>
          <w:lang w:val="en-GB"/>
        </w:rPr>
        <w:t>(European Commission, 2025</w:t>
      </w:r>
      <w:r w:rsidRPr="003137A2" w:rsidR="74131136">
        <w:rPr/>
        <w:t xml:space="preserve">. These developments show that in Europe, ESG responsibility is increasingly </w:t>
      </w:r>
      <w:r w:rsidRPr="003137A2" w:rsidR="74131136">
        <w:rPr/>
        <w:t>required</w:t>
      </w:r>
      <w:r w:rsidRPr="003137A2" w:rsidR="74131136">
        <w:rPr/>
        <w:t xml:space="preserve"> in corporate governance, making “profit</w:t>
      </w:r>
      <w:r w:rsidRPr="003137A2" w:rsidR="7AE58C6E">
        <w:rPr/>
        <w:t xml:space="preserve"> </w:t>
      </w:r>
      <w:r w:rsidRPr="003137A2" w:rsidR="74131136">
        <w:rPr/>
        <w:t>only</w:t>
      </w:r>
      <w:r w:rsidRPr="003137A2" w:rsidR="74131136">
        <w:rPr>
          <w:rFonts w:ascii="Aptos" w:hAnsi="Aptos" w:cs="Aptos"/>
        </w:rPr>
        <w:t>”</w:t>
      </w:r>
      <w:r w:rsidRPr="003137A2" w:rsidR="74131136">
        <w:rPr/>
        <w:t xml:space="preserve"> strategies difficult to sustain without accounting for environmental impacts (European Commission, 2025; PwC, 2025).</w:t>
      </w:r>
    </w:p>
    <w:p w:rsidRPr="003137A2" w:rsidR="003137A2" w:rsidP="003137A2" w:rsidRDefault="003137A2" w14:paraId="269586C7" w14:textId="5B757E53">
      <w:r w:rsidRPr="257BFE88" w:rsidR="6D7FFB3E">
        <w:rPr>
          <w:rFonts w:eastAsia="" w:cs="" w:eastAsiaTheme="majorEastAsia" w:cstheme="majorBidi"/>
          <w:i w:val="1"/>
          <w:iCs w:val="1"/>
          <w:color w:val="0F4761" w:themeColor="accent1" w:themeTint="FF" w:themeShade="BF"/>
        </w:rPr>
        <w:t>In the United Kingdom</w:t>
      </w:r>
      <w:r w:rsidR="6D7FFB3E">
        <w:rPr/>
        <w:t xml:space="preserve">, the Transition Plan Taskforce (TPT) </w:t>
      </w:r>
      <w:r w:rsidR="69A76075">
        <w:rPr/>
        <w:t>set out</w:t>
      </w:r>
      <w:r w:rsidR="6D7FFB3E">
        <w:rPr/>
        <w:t xml:space="preserve"> a “</w:t>
      </w:r>
      <w:r w:rsidR="21D00CD7">
        <w:rPr/>
        <w:t>gold standard</w:t>
      </w:r>
      <w:r w:rsidRPr="257BFE88" w:rsidR="6D7FFB3E">
        <w:rPr>
          <w:rFonts w:ascii="Aptos" w:hAnsi="Aptos" w:cs="Aptos"/>
        </w:rPr>
        <w:t>”</w:t>
      </w:r>
      <w:r w:rsidR="6D7FFB3E">
        <w:rPr/>
        <w:t xml:space="preserve"> framework for climate transition plans</w:t>
      </w:r>
      <w:r w:rsidR="55DCDC81">
        <w:rPr/>
        <w:t xml:space="preserve"> which is</w:t>
      </w:r>
      <w:r w:rsidR="6D7FFB3E">
        <w:rPr/>
        <w:t xml:space="preserve"> now being incorporated into Financial Conduct Authority reporting from 2025/26 (HM Treasury, 2023).</w:t>
      </w:r>
      <w:r w:rsidR="6D7FFB3E">
        <w:rPr/>
        <w:t xml:space="preserve"> </w:t>
      </w:r>
      <w:r w:rsidR="6D7FFB3E">
        <w:rPr/>
        <w:t>Unilever and Ørsted are examples of companies that by aligning with these standards have gained a competitive advantage (Unilever, 2024).</w:t>
      </w:r>
    </w:p>
    <w:p w:rsidRPr="003137A2" w:rsidR="003137A2" w:rsidP="08626363" w:rsidRDefault="003137A2" w14:paraId="51604C32" w14:textId="5A8D4ABD">
      <w:pPr>
        <w:pStyle w:val="Normal"/>
        <w:spacing w:before="240" w:beforeAutospacing="off" w:after="240" w:afterAutospacing="off"/>
      </w:pPr>
      <w:r w:rsidRPr="257BFE88" w:rsidR="74131136">
        <w:rPr>
          <w:rFonts w:eastAsia="" w:cs="" w:eastAsiaTheme="majorEastAsia" w:cstheme="majorBidi"/>
          <w:i w:val="1"/>
          <w:iCs w:val="1"/>
          <w:color w:val="0F4761" w:themeColor="accent1" w:themeTint="FF" w:themeShade="BF"/>
        </w:rPr>
        <w:t>In China</w:t>
      </w:r>
      <w:r w:rsidR="74131136">
        <w:rPr/>
        <w:t xml:space="preserve">, regulatory intervention is </w:t>
      </w:r>
      <w:r w:rsidR="31C3F88A">
        <w:rPr/>
        <w:t xml:space="preserve">key part of </w:t>
      </w:r>
      <w:r w:rsidR="74131136">
        <w:rPr/>
        <w:t>national strategy. The country’s “dual</w:t>
      </w:r>
      <w:r w:rsidR="6DFA5D2C">
        <w:rPr/>
        <w:t xml:space="preserve"> </w:t>
      </w:r>
      <w:r w:rsidR="74131136">
        <w:rPr/>
        <w:t>carbon</w:t>
      </w:r>
      <w:r w:rsidRPr="257BFE88" w:rsidR="74131136">
        <w:rPr>
          <w:rFonts w:ascii="Aptos" w:hAnsi="Aptos" w:cs="Aptos"/>
        </w:rPr>
        <w:t>”</w:t>
      </w:r>
      <w:r w:rsidR="74131136">
        <w:rPr/>
        <w:t xml:space="preserve"> goals</w:t>
      </w:r>
      <w:r w:rsidRPr="257BFE88" w:rsidR="74131136">
        <w:rPr>
          <w:rFonts w:ascii="Aptos" w:hAnsi="Aptos" w:cs="Aptos"/>
        </w:rPr>
        <w:t xml:space="preserve"> of </w:t>
      </w:r>
      <w:r w:rsidR="74131136">
        <w:rPr/>
        <w:t>peak emissions by 2030 and carbon neutrality by 2060</w:t>
      </w:r>
      <w:r w:rsidRPr="257BFE88" w:rsidR="74131136">
        <w:rPr>
          <w:rFonts w:ascii="Aptos" w:hAnsi="Aptos" w:cs="Aptos"/>
        </w:rPr>
        <w:t xml:space="preserve"> </w:t>
      </w:r>
      <w:r w:rsidR="74131136">
        <w:rPr/>
        <w:t>have resulted in mandatory ESG disclosure for selected large</w:t>
      </w:r>
      <w:r w:rsidR="74131136">
        <w:rPr/>
        <w:t xml:space="preserve"> </w:t>
      </w:r>
      <w:r w:rsidRPr="257BFE88" w:rsidR="74131136">
        <w:rPr>
          <w:color w:val="auto"/>
        </w:rPr>
        <w:t>comp</w:t>
      </w:r>
      <w:r w:rsidRPr="257BFE88" w:rsidR="74131136">
        <w:rPr>
          <w:color w:val="auto"/>
        </w:rPr>
        <w:t>anies</w:t>
      </w:r>
      <w:r w:rsidRPr="257BFE88" w:rsidR="61E93C98">
        <w:rPr>
          <w:rFonts w:ascii="Aptos" w:hAnsi="Aptos" w:eastAsia="Aptos" w:cs="Aptos"/>
          <w:noProof w:val="0"/>
          <w:color w:val="auto"/>
          <w:sz w:val="24"/>
          <w:szCs w:val="24"/>
          <w:lang w:val="en-GB"/>
        </w:rPr>
        <w:t xml:space="preserve"> listed</w:t>
      </w:r>
      <w:r w:rsidRPr="257BFE88" w:rsidR="61E93C98">
        <w:rPr>
          <w:rFonts w:ascii="Aptos" w:hAnsi="Aptos" w:eastAsia="Aptos" w:cs="Aptos"/>
          <w:noProof w:val="0"/>
          <w:color w:val="auto"/>
          <w:sz w:val="24"/>
          <w:szCs w:val="24"/>
          <w:lang w:val="en-GB"/>
        </w:rPr>
        <w:t xml:space="preserve"> both domestically and overseas</w:t>
      </w:r>
      <w:r w:rsidRPr="257BFE88" w:rsidR="21C08D7F">
        <w:rPr>
          <w:rFonts w:ascii="Aptos" w:hAnsi="Aptos" w:eastAsia="Aptos" w:cs="Aptos"/>
          <w:noProof w:val="0"/>
          <w:color w:val="000000" w:themeColor="text1" w:themeTint="FF" w:themeShade="FF"/>
          <w:sz w:val="24"/>
          <w:szCs w:val="24"/>
          <w:lang w:val="en-GB"/>
        </w:rPr>
        <w:t xml:space="preserve"> (Shanghai Stock Exchange, 2025).</w:t>
      </w:r>
      <w:r w:rsidR="74131136">
        <w:rPr/>
        <w:t xml:space="preserve"> New sustainability reporting guidelines </w:t>
      </w:r>
      <w:r w:rsidR="514A4C8C">
        <w:rPr/>
        <w:t xml:space="preserve">have been </w:t>
      </w:r>
      <w:r w:rsidR="74131136">
        <w:rPr/>
        <w:t>issued by the Shanghai,</w:t>
      </w:r>
      <w:r w:rsidR="74131136">
        <w:rPr/>
        <w:t xml:space="preserve"> Shenzhen</w:t>
      </w:r>
      <w:r w:rsidR="74131136">
        <w:rPr/>
        <w:t xml:space="preserve"> and Beijing Stock Exchanges </w:t>
      </w:r>
      <w:r w:rsidR="6FDCC185">
        <w:rPr/>
        <w:t xml:space="preserve">which </w:t>
      </w:r>
      <w:r w:rsidR="74131136">
        <w:rPr/>
        <w:t>require climate</w:t>
      </w:r>
      <w:r w:rsidRPr="257BFE88" w:rsidR="74131136">
        <w:rPr>
          <w:rFonts w:ascii="Cambria Math" w:hAnsi="Cambria Math" w:cs="Cambria Math"/>
        </w:rPr>
        <w:t xml:space="preserve"> </w:t>
      </w:r>
      <w:r w:rsidR="74131136">
        <w:rPr/>
        <w:t>risk analysis, Scope 1 and 2 emissions disclosure</w:t>
      </w:r>
      <w:r w:rsidR="74131136">
        <w:rPr/>
        <w:t xml:space="preserve"> a</w:t>
      </w:r>
      <w:r w:rsidRPr="257BFE88" w:rsidR="74131136">
        <w:rPr>
          <w:color w:val="auto"/>
        </w:rPr>
        <w:t>nd</w:t>
      </w:r>
      <w:r w:rsidRPr="257BFE88" w:rsidR="74131136">
        <w:rPr>
          <w:color w:val="auto"/>
        </w:rPr>
        <w:t xml:space="preserve"> alignment with </w:t>
      </w:r>
      <w:r w:rsidRPr="257BFE88" w:rsidR="51776D52">
        <w:rPr>
          <w:rFonts w:ascii="Aptos" w:hAnsi="Aptos" w:eastAsia="Aptos" w:cs="Aptos"/>
          <w:noProof w:val="0"/>
          <w:color w:val="auto"/>
          <w:sz w:val="24"/>
          <w:szCs w:val="24"/>
          <w:lang w:val="en-GB"/>
        </w:rPr>
        <w:t>International Sustainability Standards Board (</w:t>
      </w:r>
      <w:r w:rsidRPr="257BFE88" w:rsidR="74131136">
        <w:rPr>
          <w:color w:val="auto"/>
        </w:rPr>
        <w:t>ISSB</w:t>
      </w:r>
      <w:r w:rsidRPr="257BFE88" w:rsidR="2568DFAA">
        <w:rPr>
          <w:color w:val="auto"/>
        </w:rPr>
        <w:t>)</w:t>
      </w:r>
      <w:r w:rsidRPr="257BFE88" w:rsidR="74131136">
        <w:rPr>
          <w:color w:val="auto"/>
        </w:rPr>
        <w:t xml:space="preserve"> standards </w:t>
      </w:r>
      <w:r w:rsidR="74131136">
        <w:rPr/>
        <w:t>(Shanghai Stock Exchange, 2025). China continues to balance expansion</w:t>
      </w:r>
      <w:r w:rsidR="6EE09FF0">
        <w:rPr/>
        <w:t xml:space="preserve"> in renewable technologies</w:t>
      </w:r>
      <w:r w:rsidR="74131136">
        <w:rPr/>
        <w:t xml:space="preserve"> with</w:t>
      </w:r>
      <w:r w:rsidR="74131136">
        <w:rPr/>
        <w:t xml:space="preserve"> </w:t>
      </w:r>
      <w:r w:rsidR="37BEE7EC">
        <w:rPr/>
        <w:t xml:space="preserve">its </w:t>
      </w:r>
      <w:r w:rsidR="74131136">
        <w:rPr/>
        <w:t>energy security</w:t>
      </w:r>
      <w:r w:rsidR="66EAEF8C">
        <w:rPr/>
        <w:t xml:space="preserve"> still depending on coal</w:t>
      </w:r>
      <w:r w:rsidR="164B50D5">
        <w:rPr/>
        <w:t xml:space="preserve">. </w:t>
      </w:r>
      <w:r w:rsidR="315F9217">
        <w:rPr/>
        <w:t>I</w:t>
      </w:r>
      <w:r w:rsidR="164B50D5">
        <w:rPr/>
        <w:t>ncreas</w:t>
      </w:r>
      <w:r w:rsidR="310109A8">
        <w:rPr/>
        <w:t xml:space="preserve">ed </w:t>
      </w:r>
      <w:r w:rsidR="74131136">
        <w:rPr/>
        <w:t>mandatory reporting</w:t>
      </w:r>
      <w:r w:rsidR="2F26B742">
        <w:rPr/>
        <w:t xml:space="preserve"> has</w:t>
      </w:r>
      <w:r w:rsidR="248FA3AB">
        <w:rPr/>
        <w:t xml:space="preserve"> made it easier to</w:t>
      </w:r>
      <w:r w:rsidR="2F26B742">
        <w:rPr/>
        <w:t xml:space="preserve"> </w:t>
      </w:r>
      <w:r w:rsidR="74131136">
        <w:rPr/>
        <w:t>compar</w:t>
      </w:r>
      <w:r w:rsidR="0A57E6BA">
        <w:rPr/>
        <w:t>e companies</w:t>
      </w:r>
      <w:r w:rsidR="74131136">
        <w:rPr/>
        <w:t xml:space="preserve"> and</w:t>
      </w:r>
      <w:r w:rsidR="300F7E1D">
        <w:rPr/>
        <w:t xml:space="preserve"> this influences</w:t>
      </w:r>
      <w:r w:rsidR="74131136">
        <w:rPr/>
        <w:t xml:space="preserve"> investor </w:t>
      </w:r>
      <w:r w:rsidR="09DC778C">
        <w:rPr/>
        <w:t>behaviours</w:t>
      </w:r>
      <w:r w:rsidR="74131136">
        <w:rPr/>
        <w:t xml:space="preserve"> (Wang &amp; Liu, 2024). </w:t>
      </w:r>
      <w:r w:rsidR="7D3CCD65">
        <w:rPr/>
        <w:t>B</w:t>
      </w:r>
      <w:r w:rsidR="74131136">
        <w:rPr/>
        <w:t xml:space="preserve">usinesses </w:t>
      </w:r>
      <w:r w:rsidR="74131136">
        <w:rPr/>
        <w:t>operating</w:t>
      </w:r>
      <w:r w:rsidR="74131136">
        <w:rPr/>
        <w:t xml:space="preserve"> in China</w:t>
      </w:r>
      <w:r w:rsidR="7850793A">
        <w:rPr/>
        <w:t xml:space="preserve"> prioritise</w:t>
      </w:r>
      <w:r w:rsidR="74131136">
        <w:rPr/>
        <w:t xml:space="preserve"> </w:t>
      </w:r>
      <w:r w:rsidR="74131136">
        <w:rPr/>
        <w:t xml:space="preserve">government </w:t>
      </w:r>
      <w:r w:rsidR="19995A21">
        <w:rPr/>
        <w:t xml:space="preserve">regulation </w:t>
      </w:r>
      <w:r w:rsidR="40234308">
        <w:rPr/>
        <w:t>more than external investor press</w:t>
      </w:r>
      <w:r w:rsidR="40234308">
        <w:rPr/>
        <w:t>u</w:t>
      </w:r>
      <w:r w:rsidR="40234308">
        <w:rPr/>
        <w:t>r</w:t>
      </w:r>
      <w:r w:rsidR="40234308">
        <w:rPr/>
        <w:t>e</w:t>
      </w:r>
      <w:r w:rsidR="40234308">
        <w:rPr/>
        <w:t>.</w:t>
      </w:r>
      <w:r w:rsidR="0A1C446E">
        <w:rPr/>
        <w:t xml:space="preserve"> </w:t>
      </w:r>
      <w:r w:rsidR="0A1C446E">
        <w:rPr/>
        <w:t>I</w:t>
      </w:r>
      <w:r w:rsidR="0A1C446E">
        <w:rPr/>
        <w:t>n</w:t>
      </w:r>
      <w:r w:rsidR="0A1C446E">
        <w:rPr/>
        <w:t xml:space="preserve"> consequence, </w:t>
      </w:r>
      <w:r w:rsidR="74131136">
        <w:rPr/>
        <w:t xml:space="preserve">ESG behaviour is influenced </w:t>
      </w:r>
      <w:r w:rsidR="10900701">
        <w:rPr/>
        <w:t xml:space="preserve">much </w:t>
      </w:r>
      <w:r w:rsidR="74131136">
        <w:rPr/>
        <w:t>more by state direction than by global asset</w:t>
      </w:r>
      <w:r w:rsidR="5EEEA4FE">
        <w:rPr/>
        <w:t xml:space="preserve"> </w:t>
      </w:r>
      <w:r w:rsidR="74131136">
        <w:rPr/>
        <w:t>manager influence</w:t>
      </w:r>
      <w:r w:rsidR="550A5717">
        <w:rPr/>
        <w:t xml:space="preserve"> </w:t>
      </w:r>
      <w:r w:rsidRPr="257BFE88" w:rsidR="550A5717">
        <w:rPr>
          <w:rFonts w:ascii="Aptos" w:hAnsi="Aptos" w:eastAsia="Aptos" w:cs="Aptos"/>
          <w:noProof w:val="0"/>
          <w:color w:val="000000" w:themeColor="text1" w:themeTint="FF" w:themeShade="FF"/>
          <w:sz w:val="24"/>
          <w:szCs w:val="24"/>
          <w:lang w:val="en-GB"/>
        </w:rPr>
        <w:t>(China Securities Regulatory Commission, 2025)</w:t>
      </w:r>
      <w:r w:rsidR="74131136">
        <w:rPr/>
        <w:t>.</w:t>
      </w:r>
    </w:p>
    <w:p w:rsidRPr="003137A2" w:rsidR="003137A2" w:rsidP="08626363" w:rsidRDefault="003137A2" w14:paraId="273B7BE8" w14:textId="312A396D">
      <w:pPr>
        <w:pStyle w:val="Normal"/>
      </w:pPr>
      <w:r w:rsidRPr="257BFE88" w:rsidR="74131136">
        <w:rPr>
          <w:rFonts w:eastAsia="" w:cs="" w:eastAsiaTheme="majorEastAsia" w:cstheme="majorBidi"/>
          <w:i w:val="1"/>
          <w:iCs w:val="1"/>
          <w:color w:val="0F4761" w:themeColor="accent1" w:themeTint="FF" w:themeShade="BF"/>
        </w:rPr>
        <w:t>The United States</w:t>
      </w:r>
      <w:r w:rsidR="74131136">
        <w:rPr/>
        <w:t xml:space="preserve"> </w:t>
      </w:r>
      <w:r w:rsidR="172C8297">
        <w:rPr/>
        <w:t xml:space="preserve">has a </w:t>
      </w:r>
      <w:r w:rsidR="74131136">
        <w:rPr/>
        <w:t>contrast</w:t>
      </w:r>
      <w:r w:rsidR="699496A0">
        <w:rPr/>
        <w:t>ing situation</w:t>
      </w:r>
      <w:r w:rsidR="02552E26">
        <w:rPr/>
        <w:t xml:space="preserve"> to </w:t>
      </w:r>
      <w:r w:rsidR="1DE56C9B">
        <w:rPr/>
        <w:t xml:space="preserve">the </w:t>
      </w:r>
      <w:r w:rsidR="02552E26">
        <w:rPr/>
        <w:t xml:space="preserve">other </w:t>
      </w:r>
      <w:r w:rsidR="3A73ECF8">
        <w:rPr/>
        <w:t>major</w:t>
      </w:r>
      <w:r w:rsidR="1FBDCAD0">
        <w:rPr/>
        <w:t xml:space="preserve"> world</w:t>
      </w:r>
      <w:r w:rsidR="3A73ECF8">
        <w:rPr/>
        <w:t xml:space="preserve"> economies</w:t>
      </w:r>
      <w:r w:rsidR="74131136">
        <w:rPr/>
        <w:t xml:space="preserve">. </w:t>
      </w:r>
      <w:r w:rsidR="74131136">
        <w:rPr/>
        <w:t>Political divisions have created inconsistent</w:t>
      </w:r>
      <w:r w:rsidR="4CBD2D00">
        <w:rPr/>
        <w:t xml:space="preserve"> and often contradictory</w:t>
      </w:r>
      <w:r w:rsidR="74131136">
        <w:rPr/>
        <w:t xml:space="preserve"> regulatory approaches</w:t>
      </w:r>
      <w:r w:rsidR="0D4CA46D">
        <w:rPr/>
        <w:t xml:space="preserve"> to sustainability</w:t>
      </w:r>
      <w:r w:rsidR="74131136">
        <w:rPr/>
        <w:t xml:space="preserve">. </w:t>
      </w:r>
      <w:r w:rsidR="7E0EF147">
        <w:rPr/>
        <w:t xml:space="preserve">This is illustrated </w:t>
      </w:r>
      <w:r w:rsidR="21E8DBF4">
        <w:rPr/>
        <w:t xml:space="preserve">in the following examples. </w:t>
      </w:r>
      <w:r w:rsidR="74131136">
        <w:rPr/>
        <w:t>Federal incentives</w:t>
      </w:r>
      <w:r w:rsidR="5FC003C3">
        <w:rPr/>
        <w:t>,</w:t>
      </w:r>
      <w:r w:rsidR="74131136">
        <w:rPr/>
        <w:t xml:space="preserve"> such as the Inflation </w:t>
      </w:r>
      <w:r w:rsidR="74131136">
        <w:rPr/>
        <w:t>Reduction Act (2022</w:t>
      </w:r>
      <w:r w:rsidR="0D71E934">
        <w:rPr/>
        <w:t xml:space="preserve">) </w:t>
      </w:r>
      <w:r w:rsidR="74131136">
        <w:rPr/>
        <w:t>encoura</w:t>
      </w:r>
      <w:r w:rsidR="108E02FB">
        <w:rPr/>
        <w:t>ges</w:t>
      </w:r>
      <w:r w:rsidR="157586E4">
        <w:rPr/>
        <w:t xml:space="preserve"> investment in</w:t>
      </w:r>
      <w:r w:rsidR="74131136">
        <w:rPr/>
        <w:t xml:space="preserve"> clean</w:t>
      </w:r>
      <w:r w:rsidRPr="257BFE88" w:rsidR="74131136">
        <w:rPr>
          <w:rFonts w:ascii="Cambria Math" w:hAnsi="Cambria Math" w:cs="Cambria Math"/>
        </w:rPr>
        <w:t xml:space="preserve"> </w:t>
      </w:r>
      <w:r w:rsidR="74131136">
        <w:rPr/>
        <w:t>energy</w:t>
      </w:r>
      <w:r w:rsidR="4D05E152">
        <w:rPr/>
        <w:t xml:space="preserve"> (</w:t>
      </w:r>
      <w:r w:rsidRPr="257BFE88" w:rsidR="4D05E152">
        <w:rPr>
          <w:rFonts w:ascii="Aptos" w:hAnsi="Aptos" w:eastAsia="Aptos" w:cs="" w:asciiTheme="minorAscii" w:hAnsiTheme="minorAscii" w:eastAsiaTheme="minorAscii" w:cstheme="minorBidi"/>
          <w:noProof w:val="0"/>
          <w:color w:val="auto"/>
          <w:sz w:val="24"/>
          <w:szCs w:val="24"/>
          <w:lang w:val="en-GB" w:eastAsia="en-US" w:bidi="ar-SA"/>
        </w:rPr>
        <w:t>Barbanell, 2022).</w:t>
      </w:r>
      <w:r w:rsidRPr="257BFE88" w:rsidR="391DEE8C">
        <w:rPr>
          <w:rFonts w:ascii="Aptos" w:hAnsi="Aptos" w:eastAsia="Aptos" w:cs="" w:asciiTheme="minorAscii" w:hAnsiTheme="minorAscii" w:eastAsiaTheme="minorAscii" w:cstheme="minorBidi"/>
          <w:noProof w:val="0"/>
          <w:color w:val="auto"/>
          <w:sz w:val="24"/>
          <w:szCs w:val="24"/>
          <w:lang w:val="en-GB" w:eastAsia="en-US" w:bidi="ar-SA"/>
        </w:rPr>
        <w:t xml:space="preserve"> </w:t>
      </w:r>
      <w:r w:rsidRPr="257BFE88" w:rsidR="0676F684">
        <w:rPr>
          <w:rFonts w:ascii="Aptos" w:hAnsi="Aptos" w:eastAsia="Aptos" w:cs="" w:asciiTheme="minorAscii" w:hAnsiTheme="minorAscii" w:eastAsiaTheme="minorAscii" w:cstheme="minorBidi"/>
          <w:noProof w:val="0"/>
          <w:color w:val="auto"/>
          <w:sz w:val="24"/>
          <w:szCs w:val="24"/>
          <w:lang w:val="en-GB" w:eastAsia="en-US" w:bidi="ar-SA"/>
        </w:rPr>
        <w:t xml:space="preserve">In contrast </w:t>
      </w:r>
      <w:r w:rsidR="74131136">
        <w:rPr/>
        <w:t>several Republican led states have introduced anti</w:t>
      </w:r>
      <w:r w:rsidR="32316DD8">
        <w:rPr/>
        <w:t xml:space="preserve"> </w:t>
      </w:r>
      <w:r w:rsidR="74131136">
        <w:rPr/>
        <w:t>ESG legislation restricting the use of ESG criteria in</w:t>
      </w:r>
      <w:r w:rsidR="09D84755">
        <w:rPr/>
        <w:t xml:space="preserve"> public</w:t>
      </w:r>
      <w:r w:rsidR="74131136">
        <w:rPr/>
        <w:t xml:space="preserve"> investment decisions. </w:t>
      </w:r>
      <w:r w:rsidR="5A352FCA">
        <w:rPr/>
        <w:t xml:space="preserve">The </w:t>
      </w:r>
      <w:r w:rsidR="1435E21D">
        <w:rPr/>
        <w:t>opposing approaches</w:t>
      </w:r>
      <w:r w:rsidR="5A352FCA">
        <w:rPr/>
        <w:t xml:space="preserve"> are </w:t>
      </w:r>
      <w:r w:rsidR="10995F35">
        <w:rPr/>
        <w:t xml:space="preserve">also </w:t>
      </w:r>
      <w:r w:rsidR="5A352FCA">
        <w:rPr/>
        <w:t>evident</w:t>
      </w:r>
      <w:r w:rsidR="5A352FCA">
        <w:rPr/>
        <w:t xml:space="preserve"> in </w:t>
      </w:r>
      <w:r w:rsidR="74131136">
        <w:rPr/>
        <w:t>32 State Bills</w:t>
      </w:r>
      <w:r w:rsidR="35826A25">
        <w:rPr/>
        <w:t xml:space="preserve"> </w:t>
      </w:r>
      <w:r w:rsidR="74131136">
        <w:rPr/>
        <w:t xml:space="preserve">introduced </w:t>
      </w:r>
      <w:r w:rsidR="29AF6A2D">
        <w:rPr/>
        <w:t>in</w:t>
      </w:r>
      <w:r w:rsidR="7F13EAE7">
        <w:rPr/>
        <w:t xml:space="preserve"> 2024 </w:t>
      </w:r>
      <w:r w:rsidR="030E89B3">
        <w:rPr/>
        <w:t>some</w:t>
      </w:r>
      <w:r w:rsidR="74131136">
        <w:rPr/>
        <w:t xml:space="preserve"> supporting</w:t>
      </w:r>
      <w:r w:rsidR="7923783A">
        <w:rPr/>
        <w:t xml:space="preserve"> and</w:t>
      </w:r>
      <w:r w:rsidR="74131136">
        <w:rPr/>
        <w:t xml:space="preserve"> o</w:t>
      </w:r>
      <w:r w:rsidR="7E70CF22">
        <w:rPr/>
        <w:t>thers</w:t>
      </w:r>
      <w:r w:rsidR="74131136">
        <w:rPr/>
        <w:t xml:space="preserve"> opposing ESG investing (</w:t>
      </w:r>
      <w:r w:rsidRPr="257BFE88" w:rsidR="00D5D723">
        <w:rPr>
          <w:rFonts w:ascii="Aptos" w:hAnsi="Aptos" w:eastAsia="Aptos" w:cs="Aptos"/>
          <w:noProof w:val="0"/>
          <w:color w:val="000000" w:themeColor="text1" w:themeTint="FF" w:themeShade="FF"/>
          <w:sz w:val="24"/>
          <w:szCs w:val="24"/>
          <w:lang w:val="en-GB"/>
        </w:rPr>
        <w:t>Gibson and Sawyer, 2023</w:t>
      </w:r>
      <w:r w:rsidR="74131136">
        <w:rPr/>
        <w:t>).</w:t>
      </w:r>
      <w:r w:rsidR="74131136">
        <w:rPr/>
        <w:t xml:space="preserve"> </w:t>
      </w:r>
      <w:r w:rsidR="5038ADE7">
        <w:rPr/>
        <w:t xml:space="preserve">Although </w:t>
      </w:r>
      <w:r w:rsidR="65619E39">
        <w:rPr/>
        <w:t xml:space="preserve">it is </w:t>
      </w:r>
      <w:r w:rsidR="65619E39">
        <w:rPr/>
        <w:t>evident</w:t>
      </w:r>
      <w:r w:rsidR="65619E39">
        <w:rPr/>
        <w:t xml:space="preserve"> there</w:t>
      </w:r>
      <w:r w:rsidR="5038ADE7">
        <w:rPr/>
        <w:t xml:space="preserve"> </w:t>
      </w:r>
      <w:r w:rsidR="5038ADE7">
        <w:rPr/>
        <w:t>is uncertainty and</w:t>
      </w:r>
      <w:r w:rsidR="74131136">
        <w:rPr/>
        <w:t xml:space="preserve"> inconsistency</w:t>
      </w:r>
      <w:r w:rsidR="57F9FFBC">
        <w:rPr/>
        <w:t xml:space="preserve"> in sustainability approaches</w:t>
      </w:r>
      <w:r w:rsidR="74131136">
        <w:rPr/>
        <w:t xml:space="preserve">, many large U.S. businesses continue </w:t>
      </w:r>
      <w:r w:rsidR="31ADBC68">
        <w:rPr/>
        <w:t>with</w:t>
      </w:r>
      <w:r w:rsidR="74131136">
        <w:rPr/>
        <w:t xml:space="preserve"> internal climate</w:t>
      </w:r>
      <w:r w:rsidRPr="257BFE88" w:rsidR="74131136">
        <w:rPr>
          <w:rFonts w:ascii="Cambria Math" w:hAnsi="Cambria Math" w:cs="Cambria Math"/>
        </w:rPr>
        <w:t xml:space="preserve"> </w:t>
      </w:r>
      <w:r w:rsidR="74131136">
        <w:rPr/>
        <w:t>risk management</w:t>
      </w:r>
      <w:r w:rsidR="1F7E499A">
        <w:rPr/>
        <w:t xml:space="preserve"> and sustainability</w:t>
      </w:r>
      <w:r w:rsidR="74131136">
        <w:rPr/>
        <w:t xml:space="preserve"> practices</w:t>
      </w:r>
      <w:r w:rsidR="70072448">
        <w:rPr/>
        <w:t xml:space="preserve"> </w:t>
      </w:r>
      <w:r w:rsidR="74131136">
        <w:rPr/>
        <w:t>to</w:t>
      </w:r>
      <w:r w:rsidR="55BA2F47">
        <w:rPr/>
        <w:t xml:space="preserve"> meet</w:t>
      </w:r>
      <w:r w:rsidR="74131136">
        <w:rPr/>
        <w:t xml:space="preserve"> global supply</w:t>
      </w:r>
      <w:r w:rsidRPr="257BFE88" w:rsidR="74131136">
        <w:rPr>
          <w:rFonts w:ascii="Cambria Math" w:hAnsi="Cambria Math" w:cs="Cambria Math"/>
        </w:rPr>
        <w:t xml:space="preserve"> </w:t>
      </w:r>
      <w:r w:rsidR="74131136">
        <w:rPr/>
        <w:t xml:space="preserve">chain requirements, investor </w:t>
      </w:r>
      <w:r w:rsidR="74131136">
        <w:rPr/>
        <w:t>pressure</w:t>
      </w:r>
      <w:r w:rsidR="74131136">
        <w:rPr/>
        <w:t xml:space="preserve"> and</w:t>
      </w:r>
      <w:r w:rsidR="74131136">
        <w:rPr/>
        <w:t xml:space="preserve"> </w:t>
      </w:r>
      <w:r w:rsidR="55ED31A3">
        <w:rPr/>
        <w:t xml:space="preserve">international </w:t>
      </w:r>
      <w:r w:rsidR="74131136">
        <w:rPr/>
        <w:t>reputational considerations</w:t>
      </w:r>
      <w:r w:rsidR="74131136">
        <w:rPr/>
        <w:t>.</w:t>
      </w:r>
    </w:p>
    <w:p w:rsidRPr="003137A2" w:rsidR="003137A2" w:rsidP="08626363" w:rsidRDefault="003137A2" w14:paraId="300D48A0" w14:textId="1534999F">
      <w:pPr>
        <w:pStyle w:val="Normal"/>
        <w:spacing w:before="240" w:beforeAutospacing="off" w:after="240" w:afterAutospacing="off"/>
      </w:pPr>
      <w:r w:rsidR="74131136">
        <w:rPr/>
        <w:t xml:space="preserve">A further recent development is the Federal “rollback” of climate disclosure policy. In 2026, the Securities and Exchange Commission </w:t>
      </w:r>
      <w:r w:rsidR="44B03B1D">
        <w:rPr/>
        <w:t>stopp</w:t>
      </w:r>
      <w:r w:rsidR="74131136">
        <w:rPr/>
        <w:t xml:space="preserve">ed </w:t>
      </w:r>
      <w:r w:rsidR="0B3CF97E">
        <w:rPr/>
        <w:t xml:space="preserve">the </w:t>
      </w:r>
      <w:r w:rsidR="74131136">
        <w:rPr/>
        <w:t xml:space="preserve">implementation of the </w:t>
      </w:r>
      <w:r w:rsidR="74131136">
        <w:rPr/>
        <w:t>2024 Climate</w:t>
      </w:r>
      <w:r w:rsidRPr="257BFE88" w:rsidR="74131136">
        <w:rPr>
          <w:rFonts w:ascii="Cambria Math" w:hAnsi="Cambria Math" w:cs="Cambria Math"/>
        </w:rPr>
        <w:t xml:space="preserve"> </w:t>
      </w:r>
      <w:r w:rsidR="74131136">
        <w:rPr/>
        <w:t>Related Disclosure Rules</w:t>
      </w:r>
      <w:r w:rsidR="06E3E025">
        <w:rPr/>
        <w:t xml:space="preserve"> </w:t>
      </w:r>
      <w:r w:rsidR="572AFCC4">
        <w:rPr/>
        <w:t>(W</w:t>
      </w:r>
      <w:r w:rsidRPr="257BFE88" w:rsidR="06E3E025">
        <w:rPr>
          <w:rFonts w:ascii="Aptos" w:hAnsi="Aptos" w:eastAsia="Aptos" w:cs="Aptos" w:asciiTheme="minorAscii" w:hAnsiTheme="minorAscii" w:eastAsiaTheme="minorAscii" w:cstheme="minorAscii"/>
          <w:noProof w:val="0"/>
          <w:color w:val="auto"/>
          <w:sz w:val="24"/>
          <w:szCs w:val="24"/>
          <w:lang w:val="en-GB" w:eastAsia="en-US" w:bidi="ar-SA"/>
        </w:rPr>
        <w:t>elsh</w:t>
      </w:r>
      <w:r w:rsidRPr="257BFE88" w:rsidR="27DA4A6D">
        <w:rPr>
          <w:rFonts w:ascii="Aptos" w:hAnsi="Aptos" w:eastAsia="Aptos" w:cs="Aptos" w:asciiTheme="minorAscii" w:hAnsiTheme="minorAscii" w:eastAsiaTheme="minorAscii" w:cstheme="minorAscii"/>
          <w:noProof w:val="0"/>
          <w:color w:val="auto"/>
          <w:sz w:val="24"/>
          <w:szCs w:val="24"/>
          <w:lang w:val="en-GB" w:eastAsia="en-US" w:bidi="ar-SA"/>
        </w:rPr>
        <w:t xml:space="preserve">, </w:t>
      </w:r>
      <w:r w:rsidRPr="257BFE88" w:rsidR="06E3E025">
        <w:rPr>
          <w:rFonts w:ascii="Aptos" w:hAnsi="Aptos" w:eastAsia="Aptos" w:cs="" w:asciiTheme="minorAscii" w:hAnsiTheme="minorAscii" w:eastAsiaTheme="minorAscii" w:cstheme="minorBidi"/>
          <w:noProof w:val="0"/>
          <w:color w:val="auto"/>
          <w:sz w:val="24"/>
          <w:szCs w:val="24"/>
          <w:lang w:val="en-GB" w:eastAsia="en-US" w:bidi="ar-SA"/>
        </w:rPr>
        <w:t>2024</w:t>
      </w:r>
      <w:r w:rsidRPr="257BFE88" w:rsidR="52E52F10">
        <w:rPr>
          <w:rFonts w:ascii="Aptos" w:hAnsi="Aptos" w:eastAsia="Aptos" w:cs="" w:asciiTheme="minorAscii" w:hAnsiTheme="minorAscii" w:eastAsiaTheme="minorAscii" w:cstheme="minorBidi"/>
          <w:noProof w:val="0"/>
          <w:color w:val="auto"/>
          <w:sz w:val="24"/>
          <w:szCs w:val="24"/>
          <w:lang w:val="en-GB" w:eastAsia="en-US" w:bidi="ar-SA"/>
        </w:rPr>
        <w:t>)</w:t>
      </w:r>
      <w:r w:rsidR="74131136">
        <w:rPr/>
        <w:t>,</w:t>
      </w:r>
      <w:r w:rsidR="74131136">
        <w:rPr/>
        <w:t xml:space="preserve"> reducing the availability of standardised climate data for investors</w:t>
      </w:r>
      <w:r w:rsidR="2282356C">
        <w:rPr/>
        <w:t xml:space="preserve"> </w:t>
      </w:r>
      <w:r w:rsidRPr="257BFE88" w:rsidR="2282356C">
        <w:rPr>
          <w:rFonts w:ascii="Aptos" w:hAnsi="Aptos" w:eastAsia="Aptos" w:cs="Aptos"/>
          <w:noProof w:val="0"/>
          <w:color w:val="000000" w:themeColor="text1" w:themeTint="FF" w:themeShade="FF"/>
          <w:sz w:val="24"/>
          <w:szCs w:val="24"/>
          <w:lang w:val="en-GB"/>
        </w:rPr>
        <w:t>(U.S. Securities and Exchange Commission, 2025</w:t>
      </w:r>
      <w:r w:rsidRPr="257BFE88" w:rsidR="2282356C">
        <w:rPr>
          <w:rFonts w:ascii="Aptos" w:hAnsi="Aptos" w:eastAsia="Aptos" w:cs="Aptos"/>
          <w:noProof w:val="0"/>
          <w:color w:val="000000" w:themeColor="text1" w:themeTint="FF" w:themeShade="FF"/>
          <w:sz w:val="24"/>
          <w:szCs w:val="24"/>
          <w:lang w:val="en-GB"/>
        </w:rPr>
        <w:t>)</w:t>
      </w:r>
      <w:r w:rsidR="74131136">
        <w:rPr/>
        <w:t xml:space="preserve">. </w:t>
      </w:r>
      <w:r w:rsidR="74131136">
        <w:rPr/>
        <w:t xml:space="preserve">This action, </w:t>
      </w:r>
      <w:r w:rsidR="59B35ED1">
        <w:rPr/>
        <w:t>together</w:t>
      </w:r>
      <w:r w:rsidR="74131136">
        <w:rPr/>
        <w:t xml:space="preserve"> with wider deregulation across environmental agencies, has </w:t>
      </w:r>
      <w:r w:rsidR="49AAD781">
        <w:rPr/>
        <w:t xml:space="preserve">put </w:t>
      </w:r>
      <w:r w:rsidR="63F9F334">
        <w:rPr/>
        <w:t xml:space="preserve">the </w:t>
      </w:r>
      <w:r w:rsidR="74131136">
        <w:rPr/>
        <w:t xml:space="preserve">Federal </w:t>
      </w:r>
      <w:r w:rsidR="779F0CF8">
        <w:rPr/>
        <w:t>approach</w:t>
      </w:r>
      <w:r w:rsidR="74131136">
        <w:rPr/>
        <w:t xml:space="preserve"> </w:t>
      </w:r>
      <w:r w:rsidR="1F794A37">
        <w:rPr/>
        <w:t xml:space="preserve">out of step </w:t>
      </w:r>
      <w:r w:rsidR="74131136">
        <w:rPr/>
        <w:t>with international ESG requirements.</w:t>
      </w:r>
      <w:r w:rsidR="472F78CA">
        <w:rPr/>
        <w:t xml:space="preserve"> The Federal position has not stopped</w:t>
      </w:r>
      <w:r w:rsidR="74131136">
        <w:rPr/>
        <w:t xml:space="preserve"> market forces continu</w:t>
      </w:r>
      <w:r w:rsidR="7A570BB8">
        <w:rPr/>
        <w:t>ing</w:t>
      </w:r>
      <w:r w:rsidR="74131136">
        <w:rPr/>
        <w:t xml:space="preserve"> to push companies toward credible sustainability strategies</w:t>
      </w:r>
      <w:r w:rsidR="6AA53386">
        <w:rPr/>
        <w:t xml:space="preserve">. This </w:t>
      </w:r>
      <w:r w:rsidR="74131136">
        <w:rPr/>
        <w:t>illustrat</w:t>
      </w:r>
      <w:r w:rsidR="601FE0B9">
        <w:rPr/>
        <w:t>es</w:t>
      </w:r>
      <w:r w:rsidR="74131136">
        <w:rPr/>
        <w:t xml:space="preserve"> that reducing regulatory requirements does not </w:t>
      </w:r>
      <w:r w:rsidR="5A9E2507">
        <w:rPr/>
        <w:t xml:space="preserve">in itself </w:t>
      </w:r>
      <w:r w:rsidR="74131136">
        <w:rPr/>
        <w:t xml:space="preserve">remove </w:t>
      </w:r>
      <w:r w:rsidR="2A53AFA0">
        <w:rPr/>
        <w:t xml:space="preserve">the </w:t>
      </w:r>
      <w:r w:rsidR="74131136">
        <w:rPr/>
        <w:t>commercial incentives for climate responsibility.</w:t>
      </w:r>
    </w:p>
    <w:p w:rsidRPr="003137A2" w:rsidR="003137A2" w:rsidP="08626363" w:rsidRDefault="003137A2" w14:paraId="08A7F7B2" w14:textId="39C58DF4">
      <w:pPr>
        <w:spacing w:before="240" w:beforeAutospacing="off" w:after="240" w:afterAutospacing="off"/>
      </w:pPr>
      <w:r w:rsidRPr="257BFE88" w:rsidR="74131136">
        <w:rPr>
          <w:rFonts w:eastAsia="" w:cs="" w:eastAsiaTheme="majorEastAsia" w:cstheme="majorBidi"/>
          <w:i w:val="1"/>
          <w:iCs w:val="1"/>
          <w:color w:val="0F4761" w:themeColor="accent1" w:themeTint="FF" w:themeShade="BF"/>
        </w:rPr>
        <w:t>Japan</w:t>
      </w:r>
      <w:r w:rsidR="74131136">
        <w:rPr/>
        <w:t xml:space="preserve"> offers a hybrid model. Since 2021, the Tokyo Stock Exchange has required its largest listed companies to adopt international climate</w:t>
      </w:r>
      <w:r w:rsidRPr="257BFE88" w:rsidR="74131136">
        <w:rPr>
          <w:rFonts w:ascii="Cambria Math" w:hAnsi="Cambria Math" w:cs="Cambria Math"/>
        </w:rPr>
        <w:t xml:space="preserve"> </w:t>
      </w:r>
      <w:r w:rsidR="74131136">
        <w:rPr/>
        <w:t>risk reporting principles</w:t>
      </w:r>
      <w:r w:rsidR="5D38542F">
        <w:rPr/>
        <w:t xml:space="preserve">. The government approach is one of </w:t>
      </w:r>
      <w:r w:rsidRPr="257BFE88" w:rsidR="74131136">
        <w:rPr>
          <w:rFonts w:ascii="Aptos" w:hAnsi="Aptos" w:cs="Aptos"/>
        </w:rPr>
        <w:t>“</w:t>
      </w:r>
      <w:r w:rsidR="74131136">
        <w:rPr/>
        <w:t>comply or explain</w:t>
      </w:r>
      <w:r w:rsidRPr="257BFE88" w:rsidR="74131136">
        <w:rPr>
          <w:rFonts w:ascii="Aptos" w:hAnsi="Aptos" w:cs="Aptos"/>
        </w:rPr>
        <w:t>”</w:t>
      </w:r>
      <w:r w:rsidRPr="257BFE88" w:rsidR="17B43308">
        <w:rPr>
          <w:rFonts w:ascii="Aptos" w:hAnsi="Aptos" w:cs="Aptos"/>
        </w:rPr>
        <w:t>.</w:t>
      </w:r>
      <w:r w:rsidRPr="257BFE88" w:rsidR="17B43308">
        <w:rPr>
          <w:rFonts w:ascii="Aptos" w:hAnsi="Aptos" w:cs="Aptos"/>
        </w:rPr>
        <w:t xml:space="preserve"> The country is</w:t>
      </w:r>
      <w:r w:rsidR="74131136">
        <w:rPr/>
        <w:t xml:space="preserve"> gradual</w:t>
      </w:r>
      <w:r w:rsidR="1410B859">
        <w:rPr/>
        <w:t>ly</w:t>
      </w:r>
      <w:r w:rsidR="74131136">
        <w:rPr/>
        <w:t xml:space="preserve"> </w:t>
      </w:r>
      <w:r w:rsidR="44529454">
        <w:rPr/>
        <w:t>chang</w:t>
      </w:r>
      <w:r w:rsidR="3AF056BA">
        <w:rPr/>
        <w:t>ing</w:t>
      </w:r>
      <w:r w:rsidR="74131136">
        <w:rPr/>
        <w:t xml:space="preserve"> toward mandatory global sustainability standards</w:t>
      </w:r>
      <w:r w:rsidR="0B593F4D">
        <w:rPr/>
        <w:t xml:space="preserve"> </w:t>
      </w:r>
      <w:r w:rsidRPr="257BFE88" w:rsidR="0B593F4D">
        <w:rPr>
          <w:rFonts w:ascii="Aptos" w:hAnsi="Aptos" w:eastAsia="Aptos" w:cs="Aptos"/>
          <w:noProof w:val="0"/>
          <w:color w:val="000000" w:themeColor="text1" w:themeTint="FF" w:themeShade="FF"/>
          <w:sz w:val="24"/>
          <w:szCs w:val="24"/>
          <w:lang w:val="en-GB"/>
        </w:rPr>
        <w:t>(Japan Exchange Group, 2025).</w:t>
      </w:r>
      <w:r w:rsidR="0B593F4D">
        <w:rPr/>
        <w:t xml:space="preserve"> </w:t>
      </w:r>
      <w:r w:rsidR="74131136">
        <w:rPr/>
        <w:t>Japan</w:t>
      </w:r>
      <w:r w:rsidRPr="257BFE88" w:rsidR="74131136">
        <w:rPr>
          <w:rFonts w:ascii="Aptos" w:hAnsi="Aptos" w:cs="Aptos"/>
        </w:rPr>
        <w:t>’</w:t>
      </w:r>
      <w:r w:rsidR="74131136">
        <w:rPr/>
        <w:t>s long</w:t>
      </w:r>
      <w:r w:rsidRPr="257BFE88" w:rsidR="74131136">
        <w:rPr>
          <w:rFonts w:ascii="Cambria Math" w:hAnsi="Cambria Math" w:cs="Cambria Math"/>
        </w:rPr>
        <w:t xml:space="preserve"> </w:t>
      </w:r>
      <w:r w:rsidR="74131136">
        <w:rPr/>
        <w:t>term business culture and emphasis on continuous improvement</w:t>
      </w:r>
      <w:r w:rsidR="223594D4">
        <w:rPr/>
        <w:t xml:space="preserve"> in business practices</w:t>
      </w:r>
      <w:r w:rsidR="74131136">
        <w:rPr/>
        <w:t xml:space="preserve"> support this direction</w:t>
      </w:r>
      <w:r w:rsidR="234FA5DC">
        <w:rPr/>
        <w:t xml:space="preserve"> of travel</w:t>
      </w:r>
      <w:r w:rsidR="74131136">
        <w:rPr/>
        <w:t>.</w:t>
      </w:r>
    </w:p>
    <w:p w:rsidRPr="003137A2" w:rsidR="003137A2" w:rsidP="08626363" w:rsidRDefault="003137A2" w14:paraId="2ED62BC6" w14:textId="1039E090">
      <w:pPr>
        <w:keepNext w:val="1"/>
        <w:keepLines w:val="1"/>
        <w:spacing w:before="160" w:after="80"/>
        <w:outlineLvl w:val="2"/>
        <w:rPr>
          <w:rFonts w:eastAsia="" w:cs="" w:eastAsiaTheme="majorEastAsia" w:cstheme="majorBidi"/>
          <w:color w:val="0F4761" w:themeColor="accent1" w:themeShade="BF"/>
          <w:sz w:val="28"/>
          <w:szCs w:val="28"/>
        </w:rPr>
      </w:pPr>
      <w:bookmarkStart w:name="_Toc1861686976" w:id="1688177578"/>
      <w:r w:rsidRPr="257BFE88" w:rsidR="74131136">
        <w:rPr>
          <w:rFonts w:eastAsia="" w:cs="" w:eastAsiaTheme="majorEastAsia" w:cstheme="majorBidi"/>
          <w:color w:val="0F4761" w:themeColor="accent1" w:themeTint="FF" w:themeShade="BF"/>
          <w:sz w:val="28"/>
          <w:szCs w:val="28"/>
        </w:rPr>
        <w:t xml:space="preserve">5.4.2 Public </w:t>
      </w:r>
      <w:r w:rsidRPr="257BFE88" w:rsidR="5FDFEC66">
        <w:rPr>
          <w:rFonts w:eastAsia="" w:cs="" w:eastAsiaTheme="majorEastAsia" w:cstheme="majorBidi"/>
          <w:color w:val="0F4761" w:themeColor="accent1" w:themeTint="FF" w:themeShade="BF"/>
          <w:sz w:val="28"/>
          <w:szCs w:val="28"/>
        </w:rPr>
        <w:t>Pressure</w:t>
      </w:r>
      <w:r w:rsidRPr="257BFE88" w:rsidR="74131136">
        <w:rPr>
          <w:rFonts w:eastAsia="" w:cs="" w:eastAsiaTheme="majorEastAsia" w:cstheme="majorBidi"/>
          <w:color w:val="0F4761" w:themeColor="accent1" w:themeTint="FF" w:themeShade="BF"/>
          <w:sz w:val="28"/>
          <w:szCs w:val="28"/>
        </w:rPr>
        <w:t xml:space="preserve"> and Ethical </w:t>
      </w:r>
      <w:r w:rsidRPr="257BFE88" w:rsidR="17C40D30">
        <w:rPr>
          <w:rFonts w:eastAsia="" w:cs="" w:eastAsiaTheme="majorEastAsia" w:cstheme="majorBidi"/>
          <w:color w:val="0F4761" w:themeColor="accent1" w:themeTint="FF" w:themeShade="BF"/>
          <w:sz w:val="28"/>
          <w:szCs w:val="28"/>
        </w:rPr>
        <w:t>Standard</w:t>
      </w:r>
      <w:r w:rsidRPr="257BFE88" w:rsidR="74131136">
        <w:rPr>
          <w:rFonts w:eastAsia="" w:cs="" w:eastAsiaTheme="majorEastAsia" w:cstheme="majorBidi"/>
          <w:color w:val="0F4761" w:themeColor="accent1" w:themeTint="FF" w:themeShade="BF"/>
          <w:sz w:val="28"/>
          <w:szCs w:val="28"/>
        </w:rPr>
        <w:t>s</w:t>
      </w:r>
      <w:bookmarkEnd w:id="1688177578"/>
    </w:p>
    <w:p w:rsidRPr="003137A2" w:rsidR="003137A2" w:rsidP="257BFE88" w:rsidRDefault="003137A2" w14:paraId="0FD7EF2D" w14:textId="58425F27">
      <w:pPr>
        <w:suppressLineNumbers w:val="0"/>
        <w:spacing w:before="240" w:beforeAutospacing="off" w:after="240" w:afterAutospacing="off"/>
        <w:rPr>
          <w:rFonts w:ascii="Aptos" w:hAnsi="Aptos" w:eastAsia="Aptos"/>
          <w:noProof w:val="0"/>
          <w:sz w:val="24"/>
          <w:szCs w:val="24"/>
          <w:lang w:val="en-GB"/>
        </w:rPr>
      </w:pPr>
      <w:r w:rsidRPr="257BFE88" w:rsidR="1910C0BE">
        <w:rPr>
          <w:rFonts w:ascii="Aptos" w:hAnsi="Aptos" w:eastAsia="Aptos"/>
          <w:noProof w:val="0"/>
          <w:sz w:val="24"/>
          <w:szCs w:val="24"/>
          <w:lang w:val="en-GB"/>
        </w:rPr>
        <w:t>Ethical business behaviour is strongly affected by communities and Investors and is significantly more influential than ESG scores (Marcoux, 2022). An example of the power of public opinion is Coca Cola being forced to adopt a water management strategy and allow external independent auditing in South Africa and India. In both cases Coke was found to have misused water supplies and harmed the environment and residents. This is one of many examples of community action and media attention that made big business take responsibility for damage caused by their actions (Bijoy, 2006; Motwani, 2023).</w:t>
      </w:r>
    </w:p>
    <w:p w:rsidRPr="003137A2" w:rsidR="003137A2" w:rsidP="257BFE88" w:rsidRDefault="003137A2" w14:paraId="29AB1446" w14:textId="62EE348B">
      <w:pPr>
        <w:suppressLineNumbers w:val="0"/>
        <w:spacing w:before="240" w:beforeAutospacing="off" w:after="240" w:afterAutospacing="off"/>
      </w:pPr>
      <w:r w:rsidRPr="257BFE88" w:rsidR="1910C0BE">
        <w:rPr>
          <w:rFonts w:ascii="Aptos" w:hAnsi="Aptos" w:eastAsia="Aptos"/>
          <w:noProof w:val="0"/>
          <w:sz w:val="24"/>
          <w:szCs w:val="24"/>
          <w:lang w:val="en-GB"/>
        </w:rPr>
        <w:t>The</w:t>
      </w:r>
      <w:r w:rsidRPr="257BFE88" w:rsidR="5CC42579">
        <w:rPr>
          <w:rFonts w:ascii="Aptos" w:hAnsi="Aptos" w:eastAsia="Aptos"/>
          <w:noProof w:val="0"/>
          <w:sz w:val="24"/>
          <w:szCs w:val="24"/>
          <w:lang w:val="en-GB"/>
        </w:rPr>
        <w:t xml:space="preserve"> cases </w:t>
      </w:r>
      <w:r w:rsidRPr="257BFE88" w:rsidR="1910C0BE">
        <w:rPr>
          <w:rFonts w:ascii="Aptos" w:hAnsi="Aptos" w:eastAsia="Aptos"/>
          <w:noProof w:val="0"/>
          <w:sz w:val="24"/>
          <w:szCs w:val="24"/>
          <w:lang w:val="en-GB"/>
        </w:rPr>
        <w:t xml:space="preserve">against Coca Cola also raised awareness that there can be a gap between what a business </w:t>
      </w:r>
      <w:r w:rsidRPr="257BFE88" w:rsidR="1910C0BE">
        <w:rPr>
          <w:rFonts w:ascii="Aptos" w:hAnsi="Aptos" w:eastAsia="Aptos"/>
          <w:noProof w:val="0"/>
          <w:sz w:val="24"/>
          <w:szCs w:val="24"/>
          <w:lang w:val="en-GB"/>
        </w:rPr>
        <w:t>states</w:t>
      </w:r>
      <w:r w:rsidRPr="257BFE88" w:rsidR="1910C0BE">
        <w:rPr>
          <w:rFonts w:ascii="Aptos" w:hAnsi="Aptos" w:eastAsia="Aptos"/>
          <w:noProof w:val="0"/>
          <w:sz w:val="24"/>
          <w:szCs w:val="24"/>
          <w:lang w:val="en-GB"/>
        </w:rPr>
        <w:t xml:space="preserve"> its ethical approach is and what it </w:t>
      </w:r>
      <w:r w:rsidRPr="257BFE88" w:rsidR="6179FA72">
        <w:rPr>
          <w:rFonts w:ascii="Aptos" w:hAnsi="Aptos" w:eastAsia="Aptos"/>
          <w:noProof w:val="0"/>
          <w:sz w:val="24"/>
          <w:szCs w:val="24"/>
          <w:lang w:val="en-GB"/>
        </w:rPr>
        <w:t>does</w:t>
      </w:r>
      <w:r w:rsidRPr="257BFE88" w:rsidR="1910C0BE">
        <w:rPr>
          <w:rFonts w:ascii="Aptos" w:hAnsi="Aptos" w:eastAsia="Aptos"/>
          <w:noProof w:val="0"/>
          <w:sz w:val="24"/>
          <w:szCs w:val="24"/>
          <w:lang w:val="en-GB"/>
        </w:rPr>
        <w:t xml:space="preserve"> in practice. Pressure for independent auditing of company reports, so called </w:t>
      </w:r>
      <w:r w:rsidRPr="257BFE88" w:rsidR="425A26D2">
        <w:rPr>
          <w:rFonts w:ascii="Aptos" w:hAnsi="Aptos" w:eastAsia="Aptos"/>
          <w:noProof w:val="0"/>
          <w:sz w:val="24"/>
          <w:szCs w:val="24"/>
          <w:lang w:val="en-GB"/>
        </w:rPr>
        <w:t>E</w:t>
      </w:r>
      <w:r w:rsidRPr="257BFE88" w:rsidR="1910C0BE">
        <w:rPr>
          <w:rFonts w:ascii="Aptos" w:hAnsi="Aptos" w:eastAsia="Aptos"/>
          <w:noProof w:val="0"/>
          <w:sz w:val="24"/>
          <w:szCs w:val="24"/>
          <w:lang w:val="en-GB"/>
        </w:rPr>
        <w:t>thic</w:t>
      </w:r>
      <w:r w:rsidRPr="257BFE88" w:rsidR="674D0DF0">
        <w:rPr>
          <w:rFonts w:ascii="Aptos" w:hAnsi="Aptos" w:eastAsia="Aptos"/>
          <w:noProof w:val="0"/>
          <w:sz w:val="24"/>
          <w:szCs w:val="24"/>
          <w:lang w:val="en-GB"/>
        </w:rPr>
        <w:t>s</w:t>
      </w:r>
      <w:r w:rsidRPr="257BFE88" w:rsidR="1910C0BE">
        <w:rPr>
          <w:rFonts w:ascii="Aptos" w:hAnsi="Aptos" w:eastAsia="Aptos"/>
          <w:noProof w:val="0"/>
          <w:sz w:val="24"/>
          <w:szCs w:val="24"/>
          <w:lang w:val="en-GB"/>
        </w:rPr>
        <w:t xml:space="preserve"> </w:t>
      </w:r>
      <w:r w:rsidRPr="257BFE88" w:rsidR="0270D754">
        <w:rPr>
          <w:rFonts w:ascii="Aptos" w:hAnsi="Aptos" w:eastAsia="Aptos"/>
          <w:noProof w:val="0"/>
          <w:sz w:val="24"/>
          <w:szCs w:val="24"/>
          <w:lang w:val="en-GB"/>
        </w:rPr>
        <w:t>A</w:t>
      </w:r>
      <w:r w:rsidRPr="257BFE88" w:rsidR="1910C0BE">
        <w:rPr>
          <w:rFonts w:ascii="Aptos" w:hAnsi="Aptos" w:eastAsia="Aptos"/>
          <w:noProof w:val="0"/>
          <w:sz w:val="24"/>
          <w:szCs w:val="24"/>
          <w:lang w:val="en-GB"/>
        </w:rPr>
        <w:t xml:space="preserve">udits, is growing (Earth Island Institute v. Coca-Cola, 2024). This </w:t>
      </w:r>
      <w:r w:rsidRPr="257BFE88" w:rsidR="1910C0BE">
        <w:rPr>
          <w:rFonts w:ascii="Aptos" w:hAnsi="Aptos" w:eastAsia="Aptos"/>
          <w:noProof w:val="0"/>
          <w:sz w:val="24"/>
          <w:szCs w:val="24"/>
          <w:lang w:val="en-GB"/>
        </w:rPr>
        <w:t>evidences</w:t>
      </w:r>
      <w:r w:rsidRPr="257BFE88" w:rsidR="1910C0BE">
        <w:rPr>
          <w:rFonts w:ascii="Aptos" w:hAnsi="Aptos" w:eastAsia="Aptos"/>
          <w:noProof w:val="0"/>
          <w:sz w:val="24"/>
          <w:szCs w:val="24"/>
          <w:lang w:val="en-GB"/>
        </w:rPr>
        <w:t xml:space="preserve"> the importance of trust in businesses behaviours.</w:t>
      </w:r>
      <w:r w:rsidR="1910C0BE">
        <w:rPr/>
        <w:t xml:space="preserve"> </w:t>
      </w:r>
    </w:p>
    <w:p w:rsidRPr="003137A2" w:rsidR="003137A2" w:rsidP="257BFE88" w:rsidRDefault="003137A2" w14:paraId="42E543DE" w14:textId="4A2C8369">
      <w:pPr>
        <w:pStyle w:val="Normal"/>
        <w:suppressLineNumbers w:val="0"/>
        <w:bidi w:val="0"/>
        <w:spacing w:before="240" w:beforeAutospacing="off" w:after="240" w:afterAutospacing="off"/>
        <w:jc w:val="left"/>
        <w:rPr>
          <w:rFonts w:ascii="Aptos" w:hAnsi="Aptos" w:eastAsia="Aptos" w:cs="Aptos"/>
          <w:noProof w:val="0"/>
          <w:color w:val="000000" w:themeColor="text1" w:themeTint="FF" w:themeShade="FF"/>
          <w:sz w:val="24"/>
          <w:szCs w:val="24"/>
          <w:lang w:val="en-GB"/>
        </w:rPr>
      </w:pPr>
      <w:r w:rsidR="2C40BFFF">
        <w:rPr/>
        <w:t>Ethica</w:t>
      </w:r>
      <w:r w:rsidR="2C40BFFF">
        <w:rPr/>
        <w:t>l beha</w:t>
      </w:r>
      <w:r w:rsidR="2C40BFFF">
        <w:rPr/>
        <w:t>viour is</w:t>
      </w:r>
      <w:r w:rsidR="2C40BFFF">
        <w:rPr/>
        <w:t xml:space="preserve"> no</w:t>
      </w:r>
      <w:r w:rsidR="7393D7A5">
        <w:rPr/>
        <w:t xml:space="preserve"> longer</w:t>
      </w:r>
      <w:r w:rsidR="2C40BFFF">
        <w:rPr/>
        <w:t xml:space="preserve"> seen as </w:t>
      </w:r>
      <w:r w:rsidR="2C40BFFF">
        <w:rPr/>
        <w:t>an option</w:t>
      </w:r>
      <w:r w:rsidR="2C40BFFF">
        <w:rPr/>
        <w:t xml:space="preserve"> but a </w:t>
      </w:r>
      <w:r w:rsidR="6D102DBA">
        <w:rPr/>
        <w:t xml:space="preserve">competitive advantage and a </w:t>
      </w:r>
      <w:r w:rsidR="2C40BFFF">
        <w:rPr/>
        <w:t>necessity a</w:t>
      </w:r>
      <w:r w:rsidR="74131136">
        <w:rPr/>
        <w:t xml:space="preserve">s consumers and investors </w:t>
      </w:r>
      <w:r w:rsidR="6C82BD39">
        <w:rPr/>
        <w:t xml:space="preserve">pay </w:t>
      </w:r>
      <w:r w:rsidR="7CAD4750">
        <w:rPr/>
        <w:t>clos</w:t>
      </w:r>
      <w:r w:rsidR="6C82BD39">
        <w:rPr/>
        <w:t>er</w:t>
      </w:r>
      <w:r w:rsidR="6C82BD39">
        <w:rPr/>
        <w:t xml:space="preserve"> at</w:t>
      </w:r>
      <w:r w:rsidR="6C82BD39">
        <w:rPr/>
        <w:t>tention</w:t>
      </w:r>
      <w:r w:rsidR="74131136">
        <w:rPr/>
        <w:t xml:space="preserve"> </w:t>
      </w:r>
      <w:r w:rsidR="74131136">
        <w:rPr/>
        <w:t xml:space="preserve">to </w:t>
      </w:r>
      <w:r w:rsidR="74131136">
        <w:rPr/>
        <w:t xml:space="preserve">sustainability </w:t>
      </w:r>
      <w:r w:rsidR="74131136">
        <w:rPr/>
        <w:t>claims</w:t>
      </w:r>
      <w:r w:rsidR="2B394335">
        <w:rPr/>
        <w:t xml:space="preserve"> </w:t>
      </w:r>
      <w:r w:rsidR="74131136">
        <w:rPr/>
        <w:t>(Crane &amp; Matten, 2022</w:t>
      </w:r>
      <w:r w:rsidR="16206A73">
        <w:rPr/>
        <w:t xml:space="preserve">; </w:t>
      </w:r>
      <w:r w:rsidRPr="257BFE88" w:rsidR="21C0101C">
        <w:rPr>
          <w:rFonts w:ascii="Aptos" w:hAnsi="Aptos" w:eastAsia="Aptos" w:cs="Aptos"/>
          <w:noProof w:val="0"/>
          <w:color w:val="000000" w:themeColor="text1" w:themeTint="FF" w:themeShade="FF"/>
          <w:sz w:val="24"/>
          <w:szCs w:val="24"/>
          <w:lang w:val="en-GB"/>
        </w:rPr>
        <w:t>Crane, Matten, Glozer and Spence, 2022).</w:t>
      </w:r>
    </w:p>
    <w:p w:rsidRPr="003137A2" w:rsidR="003137A2" w:rsidP="257BFE88" w:rsidRDefault="003137A2" w14:paraId="70697051" w14:textId="523B31D4">
      <w:pPr>
        <w:keepNext w:val="1"/>
        <w:keepLines w:val="1"/>
        <w:spacing w:before="160" w:after="80"/>
        <w:outlineLvl w:val="2"/>
        <w:rPr>
          <w:rFonts w:eastAsia="" w:cs="" w:eastAsiaTheme="majorEastAsia" w:cstheme="majorBidi"/>
          <w:color w:val="0F4761" w:themeColor="accent1" w:themeShade="BF"/>
          <w:sz w:val="28"/>
          <w:szCs w:val="28"/>
        </w:rPr>
      </w:pPr>
      <w:bookmarkStart w:name="_Toc1634266774" w:id="393837766"/>
      <w:r w:rsidRPr="257BFE88" w:rsidR="6D7FFB3E">
        <w:rPr>
          <w:rFonts w:eastAsia="" w:cs="" w:eastAsiaTheme="majorEastAsia" w:cstheme="majorBidi"/>
          <w:color w:val="0F4761" w:themeColor="accent1" w:themeTint="FF" w:themeShade="BF"/>
          <w:sz w:val="28"/>
          <w:szCs w:val="28"/>
        </w:rPr>
        <w:t>5.4.3 Global Risks: Corruption, Greenwashing</w:t>
      </w:r>
      <w:r w:rsidRPr="257BFE88" w:rsidR="6D7FFB3E">
        <w:rPr>
          <w:rFonts w:eastAsia="" w:cs="" w:eastAsiaTheme="majorEastAsia" w:cstheme="majorBidi"/>
          <w:color w:val="0F4761" w:themeColor="accent1" w:themeTint="FF" w:themeShade="BF"/>
          <w:sz w:val="28"/>
          <w:szCs w:val="28"/>
        </w:rPr>
        <w:t xml:space="preserve"> and</w:t>
      </w:r>
      <w:r w:rsidRPr="257BFE88" w:rsidR="6D7FFB3E">
        <w:rPr>
          <w:rFonts w:eastAsia="" w:cs="" w:eastAsiaTheme="majorEastAsia" w:cstheme="majorBidi"/>
          <w:color w:val="0F4761" w:themeColor="accent1" w:themeTint="FF" w:themeShade="BF"/>
          <w:sz w:val="28"/>
          <w:szCs w:val="28"/>
        </w:rPr>
        <w:t xml:space="preserve"> Market Integrity</w:t>
      </w:r>
      <w:bookmarkEnd w:id="393837766"/>
    </w:p>
    <w:p w:rsidR="2753DF9E" w:rsidP="257BFE88" w:rsidRDefault="2753DF9E" w14:paraId="1531141E" w14:textId="3BB45A3E">
      <w:pPr>
        <w:spacing w:before="240" w:beforeAutospacing="off" w:after="240" w:afterAutospacing="off"/>
        <w:rPr>
          <w:rFonts w:ascii="Aptos" w:hAnsi="Aptos" w:eastAsia="Aptos"/>
          <w:noProof w:val="0"/>
          <w:sz w:val="24"/>
          <w:szCs w:val="24"/>
          <w:lang w:val="en-GB"/>
        </w:rPr>
      </w:pPr>
      <w:r w:rsidRPr="257BFE88" w:rsidR="2753DF9E">
        <w:rPr>
          <w:rFonts w:ascii="Aptos" w:hAnsi="Aptos" w:eastAsia="Aptos"/>
          <w:noProof w:val="0"/>
          <w:sz w:val="24"/>
          <w:szCs w:val="24"/>
          <w:lang w:val="en-GB"/>
        </w:rPr>
        <w:t>Climate related finance and sustainability reporting has created opportunities for fraudulent actions and misrepresentation. Weak oversight of climate subsidies and cases of greenwashing have enabled carbon credit fraud showing that the ESG systems can be misused. Studies also indicate other examples of concern:</w:t>
      </w:r>
    </w:p>
    <w:p w:rsidR="2753DF9E" w:rsidP="257BFE88" w:rsidRDefault="2753DF9E" w14:paraId="23783790" w14:textId="62BA50EB">
      <w:pPr>
        <w:spacing w:before="240" w:beforeAutospacing="off" w:after="240" w:afterAutospacing="off"/>
        <w:rPr>
          <w:rFonts w:ascii="Aptos" w:hAnsi="Aptos" w:eastAsia="Aptos"/>
          <w:noProof w:val="0"/>
          <w:sz w:val="24"/>
          <w:szCs w:val="24"/>
          <w:lang w:val="en-GB"/>
        </w:rPr>
      </w:pPr>
      <w:r w:rsidRPr="257BFE88" w:rsidR="2753DF9E">
        <w:rPr>
          <w:rFonts w:ascii="Aptos" w:hAnsi="Aptos" w:eastAsia="Aptos"/>
          <w:noProof w:val="0"/>
          <w:sz w:val="24"/>
          <w:szCs w:val="24"/>
          <w:lang w:val="en-GB"/>
        </w:rPr>
        <w:t>•</w:t>
      </w:r>
      <w:r>
        <w:tab/>
      </w:r>
      <w:r w:rsidRPr="257BFE88" w:rsidR="2753DF9E">
        <w:rPr>
          <w:rFonts w:ascii="Aptos" w:hAnsi="Aptos" w:eastAsia="Aptos"/>
          <w:noProof w:val="0"/>
          <w:sz w:val="24"/>
          <w:szCs w:val="24"/>
          <w:lang w:val="en-GB"/>
        </w:rPr>
        <w:t>corruption risks in renewable energy projects (LSE, 2025; UNODC, 2025),</w:t>
      </w:r>
    </w:p>
    <w:p w:rsidR="2753DF9E" w:rsidP="257BFE88" w:rsidRDefault="2753DF9E" w14:paraId="7AA41C82" w14:textId="1DE3455A">
      <w:pPr>
        <w:spacing w:before="240" w:beforeAutospacing="off" w:after="240" w:afterAutospacing="off"/>
        <w:rPr>
          <w:rFonts w:ascii="Aptos" w:hAnsi="Aptos" w:eastAsia="Aptos"/>
          <w:noProof w:val="0"/>
          <w:sz w:val="24"/>
          <w:szCs w:val="24"/>
          <w:lang w:val="en-GB"/>
        </w:rPr>
      </w:pPr>
      <w:r w:rsidRPr="257BFE88" w:rsidR="2753DF9E">
        <w:rPr>
          <w:rFonts w:ascii="Aptos" w:hAnsi="Aptos" w:eastAsia="Aptos"/>
          <w:noProof w:val="0"/>
          <w:sz w:val="24"/>
          <w:szCs w:val="24"/>
          <w:lang w:val="en-GB"/>
        </w:rPr>
        <w:t>•</w:t>
      </w:r>
      <w:r>
        <w:tab/>
      </w:r>
      <w:r w:rsidRPr="257BFE88" w:rsidR="2753DF9E">
        <w:rPr>
          <w:rFonts w:ascii="Aptos" w:hAnsi="Aptos" w:eastAsia="Aptos"/>
          <w:noProof w:val="0"/>
          <w:sz w:val="24"/>
          <w:szCs w:val="24"/>
          <w:lang w:val="en-GB"/>
        </w:rPr>
        <w:t xml:space="preserve"> widespread problems in carbon offset markets (TIME, 2025; Kroll, 2025). </w:t>
      </w:r>
    </w:p>
    <w:p w:rsidR="2753DF9E" w:rsidP="257BFE88" w:rsidRDefault="2753DF9E" w14:paraId="571FF959" w14:textId="571844F2">
      <w:pPr>
        <w:spacing w:before="240" w:beforeAutospacing="off" w:after="240" w:afterAutospacing="off"/>
        <w:rPr>
          <w:rFonts w:ascii="Aptos" w:hAnsi="Aptos" w:eastAsia="Aptos"/>
          <w:noProof w:val="0"/>
          <w:sz w:val="24"/>
          <w:szCs w:val="24"/>
          <w:lang w:val="en-GB"/>
        </w:rPr>
      </w:pPr>
      <w:r w:rsidRPr="257BFE88" w:rsidR="2753DF9E">
        <w:rPr>
          <w:rFonts w:ascii="Aptos" w:hAnsi="Aptos" w:eastAsia="Aptos"/>
          <w:noProof w:val="0"/>
          <w:sz w:val="24"/>
          <w:szCs w:val="24"/>
          <w:lang w:val="en-GB"/>
        </w:rPr>
        <w:t>•</w:t>
      </w:r>
      <w:r>
        <w:tab/>
      </w:r>
      <w:r w:rsidRPr="257BFE88" w:rsidR="2753DF9E">
        <w:rPr>
          <w:rFonts w:ascii="Aptos" w:hAnsi="Aptos" w:eastAsia="Aptos"/>
          <w:noProof w:val="0"/>
          <w:sz w:val="24"/>
          <w:szCs w:val="24"/>
          <w:lang w:val="en-GB"/>
        </w:rPr>
        <w:t xml:space="preserve">Legal action against companies accused of misleading sustainability claims is increasing (Harvard Law School Forum on Corporate Governance, 2025; Marks and Scotland, 2025; Transparency International US, 2025).  </w:t>
      </w:r>
    </w:p>
    <w:p w:rsidR="2753DF9E" w:rsidP="257BFE88" w:rsidRDefault="2753DF9E" w14:paraId="3F226796" w14:textId="31B72850">
      <w:pPr>
        <w:spacing w:before="240" w:beforeAutospacing="off" w:after="240" w:afterAutospacing="off"/>
      </w:pPr>
      <w:r w:rsidRPr="257BFE88" w:rsidR="2753DF9E">
        <w:rPr>
          <w:rFonts w:ascii="Aptos" w:hAnsi="Aptos" w:eastAsia="Aptos"/>
          <w:noProof w:val="0"/>
          <w:sz w:val="24"/>
          <w:szCs w:val="24"/>
          <w:lang w:val="en-GB"/>
        </w:rPr>
        <w:t>Trust in sustainability initiatives is therefore being lost. Risks need to be better managed by improved auditing and more consistent enforcement. Together these will enhance accountability and credibility.</w:t>
      </w:r>
      <w:r w:rsidR="2753DF9E">
        <w:rPr/>
        <w:t xml:space="preserve"> </w:t>
      </w:r>
    </w:p>
    <w:p w:rsidRPr="003137A2" w:rsidR="003137A2" w:rsidP="257BFE88" w:rsidRDefault="003137A2" w14:paraId="54A78AA3" w14:textId="77777777">
      <w:pPr>
        <w:keepNext w:val="1"/>
        <w:keepLines w:val="1"/>
        <w:spacing w:before="160" w:after="80"/>
        <w:outlineLvl w:val="2"/>
        <w:rPr>
          <w:rFonts w:eastAsia="" w:cs="" w:eastAsiaTheme="majorEastAsia" w:cstheme="majorBidi"/>
          <w:color w:val="0F4761" w:themeColor="accent1" w:themeShade="BF"/>
          <w:sz w:val="28"/>
          <w:szCs w:val="28"/>
        </w:rPr>
      </w:pPr>
      <w:bookmarkStart w:name="_Toc517799377" w:id="1724032189"/>
      <w:r w:rsidRPr="257BFE88" w:rsidR="6D7FFB3E">
        <w:rPr>
          <w:rFonts w:eastAsia="" w:cs="" w:eastAsiaTheme="majorEastAsia" w:cstheme="majorBidi"/>
          <w:color w:val="0F4761" w:themeColor="accent1" w:themeTint="FF" w:themeShade="BF"/>
          <w:sz w:val="28"/>
          <w:szCs w:val="28"/>
        </w:rPr>
        <w:t>5.4.4 Implications for BlackRock</w:t>
      </w:r>
      <w:bookmarkEnd w:id="1724032189"/>
    </w:p>
    <w:p w:rsidRPr="003137A2" w:rsidR="003137A2" w:rsidP="08626363" w:rsidRDefault="003137A2" w14:paraId="3A7E70EC" w14:textId="7AC2EE31">
      <w:pPr>
        <w:pStyle w:val="Normal"/>
        <w:spacing w:before="240" w:beforeAutospacing="off" w:after="240" w:afterAutospacing="off"/>
        <w:rPr>
          <w:rFonts w:ascii="Aptos" w:hAnsi="Aptos" w:eastAsia="Aptos" w:cs="Aptos"/>
          <w:noProof w:val="0"/>
          <w:color w:val="auto"/>
          <w:sz w:val="24"/>
          <w:szCs w:val="24"/>
          <w:lang w:val="en-GB"/>
        </w:rPr>
      </w:pPr>
      <w:r w:rsidRPr="257BFE88" w:rsidR="74131136">
        <w:rPr>
          <w:color w:val="auto"/>
        </w:rPr>
        <w:t>For BlackRock, these political and regulatory differences create a challenging operating environment. Inconsistent rules around the world reduce the consistency of ESG data, increasing reliance on third</w:t>
      </w:r>
      <w:r w:rsidRPr="257BFE88" w:rsidR="74131136">
        <w:rPr>
          <w:rFonts w:ascii="Cambria Math" w:hAnsi="Cambria Math" w:cs="Cambria Math"/>
          <w:color w:val="auto"/>
        </w:rPr>
        <w:t xml:space="preserve"> </w:t>
      </w:r>
      <w:r w:rsidRPr="257BFE88" w:rsidR="74131136">
        <w:rPr>
          <w:color w:val="auto"/>
        </w:rPr>
        <w:t>party rating agencies whose methodologies are already questioned. The weakening of U</w:t>
      </w:r>
      <w:r w:rsidRPr="257BFE88" w:rsidR="74131136">
        <w:rPr>
          <w:color w:val="auto"/>
        </w:rPr>
        <w:t xml:space="preserve">.S. </w:t>
      </w:r>
      <w:r w:rsidRPr="257BFE88" w:rsidR="74131136">
        <w:rPr>
          <w:color w:val="auto"/>
        </w:rPr>
        <w:t>climate</w:t>
      </w:r>
      <w:r w:rsidRPr="257BFE88" w:rsidR="74131136">
        <w:rPr>
          <w:rFonts w:ascii="Cambria Math" w:hAnsi="Cambria Math" w:cs="Cambria Math"/>
          <w:color w:val="auto"/>
        </w:rPr>
        <w:t xml:space="preserve"> </w:t>
      </w:r>
      <w:r w:rsidRPr="257BFE88" w:rsidR="74131136">
        <w:rPr>
          <w:color w:val="auto"/>
        </w:rPr>
        <w:t>disclosure rules further limits the availability of standardised information</w:t>
      </w:r>
      <w:r w:rsidRPr="257BFE88" w:rsidR="175974E2">
        <w:rPr>
          <w:color w:val="auto"/>
        </w:rPr>
        <w:t>. This has the effect of</w:t>
      </w:r>
      <w:r w:rsidRPr="257BFE88" w:rsidR="74131136">
        <w:rPr>
          <w:color w:val="auto"/>
        </w:rPr>
        <w:t xml:space="preserve"> making ESG scores more dependent on voluntary reporting and </w:t>
      </w:r>
      <w:r w:rsidRPr="257BFE88" w:rsidR="66412965">
        <w:rPr>
          <w:color w:val="auto"/>
        </w:rPr>
        <w:t xml:space="preserve">the </w:t>
      </w:r>
      <w:r w:rsidRPr="257BFE88" w:rsidR="6CF2C755">
        <w:rPr>
          <w:color w:val="auto"/>
        </w:rPr>
        <w:t>judgement</w:t>
      </w:r>
      <w:r w:rsidRPr="257BFE88" w:rsidR="74131136">
        <w:rPr>
          <w:color w:val="auto"/>
        </w:rPr>
        <w:t>s</w:t>
      </w:r>
      <w:r w:rsidRPr="257BFE88" w:rsidR="3B1A60EA">
        <w:rPr>
          <w:color w:val="auto"/>
        </w:rPr>
        <w:t xml:space="preserve"> of rating providers</w:t>
      </w:r>
      <w:r w:rsidRPr="257BFE88" w:rsidR="74131136">
        <w:rPr>
          <w:color w:val="auto"/>
        </w:rPr>
        <w:t>.</w:t>
      </w:r>
      <w:r w:rsidRPr="257BFE88" w:rsidR="74131136">
        <w:rPr>
          <w:color w:val="auto"/>
        </w:rPr>
        <w:t xml:space="preserve"> </w:t>
      </w:r>
      <w:r w:rsidRPr="257BFE88" w:rsidR="1F55B9E6">
        <w:rPr>
          <w:rFonts w:ascii="Aptos" w:hAnsi="Aptos" w:eastAsia="Aptos" w:cs="Aptos"/>
          <w:noProof w:val="0"/>
          <w:color w:val="auto"/>
          <w:sz w:val="24"/>
          <w:szCs w:val="24"/>
          <w:lang w:val="en-GB"/>
        </w:rPr>
        <w:t>As a result, different political approaches add to the limitations of ESG scoring systems and reinforce the need for clear, globally aligned reporting standards</w:t>
      </w:r>
      <w:r w:rsidRPr="257BFE88" w:rsidR="29233635">
        <w:rPr>
          <w:rFonts w:ascii="Aptos" w:hAnsi="Aptos" w:eastAsia="Aptos" w:cs="Aptos"/>
          <w:noProof w:val="0"/>
          <w:color w:val="000000" w:themeColor="text1" w:themeTint="FF" w:themeShade="FF"/>
          <w:sz w:val="24"/>
          <w:szCs w:val="24"/>
          <w:lang w:val="en-GB"/>
        </w:rPr>
        <w:t xml:space="preserve"> (Harvard Law School Forum on Corporate Governance, 2025)</w:t>
      </w:r>
      <w:r w:rsidRPr="257BFE88" w:rsidR="1F55B9E6">
        <w:rPr>
          <w:rFonts w:ascii="Aptos" w:hAnsi="Aptos" w:eastAsia="Aptos" w:cs="Aptos"/>
          <w:noProof w:val="0"/>
          <w:color w:val="auto"/>
          <w:sz w:val="24"/>
          <w:szCs w:val="24"/>
          <w:lang w:val="en-GB"/>
        </w:rPr>
        <w:t>.</w:t>
      </w:r>
    </w:p>
    <w:p w:rsidRPr="003137A2" w:rsidR="003137A2" w:rsidP="257BFE88" w:rsidRDefault="003137A2" w14:paraId="1FBEE22E" w14:textId="77777777">
      <w:pPr>
        <w:keepNext w:val="1"/>
        <w:keepLines w:val="1"/>
        <w:spacing w:before="160" w:after="80"/>
        <w:outlineLvl w:val="2"/>
        <w:rPr>
          <w:rFonts w:eastAsia="" w:cs="" w:eastAsiaTheme="majorEastAsia" w:cstheme="majorBidi"/>
          <w:color w:val="0F4761" w:themeColor="accent1" w:themeShade="BF"/>
          <w:sz w:val="28"/>
          <w:szCs w:val="28"/>
        </w:rPr>
      </w:pPr>
      <w:bookmarkStart w:name="_Toc957567058" w:id="1697336485"/>
      <w:r w:rsidRPr="257BFE88" w:rsidR="74131136">
        <w:rPr>
          <w:rFonts w:eastAsia="" w:cs="" w:eastAsiaTheme="majorEastAsia" w:cstheme="majorBidi"/>
          <w:color w:val="0F4761" w:themeColor="accent1" w:themeTint="FF" w:themeShade="BF"/>
          <w:sz w:val="28"/>
          <w:szCs w:val="28"/>
        </w:rPr>
        <w:t>5.4.5 Good Business Strategy and Management</w:t>
      </w:r>
      <w:bookmarkEnd w:id="1697336485"/>
    </w:p>
    <w:p w:rsidRPr="003137A2" w:rsidR="003137A2" w:rsidP="003137A2" w:rsidRDefault="003137A2" w14:paraId="78F7CD62" w14:textId="5EB5E97B">
      <w:r w:rsidR="74131136">
        <w:rPr/>
        <w:t>BlackRock and CEO Larry Fink have begun to distance the business from explicit ESG terminology, reflecting a broader sustainability</w:t>
      </w:r>
      <w:r w:rsidRPr="257BFE88" w:rsidR="74131136">
        <w:rPr>
          <w:rFonts w:ascii="Cambria Math" w:hAnsi="Cambria Math" w:cs="Cambria Math"/>
        </w:rPr>
        <w:t xml:space="preserve"> </w:t>
      </w:r>
      <w:r w:rsidR="74131136">
        <w:rPr/>
        <w:t>related approach in response to political and market pressures in the USA. Fink</w:t>
      </w:r>
      <w:r w:rsidRPr="257BFE88" w:rsidR="74131136">
        <w:rPr>
          <w:rFonts w:ascii="Aptos" w:hAnsi="Aptos" w:cs="Aptos"/>
        </w:rPr>
        <w:t>’</w:t>
      </w:r>
      <w:r w:rsidR="74131136">
        <w:rPr/>
        <w:t xml:space="preserve">s 2026 annual letter emphasises </w:t>
      </w:r>
      <w:r w:rsidRPr="257BFE88" w:rsidR="74131136">
        <w:rPr>
          <w:rFonts w:ascii="Aptos" w:hAnsi="Aptos" w:cs="Aptos"/>
        </w:rPr>
        <w:t>“</w:t>
      </w:r>
      <w:r w:rsidR="74131136">
        <w:rPr/>
        <w:t>industrial realism</w:t>
      </w:r>
      <w:r w:rsidRPr="257BFE88" w:rsidR="74131136">
        <w:rPr>
          <w:rFonts w:ascii="Aptos" w:hAnsi="Aptos" w:cs="Aptos"/>
        </w:rPr>
        <w:t>”</w:t>
      </w:r>
      <w:r w:rsidR="74131136">
        <w:rPr/>
        <w:t xml:space="preserve"> and </w:t>
      </w:r>
      <w:r w:rsidR="74131136">
        <w:rPr/>
        <w:t>long</w:t>
      </w:r>
      <w:r w:rsidRPr="257BFE88" w:rsidR="74131136">
        <w:rPr>
          <w:rFonts w:ascii="Cambria Math" w:hAnsi="Cambria Math" w:cs="Cambria Math"/>
        </w:rPr>
        <w:t xml:space="preserve"> </w:t>
      </w:r>
      <w:r w:rsidR="74131136">
        <w:rPr/>
        <w:t>term</w:t>
      </w:r>
      <w:r w:rsidR="74131136">
        <w:rPr/>
        <w:t xml:space="preserve"> capital formation rather than the strong ESG</w:t>
      </w:r>
      <w:r w:rsidRPr="257BFE88" w:rsidR="74131136">
        <w:rPr>
          <w:rFonts w:ascii="Cambria Math" w:hAnsi="Cambria Math" w:cs="Cambria Math"/>
        </w:rPr>
        <w:t xml:space="preserve"> </w:t>
      </w:r>
      <w:r w:rsidR="74131136">
        <w:rPr/>
        <w:t xml:space="preserve">focused language noted in earlier communications. This is </w:t>
      </w:r>
      <w:r w:rsidR="2BEB4E43">
        <w:rPr/>
        <w:t>suggesting a move</w:t>
      </w:r>
      <w:r w:rsidR="74131136">
        <w:rPr/>
        <w:t xml:space="preserve"> toward energy security, infrastructure investment</w:t>
      </w:r>
      <w:r w:rsidR="74131136">
        <w:rPr/>
        <w:t xml:space="preserve"> and</w:t>
      </w:r>
      <w:r w:rsidR="74131136">
        <w:rPr/>
        <w:t xml:space="preserve"> economic resilience (Business Chief, 2026). </w:t>
      </w:r>
    </w:p>
    <w:p w:rsidRPr="003137A2" w:rsidR="003137A2" w:rsidP="003137A2" w:rsidRDefault="003137A2" w14:paraId="558F1E2A" w14:textId="250951D4">
      <w:r w:rsidR="6D7FFB3E">
        <w:rPr/>
        <w:t>T</w:t>
      </w:r>
      <w:r w:rsidR="6D7FFB3E">
        <w:rPr/>
        <w:t>his repositioning aligns with academic observations that opinions on ESG have become increasingly divided</w:t>
      </w:r>
      <w:r w:rsidR="6D890762">
        <w:rPr/>
        <w:t xml:space="preserve">. This is </w:t>
      </w:r>
      <w:r w:rsidR="6D7FFB3E">
        <w:rPr/>
        <w:t xml:space="preserve">particularly </w:t>
      </w:r>
      <w:r w:rsidR="2E49B87D">
        <w:rPr/>
        <w:t xml:space="preserve">so </w:t>
      </w:r>
      <w:r w:rsidR="6D7FFB3E">
        <w:rPr/>
        <w:t>in the United States</w:t>
      </w:r>
      <w:r w:rsidR="54B3C1A1">
        <w:rPr/>
        <w:t>. This</w:t>
      </w:r>
      <w:r w:rsidR="6D7FFB3E">
        <w:rPr/>
        <w:t xml:space="preserve"> reduc</w:t>
      </w:r>
      <w:r w:rsidR="5D3ECE63">
        <w:rPr/>
        <w:t>es</w:t>
      </w:r>
      <w:r w:rsidR="6D7FFB3E">
        <w:rPr/>
        <w:t xml:space="preserve"> </w:t>
      </w:r>
      <w:r w:rsidR="0089638F">
        <w:rPr/>
        <w:t xml:space="preserve">the </w:t>
      </w:r>
      <w:r w:rsidR="6D7FFB3E">
        <w:rPr/>
        <w:t>effectiveness</w:t>
      </w:r>
      <w:r w:rsidR="29E9E863">
        <w:rPr/>
        <w:t xml:space="preserve"> of ESG</w:t>
      </w:r>
      <w:r w:rsidR="6D7FFB3E">
        <w:rPr/>
        <w:t xml:space="preserve"> as an accepted approach to investment decision</w:t>
      </w:r>
      <w:r w:rsidRPr="257BFE88" w:rsidR="6D7FFB3E">
        <w:rPr>
          <w:rFonts w:ascii="Cambria Math" w:hAnsi="Cambria Math" w:cs="Cambria Math"/>
        </w:rPr>
        <w:t xml:space="preserve"> </w:t>
      </w:r>
      <w:r w:rsidR="6D7FFB3E">
        <w:rPr/>
        <w:t>making (</w:t>
      </w:r>
      <w:r w:rsidR="6D7FFB3E">
        <w:rPr/>
        <w:t>Strampelli</w:t>
      </w:r>
      <w:r w:rsidR="6D7FFB3E">
        <w:rPr/>
        <w:t>, 2024). Analysts ar</w:t>
      </w:r>
      <w:r w:rsidR="790AC090">
        <w:rPr/>
        <w:t>e suggesting</w:t>
      </w:r>
      <w:r w:rsidR="6D7FFB3E">
        <w:rPr/>
        <w:t xml:space="preserve"> that asset managers are </w:t>
      </w:r>
      <w:r w:rsidR="2B58B793">
        <w:rPr/>
        <w:t xml:space="preserve">keeping </w:t>
      </w:r>
      <w:r w:rsidR="6D7FFB3E">
        <w:rPr/>
        <w:t xml:space="preserve">sustainability considerations in practice </w:t>
      </w:r>
      <w:r w:rsidR="71994B2A">
        <w:rPr/>
        <w:t>but are not applying the</w:t>
      </w:r>
      <w:r w:rsidR="6D7FFB3E">
        <w:rPr/>
        <w:t xml:space="preserve"> ESG label due to reputational, regulatory</w:t>
      </w:r>
      <w:r w:rsidR="6D7FFB3E">
        <w:rPr/>
        <w:t xml:space="preserve"> and</w:t>
      </w:r>
      <w:r w:rsidR="6D7FFB3E">
        <w:rPr/>
        <w:t xml:space="preserve"> political risks (</w:t>
      </w:r>
      <w:r w:rsidR="6D7FFB3E">
        <w:rPr/>
        <w:t>Pressfarm</w:t>
      </w:r>
      <w:r w:rsidR="6D7FFB3E">
        <w:rPr/>
        <w:t>, 2025).</w:t>
      </w:r>
      <w:r w:rsidR="6D7FFB3E">
        <w:rPr/>
        <w:t xml:space="preserve"> </w:t>
      </w:r>
    </w:p>
    <w:p w:rsidRPr="003137A2" w:rsidR="003137A2" w:rsidP="257BFE88" w:rsidRDefault="003137A2" w14:paraId="6E850AF2" w14:textId="45C80E32">
      <w:pPr>
        <w:pStyle w:val="Normal"/>
      </w:pPr>
      <w:r w:rsidR="6D7FFB3E">
        <w:rPr/>
        <w:t>BlackRock’s 2026</w:t>
      </w:r>
      <w:r w:rsidR="21251085">
        <w:rPr/>
        <w:t xml:space="preserve"> </w:t>
      </w:r>
      <w:r w:rsidR="6D7FFB3E">
        <w:rPr/>
        <w:t>strategic action illustrates how successful global asset managers adapt their public positioning to political realities</w:t>
      </w:r>
      <w:r w:rsidR="4CF9C554">
        <w:rPr/>
        <w:t>,</w:t>
      </w:r>
      <w:r w:rsidR="076EBB73">
        <w:rPr/>
        <w:t xml:space="preserve"> aligning with investors</w:t>
      </w:r>
      <w:r w:rsidR="1332EC90">
        <w:rPr/>
        <w:t>’</w:t>
      </w:r>
      <w:r w:rsidR="076EBB73">
        <w:rPr/>
        <w:t xml:space="preserve"> growing attention </w:t>
      </w:r>
      <w:r w:rsidR="67A6891C">
        <w:rPr/>
        <w:t xml:space="preserve">to </w:t>
      </w:r>
      <w:r w:rsidR="7F05A2A6">
        <w:rPr/>
        <w:t xml:space="preserve">sustainability issues that have a </w:t>
      </w:r>
      <w:r w:rsidR="156C339F">
        <w:rPr/>
        <w:t>clear financial implication for investment</w:t>
      </w:r>
      <w:r w:rsidR="5D49FA9A">
        <w:rPr/>
        <w:t xml:space="preserve"> decision</w:t>
      </w:r>
      <w:r w:rsidR="156C339F">
        <w:rPr/>
        <w:t xml:space="preserve">s </w:t>
      </w:r>
      <w:r w:rsidR="33B8AB99">
        <w:rPr/>
        <w:t>(BlackRock, 202</w:t>
      </w:r>
      <w:r w:rsidR="33B8AB99">
        <w:rPr/>
        <w:t>6)</w:t>
      </w:r>
      <w:r w:rsidR="6D7FFB3E">
        <w:rPr/>
        <w:t>.</w:t>
      </w:r>
      <w:r w:rsidR="6D7FFB3E">
        <w:rPr/>
        <w:t xml:space="preserve"> T</w:t>
      </w:r>
      <w:r w:rsidR="6D7FFB3E">
        <w:rPr/>
        <w:t>h</w:t>
      </w:r>
      <w:r w:rsidR="44A51707">
        <w:rPr/>
        <w:t>is</w:t>
      </w:r>
      <w:r w:rsidR="59F6056B">
        <w:rPr/>
        <w:t xml:space="preserve"> change</w:t>
      </w:r>
      <w:r w:rsidR="6D7FFB3E">
        <w:rPr/>
        <w:t xml:space="preserve"> reflects practical and logical business management aimed at protecting BlackRock’s market position and ongoing commercial success.</w:t>
      </w:r>
    </w:p>
    <w:p w:rsidRPr="003137A2" w:rsidR="003137A2" w:rsidP="257BFE88" w:rsidRDefault="003137A2" w14:paraId="1CC7C9D6" w14:textId="77777777">
      <w:pPr>
        <w:keepNext w:val="1"/>
        <w:keepLines w:val="1"/>
        <w:spacing w:before="160" w:after="80"/>
        <w:outlineLvl w:val="2"/>
        <w:rPr>
          <w:rFonts w:eastAsia="" w:cs="" w:eastAsiaTheme="majorEastAsia" w:cstheme="majorBidi"/>
          <w:color w:val="0F4761" w:themeColor="accent1" w:themeShade="BF"/>
          <w:sz w:val="28"/>
          <w:szCs w:val="28"/>
        </w:rPr>
      </w:pPr>
      <w:bookmarkStart w:name="_Toc316662990" w:id="1250949947"/>
      <w:r w:rsidRPr="257BFE88" w:rsidR="6D7FFB3E">
        <w:rPr>
          <w:rFonts w:eastAsia="" w:cs="" w:eastAsiaTheme="majorEastAsia" w:cstheme="majorBidi"/>
          <w:color w:val="0F4761" w:themeColor="accent1" w:themeTint="FF" w:themeShade="BF"/>
          <w:sz w:val="28"/>
          <w:szCs w:val="28"/>
        </w:rPr>
        <w:t>5.4.6 Summary</w:t>
      </w:r>
      <w:bookmarkEnd w:id="1250949947"/>
    </w:p>
    <w:p w:rsidRPr="003137A2" w:rsidR="003137A2" w:rsidP="257BFE88" w:rsidRDefault="003137A2" w14:paraId="3796DD8D" w14:textId="42D90CBD">
      <w:pPr>
        <w:pStyle w:val="Normal"/>
      </w:pPr>
      <w:r w:rsidR="6D7FFB3E">
        <w:rPr/>
        <w:t xml:space="preserve">Across the world, political and regulatory factors influence the operation of ESG scoring systems and how businesses respond to sustainability expectations. Strong regulatory environments (EU, UK, Japan) </w:t>
      </w:r>
      <w:r w:rsidR="27F59B32">
        <w:rPr>
          <w:b w:val="0"/>
          <w:bCs w:val="0"/>
        </w:rPr>
        <w:t>(</w:t>
      </w:r>
      <w:r w:rsidRPr="257BFE88" w:rsidR="27F59B32">
        <w:rPr>
          <w:rFonts w:ascii="Aptos" w:hAnsi="Aptos" w:eastAsia="Aptos" w:cs="Aptos"/>
          <w:b w:val="0"/>
          <w:bCs w:val="0"/>
          <w:noProof w:val="0"/>
          <w:color w:val="000000" w:themeColor="text1" w:themeTint="FF" w:themeShade="FF"/>
          <w:sz w:val="24"/>
          <w:szCs w:val="24"/>
          <w:lang w:val="en-GB"/>
        </w:rPr>
        <w:t>European Commission, 2025; FCA, 2024; HM Treasury, 2023; Japan Exchange Group, 2025)</w:t>
      </w:r>
      <w:r w:rsidRPr="257BFE88" w:rsidR="27F59B32">
        <w:rPr>
          <w:rFonts w:ascii="Aptos" w:hAnsi="Aptos" w:eastAsia="Aptos" w:cs="Aptos"/>
          <w:noProof w:val="0"/>
          <w:color w:val="000000" w:themeColor="text1" w:themeTint="FF" w:themeShade="FF"/>
          <w:sz w:val="24"/>
          <w:szCs w:val="24"/>
          <w:lang w:val="en-GB"/>
        </w:rPr>
        <w:t xml:space="preserve"> </w:t>
      </w:r>
      <w:r w:rsidR="6D7FFB3E">
        <w:rPr/>
        <w:t>provide</w:t>
      </w:r>
      <w:r w:rsidR="6D7FFB3E">
        <w:rPr/>
        <w:t xml:space="preserve"> clearer guidance and more consistent incentives, while political divisions in USA create uncertainty but do not remove market</w:t>
      </w:r>
      <w:r w:rsidRPr="257BFE88" w:rsidR="6D7FFB3E">
        <w:rPr>
          <w:rFonts w:ascii="Cambria Math" w:hAnsi="Cambria Math" w:cs="Cambria Math"/>
        </w:rPr>
        <w:t xml:space="preserve"> </w:t>
      </w:r>
      <w:r w:rsidR="6D7FFB3E">
        <w:rPr/>
        <w:t>led sustainability pressure</w:t>
      </w:r>
      <w:r w:rsidR="6D7FFB3E">
        <w:rPr/>
        <w:t>s</w:t>
      </w:r>
      <w:r w:rsidR="6D7FFB3E">
        <w:rPr/>
        <w:t>.</w:t>
      </w:r>
      <w:r w:rsidR="2315DEA5">
        <w:rPr/>
        <w:t xml:space="preserve"> </w:t>
      </w:r>
      <w:r w:rsidR="6D7FFB3E">
        <w:rPr/>
        <w:t>C</w:t>
      </w:r>
      <w:r w:rsidR="6D7FFB3E">
        <w:rPr/>
        <w:t>hina</w:t>
      </w:r>
      <w:r w:rsidRPr="257BFE88" w:rsidR="6D7FFB3E">
        <w:rPr>
          <w:rFonts w:ascii="Aptos" w:hAnsi="Aptos" w:cs="Aptos"/>
        </w:rPr>
        <w:t>’</w:t>
      </w:r>
      <w:r w:rsidR="6D7FFB3E">
        <w:rPr/>
        <w:t>s state</w:t>
      </w:r>
      <w:r w:rsidRPr="257BFE88" w:rsidR="6D7FFB3E">
        <w:rPr>
          <w:rFonts w:ascii="Cambria Math" w:hAnsi="Cambria Math" w:cs="Cambria Math"/>
        </w:rPr>
        <w:t xml:space="preserve"> </w:t>
      </w:r>
      <w:r w:rsidR="6D7FFB3E">
        <w:rPr/>
        <w:t xml:space="preserve">led model </w:t>
      </w:r>
      <w:r w:rsidR="0BD57D1B">
        <w:rPr/>
        <w:t>shows how quickly</w:t>
      </w:r>
      <w:r w:rsidR="6D7FFB3E">
        <w:rPr/>
        <w:t xml:space="preserve"> mandatory reporting can </w:t>
      </w:r>
      <w:r w:rsidR="7A98D476">
        <w:rPr/>
        <w:t xml:space="preserve">bring about an </w:t>
      </w:r>
      <w:r w:rsidR="0021B3B7">
        <w:rPr/>
        <w:t>increase</w:t>
      </w:r>
      <w:r w:rsidR="6D7FFB3E">
        <w:rPr/>
        <w:t xml:space="preserve"> ESG practices</w:t>
      </w:r>
      <w:r w:rsidR="545E51B5">
        <w:rPr/>
        <w:t>. This has happened even though there is a conflict in</w:t>
      </w:r>
      <w:r w:rsidR="6D7FFB3E">
        <w:rPr/>
        <w:t xml:space="preserve"> energy priorities</w:t>
      </w:r>
      <w:r w:rsidR="312CFC20">
        <w:rPr/>
        <w:t xml:space="preserve"> </w:t>
      </w:r>
      <w:r w:rsidR="0C218CBA">
        <w:rPr/>
        <w:t>between clean and coal energy</w:t>
      </w:r>
      <w:r w:rsidR="6D7FFB3E">
        <w:rPr/>
        <w:t xml:space="preserve">. Public scrutiny, ethical </w:t>
      </w:r>
      <w:r w:rsidR="6D7FFB3E">
        <w:rPr/>
        <w:t>expectations</w:t>
      </w:r>
      <w:r w:rsidR="6D7FFB3E">
        <w:rPr/>
        <w:t xml:space="preserve"> and</w:t>
      </w:r>
      <w:r w:rsidR="6D7FFB3E">
        <w:rPr/>
        <w:t xml:space="preserve"> </w:t>
      </w:r>
      <w:r w:rsidR="06F19D00">
        <w:rPr/>
        <w:t>reputational</w:t>
      </w:r>
      <w:r w:rsidR="6D7FFB3E">
        <w:rPr/>
        <w:t xml:space="preserve"> integrity </w:t>
      </w:r>
      <w:r w:rsidR="7AFB4A68">
        <w:rPr/>
        <w:t xml:space="preserve">are </w:t>
      </w:r>
      <w:r w:rsidR="6D7FFB3E">
        <w:rPr/>
        <w:t xml:space="preserve">risks </w:t>
      </w:r>
      <w:r w:rsidR="30DAC790">
        <w:rPr/>
        <w:t xml:space="preserve">that </w:t>
      </w:r>
      <w:r w:rsidR="6D7FFB3E">
        <w:rPr/>
        <w:t>further influence corporate be</w:t>
      </w:r>
      <w:r w:rsidR="6D7FFB3E">
        <w:rPr/>
        <w:t>haviour</w:t>
      </w:r>
      <w:r w:rsidR="6D7FFB3E">
        <w:rPr/>
        <w:t>.</w:t>
      </w:r>
      <w:r w:rsidR="6D7FFB3E">
        <w:rPr/>
        <w:t xml:space="preserve"> </w:t>
      </w:r>
      <w:r w:rsidR="6D7FFB3E">
        <w:rPr/>
        <w:t>Toge</w:t>
      </w:r>
      <w:r w:rsidR="6D7FFB3E">
        <w:rPr/>
        <w:t xml:space="preserve">ther, these factors show that ESG </w:t>
      </w:r>
      <w:r w:rsidR="34E84518">
        <w:rPr/>
        <w:t>performance</w:t>
      </w:r>
      <w:r w:rsidR="272C8F12">
        <w:rPr/>
        <w:t xml:space="preserve"> is a consequence </w:t>
      </w:r>
      <w:r w:rsidR="6D7FFB3E">
        <w:rPr/>
        <w:t>of interacting political, regulatory,</w:t>
      </w:r>
      <w:r w:rsidR="41166588">
        <w:rPr/>
        <w:t xml:space="preserve"> public and stakeholder pressures </w:t>
      </w:r>
      <w:r w:rsidR="6D7FFB3E">
        <w:rPr/>
        <w:t>and not ESG scores alone.</w:t>
      </w:r>
    </w:p>
    <w:p w:rsidRPr="003137A2" w:rsidR="003137A2" w:rsidP="257BFE88" w:rsidRDefault="003137A2" w14:paraId="31BE36A7" w14:textId="440FDD98">
      <w:pPr>
        <w:pStyle w:val="Normal"/>
        <w:rPr>
          <w:rFonts w:ascii="Times New Roman" w:hAnsi="Times New Roman" w:eastAsia="Times New Roman" w:cs="Times New Roman"/>
          <w:kern w:val="0"/>
          <w:lang w:eastAsia="en-GB"/>
          <w14:ligatures w14:val="none"/>
        </w:rPr>
      </w:pPr>
      <w:r w:rsidRPr="003137A2" w:rsidR="6D7FFB3E">
        <w:rPr/>
        <w:t xml:space="preserve">The conclusions are </w:t>
      </w:r>
      <w:r w:rsidRPr="003137A2" w:rsidR="7C37634F">
        <w:rPr/>
        <w:t>based on</w:t>
      </w:r>
      <w:r w:rsidRPr="003137A2" w:rsidR="6D7FFB3E">
        <w:rPr/>
        <w:t xml:space="preserve"> Business Management </w:t>
      </w:r>
      <w:r w:rsidRPr="003137A2" w:rsidR="08CADBC7">
        <w:rPr/>
        <w:t>M</w:t>
      </w:r>
      <w:r w:rsidRPr="003137A2" w:rsidR="6D7FFB3E">
        <w:rPr/>
        <w:t>odules on Strategy and Business Ethics</w:t>
      </w:r>
      <w:r w:rsidRPr="003137A2" w:rsidR="008FACBC">
        <w:rPr/>
        <w:t xml:space="preserve">. </w:t>
      </w:r>
      <w:r w:rsidRPr="003137A2" w:rsidR="6F551EA0">
        <w:rPr/>
        <w:t>Business Management</w:t>
      </w:r>
      <w:r w:rsidRPr="003137A2" w:rsidR="6D7FFB3E">
        <w:rPr/>
        <w:t xml:space="preserve"> </w:t>
      </w:r>
      <w:r w:rsidRPr="003137A2" w:rsidR="3F59C7D3">
        <w:rPr/>
        <w:t xml:space="preserve">theory </w:t>
      </w:r>
      <w:r w:rsidRPr="003137A2" w:rsidR="6D7FFB3E">
        <w:rPr/>
        <w:t>emphasise</w:t>
      </w:r>
      <w:r w:rsidRPr="003137A2" w:rsidR="2BF87684">
        <w:rPr/>
        <w:t>s</w:t>
      </w:r>
      <w:r w:rsidRPr="003137A2" w:rsidR="6D7FFB3E">
        <w:rPr/>
        <w:t xml:space="preserve"> how governance structures, stakeholder </w:t>
      </w:r>
      <w:r w:rsidRPr="003137A2" w:rsidR="6D7FFB3E">
        <w:rPr/>
        <w:t>expectations</w:t>
      </w:r>
      <w:r w:rsidRPr="003137A2" w:rsidR="195CCA10">
        <w:rPr/>
        <w:t xml:space="preserve"> </w:t>
      </w:r>
      <w:r w:rsidRPr="003137A2" w:rsidR="6D7FFB3E">
        <w:rPr/>
        <w:t xml:space="preserve">and ethical norms </w:t>
      </w:r>
      <w:r w:rsidRPr="003137A2" w:rsidR="5BED70F2">
        <w:rPr/>
        <w:t xml:space="preserve">influence </w:t>
      </w:r>
      <w:r w:rsidRPr="003137A2" w:rsidR="6D7FFB3E">
        <w:rPr/>
        <w:t>corporate strategic decision</w:t>
      </w:r>
      <w:r w:rsidRPr="003137A2" w:rsidR="6D7FFB3E">
        <w:rPr>
          <w:rFonts w:ascii="Cambria Math" w:hAnsi="Cambria Math" w:cs="Cambria Math"/>
        </w:rPr>
        <w:t xml:space="preserve"> </w:t>
      </w:r>
      <w:r w:rsidRPr="003137A2" w:rsidR="6D7FFB3E">
        <w:rPr/>
        <w:t xml:space="preserve">making </w:t>
      </w:r>
      <w:r w:rsidRPr="257BFE88" w:rsidR="4147C077">
        <w:rPr>
          <w:rFonts w:ascii="Aptos" w:hAnsi="Aptos" w:eastAsia="Aptos" w:cs="Aptos"/>
          <w:b w:val="0"/>
          <w:bCs w:val="0"/>
          <w:noProof w:val="0"/>
          <w:color w:val="000000" w:themeColor="text1" w:themeTint="FF" w:themeShade="FF"/>
          <w:sz w:val="24"/>
          <w:szCs w:val="24"/>
          <w:lang w:val="en-GB"/>
        </w:rPr>
        <w:t>(Crane et al., 2022</w:t>
      </w:r>
      <w:r w:rsidRPr="257BFE88" w:rsidR="4147C077">
        <w:rPr>
          <w:rFonts w:ascii="Aptos" w:hAnsi="Aptos" w:eastAsia="Aptos" w:cs="Aptos"/>
          <w:b w:val="0"/>
          <w:bCs w:val="0"/>
          <w:noProof w:val="0"/>
          <w:color w:val="000000" w:themeColor="text1" w:themeTint="FF" w:themeShade="FF"/>
          <w:sz w:val="24"/>
          <w:szCs w:val="24"/>
          <w:lang w:val="en-GB"/>
        </w:rPr>
        <w:t>)</w:t>
      </w:r>
      <w:r w:rsidRPr="257BFE88" w:rsidR="4147C077">
        <w:rPr>
          <w:rFonts w:ascii="Aptos" w:hAnsi="Aptos" w:eastAsia="Aptos" w:cs="Aptos"/>
          <w:b w:val="0"/>
          <w:bCs w:val="0"/>
          <w:noProof w:val="0"/>
          <w:color w:val="000000" w:themeColor="text1" w:themeTint="FF" w:themeShade="FF"/>
          <w:sz w:val="24"/>
          <w:szCs w:val="24"/>
          <w:lang w:val="en-GB"/>
        </w:rPr>
        <w:t>.</w:t>
      </w:r>
      <w:r w:rsidRPr="257BFE88" w:rsidR="4147C077">
        <w:rPr>
          <w:rFonts w:ascii="Aptos" w:hAnsi="Aptos" w:eastAsia="Aptos" w:cs="Aptos"/>
          <w:b w:val="0"/>
          <w:bCs w:val="0"/>
          <w:noProof w:val="0"/>
          <w:color w:val="000000" w:themeColor="text1" w:themeTint="FF" w:themeShade="FF"/>
          <w:sz w:val="24"/>
          <w:szCs w:val="24"/>
          <w:lang w:val="en-GB"/>
        </w:rPr>
        <w:t xml:space="preserve"> </w:t>
      </w:r>
      <w:r w:rsidRPr="003137A2" w:rsidR="6D7FFB3E">
        <w:rPr>
          <w:rFonts w:ascii="Aptos" w:hAnsi="Aptos" w:eastAsia="Times New Roman" w:cs="Arial"/>
          <w:b w:val="0"/>
          <w:bCs w:val="0"/>
          <w:color w:val="000000"/>
          <w:kern w:val="0"/>
          <w:lang w:eastAsia="en-GB"/>
          <w14:ligatures w14:val="none"/>
        </w:rPr>
        <w:t>T</w:t>
      </w:r>
      <w:r w:rsidRPr="003137A2" w:rsidR="6D7FFB3E">
        <w:rPr>
          <w:rFonts w:ascii="Aptos" w:hAnsi="Aptos" w:eastAsia="Times New Roman" w:cs="Arial"/>
          <w:b w:val="0"/>
          <w:bCs w:val="0"/>
          <w:color w:val="000000"/>
          <w:kern w:val="0"/>
          <w:lang w:eastAsia="en-GB"/>
          <w14:ligatures w14:val="none"/>
        </w:rPr>
        <w:t>h</w:t>
      </w:r>
      <w:r w:rsidRPr="003137A2" w:rsidR="6D7FFB3E">
        <w:rPr>
          <w:rFonts w:ascii="Aptos" w:hAnsi="Aptos" w:eastAsia="Times New Roman" w:cs="Arial"/>
          <w:b w:val="0"/>
          <w:bCs w:val="0"/>
          <w:color w:val="000000"/>
          <w:kern w:val="0"/>
          <w:lang w:eastAsia="en-GB"/>
          <w14:ligatures w14:val="none"/>
        </w:rPr>
        <w:t xml:space="preserve">e </w:t>
      </w:r>
      <w:r w:rsidRPr="003137A2" w:rsidR="6D7FFB3E">
        <w:rPr>
          <w:rFonts w:ascii="Aptos" w:hAnsi="Aptos" w:eastAsia="Times New Roman" w:cs="Arial"/>
          <w:b w:val="0"/>
          <w:bCs w:val="0"/>
          <w:color w:val="000000"/>
          <w:kern w:val="0"/>
          <w:lang w:eastAsia="en-GB"/>
          <w14:ligatures w14:val="none"/>
        </w:rPr>
        <w:t>findings show that ESG outcomes cannot be understood in isolation from their political and regulatory environment</w:t>
      </w:r>
      <w:r w:rsidRPr="003137A2" w:rsidR="0D37BC49">
        <w:rPr>
          <w:rFonts w:ascii="Aptos" w:hAnsi="Aptos" w:eastAsia="Times New Roman" w:cs="Arial"/>
          <w:b w:val="0"/>
          <w:bCs w:val="0"/>
          <w:color w:val="000000"/>
          <w:kern w:val="0"/>
          <w:lang w:eastAsia="en-GB"/>
          <w14:ligatures w14:val="none"/>
        </w:rPr>
        <w:t xml:space="preserve"> </w:t>
      </w:r>
      <w:r w:rsidRPr="257BFE88" w:rsidR="0D37BC49">
        <w:rPr>
          <w:rFonts w:ascii="Aptos" w:hAnsi="Aptos" w:eastAsia="Aptos" w:cs="Aptos"/>
          <w:noProof w:val="0"/>
          <w:color w:val="000000" w:themeColor="text1" w:themeTint="FF" w:themeShade="FF"/>
          <w:sz w:val="24"/>
          <w:szCs w:val="24"/>
          <w:lang w:val="en-GB"/>
        </w:rPr>
        <w:t xml:space="preserve">Christensen, Hail and </w:t>
      </w:r>
      <w:r w:rsidRPr="257BFE88" w:rsidR="0D37BC49">
        <w:rPr>
          <w:rFonts w:ascii="Aptos" w:hAnsi="Aptos" w:eastAsia="Aptos" w:cs="Aptos"/>
          <w:noProof w:val="0"/>
          <w:color w:val="000000" w:themeColor="text1" w:themeTint="FF" w:themeShade="FF"/>
          <w:sz w:val="24"/>
          <w:szCs w:val="24"/>
          <w:lang w:val="en-GB"/>
        </w:rPr>
        <w:t>Leuz</w:t>
      </w:r>
      <w:r w:rsidRPr="257BFE88" w:rsidR="0D37BC49">
        <w:rPr>
          <w:rFonts w:ascii="Aptos" w:hAnsi="Aptos" w:eastAsia="Aptos" w:cs="Aptos"/>
          <w:noProof w:val="0"/>
          <w:color w:val="000000" w:themeColor="text1" w:themeTint="FF" w:themeShade="FF"/>
          <w:sz w:val="24"/>
          <w:szCs w:val="24"/>
          <w:lang w:val="en-GB"/>
        </w:rPr>
        <w:t>, 2021)</w:t>
      </w:r>
      <w:r w:rsidRPr="003137A2" w:rsidR="6D7FFB3E">
        <w:rPr>
          <w:rFonts w:ascii="Aptos" w:hAnsi="Aptos" w:eastAsia="Times New Roman" w:cs="Arial"/>
          <w:b w:val="0"/>
          <w:bCs w:val="0"/>
          <w:color w:val="000000"/>
          <w:kern w:val="0"/>
          <w:lang w:eastAsia="en-GB"/>
          <w14:ligatures w14:val="none"/>
        </w:rPr>
        <w:t>.</w:t>
      </w:r>
    </w:p>
    <w:p w:rsidRPr="003137A2" w:rsidR="003137A2" w:rsidP="257BFE88" w:rsidRDefault="003137A2" w14:paraId="694362A2" w14:textId="77777777">
      <w:pPr>
        <w:keepNext w:val="1"/>
        <w:keepLines w:val="1"/>
        <w:spacing w:before="160" w:after="80"/>
        <w:outlineLvl w:val="1"/>
        <w:rPr>
          <w:rFonts w:ascii="Aptos Display" w:hAnsi="Aptos Display" w:eastAsia="Times New Roman" w:cs="" w:asciiTheme="majorAscii" w:hAnsiTheme="majorAscii" w:cstheme="majorBidi"/>
          <w:color w:val="0F4761" w:themeColor="accent1" w:themeShade="BF"/>
          <w:sz w:val="32"/>
          <w:szCs w:val="32"/>
          <w:lang w:eastAsia="en-GB"/>
        </w:rPr>
      </w:pPr>
    </w:p>
    <w:p w:rsidRPr="003137A2" w:rsidR="003137A2" w:rsidP="257BFE88" w:rsidRDefault="003137A2" w14:paraId="592BC302" w14:textId="77777777">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2127847343" w:id="873443334"/>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5.5 Reflecting on the Research Process</w:t>
      </w:r>
      <w:bookmarkEnd w:id="873443334"/>
    </w:p>
    <w:p w:rsidRPr="003137A2" w:rsidR="003137A2" w:rsidP="257BFE88" w:rsidRDefault="003137A2" w14:paraId="358F89BD" w14:textId="251E09D9">
      <w:pPr>
        <w:pStyle w:val="Normal"/>
        <w:spacing w:before="240" w:after="240" w:line="240" w:lineRule="auto"/>
        <w:rPr>
          <w:rFonts w:ascii="Aptos" w:hAnsi="Aptos" w:eastAsia="Times New Roman" w:cs="Arial"/>
          <w:color w:val="000000" w:themeColor="text1" w:themeTint="FF" w:themeShade="FF"/>
          <w:lang w:eastAsia="en-GB"/>
        </w:rPr>
      </w:pPr>
      <w:r w:rsidRPr="003137A2" w:rsidR="74131136">
        <w:rPr>
          <w:rFonts w:ascii="Aptos" w:hAnsi="Aptos" w:eastAsia="Times New Roman" w:cs="Arial"/>
          <w:color w:val="000000"/>
          <w:kern w:val="0"/>
          <w:lang w:eastAsia="en-GB"/>
          <w14:ligatures w14:val="none"/>
        </w:rPr>
        <w:t xml:space="preserve">The research process itself provided important reflection </w:t>
      </w:r>
      <w:r w:rsidRPr="003137A2" w:rsidR="7DA0E89D">
        <w:rPr>
          <w:rFonts w:ascii="Aptos" w:hAnsi="Aptos" w:eastAsia="Times New Roman" w:cs="Arial"/>
          <w:color w:val="000000"/>
          <w:kern w:val="0"/>
          <w:lang w:eastAsia="en-GB"/>
          <w14:ligatures w14:val="none"/>
        </w:rPr>
        <w:t xml:space="preserve">on</w:t>
      </w:r>
      <w:r w:rsidRPr="003137A2" w:rsidR="74131136">
        <w:rPr>
          <w:rFonts w:ascii="Aptos" w:hAnsi="Aptos" w:eastAsia="Times New Roman" w:cs="Arial"/>
          <w:color w:val="000000"/>
          <w:kern w:val="0"/>
          <w:lang w:eastAsia="en-GB"/>
          <w14:ligatures w14:val="none"/>
        </w:rPr>
        <w:t xml:space="preserve"> the nature of academic inquiry and its parallels with organisational decision making. The research required careful consideration about what to include, what to exclude and how to remain focused on the core </w:t>
      </w:r>
      <w:r w:rsidRPr="003137A2" w:rsidR="74131136">
        <w:rPr>
          <w:rFonts w:ascii="Aptos" w:hAnsi="Aptos" w:eastAsia="Times New Roman" w:cs="Arial"/>
          <w:color w:val="000000"/>
          <w:kern w:val="0"/>
          <w:lang w:eastAsia="en-GB"/>
          <w14:ligatures w14:val="none"/>
        </w:rPr>
        <w:t>objectives</w:t>
      </w:r>
      <w:r w:rsidRPr="003137A2" w:rsidR="74131136">
        <w:rPr>
          <w:rFonts w:ascii="Aptos" w:hAnsi="Aptos" w:eastAsia="Times New Roman" w:cs="Arial"/>
          <w:color w:val="000000"/>
          <w:kern w:val="0"/>
          <w:lang w:eastAsia="en-GB"/>
          <w14:ligatures w14:val="none"/>
        </w:rPr>
        <w:t xml:space="preserve"> without being drawn down unhelpful ‘rabbit </w:t>
      </w:r>
      <w:r w:rsidRPr="003137A2" w:rsidR="6DA21A88">
        <w:rPr>
          <w:rFonts w:ascii="Aptos" w:hAnsi="Aptos" w:eastAsia="Times New Roman" w:cs="Arial"/>
          <w:color w:val="000000"/>
          <w:kern w:val="0"/>
          <w:lang w:eastAsia="en-GB"/>
          <w14:ligatures w14:val="none"/>
        </w:rPr>
        <w:t>holes’</w:t>
      </w:r>
      <w:r w:rsidRPr="003137A2" w:rsidR="62F68B50">
        <w:rPr>
          <w:rFonts w:ascii="Aptos" w:hAnsi="Aptos" w:eastAsia="Times New Roman" w:cs="Arial"/>
          <w:color w:val="000000"/>
          <w:kern w:val="0"/>
          <w:lang w:eastAsia="en-GB"/>
          <w14:ligatures w14:val="none"/>
        </w:rPr>
        <w:t xml:space="preserve"> </w:t>
      </w:r>
      <w:r w:rsidRPr="257BFE88" w:rsidR="62F68B50">
        <w:rPr>
          <w:rFonts w:ascii="Aptos" w:hAnsi="Aptos" w:eastAsia="Aptos" w:cs="Aptos"/>
          <w:b w:val="0"/>
          <w:bCs w:val="0"/>
          <w:noProof w:val="0"/>
          <w:color w:val="000000" w:themeColor="text1" w:themeTint="FF" w:themeShade="FF"/>
          <w:sz w:val="24"/>
          <w:szCs w:val="24"/>
          <w:lang w:val="en-GB"/>
        </w:rPr>
        <w:t>(Gray, 2018; Creswell and Plano Clark, 2017</w:t>
      </w:r>
      <w:r w:rsidRPr="257BFE88" w:rsidR="62F68B50">
        <w:rPr>
          <w:rFonts w:ascii="Aptos" w:hAnsi="Aptos" w:eastAsia="Aptos" w:cs="Aptos"/>
          <w:b w:val="0"/>
          <w:bCs w:val="0"/>
          <w:noProof w:val="0"/>
          <w:color w:val="000000" w:themeColor="text1" w:themeTint="FF" w:themeShade="FF"/>
          <w:sz w:val="24"/>
          <w:szCs w:val="24"/>
          <w:lang w:val="en-GB"/>
        </w:rPr>
        <w:t>)</w:t>
      </w:r>
      <w:r w:rsidRPr="003137A2" w:rsidR="74131136">
        <w:rPr>
          <w:rFonts w:ascii="Aptos" w:hAnsi="Aptos" w:eastAsia="Times New Roman" w:cs="Arial"/>
          <w:b w:val="0"/>
          <w:bCs w:val="0"/>
          <w:color w:val="000000"/>
          <w:kern w:val="0"/>
          <w:lang w:eastAsia="en-GB"/>
          <w14:ligatures w14:val="none"/>
        </w:rPr>
        <w:t xml:space="preserve">. </w:t>
      </w:r>
      <w:r w:rsidRPr="257BFE88" w:rsidR="2B63DAAA">
        <w:rPr>
          <w:rFonts w:ascii="Aptos" w:hAnsi="Aptos" w:eastAsia="Times New Roman" w:cs="Arial"/>
          <w:b w:val="0"/>
          <w:bCs w:val="0"/>
          <w:i w:val="0"/>
          <w:iCs w:val="0"/>
          <w:noProof w:val="0"/>
          <w:sz w:val="24"/>
          <w:szCs w:val="24"/>
          <w:lang w:val="en-GB"/>
        </w:rPr>
        <w:t xml:space="preserve">Time pressures, limited resources, </w:t>
      </w:r>
      <w:r w:rsidRPr="257BFE88" w:rsidR="7B189E50">
        <w:rPr>
          <w:rFonts w:ascii="Aptos" w:hAnsi="Aptos" w:eastAsia="Times New Roman" w:cs="Arial"/>
          <w:b w:val="0"/>
          <w:bCs w:val="0"/>
          <w:i w:val="0"/>
          <w:iCs w:val="0"/>
          <w:noProof w:val="0"/>
          <w:sz w:val="24"/>
          <w:szCs w:val="24"/>
          <w:lang w:val="en-GB"/>
        </w:rPr>
        <w:t xml:space="preserve">conflicting </w:t>
      </w:r>
      <w:r w:rsidRPr="257BFE88" w:rsidR="7B189E50">
        <w:rPr>
          <w:rFonts w:ascii="Aptos" w:hAnsi="Aptos" w:eastAsia="Times New Roman" w:cs="Arial"/>
          <w:b w:val="0"/>
          <w:bCs w:val="0"/>
          <w:i w:val="0"/>
          <w:iCs w:val="0"/>
          <w:noProof w:val="0"/>
          <w:sz w:val="24"/>
          <w:szCs w:val="24"/>
          <w:lang w:val="en-GB"/>
        </w:rPr>
        <w:t>p</w:t>
      </w:r>
      <w:r w:rsidRPr="257BFE88" w:rsidR="7B189E50">
        <w:rPr>
          <w:rFonts w:ascii="Aptos" w:hAnsi="Aptos" w:eastAsia="Times New Roman" w:cs="Arial"/>
          <w:b w:val="0"/>
          <w:bCs w:val="0"/>
          <w:i w:val="0"/>
          <w:iCs w:val="0"/>
          <w:noProof w:val="0"/>
          <w:sz w:val="24"/>
          <w:szCs w:val="24"/>
          <w:lang w:val="en-GB"/>
        </w:rPr>
        <w:t>riorities</w:t>
      </w:r>
      <w:r w:rsidRPr="257BFE88" w:rsidR="7B189E50">
        <w:rPr>
          <w:rFonts w:ascii="Aptos" w:hAnsi="Aptos" w:eastAsia="Times New Roman" w:cs="Arial"/>
          <w:b w:val="0"/>
          <w:bCs w:val="0"/>
          <w:i w:val="0"/>
          <w:iCs w:val="0"/>
          <w:noProof w:val="0"/>
          <w:sz w:val="24"/>
          <w:szCs w:val="24"/>
          <w:lang w:val="en-GB"/>
        </w:rPr>
        <w:t xml:space="preserve"> </w:t>
      </w:r>
      <w:r w:rsidRPr="257BFE88" w:rsidR="2B63DAAA">
        <w:rPr>
          <w:rFonts w:ascii="Aptos" w:hAnsi="Aptos" w:eastAsia="Times New Roman" w:cs="Arial"/>
          <w:b w:val="0"/>
          <w:bCs w:val="0"/>
          <w:i w:val="0"/>
          <w:iCs w:val="0"/>
          <w:noProof w:val="0"/>
          <w:sz w:val="24"/>
          <w:szCs w:val="24"/>
          <w:lang w:val="en-GB"/>
        </w:rPr>
        <w:t xml:space="preserve">and cancelled meetings disrupted </w:t>
      </w:r>
      <w:r w:rsidRPr="257BFE88" w:rsidR="69E1F56C">
        <w:rPr>
          <w:rFonts w:ascii="Aptos" w:hAnsi="Aptos" w:eastAsia="Times New Roman" w:cs="Arial"/>
          <w:b w:val="0"/>
          <w:bCs w:val="0"/>
          <w:i w:val="0"/>
          <w:iCs w:val="0"/>
          <w:noProof w:val="0"/>
          <w:sz w:val="24"/>
          <w:szCs w:val="24"/>
          <w:lang w:val="en-GB"/>
        </w:rPr>
        <w:t>progress,</w:t>
      </w:r>
      <w:r w:rsidRPr="257BFE88" w:rsidR="2B63DAAA">
        <w:rPr>
          <w:rFonts w:ascii="Aptos" w:hAnsi="Aptos" w:eastAsia="Times New Roman" w:cs="Arial"/>
          <w:b w:val="0"/>
          <w:bCs w:val="0"/>
          <w:i w:val="0"/>
          <w:iCs w:val="0"/>
          <w:noProof w:val="0"/>
          <w:sz w:val="24"/>
          <w:szCs w:val="24"/>
          <w:lang w:val="en-GB"/>
        </w:rPr>
        <w:t xml:space="preserve"> </w:t>
      </w:r>
      <w:r w:rsidRPr="257BFE88" w:rsidR="3DAFA118">
        <w:rPr>
          <w:rFonts w:ascii="Aptos" w:hAnsi="Aptos" w:eastAsia="Times New Roman" w:cs="Arial"/>
          <w:b w:val="0"/>
          <w:bCs w:val="0"/>
          <w:i w:val="0"/>
          <w:iCs w:val="0"/>
          <w:noProof w:val="0"/>
          <w:sz w:val="24"/>
          <w:szCs w:val="24"/>
          <w:lang w:val="en-GB"/>
        </w:rPr>
        <w:t>but this</w:t>
      </w:r>
      <w:r w:rsidRPr="257BFE88" w:rsidR="2B63DAAA">
        <w:rPr>
          <w:rFonts w:ascii="Aptos" w:hAnsi="Aptos" w:eastAsia="Times New Roman" w:cs="Arial"/>
          <w:b w:val="0"/>
          <w:bCs w:val="0"/>
          <w:i w:val="0"/>
          <w:iCs w:val="0"/>
          <w:noProof w:val="0"/>
          <w:sz w:val="24"/>
          <w:szCs w:val="24"/>
          <w:lang w:val="en-GB"/>
        </w:rPr>
        <w:t xml:space="preserve"> reflect</w:t>
      </w:r>
      <w:r w:rsidRPr="257BFE88" w:rsidR="090AE69F">
        <w:rPr>
          <w:rFonts w:ascii="Aptos" w:hAnsi="Aptos" w:eastAsia="Times New Roman" w:cs="Arial"/>
          <w:b w:val="0"/>
          <w:bCs w:val="0"/>
          <w:i w:val="0"/>
          <w:iCs w:val="0"/>
          <w:noProof w:val="0"/>
          <w:sz w:val="24"/>
          <w:szCs w:val="24"/>
          <w:lang w:val="en-GB"/>
        </w:rPr>
        <w:t>s</w:t>
      </w:r>
      <w:r w:rsidRPr="257BFE88" w:rsidR="2B63DAAA">
        <w:rPr>
          <w:rFonts w:ascii="Aptos" w:hAnsi="Aptos" w:eastAsia="Times New Roman" w:cs="Arial"/>
          <w:b w:val="0"/>
          <w:bCs w:val="0"/>
          <w:i w:val="0"/>
          <w:iCs w:val="0"/>
          <w:noProof w:val="0"/>
          <w:sz w:val="24"/>
          <w:szCs w:val="24"/>
          <w:lang w:val="en-GB"/>
        </w:rPr>
        <w:t xml:space="preserve"> </w:t>
      </w:r>
      <w:r w:rsidRPr="257BFE88" w:rsidR="5E51A92F">
        <w:rPr>
          <w:rFonts w:ascii="Aptos" w:hAnsi="Aptos" w:eastAsia="Times New Roman" w:cs="Arial"/>
          <w:b w:val="0"/>
          <w:bCs w:val="0"/>
          <w:i w:val="0"/>
          <w:iCs w:val="0"/>
          <w:noProof w:val="0"/>
          <w:sz w:val="24"/>
          <w:szCs w:val="24"/>
          <w:lang w:val="en-GB"/>
        </w:rPr>
        <w:t>what can ha</w:t>
      </w:r>
      <w:r w:rsidRPr="257BFE88" w:rsidR="2B63DAAA">
        <w:rPr>
          <w:rFonts w:ascii="Aptos" w:hAnsi="Aptos" w:eastAsia="Times New Roman" w:cs="Arial"/>
          <w:b w:val="0"/>
          <w:bCs w:val="0"/>
          <w:i w:val="0"/>
          <w:iCs w:val="0"/>
          <w:noProof w:val="0"/>
          <w:sz w:val="24"/>
          <w:szCs w:val="24"/>
          <w:lang w:val="en-GB"/>
        </w:rPr>
        <w:t>ppen</w:t>
      </w:r>
      <w:r w:rsidRPr="257BFE88" w:rsidR="0DDF2855">
        <w:rPr>
          <w:rFonts w:ascii="Aptos" w:hAnsi="Aptos" w:eastAsia="Times New Roman" w:cs="Arial"/>
          <w:b w:val="0"/>
          <w:bCs w:val="0"/>
          <w:i w:val="0"/>
          <w:iCs w:val="0"/>
          <w:noProof w:val="0"/>
          <w:sz w:val="24"/>
          <w:szCs w:val="24"/>
          <w:lang w:val="en-GB"/>
        </w:rPr>
        <w:t xml:space="preserve"> </w:t>
      </w:r>
      <w:r w:rsidRPr="257BFE88" w:rsidR="2B63DAAA">
        <w:rPr>
          <w:rFonts w:ascii="Aptos" w:hAnsi="Aptos" w:eastAsia="Times New Roman" w:cs="Arial"/>
          <w:b w:val="0"/>
          <w:bCs w:val="0"/>
          <w:i w:val="0"/>
          <w:iCs w:val="0"/>
          <w:noProof w:val="0"/>
          <w:sz w:val="24"/>
          <w:szCs w:val="24"/>
          <w:lang w:val="en-GB"/>
        </w:rPr>
        <w:t xml:space="preserve">in </w:t>
      </w:r>
      <w:r w:rsidRPr="257BFE88" w:rsidR="2B63DAAA">
        <w:rPr>
          <w:rFonts w:ascii="Aptos" w:hAnsi="Aptos" w:eastAsia="Times New Roman" w:cs="Arial"/>
          <w:b w:val="0"/>
          <w:bCs w:val="0"/>
          <w:i w:val="0"/>
          <w:iCs w:val="0"/>
          <w:noProof w:val="0"/>
          <w:sz w:val="24"/>
          <w:szCs w:val="24"/>
          <w:lang w:val="en-GB"/>
        </w:rPr>
        <w:t>day to day</w:t>
      </w:r>
      <w:r w:rsidRPr="257BFE88" w:rsidR="2B63DAAA">
        <w:rPr>
          <w:rFonts w:ascii="Aptos" w:hAnsi="Aptos" w:eastAsia="Times New Roman" w:cs="Arial"/>
          <w:b w:val="0"/>
          <w:bCs w:val="0"/>
          <w:i w:val="0"/>
          <w:iCs w:val="0"/>
          <w:noProof w:val="0"/>
          <w:sz w:val="24"/>
          <w:szCs w:val="24"/>
          <w:lang w:val="en-GB"/>
        </w:rPr>
        <w:t xml:space="preserve"> </w:t>
      </w:r>
      <w:r w:rsidRPr="257BFE88" w:rsidR="6D97A495">
        <w:rPr>
          <w:rFonts w:ascii="Aptos" w:hAnsi="Aptos" w:eastAsia="Times New Roman" w:cs="Arial"/>
          <w:b w:val="0"/>
          <w:bCs w:val="0"/>
          <w:i w:val="0"/>
          <w:iCs w:val="0"/>
          <w:noProof w:val="0"/>
          <w:sz w:val="24"/>
          <w:szCs w:val="24"/>
          <w:lang w:val="en-GB"/>
        </w:rPr>
        <w:t xml:space="preserve">working life and </w:t>
      </w:r>
      <w:r w:rsidRPr="257BFE88" w:rsidR="2B63DAAA">
        <w:rPr>
          <w:rFonts w:ascii="Aptos" w:hAnsi="Aptos" w:eastAsia="Times New Roman" w:cs="Arial"/>
          <w:b w:val="0"/>
          <w:bCs w:val="0"/>
          <w:i w:val="0"/>
          <w:iCs w:val="0"/>
          <w:noProof w:val="0"/>
          <w:sz w:val="24"/>
          <w:szCs w:val="24"/>
          <w:lang w:val="en-GB"/>
        </w:rPr>
        <w:t>business.</w:t>
      </w:r>
      <w:r w:rsidRPr="257BFE88" w:rsidR="2B63DAAA">
        <w:rPr>
          <w:rFonts w:ascii="Aptos" w:hAnsi="Aptos" w:eastAsia="Times New Roman" w:cs="Arial"/>
          <w:b w:val="0"/>
          <w:bCs w:val="0"/>
          <w:i w:val="0"/>
          <w:iCs w:val="0"/>
          <w:noProof w:val="0"/>
          <w:sz w:val="24"/>
          <w:szCs w:val="24"/>
          <w:lang w:val="en-GB"/>
        </w:rPr>
        <w:t xml:space="preserve"> </w:t>
      </w:r>
    </w:p>
    <w:p w:rsidRPr="003137A2" w:rsidR="003137A2" w:rsidP="257BFE88" w:rsidRDefault="003137A2" w14:paraId="7EE4FB9D" w14:textId="4D34F8A7">
      <w:pPr>
        <w:pStyle w:val="Normal"/>
        <w:spacing w:before="240" w:after="240" w:line="240" w:lineRule="auto"/>
        <w:rPr>
          <w:rFonts w:ascii="Aptos" w:hAnsi="Aptos" w:eastAsia="Times New Roman" w:cs="Arial"/>
          <w:color w:val="000000" w:themeColor="text1" w:themeTint="FF" w:themeShade="FF"/>
          <w:kern w:val="0"/>
          <w:lang w:eastAsia="en-GB"/>
          <w14:ligatures w14:val="none"/>
        </w:rPr>
      </w:pPr>
      <w:r w:rsidRPr="003137A2" w:rsidR="74131136">
        <w:rPr>
          <w:rFonts w:ascii="Aptos" w:hAnsi="Aptos" w:eastAsia="Times New Roman" w:cs="Arial"/>
          <w:color w:val="000000"/>
          <w:kern w:val="0"/>
          <w:lang w:eastAsia="en-GB"/>
          <w14:ligatures w14:val="none"/>
        </w:rPr>
        <w:t xml:space="preserve">The</w:t>
      </w:r>
      <w:r w:rsidRPr="003137A2" w:rsidR="64D19C8F">
        <w:rPr>
          <w:rFonts w:ascii="Aptos" w:hAnsi="Aptos" w:eastAsia="Times New Roman" w:cs="Arial"/>
          <w:color w:val="000000"/>
          <w:kern w:val="0"/>
          <w:lang w:eastAsia="en-GB"/>
          <w14:ligatures w14:val="none"/>
        </w:rPr>
        <w:t xml:space="preserve"> </w:t>
      </w:r>
      <w:r w:rsidRPr="003137A2" w:rsidR="74131136">
        <w:rPr>
          <w:rFonts w:ascii="Aptos" w:hAnsi="Aptos" w:eastAsia="Times New Roman" w:cs="Arial"/>
          <w:color w:val="000000"/>
          <w:kern w:val="0"/>
          <w:lang w:eastAsia="en-GB"/>
          <w14:ligatures w14:val="none"/>
        </w:rPr>
        <w:t xml:space="preserve">experiences </w:t>
      </w:r>
      <w:r w:rsidRPr="003137A2" w:rsidR="285BA7B5">
        <w:rPr>
          <w:rFonts w:ascii="Aptos" w:hAnsi="Aptos" w:eastAsia="Times New Roman" w:cs="Arial"/>
          <w:color w:val="000000"/>
          <w:kern w:val="0"/>
          <w:lang w:eastAsia="en-GB"/>
          <w14:ligatures w14:val="none"/>
        </w:rPr>
        <w:t xml:space="preserve">show </w:t>
      </w:r>
      <w:r w:rsidRPr="003137A2" w:rsidR="74131136">
        <w:rPr>
          <w:rFonts w:ascii="Aptos" w:hAnsi="Aptos" w:eastAsia="Times New Roman" w:cs="Arial"/>
          <w:color w:val="000000"/>
          <w:kern w:val="0"/>
          <w:lang w:eastAsia="en-GB"/>
          <w14:ligatures w14:val="none"/>
        </w:rPr>
        <w:t xml:space="preserve">the importance of:</w:t>
      </w:r>
    </w:p>
    <w:p w:rsidRPr="003137A2" w:rsidR="003137A2" w:rsidP="003137A2" w:rsidRDefault="003137A2" w14:paraId="3195B8B6" w14:textId="4D482BB5">
      <w:pPr>
        <w:spacing w:before="240" w:after="240" w:line="240" w:lineRule="auto"/>
        <w:rPr>
          <w:rFonts w:ascii="Aptos" w:hAnsi="Aptos" w:eastAsia="Times New Roman" w:cs="Times New Roman"/>
          <w:kern w:val="0"/>
          <w:lang w:eastAsia="en-GB"/>
          <w14:ligatures w14:val="none"/>
        </w:rPr>
      </w:pPr>
      <w:r w:rsidRPr="003137A2" w:rsidR="6D7FFB3E">
        <w:rPr>
          <w:rFonts w:ascii="Aptos" w:hAnsi="Aptos" w:eastAsia="Times New Roman" w:cs="Arial"/>
          <w:color w:val="000000"/>
          <w:kern w:val="0"/>
          <w:lang w:eastAsia="en-GB"/>
          <w14:ligatures w14:val="none"/>
        </w:rPr>
        <w:t xml:space="preserve">• </w:t>
      </w:r>
      <w:r w:rsidRPr="003137A2" w:rsidR="6D7FFB3E">
        <w:rPr>
          <w:rFonts w:ascii="Aptos" w:hAnsi="Aptos" w:eastAsia="Times New Roman" w:cs="Arial"/>
          <w:color w:val="000000"/>
          <w:kern w:val="0"/>
          <w:lang w:eastAsia="en-GB"/>
          <w14:ligatures w14:val="none"/>
        </w:rPr>
        <w:t>Maintaining</w:t>
      </w:r>
      <w:r w:rsidRPr="003137A2" w:rsidR="6D7FFB3E">
        <w:rPr>
          <w:rFonts w:ascii="Aptos" w:hAnsi="Aptos" w:eastAsia="Times New Roman" w:cs="Arial"/>
          <w:color w:val="000000"/>
          <w:kern w:val="0"/>
          <w:lang w:eastAsia="en-GB"/>
          <w14:ligatures w14:val="none"/>
        </w:rPr>
        <w:t xml:space="preserve"> discipline</w:t>
      </w:r>
      <w:r w:rsidRPr="003137A2" w:rsidR="69307E4A">
        <w:rPr>
          <w:rFonts w:ascii="Aptos" w:hAnsi="Aptos" w:eastAsia="Times New Roman" w:cs="Arial"/>
          <w:color w:val="000000"/>
          <w:kern w:val="0"/>
          <w:lang w:eastAsia="en-GB"/>
          <w14:ligatures w14:val="none"/>
        </w:rPr>
        <w:t>/focus</w:t>
      </w:r>
    </w:p>
    <w:p w:rsidRPr="003137A2" w:rsidR="003137A2" w:rsidP="257BFE88" w:rsidRDefault="003137A2" w14:paraId="57DBEF90" w14:textId="43A79F6F">
      <w:pPr>
        <w:spacing w:before="240" w:after="240" w:line="240" w:lineRule="auto"/>
        <w:rPr>
          <w:rFonts w:ascii="Aptos" w:hAnsi="Aptos" w:eastAsia="Times New Roman" w:cs="Arial"/>
          <w:color w:val="000000" w:themeColor="text1" w:themeTint="FF" w:themeShade="FF"/>
          <w:kern w:val="0"/>
          <w:lang w:eastAsia="en-GB"/>
          <w14:ligatures w14:val="none"/>
        </w:rPr>
      </w:pPr>
      <w:r w:rsidRPr="003137A2" w:rsidR="6D7FFB3E">
        <w:rPr>
          <w:rFonts w:ascii="Aptos" w:hAnsi="Aptos" w:eastAsia="Times New Roman" w:cs="Arial"/>
          <w:color w:val="000000"/>
          <w:kern w:val="0"/>
          <w:lang w:eastAsia="en-GB"/>
          <w14:ligatures w14:val="none"/>
        </w:rPr>
        <w:t>• Managing scope</w:t>
      </w:r>
      <w:r w:rsidRPr="003137A2" w:rsidR="6065BC9E">
        <w:rPr>
          <w:rFonts w:ascii="Aptos" w:hAnsi="Aptos" w:eastAsia="Times New Roman" w:cs="Arial"/>
          <w:color w:val="000000"/>
          <w:kern w:val="0"/>
          <w:lang w:eastAsia="en-GB"/>
          <w14:ligatures w14:val="none"/>
        </w:rPr>
        <w:t xml:space="preserve"> and avoiding “rabbit holes”</w:t>
      </w:r>
    </w:p>
    <w:p w:rsidRPr="003137A2" w:rsidR="003137A2" w:rsidP="003137A2" w:rsidRDefault="003137A2" w14:paraId="2B825229" w14:textId="0EDC93EF">
      <w:pPr>
        <w:spacing w:before="240" w:after="240" w:line="240" w:lineRule="auto"/>
        <w:rPr>
          <w:rFonts w:ascii="Aptos" w:hAnsi="Aptos" w:eastAsia="Times New Roman" w:cs="Times New Roman"/>
          <w:kern w:val="0"/>
          <w:lang w:eastAsia="en-GB"/>
          <w14:ligatures w14:val="none"/>
        </w:rPr>
      </w:pPr>
      <w:r w:rsidRPr="003137A2" w:rsidR="6D7FFB3E">
        <w:rPr>
          <w:rFonts w:ascii="Aptos" w:hAnsi="Aptos" w:eastAsia="Times New Roman" w:cs="Arial"/>
          <w:color w:val="000000"/>
          <w:kern w:val="0"/>
          <w:lang w:eastAsia="en-GB"/>
          <w14:ligatures w14:val="none"/>
        </w:rPr>
        <w:t>• Prioritising tasks</w:t>
      </w:r>
      <w:r w:rsidRPr="003137A2" w:rsidR="7DE2BD53">
        <w:rPr>
          <w:rFonts w:ascii="Aptos" w:hAnsi="Aptos" w:eastAsia="Times New Roman" w:cs="Arial"/>
          <w:color w:val="000000"/>
          <w:kern w:val="0"/>
          <w:lang w:eastAsia="en-GB"/>
          <w14:ligatures w14:val="none"/>
        </w:rPr>
        <w:t xml:space="preserve"> continually day by day</w:t>
      </w:r>
      <w:r w:rsidRPr="003137A2" w:rsidR="1C524AFA">
        <w:rPr>
          <w:rFonts w:ascii="Aptos" w:hAnsi="Aptos" w:eastAsia="Times New Roman" w:cs="Arial"/>
          <w:color w:val="000000"/>
          <w:kern w:val="0"/>
          <w:lang w:eastAsia="en-GB"/>
          <w14:ligatures w14:val="none"/>
        </w:rPr>
        <w:t xml:space="preserve"> and good time management</w:t>
      </w:r>
    </w:p>
    <w:p w:rsidRPr="003137A2" w:rsidR="003137A2" w:rsidP="003137A2" w:rsidRDefault="003137A2" w14:paraId="4196C97C" w14:textId="29157785">
      <w:pPr>
        <w:spacing w:before="240" w:after="240" w:line="240" w:lineRule="auto"/>
        <w:rPr>
          <w:rFonts w:ascii="Aptos" w:hAnsi="Aptos" w:eastAsia="Times New Roman" w:cs="Times New Roman"/>
          <w:kern w:val="0"/>
          <w:lang w:eastAsia="en-GB"/>
          <w14:ligatures w14:val="none"/>
        </w:rPr>
      </w:pPr>
      <w:r w:rsidRPr="003137A2" w:rsidR="6D7FFB3E">
        <w:rPr>
          <w:rFonts w:ascii="Aptos" w:hAnsi="Aptos" w:eastAsia="Times New Roman" w:cs="Arial"/>
          <w:color w:val="000000"/>
          <w:kern w:val="0"/>
          <w:lang w:eastAsia="en-GB"/>
          <w14:ligatures w14:val="none"/>
        </w:rPr>
        <w:t>• Adapting to changing circumstances</w:t>
      </w:r>
      <w:r w:rsidRPr="003137A2" w:rsidR="64A44302">
        <w:rPr>
          <w:rFonts w:ascii="Aptos" w:hAnsi="Aptos" w:eastAsia="Times New Roman" w:cs="Arial"/>
          <w:color w:val="000000"/>
          <w:kern w:val="0"/>
          <w:lang w:eastAsia="en-GB"/>
          <w14:ligatures w14:val="none"/>
        </w:rPr>
        <w:t xml:space="preserve"> and demands</w:t>
      </w:r>
    </w:p>
    <w:p w:rsidRPr="003137A2" w:rsidR="003137A2" w:rsidP="003137A2" w:rsidRDefault="003137A2" w14:paraId="50BC64AD" w14:textId="77777777">
      <w:pPr>
        <w:spacing w:before="240" w:after="240" w:line="240" w:lineRule="auto"/>
        <w:rPr>
          <w:rFonts w:ascii="Aptos" w:hAnsi="Aptos" w:eastAsia="Times New Roman" w:cs="Times New Roman"/>
          <w:kern w:val="0"/>
          <w:lang w:eastAsia="en-GB"/>
          <w14:ligatures w14:val="none"/>
        </w:rPr>
      </w:pPr>
      <w:r w:rsidRPr="003137A2" w:rsidR="6D7FFB3E">
        <w:rPr>
          <w:rFonts w:ascii="Aptos" w:hAnsi="Aptos" w:eastAsia="Times New Roman" w:cs="Arial"/>
          <w:color w:val="000000"/>
          <w:kern w:val="0"/>
          <w:lang w:eastAsia="en-GB"/>
          <w14:ligatures w14:val="none"/>
        </w:rPr>
        <w:t>• Taking responsibility for prog</w:t>
      </w:r>
      <w:r w:rsidRPr="003137A2" w:rsidR="6D7FFB3E">
        <w:rPr>
          <w:rFonts w:ascii="Aptos" w:hAnsi="Aptos" w:eastAsia="Times New Roman" w:cs="Arial"/>
          <w:color w:val="000000"/>
          <w:kern w:val="0"/>
          <w:lang w:eastAsia="en-GB"/>
          <w14:ligatures w14:val="none"/>
        </w:rPr>
        <w:t>ress</w:t>
      </w:r>
    </w:p>
    <w:p w:rsidR="75E10628" w:rsidP="257BFE88" w:rsidRDefault="75E10628" w14:paraId="6E7EFEDC" w14:textId="7E34AB94">
      <w:pPr>
        <w:spacing w:before="240" w:after="240" w:line="240" w:lineRule="auto"/>
        <w:rPr>
          <w:rFonts w:ascii="Aptos" w:hAnsi="Aptos" w:eastAsia="Times New Roman" w:cs="Arial"/>
          <w:color w:val="000000" w:themeColor="text1" w:themeTint="FF" w:themeShade="FF"/>
          <w:lang w:eastAsia="en-GB"/>
        </w:rPr>
      </w:pPr>
      <w:r w:rsidRPr="257BFE88" w:rsidR="75E10628">
        <w:rPr>
          <w:rFonts w:ascii="Aptos" w:hAnsi="Aptos" w:eastAsia="Times New Roman" w:cs="Arial"/>
          <w:b w:val="0"/>
          <w:bCs w:val="0"/>
          <w:i w:val="0"/>
          <w:iCs w:val="0"/>
          <w:noProof w:val="0"/>
          <w:sz w:val="24"/>
          <w:szCs w:val="24"/>
          <w:lang w:val="en-GB"/>
        </w:rPr>
        <w:t>This reflection aligns with</w:t>
      </w:r>
      <w:r w:rsidRPr="257BFE88" w:rsidR="2D97110B">
        <w:rPr>
          <w:rFonts w:ascii="Aptos" w:hAnsi="Aptos" w:eastAsia="Times New Roman" w:cs="Arial"/>
          <w:b w:val="0"/>
          <w:bCs w:val="0"/>
          <w:i w:val="0"/>
          <w:iCs w:val="0"/>
          <w:noProof w:val="0"/>
          <w:sz w:val="24"/>
          <w:szCs w:val="24"/>
          <w:lang w:val="en-GB"/>
        </w:rPr>
        <w:t xml:space="preserve"> good</w:t>
      </w:r>
      <w:r w:rsidRPr="257BFE88" w:rsidR="46EC8BE8">
        <w:rPr>
          <w:rFonts w:ascii="Aptos" w:hAnsi="Aptos" w:eastAsia="Times New Roman" w:cs="Arial"/>
          <w:b w:val="0"/>
          <w:bCs w:val="0"/>
          <w:i w:val="0"/>
          <w:iCs w:val="0"/>
          <w:noProof w:val="0"/>
          <w:sz w:val="24"/>
          <w:szCs w:val="24"/>
          <w:lang w:val="en-GB"/>
        </w:rPr>
        <w:t xml:space="preserve"> management practice</w:t>
      </w:r>
      <w:r w:rsidRPr="257BFE88" w:rsidR="75E10628">
        <w:rPr>
          <w:rFonts w:ascii="Aptos" w:hAnsi="Aptos" w:eastAsia="Times New Roman" w:cs="Arial"/>
          <w:b w:val="0"/>
          <w:bCs w:val="0"/>
          <w:i w:val="0"/>
          <w:iCs w:val="0"/>
          <w:noProof w:val="0"/>
          <w:sz w:val="24"/>
          <w:szCs w:val="24"/>
          <w:lang w:val="en-GB"/>
        </w:rPr>
        <w:t>, where leaders regularly review and adjust their decisions</w:t>
      </w:r>
      <w:r w:rsidRPr="257BFE88" w:rsidR="72814F69">
        <w:rPr>
          <w:rFonts w:ascii="Aptos" w:hAnsi="Aptos" w:eastAsia="Times New Roman" w:cs="Arial"/>
          <w:b w:val="0"/>
          <w:bCs w:val="0"/>
          <w:i w:val="0"/>
          <w:iCs w:val="0"/>
          <w:noProof w:val="0"/>
          <w:sz w:val="24"/>
          <w:szCs w:val="24"/>
          <w:lang w:val="en-GB"/>
        </w:rPr>
        <w:t xml:space="preserve"> and strategies</w:t>
      </w:r>
      <w:r w:rsidRPr="257BFE88" w:rsidR="75E10628">
        <w:rPr>
          <w:rFonts w:ascii="Aptos" w:hAnsi="Aptos" w:eastAsia="Times New Roman" w:cs="Arial"/>
          <w:b w:val="0"/>
          <w:bCs w:val="0"/>
          <w:i w:val="0"/>
          <w:iCs w:val="0"/>
          <w:noProof w:val="0"/>
          <w:sz w:val="24"/>
          <w:szCs w:val="24"/>
          <w:lang w:val="en-GB"/>
        </w:rPr>
        <w:t xml:space="preserve"> as </w:t>
      </w:r>
      <w:r w:rsidRPr="257BFE88" w:rsidR="75E10628">
        <w:rPr>
          <w:rFonts w:ascii="Aptos" w:hAnsi="Aptos" w:eastAsia="Times New Roman" w:cs="Arial"/>
          <w:b w:val="0"/>
          <w:bCs w:val="0"/>
          <w:i w:val="0"/>
          <w:iCs w:val="0"/>
          <w:noProof w:val="0"/>
          <w:sz w:val="24"/>
          <w:szCs w:val="24"/>
          <w:lang w:val="en-GB"/>
        </w:rPr>
        <w:t>new information</w:t>
      </w:r>
      <w:r w:rsidRPr="257BFE88" w:rsidR="75E10628">
        <w:rPr>
          <w:rFonts w:ascii="Aptos" w:hAnsi="Aptos" w:eastAsia="Times New Roman" w:cs="Arial"/>
          <w:b w:val="0"/>
          <w:bCs w:val="0"/>
          <w:i w:val="0"/>
          <w:iCs w:val="0"/>
          <w:noProof w:val="0"/>
          <w:sz w:val="24"/>
          <w:szCs w:val="24"/>
          <w:lang w:val="en-GB"/>
        </w:rPr>
        <w:t xml:space="preserve"> becomes available</w:t>
      </w:r>
      <w:r w:rsidRPr="257BFE88" w:rsidR="706AC0B0">
        <w:rPr>
          <w:rFonts w:ascii="Aptos" w:hAnsi="Aptos" w:eastAsia="Times New Roman" w:cs="Arial"/>
          <w:b w:val="0"/>
          <w:bCs w:val="0"/>
          <w:i w:val="0"/>
          <w:iCs w:val="0"/>
          <w:noProof w:val="0"/>
          <w:sz w:val="24"/>
          <w:szCs w:val="24"/>
          <w:lang w:val="en-GB"/>
        </w:rPr>
        <w:t>.</w:t>
      </w:r>
    </w:p>
    <w:p w:rsidRPr="003137A2" w:rsidR="003137A2" w:rsidP="257BFE88" w:rsidRDefault="003137A2" w14:paraId="4EE1294D" w14:textId="77777777">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2069402227" w:id="1601611058"/>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5.6 Personal Learning and Professional Development</w:t>
      </w:r>
      <w:bookmarkEnd w:id="1601611058"/>
    </w:p>
    <w:p w:rsidRPr="003137A2" w:rsidR="003137A2" w:rsidP="257BFE88" w:rsidRDefault="003137A2" w14:paraId="2EFA3DE0" w14:textId="65183B06">
      <w:pPr>
        <w:pStyle w:val="Normal"/>
        <w:spacing w:before="240" w:after="240" w:line="240" w:lineRule="auto"/>
        <w:rPr>
          <w:rFonts w:ascii="Aptos" w:hAnsi="Aptos" w:eastAsia="Times New Roman" w:cs="Arial"/>
          <w:color w:val="000000"/>
          <w:kern w:val="0"/>
          <w:lang w:eastAsia="en-GB"/>
          <w14:ligatures w14:val="none"/>
        </w:rPr>
      </w:pPr>
      <w:r w:rsidRPr="003137A2" w:rsidR="6D7FFB3E">
        <w:rPr>
          <w:rFonts w:ascii="Aptos" w:hAnsi="Aptos" w:eastAsia="Times New Roman" w:cs="Arial"/>
          <w:color w:val="000000"/>
          <w:kern w:val="0"/>
          <w:lang w:eastAsia="en-GB"/>
          <w14:ligatures w14:val="none"/>
        </w:rPr>
        <w:t xml:space="preserve">An important outcome of this Independent Project has been the development of transferable professional skills, particularly in planning, </w:t>
      </w:r>
      <w:r w:rsidRPr="003137A2" w:rsidR="6D7FFB3E">
        <w:rPr>
          <w:rFonts w:ascii="Aptos" w:hAnsi="Aptos" w:eastAsia="Times New Roman" w:cs="Arial"/>
          <w:color w:val="000000"/>
          <w:kern w:val="0"/>
          <w:lang w:eastAsia="en-GB"/>
          <w14:ligatures w14:val="none"/>
        </w:rPr>
        <w:t>self</w:t>
      </w:r>
      <w:r w:rsidRPr="003137A2" w:rsidR="6D7FFB3E">
        <w:rPr>
          <w:rFonts w:ascii="Cambria Math" w:hAnsi="Cambria Math" w:eastAsia="Times New Roman" w:cs="Cambria Math"/>
          <w:color w:val="000000"/>
          <w:kern w:val="0"/>
          <w:lang w:eastAsia="en-GB"/>
          <w14:ligatures w14:val="none"/>
        </w:rPr>
        <w:t>￼</w:t>
      </w:r>
      <w:r w:rsidRPr="003137A2" w:rsidR="6D7FFB3E">
        <w:rPr>
          <w:rFonts w:ascii="Aptos" w:hAnsi="Aptos" w:eastAsia="Times New Roman" w:cs="Arial"/>
          <w:color w:val="000000"/>
          <w:kern w:val="0"/>
          <w:lang w:eastAsia="en-GB"/>
          <w14:ligatures w14:val="none"/>
        </w:rPr>
        <w:t>management</w:t>
      </w:r>
      <w:r w:rsidRPr="003137A2" w:rsidR="6D7FFB3E">
        <w:rPr>
          <w:rFonts w:ascii="Aptos" w:hAnsi="Aptos" w:eastAsia="Times New Roman" w:cs="Arial"/>
          <w:color w:val="000000"/>
          <w:kern w:val="0"/>
          <w:lang w:eastAsia="en-GB"/>
          <w14:ligatures w14:val="none"/>
        </w:rPr>
        <w:t>, critical reflection</w:t>
      </w:r>
      <w:r w:rsidRPr="003137A2" w:rsidR="6D7FFB3E">
        <w:rPr>
          <w:rFonts w:ascii="Aptos" w:hAnsi="Aptos" w:eastAsia="Times New Roman" w:cs="Arial"/>
          <w:color w:val="000000"/>
          <w:kern w:val="0"/>
          <w:lang w:eastAsia="en-GB"/>
          <w14:ligatures w14:val="none"/>
        </w:rPr>
        <w:t xml:space="preserve"> and</w:t>
      </w:r>
      <w:r w:rsidRPr="003137A2" w:rsidR="6D7FFB3E">
        <w:rPr>
          <w:rFonts w:ascii="Aptos" w:hAnsi="Aptos" w:eastAsia="Times New Roman" w:cs="Arial"/>
          <w:color w:val="000000"/>
          <w:kern w:val="0"/>
          <w:lang w:eastAsia="en-GB"/>
          <w14:ligatures w14:val="none"/>
        </w:rPr>
        <w:t xml:space="preserve"> the disciplined completion of challenging tasks</w:t>
      </w:r>
      <w:r w:rsidRPr="003137A2" w:rsidR="337FB351">
        <w:rPr>
          <w:rFonts w:ascii="Aptos" w:hAnsi="Aptos" w:eastAsia="Times New Roman" w:cs="Arial"/>
          <w:b w:val="0"/>
          <w:bCs w:val="0"/>
          <w:color w:val="000000"/>
          <w:kern w:val="0"/>
          <w:lang w:eastAsia="en-GB"/>
          <w14:ligatures w14:val="none"/>
        </w:rPr>
        <w:t xml:space="preserve"> </w:t>
      </w:r>
      <w:r w:rsidRPr="257BFE88" w:rsidR="337FB351">
        <w:rPr>
          <w:rFonts w:ascii="Aptos" w:hAnsi="Aptos" w:eastAsia="Aptos" w:cs="Aptos"/>
          <w:b w:val="0"/>
          <w:bCs w:val="0"/>
          <w:noProof w:val="0"/>
          <w:color w:val="000000" w:themeColor="text1" w:themeTint="FF" w:themeShade="FF"/>
          <w:sz w:val="24"/>
          <w:szCs w:val="24"/>
          <w:lang w:val="en-GB"/>
        </w:rPr>
        <w:t>(ASET, 2013).</w:t>
      </w:r>
      <w:r w:rsidRPr="003137A2" w:rsidR="6D7FFB3E">
        <w:rPr>
          <w:rFonts w:ascii="Aptos" w:hAnsi="Aptos" w:eastAsia="Times New Roman" w:cs="Arial"/>
          <w:b w:val="0"/>
          <w:bCs w:val="0"/>
          <w:color w:val="000000"/>
          <w:kern w:val="0"/>
          <w:lang w:eastAsia="en-GB"/>
          <w14:ligatures w14:val="none"/>
        </w:rPr>
        <w:t>T</w:t>
      </w:r>
      <w:r w:rsidRPr="003137A2" w:rsidR="6D7FFB3E">
        <w:rPr>
          <w:rFonts w:ascii="Aptos" w:hAnsi="Aptos" w:eastAsia="Times New Roman" w:cs="Arial"/>
          <w:color w:val="000000"/>
          <w:kern w:val="0"/>
          <w:lang w:eastAsia="en-GB"/>
          <w14:ligatures w14:val="none"/>
        </w:rPr>
        <w:t xml:space="preserve">he structured project timeline, combined with weekly planning and review cycles, provided a practical framework for managing workload and </w:t>
      </w:r>
      <w:r w:rsidRPr="003137A2" w:rsidR="6D7FFB3E">
        <w:rPr>
          <w:rFonts w:ascii="Aptos" w:hAnsi="Aptos" w:eastAsia="Times New Roman" w:cs="Arial"/>
          <w:color w:val="000000"/>
          <w:kern w:val="0"/>
          <w:lang w:eastAsia="en-GB"/>
          <w14:ligatures w14:val="none"/>
        </w:rPr>
        <w:t>maintaining</w:t>
      </w:r>
      <w:r w:rsidRPr="003137A2" w:rsidR="6D7FFB3E">
        <w:rPr>
          <w:rFonts w:ascii="Aptos" w:hAnsi="Aptos" w:eastAsia="Times New Roman" w:cs="Arial"/>
          <w:color w:val="000000"/>
          <w:kern w:val="0"/>
          <w:lang w:eastAsia="en-GB"/>
          <w14:ligatures w14:val="none"/>
        </w:rPr>
        <w:t xml:space="preserve"> momentum throughout the research process.</w:t>
      </w:r>
    </w:p>
    <w:p w:rsidRPr="003137A2" w:rsidR="003137A2" w:rsidP="003137A2" w:rsidRDefault="003137A2" w14:paraId="5124781D" w14:textId="14395537">
      <w:pPr>
        <w:spacing w:before="240" w:after="240" w:line="240" w:lineRule="auto"/>
        <w:rPr>
          <w:rFonts w:ascii="Aptos" w:hAnsi="Aptos" w:eastAsia="Times New Roman" w:cs="Arial"/>
          <w:color w:val="000000"/>
          <w:kern w:val="0"/>
          <w:lang w:eastAsia="en-GB"/>
          <w14:ligatures w14:val="none"/>
        </w:rPr>
      </w:pPr>
      <w:r w:rsidRPr="003137A2" w:rsidR="6D7FFB3E">
        <w:rPr>
          <w:rFonts w:ascii="Aptos" w:hAnsi="Aptos" w:eastAsia="Times New Roman" w:cs="Arial"/>
          <w:color w:val="000000"/>
          <w:kern w:val="0"/>
          <w:lang w:eastAsia="en-GB"/>
          <w14:ligatures w14:val="none"/>
        </w:rPr>
        <w:t>To support this approach, weekly planning and review were managed through an Excel</w:t>
      </w:r>
      <w:r w:rsidRPr="003137A2" w:rsidR="6D7FFB3E">
        <w:rPr>
          <w:rFonts w:ascii="Aptos" w:hAnsi="Aptos" w:eastAsia="Times New Roman" w:cs="Cambria Math"/>
          <w:color w:val="000000"/>
          <w:kern w:val="0"/>
          <w:lang w:eastAsia="en-GB"/>
          <w14:ligatures w14:val="none"/>
        </w:rPr>
        <w:t xml:space="preserve"> spreadsheet</w:t>
      </w:r>
      <w:r w:rsidRPr="003137A2" w:rsidR="6D7FFB3E">
        <w:rPr>
          <w:rFonts w:ascii="Aptos" w:hAnsi="Aptos" w:eastAsia="Times New Roman" w:cs="Arial"/>
          <w:color w:val="000000"/>
          <w:kern w:val="0"/>
          <w:lang w:eastAsia="en-GB"/>
          <w14:ligatures w14:val="none"/>
        </w:rPr>
        <w:t xml:space="preserve"> that </w:t>
      </w:r>
      <w:r w:rsidRPr="003137A2" w:rsidR="6D7FFB3E">
        <w:rPr>
          <w:rFonts w:ascii="Aptos" w:hAnsi="Aptos" w:eastAsia="Times New Roman" w:cs="Arial"/>
          <w:color w:val="000000"/>
          <w:kern w:val="0"/>
          <w:lang w:eastAsia="en-GB"/>
          <w14:ligatures w14:val="none"/>
        </w:rPr>
        <w:t xml:space="preserve">allocated</w:t>
      </w:r>
      <w:r w:rsidRPr="003137A2" w:rsidR="6D7FFB3E">
        <w:rPr>
          <w:rFonts w:ascii="Aptos" w:hAnsi="Aptos" w:eastAsia="Times New Roman" w:cs="Arial"/>
          <w:color w:val="000000"/>
          <w:kern w:val="0"/>
          <w:lang w:eastAsia="en-GB"/>
          <w14:ligatures w14:val="none"/>
        </w:rPr>
        <w:t xml:space="preserve"> tasks across each day, incorporated a scheduled Wednesday supervisor </w:t>
      </w:r>
      <w:r w:rsidRPr="003137A2" w:rsidR="6D7FFB3E">
        <w:rPr>
          <w:rFonts w:ascii="Aptos" w:hAnsi="Aptos" w:eastAsia="Times New Roman" w:cs="Arial"/>
          <w:color w:val="000000"/>
          <w:kern w:val="0"/>
          <w:lang w:eastAsia="en-GB"/>
          <w14:ligatures w14:val="none"/>
        </w:rPr>
        <w:t xml:space="preserve">meeting</w:t>
      </w:r>
      <w:r w:rsidRPr="003137A2" w:rsidR="6D7FFB3E">
        <w:rPr>
          <w:rFonts w:ascii="Aptos" w:hAnsi="Aptos" w:eastAsia="Times New Roman" w:cs="Arial"/>
          <w:color w:val="000000"/>
          <w:kern w:val="0"/>
          <w:lang w:eastAsia="en-GB"/>
          <w14:ligatures w14:val="none"/>
        </w:rPr>
        <w:t xml:space="preserve"> and embedded a Friday reflection, Saturday </w:t>
      </w:r>
      <w:r w:rsidRPr="003137A2" w:rsidR="6D7FFB3E">
        <w:rPr>
          <w:rFonts w:ascii="Aptos" w:hAnsi="Aptos" w:eastAsia="Times New Roman" w:cs="Arial"/>
          <w:color w:val="000000"/>
          <w:kern w:val="0"/>
          <w:lang w:eastAsia="en-GB"/>
          <w14:ligatures w14:val="none"/>
        </w:rPr>
        <w:t xml:space="preserve">learning</w:t>
      </w:r>
      <w:r w:rsidRPr="003137A2" w:rsidR="050949EC">
        <w:rPr>
          <w:rFonts w:ascii="Aptos" w:hAnsi="Aptos" w:eastAsia="Times New Roman" w:cs="Arial"/>
          <w:color w:val="000000"/>
          <w:kern w:val="0"/>
          <w:lang w:eastAsia="en-GB"/>
          <w14:ligatures w14:val="none"/>
        </w:rPr>
        <w:t xml:space="preserve"> </w:t>
      </w:r>
      <w:r w:rsidRPr="003137A2" w:rsidR="6D7FFB3E">
        <w:rPr>
          <w:rFonts w:ascii="Aptos" w:hAnsi="Aptos" w:eastAsia="Times New Roman" w:cs="Arial"/>
          <w:color w:val="000000"/>
          <w:kern w:val="0"/>
          <w:lang w:eastAsia="en-GB"/>
          <w14:ligatures w14:val="none"/>
        </w:rPr>
        <w:t>log</w:t>
      </w:r>
      <w:r w:rsidRPr="003137A2" w:rsidR="6D7FFB3E">
        <w:rPr>
          <w:rFonts w:ascii="Aptos" w:hAnsi="Aptos" w:eastAsia="Times New Roman" w:cs="Arial"/>
          <w:color w:val="000000"/>
          <w:kern w:val="0"/>
          <w:lang w:eastAsia="en-GB"/>
          <w14:ligatures w14:val="none"/>
        </w:rPr>
        <w:t xml:space="preserve"> update</w:t>
      </w:r>
      <w:r w:rsidRPr="003137A2" w:rsidR="6D7FFB3E">
        <w:rPr>
          <w:rFonts w:ascii="Aptos" w:hAnsi="Aptos" w:eastAsia="Times New Roman" w:cs="Arial"/>
          <w:color w:val="000000"/>
          <w:kern w:val="0"/>
          <w:lang w:eastAsia="en-GB"/>
          <w14:ligatures w14:val="none"/>
        </w:rPr>
        <w:t xml:space="preserve"> and</w:t>
      </w:r>
      <w:r w:rsidRPr="003137A2" w:rsidR="6D7FFB3E">
        <w:rPr>
          <w:rFonts w:ascii="Aptos" w:hAnsi="Aptos" w:eastAsia="Times New Roman" w:cs="Arial"/>
          <w:color w:val="000000"/>
          <w:kern w:val="0"/>
          <w:lang w:eastAsia="en-GB"/>
          <w14:ligatures w14:val="none"/>
        </w:rPr>
        <w:t xml:space="preserve"> Sunday action and </w:t>
      </w:r>
      <w:r w:rsidRPr="003137A2" w:rsidR="1C34FFFD">
        <w:rPr>
          <w:rFonts w:ascii="Aptos" w:hAnsi="Aptos" w:eastAsia="Times New Roman" w:cs="Arial"/>
          <w:color w:val="000000"/>
          <w:kern w:val="0"/>
          <w:lang w:eastAsia="en-GB"/>
          <w14:ligatures w14:val="none"/>
        </w:rPr>
        <w:t>risk management</w:t>
      </w:r>
      <w:r w:rsidRPr="003137A2" w:rsidR="6D7FFB3E">
        <w:rPr>
          <w:rFonts w:ascii="Aptos" w:hAnsi="Aptos" w:eastAsia="Times New Roman" w:cs="Arial"/>
          <w:color w:val="000000"/>
          <w:kern w:val="0"/>
          <w:lang w:eastAsia="en-GB"/>
          <w14:ligatures w14:val="none"/>
        </w:rPr>
        <w:t xml:space="preserve"> review. The charts below provide examples of this weekly planning structure and the consistency of the review cycle.</w:t>
      </w:r>
    </w:p>
    <w:p w:rsidRPr="003137A2" w:rsidR="003137A2" w:rsidP="257BFE88" w:rsidRDefault="003137A2" w14:paraId="7F20E425" w14:textId="0B4FBF22">
      <w:pPr>
        <w:keepNext w:val="1"/>
        <w:keepLines w:val="1"/>
        <w:spacing w:before="80" w:after="40"/>
        <w:outlineLvl w:val="3"/>
        <w:rPr>
          <w:rFonts w:eastAsia="Times New Roman" w:cs="" w:cstheme="majorBidi"/>
          <w:i w:val="1"/>
          <w:iCs w:val="1"/>
          <w:color w:val="0F4761" w:themeColor="accent1" w:themeShade="BF"/>
          <w:lang w:eastAsia="en-GB"/>
        </w:rPr>
      </w:pPr>
      <w:r w:rsidRPr="257BFE88" w:rsidR="6D7FFB3E">
        <w:rPr>
          <w:rFonts w:eastAsia="Times New Roman" w:cs="" w:cstheme="majorBidi"/>
          <w:i w:val="1"/>
          <w:iCs w:val="1"/>
          <w:color w:val="0F4761" w:themeColor="accent1" w:themeTint="FF" w:themeShade="BF"/>
          <w:lang w:eastAsia="en-GB"/>
        </w:rPr>
        <w:t xml:space="preserve">Chart 1: Weekly Planning Grid (e.g., Week </w:t>
      </w:r>
      <w:r w:rsidRPr="257BFE88" w:rsidR="7F285499">
        <w:rPr>
          <w:rFonts w:eastAsia="Times New Roman" w:cs="" w:cstheme="majorBidi"/>
          <w:i w:val="1"/>
          <w:iCs w:val="1"/>
          <w:color w:val="0F4761" w:themeColor="accent1" w:themeTint="FF" w:themeShade="BF"/>
          <w:lang w:eastAsia="en-GB"/>
        </w:rPr>
        <w:t>9</w:t>
      </w:r>
      <w:r w:rsidRPr="257BFE88" w:rsidR="6D7FFB3E">
        <w:rPr>
          <w:rFonts w:eastAsia="Times New Roman" w:cs="" w:cstheme="majorBidi"/>
          <w:i w:val="1"/>
          <w:iCs w:val="1"/>
          <w:color w:val="0F4761" w:themeColor="accent1" w:themeTint="FF" w:themeShade="BF"/>
          <w:lang w:eastAsia="en-GB"/>
        </w:rPr>
        <w:t>)</w:t>
      </w:r>
    </w:p>
    <w:p w:rsidRPr="003137A2" w:rsidR="003137A2" w:rsidP="257BFE88" w:rsidRDefault="003137A2" w14:paraId="683A9CC9" w14:textId="588CBFB1">
      <w:pPr>
        <w:pStyle w:val="Normal"/>
        <w:keepNext/>
        <w:keepLines/>
        <w:spacing w:before="80" w:after="40"/>
      </w:pPr>
      <w:r w:rsidR="4B999A87">
        <w:drawing>
          <wp:inline wp14:editId="4015FFA2" wp14:anchorId="3A95BF78">
            <wp:extent cx="5724525" cy="990600"/>
            <wp:effectExtent l="0" t="0" r="0" b="0"/>
            <wp:docPr id="6805005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0500555" name="Picture 680500555"/>
                    <pic:cNvPicPr/>
                  </pic:nvPicPr>
                  <pic:blipFill>
                    <a:blip xmlns:r="http://schemas.openxmlformats.org/officeDocument/2006/relationships" r:embed="rId1918947396">
                      <a:extLst>
                        <a:ext uri="{28A0092B-C50C-407E-A947-70E740481C1C}">
                          <a14:useLocalDpi xmlns:a14="http://schemas.microsoft.com/office/drawing/2010/main"/>
                        </a:ext>
                      </a:extLst>
                    </a:blip>
                    <a:stretch>
                      <a:fillRect/>
                    </a:stretch>
                  </pic:blipFill>
                  <pic:spPr>
                    <a:xfrm rot="0">
                      <a:off x="0" y="0"/>
                      <a:ext cx="5724525" cy="990600"/>
                    </a:xfrm>
                    <a:prstGeom prst="rect">
                      <a:avLst/>
                    </a:prstGeom>
                  </pic:spPr>
                </pic:pic>
              </a:graphicData>
            </a:graphic>
          </wp:inline>
        </w:drawing>
      </w:r>
      <w:r w:rsidRPr="257BFE88" w:rsidR="737CCB83">
        <w:rPr>
          <w:b w:val="1"/>
          <w:bCs w:val="1"/>
        </w:rPr>
        <w:t xml:space="preserve">   Full week to week Planning/Reflection/Learning Log: ANNEX</w:t>
      </w:r>
      <w:r w:rsidRPr="257BFE88" w:rsidR="5B97A999">
        <w:rPr>
          <w:b w:val="1"/>
          <w:bCs w:val="1"/>
        </w:rPr>
        <w:t xml:space="preserve"> </w:t>
      </w:r>
    </w:p>
    <w:p w:rsidRPr="003137A2" w:rsidR="003137A2" w:rsidP="003137A2" w:rsidRDefault="003137A2" w14:paraId="2B9DB4F8" w14:textId="77777777">
      <w:pPr>
        <w:keepNext/>
        <w:keepLines/>
        <w:spacing w:before="80" w:after="40"/>
        <w:outlineLvl w:val="3"/>
        <w:rPr>
          <w:rFonts w:eastAsia="Times New Roman" w:cstheme="majorBidi"/>
          <w:i/>
          <w:iCs/>
          <w:color w:val="0F4761" w:themeColor="accent1" w:themeShade="BF"/>
          <w:lang w:eastAsia="en-GB"/>
        </w:rPr>
      </w:pPr>
      <w:r w:rsidRPr="257BFE88" w:rsidR="6D7FFB3E">
        <w:rPr>
          <w:rFonts w:eastAsia="Times New Roman" w:cs="" w:cstheme="majorBidi"/>
          <w:i w:val="1"/>
          <w:iCs w:val="1"/>
          <w:color w:val="0F4761" w:themeColor="accent1" w:themeTint="FF" w:themeShade="BF"/>
          <w:lang w:eastAsia="en-GB"/>
        </w:rPr>
        <w:t>Chart 2:  Gantt style work plan</w:t>
      </w:r>
    </w:p>
    <w:tbl>
      <w:tblPr>
        <w:tblStyle w:val="TableNormal"/>
        <w:bidiVisual w:val="0"/>
        <w:tblW w:w="0" w:type="auto"/>
        <w:tblLook w:val="06A0" w:firstRow="1" w:lastRow="0" w:firstColumn="1" w:lastColumn="0" w:noHBand="1" w:noVBand="1"/>
      </w:tblPr>
      <w:tblGrid>
        <w:gridCol w:w="6243"/>
        <w:gridCol w:w="940"/>
        <w:gridCol w:w="979"/>
      </w:tblGrid>
      <w:tr w:rsidR="257BFE88" w:rsidTr="257BFE88" w14:paraId="675AF8CA">
        <w:trPr>
          <w:trHeight w:val="285"/>
        </w:trPr>
        <w:tc>
          <w:tcPr>
            <w:tcW w:w="6243" w:type="dxa"/>
            <w:tcBorders>
              <w:top w:val="single" w:sz="4"/>
              <w:left w:val="single" w:sz="4"/>
              <w:bottom w:val="single" w:sz="4"/>
              <w:right w:val="single" w:sz="4"/>
            </w:tcBorders>
            <w:tcMar>
              <w:top w:w="15" w:type="dxa"/>
              <w:left w:w="15" w:type="dxa"/>
              <w:right w:w="15" w:type="dxa"/>
            </w:tcMar>
            <w:vAlign w:val="top"/>
          </w:tcPr>
          <w:p w:rsidR="257BFE88" w:rsidP="257BFE88" w:rsidRDefault="257BFE88" w14:paraId="31A69D96" w14:textId="4B8C0711">
            <w:pPr>
              <w:spacing w:before="0" w:beforeAutospacing="off" w:after="0" w:afterAutospacing="off"/>
              <w:jc w:val="center"/>
            </w:pPr>
            <w:r w:rsidRPr="257BFE88" w:rsidR="257BFE88">
              <w:rPr>
                <w:rFonts w:ascii="Aptos Narrow" w:hAnsi="Aptos Narrow" w:eastAsia="Aptos Narrow" w:cs="Aptos Narrow"/>
                <w:b w:val="1"/>
                <w:bCs w:val="1"/>
                <w:i w:val="0"/>
                <w:iCs w:val="0"/>
                <w:strike w:val="0"/>
                <w:dstrike w:val="0"/>
                <w:sz w:val="22"/>
                <w:szCs w:val="22"/>
                <w:u w:val="none"/>
              </w:rPr>
              <w:t xml:space="preserve">Tasks  Independent Project </w:t>
            </w:r>
          </w:p>
        </w:tc>
        <w:tc>
          <w:tcPr>
            <w:tcW w:w="940" w:type="dxa"/>
            <w:tcBorders>
              <w:top w:val="single" w:sz="4"/>
              <w:left w:val="single" w:sz="4"/>
              <w:bottom w:val="single" w:sz="4"/>
              <w:right w:val="single" w:sz="4"/>
            </w:tcBorders>
            <w:tcMar>
              <w:top w:w="15" w:type="dxa"/>
              <w:left w:w="15" w:type="dxa"/>
              <w:right w:w="15" w:type="dxa"/>
            </w:tcMar>
            <w:vAlign w:val="top"/>
          </w:tcPr>
          <w:p w:rsidR="257BFE88" w:rsidP="257BFE88" w:rsidRDefault="257BFE88" w14:paraId="060A9385" w14:textId="591D6B4A">
            <w:pPr>
              <w:spacing w:before="0" w:beforeAutospacing="off" w:after="0" w:afterAutospacing="off"/>
              <w:jc w:val="center"/>
            </w:pPr>
            <w:r w:rsidRPr="257BFE88" w:rsidR="257BFE88">
              <w:rPr>
                <w:rFonts w:ascii="Aptos Narrow" w:hAnsi="Aptos Narrow" w:eastAsia="Aptos Narrow" w:cs="Aptos Narrow"/>
                <w:b w:val="1"/>
                <w:bCs w:val="1"/>
                <w:i w:val="0"/>
                <w:iCs w:val="0"/>
                <w:strike w:val="0"/>
                <w:dstrike w:val="0"/>
                <w:sz w:val="22"/>
                <w:szCs w:val="22"/>
                <w:u w:val="none"/>
              </w:rPr>
              <w:t>Start</w:t>
            </w:r>
          </w:p>
        </w:tc>
        <w:tc>
          <w:tcPr>
            <w:tcW w:w="979" w:type="dxa"/>
            <w:tcBorders>
              <w:top w:val="single" w:sz="4"/>
              <w:left w:val="single" w:sz="4"/>
              <w:bottom w:val="single" w:sz="4"/>
              <w:right w:val="single" w:sz="4"/>
            </w:tcBorders>
            <w:tcMar>
              <w:top w:w="15" w:type="dxa"/>
              <w:left w:w="15" w:type="dxa"/>
              <w:right w:w="15" w:type="dxa"/>
            </w:tcMar>
            <w:vAlign w:val="top"/>
          </w:tcPr>
          <w:p w:rsidR="257BFE88" w:rsidP="257BFE88" w:rsidRDefault="257BFE88" w14:paraId="114FEE0B" w14:textId="0C246E6C">
            <w:pPr>
              <w:spacing w:before="0" w:beforeAutospacing="off" w:after="0" w:afterAutospacing="off"/>
              <w:jc w:val="center"/>
            </w:pPr>
            <w:r w:rsidRPr="257BFE88" w:rsidR="257BFE88">
              <w:rPr>
                <w:rFonts w:ascii="Aptos Narrow" w:hAnsi="Aptos Narrow" w:eastAsia="Aptos Narrow" w:cs="Aptos Narrow"/>
                <w:b w:val="1"/>
                <w:bCs w:val="1"/>
                <w:i w:val="0"/>
                <w:iCs w:val="0"/>
                <w:strike w:val="0"/>
                <w:dstrike w:val="0"/>
                <w:sz w:val="22"/>
                <w:szCs w:val="22"/>
                <w:u w:val="none"/>
              </w:rPr>
              <w:t>End</w:t>
            </w:r>
          </w:p>
        </w:tc>
      </w:tr>
      <w:tr w:rsidR="257BFE88" w:rsidTr="257BFE88" w14:paraId="5686CEEB">
        <w:trPr>
          <w:trHeight w:val="285"/>
        </w:trPr>
        <w:tc>
          <w:tcPr>
            <w:tcW w:w="6243"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5A26F23B" w14:textId="0128E352">
            <w:pPr>
              <w:spacing w:before="0" w:beforeAutospacing="off" w:after="0" w:afterAutospacing="off"/>
            </w:pPr>
            <w:r w:rsidRPr="257BFE88" w:rsidR="257BFE88">
              <w:rPr>
                <w:rFonts w:ascii="Aptos Narrow" w:hAnsi="Aptos Narrow" w:eastAsia="Aptos Narrow" w:cs="Aptos Narrow"/>
                <w:b w:val="1"/>
                <w:bCs w:val="1"/>
                <w:i w:val="0"/>
                <w:iCs w:val="0"/>
                <w:strike w:val="0"/>
                <w:dstrike w:val="0"/>
                <w:color w:val="000000" w:themeColor="text1" w:themeTint="FF" w:themeShade="FF"/>
                <w:sz w:val="22"/>
                <w:szCs w:val="22"/>
                <w:u w:val="none"/>
              </w:rPr>
              <w:t>Start term 2</w:t>
            </w:r>
          </w:p>
        </w:tc>
        <w:tc>
          <w:tcPr>
            <w:tcW w:w="940"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0E217676" w14:textId="3DD19D55">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26/01/26</w:t>
            </w:r>
          </w:p>
        </w:tc>
        <w:tc>
          <w:tcPr>
            <w:tcW w:w="979"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60EDF31F" w14:textId="0663CFD2">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01/02/26</w:t>
            </w:r>
          </w:p>
        </w:tc>
      </w:tr>
      <w:tr w:rsidR="257BFE88" w:rsidTr="257BFE88" w14:paraId="30EF2285">
        <w:trPr>
          <w:trHeight w:val="285"/>
        </w:trPr>
        <w:tc>
          <w:tcPr>
            <w:tcW w:w="6243"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5112A180" w14:textId="33571AFC">
            <w:pPr>
              <w:spacing w:before="0" w:beforeAutospacing="off" w:after="0" w:afterAutospacing="off"/>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Draft Proposal</w:t>
            </w:r>
          </w:p>
        </w:tc>
        <w:tc>
          <w:tcPr>
            <w:tcW w:w="940"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534909FE" w14:textId="7292CD21">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02/02/26</w:t>
            </w:r>
          </w:p>
        </w:tc>
        <w:tc>
          <w:tcPr>
            <w:tcW w:w="979"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25D22C84" w14:textId="5F869EC0">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08/02/26</w:t>
            </w:r>
          </w:p>
        </w:tc>
      </w:tr>
      <w:tr w:rsidR="257BFE88" w:rsidTr="257BFE88" w14:paraId="42AD1EF0">
        <w:trPr>
          <w:trHeight w:val="285"/>
        </w:trPr>
        <w:tc>
          <w:tcPr>
            <w:tcW w:w="6243"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195AE4FD" w14:textId="632CD4C3">
            <w:pPr>
              <w:spacing w:before="0" w:beforeAutospacing="off" w:after="0" w:afterAutospacing="off"/>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Proposal submitted 13th Feb</w:t>
            </w:r>
          </w:p>
        </w:tc>
        <w:tc>
          <w:tcPr>
            <w:tcW w:w="940"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2B095421" w14:textId="4519C0D5">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09/02/26</w:t>
            </w:r>
          </w:p>
        </w:tc>
        <w:tc>
          <w:tcPr>
            <w:tcW w:w="979"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2678008B" w14:textId="6E5A5442">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15/02/26</w:t>
            </w:r>
          </w:p>
        </w:tc>
      </w:tr>
      <w:tr w:rsidR="257BFE88" w:rsidTr="257BFE88" w14:paraId="0FE59EFD">
        <w:trPr>
          <w:trHeight w:val="285"/>
        </w:trPr>
        <w:tc>
          <w:tcPr>
            <w:tcW w:w="6243" w:type="dxa"/>
            <w:tcBorders>
              <w:top w:val="single" w:sz="4"/>
              <w:left w:val="single" w:sz="4"/>
              <w:bottom w:val="single" w:sz="4"/>
              <w:right w:val="single" w:sz="4"/>
            </w:tcBorders>
            <w:shd w:val="clear" w:color="auto" w:fill="92D050"/>
            <w:tcMar>
              <w:top w:w="15" w:type="dxa"/>
              <w:left w:w="15" w:type="dxa"/>
              <w:right w:w="15" w:type="dxa"/>
            </w:tcMar>
            <w:vAlign w:val="bottom"/>
          </w:tcPr>
          <w:p w:rsidR="257BFE88" w:rsidP="257BFE88" w:rsidRDefault="257BFE88" w14:paraId="6ABC662B" w14:textId="100EF8B9">
            <w:pPr>
              <w:spacing w:before="0" w:beforeAutospacing="off" w:after="0" w:afterAutospacing="off"/>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Proposal   Accepted 18th </w:t>
            </w:r>
          </w:p>
        </w:tc>
        <w:tc>
          <w:tcPr>
            <w:tcW w:w="940"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280AD716" w14:textId="03E1C4C5">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16/02/26</w:t>
            </w:r>
          </w:p>
        </w:tc>
        <w:tc>
          <w:tcPr>
            <w:tcW w:w="979"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723B083D" w14:textId="20F815C4">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22/02/26</w:t>
            </w:r>
          </w:p>
        </w:tc>
      </w:tr>
      <w:tr w:rsidR="257BFE88" w:rsidTr="257BFE88" w14:paraId="5651F0EE">
        <w:trPr>
          <w:trHeight w:val="285"/>
        </w:trPr>
        <w:tc>
          <w:tcPr>
            <w:tcW w:w="6243" w:type="dxa"/>
            <w:tcBorders>
              <w:top w:val="single" w:sz="4"/>
              <w:left w:val="single" w:sz="4"/>
              <w:bottom w:val="single" w:sz="4"/>
              <w:right w:val="single" w:sz="4"/>
            </w:tcBorders>
            <w:shd w:val="clear" w:color="auto" w:fill="92D050"/>
            <w:tcMar>
              <w:top w:w="15" w:type="dxa"/>
              <w:left w:w="15" w:type="dxa"/>
              <w:right w:w="15" w:type="dxa"/>
            </w:tcMar>
            <w:vAlign w:val="bottom"/>
          </w:tcPr>
          <w:p w:rsidR="257BFE88" w:rsidP="257BFE88" w:rsidRDefault="257BFE88" w14:paraId="1DFA29D9" w14:textId="13EC692C">
            <w:pPr>
              <w:spacing w:before="0" w:beforeAutospacing="off" w:after="0" w:afterAutospacing="off"/>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Ethics drafting - form submitted 26th</w:t>
            </w:r>
          </w:p>
        </w:tc>
        <w:tc>
          <w:tcPr>
            <w:tcW w:w="940"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3B0962E1" w14:textId="38CB997B">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23/02/26</w:t>
            </w:r>
          </w:p>
        </w:tc>
        <w:tc>
          <w:tcPr>
            <w:tcW w:w="979"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0A7DD44E" w14:textId="71947D86">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01/03/26</w:t>
            </w:r>
          </w:p>
        </w:tc>
      </w:tr>
      <w:tr w:rsidR="257BFE88" w:rsidTr="257BFE88" w14:paraId="3A0686D9">
        <w:trPr>
          <w:trHeight w:val="285"/>
        </w:trPr>
        <w:tc>
          <w:tcPr>
            <w:tcW w:w="6243"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1730937D" w14:textId="6E6CF62C">
            <w:pPr>
              <w:spacing w:before="0" w:beforeAutospacing="off" w:after="0" w:afterAutospacing="off"/>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Lit review drafting (sections)/ Methodology drafting </w:t>
            </w:r>
          </w:p>
        </w:tc>
        <w:tc>
          <w:tcPr>
            <w:tcW w:w="940"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23A331FF" w14:textId="2D28AC92">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02/03/26</w:t>
            </w:r>
          </w:p>
        </w:tc>
        <w:tc>
          <w:tcPr>
            <w:tcW w:w="979"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604A3D7C" w14:textId="35C97C96">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08/03/26</w:t>
            </w:r>
          </w:p>
        </w:tc>
      </w:tr>
      <w:tr w:rsidR="257BFE88" w:rsidTr="257BFE88" w14:paraId="29C7478C">
        <w:trPr>
          <w:trHeight w:val="285"/>
        </w:trPr>
        <w:tc>
          <w:tcPr>
            <w:tcW w:w="6243" w:type="dxa"/>
            <w:tcBorders>
              <w:top w:val="single" w:sz="4"/>
              <w:left w:val="single" w:sz="4"/>
              <w:bottom w:val="single" w:sz="4"/>
              <w:right w:val="single" w:sz="4"/>
            </w:tcBorders>
            <w:tcMar>
              <w:top w:w="15" w:type="dxa"/>
              <w:left w:w="15" w:type="dxa"/>
              <w:right w:w="15" w:type="dxa"/>
            </w:tcMar>
            <w:vAlign w:val="bottom"/>
          </w:tcPr>
          <w:p w:rsidR="1B740880" w:rsidP="257BFE88" w:rsidRDefault="1B740880" w14:paraId="25C7ABF3" w14:textId="67548A3B">
            <w:pPr>
              <w:spacing w:before="0" w:beforeAutospacing="off" w:after="0" w:afterAutospacing="off"/>
            </w:pPr>
            <w:r w:rsidRPr="257BFE88" w:rsidR="1B740880">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Methodology chapter writing </w:t>
            </w:r>
          </w:p>
        </w:tc>
        <w:tc>
          <w:tcPr>
            <w:tcW w:w="940"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277A0219" w14:textId="2E4C5986">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09/03/26</w:t>
            </w:r>
          </w:p>
        </w:tc>
        <w:tc>
          <w:tcPr>
            <w:tcW w:w="979"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14825D05" w14:textId="74E0BF07">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15/03/26</w:t>
            </w:r>
          </w:p>
        </w:tc>
      </w:tr>
      <w:tr w:rsidR="257BFE88" w:rsidTr="257BFE88" w14:paraId="106C1840">
        <w:trPr>
          <w:trHeight w:val="285"/>
        </w:trPr>
        <w:tc>
          <w:tcPr>
            <w:tcW w:w="6243" w:type="dxa"/>
            <w:tcBorders>
              <w:top w:val="single" w:sz="4"/>
              <w:left w:val="single" w:sz="4"/>
              <w:bottom w:val="single" w:sz="4"/>
              <w:right w:val="single" w:sz="4"/>
            </w:tcBorders>
            <w:tcMar>
              <w:top w:w="15" w:type="dxa"/>
              <w:left w:w="15" w:type="dxa"/>
              <w:right w:w="15" w:type="dxa"/>
            </w:tcMar>
            <w:vAlign w:val="bottom"/>
          </w:tcPr>
          <w:p w:rsidR="593EACC6" w:rsidP="257BFE88" w:rsidRDefault="593EACC6" w14:paraId="3E09F274" w14:textId="01C2AFB6">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257BFE88" w:rsidR="593EACC6">
              <w:rPr>
                <w:rFonts w:ascii="Aptos Narrow" w:hAnsi="Aptos Narrow" w:eastAsia="Aptos Narrow" w:cs="Aptos Narrow"/>
                <w:b w:val="0"/>
                <w:bCs w:val="0"/>
                <w:i w:val="0"/>
                <w:iCs w:val="0"/>
                <w:strike w:val="0"/>
                <w:dstrike w:val="0"/>
                <w:color w:val="000000" w:themeColor="text1" w:themeTint="FF" w:themeShade="FF"/>
                <w:sz w:val="22"/>
                <w:szCs w:val="22"/>
                <w:u w:val="none"/>
              </w:rPr>
              <w:t>Main Findings quantitative/qualitative analysis/write ups</w:t>
            </w:r>
          </w:p>
        </w:tc>
        <w:tc>
          <w:tcPr>
            <w:tcW w:w="940"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12F718ED" w14:textId="2B19189E">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16/03/26</w:t>
            </w:r>
          </w:p>
        </w:tc>
        <w:tc>
          <w:tcPr>
            <w:tcW w:w="979"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2F0F63C5" w14:textId="6C461CCF">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22/03/26</w:t>
            </w:r>
          </w:p>
        </w:tc>
      </w:tr>
      <w:tr w:rsidR="257BFE88" w:rsidTr="257BFE88" w14:paraId="0D9CBEB2">
        <w:trPr>
          <w:trHeight w:val="285"/>
        </w:trPr>
        <w:tc>
          <w:tcPr>
            <w:tcW w:w="6243"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505B2813" w14:textId="03056F9B">
            <w:pPr>
              <w:pStyle w:val="Normal"/>
              <w:spacing w:before="0" w:beforeAutospacing="off" w:after="0" w:afterAutospacing="off"/>
              <w:rPr>
                <w:rFonts w:ascii="Aptos Narrow" w:hAnsi="Aptos Narrow" w:eastAsia="Aptos Narrow" w:cs="Aptos Narrow"/>
                <w:b w:val="0"/>
                <w:bCs w:val="0"/>
                <w:i w:val="0"/>
                <w:iCs w:val="0"/>
                <w:strike w:val="0"/>
                <w:dstrike w:val="0"/>
                <w:sz w:val="22"/>
                <w:szCs w:val="22"/>
                <w:u w:val="none"/>
                <w:lang w:val="fr-FR"/>
              </w:rPr>
            </w:pPr>
            <w:r w:rsidRPr="257BFE88" w:rsidR="257BFE88">
              <w:rPr>
                <w:rFonts w:ascii="Aptos Narrow" w:hAnsi="Aptos Narrow" w:eastAsia="Aptos Narrow" w:cs="Aptos Narrow"/>
                <w:b w:val="1"/>
                <w:bCs w:val="1"/>
                <w:i w:val="0"/>
                <w:iCs w:val="0"/>
                <w:strike w:val="0"/>
                <w:dstrike w:val="0"/>
                <w:color w:val="D86DCD"/>
                <w:sz w:val="22"/>
                <w:szCs w:val="22"/>
                <w:u w:val="none"/>
                <w:lang w:val="fr-FR"/>
              </w:rPr>
              <w:t xml:space="preserve">Unilever Coursework </w:t>
            </w:r>
            <w:r w:rsidRPr="257BFE88" w:rsidR="4A2B03B5">
              <w:rPr>
                <w:rFonts w:ascii="Aptos Narrow" w:hAnsi="Aptos Narrow" w:eastAsia="Aptos Narrow" w:cs="Aptos Narrow"/>
                <w:b w:val="1"/>
                <w:bCs w:val="1"/>
                <w:i w:val="0"/>
                <w:iCs w:val="0"/>
                <w:strike w:val="0"/>
                <w:dstrike w:val="0"/>
                <w:color w:val="D86DCD"/>
                <w:sz w:val="22"/>
                <w:szCs w:val="22"/>
                <w:u w:val="none"/>
                <w:lang w:val="fr-FR"/>
              </w:rPr>
              <w:t xml:space="preserve">             </w:t>
            </w:r>
            <w:r w:rsidRPr="257BFE88" w:rsidR="67C5B192">
              <w:rPr>
                <w:rFonts w:ascii="Aptos Narrow" w:hAnsi="Aptos Narrow" w:eastAsia="Aptos Narrow" w:cs="Aptos Narrow"/>
                <w:b w:val="0"/>
                <w:bCs w:val="0"/>
                <w:i w:val="0"/>
                <w:iCs w:val="0"/>
                <w:strike w:val="0"/>
                <w:dstrike w:val="0"/>
                <w:sz w:val="22"/>
                <w:szCs w:val="22"/>
                <w:u w:val="none"/>
                <w:lang w:val="fr-FR"/>
              </w:rPr>
              <w:t>Discussion/Critical Evaluation</w:t>
            </w:r>
          </w:p>
        </w:tc>
        <w:tc>
          <w:tcPr>
            <w:tcW w:w="940"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35C3D881" w14:textId="5C2E9F9C">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23/03/26</w:t>
            </w:r>
          </w:p>
        </w:tc>
        <w:tc>
          <w:tcPr>
            <w:tcW w:w="979"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46067B12" w14:textId="6820EE87">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29/03/26</w:t>
            </w:r>
          </w:p>
        </w:tc>
      </w:tr>
      <w:tr w:rsidR="257BFE88" w:rsidTr="257BFE88" w14:paraId="3FB48185">
        <w:trPr>
          <w:trHeight w:val="285"/>
        </w:trPr>
        <w:tc>
          <w:tcPr>
            <w:tcW w:w="6243"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61EC830A" w14:textId="15D4270E">
            <w:pPr>
              <w:spacing w:before="0" w:beforeAutospacing="off" w:after="0" w:afterAutospacing="off"/>
            </w:pPr>
            <w:r w:rsidRPr="257BFE88" w:rsidR="257BFE88">
              <w:rPr>
                <w:rFonts w:ascii="Aptos Narrow" w:hAnsi="Aptos Narrow" w:eastAsia="Aptos Narrow" w:cs="Aptos Narrow"/>
                <w:b w:val="0"/>
                <w:bCs w:val="0"/>
                <w:i w:val="0"/>
                <w:iCs w:val="0"/>
                <w:strike w:val="0"/>
                <w:dstrike w:val="0"/>
                <w:sz w:val="22"/>
                <w:szCs w:val="22"/>
                <w:u w:val="none"/>
              </w:rPr>
              <w:t>Introduction/Referencing</w:t>
            </w:r>
            <w:r w:rsidRPr="257BFE88" w:rsidR="412C7880">
              <w:rPr>
                <w:rFonts w:ascii="Aptos Narrow" w:hAnsi="Aptos Narrow" w:eastAsia="Aptos Narrow" w:cs="Aptos Narrow"/>
                <w:b w:val="0"/>
                <w:bCs w:val="0"/>
                <w:i w:val="0"/>
                <w:iCs w:val="0"/>
                <w:strike w:val="0"/>
                <w:dstrike w:val="0"/>
                <w:sz w:val="22"/>
                <w:szCs w:val="22"/>
                <w:u w:val="none"/>
              </w:rPr>
              <w:t>/Critical Evaluation/Reflections</w:t>
            </w:r>
          </w:p>
        </w:tc>
        <w:tc>
          <w:tcPr>
            <w:tcW w:w="940"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7F0EFBBD" w14:textId="0DD2A27B">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30/03/26</w:t>
            </w:r>
          </w:p>
        </w:tc>
        <w:tc>
          <w:tcPr>
            <w:tcW w:w="979"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6A9D7614" w14:textId="53E821EA">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05/04/26</w:t>
            </w:r>
          </w:p>
        </w:tc>
      </w:tr>
      <w:tr w:rsidR="257BFE88" w:rsidTr="257BFE88" w14:paraId="6C023A8C">
        <w:trPr>
          <w:trHeight w:val="285"/>
        </w:trPr>
        <w:tc>
          <w:tcPr>
            <w:tcW w:w="6243" w:type="dxa"/>
            <w:tcBorders>
              <w:top w:val="single" w:sz="4"/>
              <w:left w:val="single" w:sz="4"/>
              <w:bottom w:val="single" w:sz="4"/>
              <w:right w:val="single" w:sz="4"/>
            </w:tcBorders>
            <w:tcMar>
              <w:top w:w="15" w:type="dxa"/>
              <w:left w:w="15" w:type="dxa"/>
              <w:right w:w="15" w:type="dxa"/>
            </w:tcMar>
            <w:vAlign w:val="bottom"/>
          </w:tcPr>
          <w:p w:rsidR="0CC5B348" w:rsidP="257BFE88" w:rsidRDefault="0CC5B348" w14:paraId="286F2451" w14:textId="152735FA">
            <w:pPr>
              <w:spacing w:before="0" w:beforeAutospacing="off" w:after="0" w:afterAutospacing="off"/>
            </w:pPr>
            <w:r w:rsidRPr="257BFE88" w:rsidR="0CC5B348">
              <w:rPr>
                <w:rFonts w:ascii="Aptos Narrow" w:hAnsi="Aptos Narrow" w:eastAsia="Aptos Narrow" w:cs="Aptos Narrow"/>
                <w:b w:val="0"/>
                <w:bCs w:val="0"/>
                <w:i w:val="0"/>
                <w:iCs w:val="0"/>
                <w:strike w:val="0"/>
                <w:dstrike w:val="0"/>
                <w:sz w:val="22"/>
                <w:szCs w:val="22"/>
                <w:u w:val="none"/>
              </w:rPr>
              <w:t>Findings/</w:t>
            </w:r>
            <w:r w:rsidRPr="257BFE88" w:rsidR="38FA12BF">
              <w:rPr>
                <w:rFonts w:ascii="Aptos Narrow" w:hAnsi="Aptos Narrow" w:eastAsia="Aptos Narrow" w:cs="Aptos Narrow"/>
                <w:b w:val="0"/>
                <w:bCs w:val="0"/>
                <w:i w:val="0"/>
                <w:iCs w:val="0"/>
                <w:strike w:val="0"/>
                <w:dstrike w:val="0"/>
                <w:sz w:val="22"/>
                <w:szCs w:val="22"/>
                <w:u w:val="none"/>
              </w:rPr>
              <w:t>Reflections/</w:t>
            </w:r>
            <w:r w:rsidRPr="257BFE88" w:rsidR="257BFE88">
              <w:rPr>
                <w:rFonts w:ascii="Aptos Narrow" w:hAnsi="Aptos Narrow" w:eastAsia="Aptos Narrow" w:cs="Aptos Narrow"/>
                <w:b w:val="0"/>
                <w:bCs w:val="0"/>
                <w:i w:val="0"/>
                <w:iCs w:val="0"/>
                <w:strike w:val="0"/>
                <w:dstrike w:val="0"/>
                <w:sz w:val="22"/>
                <w:szCs w:val="22"/>
                <w:u w:val="none"/>
              </w:rPr>
              <w:t>Conclusions/Referencing</w:t>
            </w:r>
          </w:p>
        </w:tc>
        <w:tc>
          <w:tcPr>
            <w:tcW w:w="940"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1CA28EA7" w14:textId="4AC0C9C1">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06/04/26</w:t>
            </w:r>
          </w:p>
        </w:tc>
        <w:tc>
          <w:tcPr>
            <w:tcW w:w="979"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1C82500E" w14:textId="1B3BDFAF">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12/04/26</w:t>
            </w:r>
          </w:p>
        </w:tc>
      </w:tr>
      <w:tr w:rsidR="257BFE88" w:rsidTr="257BFE88" w14:paraId="513B66C6">
        <w:trPr>
          <w:trHeight w:val="285"/>
        </w:trPr>
        <w:tc>
          <w:tcPr>
            <w:tcW w:w="6243"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3FFD3D1F" w14:textId="46DDDF8B">
            <w:pPr>
              <w:spacing w:before="0" w:beforeAutospacing="off" w:after="0" w:afterAutospacing="off"/>
            </w:pPr>
            <w:r w:rsidRPr="257BFE88" w:rsidR="257BFE88">
              <w:rPr>
                <w:rFonts w:ascii="Aptos Narrow" w:hAnsi="Aptos Narrow" w:eastAsia="Aptos Narrow" w:cs="Aptos Narrow"/>
                <w:b w:val="1"/>
                <w:bCs w:val="1"/>
                <w:i w:val="0"/>
                <w:iCs w:val="0"/>
                <w:strike w:val="0"/>
                <w:dstrike w:val="0"/>
                <w:color w:val="D86DCD"/>
                <w:sz w:val="22"/>
                <w:szCs w:val="22"/>
                <w:u w:val="none"/>
              </w:rPr>
              <w:t xml:space="preserve">Leading/Devel People </w:t>
            </w:r>
            <w:r w:rsidRPr="257BFE88" w:rsidR="257BFE88">
              <w:rPr>
                <w:rFonts w:ascii="Aptos Narrow" w:hAnsi="Aptos Narrow" w:eastAsia="Aptos Narrow" w:cs="Aptos Narrow"/>
                <w:b w:val="1"/>
                <w:bCs w:val="1"/>
                <w:i w:val="0"/>
                <w:iCs w:val="0"/>
                <w:strike w:val="0"/>
                <w:dstrike w:val="0"/>
                <w:color w:val="D86DCD"/>
                <w:sz w:val="22"/>
                <w:szCs w:val="22"/>
                <w:u w:val="none"/>
              </w:rPr>
              <w:t>submit</w:t>
            </w:r>
            <w:r w:rsidRPr="257BFE88" w:rsidR="257BFE88">
              <w:rPr>
                <w:rFonts w:ascii="Aptos Narrow" w:hAnsi="Aptos Narrow" w:eastAsia="Aptos Narrow" w:cs="Aptos Narrow"/>
                <w:b w:val="1"/>
                <w:bCs w:val="1"/>
                <w:i w:val="0"/>
                <w:iCs w:val="0"/>
                <w:strike w:val="0"/>
                <w:dstrike w:val="0"/>
                <w:color w:val="D86DCD"/>
                <w:sz w:val="22"/>
                <w:szCs w:val="22"/>
                <w:u w:val="none"/>
              </w:rPr>
              <w:t xml:space="preserve"> </w:t>
            </w:r>
            <w:r w:rsidRPr="257BFE88" w:rsidR="257BFE88">
              <w:rPr>
                <w:rFonts w:ascii="Aptos Narrow" w:hAnsi="Aptos Narrow" w:eastAsia="Aptos Narrow" w:cs="Aptos Narrow"/>
                <w:b w:val="1"/>
                <w:bCs w:val="1"/>
                <w:i w:val="0"/>
                <w:iCs w:val="0"/>
                <w:strike w:val="0"/>
                <w:dstrike w:val="0"/>
                <w:color w:val="D86DCD"/>
                <w:sz w:val="22"/>
                <w:szCs w:val="22"/>
                <w:u w:val="none"/>
              </w:rPr>
              <w:t>presentation</w:t>
            </w:r>
            <w:r w:rsidRPr="257BFE88" w:rsidR="65F34D05">
              <w:rPr>
                <w:rFonts w:ascii="Aptos Narrow" w:hAnsi="Aptos Narrow" w:eastAsia="Aptos Narrow" w:cs="Aptos Narrow"/>
                <w:b w:val="1"/>
                <w:bCs w:val="1"/>
                <w:i w:val="0"/>
                <w:iCs w:val="0"/>
                <w:strike w:val="0"/>
                <w:dstrike w:val="0"/>
                <w:color w:val="D86DCD"/>
                <w:sz w:val="22"/>
                <w:szCs w:val="22"/>
                <w:u w:val="none"/>
              </w:rPr>
              <w:t xml:space="preserve">  </w:t>
            </w:r>
            <w:r w:rsidRPr="257BFE88" w:rsidR="65F34D05">
              <w:rPr>
                <w:rFonts w:ascii="Aptos Narrow" w:hAnsi="Aptos Narrow" w:eastAsia="Aptos Narrow" w:cs="Aptos Narrow"/>
                <w:b w:val="0"/>
                <w:bCs w:val="0"/>
                <w:i w:val="0"/>
                <w:iCs w:val="0"/>
                <w:strike w:val="0"/>
                <w:dstrike w:val="0"/>
                <w:sz w:val="22"/>
                <w:szCs w:val="22"/>
                <w:u w:val="none"/>
              </w:rPr>
              <w:t>Findings</w:t>
            </w:r>
            <w:r w:rsidRPr="257BFE88" w:rsidR="65F34D05">
              <w:rPr>
                <w:rFonts w:ascii="Aptos Narrow" w:hAnsi="Aptos Narrow" w:eastAsia="Aptos Narrow" w:cs="Aptos Narrow"/>
                <w:b w:val="0"/>
                <w:bCs w:val="0"/>
                <w:i w:val="0"/>
                <w:iCs w:val="0"/>
                <w:strike w:val="0"/>
                <w:dstrike w:val="0"/>
                <w:sz w:val="22"/>
                <w:szCs w:val="22"/>
                <w:u w:val="none"/>
              </w:rPr>
              <w:t>/Conclusions/Referencing</w:t>
            </w:r>
          </w:p>
        </w:tc>
        <w:tc>
          <w:tcPr>
            <w:tcW w:w="940"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0C9989C5" w14:textId="6BC2834A">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13/04/26</w:t>
            </w:r>
          </w:p>
        </w:tc>
        <w:tc>
          <w:tcPr>
            <w:tcW w:w="979"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4162AADC" w14:textId="16A6161A">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19/04/26</w:t>
            </w:r>
          </w:p>
        </w:tc>
      </w:tr>
      <w:tr w:rsidR="257BFE88" w:rsidTr="257BFE88" w14:paraId="54FFF8E3">
        <w:trPr>
          <w:trHeight w:val="285"/>
        </w:trPr>
        <w:tc>
          <w:tcPr>
            <w:tcW w:w="6243"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655E6047" w14:textId="32159A1C">
            <w:pPr>
              <w:spacing w:before="0" w:beforeAutospacing="off" w:after="0" w:afterAutospacing="off"/>
            </w:pPr>
            <w:r w:rsidRPr="257BFE88" w:rsidR="257BFE88">
              <w:rPr>
                <w:rFonts w:ascii="Aptos Narrow" w:hAnsi="Aptos Narrow" w:eastAsia="Aptos Narrow" w:cs="Aptos Narrow"/>
                <w:b w:val="1"/>
                <w:bCs w:val="1"/>
                <w:i w:val="0"/>
                <w:iCs w:val="0"/>
                <w:strike w:val="0"/>
                <w:dstrike w:val="0"/>
                <w:color w:val="D86DCD"/>
                <w:sz w:val="22"/>
                <w:szCs w:val="22"/>
                <w:u w:val="none"/>
              </w:rPr>
              <w:t xml:space="preserve">Presentation 21st </w:t>
            </w:r>
            <w:r w:rsidRPr="257BFE88" w:rsidR="19F9749B">
              <w:rPr>
                <w:rFonts w:ascii="Aptos Narrow" w:hAnsi="Aptos Narrow" w:eastAsia="Aptos Narrow" w:cs="Aptos Narrow"/>
                <w:b w:val="1"/>
                <w:bCs w:val="1"/>
                <w:i w:val="0"/>
                <w:iCs w:val="0"/>
                <w:strike w:val="0"/>
                <w:dstrike w:val="0"/>
                <w:color w:val="D86DCD"/>
                <w:sz w:val="22"/>
                <w:szCs w:val="22"/>
                <w:u w:val="none"/>
              </w:rPr>
              <w:t xml:space="preserve">  </w:t>
            </w:r>
            <w:r w:rsidRPr="257BFE88" w:rsidR="77E60EB0">
              <w:rPr>
                <w:rFonts w:ascii="Aptos Narrow" w:hAnsi="Aptos Narrow" w:eastAsia="Aptos Narrow" w:cs="Aptos Narrow"/>
                <w:b w:val="1"/>
                <w:bCs w:val="1"/>
                <w:i w:val="0"/>
                <w:iCs w:val="0"/>
                <w:strike w:val="0"/>
                <w:dstrike w:val="0"/>
                <w:color w:val="D86DCD"/>
                <w:sz w:val="22"/>
                <w:szCs w:val="22"/>
                <w:u w:val="none"/>
              </w:rPr>
              <w:t xml:space="preserve">                    </w:t>
            </w:r>
            <w:r w:rsidRPr="257BFE88" w:rsidR="19F9749B">
              <w:rPr>
                <w:rFonts w:ascii="Aptos Narrow" w:hAnsi="Aptos Narrow" w:eastAsia="Aptos Narrow" w:cs="Aptos Narrow"/>
                <w:b w:val="0"/>
                <w:bCs w:val="0"/>
                <w:i w:val="0"/>
                <w:iCs w:val="0"/>
                <w:strike w:val="0"/>
                <w:dstrike w:val="0"/>
                <w:sz w:val="22"/>
                <w:szCs w:val="22"/>
                <w:u w:val="none"/>
              </w:rPr>
              <w:t>Findings/Conclusions/Referencing</w:t>
            </w:r>
          </w:p>
        </w:tc>
        <w:tc>
          <w:tcPr>
            <w:tcW w:w="940"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19E80E6E" w14:textId="20CA2D3D">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20/04/26</w:t>
            </w:r>
          </w:p>
        </w:tc>
        <w:tc>
          <w:tcPr>
            <w:tcW w:w="979"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447CEF57" w14:textId="42811088">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26/04/26</w:t>
            </w:r>
          </w:p>
        </w:tc>
      </w:tr>
      <w:tr w:rsidR="257BFE88" w:rsidTr="257BFE88" w14:paraId="2ADA864E">
        <w:trPr>
          <w:trHeight w:val="285"/>
        </w:trPr>
        <w:tc>
          <w:tcPr>
            <w:tcW w:w="6243"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77EF4416" w14:textId="36E34FD1">
            <w:pPr>
              <w:pStyle w:val="Normal"/>
              <w:spacing w:before="0" w:beforeAutospacing="off" w:after="0" w:afterAutospacing="off"/>
            </w:pPr>
            <w:r w:rsidRPr="257BFE88" w:rsidR="257BFE88">
              <w:rPr>
                <w:rFonts w:ascii="Aptos Narrow" w:hAnsi="Aptos Narrow" w:eastAsia="Aptos Narrow" w:cs="Aptos Narrow"/>
                <w:b w:val="1"/>
                <w:bCs w:val="1"/>
                <w:i w:val="0"/>
                <w:iCs w:val="0"/>
                <w:strike w:val="0"/>
                <w:dstrike w:val="0"/>
                <w:color w:val="D86DCD"/>
                <w:sz w:val="22"/>
                <w:szCs w:val="22"/>
                <w:u w:val="none"/>
              </w:rPr>
              <w:t xml:space="preserve">Call Centre </w:t>
            </w:r>
            <w:r w:rsidRPr="257BFE88" w:rsidR="257BFE88">
              <w:rPr>
                <w:rFonts w:ascii="Aptos Narrow" w:hAnsi="Aptos Narrow" w:eastAsia="Aptos Narrow" w:cs="Aptos Narrow"/>
                <w:b w:val="1"/>
                <w:bCs w:val="1"/>
                <w:i w:val="0"/>
                <w:iCs w:val="0"/>
                <w:strike w:val="0"/>
                <w:dstrike w:val="0"/>
                <w:color w:val="D86DCD"/>
                <w:sz w:val="22"/>
                <w:szCs w:val="22"/>
                <w:u w:val="none"/>
              </w:rPr>
              <w:t>cardiff</w:t>
            </w:r>
            <w:r w:rsidRPr="257BFE88" w:rsidR="257BFE88">
              <w:rPr>
                <w:rFonts w:ascii="Aptos Narrow" w:hAnsi="Aptos Narrow" w:eastAsia="Aptos Narrow" w:cs="Aptos Narrow"/>
                <w:b w:val="1"/>
                <w:bCs w:val="1"/>
                <w:i w:val="0"/>
                <w:iCs w:val="0"/>
                <w:strike w:val="0"/>
                <w:dstrike w:val="0"/>
                <w:color w:val="D86DCD"/>
                <w:sz w:val="22"/>
                <w:szCs w:val="22"/>
                <w:u w:val="none"/>
              </w:rPr>
              <w:t xml:space="preserve"> CW</w:t>
            </w:r>
            <w:r w:rsidRPr="257BFE88" w:rsidR="63E9359E">
              <w:rPr>
                <w:rFonts w:ascii="Aptos Narrow" w:hAnsi="Aptos Narrow" w:eastAsia="Aptos Narrow" w:cs="Aptos Narrow"/>
                <w:b w:val="1"/>
                <w:bCs w:val="1"/>
                <w:i w:val="0"/>
                <w:iCs w:val="0"/>
                <w:strike w:val="0"/>
                <w:dstrike w:val="0"/>
                <w:color w:val="D86DCD"/>
                <w:sz w:val="22"/>
                <w:szCs w:val="22"/>
                <w:u w:val="none"/>
              </w:rPr>
              <w:t xml:space="preserve">          </w:t>
            </w:r>
            <w:r w:rsidRPr="257BFE88" w:rsidR="4334C64D">
              <w:rPr>
                <w:rFonts w:ascii="Aptos Narrow" w:hAnsi="Aptos Narrow" w:eastAsia="Aptos Narrow" w:cs="Aptos Narrow"/>
                <w:b w:val="0"/>
                <w:bCs w:val="0"/>
                <w:i w:val="0"/>
                <w:iCs w:val="0"/>
                <w:strike w:val="0"/>
                <w:dstrike w:val="0"/>
                <w:color w:val="000000" w:themeColor="text1" w:themeTint="FF" w:themeShade="FF"/>
                <w:sz w:val="22"/>
                <w:szCs w:val="22"/>
                <w:u w:val="none"/>
              </w:rPr>
              <w:t>Conclusions/Recommendations</w:t>
            </w:r>
          </w:p>
        </w:tc>
        <w:tc>
          <w:tcPr>
            <w:tcW w:w="940"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57930A67" w14:textId="7329B022">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27/04/26</w:t>
            </w:r>
          </w:p>
        </w:tc>
        <w:tc>
          <w:tcPr>
            <w:tcW w:w="979"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26132A29" w14:textId="69575035">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01/05/26</w:t>
            </w:r>
          </w:p>
        </w:tc>
      </w:tr>
      <w:tr w:rsidR="257BFE88" w:rsidTr="257BFE88" w14:paraId="32746CCD">
        <w:trPr>
          <w:trHeight w:val="285"/>
        </w:trPr>
        <w:tc>
          <w:tcPr>
            <w:tcW w:w="6243"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53F5F53F" w14:textId="7665AD94">
            <w:pPr>
              <w:spacing w:before="0" w:beforeAutospacing="off" w:after="0" w:afterAutospacing="off"/>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Findings/Conclusion</w:t>
            </w:r>
            <w:r w:rsidRPr="257BFE88" w:rsidR="2B2DCD64">
              <w:rPr>
                <w:rFonts w:ascii="Aptos Narrow" w:hAnsi="Aptos Narrow" w:eastAsia="Aptos Narrow" w:cs="Aptos Narrow"/>
                <w:b w:val="0"/>
                <w:bCs w:val="0"/>
                <w:i w:val="0"/>
                <w:iCs w:val="0"/>
                <w:strike w:val="0"/>
                <w:dstrike w:val="0"/>
                <w:color w:val="000000" w:themeColor="text1" w:themeTint="FF" w:themeShade="FF"/>
                <w:sz w:val="22"/>
                <w:szCs w:val="22"/>
                <w:u w:val="none"/>
              </w:rPr>
              <w:t>s</w:t>
            </w: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w:t>
            </w:r>
            <w:r w:rsidRPr="257BFE88" w:rsidR="4ED66EFC">
              <w:rPr>
                <w:rFonts w:ascii="Aptos Narrow" w:hAnsi="Aptos Narrow" w:eastAsia="Aptos Narrow" w:cs="Aptos Narrow"/>
                <w:b w:val="0"/>
                <w:bCs w:val="0"/>
                <w:i w:val="0"/>
                <w:iCs w:val="0"/>
                <w:strike w:val="0"/>
                <w:dstrike w:val="0"/>
                <w:color w:val="000000" w:themeColor="text1" w:themeTint="FF" w:themeShade="FF"/>
                <w:sz w:val="22"/>
                <w:szCs w:val="22"/>
                <w:u w:val="none"/>
              </w:rPr>
              <w:t>Recommendations/</w:t>
            </w: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Finally ABSTRACT </w:t>
            </w:r>
          </w:p>
        </w:tc>
        <w:tc>
          <w:tcPr>
            <w:tcW w:w="940"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3334D869" w14:textId="6727F928">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04/05/26</w:t>
            </w:r>
          </w:p>
        </w:tc>
        <w:tc>
          <w:tcPr>
            <w:tcW w:w="979"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05D3EF2D" w14:textId="24B64686">
            <w:pPr>
              <w:spacing w:before="0" w:beforeAutospacing="off" w:after="0" w:afterAutospacing="off"/>
              <w:jc w:val="right"/>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08/05/26</w:t>
            </w:r>
          </w:p>
        </w:tc>
      </w:tr>
      <w:tr w:rsidR="257BFE88" w:rsidTr="257BFE88" w14:paraId="7A4C6EE4">
        <w:trPr>
          <w:trHeight w:val="285"/>
        </w:trPr>
        <w:tc>
          <w:tcPr>
            <w:tcW w:w="6243" w:type="dxa"/>
            <w:tcBorders>
              <w:top w:val="single" w:sz="4"/>
              <w:left w:val="single" w:sz="4"/>
              <w:bottom w:val="single" w:sz="4"/>
              <w:right w:val="single" w:sz="4"/>
            </w:tcBorders>
            <w:shd w:val="clear" w:color="auto" w:fill="FF0000"/>
            <w:tcMar>
              <w:top w:w="15" w:type="dxa"/>
              <w:left w:w="15" w:type="dxa"/>
              <w:right w:w="15" w:type="dxa"/>
            </w:tcMar>
            <w:vAlign w:val="bottom"/>
          </w:tcPr>
          <w:p w:rsidR="257BFE88" w:rsidP="257BFE88" w:rsidRDefault="257BFE88" w14:paraId="488EEBFA" w14:textId="532F2AC5">
            <w:pPr>
              <w:spacing w:before="0" w:beforeAutospacing="off" w:after="0" w:afterAutospacing="off"/>
            </w:pPr>
            <w:r w:rsidRPr="257BFE88" w:rsidR="257BFE88">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SUBMIT </w:t>
            </w:r>
          </w:p>
        </w:tc>
        <w:tc>
          <w:tcPr>
            <w:tcW w:w="940"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26C04A1D" w14:textId="6CF7E95A">
            <w:pPr>
              <w:spacing w:before="0" w:beforeAutospacing="off" w:after="0" w:afterAutospacing="off"/>
              <w:jc w:val="right"/>
              <w:rPr>
                <w:rFonts w:ascii="Aptos Narrow" w:hAnsi="Aptos Narrow" w:eastAsia="Aptos Narrow" w:cs="Aptos Narrow"/>
                <w:b w:val="1"/>
                <w:bCs w:val="1"/>
                <w:i w:val="0"/>
                <w:iCs w:val="0"/>
                <w:strike w:val="0"/>
                <w:dstrike w:val="0"/>
                <w:color w:val="000000" w:themeColor="text1" w:themeTint="FF" w:themeShade="FF"/>
                <w:sz w:val="22"/>
                <w:szCs w:val="22"/>
                <w:highlight w:val="green"/>
                <w:u w:val="none"/>
              </w:rPr>
            </w:pPr>
            <w:r w:rsidRPr="257BFE88" w:rsidR="257BFE88">
              <w:rPr>
                <w:rFonts w:ascii="Aptos Narrow" w:hAnsi="Aptos Narrow" w:eastAsia="Aptos Narrow" w:cs="Aptos Narrow"/>
                <w:b w:val="1"/>
                <w:bCs w:val="1"/>
                <w:i w:val="0"/>
                <w:iCs w:val="0"/>
                <w:strike w:val="0"/>
                <w:dstrike w:val="0"/>
                <w:color w:val="000000" w:themeColor="text1" w:themeTint="FF" w:themeShade="FF"/>
                <w:sz w:val="22"/>
                <w:szCs w:val="22"/>
                <w:highlight w:val="green"/>
                <w:u w:val="none"/>
              </w:rPr>
              <w:t>08/05/26</w:t>
            </w:r>
          </w:p>
        </w:tc>
        <w:tc>
          <w:tcPr>
            <w:tcW w:w="979" w:type="dxa"/>
            <w:tcBorders>
              <w:top w:val="single" w:sz="4"/>
              <w:left w:val="single" w:sz="4"/>
              <w:bottom w:val="single" w:sz="4"/>
              <w:right w:val="single" w:sz="4"/>
            </w:tcBorders>
            <w:tcMar>
              <w:top w:w="15" w:type="dxa"/>
              <w:left w:w="15" w:type="dxa"/>
              <w:right w:w="15" w:type="dxa"/>
            </w:tcMar>
            <w:vAlign w:val="bottom"/>
          </w:tcPr>
          <w:p w:rsidR="257BFE88" w:rsidP="257BFE88" w:rsidRDefault="257BFE88" w14:paraId="53A54659" w14:textId="17B43E7E">
            <w:pPr>
              <w:spacing w:before="0" w:beforeAutospacing="off" w:after="0" w:afterAutospacing="off"/>
              <w:jc w:val="right"/>
              <w:rPr>
                <w:rFonts w:ascii="Aptos Narrow" w:hAnsi="Aptos Narrow" w:eastAsia="Aptos Narrow" w:cs="Aptos Narrow"/>
                <w:b w:val="1"/>
                <w:bCs w:val="1"/>
                <w:i w:val="0"/>
                <w:iCs w:val="0"/>
                <w:strike w:val="0"/>
                <w:dstrike w:val="0"/>
                <w:color w:val="000000" w:themeColor="text1" w:themeTint="FF" w:themeShade="FF"/>
                <w:sz w:val="22"/>
                <w:szCs w:val="22"/>
                <w:highlight w:val="green"/>
                <w:u w:val="none"/>
              </w:rPr>
            </w:pPr>
            <w:r w:rsidRPr="257BFE88" w:rsidR="257BFE88">
              <w:rPr>
                <w:rFonts w:ascii="Aptos Narrow" w:hAnsi="Aptos Narrow" w:eastAsia="Aptos Narrow" w:cs="Aptos Narrow"/>
                <w:b w:val="1"/>
                <w:bCs w:val="1"/>
                <w:i w:val="0"/>
                <w:iCs w:val="0"/>
                <w:strike w:val="0"/>
                <w:dstrike w:val="0"/>
                <w:color w:val="000000" w:themeColor="text1" w:themeTint="FF" w:themeShade="FF"/>
                <w:sz w:val="22"/>
                <w:szCs w:val="22"/>
                <w:highlight w:val="green"/>
                <w:u w:val="none"/>
              </w:rPr>
              <w:t>08/05/26</w:t>
            </w:r>
          </w:p>
        </w:tc>
      </w:tr>
    </w:tbl>
    <w:p w:rsidRPr="003137A2" w:rsidR="003137A2" w:rsidP="003137A2" w:rsidRDefault="003137A2" w14:paraId="5AB345EB" w14:textId="2698584A">
      <w:pPr>
        <w:spacing w:before="240" w:after="240" w:line="240" w:lineRule="auto"/>
        <w:rPr>
          <w:rFonts w:ascii="Aptos" w:hAnsi="Aptos" w:eastAsia="Times New Roman" w:cs="Arial"/>
          <w:color w:val="000000"/>
          <w:kern w:val="0"/>
          <w:lang w:eastAsia="en-GB"/>
          <w14:ligatures w14:val="none"/>
        </w:rPr>
      </w:pPr>
      <w:r w:rsidRPr="003137A2" w:rsidR="6D7FFB3E">
        <w:rPr>
          <w:rFonts w:ascii="Aptos" w:hAnsi="Aptos" w:eastAsia="Times New Roman" w:cs="Arial"/>
          <w:color w:val="000000"/>
          <w:kern w:val="0"/>
          <w:lang w:eastAsia="en-GB"/>
          <w14:ligatures w14:val="none"/>
        </w:rPr>
        <w:t xml:space="preserve">These visual records show the systematic approach taken to planning, </w:t>
      </w:r>
      <w:r w:rsidRPr="003137A2" w:rsidR="6D7FFB3E">
        <w:rPr>
          <w:rFonts w:ascii="Aptos" w:hAnsi="Aptos" w:eastAsia="Times New Roman" w:cs="Arial"/>
          <w:color w:val="000000"/>
          <w:kern w:val="0"/>
          <w:lang w:eastAsia="en-GB"/>
          <w14:ligatures w14:val="none"/>
        </w:rPr>
        <w:t>monitoring</w:t>
      </w:r>
      <w:r w:rsidRPr="003137A2" w:rsidR="6D7FFB3E">
        <w:rPr>
          <w:rFonts w:ascii="Aptos" w:hAnsi="Aptos" w:eastAsia="Times New Roman" w:cs="Arial"/>
          <w:color w:val="000000"/>
          <w:kern w:val="0"/>
          <w:lang w:eastAsia="en-GB"/>
          <w14:ligatures w14:val="none"/>
        </w:rPr>
        <w:t xml:space="preserve"> and</w:t>
      </w:r>
      <w:r w:rsidRPr="003137A2" w:rsidR="6D7FFB3E">
        <w:rPr>
          <w:rFonts w:ascii="Aptos" w:hAnsi="Aptos" w:eastAsia="Times New Roman" w:cs="Arial"/>
          <w:color w:val="000000"/>
          <w:kern w:val="0"/>
          <w:lang w:eastAsia="en-GB"/>
          <w14:ligatures w14:val="none"/>
        </w:rPr>
        <w:t xml:space="preserve"> adjusting work throughout the project. They also show how reflective practice and risk management were built into the weekly work schedule.</w:t>
      </w:r>
    </w:p>
    <w:p w:rsidRPr="003137A2" w:rsidR="003137A2" w:rsidP="003137A2" w:rsidRDefault="003137A2" w14:paraId="2A8E2D87" w14:textId="77777777">
      <w:pPr>
        <w:spacing w:before="240" w:after="240" w:line="240" w:lineRule="auto"/>
        <w:rPr>
          <w:rFonts w:ascii="Aptos" w:hAnsi="Aptos" w:eastAsia="Times New Roman" w:cs="Arial"/>
          <w:color w:val="000000"/>
          <w:kern w:val="0"/>
          <w:lang w:eastAsia="en-GB"/>
          <w14:ligatures w14:val="none"/>
        </w:rPr>
      </w:pPr>
      <w:r w:rsidRPr="003137A2">
        <w:rPr>
          <w:rFonts w:ascii="Aptos" w:hAnsi="Aptos" w:eastAsia="Times New Roman" w:cs="Arial"/>
          <w:color w:val="000000"/>
          <w:kern w:val="0"/>
          <w:lang w:eastAsia="en-GB"/>
          <w14:ligatures w14:val="none"/>
        </w:rPr>
        <w:t>This structured planning supported effective prioritisation and prevented the project from becoming overwhelming during periods of high workload. It also demonstrated the ability to coordinate multiple tasks simultaneously while maintaining clarity of purpose.</w:t>
      </w:r>
    </w:p>
    <w:p w:rsidRPr="003137A2" w:rsidR="003137A2" w:rsidP="003137A2" w:rsidRDefault="003137A2" w14:paraId="2B754FC3" w14:textId="77777777">
      <w:pPr>
        <w:spacing w:before="240" w:after="240" w:line="240" w:lineRule="auto"/>
        <w:rPr>
          <w:rFonts w:ascii="Aptos" w:hAnsi="Aptos" w:eastAsia="Times New Roman" w:cs="Arial"/>
          <w:color w:val="000000"/>
          <w:kern w:val="0"/>
          <w:lang w:eastAsia="en-GB"/>
          <w14:ligatures w14:val="none"/>
        </w:rPr>
      </w:pPr>
      <w:r w:rsidRPr="003137A2">
        <w:rPr>
          <w:rFonts w:ascii="Aptos" w:hAnsi="Aptos" w:eastAsia="Times New Roman" w:cs="Arial"/>
          <w:color w:val="000000"/>
          <w:kern w:val="0"/>
          <w:lang w:eastAsia="en-GB"/>
          <w14:ligatures w14:val="none"/>
        </w:rPr>
        <w:t>Engaging with this structured planning process strengthened several professional competencies:</w:t>
      </w:r>
    </w:p>
    <w:p w:rsidRPr="003137A2" w:rsidR="003137A2" w:rsidP="003137A2" w:rsidRDefault="003137A2" w14:paraId="4E81BCC3" w14:textId="1A2DBA29">
      <w:pPr>
        <w:spacing w:before="240" w:after="240" w:line="240" w:lineRule="auto"/>
        <w:rPr>
          <w:rFonts w:ascii="Aptos" w:hAnsi="Aptos" w:eastAsia="Times New Roman" w:cs="Arial"/>
          <w:color w:val="000000"/>
          <w:kern w:val="0"/>
          <w:lang w:eastAsia="en-GB"/>
          <w14:ligatures w14:val="none"/>
        </w:rPr>
      </w:pPr>
      <w:r w:rsidRPr="003137A2" w:rsidR="6D7FFB3E">
        <w:rPr>
          <w:rFonts w:ascii="Arial" w:hAnsi="Arial" w:eastAsia="Times New Roman" w:cs="Arial"/>
          <w:color w:val="000000"/>
          <w:kern w:val="0"/>
          <w:lang w:eastAsia="en-GB"/>
          <w14:ligatures w14:val="none"/>
        </w:rPr>
        <w:t xml:space="preserve">• </w:t>
      </w:r>
      <w:r w:rsidRPr="003137A2">
        <w:rPr>
          <w:rFonts w:ascii="Arial" w:hAnsi="Arial" w:eastAsia="Times New Roman" w:cs="Arial"/>
          <w:color w:val="000000"/>
          <w:kern w:val="0"/>
          <w:lang w:eastAsia="en-GB"/>
          <w14:ligatures w14:val="none"/>
        </w:rPr>
        <w:tab/>
      </w:r>
      <w:r w:rsidRPr="257BFE88" w:rsidR="6D7FFB3E">
        <w:rPr>
          <w:rFonts w:eastAsia="" w:cs="" w:eastAsiaTheme="majorEastAsia" w:cstheme="majorBidi"/>
          <w:i w:val="1"/>
          <w:iCs w:val="1"/>
          <w:color w:val="0F4761" w:themeColor="accent1" w:themeShade="BF"/>
        </w:rPr>
        <w:t>Project management</w:t>
      </w:r>
      <w:r w:rsidRPr="003137A2" w:rsidR="6D7FFB3E">
        <w:rPr>
          <w:rFonts w:ascii="Aptos" w:hAnsi="Aptos" w:eastAsia="Times New Roman" w:cs="Arial"/>
          <w:color w:val="000000"/>
          <w:kern w:val="0"/>
          <w:lang w:eastAsia="en-GB"/>
          <w14:ligatures w14:val="none"/>
        </w:rPr>
        <w:t xml:space="preserve"> skills, developed through weekly action plans, risk logs</w:t>
      </w:r>
      <w:r w:rsidRPr="003137A2" w:rsidR="6D7FFB3E">
        <w:rPr>
          <w:rFonts w:ascii="Aptos" w:hAnsi="Aptos" w:eastAsia="Times New Roman" w:cs="Arial"/>
          <w:color w:val="000000"/>
          <w:kern w:val="0"/>
          <w:lang w:eastAsia="en-GB"/>
          <w14:ligatures w14:val="none"/>
        </w:rPr>
        <w:t xml:space="preserve"> and</w:t>
      </w:r>
      <w:r w:rsidRPr="003137A2" w:rsidR="6D7FFB3E">
        <w:rPr>
          <w:rFonts w:ascii="Aptos" w:hAnsi="Aptos" w:eastAsia="Times New Roman" w:cs="Arial"/>
          <w:color w:val="000000"/>
          <w:kern w:val="0"/>
          <w:lang w:eastAsia="en-GB"/>
          <w14:ligatures w14:val="none"/>
        </w:rPr>
        <w:t xml:space="preserve"> iterative review cycles.</w:t>
      </w:r>
    </w:p>
    <w:p w:rsidRPr="003137A2" w:rsidR="003137A2" w:rsidP="003137A2" w:rsidRDefault="003137A2" w14:paraId="62336545" w14:textId="4523F3AC">
      <w:pPr>
        <w:spacing w:before="240" w:after="240" w:line="240" w:lineRule="auto"/>
        <w:rPr>
          <w:rFonts w:ascii="Aptos" w:hAnsi="Aptos" w:eastAsia="Times New Roman" w:cs="Arial"/>
          <w:color w:val="000000"/>
          <w:kern w:val="0"/>
          <w:lang w:eastAsia="en-GB"/>
          <w14:ligatures w14:val="none"/>
        </w:rPr>
      </w:pPr>
      <w:r w:rsidRPr="003137A2" w:rsidR="6D7FFB3E">
        <w:rPr>
          <w:rFonts w:ascii="Aptos" w:hAnsi="Aptos" w:eastAsia="Times New Roman" w:cs="Arial"/>
          <w:color w:val="000000"/>
          <w:kern w:val="0"/>
          <w:lang w:eastAsia="en-GB"/>
          <w14:ligatures w14:val="none"/>
        </w:rPr>
        <w:t xml:space="preserve">• </w:t>
      </w:r>
      <w:r w:rsidRPr="003137A2">
        <w:rPr>
          <w:rFonts w:ascii="Aptos" w:hAnsi="Aptos" w:eastAsia="Times New Roman" w:cs="Arial"/>
          <w:color w:val="000000"/>
          <w:kern w:val="0"/>
          <w:lang w:eastAsia="en-GB"/>
          <w14:ligatures w14:val="none"/>
        </w:rPr>
        <w:tab/>
      </w:r>
      <w:r w:rsidRPr="257BFE88" w:rsidR="6D7FFB3E">
        <w:rPr>
          <w:rFonts w:eastAsia="" w:cs="" w:eastAsiaTheme="majorEastAsia" w:cstheme="majorBidi"/>
          <w:i w:val="1"/>
          <w:iCs w:val="1"/>
          <w:color w:val="0F4761" w:themeColor="accent1" w:themeShade="BF"/>
        </w:rPr>
        <w:t>Critical analysis and evidence evaluation,</w:t>
      </w:r>
      <w:r w:rsidRPr="003137A2" w:rsidR="6D7FFB3E">
        <w:rPr>
          <w:rFonts w:ascii="Aptos" w:hAnsi="Aptos" w:eastAsia="Times New Roman" w:cs="Arial"/>
          <w:color w:val="000000"/>
          <w:kern w:val="0"/>
          <w:lang w:eastAsia="en-GB"/>
          <w14:ligatures w14:val="none"/>
        </w:rPr>
        <w:t xml:space="preserve"> as the research required ongoing assessment of data quality, methodological limitations</w:t>
      </w:r>
      <w:r w:rsidRPr="003137A2" w:rsidR="6D7FFB3E">
        <w:rPr>
          <w:rFonts w:ascii="Aptos" w:hAnsi="Aptos" w:eastAsia="Times New Roman" w:cs="Arial"/>
          <w:color w:val="000000"/>
          <w:kern w:val="0"/>
          <w:lang w:eastAsia="en-GB"/>
          <w14:ligatures w14:val="none"/>
        </w:rPr>
        <w:t xml:space="preserve"> and</w:t>
      </w:r>
      <w:r w:rsidRPr="003137A2" w:rsidR="6D7FFB3E">
        <w:rPr>
          <w:rFonts w:ascii="Aptos" w:hAnsi="Aptos" w:eastAsia="Times New Roman" w:cs="Arial"/>
          <w:color w:val="000000"/>
          <w:kern w:val="0"/>
          <w:lang w:eastAsia="en-GB"/>
          <w14:ligatures w14:val="none"/>
        </w:rPr>
        <w:t xml:space="preserve"> source credibility.</w:t>
      </w:r>
    </w:p>
    <w:p w:rsidRPr="003137A2" w:rsidR="003137A2" w:rsidP="003137A2" w:rsidRDefault="003137A2" w14:paraId="68C0FF80" w14:textId="77777777">
      <w:pPr>
        <w:spacing w:before="240" w:after="240" w:line="240" w:lineRule="auto"/>
        <w:rPr>
          <w:rFonts w:ascii="Aptos" w:hAnsi="Aptos" w:eastAsia="Times New Roman" w:cs="Arial"/>
          <w:color w:val="000000"/>
          <w:kern w:val="0"/>
          <w:lang w:eastAsia="en-GB"/>
          <w14:ligatures w14:val="none"/>
        </w:rPr>
      </w:pPr>
      <w:r w:rsidRPr="003137A2">
        <w:rPr>
          <w:rFonts w:ascii="Aptos" w:hAnsi="Aptos" w:eastAsia="Times New Roman" w:cs="Arial"/>
          <w:color w:val="000000"/>
          <w:kern w:val="0"/>
          <w:lang w:eastAsia="en-GB"/>
          <w14:ligatures w14:val="none"/>
        </w:rPr>
        <w:t xml:space="preserve">• </w:t>
      </w:r>
      <w:r w:rsidRPr="003137A2">
        <w:rPr>
          <w:rFonts w:ascii="Aptos" w:hAnsi="Aptos" w:eastAsia="Times New Roman" w:cs="Arial"/>
          <w:color w:val="000000"/>
          <w:kern w:val="0"/>
          <w:lang w:eastAsia="en-GB"/>
          <w14:ligatures w14:val="none"/>
        </w:rPr>
        <w:tab/>
      </w:r>
      <w:r w:rsidRPr="003137A2">
        <w:rPr>
          <w:rFonts w:eastAsiaTheme="majorEastAsia" w:cstheme="majorBidi"/>
          <w:i/>
          <w:iCs/>
          <w:color w:val="0F4761" w:themeColor="accent1" w:themeShade="BF"/>
        </w:rPr>
        <w:t>Strategic thinking</w:t>
      </w:r>
      <w:r w:rsidRPr="003137A2">
        <w:rPr>
          <w:rFonts w:ascii="Aptos" w:hAnsi="Aptos" w:eastAsia="Times New Roman" w:cs="Arial"/>
          <w:color w:val="000000"/>
          <w:kern w:val="0"/>
          <w:lang w:eastAsia="en-GB"/>
          <w14:ligatures w14:val="none"/>
        </w:rPr>
        <w:t>, particularly in sequencing tasks and aligning methodological choices with the research question.</w:t>
      </w:r>
    </w:p>
    <w:p w:rsidRPr="003137A2" w:rsidR="003137A2" w:rsidP="003137A2" w:rsidRDefault="003137A2" w14:paraId="4F16BFDE" w14:textId="089A20E2">
      <w:pPr>
        <w:spacing w:before="240" w:after="240" w:line="240" w:lineRule="auto"/>
        <w:rPr>
          <w:rFonts w:ascii="Aptos" w:hAnsi="Aptos" w:eastAsia="Times New Roman" w:cs="Arial"/>
          <w:color w:val="000000"/>
          <w:kern w:val="0"/>
          <w:lang w:eastAsia="en-GB"/>
          <w14:ligatures w14:val="none"/>
        </w:rPr>
      </w:pPr>
      <w:r w:rsidRPr="003137A2" w:rsidR="6D7FFB3E">
        <w:rPr>
          <w:rFonts w:ascii="Aptos" w:hAnsi="Aptos" w:eastAsia="Times New Roman" w:cs="Arial"/>
          <w:color w:val="000000"/>
          <w:kern w:val="0"/>
          <w:lang w:eastAsia="en-GB"/>
          <w14:ligatures w14:val="none"/>
        </w:rPr>
        <w:t xml:space="preserve">• </w:t>
      </w:r>
      <w:r w:rsidRPr="003137A2">
        <w:rPr>
          <w:rFonts w:ascii="Aptos" w:hAnsi="Aptos" w:eastAsia="Times New Roman" w:cs="Arial"/>
          <w:color w:val="000000"/>
          <w:kern w:val="0"/>
          <w:lang w:eastAsia="en-GB"/>
          <w14:ligatures w14:val="none"/>
        </w:rPr>
        <w:tab/>
      </w:r>
      <w:r w:rsidRPr="257BFE88" w:rsidR="6D7FFB3E">
        <w:rPr>
          <w:rFonts w:eastAsia="" w:cs="" w:eastAsiaTheme="majorEastAsia" w:cstheme="majorBidi"/>
          <w:i w:val="1"/>
          <w:iCs w:val="1"/>
          <w:color w:val="0F4761" w:themeColor="accent1" w:themeShade="BF"/>
        </w:rPr>
        <w:t>Professional resilience</w:t>
      </w:r>
      <w:r w:rsidRPr="003137A2" w:rsidR="6D7FFB3E">
        <w:rPr>
          <w:rFonts w:ascii="Aptos" w:hAnsi="Aptos" w:eastAsia="Times New Roman" w:cs="Arial"/>
          <w:color w:val="000000"/>
          <w:kern w:val="0"/>
          <w:lang w:eastAsia="en-GB"/>
          <w14:ligatures w14:val="none"/>
        </w:rPr>
        <w:t>, developed through managing time pressure, disrupted momentum</w:t>
      </w:r>
      <w:r w:rsidRPr="003137A2" w:rsidR="6D7FFB3E">
        <w:rPr>
          <w:rFonts w:ascii="Aptos" w:hAnsi="Aptos" w:eastAsia="Times New Roman" w:cs="Arial"/>
          <w:color w:val="000000"/>
          <w:kern w:val="0"/>
          <w:lang w:eastAsia="en-GB"/>
          <w14:ligatures w14:val="none"/>
        </w:rPr>
        <w:t xml:space="preserve"> and</w:t>
      </w:r>
      <w:r w:rsidRPr="003137A2" w:rsidR="6D7FFB3E">
        <w:rPr>
          <w:rFonts w:ascii="Aptos" w:hAnsi="Aptos" w:eastAsia="Times New Roman" w:cs="Arial"/>
          <w:color w:val="000000"/>
          <w:kern w:val="0"/>
          <w:lang w:eastAsia="en-GB"/>
          <w14:ligatures w14:val="none"/>
        </w:rPr>
        <w:t xml:space="preserve"> shifting priorities.</w:t>
      </w:r>
    </w:p>
    <w:p w:rsidRPr="003137A2" w:rsidR="003137A2" w:rsidP="003137A2" w:rsidRDefault="003137A2" w14:paraId="36CB96D8" w14:textId="00FF01D1">
      <w:pPr>
        <w:spacing w:before="240" w:after="240" w:line="240" w:lineRule="auto"/>
        <w:rPr>
          <w:rFonts w:ascii="Aptos" w:hAnsi="Aptos" w:eastAsia="Times New Roman" w:cs="Arial"/>
          <w:color w:val="000000"/>
          <w:kern w:val="0"/>
          <w:lang w:eastAsia="en-GB"/>
          <w14:ligatures w14:val="none"/>
        </w:rPr>
      </w:pPr>
      <w:r w:rsidRPr="003137A2" w:rsidR="6D7FFB3E">
        <w:rPr>
          <w:rFonts w:ascii="Aptos" w:hAnsi="Aptos" w:eastAsia="Times New Roman" w:cs="Arial"/>
          <w:color w:val="000000"/>
          <w:kern w:val="0"/>
          <w:lang w:eastAsia="en-GB"/>
          <w14:ligatures w14:val="none"/>
        </w:rPr>
        <w:t xml:space="preserve">• </w:t>
      </w:r>
      <w:r w:rsidRPr="003137A2">
        <w:rPr>
          <w:rFonts w:ascii="Aptos" w:hAnsi="Aptos" w:eastAsia="Times New Roman" w:cs="Arial"/>
          <w:color w:val="000000"/>
          <w:kern w:val="0"/>
          <w:lang w:eastAsia="en-GB"/>
          <w14:ligatures w14:val="none"/>
        </w:rPr>
        <w:tab/>
      </w:r>
      <w:r w:rsidRPr="257BFE88" w:rsidR="6D7FFB3E">
        <w:rPr>
          <w:rFonts w:eastAsia="" w:cs="" w:eastAsiaTheme="majorEastAsia" w:cstheme="majorBidi"/>
          <w:i w:val="1"/>
          <w:iCs w:val="1"/>
          <w:color w:val="0F4761" w:themeColor="accent1" w:themeShade="BF"/>
        </w:rPr>
        <w:t>Reflective practice</w:t>
      </w:r>
      <w:r w:rsidRPr="003137A2" w:rsidR="6D7FFB3E">
        <w:rPr>
          <w:rFonts w:ascii="Aptos" w:hAnsi="Aptos" w:eastAsia="Times New Roman" w:cs="Arial"/>
          <w:color w:val="000000"/>
          <w:kern w:val="0"/>
          <w:lang w:eastAsia="en-GB"/>
          <w14:ligatures w14:val="none"/>
        </w:rPr>
        <w:t>, embedded through weekly reflections that enabled honest assessment of progress, challenges</w:t>
      </w:r>
      <w:r w:rsidRPr="003137A2" w:rsidR="6D7FFB3E">
        <w:rPr>
          <w:rFonts w:ascii="Aptos" w:hAnsi="Aptos" w:eastAsia="Times New Roman" w:cs="Arial"/>
          <w:color w:val="000000"/>
          <w:kern w:val="0"/>
          <w:lang w:eastAsia="en-GB"/>
          <w14:ligatures w14:val="none"/>
        </w:rPr>
        <w:t xml:space="preserve"> and</w:t>
      </w:r>
      <w:r w:rsidRPr="003137A2" w:rsidR="6D7FFB3E">
        <w:rPr>
          <w:rFonts w:ascii="Aptos" w:hAnsi="Aptos" w:eastAsia="Times New Roman" w:cs="Arial"/>
          <w:color w:val="000000"/>
          <w:kern w:val="0"/>
          <w:lang w:eastAsia="en-GB"/>
          <w14:ligatures w14:val="none"/>
        </w:rPr>
        <w:t xml:space="preserve"> areas for improvement.</w:t>
      </w:r>
    </w:p>
    <w:p w:rsidRPr="003137A2" w:rsidR="003137A2" w:rsidP="003137A2" w:rsidRDefault="003137A2" w14:paraId="3B66A53A" w14:textId="0FEC16D1">
      <w:pPr>
        <w:spacing w:before="240" w:after="240" w:line="240" w:lineRule="auto"/>
        <w:rPr>
          <w:rFonts w:ascii="Aptos" w:hAnsi="Aptos" w:eastAsia="Times New Roman" w:cs="Arial"/>
          <w:color w:val="000000"/>
          <w:kern w:val="0"/>
          <w:lang w:eastAsia="en-GB"/>
          <w14:ligatures w14:val="none"/>
        </w:rPr>
      </w:pPr>
      <w:r w:rsidRPr="003137A2" w:rsidR="74131136">
        <w:rPr>
          <w:rFonts w:ascii="Aptos" w:hAnsi="Aptos" w:eastAsia="Times New Roman" w:cs="Arial"/>
          <w:color w:val="000000"/>
          <w:kern w:val="0"/>
          <w:lang w:eastAsia="en-GB"/>
          <w14:ligatures w14:val="none"/>
        </w:rPr>
        <w:t xml:space="preserve">This reflective discipline aligns closely with </w:t>
      </w:r>
      <w:r w:rsidRPr="003137A2" w:rsidR="6B03858F">
        <w:rPr>
          <w:rFonts w:ascii="Aptos" w:hAnsi="Aptos" w:eastAsia="Times New Roman" w:cs="Arial"/>
          <w:color w:val="000000"/>
          <w:kern w:val="0"/>
          <w:lang w:eastAsia="en-GB"/>
          <w14:ligatures w14:val="none"/>
        </w:rPr>
        <w:t>(</w:t>
      </w:r>
      <w:r w:rsidRPr="003137A2" w:rsidR="74131136">
        <w:rPr>
          <w:rFonts w:ascii="Aptos" w:hAnsi="Aptos" w:eastAsia="Times New Roman" w:cs="Arial"/>
          <w:color w:val="000000"/>
          <w:kern w:val="0"/>
          <w:lang w:eastAsia="en-GB"/>
          <w14:ligatures w14:val="none"/>
        </w:rPr>
        <w:t>Cottrell’s</w:t>
      </w:r>
      <w:r w:rsidRPr="003137A2" w:rsidR="19E0F289">
        <w:rPr>
          <w:rFonts w:ascii="Aptos" w:hAnsi="Aptos" w:eastAsia="Times New Roman" w:cs="Arial"/>
          <w:color w:val="000000"/>
          <w:kern w:val="0"/>
          <w:lang w:eastAsia="en-GB"/>
          <w14:ligatures w14:val="none"/>
        </w:rPr>
        <w:t xml:space="preserve">, </w:t>
      </w:r>
      <w:r w:rsidRPr="003137A2" w:rsidR="74131136">
        <w:rPr>
          <w:rFonts w:ascii="Aptos" w:hAnsi="Aptos" w:eastAsia="Times New Roman" w:cs="Arial"/>
          <w:color w:val="000000"/>
          <w:kern w:val="0"/>
          <w:lang w:eastAsia="en-GB"/>
          <w14:ligatures w14:val="none"/>
        </w:rPr>
        <w:t xml:space="preserve">2015) emphasis on reflective awareness and </w:t>
      </w:r>
      <w:r w:rsidRPr="003137A2" w:rsidR="74131136">
        <w:rPr>
          <w:rFonts w:ascii="Aptos" w:hAnsi="Aptos" w:eastAsia="Times New Roman" w:cs="Arial"/>
          <w:color w:val="000000"/>
          <w:kern w:val="0"/>
          <w:lang w:eastAsia="en-GB"/>
          <w14:ligatures w14:val="none"/>
        </w:rPr>
        <w:t>self</w:t>
      </w:r>
      <w:r w:rsidRPr="003137A2" w:rsidR="38E3111B">
        <w:rPr>
          <w:rFonts w:ascii="Aptos" w:hAnsi="Aptos" w:eastAsia="Times New Roman" w:cs="Arial"/>
          <w:color w:val="000000"/>
          <w:kern w:val="0"/>
          <w:lang w:eastAsia="en-GB"/>
          <w14:ligatures w14:val="none"/>
        </w:rPr>
        <w:t xml:space="preserve"> </w:t>
      </w:r>
      <w:r w:rsidRPr="003137A2" w:rsidR="74131136">
        <w:rPr>
          <w:rFonts w:ascii="Aptos" w:hAnsi="Aptos" w:eastAsia="Times New Roman" w:cs="Arial"/>
          <w:color w:val="000000"/>
          <w:kern w:val="0"/>
          <w:lang w:eastAsia="en-GB"/>
          <w14:ligatures w14:val="none"/>
        </w:rPr>
        <w:t xml:space="preserve">regulated</w:t>
      </w:r>
      <w:r w:rsidRPr="003137A2" w:rsidR="74131136">
        <w:rPr>
          <w:rFonts w:ascii="Aptos" w:hAnsi="Aptos" w:eastAsia="Times New Roman" w:cs="Arial"/>
          <w:color w:val="000000"/>
          <w:kern w:val="0"/>
          <w:lang w:eastAsia="en-GB"/>
          <w14:ligatures w14:val="none"/>
        </w:rPr>
        <w:t xml:space="preserve"> learning. </w:t>
      </w:r>
    </w:p>
    <w:p w:rsidRPr="003137A2" w:rsidR="003137A2" w:rsidP="003137A2" w:rsidRDefault="003137A2" w14:paraId="6BDD63DB" w14:textId="02B2FDB5">
      <w:pPr>
        <w:spacing w:before="240" w:after="240" w:line="240" w:lineRule="auto"/>
        <w:rPr>
          <w:rFonts w:ascii="Aptos" w:hAnsi="Aptos" w:eastAsia="Times New Roman" w:cs="Arial"/>
          <w:color w:val="000000"/>
          <w:kern w:val="0"/>
          <w:lang w:eastAsia="en-GB"/>
          <w14:ligatures w14:val="none"/>
        </w:rPr>
      </w:pPr>
      <w:r w:rsidRPr="003137A2" w:rsidR="6D7FFB3E">
        <w:rPr>
          <w:rFonts w:ascii="Aptos" w:hAnsi="Aptos" w:eastAsia="Times New Roman" w:cs="Arial"/>
          <w:color w:val="000000"/>
          <w:kern w:val="0"/>
          <w:lang w:eastAsia="en-GB"/>
          <w14:ligatures w14:val="none"/>
        </w:rPr>
        <w:t xml:space="preserve">The structured weekly review process was especially valuable during periods of uncertainty, helping </w:t>
      </w:r>
      <w:r w:rsidRPr="003137A2" w:rsidR="6D7FFB3E">
        <w:rPr>
          <w:rFonts w:ascii="Aptos" w:hAnsi="Aptos" w:eastAsia="Times New Roman" w:cs="Arial"/>
          <w:color w:val="000000"/>
          <w:kern w:val="0"/>
          <w:lang w:eastAsia="en-GB"/>
          <w14:ligatures w14:val="none"/>
        </w:rPr>
        <w:t>maintain</w:t>
      </w:r>
      <w:r w:rsidRPr="003137A2" w:rsidR="6D7FFB3E">
        <w:rPr>
          <w:rFonts w:ascii="Aptos" w:hAnsi="Aptos" w:eastAsia="Times New Roman" w:cs="Arial"/>
          <w:color w:val="000000"/>
          <w:kern w:val="0"/>
          <w:lang w:eastAsia="en-GB"/>
          <w14:ligatures w14:val="none"/>
        </w:rPr>
        <w:t xml:space="preserve"> direction and ensuring that setbacks did not derail overall progress. Additionally, the need to communicate effectively with supervisor, negotiate timelines</w:t>
      </w:r>
      <w:r w:rsidRPr="003137A2" w:rsidR="6D7FFB3E">
        <w:rPr>
          <w:rFonts w:ascii="Aptos" w:hAnsi="Aptos" w:eastAsia="Times New Roman" w:cs="Arial"/>
          <w:color w:val="000000"/>
          <w:kern w:val="0"/>
          <w:lang w:eastAsia="en-GB"/>
          <w14:ligatures w14:val="none"/>
        </w:rPr>
        <w:t xml:space="preserve"> and</w:t>
      </w:r>
      <w:r w:rsidRPr="003137A2" w:rsidR="6D7FFB3E">
        <w:rPr>
          <w:rFonts w:ascii="Aptos" w:hAnsi="Aptos" w:eastAsia="Times New Roman" w:cs="Arial"/>
          <w:color w:val="000000"/>
          <w:kern w:val="0"/>
          <w:lang w:eastAsia="en-GB"/>
          <w14:ligatures w14:val="none"/>
        </w:rPr>
        <w:t xml:space="preserve"> seek clarification when </w:t>
      </w:r>
      <w:r w:rsidRPr="003137A2" w:rsidR="6D7FFB3E">
        <w:rPr>
          <w:rFonts w:ascii="Aptos" w:hAnsi="Aptos" w:eastAsia="Times New Roman" w:cs="Arial"/>
          <w:color w:val="000000"/>
          <w:kern w:val="0"/>
          <w:lang w:eastAsia="en-GB"/>
          <w14:ligatures w14:val="none"/>
        </w:rPr>
        <w:t>required</w:t>
      </w:r>
      <w:r w:rsidRPr="003137A2" w:rsidR="6D7FFB3E">
        <w:rPr>
          <w:rFonts w:ascii="Aptos" w:hAnsi="Aptos" w:eastAsia="Times New Roman" w:cs="Arial"/>
          <w:color w:val="000000"/>
          <w:kern w:val="0"/>
          <w:lang w:eastAsia="en-GB"/>
          <w14:ligatures w14:val="none"/>
        </w:rPr>
        <w:t xml:space="preserve"> strengthened professional communication and influencing skills, which are essential life skills.</w:t>
      </w:r>
    </w:p>
    <w:p w:rsidRPr="003137A2" w:rsidR="003137A2" w:rsidP="003137A2" w:rsidRDefault="003137A2" w14:paraId="274CB4D5" w14:textId="722421CE">
      <w:pPr>
        <w:spacing w:before="240" w:after="240" w:line="240" w:lineRule="auto"/>
        <w:rPr>
          <w:rFonts w:ascii="Aptos" w:hAnsi="Aptos" w:eastAsia="Times New Roman" w:cs="Arial"/>
          <w:color w:val="000000"/>
          <w:kern w:val="0"/>
          <w:lang w:eastAsia="en-GB"/>
          <w14:ligatures w14:val="none"/>
        </w:rPr>
      </w:pPr>
      <w:r w:rsidRPr="003137A2" w:rsidR="6D7FFB3E">
        <w:rPr>
          <w:rFonts w:ascii="Aptos" w:hAnsi="Aptos" w:eastAsia="Times New Roman" w:cs="Arial"/>
          <w:color w:val="000000"/>
          <w:kern w:val="0"/>
          <w:lang w:eastAsia="en-GB"/>
          <w14:ligatures w14:val="none"/>
        </w:rPr>
        <w:t>The Independent Project has brought together three years of academic development and provided practical experience in managing a challenging, multi</w:t>
      </w:r>
      <w:r w:rsidRPr="003137A2" w:rsidR="6D7FFB3E">
        <w:rPr>
          <w:rFonts w:ascii="Cambria Math" w:hAnsi="Cambria Math" w:eastAsia="Times New Roman" w:cs="Cambria Math"/>
          <w:color w:val="000000"/>
          <w:kern w:val="0"/>
          <w:lang w:eastAsia="en-GB"/>
          <w14:ligatures w14:val="none"/>
        </w:rPr>
        <w:t>￼</w:t>
      </w:r>
      <w:r w:rsidRPr="003137A2" w:rsidR="6D7FFB3E">
        <w:rPr>
          <w:rFonts w:ascii="Aptos" w:hAnsi="Aptos" w:eastAsia="Times New Roman" w:cs="Arial"/>
          <w:color w:val="000000"/>
          <w:kern w:val="0"/>
          <w:lang w:eastAsia="en-GB"/>
          <w14:ligatures w14:val="none"/>
        </w:rPr>
        <w:t>stage research process. The combination of structured planning, reflective evaluation</w:t>
      </w:r>
      <w:r w:rsidRPr="003137A2" w:rsidR="569F80E2">
        <w:rPr>
          <w:rFonts w:ascii="Aptos" w:hAnsi="Aptos" w:eastAsia="Times New Roman" w:cs="Arial"/>
          <w:color w:val="000000"/>
          <w:kern w:val="0"/>
          <w:lang w:eastAsia="en-GB"/>
          <w14:ligatures w14:val="none"/>
        </w:rPr>
        <w:t xml:space="preserve"> </w:t>
      </w:r>
      <w:r w:rsidRPr="003137A2" w:rsidR="6D7FFB3E">
        <w:rPr>
          <w:rFonts w:ascii="Aptos" w:hAnsi="Aptos" w:eastAsia="Times New Roman" w:cs="Arial"/>
          <w:color w:val="000000"/>
          <w:kern w:val="0"/>
          <w:lang w:eastAsia="en-GB"/>
          <w14:ligatures w14:val="none"/>
        </w:rPr>
        <w:t xml:space="preserve">and disciplined work has not only supported the successful completion of the dissertation but has also strengthened the skills and behaviours </w:t>
      </w:r>
      <w:r w:rsidRPr="003137A2" w:rsidR="6D7FFB3E">
        <w:rPr>
          <w:rFonts w:ascii="Aptos" w:hAnsi="Aptos" w:eastAsia="Times New Roman" w:cs="Arial"/>
          <w:color w:val="000000"/>
          <w:kern w:val="0"/>
          <w:lang w:eastAsia="en-GB"/>
          <w14:ligatures w14:val="none"/>
        </w:rPr>
        <w:t>required</w:t>
      </w:r>
      <w:r w:rsidRPr="003137A2" w:rsidR="6D7FFB3E">
        <w:rPr>
          <w:rFonts w:ascii="Aptos" w:hAnsi="Aptos" w:eastAsia="Times New Roman" w:cs="Arial"/>
          <w:color w:val="000000"/>
          <w:kern w:val="0"/>
          <w:lang w:eastAsia="en-GB"/>
          <w14:ligatures w14:val="none"/>
        </w:rPr>
        <w:t xml:space="preserve"> for future professional responsibilities.</w:t>
      </w:r>
    </w:p>
    <w:p w:rsidRPr="003137A2" w:rsidR="003137A2" w:rsidP="003137A2" w:rsidRDefault="003137A2" w14:paraId="44C214FD" w14:textId="77777777">
      <w:pPr>
        <w:spacing w:before="240" w:after="240" w:line="240" w:lineRule="auto"/>
        <w:jc w:val="center"/>
        <w:rPr>
          <w:rFonts w:ascii="Aptos" w:hAnsi="Aptos" w:eastAsia="Times New Roman" w:cs="Arial"/>
          <w:color w:val="000000"/>
          <w:kern w:val="0"/>
          <w:lang w:eastAsia="en-GB"/>
          <w14:ligatures w14:val="none"/>
        </w:rPr>
      </w:pPr>
    </w:p>
    <w:p w:rsidR="08626363" w:rsidP="08626363" w:rsidRDefault="08626363" w14:paraId="0B65EBB4" w14:textId="226EA14B">
      <w:pPr>
        <w:spacing w:before="240" w:after="240" w:line="240" w:lineRule="auto"/>
        <w:jc w:val="center"/>
        <w:rPr>
          <w:rFonts w:ascii="Aptos" w:hAnsi="Aptos" w:eastAsia="Times New Roman" w:cs="Arial"/>
          <w:color w:val="000000" w:themeColor="text1" w:themeTint="FF" w:themeShade="FF"/>
          <w:lang w:eastAsia="en-GB"/>
        </w:rPr>
      </w:pPr>
    </w:p>
    <w:p w:rsidR="257BFE88" w:rsidP="257BFE88" w:rsidRDefault="257BFE88" w14:paraId="4734B9CC" w14:textId="3227754D">
      <w:pPr>
        <w:spacing w:before="240" w:after="240" w:line="240" w:lineRule="auto"/>
        <w:jc w:val="center"/>
        <w:rPr>
          <w:rFonts w:ascii="Aptos" w:hAnsi="Aptos" w:eastAsia="Times New Roman" w:cs="Arial"/>
          <w:color w:val="000000" w:themeColor="text1" w:themeTint="FF" w:themeShade="FF"/>
          <w:lang w:eastAsia="en-GB"/>
        </w:rPr>
      </w:pPr>
    </w:p>
    <w:p w:rsidR="08626363" w:rsidP="08626363" w:rsidRDefault="08626363" w14:paraId="3BCC5857" w14:textId="21BD2C46">
      <w:pPr>
        <w:spacing w:before="240" w:after="240" w:line="240" w:lineRule="auto"/>
        <w:jc w:val="center"/>
        <w:rPr>
          <w:rFonts w:ascii="Aptos" w:hAnsi="Aptos" w:eastAsia="Times New Roman" w:cs="Arial"/>
          <w:color w:val="000000" w:themeColor="text1" w:themeTint="FF" w:themeShade="FF"/>
          <w:lang w:eastAsia="en-GB"/>
        </w:rPr>
      </w:pPr>
    </w:p>
    <w:p w:rsidR="08626363" w:rsidP="08626363" w:rsidRDefault="08626363" w14:paraId="3587DC26" w14:textId="3E74B4EA">
      <w:pPr>
        <w:spacing w:before="240" w:after="240" w:line="240" w:lineRule="auto"/>
        <w:jc w:val="center"/>
        <w:rPr>
          <w:rFonts w:ascii="Aptos" w:hAnsi="Aptos" w:eastAsia="Times New Roman" w:cs="Arial"/>
          <w:color w:val="000000" w:themeColor="text1" w:themeTint="FF" w:themeShade="FF"/>
          <w:lang w:eastAsia="en-GB"/>
        </w:rPr>
      </w:pPr>
    </w:p>
    <w:p w:rsidR="08626363" w:rsidP="08626363" w:rsidRDefault="08626363" w14:paraId="2635DA39" w14:textId="702F924E">
      <w:pPr>
        <w:spacing w:before="240" w:after="240" w:line="240" w:lineRule="auto"/>
        <w:jc w:val="center"/>
        <w:rPr>
          <w:rFonts w:ascii="Aptos" w:hAnsi="Aptos" w:eastAsia="Times New Roman" w:cs="Arial"/>
          <w:color w:val="000000" w:themeColor="text1" w:themeTint="FF" w:themeShade="FF"/>
          <w:lang w:eastAsia="en-GB"/>
        </w:rPr>
      </w:pPr>
    </w:p>
    <w:p w:rsidR="08626363" w:rsidP="08626363" w:rsidRDefault="08626363" w14:paraId="1D030C3B" w14:textId="76B9B0E7">
      <w:pPr>
        <w:spacing w:before="240" w:after="240" w:line="240" w:lineRule="auto"/>
        <w:jc w:val="center"/>
        <w:rPr>
          <w:rFonts w:ascii="Aptos" w:hAnsi="Aptos" w:eastAsia="Times New Roman" w:cs="Arial"/>
          <w:color w:val="000000" w:themeColor="text1" w:themeTint="FF" w:themeShade="FF"/>
          <w:lang w:eastAsia="en-GB"/>
        </w:rPr>
      </w:pPr>
    </w:p>
    <w:p w:rsidR="08626363" w:rsidP="08626363" w:rsidRDefault="08626363" w14:paraId="72B19F6A" w14:textId="09C742E0">
      <w:pPr>
        <w:spacing w:before="240" w:after="240" w:line="240" w:lineRule="auto"/>
        <w:jc w:val="center"/>
        <w:rPr>
          <w:rFonts w:ascii="Aptos" w:hAnsi="Aptos" w:eastAsia="Times New Roman" w:cs="Arial"/>
          <w:color w:val="000000" w:themeColor="text1" w:themeTint="FF" w:themeShade="FF"/>
          <w:lang w:eastAsia="en-GB"/>
        </w:rPr>
      </w:pPr>
    </w:p>
    <w:p w:rsidR="257BFE88" w:rsidP="257BFE88" w:rsidRDefault="257BFE88" w14:paraId="6B58B9EB" w14:textId="6261CFB4">
      <w:pPr>
        <w:spacing w:before="240" w:after="240" w:line="240" w:lineRule="auto"/>
        <w:jc w:val="center"/>
        <w:rPr>
          <w:rFonts w:ascii="Aptos" w:hAnsi="Aptos" w:eastAsia="Times New Roman" w:cs="Arial"/>
          <w:color w:val="000000" w:themeColor="text1" w:themeTint="FF" w:themeShade="FF"/>
          <w:lang w:eastAsia="en-GB"/>
        </w:rPr>
      </w:pPr>
    </w:p>
    <w:p w:rsidR="257BFE88" w:rsidP="257BFE88" w:rsidRDefault="257BFE88" w14:paraId="5D5497D8" w14:textId="2CE8326C">
      <w:pPr>
        <w:spacing w:before="240" w:after="240" w:line="240" w:lineRule="auto"/>
        <w:jc w:val="center"/>
        <w:rPr>
          <w:rFonts w:ascii="Aptos" w:hAnsi="Aptos" w:eastAsia="Times New Roman" w:cs="Arial"/>
          <w:color w:val="000000" w:themeColor="text1" w:themeTint="FF" w:themeShade="FF"/>
          <w:lang w:eastAsia="en-GB"/>
        </w:rPr>
      </w:pPr>
    </w:p>
    <w:p w:rsidR="257BFE88" w:rsidP="257BFE88" w:rsidRDefault="257BFE88" w14:paraId="1A2413DC" w14:textId="6C3D2442">
      <w:pPr>
        <w:spacing w:before="240" w:after="240" w:line="240" w:lineRule="auto"/>
        <w:jc w:val="center"/>
        <w:rPr>
          <w:rFonts w:ascii="Aptos" w:hAnsi="Aptos" w:eastAsia="Times New Roman" w:cs="Arial"/>
          <w:color w:val="000000" w:themeColor="text1" w:themeTint="FF" w:themeShade="FF"/>
          <w:lang w:eastAsia="en-GB"/>
        </w:rPr>
      </w:pPr>
    </w:p>
    <w:p w:rsidR="257BFE88" w:rsidP="257BFE88" w:rsidRDefault="257BFE88" w14:paraId="7A6788D8" w14:textId="0C5FEF58">
      <w:pPr>
        <w:spacing w:before="240" w:after="240" w:line="240" w:lineRule="auto"/>
        <w:jc w:val="center"/>
        <w:rPr>
          <w:rFonts w:ascii="Aptos" w:hAnsi="Aptos" w:eastAsia="Times New Roman" w:cs="Arial"/>
          <w:color w:val="000000" w:themeColor="text1" w:themeTint="FF" w:themeShade="FF"/>
          <w:lang w:eastAsia="en-GB"/>
        </w:rPr>
      </w:pPr>
    </w:p>
    <w:p w:rsidR="257BFE88" w:rsidP="257BFE88" w:rsidRDefault="257BFE88" w14:paraId="23EA0050" w14:textId="54E23D87">
      <w:pPr>
        <w:spacing w:before="240" w:after="240" w:line="240" w:lineRule="auto"/>
        <w:jc w:val="center"/>
        <w:rPr>
          <w:rFonts w:ascii="Aptos" w:hAnsi="Aptos" w:eastAsia="Times New Roman" w:cs="Arial"/>
          <w:color w:val="000000" w:themeColor="text1" w:themeTint="FF" w:themeShade="FF"/>
          <w:lang w:eastAsia="en-GB"/>
        </w:rPr>
      </w:pPr>
    </w:p>
    <w:p w:rsidRPr="003137A2" w:rsidR="003137A2" w:rsidP="257BFE88" w:rsidRDefault="003137A2" w14:paraId="3539935D" w14:textId="77777777">
      <w:pPr>
        <w:keepNext w:val="1"/>
        <w:keepLines w:val="1"/>
        <w:spacing w:before="360" w:after="80"/>
        <w:outlineLvl w:val="0"/>
        <w:rPr>
          <w:rFonts w:ascii="Times New Roman" w:hAnsi="Times New Roman" w:eastAsia="Times New Roman" w:cs="" w:cstheme="majorBidi"/>
          <w:color w:val="0F4761" w:themeColor="accent1" w:themeShade="BF"/>
          <w:sz w:val="48"/>
          <w:szCs w:val="48"/>
          <w:lang w:eastAsia="en-GB"/>
        </w:rPr>
      </w:pPr>
      <w:bookmarkStart w:name="_Toc1204800955" w:id="1899145487"/>
      <w:r w:rsidRPr="257BFE88" w:rsidR="6D7FFB3E">
        <w:rPr>
          <w:rFonts w:ascii="Aptos Display" w:hAnsi="Aptos Display" w:eastAsia="Times New Roman" w:cs="" w:asciiTheme="majorAscii" w:hAnsiTheme="majorAscii" w:cstheme="majorBidi"/>
          <w:color w:val="0F4761" w:themeColor="accent1" w:themeTint="FF" w:themeShade="BF"/>
          <w:sz w:val="40"/>
          <w:szCs w:val="40"/>
          <w:lang w:eastAsia="en-GB"/>
        </w:rPr>
        <w:t>6.Conclusion and Recommendations</w:t>
      </w:r>
      <w:bookmarkEnd w:id="1899145487"/>
    </w:p>
    <w:p w:rsidRPr="003137A2" w:rsidR="003137A2" w:rsidP="257BFE88" w:rsidRDefault="003137A2" w14:paraId="7CD732F2" w14:textId="77777777">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432391643" w:id="2144860842"/>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6.1 Conclusion</w:t>
      </w:r>
      <w:bookmarkEnd w:id="2144860842"/>
    </w:p>
    <w:p w:rsidRPr="003137A2" w:rsidR="003137A2" w:rsidP="003137A2" w:rsidRDefault="003137A2" w14:paraId="66CA57C9" w14:textId="7668D46C">
      <w:pPr>
        <w:spacing w:before="240" w:after="240" w:line="240" w:lineRule="auto"/>
        <w:rPr>
          <w:rFonts w:ascii="Aptos" w:hAnsi="Aptos" w:eastAsia="Times New Roman" w:cs="Arial"/>
          <w:color w:val="000000"/>
          <w:kern w:val="0"/>
          <w:lang w:eastAsia="en-GB"/>
          <w14:ligatures w14:val="none"/>
        </w:rPr>
      </w:pPr>
      <w:r w:rsidRPr="003137A2" w:rsidR="6D7FFB3E">
        <w:rPr>
          <w:rFonts w:ascii="Aptos" w:hAnsi="Aptos" w:eastAsia="Times New Roman" w:cs="Arial"/>
          <w:color w:val="000000"/>
          <w:kern w:val="0"/>
          <w:lang w:eastAsia="en-GB"/>
          <w14:ligatures w14:val="none"/>
        </w:rPr>
        <w:t>This Independent Project examine</w:t>
      </w:r>
      <w:r w:rsidRPr="003137A2" w:rsidR="1A2B0C9F">
        <w:rPr>
          <w:rFonts w:ascii="Aptos" w:hAnsi="Aptos" w:eastAsia="Times New Roman" w:cs="Arial"/>
          <w:color w:val="000000"/>
          <w:kern w:val="0"/>
          <w:lang w:eastAsia="en-GB"/>
          <w14:ligatures w14:val="none"/>
        </w:rPr>
        <w:t>d</w:t>
      </w:r>
      <w:r w:rsidRPr="003137A2" w:rsidR="6D7FFB3E">
        <w:rPr>
          <w:rFonts w:ascii="Aptos" w:hAnsi="Aptos" w:eastAsia="Times New Roman" w:cs="Arial"/>
          <w:color w:val="000000"/>
          <w:kern w:val="0"/>
          <w:lang w:eastAsia="en-GB"/>
          <w14:ligatures w14:val="none"/>
        </w:rPr>
        <w:t xml:space="preserve"> whether ESG scoring systems </w:t>
      </w:r>
      <w:r w:rsidRPr="003137A2" w:rsidR="265759A9">
        <w:rPr>
          <w:rFonts w:ascii="Aptos" w:hAnsi="Aptos" w:eastAsia="Times New Roman" w:cs="Arial"/>
          <w:color w:val="000000"/>
          <w:kern w:val="0"/>
          <w:lang w:eastAsia="en-GB"/>
          <w14:ligatures w14:val="none"/>
        </w:rPr>
        <w:t>cause</w:t>
      </w:r>
      <w:r w:rsidRPr="003137A2" w:rsidR="6D7FFB3E">
        <w:rPr>
          <w:rFonts w:ascii="Aptos" w:hAnsi="Aptos" w:eastAsia="Times New Roman" w:cs="Arial"/>
          <w:color w:val="000000"/>
          <w:kern w:val="0"/>
          <w:lang w:eastAsia="en-GB"/>
          <w14:ligatures w14:val="none"/>
        </w:rPr>
        <w:t xml:space="preserve"> unintended financial and economic consequences</w:t>
      </w:r>
      <w:r w:rsidRPr="003137A2" w:rsidR="5A401EB6">
        <w:rPr>
          <w:rFonts w:ascii="Aptos" w:hAnsi="Aptos" w:eastAsia="Times New Roman" w:cs="Arial"/>
          <w:color w:val="000000"/>
          <w:kern w:val="0"/>
          <w:lang w:eastAsia="en-GB"/>
          <w14:ligatures w14:val="none"/>
        </w:rPr>
        <w:t>.</w:t>
      </w:r>
      <w:r w:rsidRPr="003137A2" w:rsidR="6D7FFB3E">
        <w:rPr>
          <w:rFonts w:ascii="Aptos" w:hAnsi="Aptos" w:eastAsia="Times New Roman" w:cs="Arial"/>
          <w:color w:val="000000"/>
          <w:kern w:val="0"/>
          <w:lang w:eastAsia="en-GB"/>
          <w14:ligatures w14:val="none"/>
        </w:rPr>
        <w:t xml:space="preserve"> BlackRock </w:t>
      </w:r>
      <w:r w:rsidRPr="003137A2" w:rsidR="67604E9A">
        <w:rPr>
          <w:rFonts w:ascii="Aptos" w:hAnsi="Aptos" w:eastAsia="Times New Roman" w:cs="Arial"/>
          <w:color w:val="000000"/>
          <w:kern w:val="0"/>
          <w:lang w:eastAsia="en-GB"/>
          <w14:ligatures w14:val="none"/>
        </w:rPr>
        <w:t xml:space="preserve">was used </w:t>
      </w:r>
      <w:r w:rsidRPr="003137A2" w:rsidR="6D7FFB3E">
        <w:rPr>
          <w:rFonts w:ascii="Aptos" w:hAnsi="Aptos" w:eastAsia="Times New Roman" w:cs="Arial"/>
          <w:color w:val="000000"/>
          <w:kern w:val="0"/>
          <w:lang w:eastAsia="en-GB"/>
          <w14:ligatures w14:val="none"/>
        </w:rPr>
        <w:t xml:space="preserve">as the case study because of its scale, </w:t>
      </w:r>
      <w:r w:rsidRPr="003137A2" w:rsidR="6D7FFB3E">
        <w:rPr>
          <w:rFonts w:ascii="Aptos" w:hAnsi="Aptos" w:eastAsia="Times New Roman" w:cs="Arial"/>
          <w:color w:val="000000"/>
          <w:kern w:val="0"/>
          <w:lang w:eastAsia="en-GB"/>
          <w14:ligatures w14:val="none"/>
        </w:rPr>
        <w:t>influence</w:t>
      </w:r>
      <w:r w:rsidRPr="003137A2" w:rsidR="6D7FFB3E">
        <w:rPr>
          <w:rFonts w:ascii="Aptos" w:hAnsi="Aptos" w:eastAsia="Times New Roman" w:cs="Arial"/>
          <w:color w:val="000000"/>
          <w:kern w:val="0"/>
          <w:lang w:eastAsia="en-GB"/>
          <w14:ligatures w14:val="none"/>
        </w:rPr>
        <w:t xml:space="preserve"> and extensive </w:t>
      </w:r>
      <w:r w:rsidRPr="003137A2" w:rsidR="7594E034">
        <w:rPr>
          <w:rFonts w:ascii="Aptos" w:hAnsi="Aptos" w:eastAsia="Times New Roman" w:cs="Arial"/>
          <w:color w:val="000000"/>
          <w:kern w:val="0"/>
          <w:lang w:eastAsia="en-GB"/>
          <w14:ligatures w14:val="none"/>
        </w:rPr>
        <w:t>use</w:t>
      </w:r>
      <w:r w:rsidRPr="003137A2" w:rsidR="6D7FFB3E">
        <w:rPr>
          <w:rFonts w:ascii="Aptos" w:hAnsi="Aptos" w:eastAsia="Times New Roman" w:cs="Arial"/>
          <w:color w:val="000000"/>
          <w:kern w:val="0"/>
          <w:lang w:eastAsia="en-GB"/>
          <w14:ligatures w14:val="none"/>
        </w:rPr>
        <w:t xml:space="preserve"> of third party ESG data. The research </w:t>
      </w:r>
      <w:r w:rsidRPr="003137A2" w:rsidR="38783F62">
        <w:rPr>
          <w:rFonts w:ascii="Aptos" w:hAnsi="Aptos" w:eastAsia="Times New Roman" w:cs="Arial"/>
          <w:color w:val="000000"/>
          <w:kern w:val="0"/>
          <w:lang w:eastAsia="en-GB"/>
          <w14:ligatures w14:val="none"/>
        </w:rPr>
        <w:t xml:space="preserve">found </w:t>
      </w:r>
      <w:r w:rsidRPr="003137A2" w:rsidR="6D7FFB3E">
        <w:rPr>
          <w:rFonts w:ascii="Aptos" w:hAnsi="Aptos" w:eastAsia="Times New Roman" w:cs="Arial"/>
          <w:color w:val="000000"/>
          <w:kern w:val="0"/>
          <w:lang w:eastAsia="en-GB"/>
          <w14:ligatures w14:val="none"/>
        </w:rPr>
        <w:t xml:space="preserve">that ESG scores, particularly those produced by MSCI and Sustainalytics, play </w:t>
      </w:r>
      <w:r w:rsidRPr="003137A2" w:rsidR="04033A0A">
        <w:rPr>
          <w:rFonts w:ascii="Aptos" w:hAnsi="Aptos" w:eastAsia="Times New Roman" w:cs="Arial"/>
          <w:color w:val="000000"/>
          <w:kern w:val="0"/>
          <w:lang w:eastAsia="en-GB"/>
          <w14:ligatures w14:val="none"/>
        </w:rPr>
        <w:t xml:space="preserve">only </w:t>
      </w:r>
      <w:r w:rsidRPr="003137A2" w:rsidR="6D7FFB3E">
        <w:rPr>
          <w:rFonts w:ascii="Aptos" w:hAnsi="Aptos" w:eastAsia="Times New Roman" w:cs="Arial"/>
          <w:color w:val="000000"/>
          <w:kern w:val="0"/>
          <w:lang w:eastAsia="en-GB"/>
          <w14:ligatures w14:val="none"/>
        </w:rPr>
        <w:t>a</w:t>
      </w:r>
      <w:r w:rsidRPr="003137A2" w:rsidR="01AF8CB5">
        <w:rPr>
          <w:rFonts w:ascii="Aptos" w:hAnsi="Aptos" w:eastAsia="Times New Roman" w:cs="Arial"/>
          <w:color w:val="000000"/>
          <w:kern w:val="0"/>
          <w:lang w:eastAsia="en-GB"/>
          <w14:ligatures w14:val="none"/>
        </w:rPr>
        <w:t xml:space="preserve"> </w:t>
      </w:r>
      <w:r w:rsidRPr="003137A2" w:rsidR="0797B4BA">
        <w:rPr>
          <w:rFonts w:ascii="Aptos" w:hAnsi="Aptos" w:eastAsia="Times New Roman" w:cs="Arial"/>
          <w:color w:val="000000"/>
          <w:kern w:val="0"/>
          <w:lang w:eastAsia="en-GB"/>
          <w14:ligatures w14:val="none"/>
        </w:rPr>
        <w:t>limited</w:t>
      </w:r>
      <w:r w:rsidRPr="003137A2" w:rsidR="6D7FFB3E">
        <w:rPr>
          <w:rFonts w:ascii="Aptos" w:hAnsi="Aptos" w:eastAsia="Times New Roman" w:cs="Arial"/>
          <w:color w:val="000000"/>
          <w:kern w:val="0"/>
          <w:lang w:eastAsia="en-GB"/>
          <w14:ligatures w14:val="none"/>
        </w:rPr>
        <w:t xml:space="preserve"> </w:t>
      </w:r>
      <w:r w:rsidRPr="003137A2" w:rsidR="6D7FFB3E">
        <w:rPr>
          <w:rFonts w:ascii="Aptos" w:hAnsi="Aptos" w:eastAsia="Times New Roman" w:cs="Arial"/>
          <w:color w:val="000000"/>
          <w:kern w:val="0"/>
          <w:lang w:eastAsia="en-GB"/>
          <w14:ligatures w14:val="none"/>
        </w:rPr>
        <w:t>role</w:t>
      </w:r>
      <w:r w:rsidRPr="003137A2" w:rsidR="7AEDD7B3">
        <w:rPr>
          <w:rFonts w:ascii="Aptos" w:hAnsi="Aptos" w:eastAsia="Times New Roman" w:cs="Arial"/>
          <w:color w:val="000000"/>
          <w:kern w:val="0"/>
          <w:lang w:eastAsia="en-GB"/>
          <w14:ligatures w14:val="none"/>
        </w:rPr>
        <w:t xml:space="preserve"> in</w:t>
      </w:r>
      <w:r w:rsidRPr="003137A2" w:rsidR="6D7FFB3E">
        <w:rPr>
          <w:rFonts w:ascii="Aptos" w:hAnsi="Aptos" w:eastAsia="Times New Roman" w:cs="Arial"/>
          <w:color w:val="000000"/>
          <w:kern w:val="0"/>
          <w:lang w:eastAsia="en-GB"/>
          <w14:ligatures w14:val="none"/>
        </w:rPr>
        <w:t xml:space="preserve"> informing </w:t>
      </w:r>
      <w:r w:rsidRPr="003137A2" w:rsidR="639138C7">
        <w:rPr>
          <w:rFonts w:ascii="Aptos" w:hAnsi="Aptos" w:eastAsia="Times New Roman" w:cs="Arial"/>
          <w:color w:val="000000"/>
          <w:kern w:val="0"/>
          <w:lang w:eastAsia="en-GB"/>
          <w14:ligatures w14:val="none"/>
        </w:rPr>
        <w:t xml:space="preserve">how </w:t>
      </w:r>
      <w:r w:rsidRPr="003137A2" w:rsidR="6D7FFB3E">
        <w:rPr>
          <w:rFonts w:ascii="Aptos" w:hAnsi="Aptos" w:eastAsia="Times New Roman" w:cs="Arial"/>
          <w:color w:val="000000"/>
          <w:kern w:val="0"/>
          <w:lang w:eastAsia="en-GB"/>
          <w14:ligatures w14:val="none"/>
        </w:rPr>
        <w:t>investment</w:t>
      </w:r>
      <w:r w:rsidRPr="003137A2" w:rsidR="026B0D5F">
        <w:rPr>
          <w:rFonts w:ascii="Aptos" w:hAnsi="Aptos" w:eastAsia="Times New Roman" w:cs="Arial"/>
          <w:color w:val="000000"/>
          <w:kern w:val="0"/>
          <w:lang w:eastAsia="en-GB"/>
          <w14:ligatures w14:val="none"/>
        </w:rPr>
        <w:t>s are</w:t>
      </w:r>
      <w:r w:rsidRPr="003137A2" w:rsidR="6D7FFB3E">
        <w:rPr>
          <w:rFonts w:ascii="Aptos" w:hAnsi="Aptos" w:eastAsia="Times New Roman" w:cs="Arial"/>
          <w:color w:val="000000"/>
          <w:kern w:val="0"/>
          <w:lang w:eastAsia="en-GB"/>
          <w14:ligatures w14:val="none"/>
        </w:rPr>
        <w:t xml:space="preserve"> classifi</w:t>
      </w:r>
      <w:r w:rsidRPr="003137A2" w:rsidR="30D304CD">
        <w:rPr>
          <w:rFonts w:ascii="Aptos" w:hAnsi="Aptos" w:eastAsia="Times New Roman" w:cs="Arial"/>
          <w:color w:val="000000"/>
          <w:kern w:val="0"/>
          <w:lang w:eastAsia="en-GB"/>
          <w14:ligatures w14:val="none"/>
        </w:rPr>
        <w:t>ed</w:t>
      </w:r>
      <w:r w:rsidRPr="003137A2" w:rsidR="6D7FFB3E">
        <w:rPr>
          <w:rFonts w:ascii="Aptos" w:hAnsi="Aptos" w:eastAsia="Times New Roman" w:cs="Arial"/>
          <w:color w:val="000000"/>
          <w:kern w:val="0"/>
          <w:lang w:eastAsia="en-GB"/>
          <w14:ligatures w14:val="none"/>
        </w:rPr>
        <w:t xml:space="preserve">, </w:t>
      </w:r>
      <w:r w:rsidRPr="003137A2" w:rsidR="29CA850A">
        <w:rPr>
          <w:rFonts w:ascii="Aptos" w:hAnsi="Aptos" w:eastAsia="Times New Roman" w:cs="Arial"/>
          <w:color w:val="000000"/>
          <w:kern w:val="0"/>
          <w:lang w:eastAsia="en-GB"/>
          <w14:ligatures w14:val="none"/>
        </w:rPr>
        <w:t>how funds are structured</w:t>
      </w:r>
      <w:r w:rsidRPr="003137A2" w:rsidR="6D7FFB3E">
        <w:rPr>
          <w:rFonts w:ascii="Aptos" w:hAnsi="Aptos" w:eastAsia="Times New Roman" w:cs="Arial"/>
          <w:color w:val="000000"/>
          <w:kern w:val="0"/>
          <w:lang w:eastAsia="en-GB"/>
          <w14:ligatures w14:val="none"/>
        </w:rPr>
        <w:t xml:space="preserve"> and</w:t>
      </w:r>
      <w:r w:rsidRPr="003137A2" w:rsidR="6C98FD63">
        <w:rPr>
          <w:rFonts w:ascii="Aptos" w:hAnsi="Aptos" w:eastAsia="Times New Roman" w:cs="Arial"/>
          <w:color w:val="000000"/>
          <w:kern w:val="0"/>
          <w:lang w:eastAsia="en-GB"/>
          <w14:ligatures w14:val="none"/>
        </w:rPr>
        <w:t xml:space="preserve"> how</w:t>
      </w:r>
      <w:r w:rsidRPr="003137A2" w:rsidR="6D7FFB3E">
        <w:rPr>
          <w:rFonts w:ascii="Aptos" w:hAnsi="Aptos" w:eastAsia="Times New Roman" w:cs="Arial"/>
          <w:color w:val="000000"/>
          <w:kern w:val="0"/>
          <w:lang w:eastAsia="en-GB"/>
          <w14:ligatures w14:val="none"/>
        </w:rPr>
        <w:t xml:space="preserve"> market</w:t>
      </w:r>
      <w:r w:rsidRPr="003137A2" w:rsidR="05293E5F">
        <w:rPr>
          <w:rFonts w:ascii="Aptos" w:hAnsi="Aptos" w:eastAsia="Times New Roman" w:cs="Arial"/>
          <w:color w:val="000000"/>
          <w:kern w:val="0"/>
          <w:lang w:eastAsia="en-GB"/>
          <w14:ligatures w14:val="none"/>
        </w:rPr>
        <w:t>s regard company performance</w:t>
      </w:r>
      <w:r w:rsidRPr="003137A2" w:rsidR="6D7FFB3E">
        <w:rPr>
          <w:rFonts w:ascii="Aptos" w:hAnsi="Aptos" w:eastAsia="Times New Roman" w:cs="Arial"/>
          <w:color w:val="000000"/>
          <w:kern w:val="0"/>
          <w:lang w:eastAsia="en-GB"/>
          <w14:ligatures w14:val="none"/>
        </w:rPr>
        <w:t xml:space="preserve">. </w:t>
      </w:r>
      <w:r w:rsidRPr="003137A2" w:rsidR="4FDE9813">
        <w:rPr>
          <w:rFonts w:ascii="Aptos" w:hAnsi="Aptos" w:eastAsia="Times New Roman" w:cs="Arial"/>
          <w:color w:val="000000"/>
          <w:kern w:val="0"/>
          <w:lang w:eastAsia="en-GB"/>
          <w14:ligatures w14:val="none"/>
        </w:rPr>
        <w:t>Th</w:t>
      </w:r>
      <w:r w:rsidRPr="003137A2" w:rsidR="6D7FFB3E">
        <w:rPr>
          <w:rFonts w:ascii="Aptos" w:hAnsi="Aptos" w:eastAsia="Times New Roman" w:cs="Arial"/>
          <w:color w:val="000000"/>
          <w:kern w:val="0"/>
          <w:lang w:eastAsia="en-GB"/>
          <w14:ligatures w14:val="none"/>
        </w:rPr>
        <w:t>e</w:t>
      </w:r>
      <w:r w:rsidRPr="003137A2" w:rsidR="1351D584">
        <w:rPr>
          <w:rFonts w:ascii="Aptos" w:hAnsi="Aptos" w:eastAsia="Times New Roman" w:cs="Arial"/>
          <w:color w:val="000000"/>
          <w:kern w:val="0"/>
          <w:lang w:eastAsia="en-GB"/>
          <w14:ligatures w14:val="none"/>
        </w:rPr>
        <w:t xml:space="preserve">re was </w:t>
      </w:r>
      <w:r w:rsidRPr="003137A2" w:rsidR="6D7FFB3E">
        <w:rPr>
          <w:rFonts w:ascii="Aptos" w:hAnsi="Aptos" w:eastAsia="Times New Roman" w:cs="Arial"/>
          <w:color w:val="000000"/>
          <w:kern w:val="0"/>
          <w:lang w:eastAsia="en-GB"/>
          <w14:ligatures w14:val="none"/>
        </w:rPr>
        <w:t xml:space="preserve">no </w:t>
      </w:r>
      <w:r w:rsidRPr="003137A2" w:rsidR="3C8311F0">
        <w:rPr>
          <w:rFonts w:ascii="Aptos" w:hAnsi="Aptos" w:eastAsia="Times New Roman" w:cs="Arial"/>
          <w:color w:val="000000"/>
          <w:kern w:val="0"/>
          <w:lang w:eastAsia="en-GB"/>
          <w14:ligatures w14:val="none"/>
        </w:rPr>
        <w:t xml:space="preserve">identified </w:t>
      </w:r>
      <w:r w:rsidRPr="003137A2" w:rsidR="6D7FFB3E">
        <w:rPr>
          <w:rFonts w:ascii="Aptos" w:hAnsi="Aptos" w:eastAsia="Times New Roman" w:cs="Arial"/>
          <w:color w:val="000000"/>
          <w:kern w:val="0"/>
          <w:lang w:eastAsia="en-GB"/>
          <w14:ligatures w14:val="none"/>
        </w:rPr>
        <w:t>direct causal or predictable relationship between ESG ratings and financial outcomes.</w:t>
      </w:r>
      <w:r w:rsidRPr="003137A2" w:rsidR="6C0EE5F0">
        <w:rPr>
          <w:rFonts w:ascii="Aptos" w:hAnsi="Aptos" w:eastAsia="Times New Roman" w:cs="Arial"/>
          <w:color w:val="000000"/>
          <w:kern w:val="0"/>
          <w:lang w:eastAsia="en-GB"/>
          <w14:ligatures w14:val="none"/>
        </w:rPr>
        <w:t xml:space="preserve"> The </w:t>
      </w:r>
      <w:r w:rsidRPr="003137A2" w:rsidR="764FE923">
        <w:rPr>
          <w:rFonts w:ascii="Aptos" w:hAnsi="Aptos" w:eastAsia="Times New Roman" w:cs="Arial"/>
          <w:color w:val="000000"/>
          <w:kern w:val="0"/>
          <w:lang w:eastAsia="en-GB"/>
          <w14:ligatures w14:val="none"/>
        </w:rPr>
        <w:t xml:space="preserve">conclusion is </w:t>
      </w:r>
      <w:r w:rsidRPr="003137A2" w:rsidR="6C0EE5F0">
        <w:rPr>
          <w:rFonts w:ascii="Aptos" w:hAnsi="Aptos" w:eastAsia="Times New Roman" w:cs="Arial"/>
          <w:color w:val="000000"/>
          <w:kern w:val="0"/>
          <w:lang w:eastAsia="en-GB"/>
          <w14:ligatures w14:val="none"/>
        </w:rPr>
        <w:t>that</w:t>
      </w:r>
      <w:r w:rsidRPr="003137A2" w:rsidR="6D7FFB3E">
        <w:rPr>
          <w:rFonts w:ascii="Aptos" w:hAnsi="Aptos" w:eastAsia="Times New Roman" w:cs="Arial"/>
          <w:color w:val="000000"/>
          <w:kern w:val="0"/>
          <w:lang w:eastAsia="en-GB"/>
          <w14:ligatures w14:val="none"/>
        </w:rPr>
        <w:t xml:space="preserve"> </w:t>
      </w:r>
      <w:r w:rsidRPr="003137A2" w:rsidR="6D7FFB3E">
        <w:rPr>
          <w:rFonts w:ascii="Aptos" w:hAnsi="Aptos" w:eastAsia="Times New Roman" w:cs="Arial"/>
          <w:color w:val="000000"/>
          <w:kern w:val="0"/>
          <w:lang w:eastAsia="en-GB"/>
          <w14:ligatures w14:val="none"/>
        </w:rPr>
        <w:t xml:space="preserve">ESG scoring interacts with </w:t>
      </w:r>
      <w:r w:rsidRPr="003137A2" w:rsidR="1E9D5E83">
        <w:rPr>
          <w:rFonts w:ascii="Aptos" w:hAnsi="Aptos" w:eastAsia="Times New Roman" w:cs="Arial"/>
          <w:color w:val="000000"/>
          <w:kern w:val="0"/>
          <w:lang w:eastAsia="en-GB"/>
          <w14:ligatures w14:val="none"/>
        </w:rPr>
        <w:t>industry</w:t>
      </w:r>
      <w:r w:rsidRPr="003137A2" w:rsidR="6D7FFB3E">
        <w:rPr>
          <w:rFonts w:ascii="Aptos" w:hAnsi="Aptos" w:eastAsia="Times New Roman" w:cs="Arial"/>
          <w:color w:val="000000"/>
          <w:kern w:val="0"/>
          <w:lang w:eastAsia="en-GB"/>
          <w14:ligatures w14:val="none"/>
        </w:rPr>
        <w:t xml:space="preserve"> </w:t>
      </w:r>
      <w:r w:rsidRPr="003137A2" w:rsidR="46185BBD">
        <w:rPr>
          <w:rFonts w:ascii="Aptos" w:hAnsi="Aptos" w:eastAsia="Times New Roman" w:cs="Arial"/>
          <w:color w:val="000000"/>
          <w:kern w:val="0"/>
          <w:lang w:eastAsia="en-GB"/>
          <w14:ligatures w14:val="none"/>
        </w:rPr>
        <w:t>conditions</w:t>
      </w:r>
      <w:r w:rsidRPr="003137A2" w:rsidR="6D7FFB3E">
        <w:rPr>
          <w:rFonts w:ascii="Aptos" w:hAnsi="Aptos" w:eastAsia="Times New Roman" w:cs="Arial"/>
          <w:color w:val="000000"/>
          <w:kern w:val="0"/>
          <w:lang w:eastAsia="en-GB"/>
          <w14:ligatures w14:val="none"/>
        </w:rPr>
        <w:t xml:space="preserve">, macroeconomic </w:t>
      </w:r>
      <w:r w:rsidRPr="003137A2" w:rsidR="56838874">
        <w:rPr>
          <w:rFonts w:ascii="Aptos" w:hAnsi="Aptos" w:eastAsia="Times New Roman" w:cs="Arial"/>
          <w:color w:val="000000"/>
          <w:kern w:val="0"/>
          <w:lang w:eastAsia="en-GB"/>
          <w14:ligatures w14:val="none"/>
        </w:rPr>
        <w:t>factor</w:t>
      </w:r>
      <w:r w:rsidRPr="003137A2" w:rsidR="6D7FFB3E">
        <w:rPr>
          <w:rFonts w:ascii="Aptos" w:hAnsi="Aptos" w:eastAsia="Times New Roman" w:cs="Arial"/>
          <w:color w:val="000000"/>
          <w:kern w:val="0"/>
          <w:lang w:eastAsia="en-GB"/>
          <w14:ligatures w14:val="none"/>
        </w:rPr>
        <w:t>s</w:t>
      </w:r>
      <w:r w:rsidRPr="003137A2" w:rsidR="6D7FFB3E">
        <w:rPr>
          <w:rFonts w:ascii="Aptos" w:hAnsi="Aptos" w:eastAsia="Times New Roman" w:cs="Arial"/>
          <w:color w:val="000000"/>
          <w:kern w:val="0"/>
          <w:lang w:eastAsia="en-GB"/>
          <w14:ligatures w14:val="none"/>
        </w:rPr>
        <w:t xml:space="preserve"> and organisational strategy in </w:t>
      </w:r>
      <w:r w:rsidRPr="003137A2" w:rsidR="627D88E5">
        <w:rPr>
          <w:rFonts w:ascii="Aptos" w:hAnsi="Aptos" w:eastAsia="Times New Roman" w:cs="Arial"/>
          <w:color w:val="000000"/>
          <w:kern w:val="0"/>
          <w:lang w:eastAsia="en-GB"/>
          <w14:ligatures w14:val="none"/>
        </w:rPr>
        <w:t xml:space="preserve">complex </w:t>
      </w:r>
      <w:r w:rsidRPr="003137A2" w:rsidR="6D7FFB3E">
        <w:rPr>
          <w:rFonts w:ascii="Aptos" w:hAnsi="Aptos" w:eastAsia="Times New Roman" w:cs="Arial"/>
          <w:color w:val="000000"/>
          <w:kern w:val="0"/>
          <w:lang w:eastAsia="en-GB"/>
          <w14:ligatures w14:val="none"/>
        </w:rPr>
        <w:t>and varied ways.</w:t>
      </w:r>
    </w:p>
    <w:p w:rsidRPr="003137A2" w:rsidR="003137A2" w:rsidP="003137A2" w:rsidRDefault="003137A2" w14:paraId="7B96AD2E" w14:textId="0B04DA26">
      <w:pPr>
        <w:spacing w:before="240" w:after="240" w:line="240" w:lineRule="auto"/>
        <w:rPr>
          <w:rFonts w:ascii="Aptos" w:hAnsi="Aptos" w:eastAsia="Times New Roman" w:cs="Times New Roman"/>
          <w:kern w:val="0"/>
          <w:lang w:eastAsia="en-GB"/>
          <w14:ligatures w14:val="none"/>
        </w:rPr>
      </w:pPr>
      <w:r w:rsidRPr="003137A2" w:rsidR="6D7FFB3E">
        <w:rPr>
          <w:rFonts w:ascii="Aptos" w:hAnsi="Aptos" w:eastAsia="Times New Roman" w:cs="Arial"/>
          <w:color w:val="000000"/>
          <w:kern w:val="0"/>
          <w:lang w:eastAsia="en-GB"/>
          <w14:ligatures w14:val="none"/>
        </w:rPr>
        <w:t xml:space="preserve">The quantitative analysis </w:t>
      </w:r>
      <w:r w:rsidRPr="003137A2" w:rsidR="3BD62891">
        <w:rPr>
          <w:rFonts w:ascii="Aptos" w:hAnsi="Aptos" w:eastAsia="Times New Roman" w:cs="Arial"/>
          <w:color w:val="000000"/>
          <w:kern w:val="0"/>
          <w:lang w:eastAsia="en-GB"/>
          <w14:ligatures w14:val="none"/>
        </w:rPr>
        <w:t>show</w:t>
      </w:r>
      <w:r w:rsidRPr="003137A2" w:rsidR="6D7FFB3E">
        <w:rPr>
          <w:rFonts w:ascii="Aptos" w:hAnsi="Aptos" w:eastAsia="Times New Roman" w:cs="Arial"/>
          <w:color w:val="000000"/>
          <w:kern w:val="0"/>
          <w:lang w:eastAsia="en-GB"/>
          <w14:ligatures w14:val="none"/>
        </w:rPr>
        <w:t>ed that companies with contrasting ESG sco</w:t>
      </w:r>
      <w:r w:rsidRPr="003137A2" w:rsidR="059997A1">
        <w:rPr>
          <w:rFonts w:ascii="Aptos" w:hAnsi="Aptos" w:eastAsia="Times New Roman" w:cs="Arial"/>
          <w:color w:val="000000"/>
          <w:kern w:val="0"/>
          <w:lang w:eastAsia="en-GB"/>
          <w14:ligatures w14:val="none"/>
        </w:rPr>
        <w:t xml:space="preserve">res </w:t>
      </w:r>
      <w:r w:rsidRPr="003137A2" w:rsidR="66159BA3">
        <w:rPr>
          <w:rFonts w:ascii="Aptos" w:hAnsi="Aptos" w:eastAsia="Times New Roman" w:cs="Arial"/>
          <w:color w:val="000000"/>
          <w:kern w:val="0"/>
          <w:lang w:eastAsia="en-GB"/>
          <w14:ligatures w14:val="none"/>
        </w:rPr>
        <w:t>(</w:t>
      </w:r>
      <w:r w:rsidRPr="003137A2" w:rsidR="6D7FFB3E">
        <w:rPr>
          <w:rFonts w:ascii="Aptos" w:hAnsi="Aptos" w:eastAsia="Times New Roman" w:cs="Arial"/>
          <w:color w:val="000000"/>
          <w:kern w:val="0"/>
          <w:lang w:eastAsia="en-GB"/>
          <w14:ligatures w14:val="none"/>
        </w:rPr>
        <w:t>Tesla and ExxonMobil</w:t>
      </w:r>
      <w:r w:rsidRPr="003137A2" w:rsidR="297AE5FD">
        <w:rPr>
          <w:rFonts w:ascii="Aptos" w:hAnsi="Aptos" w:eastAsia="Times New Roman" w:cs="Arial"/>
          <w:color w:val="000000"/>
          <w:kern w:val="0"/>
          <w:lang w:eastAsia="en-GB"/>
          <w14:ligatures w14:val="none"/>
        </w:rPr>
        <w:t>)</w:t>
      </w:r>
      <w:r w:rsidRPr="003137A2" w:rsidR="6D7FFB3E">
        <w:rPr>
          <w:rFonts w:ascii="Aptos" w:hAnsi="Aptos" w:eastAsia="Times New Roman" w:cs="Arial"/>
          <w:color w:val="000000"/>
          <w:kern w:val="0"/>
          <w:lang w:eastAsia="en-GB"/>
          <w14:ligatures w14:val="none"/>
        </w:rPr>
        <w:t xml:space="preserve"> </w:t>
      </w:r>
      <w:r w:rsidRPr="003137A2" w:rsidR="5DB96658">
        <w:rPr>
          <w:rFonts w:ascii="Aptos" w:hAnsi="Aptos" w:eastAsia="Times New Roman" w:cs="Arial"/>
          <w:color w:val="000000"/>
          <w:kern w:val="0"/>
          <w:lang w:eastAsia="en-GB"/>
          <w14:ligatures w14:val="none"/>
        </w:rPr>
        <w:t>have</w:t>
      </w:r>
      <w:r w:rsidRPr="003137A2" w:rsidR="6D7FFB3E">
        <w:rPr>
          <w:rFonts w:ascii="Aptos" w:hAnsi="Aptos" w:eastAsia="Times New Roman" w:cs="Arial"/>
          <w:color w:val="000000"/>
          <w:kern w:val="0"/>
          <w:lang w:eastAsia="en-GB"/>
          <w14:ligatures w14:val="none"/>
        </w:rPr>
        <w:t xml:space="preserve"> quite different combinations of returns, </w:t>
      </w:r>
      <w:r w:rsidRPr="003137A2" w:rsidR="6D7FFB3E">
        <w:rPr>
          <w:rFonts w:ascii="Aptos" w:hAnsi="Aptos" w:eastAsia="Times New Roman" w:cs="Arial"/>
          <w:color w:val="000000"/>
          <w:kern w:val="0"/>
          <w:lang w:eastAsia="en-GB"/>
          <w14:ligatures w14:val="none"/>
        </w:rPr>
        <w:t>volatility</w:t>
      </w:r>
      <w:r w:rsidRPr="003137A2" w:rsidR="6D7FFB3E">
        <w:rPr>
          <w:rFonts w:ascii="Aptos" w:hAnsi="Aptos" w:eastAsia="Times New Roman" w:cs="Arial"/>
          <w:color w:val="000000"/>
          <w:kern w:val="0"/>
          <w:lang w:eastAsia="en-GB"/>
          <w14:ligatures w14:val="none"/>
        </w:rPr>
        <w:t xml:space="preserve"> and profitability. These </w:t>
      </w:r>
      <w:r w:rsidRPr="003137A2" w:rsidR="02137FCF">
        <w:rPr>
          <w:rFonts w:ascii="Aptos" w:hAnsi="Aptos" w:eastAsia="Times New Roman" w:cs="Arial"/>
          <w:color w:val="000000"/>
          <w:kern w:val="0"/>
          <w:lang w:eastAsia="en-GB"/>
          <w14:ligatures w14:val="none"/>
        </w:rPr>
        <w:t>results suggest</w:t>
      </w:r>
      <w:r w:rsidRPr="003137A2" w:rsidR="6D7FFB3E">
        <w:rPr>
          <w:rFonts w:ascii="Aptos" w:hAnsi="Aptos" w:eastAsia="Times New Roman" w:cs="Arial"/>
          <w:color w:val="000000"/>
          <w:kern w:val="0"/>
          <w:lang w:eastAsia="en-GB"/>
          <w14:ligatures w14:val="none"/>
        </w:rPr>
        <w:t xml:space="preserve"> that financial outcomes </w:t>
      </w:r>
      <w:r w:rsidRPr="003137A2" w:rsidR="52A52C31">
        <w:rPr>
          <w:rFonts w:ascii="Aptos" w:hAnsi="Aptos" w:eastAsia="Times New Roman" w:cs="Arial"/>
          <w:color w:val="000000"/>
          <w:kern w:val="0"/>
          <w:lang w:eastAsia="en-GB"/>
          <w14:ligatures w14:val="none"/>
        </w:rPr>
        <w:t xml:space="preserve">are </w:t>
      </w:r>
      <w:r w:rsidRPr="003137A2" w:rsidR="52A52C31">
        <w:rPr>
          <w:rFonts w:ascii="Aptos" w:hAnsi="Aptos" w:eastAsia="Times New Roman" w:cs="Arial"/>
          <w:color w:val="000000"/>
          <w:kern w:val="0"/>
          <w:lang w:eastAsia="en-GB"/>
          <w14:ligatures w14:val="none"/>
        </w:rPr>
        <w:t>mainly</w:t>
      </w:r>
      <w:r w:rsidRPr="003137A2" w:rsidR="6D7FFB3E">
        <w:rPr>
          <w:rFonts w:ascii="Aptos" w:hAnsi="Aptos" w:eastAsia="Times New Roman" w:cs="Arial"/>
          <w:color w:val="000000"/>
          <w:kern w:val="0"/>
          <w:lang w:eastAsia="en-GB"/>
          <w14:ligatures w14:val="none"/>
        </w:rPr>
        <w:t xml:space="preserve"> influenced</w:t>
      </w:r>
      <w:r w:rsidRPr="003137A2" w:rsidR="6D7FFB3E">
        <w:rPr>
          <w:rFonts w:ascii="Aptos" w:hAnsi="Aptos" w:eastAsia="Times New Roman" w:cs="Arial"/>
          <w:color w:val="000000"/>
          <w:kern w:val="0"/>
          <w:lang w:eastAsia="en-GB"/>
          <w14:ligatures w14:val="none"/>
        </w:rPr>
        <w:t xml:space="preserve"> by</w:t>
      </w:r>
      <w:r w:rsidRPr="003137A2" w:rsidR="6E023EBB">
        <w:rPr>
          <w:rFonts w:ascii="Aptos" w:hAnsi="Aptos" w:eastAsia="Times New Roman" w:cs="Arial"/>
          <w:color w:val="000000"/>
          <w:kern w:val="0"/>
          <w:lang w:eastAsia="en-GB"/>
          <w14:ligatures w14:val="none"/>
        </w:rPr>
        <w:t xml:space="preserve"> such things </w:t>
      </w:r>
      <w:r w:rsidRPr="003137A2" w:rsidR="6E023EBB">
        <w:rPr>
          <w:rFonts w:ascii="Aptos" w:hAnsi="Aptos" w:eastAsia="Times New Roman" w:cs="Arial"/>
          <w:color w:val="000000"/>
          <w:kern w:val="0"/>
          <w:lang w:eastAsia="en-GB"/>
          <w14:ligatures w14:val="none"/>
        </w:rPr>
        <w:t>as underlying</w:t>
      </w:r>
      <w:r w:rsidRPr="003137A2" w:rsidR="6D7FFB3E">
        <w:rPr>
          <w:rFonts w:ascii="Aptos" w:hAnsi="Aptos" w:eastAsia="Times New Roman" w:cs="Arial"/>
          <w:color w:val="000000"/>
          <w:kern w:val="0"/>
          <w:lang w:eastAsia="en-GB"/>
          <w14:ligatures w14:val="none"/>
        </w:rPr>
        <w:t xml:space="preserve"> economic factors, market </w:t>
      </w:r>
      <w:r w:rsidRPr="003137A2" w:rsidR="6D7FFB3E">
        <w:rPr>
          <w:rFonts w:ascii="Aptos" w:hAnsi="Aptos" w:eastAsia="Times New Roman" w:cs="Arial"/>
          <w:color w:val="000000"/>
          <w:kern w:val="0"/>
          <w:lang w:eastAsia="en-GB"/>
          <w14:ligatures w14:val="none"/>
        </w:rPr>
        <w:t>structure</w:t>
      </w:r>
      <w:r w:rsidRPr="003137A2" w:rsidR="6D7FFB3E">
        <w:rPr>
          <w:rFonts w:ascii="Aptos" w:hAnsi="Aptos" w:eastAsia="Times New Roman" w:cs="Arial"/>
          <w:color w:val="000000"/>
          <w:kern w:val="0"/>
          <w:lang w:eastAsia="en-GB"/>
          <w14:ligatures w14:val="none"/>
        </w:rPr>
        <w:t xml:space="preserve"> and investor </w:t>
      </w:r>
      <w:r w:rsidRPr="003137A2" w:rsidR="44DD740F">
        <w:rPr>
          <w:rFonts w:ascii="Aptos" w:hAnsi="Aptos" w:eastAsia="Times New Roman" w:cs="Arial"/>
          <w:color w:val="000000"/>
          <w:kern w:val="0"/>
          <w:lang w:eastAsia="en-GB"/>
          <w14:ligatures w14:val="none"/>
        </w:rPr>
        <w:t>decisions</w:t>
      </w:r>
      <w:r w:rsidRPr="003137A2" w:rsidR="6D7FFB3E">
        <w:rPr>
          <w:rFonts w:ascii="Aptos" w:hAnsi="Aptos" w:eastAsia="Times New Roman" w:cs="Arial"/>
          <w:color w:val="000000"/>
          <w:kern w:val="0"/>
          <w:lang w:eastAsia="en-GB"/>
          <w14:ligatures w14:val="none"/>
        </w:rPr>
        <w:t xml:space="preserve">. ESG ratings function as one </w:t>
      </w:r>
      <w:r w:rsidRPr="003137A2" w:rsidR="2CE543A2">
        <w:rPr>
          <w:rFonts w:ascii="Aptos" w:hAnsi="Aptos" w:eastAsia="Times New Roman" w:cs="Arial"/>
          <w:color w:val="000000"/>
          <w:kern w:val="0"/>
          <w:lang w:eastAsia="en-GB"/>
          <w14:ligatures w14:val="none"/>
        </w:rPr>
        <w:t>indicator</w:t>
      </w:r>
      <w:r w:rsidRPr="003137A2" w:rsidR="6D7FFB3E">
        <w:rPr>
          <w:rFonts w:ascii="Aptos" w:hAnsi="Aptos" w:eastAsia="Times New Roman" w:cs="Arial"/>
          <w:color w:val="000000"/>
          <w:kern w:val="0"/>
          <w:lang w:eastAsia="en-GB"/>
          <w14:ligatures w14:val="none"/>
        </w:rPr>
        <w:t xml:space="preserve"> among many, rather than a reliable predictor of performance (Larsson and</w:t>
      </w:r>
      <w:r w:rsidRPr="003137A2" w:rsidR="6D7FFB3E">
        <w:rPr>
          <w:rFonts w:ascii="Aptos" w:hAnsi="Aptos" w:eastAsia="Times New Roman" w:cs="Arial"/>
          <w:color w:val="000000"/>
          <w:kern w:val="0"/>
          <w:lang w:eastAsia="en-GB"/>
          <w14:ligatures w14:val="none"/>
        </w:rPr>
        <w:t xml:space="preserve"> </w:t>
      </w:r>
      <w:r w:rsidRPr="003137A2" w:rsidR="6D7FFB3E">
        <w:rPr>
          <w:rFonts w:ascii="Aptos" w:hAnsi="Aptos" w:eastAsia="Times New Roman" w:cs="Arial"/>
          <w:color w:val="000000"/>
          <w:kern w:val="0"/>
          <w:lang w:eastAsia="en-GB"/>
          <w14:ligatures w14:val="none"/>
        </w:rPr>
        <w:t>Leuhuse</w:t>
      </w:r>
      <w:r w:rsidRPr="003137A2" w:rsidR="6D7FFB3E">
        <w:rPr>
          <w:rFonts w:ascii="Aptos" w:hAnsi="Aptos" w:eastAsia="Times New Roman" w:cs="Arial"/>
          <w:color w:val="000000"/>
          <w:kern w:val="0"/>
          <w:lang w:eastAsia="en-GB"/>
          <w14:ligatures w14:val="none"/>
        </w:rPr>
        <w:t>n</w:t>
      </w:r>
      <w:r w:rsidRPr="003137A2" w:rsidR="6D7FFB3E">
        <w:rPr>
          <w:rFonts w:ascii="Aptos" w:hAnsi="Aptos" w:eastAsia="Times New Roman" w:cs="Arial"/>
          <w:color w:val="000000"/>
          <w:kern w:val="0"/>
          <w:lang w:eastAsia="en-GB"/>
          <w14:ligatures w14:val="none"/>
        </w:rPr>
        <w:t>, 2025).</w:t>
      </w:r>
    </w:p>
    <w:p w:rsidRPr="003137A2" w:rsidR="003137A2" w:rsidP="257BFE88" w:rsidRDefault="003137A2" w14:paraId="02D82D1A" w14:textId="2C4E23B2">
      <w:pPr>
        <w:pStyle w:val="Normal"/>
        <w:spacing w:before="240" w:after="240" w:line="240" w:lineRule="auto"/>
        <w:rPr>
          <w:rFonts w:ascii="Aptos" w:hAnsi="Aptos" w:eastAsia="Times New Roman" w:cs="Arial"/>
          <w:b w:val="0"/>
          <w:bCs w:val="0"/>
          <w:i w:val="0"/>
          <w:iCs w:val="0"/>
          <w:noProof w:val="0"/>
          <w:kern w:val="0"/>
          <w:sz w:val="24"/>
          <w:szCs w:val="24"/>
          <w:lang w:val="en-GB"/>
          <w14:ligatures w14:val="none"/>
        </w:rPr>
      </w:pPr>
      <w:r w:rsidRPr="003137A2" w:rsidR="6D7FFB3E">
        <w:rPr>
          <w:rFonts w:ascii="Aptos" w:hAnsi="Aptos" w:eastAsia="Times New Roman" w:cs="Arial"/>
          <w:color w:val="000000"/>
          <w:kern w:val="0"/>
          <w:lang w:eastAsia="en-GB"/>
          <w14:ligatures w14:val="none"/>
        </w:rPr>
        <w:t xml:space="preserve">The qualitative analysis suggests that ESG scores became influential not because they reliably inform organisations sustainability performance, but because they are built into investment processes. BlackRock’s use of MSCI derived ESG characteristics in product reporting and index linked strategies creates the means through which rating changes can influence fund classifications, investor </w:t>
      </w:r>
      <w:r w:rsidRPr="003137A2" w:rsidR="6D7FFB3E">
        <w:rPr>
          <w:rFonts w:ascii="Aptos" w:hAnsi="Aptos" w:eastAsia="Times New Roman" w:cs="Arial"/>
          <w:color w:val="000000"/>
          <w:kern w:val="0"/>
          <w:lang w:eastAsia="en-GB"/>
          <w14:ligatures w14:val="none"/>
        </w:rPr>
        <w:t>perceptions</w:t>
      </w:r>
      <w:r w:rsidRPr="003137A2" w:rsidR="56C6F4D0">
        <w:rPr>
          <w:rFonts w:ascii="Aptos" w:hAnsi="Aptos" w:eastAsia="Times New Roman" w:cs="Arial"/>
          <w:color w:val="000000"/>
          <w:kern w:val="0"/>
          <w:lang w:eastAsia="en-GB"/>
          <w14:ligatures w14:val="none"/>
        </w:rPr>
        <w:t xml:space="preserve"> </w:t>
      </w:r>
      <w:r w:rsidRPr="003137A2" w:rsidR="6D7FFB3E">
        <w:rPr>
          <w:rFonts w:ascii="Aptos" w:hAnsi="Aptos" w:eastAsia="Times New Roman" w:cs="Arial"/>
          <w:color w:val="000000"/>
          <w:kern w:val="0"/>
          <w:lang w:eastAsia="en-GB"/>
          <w14:ligatures w14:val="none"/>
        </w:rPr>
        <w:t>and</w:t>
      </w:r>
      <w:r w:rsidRPr="003137A2" w:rsidR="6D7FFB3E">
        <w:rPr>
          <w:rFonts w:ascii="Aptos" w:hAnsi="Aptos" w:eastAsia="Times New Roman" w:cs="Arial"/>
          <w:color w:val="000000"/>
          <w:kern w:val="0"/>
          <w:lang w:eastAsia="en-GB"/>
          <w14:ligatures w14:val="none"/>
        </w:rPr>
        <w:t xml:space="preserve"> capital flows</w:t>
      </w:r>
      <w:r w:rsidRPr="003137A2" w:rsidR="6D7FFB3E">
        <w:rPr>
          <w:rFonts w:ascii="Aptos" w:hAnsi="Aptos" w:eastAsia="Times New Roman" w:cs="Arial"/>
          <w:color w:val="000000"/>
          <w:kern w:val="0"/>
          <w:lang w:eastAsia="en-GB"/>
          <w14:ligatures w14:val="none"/>
        </w:rPr>
        <w:t xml:space="preserve">. </w:t>
      </w:r>
      <w:r w:rsidRPr="257BFE88" w:rsidR="7DC7D953">
        <w:rPr>
          <w:rFonts w:ascii="Aptos" w:hAnsi="Aptos" w:eastAsia="Times New Roman" w:cs="Arial"/>
          <w:b w:val="0"/>
          <w:bCs w:val="0"/>
          <w:i w:val="0"/>
          <w:iCs w:val="0"/>
          <w:noProof w:val="0"/>
          <w:sz w:val="24"/>
          <w:szCs w:val="24"/>
          <w:lang w:val="en-GB"/>
        </w:rPr>
        <w:t>This reliance on external rating models</w:t>
      </w:r>
      <w:r w:rsidRPr="257BFE88" w:rsidR="77B370EB">
        <w:rPr>
          <w:rFonts w:ascii="Aptos" w:hAnsi="Aptos" w:eastAsia="Times New Roman" w:cs="Arial"/>
          <w:b w:val="0"/>
          <w:bCs w:val="0"/>
          <w:i w:val="0"/>
          <w:iCs w:val="0"/>
          <w:noProof w:val="0"/>
          <w:sz w:val="24"/>
          <w:szCs w:val="24"/>
          <w:lang w:val="en-GB"/>
        </w:rPr>
        <w:t xml:space="preserve"> which </w:t>
      </w:r>
      <w:r w:rsidRPr="257BFE88" w:rsidR="14E41F6A">
        <w:rPr>
          <w:rFonts w:ascii="Aptos" w:hAnsi="Aptos" w:eastAsia="Times New Roman" w:cs="Arial"/>
          <w:b w:val="0"/>
          <w:bCs w:val="0"/>
          <w:i w:val="0"/>
          <w:iCs w:val="0"/>
          <w:noProof w:val="0"/>
          <w:sz w:val="24"/>
          <w:szCs w:val="24"/>
          <w:lang w:val="en-GB"/>
        </w:rPr>
        <w:t xml:space="preserve">have no explained </w:t>
      </w:r>
      <w:r w:rsidRPr="257BFE88" w:rsidR="14E41F6A">
        <w:rPr>
          <w:rFonts w:ascii="Aptos" w:hAnsi="Aptos" w:eastAsia="Times New Roman" w:cs="Arial"/>
          <w:b w:val="0"/>
          <w:bCs w:val="0"/>
          <w:i w:val="0"/>
          <w:iCs w:val="0"/>
          <w:noProof w:val="0"/>
          <w:sz w:val="24"/>
          <w:szCs w:val="24"/>
          <w:lang w:val="en-GB"/>
        </w:rPr>
        <w:t>methodology</w:t>
      </w:r>
      <w:r w:rsidRPr="257BFE88" w:rsidR="69024D1C">
        <w:rPr>
          <w:rFonts w:ascii="Aptos" w:hAnsi="Aptos" w:eastAsia="Times New Roman" w:cs="Arial"/>
          <w:b w:val="0"/>
          <w:bCs w:val="0"/>
          <w:i w:val="0"/>
          <w:iCs w:val="0"/>
          <w:noProof w:val="0"/>
          <w:sz w:val="24"/>
          <w:szCs w:val="24"/>
          <w:lang w:val="en-GB"/>
        </w:rPr>
        <w:t xml:space="preserve"> and </w:t>
      </w:r>
      <w:r w:rsidRPr="257BFE88" w:rsidR="3AE8A158">
        <w:rPr>
          <w:rFonts w:ascii="Aptos" w:hAnsi="Aptos" w:eastAsia="Times New Roman" w:cs="Arial"/>
          <w:b w:val="0"/>
          <w:bCs w:val="0"/>
          <w:i w:val="0"/>
          <w:iCs w:val="0"/>
          <w:noProof w:val="0"/>
          <w:sz w:val="24"/>
          <w:szCs w:val="24"/>
          <w:lang w:val="en-GB"/>
        </w:rPr>
        <w:t>are</w:t>
      </w:r>
      <w:r w:rsidRPr="257BFE88" w:rsidR="7DC7D953">
        <w:rPr>
          <w:rFonts w:ascii="Aptos" w:hAnsi="Aptos" w:eastAsia="Times New Roman" w:cs="Arial"/>
          <w:b w:val="0"/>
          <w:bCs w:val="0"/>
          <w:i w:val="0"/>
          <w:iCs w:val="0"/>
          <w:noProof w:val="0"/>
          <w:sz w:val="24"/>
          <w:szCs w:val="24"/>
          <w:lang w:val="en-GB"/>
        </w:rPr>
        <w:t xml:space="preserve"> inconsistent</w:t>
      </w:r>
      <w:r w:rsidRPr="257BFE88" w:rsidR="128E9E65">
        <w:rPr>
          <w:rFonts w:ascii="Aptos" w:hAnsi="Aptos" w:eastAsia="Times New Roman" w:cs="Arial"/>
          <w:b w:val="0"/>
          <w:bCs w:val="0"/>
          <w:i w:val="0"/>
          <w:iCs w:val="0"/>
          <w:noProof w:val="0"/>
          <w:sz w:val="24"/>
          <w:szCs w:val="24"/>
          <w:lang w:val="en-GB"/>
        </w:rPr>
        <w:t xml:space="preserve"> </w:t>
      </w:r>
      <w:r w:rsidRPr="257BFE88" w:rsidR="7DC7D953">
        <w:rPr>
          <w:rFonts w:ascii="Aptos" w:hAnsi="Aptos" w:eastAsia="Times New Roman" w:cs="Arial"/>
          <w:b w:val="0"/>
          <w:bCs w:val="0"/>
          <w:i w:val="0"/>
          <w:iCs w:val="0"/>
          <w:noProof w:val="0"/>
          <w:sz w:val="24"/>
          <w:szCs w:val="24"/>
          <w:lang w:val="en-GB"/>
        </w:rPr>
        <w:t>or sector based, raises questions about fairness and openness. It also increases the potential for unintended market effects in the investment process (</w:t>
      </w:r>
      <w:r w:rsidRPr="257BFE88" w:rsidR="7DC7D953">
        <w:rPr>
          <w:rFonts w:ascii="Aptos" w:hAnsi="Aptos" w:eastAsia="Times New Roman" w:cs="Arial"/>
          <w:b w:val="0"/>
          <w:bCs w:val="0"/>
          <w:i w:val="0"/>
          <w:iCs w:val="0"/>
          <w:noProof w:val="0"/>
          <w:sz w:val="24"/>
          <w:szCs w:val="24"/>
          <w:lang w:val="en-GB"/>
        </w:rPr>
        <w:t>Barontini</w:t>
      </w:r>
      <w:r w:rsidRPr="257BFE88" w:rsidR="7DC7D953">
        <w:rPr>
          <w:rFonts w:ascii="Aptos" w:hAnsi="Aptos" w:eastAsia="Times New Roman" w:cs="Arial"/>
          <w:b w:val="0"/>
          <w:bCs w:val="0"/>
          <w:i w:val="0"/>
          <w:iCs w:val="0"/>
          <w:noProof w:val="0"/>
          <w:sz w:val="24"/>
          <w:szCs w:val="24"/>
          <w:lang w:val="en-GB"/>
        </w:rPr>
        <w:t xml:space="preserve"> and </w:t>
      </w:r>
      <w:r w:rsidRPr="257BFE88" w:rsidR="7DC7D953">
        <w:rPr>
          <w:rFonts w:ascii="Aptos" w:hAnsi="Aptos" w:eastAsia="Times New Roman" w:cs="Arial"/>
          <w:b w:val="0"/>
          <w:bCs w:val="0"/>
          <w:i w:val="0"/>
          <w:iCs w:val="0"/>
          <w:noProof w:val="0"/>
          <w:sz w:val="24"/>
          <w:szCs w:val="24"/>
          <w:lang w:val="en-GB"/>
        </w:rPr>
        <w:t>Gioja</w:t>
      </w:r>
      <w:r w:rsidRPr="257BFE88" w:rsidR="7DC7D953">
        <w:rPr>
          <w:rFonts w:ascii="Aptos" w:hAnsi="Aptos" w:eastAsia="Times New Roman" w:cs="Arial"/>
          <w:b w:val="0"/>
          <w:bCs w:val="0"/>
          <w:i w:val="0"/>
          <w:iCs w:val="0"/>
          <w:noProof w:val="0"/>
          <w:sz w:val="24"/>
          <w:szCs w:val="24"/>
          <w:lang w:val="en-GB"/>
        </w:rPr>
        <w:t>, 2025)</w:t>
      </w:r>
    </w:p>
    <w:p w:rsidRPr="003137A2" w:rsidR="003137A2" w:rsidP="003137A2" w:rsidRDefault="003137A2" w14:paraId="4053DFA7" w14:textId="7A254E74">
      <w:pPr>
        <w:spacing w:before="240" w:after="240" w:line="240" w:lineRule="auto"/>
        <w:rPr>
          <w:rFonts w:ascii="Aptos" w:hAnsi="Aptos" w:eastAsia="Times New Roman" w:cs="Arial"/>
          <w:color w:val="000000"/>
          <w:kern w:val="0"/>
          <w:lang w:eastAsia="en-GB"/>
          <w14:ligatures w14:val="none"/>
        </w:rPr>
      </w:pPr>
      <w:r w:rsidRPr="003137A2" w:rsidR="74131136">
        <w:rPr>
          <w:rFonts w:ascii="Aptos" w:hAnsi="Aptos" w:eastAsia="Times New Roman" w:cs="Arial"/>
          <w:color w:val="000000"/>
          <w:kern w:val="0"/>
          <w:lang w:eastAsia="en-GB"/>
          <w14:ligatures w14:val="none"/>
        </w:rPr>
        <w:t xml:space="preserve">Taken together, the findings show that ESG scoring systems </w:t>
      </w:r>
      <w:r w:rsidRPr="003137A2" w:rsidR="37EEA3F4">
        <w:rPr>
          <w:rFonts w:ascii="Aptos" w:hAnsi="Aptos" w:eastAsia="Times New Roman" w:cs="Arial"/>
          <w:color w:val="000000"/>
          <w:kern w:val="0"/>
          <w:lang w:eastAsia="en-GB"/>
          <w14:ligatures w14:val="none"/>
        </w:rPr>
        <w:t xml:space="preserve">have positive and negative aspects. ESG scoring </w:t>
      </w:r>
      <w:r w:rsidRPr="003137A2" w:rsidR="74131136">
        <w:rPr>
          <w:rFonts w:ascii="Aptos" w:hAnsi="Aptos" w:eastAsia="Times New Roman" w:cs="Arial"/>
          <w:color w:val="000000"/>
          <w:kern w:val="0"/>
          <w:lang w:eastAsia="en-GB"/>
          <w14:ligatures w14:val="none"/>
        </w:rPr>
        <w:t xml:space="preserve">contribute</w:t>
      </w:r>
      <w:r w:rsidRPr="003137A2" w:rsidR="5C27E2C2">
        <w:rPr>
          <w:rFonts w:ascii="Aptos" w:hAnsi="Aptos" w:eastAsia="Times New Roman" w:cs="Arial"/>
          <w:color w:val="000000"/>
          <w:kern w:val="0"/>
          <w:lang w:eastAsia="en-GB"/>
          <w14:ligatures w14:val="none"/>
        </w:rPr>
        <w:t xml:space="preserve">s </w:t>
      </w:r>
      <w:r w:rsidRPr="003137A2" w:rsidR="74131136">
        <w:rPr>
          <w:rFonts w:ascii="Aptos" w:hAnsi="Aptos" w:eastAsia="Times New Roman" w:cs="Arial"/>
          <w:color w:val="000000"/>
          <w:kern w:val="0"/>
          <w:lang w:eastAsia="en-GB"/>
          <w14:ligatures w14:val="none"/>
        </w:rPr>
        <w:t xml:space="preserve">positive</w:t>
      </w:r>
      <w:r w:rsidRPr="003137A2" w:rsidR="79F5618C">
        <w:rPr>
          <w:rFonts w:ascii="Aptos" w:hAnsi="Aptos" w:eastAsia="Times New Roman" w:cs="Arial"/>
          <w:color w:val="000000"/>
          <w:kern w:val="0"/>
          <w:lang w:eastAsia="en-GB"/>
          <w14:ligatures w14:val="none"/>
        </w:rPr>
        <w:t xml:space="preserve">ly to</w:t>
      </w:r>
      <w:r w:rsidRPr="003137A2" w:rsidR="74131136">
        <w:rPr>
          <w:rFonts w:ascii="Aptos" w:hAnsi="Aptos" w:eastAsia="Times New Roman" w:cs="Arial"/>
          <w:color w:val="000000"/>
          <w:kern w:val="0"/>
          <w:lang w:eastAsia="en-GB"/>
          <w14:ligatures w14:val="none"/>
        </w:rPr>
        <w:t xml:space="preserve"> developments </w:t>
      </w:r>
      <w:r w:rsidRPr="003137A2" w:rsidR="6FDF2D81">
        <w:rPr>
          <w:rFonts w:ascii="Aptos" w:hAnsi="Aptos" w:eastAsia="Times New Roman" w:cs="Arial"/>
          <w:color w:val="000000"/>
          <w:kern w:val="0"/>
          <w:lang w:eastAsia="en-GB"/>
          <w14:ligatures w14:val="none"/>
        </w:rPr>
        <w:t xml:space="preserve">such as </w:t>
      </w:r>
      <w:r w:rsidRPr="003137A2" w:rsidR="74131136">
        <w:rPr>
          <w:rFonts w:ascii="Aptos" w:hAnsi="Aptos" w:eastAsia="Times New Roman" w:cs="Arial"/>
          <w:color w:val="000000"/>
          <w:kern w:val="0"/>
          <w:lang w:eastAsia="en-GB"/>
          <w14:ligatures w14:val="none"/>
        </w:rPr>
        <w:t xml:space="preserve">greater disclosure, improved governance, </w:t>
      </w:r>
      <w:r w:rsidRPr="003137A2" w:rsidR="326EE8FC">
        <w:rPr>
          <w:rFonts w:ascii="Aptos" w:hAnsi="Aptos" w:eastAsia="Times New Roman" w:cs="Arial"/>
          <w:color w:val="000000"/>
          <w:kern w:val="0"/>
          <w:lang w:eastAsia="en-GB"/>
          <w14:ligatures w14:val="none"/>
        </w:rPr>
        <w:t>higher</w:t>
      </w:r>
      <w:r w:rsidRPr="003137A2" w:rsidR="74131136">
        <w:rPr>
          <w:rFonts w:ascii="Aptos" w:hAnsi="Aptos" w:eastAsia="Times New Roman" w:cs="Arial"/>
          <w:color w:val="000000"/>
          <w:kern w:val="0"/>
          <w:lang w:eastAsia="en-GB"/>
          <w14:ligatures w14:val="none"/>
        </w:rPr>
        <w:t xml:space="preserve"> awareness of sustainability risks</w:t>
      </w:r>
      <w:r w:rsidRPr="003137A2" w:rsidR="7276519F">
        <w:rPr>
          <w:rFonts w:ascii="Aptos" w:hAnsi="Aptos" w:eastAsia="Times New Roman" w:cs="Arial"/>
          <w:color w:val="000000"/>
          <w:kern w:val="0"/>
          <w:lang w:eastAsia="en-GB"/>
          <w14:ligatures w14:val="none"/>
        </w:rPr>
        <w:t xml:space="preserve">. </w:t>
      </w:r>
      <w:r w:rsidRPr="003137A2" w:rsidR="08E27C78">
        <w:rPr>
          <w:rFonts w:ascii="Aptos" w:hAnsi="Aptos" w:eastAsia="Times New Roman" w:cs="Arial"/>
          <w:color w:val="000000"/>
          <w:kern w:val="0"/>
          <w:lang w:eastAsia="en-GB"/>
          <w14:ligatures w14:val="none"/>
        </w:rPr>
        <w:t xml:space="preserve">The negative aspects are the</w:t>
      </w:r>
      <w:r w:rsidRPr="003137A2" w:rsidR="74131136">
        <w:rPr>
          <w:rFonts w:ascii="Aptos" w:hAnsi="Aptos" w:eastAsia="Times New Roman" w:cs="Arial"/>
          <w:color w:val="000000"/>
          <w:kern w:val="0"/>
          <w:lang w:eastAsia="en-GB"/>
          <w14:ligatures w14:val="none"/>
        </w:rPr>
        <w:t xml:space="preserve"> unintended consequences </w:t>
      </w:r>
      <w:r w:rsidRPr="003137A2" w:rsidR="69881339">
        <w:rPr>
          <w:rFonts w:ascii="Aptos" w:hAnsi="Aptos" w:eastAsia="Times New Roman" w:cs="Arial"/>
          <w:color w:val="000000"/>
          <w:kern w:val="0"/>
          <w:lang w:eastAsia="en-GB"/>
          <w14:ligatures w14:val="none"/>
        </w:rPr>
        <w:t xml:space="preserve">of </w:t>
      </w:r>
      <w:r w:rsidRPr="003137A2" w:rsidR="74131136">
        <w:rPr>
          <w:rFonts w:ascii="Aptos" w:hAnsi="Aptos" w:eastAsia="Times New Roman" w:cs="Arial"/>
          <w:color w:val="000000"/>
          <w:kern w:val="0"/>
          <w:lang w:eastAsia="en-GB"/>
          <w14:ligatures w14:val="none"/>
        </w:rPr>
        <w:t xml:space="preserve">inconsistencies in scoring approaches, reallocation </w:t>
      </w:r>
      <w:r w:rsidRPr="003137A2" w:rsidR="74131136">
        <w:rPr>
          <w:rFonts w:ascii="Aptos" w:hAnsi="Aptos" w:eastAsia="Times New Roman" w:cs="Arial"/>
          <w:color w:val="000000"/>
          <w:kern w:val="0"/>
          <w:lang w:eastAsia="en-GB"/>
          <w14:ligatures w14:val="none"/>
        </w:rPr>
        <w:t xml:space="preserve">pressures</w:t>
      </w:r>
      <w:r w:rsidRPr="003137A2" w:rsidR="74131136">
        <w:rPr>
          <w:rFonts w:ascii="Aptos" w:hAnsi="Aptos" w:eastAsia="Times New Roman" w:cs="Arial"/>
          <w:color w:val="000000"/>
          <w:kern w:val="0"/>
          <w:lang w:eastAsia="en-GB"/>
          <w14:ligatures w14:val="none"/>
        </w:rPr>
        <w:t xml:space="preserve"> and potential distortions in capital markets. The study therefore supports the conclusion that ESG scoring has value as a system, but one that requires refinement, standardisation</w:t>
      </w:r>
      <w:r w:rsidRPr="003137A2" w:rsidR="1D791FEB">
        <w:rPr>
          <w:rFonts w:ascii="Aptos" w:hAnsi="Aptos" w:eastAsia="Times New Roman" w:cs="Arial"/>
          <w:color w:val="000000"/>
          <w:kern w:val="0"/>
          <w:lang w:eastAsia="en-GB"/>
          <w14:ligatures w14:val="none"/>
        </w:rPr>
        <w:t xml:space="preserve"> </w:t>
      </w:r>
      <w:r w:rsidRPr="003137A2" w:rsidR="74131136">
        <w:rPr>
          <w:rFonts w:ascii="Aptos" w:hAnsi="Aptos" w:eastAsia="Times New Roman" w:cs="Arial"/>
          <w:color w:val="000000"/>
          <w:kern w:val="0"/>
          <w:lang w:eastAsia="en-GB"/>
          <w14:ligatures w14:val="none"/>
        </w:rPr>
        <w:t xml:space="preserve">and</w:t>
      </w:r>
      <w:r w:rsidRPr="003137A2" w:rsidR="74131136">
        <w:rPr>
          <w:rFonts w:ascii="Aptos" w:hAnsi="Aptos" w:eastAsia="Times New Roman" w:cs="Arial"/>
          <w:color w:val="000000"/>
          <w:kern w:val="0"/>
          <w:lang w:eastAsia="en-GB"/>
          <w14:ligatures w14:val="none"/>
        </w:rPr>
        <w:t xml:space="preserve"> more openness </w:t>
      </w:r>
      <w:r w:rsidRPr="003137A2" w:rsidR="3ECEEB5F">
        <w:rPr>
          <w:rFonts w:ascii="Aptos" w:hAnsi="Aptos" w:eastAsia="Times New Roman" w:cs="Arial"/>
          <w:color w:val="000000"/>
          <w:kern w:val="0"/>
          <w:lang w:eastAsia="en-GB"/>
          <w14:ligatures w14:val="none"/>
        </w:rPr>
        <w:t xml:space="preserve">and accountability in development and use</w:t>
      </w:r>
      <w:r w:rsidRPr="003137A2" w:rsidR="74131136">
        <w:rPr>
          <w:rFonts w:ascii="Aptos" w:hAnsi="Aptos" w:eastAsia="Times New Roman" w:cs="Arial"/>
          <w:color w:val="000000"/>
          <w:kern w:val="0"/>
          <w:lang w:eastAsia="en-GB"/>
          <w14:ligatures w14:val="none"/>
        </w:rPr>
        <w:t xml:space="preserve">.</w:t>
      </w:r>
    </w:p>
    <w:p w:rsidRPr="003137A2" w:rsidR="003137A2" w:rsidP="003137A2" w:rsidRDefault="003137A2" w14:paraId="6CB7E36E" w14:textId="391DADB4">
      <w:pPr>
        <w:spacing w:before="240" w:after="240" w:line="240" w:lineRule="auto"/>
        <w:rPr>
          <w:rFonts w:ascii="Aptos" w:hAnsi="Aptos" w:eastAsia="Times New Roman" w:cs="Times New Roman"/>
          <w:kern w:val="0"/>
          <w:lang w:eastAsia="en-GB"/>
          <w14:ligatures w14:val="none"/>
        </w:rPr>
      </w:pPr>
      <w:r w:rsidRPr="003137A2" w:rsidR="5C2E8B16">
        <w:rPr>
          <w:rFonts w:ascii="Aptos" w:hAnsi="Aptos" w:eastAsia="Times New Roman" w:cs="Times New Roman"/>
          <w:kern w:val="0"/>
          <w:lang w:eastAsia="en-GB"/>
          <w14:ligatures w14:val="none"/>
        </w:rPr>
        <w:t xml:space="preserve">T</w:t>
      </w:r>
      <w:r w:rsidRPr="003137A2" w:rsidR="6D7FFB3E">
        <w:rPr>
          <w:rFonts w:ascii="Aptos" w:hAnsi="Aptos" w:eastAsia="Times New Roman" w:cs="Times New Roman"/>
          <w:kern w:val="0"/>
          <w:lang w:eastAsia="en-GB"/>
          <w14:ligatures w14:val="none"/>
        </w:rPr>
        <w:t xml:space="preserve">he research provides </w:t>
      </w:r>
      <w:r w:rsidRPr="003137A2" w:rsidR="6D7FFB3E">
        <w:rPr>
          <w:rFonts w:ascii="Aptos" w:hAnsi="Aptos" w:eastAsia="Times New Roman" w:cs="Times New Roman"/>
          <w:kern w:val="0"/>
          <w:lang w:eastAsia="en-GB"/>
          <w14:ligatures w14:val="none"/>
        </w:rPr>
        <w:t xml:space="preserve">strong evidence</w:t>
      </w:r>
      <w:r w:rsidRPr="003137A2" w:rsidR="6D7FFB3E">
        <w:rPr>
          <w:rFonts w:ascii="Aptos" w:hAnsi="Aptos" w:eastAsia="Times New Roman" w:cs="Times New Roman"/>
          <w:kern w:val="0"/>
          <w:lang w:eastAsia="en-GB"/>
          <w14:ligatures w14:val="none"/>
        </w:rPr>
        <w:t xml:space="preserve"> </w:t>
      </w:r>
      <w:r w:rsidRPr="003137A2" w:rsidR="6D7FFB3E">
        <w:rPr>
          <w:rFonts w:ascii="Aptos" w:hAnsi="Aptos" w:eastAsia="Times New Roman" w:cs="Times New Roman"/>
          <w:kern w:val="0"/>
          <w:lang w:eastAsia="en-GB"/>
          <w14:ligatures w14:val="none"/>
        </w:rPr>
        <w:t xml:space="preserve">tha</w:t>
      </w:r>
      <w:r w:rsidRPr="003137A2" w:rsidR="6D7FFB3E">
        <w:rPr>
          <w:rFonts w:ascii="Aptos" w:hAnsi="Aptos" w:eastAsia="Times New Roman" w:cs="Times New Roman"/>
          <w:kern w:val="0"/>
          <w:lang w:eastAsia="en-GB"/>
          <w14:ligatures w14:val="none"/>
        </w:rPr>
        <w:t xml:space="preserve">t</w:t>
      </w:r>
      <w:r w:rsidRPr="003137A2" w:rsidR="6D9B56B3">
        <w:rPr>
          <w:rFonts w:ascii="Aptos" w:hAnsi="Aptos" w:eastAsia="Times New Roman" w:cs="Times New Roman"/>
          <w:kern w:val="0"/>
          <w:lang w:eastAsia="en-GB"/>
          <w14:ligatures w14:val="none"/>
        </w:rPr>
        <w:t xml:space="preserve"> w</w:t>
      </w:r>
      <w:r w:rsidRPr="003137A2" w:rsidR="6D9B56B3">
        <w:rPr>
          <w:rFonts w:ascii="Aptos" w:hAnsi="Aptos" w:eastAsia="Times New Roman" w:cs="Times New Roman"/>
          <w:kern w:val="0"/>
          <w:lang w:eastAsia="en-GB"/>
          <w14:ligatures w14:val="none"/>
        </w:rPr>
        <w:t xml:space="preserve">hile</w:t>
      </w:r>
      <w:r w:rsidRPr="003137A2" w:rsidR="6D7FFB3E">
        <w:rPr>
          <w:rFonts w:ascii="Aptos" w:hAnsi="Aptos" w:eastAsia="Times New Roman" w:cs="Times New Roman"/>
          <w:kern w:val="0"/>
          <w:lang w:eastAsia="en-GB"/>
          <w14:ligatures w14:val="none"/>
        </w:rPr>
        <w:t xml:space="preserve"> financial </w:t>
      </w:r>
      <w:r w:rsidRPr="003137A2" w:rsidR="24F7246A">
        <w:rPr>
          <w:rFonts w:ascii="Aptos" w:hAnsi="Aptos" w:eastAsia="Times New Roman" w:cs="Times New Roman"/>
          <w:kern w:val="0"/>
          <w:lang w:eastAsia="en-GB"/>
          <w14:ligatures w14:val="none"/>
        </w:rPr>
        <w:t xml:space="preserve">indicators play a role</w:t>
      </w:r>
      <w:r w:rsidRPr="003137A2" w:rsidR="0A6DC388">
        <w:rPr>
          <w:rFonts w:ascii="Aptos" w:hAnsi="Aptos" w:eastAsia="Times New Roman" w:cs="Times New Roman"/>
          <w:kern w:val="0"/>
          <w:lang w:eastAsia="en-GB"/>
          <w14:ligatures w14:val="none"/>
        </w:rPr>
        <w:t xml:space="preserve">, </w:t>
      </w:r>
      <w:r w:rsidRPr="003137A2" w:rsidR="24F7246A">
        <w:rPr>
          <w:rFonts w:ascii="Aptos" w:hAnsi="Aptos" w:eastAsia="Times New Roman" w:cs="Times New Roman"/>
          <w:kern w:val="0"/>
          <w:lang w:eastAsia="en-GB"/>
          <w14:ligatures w14:val="none"/>
        </w:rPr>
        <w:t xml:space="preserve">ESG outcomes</w:t>
      </w:r>
      <w:r w:rsidRPr="003137A2" w:rsidR="6D7FFB3E">
        <w:rPr>
          <w:rFonts w:ascii="Aptos" w:hAnsi="Aptos" w:eastAsia="Times New Roman" w:cs="Times New Roman"/>
          <w:kern w:val="0"/>
          <w:lang w:eastAsia="en-GB"/>
          <w14:ligatures w14:val="none"/>
        </w:rPr>
        <w:t xml:space="preserve"> </w:t>
      </w:r>
      <w:r w:rsidRPr="003137A2" w:rsidR="78A658C5">
        <w:rPr>
          <w:rFonts w:ascii="Aptos" w:hAnsi="Aptos" w:eastAsia="Times New Roman" w:cs="Times New Roman"/>
          <w:kern w:val="0"/>
          <w:lang w:eastAsia="en-GB"/>
          <w14:ligatures w14:val="none"/>
        </w:rPr>
        <w:t xml:space="preserve">are</w:t>
      </w:r>
      <w:r w:rsidRPr="003137A2" w:rsidR="6D7FFB3E">
        <w:rPr>
          <w:rFonts w:ascii="Aptos" w:hAnsi="Aptos" w:eastAsia="Times New Roman" w:cs="Times New Roman"/>
          <w:kern w:val="0"/>
          <w:lang w:eastAsia="en-GB"/>
          <w14:ligatures w14:val="none"/>
        </w:rPr>
        <w:t xml:space="preserve"> </w:t>
      </w:r>
      <w:r w:rsidRPr="003137A2" w:rsidR="6D7FFB3E">
        <w:rPr>
          <w:rFonts w:ascii="Aptos" w:hAnsi="Aptos" w:eastAsia="Times New Roman" w:cs="Times New Roman"/>
          <w:kern w:val="0"/>
          <w:lang w:eastAsia="en-GB"/>
          <w14:ligatures w14:val="none"/>
        </w:rPr>
        <w:t xml:space="preserve">m</w:t>
      </w:r>
      <w:r w:rsidRPr="003137A2" w:rsidR="22E96CA7">
        <w:rPr>
          <w:rFonts w:ascii="Aptos" w:hAnsi="Aptos" w:eastAsia="Times New Roman" w:cs="Times New Roman"/>
          <w:kern w:val="0"/>
          <w:lang w:eastAsia="en-GB"/>
          <w14:ligatures w14:val="none"/>
        </w:rPr>
        <w:t xml:space="preserve">ainly </w:t>
      </w:r>
      <w:r w:rsidRPr="003137A2" w:rsidR="75085145">
        <w:rPr>
          <w:rFonts w:ascii="Aptos" w:hAnsi="Aptos" w:eastAsia="Times New Roman" w:cs="Times New Roman"/>
          <w:kern w:val="0"/>
          <w:lang w:eastAsia="en-GB"/>
          <w14:ligatures w14:val="none"/>
        </w:rPr>
        <w:t xml:space="preserve">determined</w:t>
      </w:r>
      <w:r w:rsidRPr="003137A2" w:rsidR="75085145">
        <w:rPr>
          <w:rFonts w:ascii="Aptos" w:hAnsi="Aptos" w:eastAsia="Times New Roman" w:cs="Times New Roman"/>
          <w:kern w:val="0"/>
          <w:lang w:eastAsia="en-GB"/>
          <w14:ligatures w14:val="none"/>
        </w:rPr>
        <w:t xml:space="preserve"> </w:t>
      </w:r>
      <w:r w:rsidRPr="003137A2" w:rsidR="6D7FFB3E">
        <w:rPr>
          <w:rFonts w:ascii="Aptos" w:hAnsi="Aptos" w:eastAsia="Times New Roman" w:cs="Times New Roman"/>
          <w:kern w:val="0"/>
          <w:lang w:eastAsia="en-GB"/>
          <w14:ligatures w14:val="none"/>
        </w:rPr>
        <w:t xml:space="preserve">by the wider political, </w:t>
      </w:r>
      <w:r w:rsidRPr="003137A2" w:rsidR="6D7FFB3E">
        <w:rPr>
          <w:rFonts w:ascii="Aptos" w:hAnsi="Aptos" w:eastAsia="Times New Roman" w:cs="Times New Roman"/>
          <w:kern w:val="0"/>
          <w:lang w:eastAsia="en-GB"/>
          <w14:ligatures w14:val="none"/>
        </w:rPr>
        <w:t xml:space="preserve">regulatory</w:t>
      </w:r>
      <w:r w:rsidRPr="003137A2" w:rsidR="6D7FFB3E">
        <w:rPr>
          <w:rFonts w:ascii="Aptos" w:hAnsi="Aptos" w:eastAsia="Times New Roman" w:cs="Times New Roman"/>
          <w:kern w:val="0"/>
          <w:lang w:eastAsia="en-GB"/>
          <w14:ligatures w14:val="none"/>
        </w:rPr>
        <w:t xml:space="preserve"> and ethical factors that influence business strategy. </w:t>
      </w:r>
      <w:r w:rsidRPr="003137A2" w:rsidR="6D7FFB3E">
        <w:rPr>
          <w:rFonts w:ascii="Aptos" w:hAnsi="Aptos" w:eastAsia="Times New Roman" w:cs="Times New Roman"/>
          <w:kern w:val="0"/>
          <w:lang w:eastAsia="en-GB"/>
          <w14:ligatures w14:val="none"/>
        </w:rPr>
        <w:t xml:space="preserve">Th</w:t>
      </w:r>
      <w:r w:rsidRPr="003137A2" w:rsidR="6D7FFB3E">
        <w:rPr>
          <w:rFonts w:ascii="Aptos" w:hAnsi="Aptos" w:eastAsia="Times New Roman" w:cs="Times New Roman"/>
          <w:kern w:val="0"/>
          <w:lang w:eastAsia="en-GB"/>
          <w14:ligatures w14:val="none"/>
        </w:rPr>
        <w:t xml:space="preserve">e analysis in Section 5.4 (informed by Busine</w:t>
      </w:r>
      <w:r w:rsidRPr="003137A2" w:rsidR="6D7FFB3E">
        <w:rPr>
          <w:rFonts w:ascii="Aptos" w:hAnsi="Aptos" w:eastAsia="Times New Roman" w:cs="Times New Roman"/>
          <w:kern w:val="0"/>
          <w:lang w:eastAsia="en-GB"/>
          <w14:ligatures w14:val="none"/>
        </w:rPr>
        <w:t xml:space="preserve">ss Managem</w:t>
      </w:r>
      <w:r w:rsidRPr="003137A2" w:rsidR="6D7FFB3E">
        <w:rPr>
          <w:rFonts w:ascii="Aptos" w:hAnsi="Aptos" w:eastAsia="Times New Roman" w:cs="Times New Roman"/>
          <w:kern w:val="0"/>
          <w:lang w:eastAsia="en-GB"/>
          <w14:ligatures w14:val="none"/>
        </w:rPr>
        <w:t xml:space="preserve">ent </w:t>
      </w:r>
      <w:r w:rsidRPr="003137A2" w:rsidR="20053E73">
        <w:rPr>
          <w:rFonts w:ascii="Aptos" w:hAnsi="Aptos" w:eastAsia="Times New Roman" w:cs="Times New Roman"/>
          <w:kern w:val="0"/>
          <w:lang w:eastAsia="en-GB"/>
          <w14:ligatures w14:val="none"/>
        </w:rPr>
        <w:t xml:space="preserve">M</w:t>
      </w:r>
      <w:r w:rsidRPr="003137A2" w:rsidR="6D7FFB3E">
        <w:rPr>
          <w:rFonts w:ascii="Aptos" w:hAnsi="Aptos" w:eastAsia="Times New Roman" w:cs="Times New Roman"/>
          <w:kern w:val="0"/>
          <w:lang w:eastAsia="en-GB"/>
          <w14:ligatures w14:val="none"/>
        </w:rPr>
        <w:t xml:space="preserve">odules on Strategy and Ethics) </w:t>
      </w:r>
      <w:r w:rsidRPr="003137A2" w:rsidR="6D7FFB3E">
        <w:rPr>
          <w:rFonts w:ascii="Aptos" w:hAnsi="Aptos" w:eastAsia="Times New Roman" w:cs="Times New Roman"/>
          <w:kern w:val="0"/>
          <w:lang w:eastAsia="en-GB"/>
          <w14:ligatures w14:val="none"/>
        </w:rPr>
        <w:t xml:space="preserve">s</w:t>
      </w:r>
      <w:r w:rsidRPr="003137A2" w:rsidR="2F81D9A0">
        <w:rPr>
          <w:rFonts w:ascii="Aptos" w:hAnsi="Aptos" w:eastAsia="Times New Roman" w:cs="Times New Roman"/>
          <w:kern w:val="0"/>
          <w:lang w:eastAsia="en-GB"/>
          <w14:ligatures w14:val="none"/>
        </w:rPr>
        <w:t xml:space="preserve">hows</w:t>
      </w:r>
      <w:r w:rsidRPr="003137A2" w:rsidR="6D7FFB3E">
        <w:rPr>
          <w:rFonts w:ascii="Aptos" w:hAnsi="Aptos" w:eastAsia="Times New Roman" w:cs="Times New Roman"/>
          <w:kern w:val="0"/>
          <w:lang w:eastAsia="en-GB"/>
          <w14:ligatures w14:val="none"/>
        </w:rPr>
        <w:t xml:space="preserve"> how national policy</w:t>
      </w:r>
      <w:r w:rsidRPr="003137A2" w:rsidR="50D1DF2B">
        <w:rPr>
          <w:rFonts w:ascii="Aptos" w:hAnsi="Aptos" w:eastAsia="Times New Roman" w:cs="Times New Roman"/>
          <w:kern w:val="0"/>
          <w:lang w:eastAsia="en-GB"/>
          <w14:ligatures w14:val="none"/>
        </w:rPr>
        <w:t xml:space="preserve"> and</w:t>
      </w:r>
      <w:r w:rsidRPr="003137A2" w:rsidR="6D7FFB3E">
        <w:rPr>
          <w:rFonts w:ascii="Aptos" w:hAnsi="Aptos" w:eastAsia="Times New Roman" w:cs="Times New Roman"/>
          <w:kern w:val="0"/>
          <w:lang w:eastAsia="en-GB"/>
          <w14:ligatures w14:val="none"/>
        </w:rPr>
        <w:t xml:space="preserve"> regulations, disclosure requirements and societies expectation</w:t>
      </w:r>
      <w:r w:rsidRPr="003137A2" w:rsidR="6D7FFB3E">
        <w:rPr>
          <w:rFonts w:ascii="Aptos" w:hAnsi="Aptos" w:eastAsia="Times New Roman" w:cs="Times New Roman"/>
          <w:kern w:val="0"/>
          <w:lang w:eastAsia="en-GB"/>
          <w14:ligatures w14:val="none"/>
        </w:rPr>
        <w:t xml:space="preserve">s in</w:t>
      </w:r>
      <w:r w:rsidRPr="003137A2" w:rsidR="6D7FFB3E">
        <w:rPr>
          <w:rFonts w:ascii="Aptos" w:hAnsi="Aptos" w:eastAsia="Times New Roman" w:cs="Times New Roman"/>
          <w:kern w:val="0"/>
          <w:lang w:eastAsia="en-GB"/>
          <w14:ligatures w14:val="none"/>
        </w:rPr>
        <w:t xml:space="preserve">form how ESG</w:t>
      </w:r>
      <w:r w:rsidRPr="003137A2" w:rsidR="6D7FFB3E">
        <w:rPr>
          <w:rFonts w:ascii="Aptos" w:hAnsi="Aptos" w:eastAsia="Times New Roman" w:cs="Times New Roman"/>
          <w:kern w:val="0"/>
          <w:lang w:eastAsia="en-GB"/>
          <w14:ligatures w14:val="none"/>
        </w:rPr>
        <w:t xml:space="preserve"> scores ar</w:t>
      </w:r>
      <w:r w:rsidRPr="003137A2" w:rsidR="6D7FFB3E">
        <w:rPr>
          <w:rFonts w:ascii="Aptos" w:hAnsi="Aptos" w:eastAsia="Times New Roman" w:cs="Times New Roman"/>
          <w:kern w:val="0"/>
          <w:lang w:eastAsia="en-GB"/>
          <w14:ligatures w14:val="none"/>
        </w:rPr>
        <w:t xml:space="preserve">e interpreted and applied. This supports the study’s central finding that ESG </w:t>
      </w:r>
      <w:r w:rsidRPr="003137A2" w:rsidR="6D7FFB3E">
        <w:rPr>
          <w:rFonts w:ascii="Aptos" w:hAnsi="Aptos" w:eastAsia="Times New Roman" w:cs="Times New Roman"/>
          <w:kern w:val="0"/>
          <w:lang w:eastAsia="en-GB"/>
          <w14:ligatures w14:val="none"/>
        </w:rPr>
        <w:t xml:space="preserve">ratings cannot be understood in isolation</w:t>
      </w:r>
      <w:r w:rsidRPr="003137A2" w:rsidR="336CB52D">
        <w:rPr>
          <w:rFonts w:ascii="Aptos" w:hAnsi="Aptos" w:eastAsia="Times New Roman" w:cs="Times New Roman"/>
          <w:kern w:val="0"/>
          <w:lang w:eastAsia="en-GB"/>
          <w14:ligatures w14:val="none"/>
        </w:rPr>
        <w:t xml:space="preserve">. </w:t>
      </w:r>
      <w:r w:rsidRPr="003137A2" w:rsidR="570D7BD7">
        <w:rPr>
          <w:rFonts w:ascii="Aptos" w:hAnsi="Aptos" w:eastAsia="Times New Roman" w:cs="Times New Roman"/>
          <w:kern w:val="0"/>
          <w:lang w:eastAsia="en-GB"/>
          <w14:ligatures w14:val="none"/>
        </w:rPr>
        <w:t xml:space="preserve">Their</w:t>
      </w:r>
      <w:r w:rsidRPr="003137A2" w:rsidR="6D7FFB3E">
        <w:rPr>
          <w:rFonts w:ascii="Aptos" w:hAnsi="Aptos" w:eastAsia="Times New Roman" w:cs="Times New Roman"/>
          <w:kern w:val="0"/>
          <w:lang w:eastAsia="en-GB"/>
          <w14:ligatures w14:val="none"/>
        </w:rPr>
        <w:t xml:space="preserve"> </w:t>
      </w:r>
      <w:r w:rsidRPr="003137A2" w:rsidR="6D7FFB3E">
        <w:rPr>
          <w:rFonts w:ascii="Aptos" w:hAnsi="Aptos" w:eastAsia="Times New Roman" w:cs="Times New Roman"/>
          <w:kern w:val="0"/>
          <w:lang w:eastAsia="en-GB"/>
          <w14:ligatures w14:val="none"/>
        </w:rPr>
        <w:t xml:space="preserve">effects depend on the countries</w:t>
      </w:r>
      <w:r w:rsidRPr="003137A2" w:rsidR="0D9DD7A8">
        <w:rPr>
          <w:rFonts w:ascii="Aptos" w:hAnsi="Aptos" w:eastAsia="Times New Roman" w:cs="Times New Roman"/>
          <w:kern w:val="0"/>
          <w:lang w:eastAsia="en-GB"/>
          <w14:ligatures w14:val="none"/>
        </w:rPr>
        <w:t xml:space="preserve"> or </w:t>
      </w:r>
      <w:r w:rsidRPr="003137A2" w:rsidR="6D7FFB3E">
        <w:rPr>
          <w:rFonts w:ascii="Aptos" w:hAnsi="Aptos" w:eastAsia="Times New Roman" w:cs="Times New Roman"/>
          <w:kern w:val="0"/>
          <w:lang w:eastAsia="en-GB"/>
          <w14:ligatures w14:val="none"/>
        </w:rPr>
        <w:t xml:space="preserve">jurisdictions</w:t>
      </w:r>
      <w:r w:rsidRPr="003137A2" w:rsidR="6D7FFB3E">
        <w:rPr>
          <w:rFonts w:ascii="Aptos" w:hAnsi="Aptos" w:eastAsia="Times New Roman" w:cs="Times New Roman"/>
          <w:kern w:val="0"/>
          <w:lang w:eastAsia="en-GB"/>
          <w14:ligatures w14:val="none"/>
        </w:rPr>
        <w:t xml:space="preserve"> in which companies </w:t>
      </w:r>
      <w:r w:rsidRPr="003137A2" w:rsidR="6D7FFB3E">
        <w:rPr>
          <w:rFonts w:ascii="Aptos" w:hAnsi="Aptos" w:eastAsia="Times New Roman" w:cs="Times New Roman"/>
          <w:kern w:val="0"/>
          <w:lang w:eastAsia="en-GB"/>
          <w14:ligatures w14:val="none"/>
        </w:rPr>
        <w:t xml:space="preserve">operate</w:t>
      </w:r>
      <w:r w:rsidRPr="003137A2" w:rsidR="6D7FFB3E">
        <w:rPr>
          <w:rFonts w:ascii="Aptos" w:hAnsi="Aptos" w:eastAsia="Times New Roman" w:cs="Times New Roman"/>
          <w:kern w:val="0"/>
          <w:lang w:eastAsia="en-GB"/>
          <w14:ligatures w14:val="none"/>
        </w:rPr>
        <w:t xml:space="preserve"> and the strategic responses each </w:t>
      </w:r>
      <w:r w:rsidRPr="003137A2" w:rsidR="6D7FFB3E">
        <w:rPr>
          <w:rFonts w:ascii="Aptos" w:hAnsi="Aptos" w:eastAsia="Times New Roman" w:cs="Times New Roman"/>
          <w:kern w:val="0"/>
          <w:lang w:eastAsia="en-GB"/>
          <w14:ligatures w14:val="none"/>
        </w:rPr>
        <w:t>business adopts</w:t>
      </w:r>
      <w:r w:rsidRPr="003137A2" w:rsidR="6D7FFB3E">
        <w:rPr>
          <w:rFonts w:ascii="Aptos" w:hAnsi="Aptos" w:eastAsia="Times New Roman" w:cs="Times New Roman"/>
          <w:kern w:val="0"/>
          <w:lang w:eastAsia="en-GB"/>
          <w14:ligatures w14:val="none"/>
        </w:rPr>
        <w:t>.</w:t>
      </w:r>
      <w:r w:rsidRPr="003137A2" w:rsidR="6D7FFB3E">
        <w:rPr>
          <w:rFonts w:ascii="Aptos" w:hAnsi="Aptos" w:eastAsia="Times New Roman" w:cs="Times New Roman"/>
          <w:kern w:val="0"/>
          <w:lang w:eastAsia="en-GB"/>
          <w14:ligatures w14:val="none"/>
        </w:rPr>
        <w:t xml:space="preserve"> </w:t>
      </w:r>
      <w:r w:rsidRPr="003137A2" w:rsidR="6D7FFB3E">
        <w:rPr>
          <w:rFonts w:ascii="Aptos" w:hAnsi="Aptos" w:eastAsia="Times New Roman" w:cs="Times New Roman"/>
          <w:kern w:val="0"/>
          <w:lang w:eastAsia="en-GB"/>
          <w14:ligatures w14:val="none"/>
        </w:rPr>
        <w:t>F</w:t>
      </w:r>
      <w:r w:rsidRPr="003137A2" w:rsidR="6D7FFB3E">
        <w:rPr>
          <w:rFonts w:ascii="Aptos" w:hAnsi="Aptos" w:eastAsia="Times New Roman" w:cs="Times New Roman"/>
          <w:kern w:val="0"/>
          <w:lang w:eastAsia="en-GB"/>
          <w14:ligatures w14:val="none"/>
        </w:rPr>
        <w:t>or B</w:t>
      </w:r>
      <w:r w:rsidRPr="003137A2" w:rsidR="6D7FFB3E">
        <w:rPr>
          <w:rFonts w:ascii="Aptos" w:hAnsi="Aptos" w:eastAsia="Times New Roman" w:cs="Times New Roman"/>
          <w:kern w:val="0"/>
          <w:lang w:eastAsia="en-GB"/>
          <w14:ligatures w14:val="none"/>
        </w:rPr>
        <w:t>lackRock</w:t>
      </w:r>
      <w:r w:rsidRPr="003137A2" w:rsidR="6D7FFB3E">
        <w:rPr>
          <w:rFonts w:ascii="Aptos" w:hAnsi="Aptos" w:eastAsia="Times New Roman" w:cs="Times New Roman"/>
          <w:kern w:val="0"/>
          <w:lang w:eastAsia="en-GB"/>
          <w14:ligatures w14:val="none"/>
        </w:rPr>
        <w:t>, these differences create both constraints and challenges, particularly as fragmented global rules reduce data consistency and increase reliance on rating</w:t>
      </w:r>
      <w:r w:rsidRPr="003137A2" w:rsidR="6D7FFB3E">
        <w:rPr>
          <w:rFonts w:ascii="Cambria Math" w:hAnsi="Cambria Math" w:eastAsia="Times New Roman" w:cs="Cambria Math"/>
          <w:kern w:val="0"/>
          <w:lang w:eastAsia="en-GB"/>
          <w14:ligatures w14:val="none"/>
        </w:rPr>
        <w:t xml:space="preserve"> </w:t>
      </w:r>
      <w:r w:rsidRPr="003137A2" w:rsidR="6D7FFB3E">
        <w:rPr>
          <w:rFonts w:ascii="Aptos" w:hAnsi="Aptos" w:eastAsia="Times New Roman" w:cs="Times New Roman"/>
          <w:kern w:val="0"/>
          <w:lang w:eastAsia="en-GB"/>
          <w14:ligatures w14:val="none"/>
        </w:rPr>
        <w:t>agency methodologies.</w:t>
      </w:r>
    </w:p>
    <w:p w:rsidRPr="003137A2" w:rsidR="003137A2" w:rsidP="003137A2" w:rsidRDefault="003137A2" w14:paraId="659CE407" w14:textId="55C527A0">
      <w:pPr>
        <w:spacing w:before="240" w:after="240" w:line="240" w:lineRule="auto"/>
        <w:rPr>
          <w:rFonts w:ascii="Aptos" w:hAnsi="Aptos" w:eastAsia="Times New Roman" w:cs="Times New Roman"/>
          <w:kern w:val="0"/>
          <w:lang w:eastAsia="en-GB"/>
          <w14:ligatures w14:val="none"/>
        </w:rPr>
      </w:pPr>
      <w:r w:rsidRPr="003137A2" w:rsidR="6D7FFB3E">
        <w:rPr>
          <w:rFonts w:ascii="Aptos" w:hAnsi="Aptos" w:eastAsia="Times New Roman" w:cs="Arial"/>
          <w:color w:val="000000"/>
          <w:kern w:val="0"/>
          <w:lang w:eastAsia="en-GB"/>
          <w14:ligatures w14:val="none"/>
        </w:rPr>
        <w:t xml:space="preserve">This project’s design, </w:t>
      </w:r>
      <w:r w:rsidRPr="003137A2" w:rsidR="6D7FFB3E">
        <w:rPr>
          <w:rFonts w:ascii="Aptos" w:hAnsi="Aptos" w:eastAsia="Times New Roman" w:cs="Arial"/>
          <w:color w:val="000000"/>
          <w:kern w:val="0"/>
          <w:lang w:eastAsia="en-GB"/>
          <w14:ligatures w14:val="none"/>
        </w:rPr>
        <w:t>implementation</w:t>
      </w:r>
      <w:r w:rsidRPr="003137A2" w:rsidR="1D4CC5E3">
        <w:rPr>
          <w:rFonts w:ascii="Aptos" w:hAnsi="Aptos" w:eastAsia="Times New Roman" w:cs="Arial"/>
          <w:color w:val="000000"/>
          <w:kern w:val="0"/>
          <w:lang w:eastAsia="en-GB"/>
          <w14:ligatures w14:val="none"/>
        </w:rPr>
        <w:t xml:space="preserve"> </w:t>
      </w:r>
      <w:r w:rsidRPr="003137A2" w:rsidR="6D7FFB3E">
        <w:rPr>
          <w:rFonts w:ascii="Aptos" w:hAnsi="Aptos" w:eastAsia="Times New Roman" w:cs="Arial"/>
          <w:color w:val="000000"/>
          <w:kern w:val="0"/>
          <w:lang w:eastAsia="en-GB"/>
          <w14:ligatures w14:val="none"/>
        </w:rPr>
        <w:t xml:space="preserve">and reflective evaluation approach has been guided by </w:t>
      </w:r>
      <w:r w:rsidRPr="003137A2" w:rsidR="6D7FFB3E">
        <w:rPr>
          <w:rFonts w:ascii="Aptos" w:hAnsi="Aptos" w:eastAsia="Times New Roman" w:cs="Arial"/>
          <w:color w:val="000000"/>
          <w:kern w:val="0"/>
          <w:lang w:eastAsia="en-GB"/>
          <w14:ligatures w14:val="none"/>
        </w:rPr>
        <w:t>established</w:t>
      </w:r>
      <w:r w:rsidRPr="003137A2" w:rsidR="6D7FFB3E">
        <w:rPr>
          <w:rFonts w:ascii="Aptos" w:hAnsi="Aptos" w:eastAsia="Times New Roman" w:cs="Arial"/>
          <w:color w:val="000000"/>
          <w:kern w:val="0"/>
          <w:lang w:eastAsia="en-GB"/>
          <w14:ligatures w14:val="none"/>
        </w:rPr>
        <w:t xml:space="preserve"> principles for employability (Cottrell, 2015), work based learning (ASET, 2013)</w:t>
      </w:r>
      <w:r w:rsidRPr="003137A2" w:rsidR="395D49A4">
        <w:rPr>
          <w:rFonts w:ascii="Aptos" w:hAnsi="Aptos" w:eastAsia="Times New Roman" w:cs="Arial"/>
          <w:color w:val="000000"/>
          <w:kern w:val="0"/>
          <w:lang w:eastAsia="en-GB"/>
          <w14:ligatures w14:val="none"/>
        </w:rPr>
        <w:t xml:space="preserve"> </w:t>
      </w:r>
      <w:r w:rsidRPr="003137A2" w:rsidR="6D7FFB3E">
        <w:rPr>
          <w:rFonts w:ascii="Aptos" w:hAnsi="Aptos" w:eastAsia="Times New Roman" w:cs="Arial"/>
          <w:color w:val="000000"/>
          <w:kern w:val="0"/>
          <w:lang w:eastAsia="en-GB"/>
          <w14:ligatures w14:val="none"/>
        </w:rPr>
        <w:t>and</w:t>
      </w:r>
      <w:r w:rsidRPr="003137A2" w:rsidR="6D7FFB3E">
        <w:rPr>
          <w:rFonts w:ascii="Aptos" w:hAnsi="Aptos" w:eastAsia="Times New Roman" w:cs="Arial"/>
          <w:color w:val="000000"/>
          <w:kern w:val="0"/>
          <w:lang w:eastAsia="en-GB"/>
          <w14:ligatures w14:val="none"/>
        </w:rPr>
        <w:t xml:space="preserve"> applied research </w:t>
      </w:r>
      <w:r w:rsidRPr="003137A2" w:rsidR="6D7FFB3E">
        <w:rPr>
          <w:rFonts w:ascii="Aptos" w:hAnsi="Aptos" w:eastAsia="Times New Roman" w:cs="Arial"/>
          <w:color w:val="000000"/>
          <w:kern w:val="0"/>
          <w:lang w:eastAsia="en-GB"/>
          <w14:ligatures w14:val="none"/>
        </w:rPr>
        <w:t>methodology</w:t>
      </w:r>
      <w:r w:rsidRPr="003137A2" w:rsidR="6D7FFB3E">
        <w:rPr>
          <w:rFonts w:ascii="Aptos" w:hAnsi="Aptos" w:eastAsia="Times New Roman" w:cs="Arial"/>
          <w:color w:val="000000"/>
          <w:kern w:val="0"/>
          <w:lang w:eastAsia="en-GB"/>
          <w14:ligatures w14:val="none"/>
        </w:rPr>
        <w:t xml:space="preserve"> as outlined by (Gray, 2018).</w:t>
      </w:r>
    </w:p>
    <w:p w:rsidRPr="003137A2" w:rsidR="003137A2" w:rsidP="257BFE88" w:rsidRDefault="003137A2" w14:paraId="4EE4BE21" w14:textId="77777777">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1464766749" w:id="705653204"/>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6.2 Achievement of Learning Objectives</w:t>
      </w:r>
      <w:bookmarkEnd w:id="705653204"/>
    </w:p>
    <w:p w:rsidRPr="003137A2" w:rsidR="003137A2" w:rsidP="08626363" w:rsidRDefault="003137A2" w14:paraId="385ECCCF" w14:textId="57A3BFBD">
      <w:pPr>
        <w:spacing w:before="240" w:after="240" w:line="240" w:lineRule="auto"/>
        <w:rPr>
          <w:rFonts w:ascii="Aptos" w:hAnsi="Aptos" w:eastAsia="Times New Roman" w:cs="Arial"/>
          <w:color w:val="000000" w:themeColor="text1" w:themeTint="FF" w:themeShade="FF"/>
          <w:kern w:val="0"/>
          <w:lang w:eastAsia="en-GB"/>
          <w14:ligatures w14:val="none"/>
        </w:rPr>
      </w:pPr>
      <w:r w:rsidRPr="003137A2" w:rsidR="74131136">
        <w:rPr>
          <w:rFonts w:ascii="Aptos" w:hAnsi="Aptos" w:eastAsia="Times New Roman" w:cs="Arial"/>
          <w:color w:val="000000"/>
          <w:kern w:val="0"/>
          <w:lang w:eastAsia="en-GB"/>
          <w14:ligatures w14:val="none"/>
        </w:rPr>
        <w:t xml:space="preserve">The research meets </w:t>
      </w:r>
      <w:r w:rsidRPr="003137A2" w:rsidR="74131136">
        <w:rPr>
          <w:rFonts w:ascii="Aptos" w:hAnsi="Aptos" w:eastAsia="Times New Roman" w:cs="Arial"/>
          <w:color w:val="000000"/>
          <w:kern w:val="0"/>
          <w:lang w:eastAsia="en-GB"/>
          <w14:ligatures w14:val="none"/>
        </w:rPr>
        <w:t xml:space="preserve">and</w:t>
      </w:r>
      <w:r w:rsidRPr="003137A2" w:rsidR="74131136">
        <w:rPr>
          <w:rFonts w:ascii="Aptos" w:hAnsi="Aptos" w:eastAsia="Times New Roman" w:cs="Arial"/>
          <w:color w:val="000000"/>
          <w:kern w:val="0"/>
          <w:lang w:eastAsia="en-GB"/>
          <w14:ligatures w14:val="none"/>
        </w:rPr>
        <w:t xml:space="preserve"> in many respects, exceeds the learning </w:t>
      </w:r>
      <w:r w:rsidRPr="003137A2" w:rsidR="74131136">
        <w:rPr>
          <w:rFonts w:ascii="Aptos" w:hAnsi="Aptos" w:eastAsia="Times New Roman" w:cs="Arial"/>
          <w:color w:val="000000"/>
          <w:kern w:val="0"/>
          <w:lang w:eastAsia="en-GB"/>
          <w14:ligatures w14:val="none"/>
        </w:rPr>
        <w:t>objectives</w:t>
      </w:r>
      <w:r w:rsidRPr="003137A2" w:rsidR="74131136">
        <w:rPr>
          <w:rFonts w:ascii="Aptos" w:hAnsi="Aptos" w:eastAsia="Times New Roman" w:cs="Arial"/>
          <w:color w:val="000000"/>
          <w:kern w:val="0"/>
          <w:lang w:eastAsia="en-GB"/>
          <w14:ligatures w14:val="none"/>
        </w:rPr>
        <w:t xml:space="preserve"> of the</w:t>
      </w:r>
      <w:r w:rsidRPr="003137A2" w:rsidR="1B7FCA73">
        <w:rPr>
          <w:rFonts w:ascii="Aptos" w:hAnsi="Aptos" w:eastAsia="Times New Roman" w:cs="Arial"/>
          <w:color w:val="000000"/>
          <w:kern w:val="0"/>
          <w:lang w:eastAsia="en-GB"/>
          <w14:ligatures w14:val="none"/>
        </w:rPr>
        <w:t xml:space="preserve"> Independent Project</w:t>
      </w:r>
      <w:r w:rsidRPr="003137A2" w:rsidR="74131136">
        <w:rPr>
          <w:rFonts w:ascii="Aptos" w:hAnsi="Aptos" w:eastAsia="Times New Roman" w:cs="Arial"/>
          <w:color w:val="000000"/>
          <w:kern w:val="0"/>
          <w:lang w:eastAsia="en-GB"/>
          <w14:ligatures w14:val="none"/>
        </w:rPr>
        <w:t>:</w:t>
      </w:r>
    </w:p>
    <w:p w:rsidRPr="003137A2" w:rsidR="003137A2" w:rsidP="003137A2" w:rsidRDefault="003137A2" w14:paraId="27E3EC5B" w14:textId="77777777">
      <w:pPr>
        <w:numPr>
          <w:ilvl w:val="0"/>
          <w:numId w:val="5"/>
        </w:numPr>
        <w:spacing w:before="240" w:after="0" w:line="240" w:lineRule="auto"/>
        <w:contextualSpacing/>
        <w:rPr>
          <w:rFonts w:ascii="Aptos" w:hAnsi="Aptos" w:eastAsia="Times New Roman" w:cs="Arial"/>
          <w:color w:val="000000"/>
          <w:kern w:val="0"/>
          <w:lang w:eastAsia="en-GB"/>
          <w14:ligatures w14:val="none"/>
        </w:rPr>
      </w:pPr>
      <w:r w:rsidRPr="003137A2">
        <w:rPr>
          <w:rFonts w:eastAsiaTheme="majorEastAsia" w:cstheme="majorBidi"/>
          <w:i/>
          <w:iCs/>
          <w:color w:val="0F4761" w:themeColor="accent1" w:themeShade="BF"/>
        </w:rPr>
        <w:t>Apply relevant strategic and economic models to assess the impact of current economic conditions and organisational strategic approaches</w:t>
      </w:r>
      <w:r w:rsidRPr="003137A2">
        <w:rPr>
          <w:rFonts w:ascii="Aptos" w:hAnsi="Aptos" w:eastAsia="Times New Roman" w:cs="Arial"/>
          <w:color w:val="000000"/>
          <w:kern w:val="0"/>
          <w:lang w:eastAsia="en-GB"/>
          <w14:ligatures w14:val="none"/>
        </w:rPr>
        <w:t xml:space="preserve">:                           </w:t>
      </w:r>
      <w:r w:rsidRPr="003137A2">
        <w:rPr>
          <w:rFonts w:ascii="Aptos" w:hAnsi="Aptos" w:eastAsia="Times New Roman" w:cs="Arial"/>
          <w:color w:val="000000"/>
          <w:kern w:val="0"/>
          <w:lang w:eastAsia="en-GB"/>
          <w14:ligatures w14:val="none"/>
        </w:rPr>
        <w:tab/>
      </w:r>
    </w:p>
    <w:p w:rsidRPr="003137A2" w:rsidR="003137A2" w:rsidP="003137A2" w:rsidRDefault="003137A2" w14:paraId="6DEF19A6" w14:textId="77777777">
      <w:pPr>
        <w:spacing w:before="240" w:after="0" w:line="240" w:lineRule="auto"/>
        <w:ind w:left="804"/>
        <w:contextualSpacing/>
        <w:rPr>
          <w:rFonts w:ascii="Aptos" w:hAnsi="Aptos" w:eastAsia="Times New Roman" w:cs="Arial"/>
          <w:color w:val="000000"/>
          <w:kern w:val="0"/>
          <w:lang w:eastAsia="en-GB"/>
          <w14:ligatures w14:val="none"/>
        </w:rPr>
      </w:pPr>
    </w:p>
    <w:p w:rsidRPr="003137A2" w:rsidR="003137A2" w:rsidP="257BFE88" w:rsidRDefault="003137A2" w14:paraId="08B7F729" w14:textId="398438BA">
      <w:pPr>
        <w:spacing w:before="240" w:after="0" w:line="240" w:lineRule="auto"/>
        <w:ind w:left="804"/>
        <w:contextualSpacing w:val="1"/>
        <w:rPr>
          <w:rFonts w:ascii="Aptos" w:hAnsi="Aptos" w:eastAsia="Times New Roman" w:cs="Arial"/>
          <w:color w:val="000000"/>
          <w:kern w:val="0"/>
          <w:lang w:eastAsia="en-GB"/>
          <w14:ligatures w14:val="none"/>
        </w:rPr>
      </w:pPr>
      <w:r w:rsidRPr="003137A2" w:rsidR="6D7FFB3E">
        <w:rPr>
          <w:rFonts w:ascii="Aptos" w:hAnsi="Aptos" w:eastAsia="Times New Roman" w:cs="Arial"/>
          <w:color w:val="000000"/>
          <w:kern w:val="0"/>
          <w:lang w:eastAsia="en-GB"/>
          <w14:ligatures w14:val="none"/>
        </w:rPr>
        <w:t xml:space="preserve">The research applied strategic and economic information and knowledge to understand how organisations respond to ESG </w:t>
      </w:r>
      <w:r w:rsidRPr="003137A2" w:rsidR="512189BD">
        <w:rPr>
          <w:rFonts w:ascii="Aptos" w:hAnsi="Aptos" w:eastAsia="Times New Roman" w:cs="Arial"/>
          <w:color w:val="000000"/>
          <w:kern w:val="0"/>
          <w:lang w:eastAsia="en-GB"/>
          <w14:ligatures w14:val="none"/>
        </w:rPr>
        <w:t>influences</w:t>
      </w:r>
      <w:r w:rsidRPr="003137A2" w:rsidR="6D7FFB3E">
        <w:rPr>
          <w:rFonts w:ascii="Aptos" w:hAnsi="Aptos" w:eastAsia="Times New Roman" w:cs="Arial"/>
          <w:color w:val="000000"/>
          <w:kern w:val="0"/>
          <w:lang w:eastAsia="en-GB"/>
          <w14:ligatures w14:val="none"/>
        </w:rPr>
        <w:t>. This included market structure analysis, risk management theory</w:t>
      </w:r>
      <w:r w:rsidRPr="003137A2" w:rsidR="31AD0ED1">
        <w:rPr>
          <w:rFonts w:ascii="Aptos" w:hAnsi="Aptos" w:eastAsia="Times New Roman" w:cs="Arial"/>
          <w:color w:val="000000"/>
          <w:kern w:val="0"/>
          <w:lang w:eastAsia="en-GB"/>
          <w14:ligatures w14:val="none"/>
        </w:rPr>
        <w:t xml:space="preserve"> </w:t>
      </w:r>
      <w:r w:rsidRPr="003137A2" w:rsidR="6D7FFB3E">
        <w:rPr>
          <w:rFonts w:ascii="Aptos" w:hAnsi="Aptos" w:eastAsia="Times New Roman" w:cs="Arial"/>
          <w:color w:val="000000"/>
          <w:kern w:val="0"/>
          <w:lang w:eastAsia="en-GB"/>
          <w14:ligatures w14:val="none"/>
        </w:rPr>
        <w:t>and</w:t>
      </w:r>
      <w:r w:rsidRPr="003137A2" w:rsidR="6D7FFB3E">
        <w:rPr>
          <w:rFonts w:ascii="Aptos" w:hAnsi="Aptos" w:eastAsia="Times New Roman" w:cs="Arial"/>
          <w:color w:val="000000"/>
          <w:kern w:val="0"/>
          <w:lang w:eastAsia="en-GB"/>
          <w14:ligatures w14:val="none"/>
        </w:rPr>
        <w:t xml:space="preserve"> </w:t>
      </w:r>
      <w:r w:rsidRPr="003137A2" w:rsidR="6D7FFB3E">
        <w:rPr>
          <w:rFonts w:ascii="Aptos" w:hAnsi="Aptos" w:eastAsia="Times New Roman" w:cs="Arial"/>
          <w:color w:val="000000"/>
          <w:kern w:val="0"/>
          <w:lang w:eastAsia="en-GB"/>
          <w14:ligatures w14:val="none"/>
        </w:rPr>
        <w:t>long term</w:t>
      </w:r>
      <w:r w:rsidRPr="003137A2" w:rsidR="6D7FFB3E">
        <w:rPr>
          <w:rFonts w:ascii="Aptos" w:hAnsi="Aptos" w:eastAsia="Times New Roman" w:cs="Arial"/>
          <w:color w:val="000000"/>
          <w:kern w:val="0"/>
          <w:lang w:eastAsia="en-GB"/>
          <w14:ligatures w14:val="none"/>
        </w:rPr>
        <w:t xml:space="preserve"> value creation models. This helped explain why companies adopt ESG strategies and how asset managers include sustainability into decision making.</w:t>
      </w:r>
    </w:p>
    <w:p w:rsidRPr="003137A2" w:rsidR="003137A2" w:rsidP="003137A2" w:rsidRDefault="003137A2" w14:paraId="14918B22" w14:textId="77777777">
      <w:pPr>
        <w:spacing w:before="240" w:after="0" w:line="240" w:lineRule="auto"/>
        <w:ind w:left="804"/>
        <w:contextualSpacing/>
        <w:rPr>
          <w:rFonts w:ascii="Aptos" w:hAnsi="Aptos" w:eastAsia="Times New Roman" w:cs="Times New Roman"/>
          <w:kern w:val="0"/>
          <w:lang w:eastAsia="en-GB"/>
          <w14:ligatures w14:val="none"/>
        </w:rPr>
      </w:pPr>
    </w:p>
    <w:p w:rsidRPr="003137A2" w:rsidR="003137A2" w:rsidP="003137A2" w:rsidRDefault="003137A2" w14:paraId="2E934369" w14:textId="77777777">
      <w:pPr>
        <w:spacing w:after="0" w:line="240" w:lineRule="auto"/>
        <w:ind w:left="720" w:hanging="360"/>
        <w:rPr>
          <w:rFonts w:ascii="Aptos" w:hAnsi="Aptos" w:eastAsia="Times New Roman" w:cs="Times New Roman"/>
          <w:kern w:val="0"/>
          <w:lang w:eastAsia="en-GB"/>
          <w14:ligatures w14:val="none"/>
        </w:rPr>
      </w:pPr>
      <w:r w:rsidRPr="003137A2">
        <w:rPr>
          <w:rFonts w:ascii="Aptos" w:hAnsi="Aptos" w:eastAsia="Times New Roman" w:cs="Arial"/>
          <w:color w:val="000000"/>
          <w:kern w:val="0"/>
          <w:lang w:eastAsia="en-GB"/>
          <w14:ligatures w14:val="none"/>
        </w:rPr>
        <w:t>2</w:t>
      </w:r>
      <w:r w:rsidRPr="003137A2">
        <w:rPr>
          <w:rFonts w:eastAsiaTheme="majorEastAsia" w:cstheme="majorBidi"/>
          <w:i/>
          <w:iCs/>
          <w:color w:val="0F4761" w:themeColor="accent1" w:themeShade="BF"/>
        </w:rPr>
        <w:t>.     Analyse the major forces shaping the current business environment and critically assess their impacts on corporate and business level strategy:</w:t>
      </w:r>
    </w:p>
    <w:p w:rsidRPr="003137A2" w:rsidR="003137A2" w:rsidP="003137A2" w:rsidRDefault="003137A2" w14:paraId="628DE57D" w14:textId="77777777">
      <w:pPr>
        <w:spacing w:after="0" w:line="240" w:lineRule="auto"/>
        <w:ind w:left="720"/>
        <w:rPr>
          <w:rFonts w:ascii="Aptos" w:hAnsi="Aptos" w:eastAsia="Times New Roman" w:cs="Arial"/>
          <w:color w:val="000000"/>
          <w:kern w:val="0"/>
          <w:lang w:eastAsia="en-GB"/>
          <w14:ligatures w14:val="none"/>
        </w:rPr>
      </w:pPr>
    </w:p>
    <w:p w:rsidRPr="003137A2" w:rsidR="003137A2" w:rsidP="003137A2" w:rsidRDefault="003137A2" w14:paraId="78A9DE26" w14:textId="7B744CE1">
      <w:pPr>
        <w:spacing w:after="0" w:line="240" w:lineRule="auto"/>
        <w:ind w:left="720"/>
        <w:rPr>
          <w:rFonts w:ascii="Aptos" w:hAnsi="Aptos" w:eastAsia="Times New Roman" w:cs="Arial"/>
          <w:color w:val="000000"/>
          <w:kern w:val="0"/>
          <w:lang w:eastAsia="en-GB"/>
          <w14:ligatures w14:val="none"/>
        </w:rPr>
      </w:pPr>
      <w:r w:rsidRPr="003137A2" w:rsidR="6D7FFB3E">
        <w:rPr>
          <w:rFonts w:ascii="Aptos" w:hAnsi="Aptos" w:eastAsia="Times New Roman" w:cs="Arial"/>
          <w:color w:val="000000"/>
          <w:kern w:val="0"/>
          <w:lang w:eastAsia="en-GB"/>
          <w14:ligatures w14:val="none"/>
        </w:rPr>
        <w:t xml:space="preserve">The research examined regulatory developments, political approaches globally, investor expectations, technological </w:t>
      </w:r>
      <w:r w:rsidRPr="003137A2" w:rsidR="6D7FFB3E">
        <w:rPr>
          <w:rFonts w:ascii="Aptos" w:hAnsi="Aptos" w:eastAsia="Times New Roman" w:cs="Arial"/>
          <w:color w:val="000000"/>
          <w:kern w:val="0"/>
          <w:lang w:eastAsia="en-GB"/>
          <w14:ligatures w14:val="none"/>
        </w:rPr>
        <w:t>change</w:t>
      </w:r>
      <w:r w:rsidRPr="003137A2" w:rsidR="6D7FFB3E">
        <w:rPr>
          <w:rFonts w:ascii="Aptos" w:hAnsi="Aptos" w:eastAsia="Times New Roman" w:cs="Arial"/>
          <w:color w:val="000000"/>
          <w:kern w:val="0"/>
          <w:lang w:eastAsia="en-GB"/>
          <w14:ligatures w14:val="none"/>
        </w:rPr>
        <w:t xml:space="preserve"> and pressures from consumers. These forces were shown to influence corporate strategy, particularly in sectors exposed to climate related risks or reputati</w:t>
      </w:r>
      <w:r w:rsidRPr="003137A2" w:rsidR="0ADE2C25">
        <w:rPr>
          <w:rFonts w:ascii="Aptos" w:hAnsi="Aptos" w:eastAsia="Times New Roman" w:cs="Arial"/>
          <w:color w:val="000000"/>
          <w:kern w:val="0"/>
          <w:lang w:eastAsia="en-GB"/>
          <w14:ligatures w14:val="none"/>
        </w:rPr>
        <w:t xml:space="preserve">on damaging </w:t>
      </w:r>
      <w:r w:rsidRPr="003137A2" w:rsidR="6D7FFB3E">
        <w:rPr>
          <w:rFonts w:ascii="Aptos" w:hAnsi="Aptos" w:eastAsia="Times New Roman" w:cs="Arial"/>
          <w:color w:val="000000"/>
          <w:kern w:val="0"/>
          <w:lang w:eastAsia="en-GB"/>
          <w14:ligatures w14:val="none"/>
        </w:rPr>
        <w:t>investigations.</w:t>
      </w:r>
    </w:p>
    <w:p w:rsidRPr="003137A2" w:rsidR="003137A2" w:rsidP="003137A2" w:rsidRDefault="003137A2" w14:paraId="27BC4DAB" w14:textId="77777777">
      <w:pPr>
        <w:spacing w:after="0" w:line="240" w:lineRule="auto"/>
        <w:ind w:left="720"/>
        <w:rPr>
          <w:rFonts w:ascii="Aptos" w:hAnsi="Aptos" w:eastAsia="Times New Roman" w:cs="Times New Roman"/>
          <w:kern w:val="0"/>
          <w:lang w:eastAsia="en-GB"/>
          <w14:ligatures w14:val="none"/>
        </w:rPr>
      </w:pPr>
    </w:p>
    <w:p w:rsidRPr="003137A2" w:rsidR="003137A2" w:rsidP="003137A2" w:rsidRDefault="003137A2" w14:paraId="7DFC6851" w14:textId="77777777">
      <w:pPr>
        <w:spacing w:after="240" w:line="240" w:lineRule="auto"/>
        <w:ind w:left="720" w:hanging="360"/>
        <w:rPr>
          <w:rFonts w:ascii="Aptos" w:hAnsi="Aptos" w:eastAsia="Times New Roman" w:cs="Arial"/>
          <w:color w:val="000000"/>
          <w:kern w:val="0"/>
          <w:lang w:eastAsia="en-GB"/>
          <w14:ligatures w14:val="none"/>
        </w:rPr>
      </w:pPr>
      <w:r w:rsidRPr="003137A2">
        <w:rPr>
          <w:rFonts w:ascii="Aptos" w:hAnsi="Aptos" w:eastAsia="Times New Roman" w:cs="Arial"/>
          <w:color w:val="000000"/>
          <w:kern w:val="0"/>
          <w:lang w:eastAsia="en-GB"/>
          <w14:ligatures w14:val="none"/>
        </w:rPr>
        <w:t>3.</w:t>
      </w:r>
      <w:r w:rsidRPr="003137A2">
        <w:rPr>
          <w:rFonts w:ascii="Aptos" w:hAnsi="Aptos" w:eastAsia="Times New Roman" w:cs="Times New Roman"/>
          <w:color w:val="000000"/>
          <w:kern w:val="0"/>
          <w:sz w:val="14"/>
          <w:szCs w:val="14"/>
          <w:lang w:eastAsia="en-GB"/>
          <w14:ligatures w14:val="none"/>
        </w:rPr>
        <w:t xml:space="preserve">      </w:t>
      </w:r>
      <w:r w:rsidRPr="003137A2">
        <w:rPr>
          <w:rFonts w:eastAsiaTheme="majorEastAsia" w:cstheme="majorBidi"/>
          <w:i/>
          <w:iCs/>
          <w:color w:val="0F4761" w:themeColor="accent1" w:themeShade="BF"/>
        </w:rPr>
        <w:t>Assess markets in action based on microeconomic and macroeconomic foundations, including different market structures and their influence on strategy:</w:t>
      </w:r>
      <w:r w:rsidRPr="003137A2">
        <w:rPr>
          <w:rFonts w:ascii="Aptos" w:hAnsi="Aptos" w:eastAsia="Times New Roman" w:cs="Arial"/>
          <w:color w:val="000000"/>
          <w:kern w:val="0"/>
          <w:lang w:eastAsia="en-GB"/>
          <w14:ligatures w14:val="none"/>
        </w:rPr>
        <w:t xml:space="preserve">   </w:t>
      </w:r>
    </w:p>
    <w:p w:rsidRPr="003137A2" w:rsidR="003137A2" w:rsidP="257BFE88" w:rsidRDefault="003137A2" w14:paraId="573AEB67" w14:textId="4741CDEC">
      <w:pPr>
        <w:spacing w:after="240" w:line="240" w:lineRule="auto"/>
        <w:ind w:left="720" w:hanging="360"/>
        <w:rPr>
          <w:rFonts w:ascii="Aptos" w:hAnsi="Aptos" w:eastAsia="Times New Roman" w:cs="Arial"/>
          <w:color w:val="000000" w:themeColor="text1" w:themeTint="FF" w:themeShade="FF"/>
          <w:kern w:val="0"/>
          <w:lang w:eastAsia="en-GB"/>
          <w14:ligatures w14:val="none"/>
        </w:rPr>
      </w:pPr>
      <w:r w:rsidRPr="003137A2" w:rsidR="6D7FFB3E">
        <w:rPr>
          <w:rFonts w:ascii="Aptos" w:hAnsi="Aptos" w:eastAsia="Times New Roman" w:cs="Arial"/>
          <w:color w:val="000000"/>
          <w:kern w:val="0"/>
          <w:lang w:eastAsia="en-GB"/>
          <w14:ligatures w14:val="none"/>
        </w:rPr>
        <w:t xml:space="preserve">       The study considered actual market behaviour using micro and macroeconomic indicators, </w:t>
      </w:r>
      <w:r w:rsidRPr="003137A2" w:rsidR="6D7FFB3E">
        <w:rPr>
          <w:rFonts w:ascii="Aptos" w:hAnsi="Aptos" w:eastAsia="Times New Roman" w:cs="Arial"/>
          <w:color w:val="000000"/>
          <w:kern w:val="0"/>
          <w:lang w:eastAsia="en-GB"/>
          <w14:ligatures w14:val="none"/>
        </w:rPr>
        <w:t xml:space="preserve">demonstrating</w:t>
      </w:r>
      <w:r w:rsidRPr="003137A2" w:rsidR="6D7FFB3E">
        <w:rPr>
          <w:rFonts w:ascii="Aptos" w:hAnsi="Aptos" w:eastAsia="Times New Roman" w:cs="Arial"/>
          <w:color w:val="000000"/>
          <w:kern w:val="0"/>
          <w:lang w:eastAsia="en-GB"/>
          <w14:ligatures w14:val="none"/>
        </w:rPr>
        <w:t xml:space="preserve"> how ESG scoring interacts with market structures, fund </w:t>
      </w:r>
      <w:r w:rsidRPr="003137A2" w:rsidR="6D7FFB3E">
        <w:rPr>
          <w:rFonts w:ascii="Aptos" w:hAnsi="Aptos" w:eastAsia="Times New Roman" w:cs="Arial"/>
          <w:color w:val="000000"/>
          <w:kern w:val="0"/>
          <w:lang w:eastAsia="en-GB"/>
          <w14:ligatures w14:val="none"/>
        </w:rPr>
        <w:t xml:space="preserve">flows</w:t>
      </w:r>
      <w:r w:rsidRPr="003137A2" w:rsidR="6D7FFB3E">
        <w:rPr>
          <w:rFonts w:ascii="Aptos" w:hAnsi="Aptos" w:eastAsia="Times New Roman" w:cs="Arial"/>
          <w:color w:val="000000"/>
          <w:kern w:val="0"/>
          <w:lang w:eastAsia="en-GB"/>
          <w14:ligatures w14:val="none"/>
        </w:rPr>
        <w:t xml:space="preserve"> and</w:t>
      </w:r>
      <w:r w:rsidRPr="003137A2" w:rsidR="6D7FFB3E">
        <w:rPr>
          <w:rFonts w:ascii="Aptos" w:hAnsi="Aptos" w:eastAsia="Times New Roman" w:cs="Arial"/>
          <w:color w:val="000000"/>
          <w:kern w:val="0"/>
          <w:lang w:eastAsia="en-GB"/>
          <w14:ligatures w14:val="none"/>
        </w:rPr>
        <w:t xml:space="preserve"> investor sentiment. The analysis of Tesla and ExxonMobil provided a practical perspective into how markets respond to both sustainability and </w:t>
      </w:r>
      <w:r w:rsidRPr="003137A2" w:rsidR="6D7FFB3E">
        <w:rPr>
          <w:rFonts w:ascii="Aptos" w:hAnsi="Aptos" w:eastAsia="Times New Roman" w:cs="Arial"/>
          <w:color w:val="000000"/>
          <w:kern w:val="0"/>
          <w:lang w:eastAsia="en-GB"/>
          <w14:ligatures w14:val="none"/>
        </w:rPr>
        <w:t xml:space="preserve">rating based</w:t>
      </w:r>
      <w:r w:rsidRPr="003137A2" w:rsidR="6D7FFB3E">
        <w:rPr>
          <w:rFonts w:ascii="Aptos" w:hAnsi="Aptos" w:eastAsia="Times New Roman" w:cs="Arial"/>
          <w:color w:val="000000"/>
          <w:kern w:val="0"/>
          <w:lang w:eastAsia="en-GB"/>
          <w14:ligatures w14:val="none"/>
        </w:rPr>
        <w:t xml:space="preserve"> </w:t>
      </w:r>
      <w:r w:rsidRPr="003137A2" w:rsidR="58D7AEAE">
        <w:rPr>
          <w:rFonts w:ascii="Aptos" w:hAnsi="Aptos" w:eastAsia="Times New Roman" w:cs="Arial"/>
          <w:color w:val="000000"/>
          <w:kern w:val="0"/>
          <w:lang w:eastAsia="en-GB"/>
          <w14:ligatures w14:val="none"/>
        </w:rPr>
        <w:t xml:space="preserve">factor</w:t>
      </w:r>
      <w:r w:rsidRPr="003137A2" w:rsidR="6D7FFB3E">
        <w:rPr>
          <w:rFonts w:ascii="Aptos" w:hAnsi="Aptos" w:eastAsia="Times New Roman" w:cs="Arial"/>
          <w:color w:val="000000"/>
          <w:kern w:val="0"/>
          <w:lang w:eastAsia="en-GB"/>
          <w14:ligatures w14:val="none"/>
        </w:rPr>
        <w:t xml:space="preserve">s.</w:t>
      </w:r>
    </w:p>
    <w:p w:rsidRPr="003137A2" w:rsidR="003137A2" w:rsidP="257BFE88" w:rsidRDefault="003137A2" w14:paraId="0A65B18D" w14:textId="77777777">
      <w:pPr>
        <w:keepNext w:val="1"/>
        <w:keepLines w:val="1"/>
        <w:spacing w:before="160" w:after="80"/>
        <w:outlineLvl w:val="1"/>
        <w:rPr>
          <w:rFonts w:ascii="Times New Roman" w:hAnsi="Times New Roman" w:eastAsia="Times New Roman" w:cs="" w:cstheme="majorBidi"/>
          <w:color w:val="0F4761" w:themeColor="accent1" w:themeShade="BF"/>
          <w:sz w:val="36"/>
          <w:szCs w:val="36"/>
          <w:lang w:eastAsia="en-GB"/>
        </w:rPr>
      </w:pPr>
      <w:bookmarkStart w:name="_Toc1920122815" w:id="222543243"/>
      <w:r w:rsidRPr="257BFE88" w:rsidR="6D7FFB3E">
        <w:rPr>
          <w:rFonts w:ascii="Aptos Display" w:hAnsi="Aptos Display" w:eastAsia="Times New Roman" w:cs="" w:asciiTheme="majorAscii" w:hAnsiTheme="majorAscii" w:cstheme="majorBidi"/>
          <w:color w:val="0F4761" w:themeColor="accent1" w:themeTint="FF" w:themeShade="BF"/>
          <w:sz w:val="32"/>
          <w:szCs w:val="32"/>
          <w:lang w:eastAsia="en-GB"/>
        </w:rPr>
        <w:t>6.3 Reflections on the Research experience</w:t>
      </w:r>
      <w:bookmarkEnd w:id="222543243"/>
    </w:p>
    <w:p w:rsidRPr="003137A2" w:rsidR="003137A2" w:rsidP="257BFE88" w:rsidRDefault="003137A2" w14:paraId="7A592D9C" w14:textId="3911D1CC">
      <w:pPr>
        <w:spacing w:before="240" w:after="240" w:line="240" w:lineRule="auto"/>
        <w:rPr>
          <w:rFonts w:ascii="Aptos" w:hAnsi="Aptos" w:eastAsia="Times New Roman" w:cs="Arial"/>
          <w:color w:val="000000" w:themeColor="text1" w:themeTint="FF" w:themeShade="FF"/>
          <w:kern w:val="0"/>
          <w:lang w:eastAsia="en-GB"/>
          <w14:ligatures w14:val="none"/>
        </w:rPr>
      </w:pPr>
      <w:r w:rsidRPr="003137A2" w:rsidR="74131136">
        <w:rPr>
          <w:rFonts w:ascii="Aptos" w:hAnsi="Aptos" w:eastAsia="Times New Roman" w:cs="Arial"/>
          <w:color w:val="000000"/>
          <w:kern w:val="0"/>
          <w:lang w:eastAsia="en-GB"/>
          <w14:ligatures w14:val="none"/>
        </w:rPr>
        <w:t xml:space="preserve">An important outcome of this project is the recognition that the original research question was formed by assumptions</w:t>
      </w:r>
      <w:r w:rsidRPr="003137A2" w:rsidR="6737C2BA">
        <w:rPr>
          <w:rFonts w:ascii="Aptos" w:hAnsi="Aptos" w:eastAsia="Times New Roman" w:cs="Arial"/>
          <w:color w:val="000000"/>
          <w:kern w:val="0"/>
          <w:lang w:eastAsia="en-GB"/>
          <w14:ligatures w14:val="none"/>
        </w:rPr>
        <w:t xml:space="preserve">, </w:t>
      </w:r>
      <w:r w:rsidRPr="003137A2" w:rsidR="25852935">
        <w:rPr>
          <w:rFonts w:ascii="Aptos" w:hAnsi="Aptos" w:eastAsia="Times New Roman" w:cs="Arial"/>
          <w:color w:val="000000"/>
          <w:kern w:val="0"/>
          <w:lang w:eastAsia="en-GB"/>
          <w14:ligatures w14:val="none"/>
        </w:rPr>
        <w:t xml:space="preserve">digital information and disinformation</w:t>
      </w:r>
      <w:r w:rsidRPr="003137A2" w:rsidR="74131136">
        <w:rPr>
          <w:rFonts w:ascii="Aptos" w:hAnsi="Aptos" w:eastAsia="Times New Roman" w:cs="Arial"/>
          <w:color w:val="000000"/>
          <w:kern w:val="0"/>
          <w:lang w:eastAsia="en-GB"/>
          <w14:ligatures w14:val="none"/>
        </w:rPr>
        <w:t xml:space="preserve"> </w:t>
      </w:r>
      <w:r w:rsidRPr="003137A2" w:rsidR="74131136">
        <w:rPr>
          <w:rFonts w:ascii="Aptos" w:hAnsi="Aptos" w:eastAsia="Times New Roman" w:cs="Arial"/>
          <w:color w:val="000000"/>
          <w:kern w:val="0"/>
          <w:lang w:eastAsia="en-GB"/>
          <w14:ligatures w14:val="none"/>
        </w:rPr>
        <w:t xml:space="preserve">and a limited understanding of ESG markets. As the research progressed, </w:t>
      </w:r>
      <w:r w:rsidRPr="003137A2" w:rsidR="6A98B36D">
        <w:rPr>
          <w:rFonts w:ascii="Aptos" w:hAnsi="Aptos" w:eastAsia="Times New Roman" w:cs="Arial"/>
          <w:color w:val="000000"/>
          <w:kern w:val="0"/>
          <w:lang w:eastAsia="en-GB"/>
          <w14:ligatures w14:val="none"/>
        </w:rPr>
        <w:t xml:space="preserve">reliable </w:t>
      </w:r>
      <w:r w:rsidRPr="003137A2" w:rsidR="74131136">
        <w:rPr>
          <w:rFonts w:ascii="Aptos" w:hAnsi="Aptos" w:eastAsia="Times New Roman" w:cs="Arial"/>
          <w:color w:val="000000"/>
          <w:kern w:val="0"/>
          <w:lang w:eastAsia="en-GB"/>
          <w14:ligatures w14:val="none"/>
        </w:rPr>
        <w:t xml:space="preserve">information</w:t>
      </w:r>
      <w:r w:rsidRPr="003137A2" w:rsidR="657C372B">
        <w:rPr>
          <w:rFonts w:ascii="Aptos" w:hAnsi="Aptos" w:eastAsia="Times New Roman" w:cs="Arial"/>
          <w:color w:val="000000"/>
          <w:kern w:val="0"/>
          <w:lang w:eastAsia="en-GB"/>
          <w14:ligatures w14:val="none"/>
        </w:rPr>
        <w:t xml:space="preserve"> sources</w:t>
      </w:r>
      <w:r w:rsidRPr="003137A2" w:rsidR="74131136">
        <w:rPr>
          <w:rFonts w:ascii="Aptos" w:hAnsi="Aptos" w:eastAsia="Times New Roman" w:cs="Arial"/>
          <w:color w:val="000000"/>
          <w:kern w:val="0"/>
          <w:lang w:eastAsia="en-GB"/>
          <w14:ligatures w14:val="none"/>
        </w:rPr>
        <w:t xml:space="preserve"> improved knowledge and understanding. This led to a refinement of the question, raised new questions and an adjustment of scope</w:t>
      </w:r>
      <w:r w:rsidRPr="003137A2" w:rsidR="74131136">
        <w:rPr>
          <w:rFonts w:ascii="Aptos" w:hAnsi="Aptos" w:eastAsia="Times New Roman" w:cs="Arial"/>
          <w:color w:val="000000"/>
          <w:kern w:val="0"/>
          <w:lang w:eastAsia="en-GB"/>
          <w14:ligatures w14:val="none"/>
        </w:rPr>
        <w:t xml:space="preserve"> and a more informed interpretation of ESG scorin</w:t>
      </w:r>
      <w:r w:rsidRPr="003137A2" w:rsidR="74131136">
        <w:rPr>
          <w:rFonts w:ascii="Aptos" w:hAnsi="Aptos" w:eastAsia="Times New Roman" w:cs="Arial"/>
          <w:color w:val="000000"/>
          <w:kern w:val="0"/>
          <w:lang w:eastAsia="en-GB"/>
          <w14:ligatures w14:val="none"/>
        </w:rPr>
        <w:t xml:space="preserve">g. </w:t>
      </w:r>
      <w:r w:rsidRPr="003137A2" w:rsidR="74131136">
        <w:rPr>
          <w:rFonts w:ascii="Aptos" w:hAnsi="Aptos" w:eastAsia="Times New Roman" w:cs="Arial"/>
          <w:color w:val="000000"/>
          <w:kern w:val="0"/>
          <w:lang w:eastAsia="en-GB"/>
          <w14:ligatures w14:val="none"/>
        </w:rPr>
        <w:t xml:space="preserve">Adapting </w:t>
      </w:r>
      <w:r w:rsidRPr="003137A2" w:rsidR="3BEE75EE">
        <w:rPr>
          <w:rFonts w:ascii="Aptos" w:hAnsi="Aptos" w:eastAsia="Times New Roman" w:cs="Arial"/>
          <w:color w:val="000000"/>
          <w:kern w:val="0"/>
          <w:lang w:eastAsia="en-GB"/>
          <w14:ligatures w14:val="none"/>
        </w:rPr>
        <w:t xml:space="preserve">to </w:t>
      </w:r>
      <w:r w:rsidRPr="003137A2" w:rsidR="3BEE75EE">
        <w:rPr>
          <w:rFonts w:ascii="Aptos" w:hAnsi="Aptos" w:eastAsia="Times New Roman" w:cs="Arial"/>
          <w:color w:val="000000"/>
          <w:kern w:val="0"/>
          <w:lang w:eastAsia="en-GB"/>
          <w14:ligatures w14:val="none"/>
        </w:rPr>
        <w:t xml:space="preserve">new information</w:t>
      </w:r>
      <w:r w:rsidRPr="003137A2" w:rsidR="3BEE75EE">
        <w:rPr>
          <w:rFonts w:ascii="Aptos" w:hAnsi="Aptos" w:eastAsia="Times New Roman" w:cs="Arial"/>
          <w:color w:val="000000"/>
          <w:kern w:val="0"/>
          <w:lang w:eastAsia="en-GB"/>
          <w14:ligatures w14:val="none"/>
        </w:rPr>
        <w:t xml:space="preserve"> and evidence </w:t>
      </w:r>
      <w:r w:rsidRPr="003137A2" w:rsidR="08E7DF6E">
        <w:rPr>
          <w:rFonts w:ascii="Aptos" w:hAnsi="Aptos" w:eastAsia="Times New Roman" w:cs="Arial"/>
          <w:color w:val="000000"/>
          <w:kern w:val="0"/>
          <w:lang w:eastAsia="en-GB"/>
          <w14:ligatures w14:val="none"/>
        </w:rPr>
        <w:t xml:space="preserve">like this</w:t>
      </w:r>
      <w:r w:rsidRPr="003137A2" w:rsidR="74131136">
        <w:rPr>
          <w:rFonts w:ascii="Aptos" w:hAnsi="Aptos" w:eastAsia="Times New Roman" w:cs="Arial"/>
          <w:color w:val="000000"/>
          <w:kern w:val="0"/>
          <w:lang w:eastAsia="en-GB"/>
          <w14:ligatures w14:val="none"/>
        </w:rPr>
        <w:t xml:space="preserve"> </w:t>
      </w:r>
      <w:r w:rsidRPr="003137A2" w:rsidR="767B6C13">
        <w:rPr>
          <w:rFonts w:ascii="Aptos" w:hAnsi="Aptos" w:eastAsia="Times New Roman" w:cs="Arial"/>
          <w:color w:val="000000"/>
          <w:kern w:val="0"/>
          <w:lang w:eastAsia="en-GB"/>
          <w14:ligatures w14:val="none"/>
        </w:rPr>
        <w:t xml:space="preserve">is an</w:t>
      </w:r>
      <w:r w:rsidRPr="003137A2" w:rsidR="19A04428">
        <w:rPr>
          <w:rFonts w:ascii="Aptos" w:hAnsi="Aptos" w:eastAsia="Times New Roman" w:cs="Arial"/>
          <w:color w:val="000000"/>
          <w:kern w:val="0"/>
          <w:lang w:eastAsia="en-GB"/>
          <w14:ligatures w14:val="none"/>
        </w:rPr>
        <w:t xml:space="preserve"> important </w:t>
      </w:r>
      <w:r w:rsidRPr="003137A2" w:rsidR="40429E2E">
        <w:rPr>
          <w:rFonts w:ascii="Aptos" w:hAnsi="Aptos" w:eastAsia="Times New Roman" w:cs="Arial"/>
          <w:color w:val="000000"/>
          <w:kern w:val="0"/>
          <w:lang w:eastAsia="en-GB"/>
          <w14:ligatures w14:val="none"/>
        </w:rPr>
        <w:t xml:space="preserve">academic </w:t>
      </w:r>
      <w:r w:rsidRPr="003137A2" w:rsidR="19A04428">
        <w:rPr>
          <w:rFonts w:ascii="Aptos" w:hAnsi="Aptos" w:eastAsia="Times New Roman" w:cs="Arial"/>
          <w:color w:val="000000"/>
          <w:kern w:val="0"/>
          <w:lang w:eastAsia="en-GB"/>
          <w14:ligatures w14:val="none"/>
        </w:rPr>
        <w:t xml:space="preserve">lesson</w:t>
      </w:r>
      <w:r w:rsidRPr="003137A2" w:rsidR="3A2E08DD">
        <w:rPr>
          <w:rFonts w:ascii="Aptos" w:hAnsi="Aptos" w:eastAsia="Times New Roman" w:cs="Arial"/>
          <w:color w:val="000000"/>
          <w:kern w:val="0"/>
          <w:lang w:eastAsia="en-GB"/>
          <w14:ligatures w14:val="none"/>
        </w:rPr>
        <w:t xml:space="preserve">.</w:t>
      </w:r>
      <w:r w:rsidRPr="003137A2" w:rsidR="19E6DFCA">
        <w:rPr>
          <w:rFonts w:ascii="Aptos" w:hAnsi="Aptos" w:eastAsia="Times New Roman" w:cs="Arial"/>
          <w:color w:val="000000"/>
          <w:kern w:val="0"/>
          <w:lang w:eastAsia="en-GB"/>
          <w14:ligatures w14:val="none"/>
        </w:rPr>
        <w:t xml:space="preserve"> </w:t>
      </w:r>
      <w:r w:rsidRPr="003137A2" w:rsidR="19E6DFCA">
        <w:rPr>
          <w:rFonts w:ascii="Aptos" w:hAnsi="Aptos" w:eastAsia="Times New Roman" w:cs="Arial"/>
          <w:color w:val="000000"/>
          <w:kern w:val="0"/>
          <w:lang w:eastAsia="en-GB"/>
          <w14:ligatures w14:val="none"/>
        </w:rPr>
        <w:t xml:space="preserve">I</w:t>
      </w:r>
      <w:r w:rsidRPr="003137A2" w:rsidR="19E6DFCA">
        <w:rPr>
          <w:rFonts w:ascii="Aptos" w:hAnsi="Aptos" w:eastAsia="Times New Roman" w:cs="Arial"/>
          <w:color w:val="000000"/>
          <w:kern w:val="0"/>
          <w:lang w:eastAsia="en-GB"/>
          <w14:ligatures w14:val="none"/>
        </w:rPr>
        <w:t xml:space="preserve">t</w:t>
      </w:r>
      <w:r w:rsidRPr="003137A2" w:rsidR="74131136">
        <w:rPr>
          <w:rFonts w:ascii="Aptos" w:hAnsi="Aptos" w:eastAsia="Times New Roman" w:cs="Arial"/>
          <w:color w:val="000000"/>
          <w:kern w:val="0"/>
          <w:lang w:eastAsia="en-GB"/>
          <w14:ligatures w14:val="none"/>
        </w:rPr>
        <w:t xml:space="preserve"> show</w:t>
      </w:r>
      <w:r w:rsidRPr="003137A2" w:rsidR="36E32BEB">
        <w:rPr>
          <w:rFonts w:ascii="Aptos" w:hAnsi="Aptos" w:eastAsia="Times New Roman" w:cs="Arial"/>
          <w:color w:val="000000"/>
          <w:kern w:val="0"/>
          <w:lang w:eastAsia="en-GB"/>
          <w14:ligatures w14:val="none"/>
        </w:rPr>
        <w:t xml:space="preserve">s</w:t>
      </w:r>
      <w:r w:rsidRPr="003137A2" w:rsidR="74131136">
        <w:rPr>
          <w:rFonts w:ascii="Aptos" w:hAnsi="Aptos" w:eastAsia="Times New Roman" w:cs="Arial"/>
          <w:color w:val="000000"/>
          <w:kern w:val="0"/>
          <w:lang w:eastAsia="en-GB"/>
          <w14:ligatures w14:val="none"/>
        </w:rPr>
        <w:t xml:space="preserve"> that research is </w:t>
      </w:r>
      <w:r w:rsidRPr="003137A2" w:rsidR="793D2F0C">
        <w:rPr>
          <w:rFonts w:ascii="Aptos" w:hAnsi="Aptos" w:eastAsia="Times New Roman" w:cs="Arial"/>
          <w:color w:val="000000"/>
          <w:kern w:val="0"/>
          <w:lang w:eastAsia="en-GB"/>
          <w14:ligatures w14:val="none"/>
        </w:rPr>
        <w:t xml:space="preserve">not simply</w:t>
      </w:r>
      <w:r w:rsidRPr="003137A2" w:rsidR="793D2F0C">
        <w:rPr>
          <w:rFonts w:ascii="Aptos" w:hAnsi="Aptos" w:eastAsia="Times New Roman" w:cs="Arial"/>
          <w:color w:val="000000"/>
          <w:kern w:val="0"/>
          <w:lang w:eastAsia="en-GB"/>
          <w14:ligatures w14:val="none"/>
        </w:rPr>
        <w:t xml:space="preserve"> a</w:t>
      </w:r>
      <w:r w:rsidRPr="003137A2" w:rsidR="74131136">
        <w:rPr>
          <w:rFonts w:ascii="Aptos" w:hAnsi="Aptos" w:eastAsia="Times New Roman" w:cs="Arial"/>
          <w:color w:val="000000"/>
          <w:kern w:val="0"/>
          <w:lang w:eastAsia="en-GB"/>
          <w14:ligatures w14:val="none"/>
        </w:rPr>
        <w:t xml:space="preserve"> process</w:t>
      </w:r>
      <w:r w:rsidRPr="003137A2" w:rsidR="74131136">
        <w:rPr>
          <w:rFonts w:ascii="Aptos" w:hAnsi="Aptos" w:eastAsia="Times New Roman" w:cs="Arial"/>
          <w:color w:val="000000"/>
          <w:kern w:val="0"/>
          <w:lang w:eastAsia="en-GB"/>
          <w14:ligatures w14:val="none"/>
        </w:rPr>
        <w:t xml:space="preserve"> of confirming </w:t>
      </w:r>
      <w:r w:rsidRPr="003137A2" w:rsidR="3682F52B">
        <w:rPr>
          <w:rFonts w:ascii="Aptos" w:hAnsi="Aptos" w:eastAsia="Times New Roman" w:cs="Arial"/>
          <w:color w:val="000000"/>
          <w:kern w:val="0"/>
          <w:lang w:eastAsia="en-GB"/>
          <w14:ligatures w14:val="none"/>
        </w:rPr>
        <w:t xml:space="preserve">an</w:t>
      </w:r>
      <w:r w:rsidRPr="003137A2" w:rsidR="06BD00DE">
        <w:rPr>
          <w:rFonts w:ascii="Aptos" w:hAnsi="Aptos" w:eastAsia="Times New Roman" w:cs="Arial"/>
          <w:color w:val="000000"/>
          <w:kern w:val="0"/>
          <w:lang w:eastAsia="en-GB"/>
          <w14:ligatures w14:val="none"/>
        </w:rPr>
        <w:t xml:space="preserve"> </w:t>
      </w:r>
      <w:r w:rsidRPr="003137A2" w:rsidR="74131136">
        <w:rPr>
          <w:rFonts w:ascii="Aptos" w:hAnsi="Aptos" w:eastAsia="Times New Roman" w:cs="Arial"/>
          <w:color w:val="000000"/>
          <w:kern w:val="0"/>
          <w:lang w:eastAsia="en-GB"/>
          <w14:ligatures w14:val="none"/>
        </w:rPr>
        <w:t xml:space="preserve">initial</w:t>
      </w:r>
      <w:r w:rsidRPr="003137A2" w:rsidR="74131136">
        <w:rPr>
          <w:rFonts w:ascii="Aptos" w:hAnsi="Aptos" w:eastAsia="Times New Roman" w:cs="Arial"/>
          <w:color w:val="000000"/>
          <w:kern w:val="0"/>
          <w:lang w:eastAsia="en-GB"/>
          <w14:ligatures w14:val="none"/>
        </w:rPr>
        <w:t xml:space="preserve"> </w:t>
      </w:r>
      <w:r w:rsidRPr="003137A2" w:rsidR="252F166B">
        <w:rPr>
          <w:rFonts w:ascii="Aptos" w:hAnsi="Aptos" w:eastAsia="Times New Roman" w:cs="Arial"/>
          <w:color w:val="000000"/>
          <w:kern w:val="0"/>
          <w:lang w:eastAsia="en-GB"/>
          <w14:ligatures w14:val="none"/>
        </w:rPr>
        <w:t xml:space="preserve">understanding and </w:t>
      </w:r>
      <w:r w:rsidRPr="003137A2" w:rsidR="74131136">
        <w:rPr>
          <w:rFonts w:ascii="Aptos" w:hAnsi="Aptos" w:eastAsia="Times New Roman" w:cs="Arial"/>
          <w:color w:val="000000"/>
          <w:kern w:val="0"/>
          <w:lang w:eastAsia="en-GB"/>
          <w14:ligatures w14:val="none"/>
        </w:rPr>
        <w:t xml:space="preserve">belief</w:t>
      </w:r>
      <w:r w:rsidRPr="003137A2" w:rsidR="59DEB7D1">
        <w:rPr>
          <w:rFonts w:ascii="Aptos" w:hAnsi="Aptos" w:eastAsia="Times New Roman" w:cs="Arial"/>
          <w:color w:val="000000"/>
          <w:kern w:val="0"/>
          <w:lang w:eastAsia="en-GB"/>
          <w14:ligatures w14:val="none"/>
        </w:rPr>
        <w:t xml:space="preserve"> </w:t>
      </w:r>
      <w:r w:rsidRPr="003137A2" w:rsidR="5CA7D4F2">
        <w:rPr>
          <w:rFonts w:ascii="Aptos" w:hAnsi="Aptos" w:eastAsia="Times New Roman" w:cs="Arial"/>
          <w:color w:val="000000"/>
          <w:kern w:val="0"/>
          <w:lang w:eastAsia="en-GB"/>
          <w14:ligatures w14:val="none"/>
        </w:rPr>
        <w:t xml:space="preserve">but</w:t>
      </w:r>
      <w:r w:rsidRPr="003137A2" w:rsidR="652DB94E">
        <w:rPr>
          <w:rFonts w:ascii="Aptos" w:hAnsi="Aptos" w:eastAsia="Times New Roman" w:cs="Arial"/>
          <w:color w:val="000000"/>
          <w:kern w:val="0"/>
          <w:lang w:eastAsia="en-GB"/>
          <w14:ligatures w14:val="none"/>
        </w:rPr>
        <w:t xml:space="preserve"> a</w:t>
      </w:r>
      <w:r w:rsidRPr="003137A2" w:rsidR="74131136">
        <w:rPr>
          <w:rFonts w:ascii="Aptos" w:hAnsi="Aptos" w:eastAsia="Times New Roman" w:cs="Arial"/>
          <w:color w:val="000000"/>
          <w:kern w:val="0"/>
          <w:lang w:eastAsia="en-GB"/>
          <w14:ligatures w14:val="none"/>
        </w:rPr>
        <w:t xml:space="preserve"> learning experience in which understanding improves and perspectives</w:t>
      </w:r>
      <w:r w:rsidRPr="003137A2" w:rsidR="2FEE4D77">
        <w:rPr>
          <w:rFonts w:ascii="Aptos" w:hAnsi="Aptos" w:eastAsia="Times New Roman" w:cs="Arial"/>
          <w:color w:val="000000"/>
          <w:kern w:val="0"/>
          <w:lang w:eastAsia="en-GB"/>
          <w14:ligatures w14:val="none"/>
        </w:rPr>
        <w:t xml:space="preserve">/beliefs</w:t>
      </w:r>
      <w:r w:rsidRPr="003137A2" w:rsidR="74131136">
        <w:rPr>
          <w:rFonts w:ascii="Aptos" w:hAnsi="Aptos" w:eastAsia="Times New Roman" w:cs="Arial"/>
          <w:color w:val="000000"/>
          <w:kern w:val="0"/>
          <w:lang w:eastAsia="en-GB"/>
          <w14:ligatures w14:val="none"/>
        </w:rPr>
        <w:t xml:space="preserve"> </w:t>
      </w:r>
      <w:r w:rsidRPr="003137A2" w:rsidR="32A21643">
        <w:rPr>
          <w:rFonts w:ascii="Aptos" w:hAnsi="Aptos" w:eastAsia="Times New Roman" w:cs="Arial"/>
          <w:color w:val="000000"/>
          <w:kern w:val="0"/>
          <w:lang w:eastAsia="en-GB"/>
          <w14:ligatures w14:val="none"/>
        </w:rPr>
        <w:t xml:space="preserve">can </w:t>
      </w:r>
      <w:r w:rsidRPr="003137A2" w:rsidR="78BAC59D">
        <w:rPr>
          <w:rFonts w:ascii="Aptos" w:hAnsi="Aptos" w:eastAsia="Times New Roman" w:cs="Arial"/>
          <w:color w:val="000000"/>
          <w:kern w:val="0"/>
          <w:lang w:eastAsia="en-GB"/>
          <w14:ligatures w14:val="none"/>
        </w:rPr>
        <w:t xml:space="preserve">change.</w:t>
      </w:r>
    </w:p>
    <w:p w:rsidRPr="003137A2" w:rsidR="003137A2" w:rsidP="257BFE88" w:rsidRDefault="003137A2" w14:paraId="4A37AD23" w14:textId="79091AA8">
      <w:pPr>
        <w:pStyle w:val="Normal"/>
        <w:spacing w:before="240" w:after="240" w:line="240" w:lineRule="auto"/>
        <w:rPr>
          <w:rFonts w:ascii="Aptos" w:hAnsi="Aptos" w:eastAsia="Times New Roman" w:cs="Arial"/>
          <w:color w:val="000000" w:themeColor="text1" w:themeTint="FF" w:themeShade="FF"/>
          <w:kern w:val="0"/>
          <w:lang w:eastAsia="en-GB"/>
          <w14:ligatures w14:val="none"/>
        </w:rPr>
      </w:pPr>
      <w:r w:rsidRPr="003137A2" w:rsidR="68168213">
        <w:rPr>
          <w:rFonts w:ascii="Aptos" w:hAnsi="Aptos" w:eastAsia="Times New Roman" w:cs="Arial"/>
          <w:color w:val="000000"/>
          <w:kern w:val="0"/>
          <w:lang w:eastAsia="en-GB"/>
          <w14:ligatures w14:val="none"/>
        </w:rPr>
        <w:t>R</w:t>
      </w:r>
      <w:r w:rsidRPr="003137A2" w:rsidR="6D7FFB3E">
        <w:rPr>
          <w:rFonts w:ascii="Aptos" w:hAnsi="Aptos" w:eastAsia="Times New Roman" w:cs="Arial"/>
          <w:color w:val="000000"/>
          <w:kern w:val="0"/>
          <w:lang w:eastAsia="en-GB"/>
          <w14:ligatures w14:val="none"/>
        </w:rPr>
        <w:t>esilience</w:t>
      </w:r>
      <w:r w:rsidRPr="003137A2" w:rsidR="0F6CD165">
        <w:rPr>
          <w:rFonts w:ascii="Aptos" w:hAnsi="Aptos" w:eastAsia="Times New Roman" w:cs="Arial"/>
          <w:color w:val="000000"/>
          <w:kern w:val="0"/>
          <w:lang w:eastAsia="en-GB"/>
          <w14:ligatures w14:val="none"/>
        </w:rPr>
        <w:t xml:space="preserve"> </w:t>
      </w:r>
      <w:r w:rsidRPr="003137A2" w:rsidR="6D7FFB3E">
        <w:rPr>
          <w:rFonts w:ascii="Aptos" w:hAnsi="Aptos" w:eastAsia="Times New Roman" w:cs="Arial"/>
          <w:color w:val="000000"/>
          <w:kern w:val="0"/>
          <w:lang w:eastAsia="en-GB"/>
          <w14:ligatures w14:val="none"/>
        </w:rPr>
        <w:t>and reflective practice</w:t>
      </w:r>
      <w:r w:rsidRPr="003137A2" w:rsidR="135271AF">
        <w:rPr>
          <w:rFonts w:ascii="Aptos" w:hAnsi="Aptos" w:eastAsia="Times New Roman" w:cs="Arial"/>
          <w:color w:val="000000"/>
          <w:kern w:val="0"/>
          <w:lang w:eastAsia="en-GB"/>
          <w14:ligatures w14:val="none"/>
        </w:rPr>
        <w:t xml:space="preserve"> </w:t>
      </w:r>
      <w:r w:rsidRPr="003137A2" w:rsidR="135271AF">
        <w:rPr>
          <w:rFonts w:ascii="Aptos" w:hAnsi="Aptos" w:eastAsia="Times New Roman" w:cs="Arial"/>
          <w:color w:val="000000"/>
          <w:kern w:val="0"/>
          <w:lang w:eastAsia="en-GB"/>
          <w14:ligatures w14:val="none"/>
        </w:rPr>
        <w:t>are qualities</w:t>
      </w:r>
      <w:r w:rsidRPr="257BFE88" w:rsidR="135271AF">
        <w:rPr>
          <w:rFonts w:ascii="Aptos" w:hAnsi="Aptos" w:eastAsia="Times New Roman" w:cs="Arial"/>
          <w:color w:val="000000" w:themeColor="text1" w:themeTint="FF" w:themeShade="FF"/>
          <w:lang w:eastAsia="en-GB"/>
        </w:rPr>
        <w:t xml:space="preserve"> </w:t>
      </w:r>
      <w:r w:rsidRPr="257BFE88" w:rsidR="135271AF">
        <w:rPr>
          <w:rFonts w:ascii="Aptos" w:hAnsi="Aptos" w:eastAsia="Times New Roman" w:cs="Arial"/>
          <w:color w:val="000000" w:themeColor="text1" w:themeTint="FF" w:themeShade="FF"/>
          <w:lang w:eastAsia="en-GB"/>
        </w:rPr>
        <w:t>required</w:t>
      </w:r>
      <w:r w:rsidRPr="257BFE88" w:rsidR="34ECB29B">
        <w:rPr>
          <w:rFonts w:ascii="Aptos" w:hAnsi="Aptos" w:eastAsia="Times New Roman" w:cs="Arial"/>
          <w:color w:val="000000" w:themeColor="text1" w:themeTint="FF" w:themeShade="FF"/>
          <w:lang w:eastAsia="en-GB"/>
        </w:rPr>
        <w:t xml:space="preserve"> in research and the </w:t>
      </w:r>
      <w:r w:rsidRPr="257BFE88" w:rsidR="34ECB29B">
        <w:rPr>
          <w:rFonts w:ascii="Aptos" w:hAnsi="Aptos" w:eastAsia="Times New Roman" w:cs="Arial"/>
          <w:color w:val="000000" w:themeColor="text1" w:themeTint="FF" w:themeShade="FF"/>
          <w:lang w:eastAsia="en-GB"/>
        </w:rPr>
        <w:t>work place</w:t>
      </w:r>
      <w:r w:rsidRPr="003137A2" w:rsidR="6D7FFB3E">
        <w:rPr>
          <w:rFonts w:ascii="Aptos" w:hAnsi="Aptos" w:eastAsia="Times New Roman" w:cs="Arial"/>
          <w:color w:val="000000"/>
          <w:kern w:val="0"/>
          <w:lang w:eastAsia="en-GB"/>
          <w14:ligatures w14:val="none"/>
        </w:rPr>
        <w:t>.</w:t>
      </w:r>
      <w:r w:rsidRPr="003137A2" w:rsidR="3983789A">
        <w:rPr>
          <w:rFonts w:ascii="Aptos" w:hAnsi="Aptos" w:eastAsia="Times New Roman" w:cs="Arial"/>
          <w:color w:val="000000"/>
          <w:kern w:val="0"/>
          <w:lang w:eastAsia="en-GB"/>
          <w14:ligatures w14:val="none"/>
        </w:rPr>
        <w:t xml:space="preserve"> </w:t>
      </w:r>
      <w:r w:rsidRPr="003137A2" w:rsidR="0DB6317E">
        <w:rPr>
          <w:rFonts w:ascii="Aptos" w:hAnsi="Aptos" w:eastAsia="Times New Roman" w:cs="Arial"/>
          <w:color w:val="000000"/>
          <w:kern w:val="0"/>
          <w:lang w:eastAsia="en-GB"/>
          <w14:ligatures w14:val="none"/>
        </w:rPr>
        <w:t xml:space="preserve"> </w:t>
      </w:r>
      <w:r w:rsidRPr="003137A2" w:rsidR="6D7FFB3E">
        <w:rPr>
          <w:rFonts w:ascii="Aptos" w:hAnsi="Aptos" w:eastAsia="Times New Roman" w:cs="Arial"/>
          <w:color w:val="000000"/>
          <w:kern w:val="0"/>
          <w:lang w:eastAsia="en-GB"/>
          <w14:ligatures w14:val="none"/>
        </w:rPr>
        <w:t>Pe</w:t>
      </w:r>
      <w:r w:rsidRPr="003137A2" w:rsidR="6D7FFB3E">
        <w:rPr>
          <w:rFonts w:ascii="Aptos" w:hAnsi="Aptos" w:eastAsia="Times New Roman" w:cs="Arial"/>
          <w:color w:val="000000"/>
          <w:kern w:val="0"/>
          <w:lang w:eastAsia="en-GB"/>
          <w14:ligatures w14:val="none"/>
        </w:rPr>
        <w:t>riods of anxiety, self-doubt, disrupted momentum, time pressure and external constraints mirrored the challenges of “work based” projects. Applying skills developed throughout the Business Management course, including planning, risk management, critical analysis</w:t>
      </w:r>
      <w:r w:rsidRPr="003137A2" w:rsidR="29FEEA4D">
        <w:rPr>
          <w:rFonts w:ascii="Aptos" w:hAnsi="Aptos" w:eastAsia="Times New Roman" w:cs="Arial"/>
          <w:color w:val="000000"/>
          <w:kern w:val="0"/>
          <w:lang w:eastAsia="en-GB"/>
          <w14:ligatures w14:val="none"/>
        </w:rPr>
        <w:t xml:space="preserve"> </w:t>
      </w:r>
      <w:r w:rsidRPr="003137A2" w:rsidR="6D7FFB3E">
        <w:rPr>
          <w:rFonts w:ascii="Aptos" w:hAnsi="Aptos" w:eastAsia="Times New Roman" w:cs="Arial"/>
          <w:color w:val="000000"/>
          <w:kern w:val="0"/>
          <w:lang w:eastAsia="en-GB"/>
          <w14:ligatures w14:val="none"/>
        </w:rPr>
        <w:t>and</w:t>
      </w:r>
      <w:r w:rsidRPr="003137A2" w:rsidR="6D7FFB3E">
        <w:rPr>
          <w:rFonts w:ascii="Aptos" w:hAnsi="Aptos" w:eastAsia="Times New Roman" w:cs="Arial"/>
          <w:color w:val="000000"/>
          <w:kern w:val="0"/>
          <w:lang w:eastAsia="en-GB"/>
          <w14:ligatures w14:val="none"/>
        </w:rPr>
        <w:t xml:space="preserve"> reflective evaluation, enabled continued progress to complete the research</w:t>
      </w:r>
      <w:r w:rsidRPr="003137A2" w:rsidR="6D7FFB3E">
        <w:rPr>
          <w:rFonts w:ascii="Aptos" w:hAnsi="Aptos" w:eastAsia="Times New Roman" w:cs="Arial"/>
          <w:color w:val="000000"/>
          <w:kern w:val="0"/>
          <w:lang w:eastAsia="en-GB"/>
          <w14:ligatures w14:val="none"/>
        </w:rPr>
        <w:t>.</w:t>
      </w:r>
      <w:r w:rsidRPr="257BFE88" w:rsidR="7AAE3756">
        <w:rPr>
          <w:rFonts w:ascii="Aptos" w:hAnsi="Aptos" w:eastAsia="Times New Roman" w:cs="Arial"/>
          <w:color w:val="000000" w:themeColor="text1" w:themeTint="FF" w:themeShade="FF"/>
          <w:lang w:eastAsia="en-GB"/>
        </w:rPr>
        <w:t xml:space="preserve"> The personal experience and learning gained from the project are important for the future.</w:t>
      </w:r>
    </w:p>
    <w:p w:rsidRPr="003137A2" w:rsidR="003137A2" w:rsidP="003137A2" w:rsidRDefault="003137A2" w14:paraId="54F9EE1B" w14:textId="1E1D9825">
      <w:pPr>
        <w:spacing w:before="240" w:after="240" w:line="240" w:lineRule="auto"/>
        <w:rPr>
          <w:rFonts w:ascii="Aptos" w:hAnsi="Aptos" w:eastAsia="Times New Roman" w:cs="Times New Roman"/>
          <w:kern w:val="0"/>
          <w:lang w:eastAsia="en-GB"/>
          <w14:ligatures w14:val="none"/>
        </w:rPr>
      </w:pPr>
      <w:r w:rsidRPr="003137A2" w:rsidR="74131136">
        <w:rPr>
          <w:rFonts w:ascii="Aptos" w:hAnsi="Aptos" w:eastAsia="Times New Roman" w:cs="Arial"/>
          <w:color w:val="000000"/>
          <w:kern w:val="0"/>
          <w:lang w:eastAsia="en-GB"/>
          <w14:ligatures w14:val="none"/>
        </w:rPr>
        <w:t xml:space="preserve">The Independent Project has therefore delivered learning </w:t>
      </w:r>
      <w:r w:rsidRPr="003137A2" w:rsidR="1BA3EECF">
        <w:rPr>
          <w:rFonts w:ascii="Aptos" w:hAnsi="Aptos" w:eastAsia="Times New Roman" w:cs="Arial"/>
          <w:color w:val="000000"/>
          <w:kern w:val="0"/>
          <w:lang w:eastAsia="en-GB"/>
          <w14:ligatures w14:val="none"/>
        </w:rPr>
        <w:t xml:space="preserve">well </w:t>
      </w:r>
      <w:r w:rsidRPr="003137A2" w:rsidR="74131136">
        <w:rPr>
          <w:rFonts w:ascii="Aptos" w:hAnsi="Aptos" w:eastAsia="Times New Roman" w:cs="Arial"/>
          <w:color w:val="000000"/>
          <w:kern w:val="0"/>
          <w:lang w:eastAsia="en-GB"/>
          <w14:ligatures w14:val="none"/>
        </w:rPr>
        <w:t>beyond the</w:t>
      </w:r>
      <w:r w:rsidRPr="003137A2" w:rsidR="383E357C">
        <w:rPr>
          <w:rFonts w:ascii="Aptos" w:hAnsi="Aptos" w:eastAsia="Times New Roman" w:cs="Arial"/>
          <w:color w:val="000000"/>
          <w:kern w:val="0"/>
          <w:lang w:eastAsia="en-GB"/>
          <w14:ligatures w14:val="none"/>
        </w:rPr>
        <w:t xml:space="preserve"> Independent Project</w:t>
      </w:r>
      <w:r w:rsidRPr="003137A2" w:rsidR="74131136">
        <w:rPr>
          <w:rFonts w:ascii="Aptos" w:hAnsi="Aptos" w:eastAsia="Times New Roman" w:cs="Arial"/>
          <w:color w:val="000000"/>
          <w:kern w:val="0"/>
          <w:lang w:eastAsia="en-GB"/>
          <w14:ligatures w14:val="none"/>
        </w:rPr>
        <w:t xml:space="preserve"> itself. It has </w:t>
      </w:r>
      <w:r w:rsidRPr="003137A2" w:rsidR="74131136">
        <w:rPr>
          <w:rFonts w:ascii="Aptos" w:hAnsi="Aptos" w:eastAsia="Times New Roman" w:cs="Arial"/>
          <w:color w:val="000000"/>
          <w:kern w:val="0"/>
          <w:lang w:eastAsia="en-GB"/>
          <w14:ligatures w14:val="none"/>
        </w:rPr>
        <w:t>consolidated</w:t>
      </w:r>
      <w:r w:rsidRPr="003137A2" w:rsidR="74131136">
        <w:rPr>
          <w:rFonts w:ascii="Aptos" w:hAnsi="Aptos" w:eastAsia="Times New Roman" w:cs="Arial"/>
          <w:color w:val="000000"/>
          <w:kern w:val="0"/>
          <w:lang w:eastAsia="en-GB"/>
          <w14:ligatures w14:val="none"/>
        </w:rPr>
        <w:t xml:space="preserve"> three years of academic development, provided experience of managing a c</w:t>
      </w:r>
      <w:r w:rsidRPr="003137A2" w:rsidR="4CF9759D">
        <w:rPr>
          <w:rFonts w:ascii="Aptos" w:hAnsi="Aptos" w:eastAsia="Times New Roman" w:cs="Arial"/>
          <w:color w:val="000000"/>
          <w:kern w:val="0"/>
          <w:lang w:eastAsia="en-GB"/>
          <w14:ligatures w14:val="none"/>
        </w:rPr>
        <w:t>hallenging</w:t>
      </w:r>
      <w:r w:rsidRPr="003137A2" w:rsidR="74131136">
        <w:rPr>
          <w:rFonts w:ascii="Aptos" w:hAnsi="Aptos" w:eastAsia="Times New Roman" w:cs="Arial"/>
          <w:color w:val="000000"/>
          <w:kern w:val="0"/>
          <w:lang w:eastAsia="en-GB"/>
          <w14:ligatures w14:val="none"/>
        </w:rPr>
        <w:t xml:space="preserve"> research process and </w:t>
      </w:r>
      <w:r w:rsidRPr="003137A2" w:rsidR="74131136">
        <w:rPr>
          <w:rFonts w:ascii="Aptos" w:hAnsi="Aptos" w:eastAsia="Times New Roman" w:cs="Arial"/>
          <w:color w:val="000000"/>
          <w:kern w:val="0"/>
          <w:lang w:eastAsia="en-GB"/>
          <w14:ligatures w14:val="none"/>
        </w:rPr>
        <w:t>demonstrated</w:t>
      </w:r>
      <w:r w:rsidRPr="003137A2" w:rsidR="74131136">
        <w:rPr>
          <w:rFonts w:ascii="Aptos" w:hAnsi="Aptos" w:eastAsia="Times New Roman" w:cs="Arial"/>
          <w:color w:val="000000"/>
          <w:kern w:val="0"/>
          <w:lang w:eastAsia="en-GB"/>
          <w14:ligatures w14:val="none"/>
        </w:rPr>
        <w:t xml:space="preserve"> the importance of clarity, </w:t>
      </w:r>
      <w:r w:rsidRPr="003137A2" w:rsidR="74131136">
        <w:rPr>
          <w:rFonts w:ascii="Aptos" w:hAnsi="Aptos" w:eastAsia="Times New Roman" w:cs="Arial"/>
          <w:color w:val="000000"/>
          <w:kern w:val="0"/>
          <w:lang w:eastAsia="en-GB"/>
          <w14:ligatures w14:val="none"/>
        </w:rPr>
        <w:t xml:space="preserve">discipline</w:t>
      </w:r>
      <w:r w:rsidRPr="003137A2" w:rsidR="74131136">
        <w:rPr>
          <w:rFonts w:ascii="Aptos" w:hAnsi="Aptos" w:eastAsia="Times New Roman" w:cs="Arial"/>
          <w:color w:val="000000"/>
          <w:kern w:val="0"/>
          <w:lang w:eastAsia="en-GB"/>
          <w14:ligatures w14:val="none"/>
        </w:rPr>
        <w:t xml:space="preserve"> and</w:t>
      </w:r>
      <w:r w:rsidRPr="003137A2" w:rsidR="74131136">
        <w:rPr>
          <w:rFonts w:ascii="Aptos" w:hAnsi="Aptos" w:eastAsia="Times New Roman" w:cs="Arial"/>
          <w:color w:val="000000"/>
          <w:kern w:val="0"/>
          <w:lang w:eastAsia="en-GB"/>
          <w14:ligatures w14:val="none"/>
        </w:rPr>
        <w:t xml:space="preserve"> adaptability in professional practice. The research question, while important, became secondary to the broader learning gained and that learning will directly support future workplace responsibilities.</w:t>
      </w:r>
    </w:p>
    <w:p w:rsidRPr="003137A2" w:rsidR="003137A2" w:rsidP="08626363" w:rsidRDefault="003137A2" w14:paraId="13306C36" w14:textId="0209B88E">
      <w:pPr>
        <w:pStyle w:val="Normal"/>
        <w:keepNext w:val="1"/>
        <w:keepLines w:val="1"/>
        <w:spacing w:before="160" w:after="80"/>
        <w:outlineLvl w:val="1"/>
        <w:rPr>
          <w:rFonts w:ascii="Aptos Display" w:hAnsi="Aptos Display" w:eastAsia="Times New Roman" w:cs="" w:asciiTheme="majorAscii" w:hAnsiTheme="majorAscii" w:cstheme="majorBidi"/>
          <w:color w:val="0F4761" w:themeColor="accent1" w:themeShade="BF"/>
          <w:sz w:val="32"/>
          <w:szCs w:val="32"/>
          <w:lang w:eastAsia="en-GB"/>
        </w:rPr>
      </w:pPr>
      <w:bookmarkStart w:name="_Toc721758177" w:id="1828279265"/>
      <w:r w:rsidRPr="257BFE88" w:rsidR="74131136">
        <w:rPr>
          <w:rFonts w:ascii="Aptos Display" w:hAnsi="Aptos Display" w:eastAsia="Times New Roman" w:cs="" w:asciiTheme="majorAscii" w:hAnsiTheme="majorAscii" w:cstheme="majorBidi"/>
          <w:color w:val="0F4761" w:themeColor="accent1" w:themeTint="FF" w:themeShade="BF"/>
          <w:sz w:val="32"/>
          <w:szCs w:val="32"/>
          <w:lang w:eastAsia="en-GB"/>
        </w:rPr>
        <w:t>6.4 Recommendations</w:t>
      </w:r>
      <w:bookmarkEnd w:id="1828279265"/>
    </w:p>
    <w:p w:rsidRPr="003137A2" w:rsidR="003137A2" w:rsidP="257BFE88" w:rsidRDefault="003137A2" w14:paraId="43B40465" w14:textId="77777777">
      <w:pPr>
        <w:keepNext w:val="1"/>
        <w:keepLines w:val="1"/>
        <w:spacing w:before="160" w:after="80"/>
        <w:outlineLvl w:val="2"/>
        <w:rPr>
          <w:rFonts w:eastAsia="" w:cs="" w:eastAsiaTheme="majorEastAsia" w:cstheme="majorBidi"/>
          <w:color w:val="0F4761" w:themeColor="accent1" w:themeShade="BF"/>
          <w:sz w:val="28"/>
          <w:szCs w:val="28"/>
          <w:lang w:eastAsia="en-GB"/>
        </w:rPr>
      </w:pPr>
      <w:bookmarkStart w:name="_Toc1302650873" w:id="650645884"/>
      <w:r w:rsidRPr="257BFE88" w:rsidR="6D7FFB3E">
        <w:rPr>
          <w:rFonts w:eastAsia="" w:cs="" w:eastAsiaTheme="majorEastAsia" w:cstheme="majorBidi"/>
          <w:color w:val="0F4761" w:themeColor="accent1" w:themeTint="FF" w:themeShade="BF"/>
          <w:sz w:val="28"/>
          <w:szCs w:val="28"/>
          <w:lang w:eastAsia="en-GB"/>
        </w:rPr>
        <w:t>1. Recommendations for Investors and Asset Managers</w:t>
      </w:r>
      <w:bookmarkEnd w:id="650645884"/>
    </w:p>
    <w:p w:rsidRPr="003137A2" w:rsidR="003137A2" w:rsidP="003137A2" w:rsidRDefault="003137A2" w14:paraId="6C197A0B" w14:textId="77777777">
      <w:pPr>
        <w:keepNext/>
        <w:keepLines/>
        <w:spacing w:before="80" w:after="40"/>
        <w:outlineLvl w:val="3"/>
        <w:rPr>
          <w:rFonts w:eastAsiaTheme="majorEastAsia" w:cstheme="majorBidi"/>
          <w:i/>
          <w:iCs/>
          <w:color w:val="0F4761" w:themeColor="accent1" w:themeShade="BF"/>
          <w:lang w:eastAsia="en-GB"/>
        </w:rPr>
      </w:pPr>
      <w:r w:rsidRPr="003137A2">
        <w:rPr>
          <w:rFonts w:eastAsiaTheme="majorEastAsia" w:cstheme="majorBidi"/>
          <w:i/>
          <w:iCs/>
          <w:color w:val="0F4761" w:themeColor="accent1" w:themeShade="BF"/>
          <w:lang w:eastAsia="en-GB"/>
        </w:rPr>
        <w:t>1.1 Integrate ESG into strategic decision</w:t>
      </w:r>
      <w:r w:rsidRPr="003137A2">
        <w:rPr>
          <w:rFonts w:ascii="Cambria Math" w:hAnsi="Cambria Math" w:cs="Cambria Math" w:eastAsiaTheme="majorEastAsia"/>
          <w:i/>
          <w:iCs/>
          <w:color w:val="0F4761" w:themeColor="accent1" w:themeShade="BF"/>
          <w:lang w:eastAsia="en-GB"/>
        </w:rPr>
        <w:t xml:space="preserve"> </w:t>
      </w:r>
      <w:r w:rsidRPr="003137A2">
        <w:rPr>
          <w:rFonts w:eastAsiaTheme="majorEastAsia" w:cstheme="majorBidi"/>
          <w:i/>
          <w:iCs/>
          <w:color w:val="0F4761" w:themeColor="accent1" w:themeShade="BF"/>
          <w:lang w:eastAsia="en-GB"/>
        </w:rPr>
        <w:t>making</w:t>
      </w:r>
    </w:p>
    <w:p w:rsidRPr="003137A2" w:rsidR="003137A2" w:rsidP="003137A2" w:rsidRDefault="003137A2" w14:paraId="286BF2A8" w14:textId="6CB79595">
      <w:pPr>
        <w:rPr>
          <w:lang w:eastAsia="en-GB"/>
        </w:rPr>
      </w:pPr>
      <w:r w:rsidRPr="257BFE88" w:rsidR="280C22D0">
        <w:rPr>
          <w:lang w:eastAsia="en-GB"/>
        </w:rPr>
        <w:t xml:space="preserve">ESG considerations should be built into broader business strategy rather than treated as compliance exercises. BlackRock’s 2026 </w:t>
      </w:r>
      <w:r w:rsidRPr="257BFE88" w:rsidR="2A0D99CF">
        <w:rPr>
          <w:lang w:eastAsia="en-GB"/>
        </w:rPr>
        <w:t xml:space="preserve">(BlackRock, </w:t>
      </w:r>
      <w:r w:rsidRPr="257BFE88" w:rsidR="2A0D99CF">
        <w:rPr>
          <w:lang w:eastAsia="en-GB"/>
        </w:rPr>
        <w:t>2026)</w:t>
      </w:r>
      <w:r w:rsidRPr="257BFE88" w:rsidR="672FFAD3">
        <w:rPr>
          <w:lang w:eastAsia="en-GB"/>
        </w:rPr>
        <w:t xml:space="preserve"> </w:t>
      </w:r>
      <w:r w:rsidRPr="257BFE88" w:rsidR="280C22D0">
        <w:rPr>
          <w:lang w:eastAsia="en-GB"/>
        </w:rPr>
        <w:t>move</w:t>
      </w:r>
      <w:r w:rsidRPr="257BFE88" w:rsidR="280C22D0">
        <w:rPr>
          <w:lang w:eastAsia="en-GB"/>
        </w:rPr>
        <w:t xml:space="preserve"> away from clear and direct ESG wording shows that sustainability factors </w:t>
      </w:r>
      <w:r w:rsidRPr="257BFE88" w:rsidR="280C22D0">
        <w:rPr>
          <w:lang w:eastAsia="en-GB"/>
        </w:rPr>
        <w:t>remain</w:t>
      </w:r>
      <w:r w:rsidRPr="257BFE88" w:rsidR="280C22D0">
        <w:rPr>
          <w:lang w:eastAsia="en-GB"/>
        </w:rPr>
        <w:t xml:space="preserve"> relevant but work best when they explain the real financial risks a company faces, how it plans to adapt</w:t>
      </w:r>
      <w:r w:rsidRPr="257BFE88" w:rsidR="4B6EA326">
        <w:rPr>
          <w:lang w:eastAsia="en-GB"/>
        </w:rPr>
        <w:t xml:space="preserve"> </w:t>
      </w:r>
      <w:r w:rsidRPr="257BFE88" w:rsidR="280C22D0">
        <w:rPr>
          <w:lang w:eastAsia="en-GB"/>
        </w:rPr>
        <w:t xml:space="preserve">and how it will stay successful over time. Investors should prioritise companies with </w:t>
      </w:r>
      <w:r w:rsidRPr="257BFE88" w:rsidR="06C107DD">
        <w:rPr>
          <w:lang w:eastAsia="en-GB"/>
        </w:rPr>
        <w:t>good</w:t>
      </w:r>
      <w:r w:rsidRPr="257BFE88" w:rsidR="280C22D0">
        <w:rPr>
          <w:lang w:eastAsia="en-GB"/>
        </w:rPr>
        <w:t xml:space="preserve"> transition plans, strong </w:t>
      </w:r>
      <w:r w:rsidRPr="257BFE88" w:rsidR="280C22D0">
        <w:rPr>
          <w:lang w:eastAsia="en-GB"/>
        </w:rPr>
        <w:t>governance</w:t>
      </w:r>
      <w:r w:rsidRPr="257BFE88" w:rsidR="280C22D0">
        <w:rPr>
          <w:lang w:eastAsia="en-GB"/>
        </w:rPr>
        <w:t xml:space="preserve"> and</w:t>
      </w:r>
      <w:r w:rsidRPr="257BFE88" w:rsidR="280C22D0">
        <w:rPr>
          <w:lang w:eastAsia="en-GB"/>
        </w:rPr>
        <w:t xml:space="preserve"> open reporting. This </w:t>
      </w:r>
      <w:r w:rsidRPr="257BFE88" w:rsidR="18555016">
        <w:rPr>
          <w:lang w:eastAsia="en-GB"/>
        </w:rPr>
        <w:t xml:space="preserve">would show </w:t>
      </w:r>
      <w:r w:rsidRPr="257BFE88" w:rsidR="280C22D0">
        <w:rPr>
          <w:lang w:eastAsia="en-GB"/>
        </w:rPr>
        <w:t>an understanding that ESG scores are interpretive signals rather than definitive measures of sustainability performance</w:t>
      </w:r>
      <w:r w:rsidRPr="257BFE88" w:rsidR="7C5A9A2E">
        <w:rPr>
          <w:lang w:eastAsia="en-GB"/>
        </w:rPr>
        <w:t xml:space="preserve">. </w:t>
      </w:r>
    </w:p>
    <w:p w:rsidRPr="003137A2" w:rsidR="003137A2" w:rsidP="003137A2" w:rsidRDefault="003137A2" w14:paraId="5048D7D8" w14:textId="77777777">
      <w:pPr>
        <w:keepNext/>
        <w:keepLines/>
        <w:spacing w:before="80" w:after="40"/>
        <w:outlineLvl w:val="3"/>
        <w:rPr>
          <w:rFonts w:eastAsiaTheme="majorEastAsia" w:cstheme="majorBidi"/>
          <w:i/>
          <w:iCs/>
          <w:color w:val="0F4761" w:themeColor="accent1" w:themeShade="BF"/>
          <w:lang w:eastAsia="en-GB"/>
        </w:rPr>
      </w:pPr>
      <w:r w:rsidRPr="003137A2">
        <w:rPr>
          <w:rFonts w:eastAsiaTheme="majorEastAsia" w:cstheme="majorBidi"/>
          <w:i/>
          <w:iCs/>
          <w:color w:val="0F4761" w:themeColor="accent1" w:themeShade="BF"/>
          <w:lang w:eastAsia="en-GB"/>
        </w:rPr>
        <w:t xml:space="preserve">1.2 Improve data interpretation </w:t>
      </w:r>
    </w:p>
    <w:p w:rsidRPr="003137A2" w:rsidR="003137A2" w:rsidP="003137A2" w:rsidRDefault="003137A2" w14:paraId="158D57E2" w14:textId="77777777">
      <w:pPr>
        <w:rPr>
          <w:lang w:eastAsia="en-GB"/>
        </w:rPr>
      </w:pPr>
      <w:r w:rsidRPr="003137A2">
        <w:rPr>
          <w:lang w:eastAsia="en-GB"/>
        </w:rPr>
        <w:t>Given the absence of an agreed and consistent approach across rating providers, investors should use multiple ESG data sources and examine the underlying indicators rather than relying on single composite scores. BlackRock’s repositioning in 2026 shows there is a need for judgement</w:t>
      </w:r>
      <w:r w:rsidRPr="003137A2">
        <w:rPr>
          <w:rFonts w:ascii="Cambria Math" w:hAnsi="Cambria Math" w:cs="Cambria Math"/>
          <w:lang w:eastAsia="en-GB"/>
        </w:rPr>
        <w:t xml:space="preserve"> </w:t>
      </w:r>
      <w:r w:rsidRPr="003137A2">
        <w:rPr>
          <w:lang w:eastAsia="en-GB"/>
        </w:rPr>
        <w:t>and interpretation rather than reliance on ratings. This will distinguish sustainability performance from rating</w:t>
      </w:r>
      <w:r w:rsidRPr="003137A2">
        <w:rPr>
          <w:rFonts w:ascii="Cambria Math" w:hAnsi="Cambria Math" w:cs="Cambria Math"/>
          <w:lang w:eastAsia="en-GB"/>
        </w:rPr>
        <w:t xml:space="preserve"> </w:t>
      </w:r>
      <w:r w:rsidRPr="003137A2">
        <w:rPr>
          <w:lang w:eastAsia="en-GB"/>
        </w:rPr>
        <w:t>model biases.</w:t>
      </w:r>
    </w:p>
    <w:p w:rsidRPr="003137A2" w:rsidR="003137A2" w:rsidP="003137A2" w:rsidRDefault="003137A2" w14:paraId="6A71277B" w14:textId="77777777">
      <w:pPr>
        <w:keepNext/>
        <w:keepLines/>
        <w:spacing w:before="80" w:after="40"/>
        <w:outlineLvl w:val="3"/>
        <w:rPr>
          <w:rFonts w:eastAsiaTheme="majorEastAsia" w:cstheme="majorBidi"/>
          <w:i/>
          <w:iCs/>
          <w:color w:val="0F4761" w:themeColor="accent1" w:themeShade="BF"/>
          <w:lang w:eastAsia="en-GB"/>
        </w:rPr>
      </w:pPr>
      <w:r w:rsidRPr="003137A2">
        <w:rPr>
          <w:rFonts w:eastAsiaTheme="majorEastAsia" w:cstheme="majorBidi"/>
          <w:i/>
          <w:iCs/>
          <w:color w:val="0F4761" w:themeColor="accent1" w:themeShade="BF"/>
          <w:lang w:eastAsia="en-GB"/>
        </w:rPr>
        <w:t>1.3 Recognise sector</w:t>
      </w:r>
      <w:r w:rsidRPr="003137A2">
        <w:rPr>
          <w:rFonts w:ascii="Cambria Math" w:hAnsi="Cambria Math" w:cs="Cambria Math" w:eastAsiaTheme="majorEastAsia"/>
          <w:i/>
          <w:iCs/>
          <w:color w:val="0F4761" w:themeColor="accent1" w:themeShade="BF"/>
          <w:lang w:eastAsia="en-GB"/>
        </w:rPr>
        <w:t xml:space="preserve"> </w:t>
      </w:r>
      <w:r w:rsidRPr="003137A2">
        <w:rPr>
          <w:rFonts w:eastAsiaTheme="majorEastAsia" w:cstheme="majorBidi"/>
          <w:i/>
          <w:iCs/>
          <w:color w:val="0F4761" w:themeColor="accent1" w:themeShade="BF"/>
          <w:lang w:eastAsia="en-GB"/>
        </w:rPr>
        <w:t>specific factors</w:t>
      </w:r>
    </w:p>
    <w:p w:rsidRPr="003137A2" w:rsidR="003137A2" w:rsidP="003137A2" w:rsidRDefault="003137A2" w14:paraId="1204843C" w14:textId="44DD77F0">
      <w:pPr>
        <w:rPr>
          <w:lang w:eastAsia="en-GB"/>
        </w:rPr>
      </w:pPr>
      <w:r w:rsidRPr="257BFE88" w:rsidR="6D7FFB3E">
        <w:rPr>
          <w:lang w:eastAsia="en-GB"/>
        </w:rPr>
        <w:t xml:space="preserve">ESG </w:t>
      </w:r>
      <w:r w:rsidRPr="257BFE88" w:rsidR="13F1173C">
        <w:rPr>
          <w:lang w:eastAsia="en-GB"/>
        </w:rPr>
        <w:t>effects</w:t>
      </w:r>
      <w:r w:rsidRPr="257BFE88" w:rsidR="6D7FFB3E">
        <w:rPr>
          <w:lang w:eastAsia="en-GB"/>
        </w:rPr>
        <w:t xml:space="preserve"> vary across industries. Investors</w:t>
      </w:r>
      <w:r w:rsidRPr="257BFE88" w:rsidR="32F53C1F">
        <w:rPr>
          <w:lang w:eastAsia="en-GB"/>
        </w:rPr>
        <w:t xml:space="preserve"> therefore</w:t>
      </w:r>
      <w:r w:rsidRPr="257BFE88" w:rsidR="6D7FFB3E">
        <w:rPr>
          <w:lang w:eastAsia="en-GB"/>
        </w:rPr>
        <w:t xml:space="preserve"> </w:t>
      </w:r>
      <w:r w:rsidRPr="257BFE88" w:rsidR="0649342B">
        <w:rPr>
          <w:lang w:eastAsia="en-GB"/>
        </w:rPr>
        <w:t xml:space="preserve">need to </w:t>
      </w:r>
      <w:r w:rsidRPr="257BFE88" w:rsidR="6D7FFB3E">
        <w:rPr>
          <w:lang w:eastAsia="en-GB"/>
        </w:rPr>
        <w:t xml:space="preserve">assess </w:t>
      </w:r>
      <w:r w:rsidRPr="257BFE88" w:rsidR="1B055C6F">
        <w:rPr>
          <w:lang w:eastAsia="en-GB"/>
        </w:rPr>
        <w:t xml:space="preserve">how </w:t>
      </w:r>
      <w:r w:rsidRPr="257BFE88" w:rsidR="6D7FFB3E">
        <w:rPr>
          <w:lang w:eastAsia="en-GB"/>
        </w:rPr>
        <w:t>compan</w:t>
      </w:r>
      <w:r w:rsidRPr="257BFE88" w:rsidR="0BDB4051">
        <w:rPr>
          <w:lang w:eastAsia="en-GB"/>
        </w:rPr>
        <w:t>ies</w:t>
      </w:r>
      <w:r w:rsidRPr="257BFE88" w:rsidR="6D7FFB3E">
        <w:rPr>
          <w:lang w:eastAsia="en-GB"/>
        </w:rPr>
        <w:t xml:space="preserve"> respon</w:t>
      </w:r>
      <w:r w:rsidRPr="257BFE88" w:rsidR="5495B445">
        <w:rPr>
          <w:lang w:eastAsia="en-GB"/>
        </w:rPr>
        <w:t>d</w:t>
      </w:r>
      <w:r w:rsidRPr="257BFE88" w:rsidR="6D7FFB3E">
        <w:rPr>
          <w:lang w:eastAsia="en-GB"/>
        </w:rPr>
        <w:t xml:space="preserve"> to sustainability risks within th</w:t>
      </w:r>
      <w:r w:rsidRPr="257BFE88" w:rsidR="0E3F2839">
        <w:rPr>
          <w:lang w:eastAsia="en-GB"/>
        </w:rPr>
        <w:t xml:space="preserve">at </w:t>
      </w:r>
      <w:r w:rsidRPr="257BFE88" w:rsidR="0E3F2839">
        <w:rPr>
          <w:lang w:eastAsia="en-GB"/>
        </w:rPr>
        <w:t>companies</w:t>
      </w:r>
      <w:r w:rsidRPr="257BFE88" w:rsidR="0E3F2839">
        <w:rPr>
          <w:lang w:eastAsia="en-GB"/>
        </w:rPr>
        <w:t xml:space="preserve"> </w:t>
      </w:r>
      <w:r w:rsidRPr="257BFE88" w:rsidR="60451AEC">
        <w:rPr>
          <w:lang w:eastAsia="en-GB"/>
        </w:rPr>
        <w:t>particular business</w:t>
      </w:r>
      <w:r w:rsidRPr="257BFE88" w:rsidR="60451AEC">
        <w:rPr>
          <w:lang w:eastAsia="en-GB"/>
        </w:rPr>
        <w:t xml:space="preserve"> </w:t>
      </w:r>
      <w:r w:rsidRPr="257BFE88" w:rsidR="6D7FFB3E">
        <w:rPr>
          <w:lang w:eastAsia="en-GB"/>
        </w:rPr>
        <w:t>sector</w:t>
      </w:r>
      <w:r w:rsidRPr="257BFE88" w:rsidR="6CD75BC9">
        <w:rPr>
          <w:lang w:eastAsia="en-GB"/>
        </w:rPr>
        <w:t xml:space="preserve">. </w:t>
      </w:r>
      <w:r w:rsidRPr="257BFE88" w:rsidR="6D7FFB3E">
        <w:rPr>
          <w:lang w:eastAsia="en-GB"/>
        </w:rPr>
        <w:t xml:space="preserve"> </w:t>
      </w:r>
      <w:r w:rsidRPr="257BFE88" w:rsidR="3A915526">
        <w:rPr>
          <w:lang w:eastAsia="en-GB"/>
        </w:rPr>
        <w:t>D</w:t>
      </w:r>
      <w:r w:rsidRPr="257BFE88" w:rsidR="6D7FFB3E">
        <w:rPr>
          <w:lang w:eastAsia="en-GB"/>
        </w:rPr>
        <w:t>ifferent</w:t>
      </w:r>
      <w:r w:rsidRPr="257BFE88" w:rsidR="29F50B41">
        <w:rPr>
          <w:lang w:eastAsia="en-GB"/>
        </w:rPr>
        <w:t xml:space="preserve"> sectors of business </w:t>
      </w:r>
      <w:r w:rsidRPr="257BFE88" w:rsidR="36538735">
        <w:rPr>
          <w:lang w:eastAsia="en-GB"/>
        </w:rPr>
        <w:t xml:space="preserve">manage </w:t>
      </w:r>
      <w:r w:rsidRPr="257BFE88" w:rsidR="29F50B41">
        <w:rPr>
          <w:lang w:eastAsia="en-GB"/>
        </w:rPr>
        <w:t>different</w:t>
      </w:r>
      <w:r w:rsidRPr="257BFE88" w:rsidR="6D7FFB3E">
        <w:rPr>
          <w:lang w:eastAsia="en-GB"/>
        </w:rPr>
        <w:t xml:space="preserve"> </w:t>
      </w:r>
      <w:r w:rsidRPr="257BFE88" w:rsidR="6D7FFB3E">
        <w:rPr>
          <w:lang w:eastAsia="en-GB"/>
        </w:rPr>
        <w:t>regulatory pressures and operational requirements. BlackRock</w:t>
      </w:r>
      <w:r w:rsidRPr="257BFE88" w:rsidR="6D7FFB3E">
        <w:rPr>
          <w:rFonts w:ascii="Aptos" w:hAnsi="Aptos" w:cs="Aptos"/>
          <w:lang w:eastAsia="en-GB"/>
        </w:rPr>
        <w:t>’</w:t>
      </w:r>
      <w:r w:rsidRPr="257BFE88" w:rsidR="6D7FFB3E">
        <w:rPr>
          <w:lang w:eastAsia="en-GB"/>
        </w:rPr>
        <w:t xml:space="preserve">s </w:t>
      </w:r>
      <w:r w:rsidRPr="257BFE88" w:rsidR="1BCD8692">
        <w:rPr>
          <w:lang w:eastAsia="en-GB"/>
        </w:rPr>
        <w:t>recent</w:t>
      </w:r>
      <w:r w:rsidRPr="257BFE88" w:rsidR="1536D130">
        <w:rPr>
          <w:lang w:eastAsia="en-GB"/>
        </w:rPr>
        <w:t xml:space="preserve"> </w:t>
      </w:r>
      <w:r w:rsidRPr="257BFE88" w:rsidR="6D7FFB3E">
        <w:rPr>
          <w:lang w:eastAsia="en-GB"/>
        </w:rPr>
        <w:t xml:space="preserve">emphasis on </w:t>
      </w:r>
      <w:r w:rsidRPr="257BFE88" w:rsidR="6D7FFB3E">
        <w:rPr>
          <w:rFonts w:ascii="Aptos" w:hAnsi="Aptos" w:cs="Aptos"/>
          <w:lang w:eastAsia="en-GB"/>
        </w:rPr>
        <w:t>“</w:t>
      </w:r>
      <w:r w:rsidRPr="257BFE88" w:rsidR="6D7FFB3E">
        <w:rPr>
          <w:lang w:eastAsia="en-GB"/>
        </w:rPr>
        <w:t>industrial realism</w:t>
      </w:r>
      <w:r w:rsidRPr="257BFE88" w:rsidR="6D7FFB3E">
        <w:rPr>
          <w:rFonts w:ascii="Aptos" w:hAnsi="Aptos" w:cs="Aptos"/>
          <w:lang w:eastAsia="en-GB"/>
        </w:rPr>
        <w:t>”</w:t>
      </w:r>
      <w:r w:rsidRPr="257BFE88" w:rsidR="6D7FFB3E">
        <w:rPr>
          <w:lang w:eastAsia="en-GB"/>
        </w:rPr>
        <w:t xml:space="preserve"> </w:t>
      </w:r>
      <w:r w:rsidRPr="257BFE88" w:rsidR="6DD5A8D8">
        <w:rPr>
          <w:lang w:eastAsia="en-GB"/>
        </w:rPr>
        <w:t xml:space="preserve">reflects this </w:t>
      </w:r>
      <w:r w:rsidRPr="257BFE88" w:rsidR="230B117B">
        <w:rPr>
          <w:lang w:eastAsia="en-GB"/>
        </w:rPr>
        <w:t>and is</w:t>
      </w:r>
      <w:r w:rsidRPr="257BFE88" w:rsidR="6D7FFB3E">
        <w:rPr>
          <w:lang w:eastAsia="en-GB"/>
        </w:rPr>
        <w:t xml:space="preserve"> </w:t>
      </w:r>
      <w:r w:rsidRPr="257BFE88" w:rsidR="0C6DB264">
        <w:rPr>
          <w:lang w:eastAsia="en-GB"/>
        </w:rPr>
        <w:t>important for</w:t>
      </w:r>
      <w:r w:rsidRPr="257BFE88" w:rsidR="606066F3">
        <w:rPr>
          <w:lang w:eastAsia="en-GB"/>
        </w:rPr>
        <w:t xml:space="preserve"> all </w:t>
      </w:r>
      <w:r w:rsidRPr="257BFE88" w:rsidR="224427F1">
        <w:rPr>
          <w:lang w:eastAsia="en-GB"/>
        </w:rPr>
        <w:t>sectors but</w:t>
      </w:r>
      <w:r w:rsidRPr="257BFE88" w:rsidR="4C166E5F">
        <w:rPr>
          <w:lang w:eastAsia="en-GB"/>
        </w:rPr>
        <w:t xml:space="preserve"> is </w:t>
      </w:r>
      <w:r w:rsidRPr="257BFE88" w:rsidR="6D7FFB3E">
        <w:rPr>
          <w:lang w:eastAsia="en-GB"/>
        </w:rPr>
        <w:t>particularly</w:t>
      </w:r>
      <w:r w:rsidRPr="257BFE88" w:rsidR="2008B4BA">
        <w:rPr>
          <w:lang w:eastAsia="en-GB"/>
        </w:rPr>
        <w:t xml:space="preserve"> </w:t>
      </w:r>
      <w:r w:rsidRPr="257BFE88" w:rsidR="76AFB6A5">
        <w:rPr>
          <w:lang w:eastAsia="en-GB"/>
        </w:rPr>
        <w:t>relevant to</w:t>
      </w:r>
      <w:r w:rsidRPr="257BFE88" w:rsidR="6D7FFB3E">
        <w:rPr>
          <w:lang w:eastAsia="en-GB"/>
        </w:rPr>
        <w:t xml:space="preserve"> energy</w:t>
      </w:r>
      <w:r w:rsidRPr="257BFE88" w:rsidR="6D7FFB3E">
        <w:rPr>
          <w:rFonts w:ascii="Cambria Math" w:hAnsi="Cambria Math" w:cs="Cambria Math"/>
          <w:lang w:eastAsia="en-GB"/>
        </w:rPr>
        <w:t xml:space="preserve"> </w:t>
      </w:r>
      <w:r w:rsidRPr="257BFE88" w:rsidR="6D7FFB3E">
        <w:rPr>
          <w:lang w:eastAsia="en-GB"/>
        </w:rPr>
        <w:t>intensive industries</w:t>
      </w:r>
      <w:r w:rsidRPr="257BFE88" w:rsidR="29F591FC">
        <w:rPr>
          <w:lang w:eastAsia="en-GB"/>
        </w:rPr>
        <w:t xml:space="preserve"> where the</w:t>
      </w:r>
      <w:r w:rsidRPr="257BFE88" w:rsidR="56871A83">
        <w:rPr>
          <w:lang w:eastAsia="en-GB"/>
        </w:rPr>
        <w:t>se</w:t>
      </w:r>
      <w:r w:rsidRPr="257BFE88" w:rsidR="29F591FC">
        <w:rPr>
          <w:lang w:eastAsia="en-GB"/>
        </w:rPr>
        <w:t xml:space="preserve"> challenges are significant.</w:t>
      </w:r>
    </w:p>
    <w:p w:rsidRPr="003137A2" w:rsidR="003137A2" w:rsidP="257BFE88" w:rsidRDefault="003137A2" w14:paraId="5251B083" w14:textId="6F579454">
      <w:pPr>
        <w:keepNext w:val="1"/>
        <w:keepLines w:val="1"/>
        <w:spacing w:before="160" w:after="80"/>
        <w:outlineLvl w:val="2"/>
        <w:rPr>
          <w:rFonts w:eastAsia="" w:cs="" w:eastAsiaTheme="majorEastAsia" w:cstheme="majorBidi"/>
          <w:color w:val="0F4761" w:themeColor="accent1" w:themeShade="BF"/>
          <w:sz w:val="28"/>
          <w:szCs w:val="28"/>
          <w:lang w:eastAsia="en-GB"/>
        </w:rPr>
      </w:pPr>
      <w:bookmarkStart w:name="_Toc802556853" w:id="893791015"/>
      <w:r w:rsidRPr="257BFE88" w:rsidR="6D7FFB3E">
        <w:rPr>
          <w:rFonts w:eastAsia="" w:cs="" w:eastAsiaTheme="majorEastAsia" w:cstheme="majorBidi"/>
          <w:color w:val="0F4761" w:themeColor="accent1" w:themeTint="FF" w:themeShade="BF"/>
          <w:sz w:val="28"/>
          <w:szCs w:val="28"/>
          <w:lang w:eastAsia="en-GB"/>
        </w:rPr>
        <w:t xml:space="preserve">2. Recommendations for </w:t>
      </w:r>
      <w:r w:rsidRPr="257BFE88" w:rsidR="67719748">
        <w:rPr>
          <w:rFonts w:eastAsia="" w:cs="" w:eastAsiaTheme="majorEastAsia" w:cstheme="majorBidi"/>
          <w:color w:val="0F4761" w:themeColor="accent1" w:themeTint="FF" w:themeShade="BF"/>
          <w:sz w:val="28"/>
          <w:szCs w:val="28"/>
          <w:lang w:eastAsia="en-GB"/>
        </w:rPr>
        <w:t>Governments</w:t>
      </w:r>
      <w:r w:rsidRPr="257BFE88" w:rsidR="6D7FFB3E">
        <w:rPr>
          <w:rFonts w:eastAsia="" w:cs="" w:eastAsiaTheme="majorEastAsia" w:cstheme="majorBidi"/>
          <w:color w:val="0F4761" w:themeColor="accent1" w:themeTint="FF" w:themeShade="BF"/>
          <w:sz w:val="28"/>
          <w:szCs w:val="28"/>
          <w:lang w:eastAsia="en-GB"/>
        </w:rPr>
        <w:t xml:space="preserve"> and</w:t>
      </w:r>
      <w:r w:rsidRPr="257BFE88" w:rsidR="1C24A500">
        <w:rPr>
          <w:rFonts w:eastAsia="" w:cs="" w:eastAsiaTheme="majorEastAsia" w:cstheme="majorBidi"/>
          <w:color w:val="0F4761" w:themeColor="accent1" w:themeTint="FF" w:themeShade="BF"/>
          <w:sz w:val="28"/>
          <w:szCs w:val="28"/>
          <w:lang w:eastAsia="en-GB"/>
        </w:rPr>
        <w:t xml:space="preserve"> Regulators</w:t>
      </w:r>
      <w:bookmarkEnd w:id="893791015"/>
    </w:p>
    <w:p w:rsidRPr="003137A2" w:rsidR="003137A2" w:rsidP="257BFE88" w:rsidRDefault="003137A2" w14:paraId="22ED6CB4" w14:textId="77777777">
      <w:pPr>
        <w:keepNext w:val="1"/>
        <w:keepLines w:val="1"/>
        <w:spacing w:before="80" w:after="40"/>
        <w:outlineLvl w:val="3"/>
        <w:rPr>
          <w:rFonts w:eastAsia="" w:cs="" w:eastAsiaTheme="majorEastAsia" w:cstheme="majorBidi"/>
          <w:i w:val="1"/>
          <w:iCs w:val="1"/>
          <w:color w:val="0F4761" w:themeColor="accent1" w:themeShade="BF"/>
          <w:lang w:eastAsia="en-GB"/>
        </w:rPr>
      </w:pPr>
      <w:r w:rsidRPr="257BFE88" w:rsidR="6D7FFB3E">
        <w:rPr>
          <w:rFonts w:eastAsia="" w:cs="" w:eastAsiaTheme="majorEastAsia" w:cstheme="majorBidi"/>
          <w:i w:val="1"/>
          <w:iCs w:val="1"/>
          <w:color w:val="0F4761" w:themeColor="accent1" w:themeTint="FF" w:themeShade="BF"/>
          <w:lang w:eastAsia="en-GB"/>
        </w:rPr>
        <w:t>2.1 Standardise ESG reporting standards</w:t>
      </w:r>
    </w:p>
    <w:p w:rsidRPr="003137A2" w:rsidR="003137A2" w:rsidP="003137A2" w:rsidRDefault="003137A2" w14:paraId="09700A70" w14:textId="4692483F">
      <w:pPr>
        <w:rPr>
          <w:lang w:eastAsia="en-GB"/>
        </w:rPr>
      </w:pPr>
      <w:r w:rsidRPr="257BFE88" w:rsidR="6D7FFB3E">
        <w:rPr>
          <w:lang w:eastAsia="en-GB"/>
        </w:rPr>
        <w:t>Greater consistency</w:t>
      </w:r>
      <w:r w:rsidRPr="257BFE88" w:rsidR="1FE88EF1">
        <w:rPr>
          <w:lang w:eastAsia="en-GB"/>
        </w:rPr>
        <w:t xml:space="preserve"> in ESG scoring </w:t>
      </w:r>
      <w:r w:rsidRPr="257BFE88" w:rsidR="1FE88EF1">
        <w:rPr>
          <w:lang w:eastAsia="en-GB"/>
        </w:rPr>
        <w:t>practices</w:t>
      </w:r>
      <w:r w:rsidRPr="257BFE88" w:rsidR="6D7FFB3E">
        <w:rPr>
          <w:lang w:eastAsia="en-GB"/>
        </w:rPr>
        <w:t xml:space="preserve"> would improve comparability and reliability of ESG data.</w:t>
      </w:r>
      <w:r w:rsidRPr="257BFE88" w:rsidR="6D7FFB3E">
        <w:rPr>
          <w:lang w:eastAsia="en-GB"/>
        </w:rPr>
        <w:t xml:space="preserve"> T</w:t>
      </w:r>
      <w:r w:rsidRPr="257BFE88" w:rsidR="6D7FFB3E">
        <w:rPr>
          <w:lang w:eastAsia="en-GB"/>
        </w:rPr>
        <w:t>his is incr</w:t>
      </w:r>
      <w:r w:rsidRPr="257BFE88" w:rsidR="6D7FFB3E">
        <w:rPr>
          <w:lang w:eastAsia="en-GB"/>
        </w:rPr>
        <w:t>easingly important given the regulatory variations highlighted in Section 5.4 and the move by the leading asset manager to avoid ESG terminology while still integrating sustainability</w:t>
      </w:r>
      <w:r w:rsidRPr="257BFE88" w:rsidR="6D7FFB3E">
        <w:rPr>
          <w:rFonts w:ascii="Cambria Math" w:hAnsi="Cambria Math" w:cs="Cambria Math"/>
          <w:lang w:eastAsia="en-GB"/>
        </w:rPr>
        <w:t xml:space="preserve"> </w:t>
      </w:r>
      <w:r w:rsidRPr="257BFE88" w:rsidR="6D7FFB3E">
        <w:rPr>
          <w:lang w:eastAsia="en-GB"/>
        </w:rPr>
        <w:t>related risks.</w:t>
      </w:r>
    </w:p>
    <w:p w:rsidRPr="003137A2" w:rsidR="003137A2" w:rsidP="003137A2" w:rsidRDefault="003137A2" w14:paraId="2A4D2462" w14:textId="77777777">
      <w:pPr>
        <w:keepNext/>
        <w:keepLines/>
        <w:spacing w:before="80" w:after="40"/>
        <w:outlineLvl w:val="3"/>
        <w:rPr>
          <w:rFonts w:eastAsiaTheme="majorEastAsia" w:cstheme="majorBidi"/>
          <w:i/>
          <w:iCs/>
          <w:color w:val="0F4761" w:themeColor="accent1" w:themeShade="BF"/>
          <w:lang w:eastAsia="en-GB"/>
        </w:rPr>
      </w:pPr>
      <w:r w:rsidRPr="003137A2">
        <w:rPr>
          <w:rFonts w:eastAsiaTheme="majorEastAsia" w:cstheme="majorBidi"/>
          <w:i/>
          <w:iCs/>
          <w:color w:val="0F4761" w:themeColor="accent1" w:themeShade="BF"/>
          <w:lang w:eastAsia="en-GB"/>
        </w:rPr>
        <w:t>2.2 Support practical transition plans in key industries</w:t>
      </w:r>
    </w:p>
    <w:p w:rsidRPr="003137A2" w:rsidR="003137A2" w:rsidP="003137A2" w:rsidRDefault="003137A2" w14:paraId="6C799831" w14:textId="52AE5096">
      <w:pPr>
        <w:rPr>
          <w:lang w:eastAsia="en-GB"/>
        </w:rPr>
      </w:pPr>
      <w:r w:rsidRPr="257BFE88" w:rsidR="6D7FFB3E">
        <w:rPr>
          <w:lang w:eastAsia="en-GB"/>
        </w:rPr>
        <w:t>Regulators should limit penalties for carbon intensive sectors and encourage realistic strategies to change. BlackRock</w:t>
      </w:r>
      <w:r w:rsidRPr="257BFE88" w:rsidR="6D7FFB3E">
        <w:rPr>
          <w:rFonts w:ascii="Aptos" w:hAnsi="Aptos" w:cs="Aptos"/>
          <w:lang w:eastAsia="en-GB"/>
        </w:rPr>
        <w:t>’</w:t>
      </w:r>
      <w:r w:rsidRPr="257BFE88" w:rsidR="6D7FFB3E">
        <w:rPr>
          <w:lang w:eastAsia="en-GB"/>
        </w:rPr>
        <w:t>s 2026</w:t>
      </w:r>
      <w:r w:rsidRPr="257BFE88" w:rsidR="3A61E111">
        <w:rPr>
          <w:lang w:eastAsia="en-GB"/>
        </w:rPr>
        <w:t xml:space="preserve"> (BlackRock, 2026)</w:t>
      </w:r>
      <w:r w:rsidRPr="257BFE88" w:rsidR="6D7FFB3E">
        <w:rPr>
          <w:lang w:eastAsia="en-GB"/>
        </w:rPr>
        <w:t xml:space="preserve"> revised strategic direction shows the need for practical, economically sound planning that recognises the importance of these sectors to global energy security and economic stability.</w:t>
      </w:r>
    </w:p>
    <w:p w:rsidRPr="003137A2" w:rsidR="003137A2" w:rsidP="257BFE88" w:rsidRDefault="003137A2" w14:paraId="0FD092C7" w14:textId="0810E646">
      <w:pPr>
        <w:keepNext w:val="1"/>
        <w:keepLines w:val="1"/>
        <w:spacing w:before="80" w:after="40"/>
        <w:outlineLvl w:val="3"/>
        <w:rPr>
          <w:rFonts w:eastAsia="" w:cs="" w:eastAsiaTheme="majorEastAsia" w:cstheme="majorBidi"/>
          <w:i w:val="1"/>
          <w:iCs w:val="1"/>
          <w:color w:val="0F4761" w:themeColor="accent1" w:themeShade="BF"/>
          <w:lang w:eastAsia="en-GB"/>
        </w:rPr>
      </w:pPr>
      <w:r w:rsidRPr="257BFE88" w:rsidR="6D7FFB3E">
        <w:rPr>
          <w:rFonts w:eastAsia="" w:cs="" w:eastAsiaTheme="majorEastAsia" w:cstheme="majorBidi"/>
          <w:i w:val="1"/>
          <w:iCs w:val="1"/>
          <w:color w:val="0F4761" w:themeColor="accent1" w:themeTint="FF" w:themeShade="BF"/>
          <w:lang w:eastAsia="en-GB"/>
        </w:rPr>
        <w:t xml:space="preserve">2.3 </w:t>
      </w:r>
      <w:r w:rsidRPr="257BFE88" w:rsidR="6D7FFB3E">
        <w:rPr>
          <w:rFonts w:eastAsia="" w:cs="" w:eastAsiaTheme="majorEastAsia" w:cstheme="majorBidi"/>
          <w:i w:val="1"/>
          <w:iCs w:val="1"/>
          <w:color w:val="0F4761" w:themeColor="accent1" w:themeTint="FF" w:themeShade="BF"/>
          <w:lang w:eastAsia="en-GB"/>
        </w:rPr>
        <w:t xml:space="preserve">Strengthen </w:t>
      </w:r>
      <w:r w:rsidRPr="257BFE88" w:rsidR="054AD55B">
        <w:rPr>
          <w:rFonts w:eastAsia="" w:cs="" w:eastAsiaTheme="majorEastAsia" w:cstheme="majorBidi"/>
          <w:i w:val="1"/>
          <w:iCs w:val="1"/>
          <w:color w:val="0F4761" w:themeColor="accent1" w:themeTint="FF" w:themeShade="BF"/>
          <w:lang w:eastAsia="en-GB"/>
        </w:rPr>
        <w:t xml:space="preserve">regulation and monitoring </w:t>
      </w:r>
      <w:r w:rsidRPr="257BFE88" w:rsidR="6D7FFB3E">
        <w:rPr>
          <w:rFonts w:eastAsia="" w:cs="" w:eastAsiaTheme="majorEastAsia" w:cstheme="majorBidi"/>
          <w:i w:val="1"/>
          <w:iCs w:val="1"/>
          <w:color w:val="0F4761" w:themeColor="accent1" w:themeTint="FF" w:themeShade="BF"/>
          <w:lang w:eastAsia="en-GB"/>
        </w:rPr>
        <w:t>of ESG</w:t>
      </w:r>
      <w:r w:rsidRPr="257BFE88" w:rsidR="6D7FFB3E">
        <w:rPr>
          <w:rFonts w:ascii="Cambria Math" w:hAnsi="Cambria Math" w:eastAsia="" w:cs="Cambria Math" w:eastAsiaTheme="majorEastAsia"/>
          <w:i w:val="1"/>
          <w:iCs w:val="1"/>
          <w:color w:val="0F4761" w:themeColor="accent1" w:themeTint="FF" w:themeShade="BF"/>
          <w:lang w:eastAsia="en-GB"/>
        </w:rPr>
        <w:t xml:space="preserve"> </w:t>
      </w:r>
      <w:r w:rsidRPr="257BFE88" w:rsidR="6D7FFB3E">
        <w:rPr>
          <w:rFonts w:eastAsia="" w:cs="" w:eastAsiaTheme="majorEastAsia" w:cstheme="majorBidi"/>
          <w:i w:val="1"/>
          <w:iCs w:val="1"/>
          <w:color w:val="0F4761" w:themeColor="accent1" w:themeTint="FF" w:themeShade="BF"/>
          <w:lang w:eastAsia="en-GB"/>
        </w:rPr>
        <w:t>labelled products</w:t>
      </w:r>
    </w:p>
    <w:p w:rsidRPr="003137A2" w:rsidR="003137A2" w:rsidP="003137A2" w:rsidRDefault="003137A2" w14:paraId="4F9BA340" w14:textId="7DFB8FF4">
      <w:pPr>
        <w:rPr>
          <w:lang w:eastAsia="en-GB"/>
        </w:rPr>
      </w:pPr>
      <w:r w:rsidRPr="257BFE88" w:rsidR="6D7FFB3E">
        <w:rPr>
          <w:lang w:eastAsia="en-GB"/>
        </w:rPr>
        <w:t>Better monitoring is needed to minimise greenwashing</w:t>
      </w:r>
      <w:r w:rsidRPr="257BFE88" w:rsidR="43301733">
        <w:rPr>
          <w:lang w:eastAsia="en-GB"/>
        </w:rPr>
        <w:t xml:space="preserve"> and </w:t>
      </w:r>
      <w:r w:rsidRPr="257BFE88" w:rsidR="31AF57F5">
        <w:rPr>
          <w:lang w:eastAsia="en-GB"/>
        </w:rPr>
        <w:t>make</w:t>
      </w:r>
      <w:r w:rsidRPr="257BFE88" w:rsidR="6D7FFB3E">
        <w:rPr>
          <w:lang w:eastAsia="en-GB"/>
        </w:rPr>
        <w:t xml:space="preserve"> fund </w:t>
      </w:r>
      <w:r w:rsidRPr="257BFE88" w:rsidR="65D051F6">
        <w:rPr>
          <w:lang w:eastAsia="en-GB"/>
        </w:rPr>
        <w:t>labelling</w:t>
      </w:r>
      <w:r w:rsidRPr="257BFE88" w:rsidR="0372D107">
        <w:rPr>
          <w:lang w:eastAsia="en-GB"/>
        </w:rPr>
        <w:t xml:space="preserve"> </w:t>
      </w:r>
      <w:r w:rsidRPr="257BFE88" w:rsidR="0372D107">
        <w:rPr>
          <w:lang w:eastAsia="en-GB"/>
        </w:rPr>
        <w:t>clearer</w:t>
      </w:r>
      <w:r w:rsidRPr="257BFE88" w:rsidR="6D7FFB3E">
        <w:rPr>
          <w:lang w:eastAsia="en-GB"/>
        </w:rPr>
        <w:t xml:space="preserve"> </w:t>
      </w:r>
      <w:r w:rsidRPr="257BFE88" w:rsidR="07CFF9EB">
        <w:rPr>
          <w:lang w:eastAsia="en-GB"/>
        </w:rPr>
        <w:t>to</w:t>
      </w:r>
      <w:r w:rsidRPr="257BFE88" w:rsidR="6D7FFB3E">
        <w:rPr>
          <w:lang w:eastAsia="en-GB"/>
        </w:rPr>
        <w:t xml:space="preserve"> </w:t>
      </w:r>
      <w:r w:rsidRPr="257BFE88" w:rsidR="54158FC6">
        <w:rPr>
          <w:lang w:eastAsia="en-GB"/>
        </w:rPr>
        <w:t>maintain</w:t>
      </w:r>
      <w:r w:rsidRPr="257BFE88" w:rsidR="6D7FFB3E">
        <w:rPr>
          <w:lang w:eastAsia="en-GB"/>
        </w:rPr>
        <w:t xml:space="preserve"> </w:t>
      </w:r>
      <w:r w:rsidRPr="257BFE88" w:rsidR="6D7FFB3E">
        <w:rPr>
          <w:lang w:eastAsia="en-GB"/>
        </w:rPr>
        <w:t xml:space="preserve">investor </w:t>
      </w:r>
      <w:r w:rsidRPr="257BFE88" w:rsidR="5B7A37CC">
        <w:rPr>
          <w:lang w:eastAsia="en-GB"/>
        </w:rPr>
        <w:t>trust</w:t>
      </w:r>
      <w:r w:rsidRPr="257BFE88" w:rsidR="6D7FFB3E">
        <w:rPr>
          <w:lang w:eastAsia="en-GB"/>
        </w:rPr>
        <w:t xml:space="preserve">. As </w:t>
      </w:r>
      <w:r w:rsidRPr="257BFE88" w:rsidR="640A765A">
        <w:rPr>
          <w:lang w:eastAsia="en-GB"/>
        </w:rPr>
        <w:t xml:space="preserve">some </w:t>
      </w:r>
      <w:r w:rsidRPr="257BFE88" w:rsidR="6D7FFB3E">
        <w:rPr>
          <w:lang w:eastAsia="en-GB"/>
        </w:rPr>
        <w:t xml:space="preserve">businesses </w:t>
      </w:r>
      <w:r w:rsidRPr="257BFE88" w:rsidR="239B68D8">
        <w:rPr>
          <w:lang w:eastAsia="en-GB"/>
        </w:rPr>
        <w:t xml:space="preserve">move away </w:t>
      </w:r>
      <w:r w:rsidRPr="257BFE88" w:rsidR="6D7FFB3E">
        <w:rPr>
          <w:lang w:eastAsia="en-GB"/>
        </w:rPr>
        <w:t>from ESG branding</w:t>
      </w:r>
      <w:r w:rsidRPr="257BFE88" w:rsidR="75E35668">
        <w:rPr>
          <w:lang w:eastAsia="en-GB"/>
        </w:rPr>
        <w:t xml:space="preserve"> altogether,</w:t>
      </w:r>
      <w:r w:rsidRPr="257BFE88" w:rsidR="6D7FFB3E">
        <w:rPr>
          <w:lang w:eastAsia="en-GB"/>
        </w:rPr>
        <w:t xml:space="preserve"> clearer rules on how sustainability</w:t>
      </w:r>
      <w:r w:rsidRPr="257BFE88" w:rsidR="6ED83DC4">
        <w:rPr>
          <w:lang w:eastAsia="en-GB"/>
        </w:rPr>
        <w:t xml:space="preserve"> claims are</w:t>
      </w:r>
      <w:r w:rsidRPr="257BFE88" w:rsidR="6D7FFB3E">
        <w:rPr>
          <w:lang w:eastAsia="en-GB"/>
        </w:rPr>
        <w:t xml:space="preserve"> </w:t>
      </w:r>
      <w:r w:rsidRPr="257BFE88" w:rsidR="7E8D6E5E">
        <w:rPr>
          <w:lang w:eastAsia="en-GB"/>
        </w:rPr>
        <w:t>measur</w:t>
      </w:r>
      <w:r w:rsidRPr="257BFE88" w:rsidR="6D7FFB3E">
        <w:rPr>
          <w:lang w:eastAsia="en-GB"/>
        </w:rPr>
        <w:t xml:space="preserve">ed and </w:t>
      </w:r>
      <w:r w:rsidRPr="257BFE88" w:rsidR="385B32D2">
        <w:rPr>
          <w:lang w:eastAsia="en-GB"/>
        </w:rPr>
        <w:t>report</w:t>
      </w:r>
      <w:r w:rsidRPr="257BFE88" w:rsidR="6D7FFB3E">
        <w:rPr>
          <w:lang w:eastAsia="en-GB"/>
        </w:rPr>
        <w:t>ed</w:t>
      </w:r>
      <w:r w:rsidRPr="257BFE88" w:rsidR="6D7FFB3E">
        <w:rPr>
          <w:lang w:eastAsia="en-GB"/>
        </w:rPr>
        <w:t xml:space="preserve"> will help prevent misleading claims and reduce the risk of ESG scores </w:t>
      </w:r>
      <w:r w:rsidRPr="257BFE88" w:rsidR="6D1DDC00">
        <w:rPr>
          <w:lang w:eastAsia="en-GB"/>
        </w:rPr>
        <w:t xml:space="preserve">becoming less meaningful </w:t>
      </w:r>
      <w:r w:rsidRPr="257BFE88" w:rsidR="6D7FFB3E">
        <w:rPr>
          <w:lang w:eastAsia="en-GB"/>
        </w:rPr>
        <w:t>than</w:t>
      </w:r>
      <w:r w:rsidRPr="257BFE88" w:rsidR="4D2B1BDF">
        <w:rPr>
          <w:lang w:eastAsia="en-GB"/>
        </w:rPr>
        <w:t xml:space="preserve"> they are</w:t>
      </w:r>
      <w:r w:rsidRPr="257BFE88" w:rsidR="6D7FFB3E">
        <w:rPr>
          <w:lang w:eastAsia="en-GB"/>
        </w:rPr>
        <w:t xml:space="preserve"> now.</w:t>
      </w:r>
    </w:p>
    <w:p w:rsidRPr="003137A2" w:rsidR="003137A2" w:rsidP="257BFE88" w:rsidRDefault="003137A2" w14:paraId="20D2A89E" w14:textId="77777777">
      <w:pPr>
        <w:keepNext w:val="1"/>
        <w:keepLines w:val="1"/>
        <w:spacing w:before="160" w:after="80"/>
        <w:outlineLvl w:val="2"/>
        <w:rPr>
          <w:rFonts w:eastAsia="" w:cs="" w:eastAsiaTheme="majorEastAsia" w:cstheme="majorBidi"/>
          <w:color w:val="0F4761" w:themeColor="accent1" w:themeShade="BF"/>
          <w:sz w:val="28"/>
          <w:szCs w:val="28"/>
          <w:lang w:eastAsia="en-GB"/>
        </w:rPr>
      </w:pPr>
      <w:bookmarkStart w:name="_Toc1856918698" w:id="1051521032"/>
      <w:r w:rsidRPr="257BFE88" w:rsidR="6D7FFB3E">
        <w:rPr>
          <w:rFonts w:eastAsia="" w:cs="" w:eastAsiaTheme="majorEastAsia" w:cstheme="majorBidi"/>
          <w:color w:val="0F4761" w:themeColor="accent1" w:themeTint="FF" w:themeShade="BF"/>
          <w:sz w:val="28"/>
          <w:szCs w:val="28"/>
          <w:lang w:eastAsia="en-GB"/>
        </w:rPr>
        <w:t>3. Recommendations for Future Research</w:t>
      </w:r>
      <w:bookmarkEnd w:id="1051521032"/>
    </w:p>
    <w:p w:rsidR="6D7FFB3E" w:rsidP="257BFE88" w:rsidRDefault="6D7FFB3E" w14:paraId="41172D9B" w14:textId="2B3BA79B">
      <w:pPr>
        <w:spacing w:before="80" w:after="40"/>
        <w:outlineLvl w:val="3"/>
        <w:rPr>
          <w:rFonts w:ascii="Aptos" w:hAnsi="Aptos"/>
          <w:b w:val="0"/>
          <w:bCs w:val="0"/>
          <w:i w:val="1"/>
          <w:iCs w:val="1"/>
          <w:noProof w:val="0"/>
          <w:color w:val="0F4761" w:themeColor="accent1" w:themeTint="FF" w:themeShade="BF"/>
          <w:sz w:val="24"/>
          <w:szCs w:val="24"/>
          <w:lang w:val="en-GB"/>
        </w:rPr>
      </w:pPr>
      <w:r w:rsidRPr="257BFE88" w:rsidR="6D7FFB3E">
        <w:rPr>
          <w:rFonts w:eastAsia="" w:cs="" w:eastAsiaTheme="majorEastAsia" w:cstheme="majorBidi"/>
          <w:i w:val="1"/>
          <w:iCs w:val="1"/>
          <w:color w:val="0F4761" w:themeColor="accent1" w:themeTint="FF" w:themeShade="BF"/>
          <w:lang w:eastAsia="en-GB"/>
        </w:rPr>
        <w:t xml:space="preserve">3.1 </w:t>
      </w:r>
      <w:r w:rsidRPr="257BFE88" w:rsidR="64B6F9E2">
        <w:rPr>
          <w:rFonts w:ascii="Aptos" w:hAnsi="Aptos"/>
          <w:b w:val="0"/>
          <w:bCs w:val="0"/>
          <w:i w:val="1"/>
          <w:iCs w:val="1"/>
          <w:noProof w:val="0"/>
          <w:color w:val="0F4761" w:themeColor="accent1" w:themeTint="FF" w:themeShade="BF"/>
          <w:sz w:val="24"/>
          <w:szCs w:val="24"/>
          <w:lang w:val="en-GB"/>
        </w:rPr>
        <w:t xml:space="preserve">Include more industries and </w:t>
      </w:r>
      <w:r w:rsidRPr="257BFE88" w:rsidR="3EE24530">
        <w:rPr>
          <w:rFonts w:ascii="Aptos" w:hAnsi="Aptos"/>
          <w:b w:val="0"/>
          <w:bCs w:val="0"/>
          <w:i w:val="1"/>
          <w:iCs w:val="1"/>
          <w:noProof w:val="0"/>
          <w:color w:val="0F4761" w:themeColor="accent1" w:themeTint="FF" w:themeShade="BF"/>
          <w:sz w:val="24"/>
          <w:szCs w:val="24"/>
          <w:lang w:val="en-GB"/>
        </w:rPr>
        <w:t>countrie</w:t>
      </w:r>
      <w:r w:rsidRPr="257BFE88" w:rsidR="64B6F9E2">
        <w:rPr>
          <w:rFonts w:ascii="Aptos" w:hAnsi="Aptos"/>
          <w:b w:val="0"/>
          <w:bCs w:val="0"/>
          <w:i w:val="1"/>
          <w:iCs w:val="1"/>
          <w:noProof w:val="0"/>
          <w:color w:val="0F4761" w:themeColor="accent1" w:themeTint="FF" w:themeShade="BF"/>
          <w:sz w:val="24"/>
          <w:szCs w:val="24"/>
          <w:lang w:val="en-GB"/>
        </w:rPr>
        <w:t>s</w:t>
      </w:r>
    </w:p>
    <w:p w:rsidRPr="003137A2" w:rsidR="003137A2" w:rsidP="003137A2" w:rsidRDefault="003137A2" w14:paraId="0169672C" w14:textId="2516370C">
      <w:pPr>
        <w:rPr>
          <w:lang w:eastAsia="en-GB"/>
        </w:rPr>
      </w:pPr>
      <w:r w:rsidRPr="257BFE88" w:rsidR="6D7FFB3E">
        <w:rPr>
          <w:lang w:eastAsia="en-GB"/>
        </w:rPr>
        <w:t xml:space="preserve">Future studies could </w:t>
      </w:r>
      <w:r w:rsidRPr="257BFE88" w:rsidR="4497971A">
        <w:rPr>
          <w:lang w:eastAsia="en-GB"/>
        </w:rPr>
        <w:t>look at</w:t>
      </w:r>
      <w:r w:rsidRPr="257BFE88" w:rsidR="6D7FFB3E">
        <w:rPr>
          <w:lang w:eastAsia="en-GB"/>
        </w:rPr>
        <w:t xml:space="preserve"> longer time periods, </w:t>
      </w:r>
      <w:r w:rsidRPr="257BFE88" w:rsidR="48CEF1A8">
        <w:rPr>
          <w:lang w:eastAsia="en-GB"/>
        </w:rPr>
        <w:t xml:space="preserve">compare </w:t>
      </w:r>
      <w:r w:rsidRPr="257BFE88" w:rsidR="6D7FFB3E">
        <w:rPr>
          <w:lang w:eastAsia="en-GB"/>
        </w:rPr>
        <w:t>countr</w:t>
      </w:r>
      <w:r w:rsidRPr="257BFE88" w:rsidR="11CDBE1D">
        <w:rPr>
          <w:lang w:eastAsia="en-GB"/>
        </w:rPr>
        <w:t>ies</w:t>
      </w:r>
      <w:r w:rsidRPr="257BFE88" w:rsidR="11CDBE1D">
        <w:rPr>
          <w:lang w:eastAsia="en-GB"/>
        </w:rPr>
        <w:t xml:space="preserve"> </w:t>
      </w:r>
      <w:r w:rsidRPr="257BFE88" w:rsidR="6D7FFB3E">
        <w:rPr>
          <w:lang w:eastAsia="en-GB"/>
        </w:rPr>
        <w:t xml:space="preserve">and </w:t>
      </w:r>
      <w:r w:rsidRPr="257BFE88" w:rsidR="069C7B65">
        <w:rPr>
          <w:lang w:eastAsia="en-GB"/>
        </w:rPr>
        <w:t xml:space="preserve">use </w:t>
      </w:r>
      <w:r w:rsidRPr="257BFE88" w:rsidR="6D7FFB3E">
        <w:rPr>
          <w:lang w:eastAsia="en-GB"/>
        </w:rPr>
        <w:t>company</w:t>
      </w:r>
      <w:r w:rsidRPr="257BFE88" w:rsidR="6D7FFB3E">
        <w:rPr>
          <w:rFonts w:ascii="Cambria Math" w:hAnsi="Cambria Math" w:cs="Cambria Math"/>
          <w:lang w:eastAsia="en-GB"/>
        </w:rPr>
        <w:t xml:space="preserve"> </w:t>
      </w:r>
      <w:r w:rsidRPr="257BFE88" w:rsidR="6D7FFB3E">
        <w:rPr>
          <w:lang w:eastAsia="en-GB"/>
        </w:rPr>
        <w:t>level data to better understand of how political and regulatory requirements inf</w:t>
      </w:r>
      <w:r w:rsidRPr="257BFE88" w:rsidR="60AFF99A">
        <w:rPr>
          <w:lang w:eastAsia="en-GB"/>
        </w:rPr>
        <w:t>luence</w:t>
      </w:r>
      <w:r w:rsidRPr="257BFE88" w:rsidR="6D7FFB3E">
        <w:rPr>
          <w:lang w:eastAsia="en-GB"/>
        </w:rPr>
        <w:t xml:space="preserve"> ESG outcomes. </w:t>
      </w:r>
      <w:r w:rsidRPr="257BFE88" w:rsidR="6388FB24">
        <w:rPr>
          <w:lang w:eastAsia="en-GB"/>
        </w:rPr>
        <w:t>B</w:t>
      </w:r>
      <w:r w:rsidRPr="257BFE88" w:rsidR="6D7FFB3E">
        <w:rPr>
          <w:lang w:eastAsia="en-GB"/>
        </w:rPr>
        <w:t xml:space="preserve">lackRock </w:t>
      </w:r>
      <w:r w:rsidRPr="257BFE88" w:rsidR="0AD702C4">
        <w:rPr>
          <w:lang w:eastAsia="en-GB"/>
        </w:rPr>
        <w:t xml:space="preserve">change in </w:t>
      </w:r>
      <w:r w:rsidRPr="257BFE88" w:rsidR="6D7FFB3E">
        <w:rPr>
          <w:lang w:eastAsia="en-GB"/>
        </w:rPr>
        <w:t>strategic direction</w:t>
      </w:r>
      <w:r w:rsidRPr="257BFE88" w:rsidR="67BA69EF">
        <w:rPr>
          <w:lang w:eastAsia="en-GB"/>
        </w:rPr>
        <w:t xml:space="preserve"> in 2026</w:t>
      </w:r>
      <w:r w:rsidRPr="257BFE88" w:rsidR="6D7FFB3E">
        <w:rPr>
          <w:lang w:eastAsia="en-GB"/>
        </w:rPr>
        <w:t xml:space="preserve"> suggests that global p</w:t>
      </w:r>
      <w:r w:rsidRPr="257BFE88" w:rsidR="6D7FFB3E">
        <w:rPr>
          <w:lang w:eastAsia="en-GB"/>
        </w:rPr>
        <w:t xml:space="preserve">olitical pressures </w:t>
      </w:r>
      <w:r w:rsidRPr="257BFE88" w:rsidR="67471754">
        <w:rPr>
          <w:lang w:eastAsia="en-GB"/>
        </w:rPr>
        <w:t>together with</w:t>
      </w:r>
      <w:r w:rsidRPr="257BFE88" w:rsidR="6D7FFB3E">
        <w:rPr>
          <w:lang w:eastAsia="en-GB"/>
        </w:rPr>
        <w:t xml:space="preserve"> domestic political discussion</w:t>
      </w:r>
      <w:r w:rsidRPr="257BFE88" w:rsidR="1E7D783A">
        <w:rPr>
          <w:lang w:eastAsia="en-GB"/>
        </w:rPr>
        <w:t xml:space="preserve"> and </w:t>
      </w:r>
      <w:r w:rsidRPr="257BFE88" w:rsidR="6D7FFB3E">
        <w:rPr>
          <w:lang w:eastAsia="en-GB"/>
        </w:rPr>
        <w:t>legislation may</w:t>
      </w:r>
      <w:r w:rsidRPr="257BFE88" w:rsidR="4FC9DB12">
        <w:rPr>
          <w:lang w:eastAsia="en-GB"/>
        </w:rPr>
        <w:t xml:space="preserve"> have </w:t>
      </w:r>
      <w:r w:rsidRPr="257BFE88" w:rsidR="4FC9DB12">
        <w:rPr>
          <w:lang w:eastAsia="en-GB"/>
        </w:rPr>
        <w:t>a big</w:t>
      </w:r>
      <w:r w:rsidRPr="257BFE88" w:rsidR="6D7FFB3E">
        <w:rPr>
          <w:lang w:eastAsia="en-GB"/>
        </w:rPr>
        <w:t xml:space="preserve"> influence</w:t>
      </w:r>
      <w:r w:rsidRPr="257BFE88" w:rsidR="6D7FFB3E">
        <w:rPr>
          <w:lang w:eastAsia="en-GB"/>
        </w:rPr>
        <w:t xml:space="preserve"> how ESG is </w:t>
      </w:r>
      <w:r w:rsidRPr="257BFE88" w:rsidR="1A9D1F9C">
        <w:rPr>
          <w:lang w:eastAsia="en-GB"/>
        </w:rPr>
        <w:t>present</w:t>
      </w:r>
      <w:r w:rsidRPr="257BFE88" w:rsidR="6D7FFB3E">
        <w:rPr>
          <w:lang w:eastAsia="en-GB"/>
        </w:rPr>
        <w:t>ed and applied</w:t>
      </w:r>
      <w:r w:rsidRPr="257BFE88" w:rsidR="18241716">
        <w:rPr>
          <w:lang w:eastAsia="en-GB"/>
        </w:rPr>
        <w:t xml:space="preserve"> in years to come</w:t>
      </w:r>
      <w:r w:rsidRPr="257BFE88" w:rsidR="6D7FFB3E">
        <w:rPr>
          <w:lang w:eastAsia="en-GB"/>
        </w:rPr>
        <w:t>.</w:t>
      </w:r>
    </w:p>
    <w:p w:rsidRPr="003137A2" w:rsidR="003137A2" w:rsidP="257BFE88" w:rsidRDefault="003137A2" w14:paraId="43A7AD78" w14:textId="0FC19392">
      <w:pPr>
        <w:keepNext w:val="1"/>
        <w:keepLines w:val="1"/>
        <w:spacing w:before="80" w:after="40"/>
        <w:outlineLvl w:val="3"/>
        <w:rPr>
          <w:rFonts w:eastAsia="" w:cs="" w:eastAsiaTheme="majorEastAsia" w:cstheme="majorBidi"/>
          <w:i w:val="1"/>
          <w:iCs w:val="1"/>
          <w:color w:val="0F4761" w:themeColor="accent1" w:themeShade="BF"/>
          <w:lang w:eastAsia="en-GB"/>
        </w:rPr>
      </w:pPr>
      <w:r w:rsidRPr="257BFE88" w:rsidR="6D7FFB3E">
        <w:rPr>
          <w:rFonts w:eastAsia="" w:cs="" w:eastAsiaTheme="majorEastAsia" w:cstheme="majorBidi"/>
          <w:i w:val="1"/>
          <w:iCs w:val="1"/>
          <w:color w:val="0F4761" w:themeColor="accent1" w:themeTint="FF" w:themeShade="BF"/>
          <w:lang w:eastAsia="en-GB"/>
        </w:rPr>
        <w:t xml:space="preserve">3.2 </w:t>
      </w:r>
      <w:r w:rsidRPr="257BFE88" w:rsidR="32FCF764">
        <w:rPr>
          <w:rFonts w:eastAsia="" w:cs="" w:eastAsiaTheme="majorEastAsia" w:cstheme="majorBidi"/>
          <w:i w:val="1"/>
          <w:iCs w:val="1"/>
          <w:color w:val="0F4761" w:themeColor="accent1" w:themeTint="FF" w:themeShade="BF"/>
          <w:lang w:eastAsia="en-GB"/>
        </w:rPr>
        <w:t>Examine underlying causes</w:t>
      </w:r>
    </w:p>
    <w:p w:rsidRPr="003137A2" w:rsidR="003137A2" w:rsidP="003137A2" w:rsidRDefault="003137A2" w14:paraId="12B6AE10" w14:textId="1BFFEC16">
      <w:pPr>
        <w:rPr>
          <w:lang w:eastAsia="en-GB"/>
        </w:rPr>
      </w:pPr>
      <w:r w:rsidRPr="257BFE88" w:rsidR="6D7FFB3E">
        <w:rPr>
          <w:lang w:eastAsia="en-GB"/>
        </w:rPr>
        <w:t xml:space="preserve">More </w:t>
      </w:r>
      <w:r w:rsidRPr="257BFE88" w:rsidR="64D806BB">
        <w:rPr>
          <w:lang w:eastAsia="en-GB"/>
        </w:rPr>
        <w:t>detailed</w:t>
      </w:r>
      <w:r w:rsidRPr="257BFE88" w:rsidR="6D7FFB3E">
        <w:rPr>
          <w:lang w:eastAsia="en-GB"/>
        </w:rPr>
        <w:t xml:space="preserve"> statistical analysis could help </w:t>
      </w:r>
      <w:r w:rsidRPr="257BFE88" w:rsidR="43327A5D">
        <w:rPr>
          <w:lang w:eastAsia="en-GB"/>
        </w:rPr>
        <w:t>show</w:t>
      </w:r>
      <w:r w:rsidRPr="257BFE88" w:rsidR="6D7FFB3E">
        <w:rPr>
          <w:lang w:eastAsia="en-GB"/>
        </w:rPr>
        <w:t xml:space="preserve"> </w:t>
      </w:r>
      <w:r w:rsidRPr="257BFE88" w:rsidR="6D7FFB3E">
        <w:rPr>
          <w:lang w:eastAsia="en-GB"/>
        </w:rPr>
        <w:t xml:space="preserve">whether ESG scoring directly influences financial </w:t>
      </w:r>
      <w:r w:rsidRPr="257BFE88" w:rsidR="3CC2AAEF">
        <w:rPr>
          <w:lang w:eastAsia="en-GB"/>
        </w:rPr>
        <w:t>results</w:t>
      </w:r>
      <w:r w:rsidRPr="257BFE88" w:rsidR="6D7FFB3E">
        <w:rPr>
          <w:lang w:eastAsia="en-GB"/>
        </w:rPr>
        <w:t xml:space="preserve"> or whether </w:t>
      </w:r>
      <w:r w:rsidRPr="257BFE88" w:rsidR="4734F591">
        <w:rPr>
          <w:lang w:eastAsia="en-GB"/>
        </w:rPr>
        <w:t xml:space="preserve">they </w:t>
      </w:r>
      <w:r w:rsidRPr="257BFE88" w:rsidR="4734F591">
        <w:rPr>
          <w:lang w:eastAsia="en-GB"/>
        </w:rPr>
        <w:t>mainly</w:t>
      </w:r>
      <w:r w:rsidRPr="257BFE88" w:rsidR="6D7FFB3E">
        <w:rPr>
          <w:lang w:eastAsia="en-GB"/>
        </w:rPr>
        <w:t xml:space="preserve"> reflect</w:t>
      </w:r>
      <w:r w:rsidRPr="257BFE88" w:rsidR="6D7FFB3E">
        <w:rPr>
          <w:lang w:eastAsia="en-GB"/>
        </w:rPr>
        <w:t xml:space="preserve"> broader</w:t>
      </w:r>
      <w:r w:rsidRPr="257BFE88" w:rsidR="60C0D012">
        <w:rPr>
          <w:lang w:eastAsia="en-GB"/>
        </w:rPr>
        <w:t xml:space="preserve"> sector,</w:t>
      </w:r>
      <w:r w:rsidRPr="257BFE88" w:rsidR="6D7FFB3E">
        <w:rPr>
          <w:lang w:eastAsia="en-GB"/>
        </w:rPr>
        <w:t xml:space="preserve"> </w:t>
      </w:r>
      <w:r w:rsidRPr="257BFE88" w:rsidR="6D7FFB3E">
        <w:rPr>
          <w:lang w:eastAsia="en-GB"/>
        </w:rPr>
        <w:t>market</w:t>
      </w:r>
      <w:r w:rsidRPr="257BFE88" w:rsidR="13EA08C6">
        <w:rPr>
          <w:lang w:eastAsia="en-GB"/>
        </w:rPr>
        <w:t xml:space="preserve"> and economic</w:t>
      </w:r>
      <w:r w:rsidRPr="257BFE88" w:rsidR="6D7FFB3E">
        <w:rPr>
          <w:lang w:eastAsia="en-GB"/>
        </w:rPr>
        <w:t xml:space="preserve"> forces. The </w:t>
      </w:r>
      <w:r w:rsidRPr="257BFE88" w:rsidR="27B4AD8B">
        <w:rPr>
          <w:lang w:eastAsia="en-GB"/>
        </w:rPr>
        <w:t>relatively small</w:t>
      </w:r>
      <w:r w:rsidRPr="257BFE88" w:rsidR="6D7FFB3E">
        <w:rPr>
          <w:lang w:eastAsia="en-GB"/>
        </w:rPr>
        <w:t xml:space="preserve"> influence </w:t>
      </w:r>
      <w:r w:rsidRPr="257BFE88" w:rsidR="6D7FFB3E">
        <w:rPr>
          <w:lang w:eastAsia="en-GB"/>
        </w:rPr>
        <w:t>identified</w:t>
      </w:r>
      <w:r w:rsidRPr="257BFE88" w:rsidR="6D7FFB3E">
        <w:rPr>
          <w:lang w:eastAsia="en-GB"/>
        </w:rPr>
        <w:t xml:space="preserve"> in this study suggests that </w:t>
      </w:r>
      <w:r w:rsidRPr="257BFE88" w:rsidR="033FA7D3">
        <w:rPr>
          <w:lang w:eastAsia="en-GB"/>
        </w:rPr>
        <w:t xml:space="preserve">ESG influences are more </w:t>
      </w:r>
      <w:r w:rsidRPr="257BFE88" w:rsidR="6D7FFB3E">
        <w:rPr>
          <w:lang w:eastAsia="en-GB"/>
        </w:rPr>
        <w:t xml:space="preserve">indirect and </w:t>
      </w:r>
      <w:r w:rsidRPr="257BFE88" w:rsidR="3F7A3D06">
        <w:rPr>
          <w:lang w:eastAsia="en-GB"/>
        </w:rPr>
        <w:t xml:space="preserve">depend on how companies use them in practice and </w:t>
      </w:r>
      <w:r w:rsidRPr="257BFE88" w:rsidR="6D7FFB3E">
        <w:rPr>
          <w:lang w:eastAsia="en-GB"/>
        </w:rPr>
        <w:t>strateg</w:t>
      </w:r>
      <w:r w:rsidRPr="257BFE88" w:rsidR="74A125AE">
        <w:rPr>
          <w:lang w:eastAsia="en-GB"/>
        </w:rPr>
        <w:t>ic decisions</w:t>
      </w:r>
      <w:r w:rsidRPr="257BFE88" w:rsidR="6D7FFB3E">
        <w:rPr>
          <w:lang w:eastAsia="en-GB"/>
        </w:rPr>
        <w:t>.</w:t>
      </w:r>
    </w:p>
    <w:p w:rsidRPr="003137A2" w:rsidR="003137A2" w:rsidP="257BFE88" w:rsidRDefault="003137A2" w14:paraId="0540561C" w14:textId="36680271">
      <w:pPr>
        <w:keepNext w:val="1"/>
        <w:keepLines w:val="1"/>
        <w:spacing w:before="80" w:after="40"/>
        <w:outlineLvl w:val="3"/>
        <w:rPr>
          <w:rFonts w:eastAsia="" w:cs="" w:eastAsiaTheme="majorEastAsia" w:cstheme="majorBidi"/>
          <w:i w:val="1"/>
          <w:iCs w:val="1"/>
          <w:color w:val="0F4761" w:themeColor="accent1" w:themeShade="BF"/>
          <w:lang w:eastAsia="en-GB"/>
        </w:rPr>
      </w:pPr>
      <w:r w:rsidRPr="257BFE88" w:rsidR="6D7FFB3E">
        <w:rPr>
          <w:rFonts w:eastAsia="" w:cs="" w:eastAsiaTheme="majorEastAsia" w:cstheme="majorBidi"/>
          <w:i w:val="1"/>
          <w:iCs w:val="1"/>
          <w:color w:val="0F4761" w:themeColor="accent1" w:themeTint="FF" w:themeShade="BF"/>
          <w:lang w:eastAsia="en-GB"/>
        </w:rPr>
        <w:t xml:space="preserve">3.3 </w:t>
      </w:r>
      <w:r w:rsidRPr="257BFE88" w:rsidR="62262B69">
        <w:rPr>
          <w:rFonts w:eastAsia="" w:cs="" w:eastAsiaTheme="majorEastAsia" w:cstheme="majorBidi"/>
          <w:i w:val="1"/>
          <w:iCs w:val="1"/>
          <w:color w:val="0F4761" w:themeColor="accent1" w:themeTint="FF" w:themeShade="BF"/>
          <w:lang w:eastAsia="en-GB"/>
        </w:rPr>
        <w:t>Collect</w:t>
      </w:r>
      <w:r w:rsidRPr="257BFE88" w:rsidR="6D7FFB3E">
        <w:rPr>
          <w:rFonts w:eastAsia="" w:cs="" w:eastAsiaTheme="majorEastAsia" w:cstheme="majorBidi"/>
          <w:i w:val="1"/>
          <w:iCs w:val="1"/>
          <w:color w:val="0F4761" w:themeColor="accent1" w:themeTint="FF" w:themeShade="BF"/>
          <w:lang w:eastAsia="en-GB"/>
        </w:rPr>
        <w:t xml:space="preserve"> primary data</w:t>
      </w:r>
    </w:p>
    <w:p w:rsidRPr="003137A2" w:rsidR="003137A2" w:rsidP="003137A2" w:rsidRDefault="003137A2" w14:paraId="10342FCA" w14:textId="6E5A4B4C">
      <w:pPr>
        <w:rPr>
          <w:lang w:eastAsia="en-GB"/>
        </w:rPr>
      </w:pPr>
      <w:r w:rsidRPr="257BFE88" w:rsidR="6D7FFB3E">
        <w:rPr>
          <w:lang w:eastAsia="en-GB"/>
        </w:rPr>
        <w:t xml:space="preserve">Interviews, surveys, or practitioner case studies </w:t>
      </w:r>
      <w:r w:rsidRPr="257BFE88" w:rsidR="3283F9FA">
        <w:rPr>
          <w:lang w:eastAsia="en-GB"/>
        </w:rPr>
        <w:t>c</w:t>
      </w:r>
      <w:r w:rsidRPr="257BFE88" w:rsidR="6D7FFB3E">
        <w:rPr>
          <w:lang w:eastAsia="en-GB"/>
        </w:rPr>
        <w:t xml:space="preserve">ould </w:t>
      </w:r>
      <w:r w:rsidRPr="257BFE88" w:rsidR="4EDF4E58">
        <w:rPr>
          <w:lang w:eastAsia="en-GB"/>
        </w:rPr>
        <w:t>help explain</w:t>
      </w:r>
      <w:r w:rsidRPr="257BFE88" w:rsidR="6D7FFB3E">
        <w:rPr>
          <w:lang w:eastAsia="en-GB"/>
        </w:rPr>
        <w:t xml:space="preserve"> how ESG </w:t>
      </w:r>
      <w:r w:rsidRPr="257BFE88" w:rsidR="1E88C34B">
        <w:rPr>
          <w:lang w:eastAsia="en-GB"/>
        </w:rPr>
        <w:t>factor</w:t>
      </w:r>
      <w:r w:rsidRPr="257BFE88" w:rsidR="6D7FFB3E">
        <w:rPr>
          <w:lang w:eastAsia="en-GB"/>
        </w:rPr>
        <w:t xml:space="preserve">s are </w:t>
      </w:r>
      <w:r w:rsidRPr="257BFE88" w:rsidR="51E4E793">
        <w:rPr>
          <w:lang w:eastAsia="en-GB"/>
        </w:rPr>
        <w:t>used day to day</w:t>
      </w:r>
      <w:r w:rsidRPr="257BFE88" w:rsidR="6D7FFB3E">
        <w:rPr>
          <w:lang w:eastAsia="en-GB"/>
        </w:rPr>
        <w:t xml:space="preserve"> within organisations and how </w:t>
      </w:r>
      <w:r w:rsidRPr="257BFE88" w:rsidR="6D7FFB3E">
        <w:rPr>
          <w:lang w:eastAsia="en-GB"/>
        </w:rPr>
        <w:t>rating</w:t>
      </w:r>
      <w:r w:rsidRPr="257BFE88" w:rsidR="6AED7BCD">
        <w:rPr>
          <w:lang w:eastAsia="en-GB"/>
        </w:rPr>
        <w:t xml:space="preserve">s are understood </w:t>
      </w:r>
      <w:r w:rsidRPr="257BFE88" w:rsidR="6D7FFB3E">
        <w:rPr>
          <w:lang w:eastAsia="en-GB"/>
        </w:rPr>
        <w:t>in</w:t>
      </w:r>
      <w:r w:rsidRPr="257BFE88" w:rsidR="5BB556C1">
        <w:rPr>
          <w:lang w:eastAsia="en-GB"/>
        </w:rPr>
        <w:t xml:space="preserve"> making investment decisions</w:t>
      </w:r>
      <w:r w:rsidRPr="257BFE88" w:rsidR="6D7FFB3E">
        <w:rPr>
          <w:lang w:eastAsia="en-GB"/>
        </w:rPr>
        <w:t xml:space="preserve">. This is particularly </w:t>
      </w:r>
      <w:r w:rsidRPr="257BFE88" w:rsidR="5658721D">
        <w:rPr>
          <w:lang w:eastAsia="en-GB"/>
        </w:rPr>
        <w:t>important as recent policy changes</w:t>
      </w:r>
      <w:r w:rsidRPr="257BFE88" w:rsidR="6D7FFB3E">
        <w:rPr>
          <w:lang w:eastAsia="en-GB"/>
        </w:rPr>
        <w:t xml:space="preserve"> move toward judgement</w:t>
      </w:r>
      <w:r w:rsidRPr="257BFE88" w:rsidR="6D7FFB3E">
        <w:rPr>
          <w:rFonts w:ascii="Cambria Math" w:hAnsi="Cambria Math" w:cs="Cambria Math"/>
          <w:lang w:eastAsia="en-GB"/>
        </w:rPr>
        <w:t xml:space="preserve"> </w:t>
      </w:r>
      <w:r w:rsidRPr="257BFE88" w:rsidR="6D7FFB3E">
        <w:rPr>
          <w:lang w:eastAsia="en-GB"/>
        </w:rPr>
        <w:t>based</w:t>
      </w:r>
      <w:r w:rsidRPr="257BFE88" w:rsidR="7B71C4DA">
        <w:rPr>
          <w:lang w:eastAsia="en-GB"/>
        </w:rPr>
        <w:t xml:space="preserve"> and</w:t>
      </w:r>
      <w:r w:rsidRPr="257BFE88" w:rsidR="6D7FFB3E">
        <w:rPr>
          <w:lang w:eastAsia="en-GB"/>
        </w:rPr>
        <w:t xml:space="preserve"> context</w:t>
      </w:r>
      <w:r w:rsidRPr="257BFE88" w:rsidR="6D7FFB3E">
        <w:rPr>
          <w:rFonts w:ascii="Cambria Math" w:hAnsi="Cambria Math" w:cs="Cambria Math"/>
          <w:lang w:eastAsia="en-GB"/>
        </w:rPr>
        <w:t xml:space="preserve"> </w:t>
      </w:r>
      <w:r w:rsidRPr="257BFE88" w:rsidR="6D7FFB3E">
        <w:rPr>
          <w:lang w:eastAsia="en-GB"/>
        </w:rPr>
        <w:t xml:space="preserve">specific </w:t>
      </w:r>
      <w:r w:rsidRPr="257BFE88" w:rsidR="7DB59ED0">
        <w:rPr>
          <w:lang w:eastAsia="en-GB"/>
        </w:rPr>
        <w:t>approaches</w:t>
      </w:r>
      <w:r w:rsidRPr="257BFE88" w:rsidR="6D7FFB3E">
        <w:rPr>
          <w:lang w:eastAsia="en-GB"/>
        </w:rPr>
        <w:t xml:space="preserve"> rather than rel</w:t>
      </w:r>
      <w:r w:rsidRPr="257BFE88" w:rsidR="38CEDAC5">
        <w:rPr>
          <w:lang w:eastAsia="en-GB"/>
        </w:rPr>
        <w:t xml:space="preserve">y </w:t>
      </w:r>
      <w:r w:rsidRPr="257BFE88" w:rsidR="6D7FFB3E">
        <w:rPr>
          <w:lang w:eastAsia="en-GB"/>
        </w:rPr>
        <w:t>on</w:t>
      </w:r>
      <w:r w:rsidRPr="257BFE88" w:rsidR="6078DC2B">
        <w:rPr>
          <w:lang w:eastAsia="en-GB"/>
        </w:rPr>
        <w:t>ly on</w:t>
      </w:r>
      <w:r w:rsidRPr="257BFE88" w:rsidR="6D7FFB3E">
        <w:rPr>
          <w:lang w:eastAsia="en-GB"/>
        </w:rPr>
        <w:t xml:space="preserve"> ESG scor</w:t>
      </w:r>
      <w:r w:rsidRPr="257BFE88" w:rsidR="58300389">
        <w:rPr>
          <w:lang w:eastAsia="en-GB"/>
        </w:rPr>
        <w:t>e</w:t>
      </w:r>
      <w:r w:rsidRPr="257BFE88" w:rsidR="6D7FFB3E">
        <w:rPr>
          <w:lang w:eastAsia="en-GB"/>
        </w:rPr>
        <w:t>s.</w:t>
      </w:r>
    </w:p>
    <w:p w:rsidR="46165816" w:rsidP="257BFE88" w:rsidRDefault="46165816" w14:paraId="0D9450AE" w14:textId="54748094">
      <w:pPr>
        <w:pStyle w:val="Heading1"/>
        <w:rPr>
          <w:sz w:val="40"/>
          <w:szCs w:val="40"/>
          <w:lang w:eastAsia="en-GB"/>
        </w:rPr>
      </w:pPr>
      <w:bookmarkStart w:name="_Toc2000205004" w:id="265474319"/>
      <w:r w:rsidR="46165816">
        <w:rPr/>
        <w:t>REFER</w:t>
      </w:r>
      <w:r w:rsidR="3A1B2C1B">
        <w:rPr/>
        <w:t>E</w:t>
      </w:r>
      <w:r w:rsidR="46165816">
        <w:rPr/>
        <w:t>NCE LIST</w:t>
      </w:r>
      <w:bookmarkEnd w:id="265474319"/>
    </w:p>
    <w:p w:rsidR="46165816" w:rsidP="257BFE88" w:rsidRDefault="46165816" w14:paraId="2F5462B7" w14:textId="35BC40AB">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46165816">
        <w:rPr>
          <w:rFonts w:ascii="Aptos" w:hAnsi="Aptos" w:eastAsia="Aptos" w:cs="Aptos"/>
          <w:noProof w:val="0"/>
          <w:color w:val="000000" w:themeColor="text1" w:themeTint="FF" w:themeShade="FF"/>
          <w:sz w:val="24"/>
          <w:szCs w:val="24"/>
          <w:lang w:val="en-GB"/>
        </w:rPr>
        <w:t xml:space="preserve">Abate, G., Basile, I. and Ferrari, P. 2025. 'ESG ratings and financial performance: An empirical analysis', </w:t>
      </w:r>
      <w:r w:rsidRPr="257BFE88" w:rsidR="46165816">
        <w:rPr>
          <w:rFonts w:ascii="Aptos" w:hAnsi="Aptos" w:eastAsia="Aptos" w:cs="Aptos"/>
          <w:i w:val="1"/>
          <w:iCs w:val="1"/>
          <w:noProof w:val="0"/>
          <w:color w:val="000000" w:themeColor="text1" w:themeTint="FF" w:themeShade="FF"/>
          <w:sz w:val="24"/>
          <w:szCs w:val="24"/>
          <w:lang w:val="en-GB"/>
        </w:rPr>
        <w:t>International Journal of Financial Studies</w:t>
      </w:r>
      <w:r w:rsidRPr="257BFE88" w:rsidR="46165816">
        <w:rPr>
          <w:rFonts w:ascii="Aptos" w:hAnsi="Aptos" w:eastAsia="Aptos" w:cs="Aptos"/>
          <w:noProof w:val="0"/>
          <w:color w:val="000000" w:themeColor="text1" w:themeTint="FF" w:themeShade="FF"/>
          <w:sz w:val="24"/>
          <w:szCs w:val="24"/>
          <w:lang w:val="en-GB"/>
        </w:rPr>
        <w:t xml:space="preserve">, 13(4), p. 230. Available at: </w:t>
      </w:r>
      <w:hyperlink r:id="Redd0bd8bf96b4d0b">
        <w:r w:rsidRPr="257BFE88" w:rsidR="46165816">
          <w:rPr>
            <w:rStyle w:val="Hyperlink"/>
            <w:rFonts w:ascii="Aptos" w:hAnsi="Aptos" w:eastAsia="Aptos" w:cs="Aptos"/>
            <w:noProof w:val="0"/>
            <w:color w:val="000000" w:themeColor="text1" w:themeTint="FF" w:themeShade="FF"/>
            <w:sz w:val="24"/>
            <w:szCs w:val="24"/>
            <w:lang w:val="en-GB"/>
          </w:rPr>
          <w:t>https://doi.org/10.3390/ijfs13040230</w:t>
        </w:r>
      </w:hyperlink>
      <w:r w:rsidRPr="257BFE88" w:rsidR="46165816">
        <w:rPr>
          <w:rFonts w:ascii="Aptos" w:hAnsi="Aptos" w:eastAsia="Aptos" w:cs="Aptos"/>
          <w:noProof w:val="0"/>
          <w:color w:val="000000" w:themeColor="text1" w:themeTint="FF" w:themeShade="FF"/>
          <w:sz w:val="24"/>
          <w:szCs w:val="24"/>
          <w:lang w:val="en-GB"/>
        </w:rPr>
        <w:t xml:space="preserve"> (Accessed: 8 April 2026).</w:t>
      </w:r>
    </w:p>
    <w:p w:rsidR="46165816" w:rsidP="257BFE88" w:rsidRDefault="46165816" w14:paraId="4810D592" w14:textId="390F39BC">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46165816">
        <w:rPr>
          <w:rFonts w:ascii="Aptos" w:hAnsi="Aptos" w:eastAsia="Aptos" w:cs="Aptos"/>
          <w:noProof w:val="0"/>
          <w:color w:val="000000" w:themeColor="text1" w:themeTint="FF" w:themeShade="FF"/>
          <w:sz w:val="24"/>
          <w:szCs w:val="24"/>
          <w:lang w:val="en-GB"/>
        </w:rPr>
        <w:t xml:space="preserve">Al </w:t>
      </w:r>
      <w:r w:rsidRPr="257BFE88" w:rsidR="46165816">
        <w:rPr>
          <w:rFonts w:ascii="Aptos" w:hAnsi="Aptos" w:eastAsia="Aptos" w:cs="Aptos"/>
          <w:noProof w:val="0"/>
          <w:color w:val="000000" w:themeColor="text1" w:themeTint="FF" w:themeShade="FF"/>
          <w:sz w:val="24"/>
          <w:szCs w:val="24"/>
          <w:lang w:val="en-GB"/>
        </w:rPr>
        <w:t>Amosh</w:t>
      </w:r>
      <w:r w:rsidRPr="257BFE88" w:rsidR="46165816">
        <w:rPr>
          <w:rFonts w:ascii="Aptos" w:hAnsi="Aptos" w:eastAsia="Aptos" w:cs="Aptos"/>
          <w:noProof w:val="0"/>
          <w:color w:val="000000" w:themeColor="text1" w:themeTint="FF" w:themeShade="FF"/>
          <w:sz w:val="24"/>
          <w:szCs w:val="24"/>
          <w:lang w:val="en-GB"/>
        </w:rPr>
        <w:t xml:space="preserve">, H. 2025. 'Exchange rate volatility and ESG performance: An empirical analysis', </w:t>
      </w:r>
      <w:r w:rsidRPr="257BFE88" w:rsidR="46165816">
        <w:rPr>
          <w:rFonts w:ascii="Aptos" w:hAnsi="Aptos" w:eastAsia="Aptos" w:cs="Aptos"/>
          <w:i w:val="1"/>
          <w:iCs w:val="1"/>
          <w:noProof w:val="0"/>
          <w:color w:val="000000" w:themeColor="text1" w:themeTint="FF" w:themeShade="FF"/>
          <w:sz w:val="24"/>
          <w:szCs w:val="24"/>
          <w:lang w:val="en-GB"/>
        </w:rPr>
        <w:t>Journal of Corporate Accounting &amp; Finance</w:t>
      </w:r>
      <w:r w:rsidRPr="257BFE88" w:rsidR="46165816">
        <w:rPr>
          <w:rFonts w:ascii="Aptos" w:hAnsi="Aptos" w:eastAsia="Aptos" w:cs="Aptos"/>
          <w:noProof w:val="0"/>
          <w:color w:val="000000" w:themeColor="text1" w:themeTint="FF" w:themeShade="FF"/>
          <w:sz w:val="24"/>
          <w:szCs w:val="24"/>
          <w:lang w:val="en-GB"/>
        </w:rPr>
        <w:t xml:space="preserve">. Available at: </w:t>
      </w:r>
      <w:hyperlink r:id="R9b21f7397b3d4068">
        <w:r w:rsidRPr="257BFE88" w:rsidR="46165816">
          <w:rPr>
            <w:rStyle w:val="Hyperlink"/>
            <w:rFonts w:ascii="Aptos" w:hAnsi="Aptos" w:eastAsia="Aptos" w:cs="Aptos"/>
            <w:noProof w:val="0"/>
            <w:color w:val="000000" w:themeColor="text1" w:themeTint="FF" w:themeShade="FF"/>
            <w:sz w:val="24"/>
            <w:szCs w:val="24"/>
            <w:lang w:val="en-GB"/>
          </w:rPr>
          <w:t>https://doi.org/10.1002/jcaf.22774</w:t>
        </w:r>
      </w:hyperlink>
      <w:r w:rsidRPr="257BFE88" w:rsidR="46165816">
        <w:rPr>
          <w:rFonts w:ascii="Aptos" w:hAnsi="Aptos" w:eastAsia="Aptos" w:cs="Aptos"/>
          <w:noProof w:val="0"/>
          <w:color w:val="000000" w:themeColor="text1" w:themeTint="FF" w:themeShade="FF"/>
          <w:sz w:val="24"/>
          <w:szCs w:val="24"/>
          <w:lang w:val="en-GB"/>
        </w:rPr>
        <w:t xml:space="preserve"> (Accessed: 9 April 2026).</w:t>
      </w:r>
    </w:p>
    <w:p w:rsidR="46165816" w:rsidP="257BFE88" w:rsidRDefault="46165816" w14:paraId="5A8911C7">
      <w:pPr>
        <w:rPr>
          <w:lang w:eastAsia="en-GB"/>
        </w:rPr>
      </w:pPr>
      <w:r w:rsidRPr="257BFE88" w:rsidR="46165816">
        <w:rPr>
          <w:lang w:eastAsia="en-GB"/>
        </w:rPr>
        <w:t xml:space="preserve">Archer, M. 2024. 'Governing through ESG and the green spirit of asset manager capitalism', </w:t>
      </w:r>
      <w:r w:rsidRPr="257BFE88" w:rsidR="46165816">
        <w:rPr>
          <w:i w:val="1"/>
          <w:iCs w:val="1"/>
          <w:lang w:eastAsia="en-GB"/>
        </w:rPr>
        <w:t>Environment and Planning A: Economy and Space</w:t>
      </w:r>
      <w:r w:rsidRPr="257BFE88" w:rsidR="46165816">
        <w:rPr>
          <w:lang w:eastAsia="en-GB"/>
        </w:rPr>
        <w:t xml:space="preserve">, 56(2), pp. 662–678. </w:t>
      </w:r>
      <w:r w:rsidRPr="257BFE88" w:rsidR="46165816">
        <w:rPr>
          <w:lang w:eastAsia="en-GB"/>
        </w:rPr>
        <w:t>doi</w:t>
      </w:r>
      <w:r w:rsidRPr="257BFE88" w:rsidR="46165816">
        <w:rPr>
          <w:lang w:eastAsia="en-GB"/>
        </w:rPr>
        <w:t>: 10.1177/0308518X231156611.</w:t>
      </w:r>
    </w:p>
    <w:p w:rsidR="46165816" w:rsidP="257BFE88" w:rsidRDefault="46165816" w14:paraId="6609C701" w14:textId="407A6739">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46165816">
        <w:rPr>
          <w:rFonts w:ascii="Aptos" w:hAnsi="Aptos" w:eastAsia="Aptos" w:cs="Aptos"/>
          <w:noProof w:val="0"/>
          <w:color w:val="000000" w:themeColor="text1" w:themeTint="FF" w:themeShade="FF"/>
          <w:sz w:val="24"/>
          <w:szCs w:val="24"/>
          <w:lang w:val="en-GB"/>
        </w:rPr>
        <w:t xml:space="preserve">Arslan, A. 2025. 'The dark side of ESG ratings: Future challenges for financial resources of firms', </w:t>
      </w:r>
      <w:r w:rsidRPr="257BFE88" w:rsidR="46165816">
        <w:rPr>
          <w:rFonts w:ascii="Aptos" w:hAnsi="Aptos" w:eastAsia="Aptos" w:cs="Aptos"/>
          <w:i w:val="1"/>
          <w:iCs w:val="1"/>
          <w:noProof w:val="0"/>
          <w:color w:val="000000" w:themeColor="text1" w:themeTint="FF" w:themeShade="FF"/>
          <w:sz w:val="24"/>
          <w:szCs w:val="24"/>
          <w:lang w:val="en-GB"/>
        </w:rPr>
        <w:t>Foresight and STI Governance</w:t>
      </w:r>
      <w:r w:rsidRPr="257BFE88" w:rsidR="46165816">
        <w:rPr>
          <w:rFonts w:ascii="Aptos" w:hAnsi="Aptos" w:eastAsia="Aptos" w:cs="Aptos"/>
          <w:noProof w:val="0"/>
          <w:color w:val="000000" w:themeColor="text1" w:themeTint="FF" w:themeShade="FF"/>
          <w:sz w:val="24"/>
          <w:szCs w:val="24"/>
          <w:lang w:val="en-GB"/>
        </w:rPr>
        <w:t xml:space="preserve">, 19(3), pp. 78–85. Available at: </w:t>
      </w:r>
      <w:hyperlink r:id="Re81e9406f4d04971">
        <w:r w:rsidRPr="257BFE88" w:rsidR="46165816">
          <w:rPr>
            <w:rStyle w:val="Hyperlink"/>
            <w:rFonts w:ascii="Aptos" w:hAnsi="Aptos" w:eastAsia="Aptos" w:cs="Aptos"/>
            <w:noProof w:val="0"/>
            <w:color w:val="000000" w:themeColor="text1" w:themeTint="FF" w:themeShade="FF"/>
            <w:sz w:val="24"/>
            <w:szCs w:val="24"/>
            <w:lang w:val="en-GB"/>
          </w:rPr>
          <w:t>https://doi.org/10.17323/2500-2597.2025.3.78.85</w:t>
        </w:r>
      </w:hyperlink>
      <w:r w:rsidRPr="257BFE88" w:rsidR="46165816">
        <w:rPr>
          <w:rFonts w:ascii="Aptos" w:hAnsi="Aptos" w:eastAsia="Aptos" w:cs="Aptos"/>
          <w:noProof w:val="0"/>
          <w:color w:val="000000" w:themeColor="text1" w:themeTint="FF" w:themeShade="FF"/>
          <w:sz w:val="24"/>
          <w:szCs w:val="24"/>
          <w:lang w:val="en-GB"/>
        </w:rPr>
        <w:t xml:space="preserve"> (Accessed: 9 April 2026).</w:t>
      </w:r>
    </w:p>
    <w:p w:rsidR="46165816" w:rsidP="257BFE88" w:rsidRDefault="46165816" w14:paraId="00E036E4" w14:textId="33012B6A">
      <w:pPr>
        <w:rPr>
          <w:lang w:eastAsia="en-GB"/>
        </w:rPr>
      </w:pPr>
      <w:r w:rsidRPr="257BFE88" w:rsidR="46165816">
        <w:rPr>
          <w:lang w:eastAsia="en-GB"/>
        </w:rPr>
        <w:t xml:space="preserve">ASET. 2013. </w:t>
      </w:r>
      <w:r w:rsidRPr="257BFE88" w:rsidR="46165816">
        <w:rPr>
          <w:i w:val="1"/>
          <w:iCs w:val="1"/>
          <w:lang w:eastAsia="en-GB"/>
        </w:rPr>
        <w:t>ASET Good Practice Guide for Work based and Placement Learning in Higher Education</w:t>
      </w:r>
      <w:r w:rsidRPr="257BFE88" w:rsidR="46165816">
        <w:rPr>
          <w:lang w:eastAsia="en-GB"/>
        </w:rPr>
        <w:t>. Sheffield: ASET. Available at:</w:t>
      </w:r>
      <w:hyperlink r:id="Raf9c509f82a846a2">
        <w:r w:rsidRPr="257BFE88" w:rsidR="46165816">
          <w:rPr>
            <w:color w:val="467886"/>
            <w:u w:val="single"/>
            <w:lang w:eastAsia="en-GB"/>
          </w:rPr>
          <w:t xml:space="preserve"> https://www.asetonline.org/wp-content/uploads/2017/09/ASET-Good-Practice-Guide-eWBPL.pdf</w:t>
        </w:r>
      </w:hyperlink>
      <w:r w:rsidRPr="257BFE88" w:rsidR="46165816">
        <w:rPr>
          <w:lang w:eastAsia="en-GB"/>
        </w:rPr>
        <w:t xml:space="preserve"> (Accessed: 3 April 2026).</w:t>
      </w:r>
    </w:p>
    <w:p w:rsidR="4B1E3DE3" w:rsidP="257BFE88" w:rsidRDefault="4B1E3DE3" w14:paraId="20E0AA09" w14:textId="0724D9FE">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4B1E3DE3">
        <w:rPr>
          <w:rFonts w:ascii="Aptos" w:hAnsi="Aptos" w:eastAsia="Aptos" w:cs="" w:asciiTheme="minorAscii" w:hAnsiTheme="minorAscii" w:eastAsiaTheme="minorAscii" w:cstheme="minorBidi"/>
          <w:b w:val="0"/>
          <w:bCs w:val="0"/>
          <w:noProof w:val="0"/>
          <w:color w:val="000000" w:themeColor="text1" w:themeTint="FF" w:themeShade="FF"/>
          <w:sz w:val="24"/>
          <w:szCs w:val="24"/>
          <w:lang w:val="en-GB" w:eastAsia="en-US" w:bidi="ar-SA"/>
        </w:rPr>
        <w:t xml:space="preserve">Barbanell, M., 2022. </w:t>
      </w:r>
      <w:r w:rsidRPr="257BFE88" w:rsidR="4B1E3DE3">
        <w:rPr>
          <w:rFonts w:ascii="Aptos" w:hAnsi="Aptos" w:eastAsia="Aptos" w:cs="" w:asciiTheme="minorAscii" w:hAnsiTheme="minorAscii" w:eastAsiaTheme="minorAscii" w:cstheme="minorBidi"/>
          <w:b w:val="0"/>
          <w:bCs w:val="0"/>
          <w:noProof w:val="0"/>
          <w:color w:val="000000" w:themeColor="text1" w:themeTint="FF" w:themeShade="FF"/>
          <w:sz w:val="24"/>
          <w:szCs w:val="24"/>
          <w:lang w:val="en-GB" w:eastAsia="en-US" w:bidi="ar-SA"/>
        </w:rPr>
        <w:t>A brief summary</w:t>
      </w:r>
      <w:r w:rsidRPr="257BFE88" w:rsidR="4B1E3DE3">
        <w:rPr>
          <w:rFonts w:ascii="Aptos" w:hAnsi="Aptos" w:eastAsia="Aptos" w:cs="" w:asciiTheme="minorAscii" w:hAnsiTheme="minorAscii" w:eastAsiaTheme="minorAscii" w:cstheme="minorBidi"/>
          <w:b w:val="0"/>
          <w:bCs w:val="0"/>
          <w:noProof w:val="0"/>
          <w:color w:val="000000" w:themeColor="text1" w:themeTint="FF" w:themeShade="FF"/>
          <w:sz w:val="24"/>
          <w:szCs w:val="24"/>
          <w:lang w:val="en-GB" w:eastAsia="en-US" w:bidi="ar-SA"/>
        </w:rPr>
        <w:t xml:space="preserve"> of the climate and energy provisions of the inflation reduction act of 2022.</w:t>
      </w:r>
    </w:p>
    <w:p w:rsidR="76C86B46" w:rsidP="257BFE88" w:rsidRDefault="76C86B46" w14:paraId="513EF0A8" w14:textId="169E544F">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76C86B46">
        <w:rPr>
          <w:rFonts w:ascii="Aptos" w:hAnsi="Aptos" w:eastAsia="Aptos" w:cs="Aptos"/>
          <w:noProof w:val="0"/>
          <w:color w:val="000000" w:themeColor="text1" w:themeTint="FF" w:themeShade="FF"/>
          <w:sz w:val="24"/>
          <w:szCs w:val="24"/>
          <w:lang w:val="en-GB"/>
        </w:rPr>
        <w:t>Barontini</w:t>
      </w:r>
      <w:r w:rsidRPr="257BFE88" w:rsidR="76C86B46">
        <w:rPr>
          <w:rFonts w:ascii="Aptos" w:hAnsi="Aptos" w:eastAsia="Aptos" w:cs="Aptos"/>
          <w:noProof w:val="0"/>
          <w:color w:val="000000" w:themeColor="text1" w:themeTint="FF" w:themeShade="FF"/>
          <w:sz w:val="24"/>
          <w:szCs w:val="24"/>
          <w:lang w:val="en-GB"/>
        </w:rPr>
        <w:t xml:space="preserve">, R. and </w:t>
      </w:r>
      <w:r w:rsidRPr="257BFE88" w:rsidR="76C86B46">
        <w:rPr>
          <w:rFonts w:ascii="Aptos" w:hAnsi="Aptos" w:eastAsia="Aptos" w:cs="Aptos"/>
          <w:noProof w:val="0"/>
          <w:color w:val="000000" w:themeColor="text1" w:themeTint="FF" w:themeShade="FF"/>
          <w:sz w:val="24"/>
          <w:szCs w:val="24"/>
          <w:lang w:val="en-GB"/>
        </w:rPr>
        <w:t>Gioja</w:t>
      </w:r>
      <w:r w:rsidRPr="257BFE88" w:rsidR="76C86B46">
        <w:rPr>
          <w:rFonts w:ascii="Aptos" w:hAnsi="Aptos" w:eastAsia="Aptos" w:cs="Aptos"/>
          <w:noProof w:val="0"/>
          <w:color w:val="000000" w:themeColor="text1" w:themeTint="FF" w:themeShade="FF"/>
          <w:sz w:val="24"/>
          <w:szCs w:val="24"/>
          <w:lang w:val="en-GB"/>
        </w:rPr>
        <w:t xml:space="preserve">, L. 2025. 'The market power of ESG index providers: The effects of rebalancing ESG-themed indices', </w:t>
      </w:r>
      <w:r w:rsidRPr="257BFE88" w:rsidR="76C86B46">
        <w:rPr>
          <w:rFonts w:ascii="Aptos" w:hAnsi="Aptos" w:eastAsia="Aptos" w:cs="Aptos"/>
          <w:i w:val="1"/>
          <w:iCs w:val="1"/>
          <w:noProof w:val="0"/>
          <w:color w:val="000000" w:themeColor="text1" w:themeTint="FF" w:themeShade="FF"/>
          <w:sz w:val="24"/>
          <w:szCs w:val="24"/>
          <w:lang w:val="en-GB"/>
        </w:rPr>
        <w:t>Research in International Business and Finance</w:t>
      </w:r>
      <w:r w:rsidRPr="257BFE88" w:rsidR="76C86B46">
        <w:rPr>
          <w:rFonts w:ascii="Aptos" w:hAnsi="Aptos" w:eastAsia="Aptos" w:cs="Aptos"/>
          <w:noProof w:val="0"/>
          <w:color w:val="000000" w:themeColor="text1" w:themeTint="FF" w:themeShade="FF"/>
          <w:sz w:val="24"/>
          <w:szCs w:val="24"/>
          <w:lang w:val="en-GB"/>
        </w:rPr>
        <w:t xml:space="preserve">, 77(Part A), 102902. Available at: </w:t>
      </w:r>
      <w:hyperlink r:id="Rd5362d6e36ac4f9f">
        <w:r w:rsidRPr="257BFE88" w:rsidR="76C86B46">
          <w:rPr>
            <w:rStyle w:val="Hyperlink"/>
            <w:rFonts w:ascii="Aptos" w:hAnsi="Aptos" w:eastAsia="Aptos" w:cs="Aptos"/>
            <w:noProof w:val="0"/>
            <w:color w:val="000000" w:themeColor="text1" w:themeTint="FF" w:themeShade="FF"/>
            <w:sz w:val="24"/>
            <w:szCs w:val="24"/>
            <w:lang w:val="en-GB"/>
          </w:rPr>
          <w:t>https://doi.org/10.1016/j.ribaf.2025.102902</w:t>
        </w:r>
      </w:hyperlink>
      <w:r w:rsidRPr="257BFE88" w:rsidR="76C86B46">
        <w:rPr>
          <w:rFonts w:ascii="Aptos" w:hAnsi="Aptos" w:eastAsia="Aptos" w:cs="Aptos"/>
          <w:noProof w:val="0"/>
          <w:color w:val="000000" w:themeColor="text1" w:themeTint="FF" w:themeShade="FF"/>
          <w:sz w:val="24"/>
          <w:szCs w:val="24"/>
          <w:lang w:val="en-GB"/>
        </w:rPr>
        <w:t xml:space="preserve"> (Accessed: 8 April 2026).</w:t>
      </w:r>
    </w:p>
    <w:p w:rsidR="31796023" w:rsidP="257BFE88" w:rsidRDefault="31796023" w14:paraId="53B0F1F1" w14:textId="703B0C65">
      <w:pPr>
        <w:rPr>
          <w:lang w:eastAsia="en-GB"/>
        </w:rPr>
      </w:pPr>
      <w:r w:rsidRPr="257BFE88" w:rsidR="31796023">
        <w:rPr>
          <w:lang w:eastAsia="en-GB"/>
        </w:rPr>
        <w:t xml:space="preserve">Berg, F., Kölbel, J.F. and </w:t>
      </w:r>
      <w:r w:rsidRPr="257BFE88" w:rsidR="31796023">
        <w:rPr>
          <w:lang w:eastAsia="en-GB"/>
        </w:rPr>
        <w:t>Rigobon</w:t>
      </w:r>
      <w:r w:rsidRPr="257BFE88" w:rsidR="31796023">
        <w:rPr>
          <w:lang w:eastAsia="en-GB"/>
        </w:rPr>
        <w:t xml:space="preserve">, R. 2022. 'Aggregate confusion: the divergence of ESG ratings', </w:t>
      </w:r>
      <w:r w:rsidRPr="257BFE88" w:rsidR="31796023">
        <w:rPr>
          <w:i w:val="1"/>
          <w:iCs w:val="1"/>
          <w:lang w:eastAsia="en-GB"/>
        </w:rPr>
        <w:t>Review of Finance</w:t>
      </w:r>
      <w:r w:rsidRPr="257BFE88" w:rsidR="31796023">
        <w:rPr>
          <w:lang w:eastAsia="en-GB"/>
        </w:rPr>
        <w:t xml:space="preserve">, 26(6), pp. 1315–1344. </w:t>
      </w:r>
      <w:r w:rsidRPr="257BFE88" w:rsidR="31796023">
        <w:rPr>
          <w:lang w:eastAsia="en-GB"/>
        </w:rPr>
        <w:t>doi</w:t>
      </w:r>
      <w:r w:rsidRPr="257BFE88" w:rsidR="31796023">
        <w:rPr>
          <w:lang w:eastAsia="en-GB"/>
        </w:rPr>
        <w:t>: 10.1093/</w:t>
      </w:r>
      <w:r w:rsidRPr="257BFE88" w:rsidR="31796023">
        <w:rPr>
          <w:lang w:eastAsia="en-GB"/>
        </w:rPr>
        <w:t>rof</w:t>
      </w:r>
      <w:r w:rsidRPr="257BFE88" w:rsidR="31796023">
        <w:rPr>
          <w:lang w:eastAsia="en-GB"/>
        </w:rPr>
        <w:t>/rfac033.</w:t>
      </w:r>
    </w:p>
    <w:p w:rsidR="31796023" w:rsidP="257BFE88" w:rsidRDefault="31796023" w14:paraId="2819AEB0">
      <w:pPr>
        <w:rPr>
          <w:lang w:eastAsia="en-GB"/>
        </w:rPr>
      </w:pPr>
      <w:r w:rsidRPr="257BFE88" w:rsidR="31796023">
        <w:rPr>
          <w:lang w:eastAsia="en-GB"/>
        </w:rPr>
        <w:t xml:space="preserve">BlackRock. 2018 </w:t>
      </w:r>
      <w:r w:rsidRPr="257BFE88" w:rsidR="31796023">
        <w:rPr>
          <w:i w:val="1"/>
          <w:iCs w:val="1"/>
          <w:lang w:eastAsia="en-GB"/>
        </w:rPr>
        <w:t>Larry Fink's 2018 letter to CEOs: A sense of purpose</w:t>
      </w:r>
      <w:r w:rsidRPr="257BFE88" w:rsidR="31796023">
        <w:rPr>
          <w:lang w:eastAsia="en-GB"/>
        </w:rPr>
        <w:t>. BlackRock, 16 January. Available at:</w:t>
      </w:r>
      <w:hyperlink r:id="R8bd134f2887140a3">
        <w:r w:rsidRPr="257BFE88" w:rsidR="31796023">
          <w:rPr>
            <w:color w:val="467886"/>
            <w:u w:val="single"/>
            <w:lang w:eastAsia="en-GB"/>
          </w:rPr>
          <w:t xml:space="preserve"> https://www.blackrock.com/corporate/investor-relations/2018-larry-fink-ceo-letter</w:t>
        </w:r>
      </w:hyperlink>
      <w:r w:rsidRPr="257BFE88" w:rsidR="31796023">
        <w:rPr>
          <w:lang w:eastAsia="en-GB"/>
        </w:rPr>
        <w:t xml:space="preserve"> (Accessed: 3 April 2026).</w:t>
      </w:r>
    </w:p>
    <w:p w:rsidR="31796023" w:rsidP="257BFE88" w:rsidRDefault="31796023" w14:paraId="72EBCF30">
      <w:pPr>
        <w:rPr>
          <w:lang w:eastAsia="en-GB"/>
        </w:rPr>
      </w:pPr>
      <w:r w:rsidRPr="257BFE88" w:rsidR="31796023">
        <w:rPr>
          <w:lang w:eastAsia="en-GB"/>
        </w:rPr>
        <w:t xml:space="preserve">BlackRock. 2021. </w:t>
      </w:r>
      <w:r w:rsidRPr="257BFE88" w:rsidR="31796023">
        <w:rPr>
          <w:i w:val="1"/>
          <w:iCs w:val="1"/>
          <w:lang w:eastAsia="en-GB"/>
        </w:rPr>
        <w:t>2021 TCFD Report</w:t>
      </w:r>
      <w:r w:rsidRPr="257BFE88" w:rsidR="31796023">
        <w:rPr>
          <w:lang w:eastAsia="en-GB"/>
        </w:rPr>
        <w:t>. BlackRock. Available at:</w:t>
      </w:r>
      <w:hyperlink r:id="R0cdaec1c4f2b443c">
        <w:r w:rsidRPr="257BFE88" w:rsidR="31796023">
          <w:rPr>
            <w:color w:val="467886"/>
            <w:u w:val="single"/>
            <w:lang w:eastAsia="en-GB"/>
          </w:rPr>
          <w:t xml:space="preserve"> https://www.blackrock.com/corporate/literature/continuous-disclosure-and-important-information/tcfd-report-2021-blkinc.pdf</w:t>
        </w:r>
      </w:hyperlink>
      <w:r w:rsidRPr="257BFE88" w:rsidR="31796023">
        <w:rPr>
          <w:lang w:eastAsia="en-GB"/>
        </w:rPr>
        <w:t xml:space="preserve"> (Accessed: 3 April 2026).</w:t>
      </w:r>
    </w:p>
    <w:p w:rsidR="31796023" w:rsidP="257BFE88" w:rsidRDefault="31796023" w14:paraId="1EEAC5F5">
      <w:pPr>
        <w:rPr>
          <w:lang w:eastAsia="en-GB"/>
        </w:rPr>
      </w:pPr>
      <w:r w:rsidRPr="257BFE88" w:rsidR="31796023">
        <w:rPr>
          <w:lang w:eastAsia="en-GB"/>
        </w:rPr>
        <w:t xml:space="preserve">BlackRock. 2024. </w:t>
      </w:r>
      <w:r w:rsidRPr="257BFE88" w:rsidR="31796023">
        <w:rPr>
          <w:i w:val="1"/>
          <w:iCs w:val="1"/>
          <w:lang w:eastAsia="en-GB"/>
        </w:rPr>
        <w:t>Investment Stewardship Annual Report 2024</w:t>
      </w:r>
      <w:r w:rsidRPr="257BFE88" w:rsidR="31796023">
        <w:rPr>
          <w:lang w:eastAsia="en-GB"/>
        </w:rPr>
        <w:t>. BlackRock. Available at:</w:t>
      </w:r>
      <w:hyperlink r:id="Rad82d5f87a544cb4">
        <w:r w:rsidRPr="257BFE88" w:rsidR="31796023">
          <w:rPr>
            <w:color w:val="467886"/>
            <w:u w:val="single"/>
            <w:lang w:eastAsia="en-GB"/>
          </w:rPr>
          <w:t xml:space="preserve"> https://www.blackrock.com/corporate/literature/publication/annual-stewardship-report-2024.pdf</w:t>
        </w:r>
      </w:hyperlink>
      <w:r w:rsidRPr="257BFE88" w:rsidR="31796023">
        <w:rPr>
          <w:lang w:eastAsia="en-GB"/>
        </w:rPr>
        <w:t xml:space="preserve"> (Accessed: 3 April 2026).</w:t>
      </w:r>
    </w:p>
    <w:p w:rsidR="31796023" w:rsidP="257BFE88" w:rsidRDefault="31796023" w14:paraId="550DEC94" w14:textId="707A6A8D">
      <w:pPr>
        <w:rPr>
          <w:lang w:eastAsia="en-GB"/>
        </w:rPr>
      </w:pPr>
      <w:r w:rsidRPr="257BFE88" w:rsidR="31796023">
        <w:rPr>
          <w:lang w:eastAsia="en-GB"/>
        </w:rPr>
        <w:t xml:space="preserve">BlackRock. 2025. </w:t>
      </w:r>
      <w:r w:rsidRPr="257BFE88" w:rsidR="31796023">
        <w:rPr>
          <w:i w:val="1"/>
          <w:iCs w:val="1"/>
          <w:lang w:eastAsia="en-GB"/>
        </w:rPr>
        <w:t>Sustainability Report for iShares Funds</w:t>
      </w:r>
      <w:r w:rsidRPr="257BFE88" w:rsidR="31796023">
        <w:rPr>
          <w:lang w:eastAsia="en-GB"/>
        </w:rPr>
        <w:t xml:space="preserve"> (or equivalent iShares ESG product disclosure). BlackRock. Available at:</w:t>
      </w:r>
      <w:hyperlink r:id="R59f48fa35cde49cb">
        <w:r w:rsidRPr="257BFE88" w:rsidR="31796023">
          <w:rPr>
            <w:color w:val="467886"/>
            <w:u w:val="single"/>
            <w:lang w:eastAsia="en-GB"/>
          </w:rPr>
          <w:t xml:space="preserve"> https://www.blackrock.com</w:t>
        </w:r>
      </w:hyperlink>
      <w:r w:rsidRPr="257BFE88" w:rsidR="31796023">
        <w:rPr>
          <w:lang w:eastAsia="en-GB"/>
        </w:rPr>
        <w:t xml:space="preserve"> (Accessed: 3 April 2026). </w:t>
      </w:r>
    </w:p>
    <w:p w:rsidR="6511BE23" w:rsidP="257BFE88" w:rsidRDefault="6511BE23" w14:paraId="273C1BDD" w14:textId="4FF0C6A3">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6511BE23">
        <w:rPr>
          <w:rFonts w:ascii="Aptos" w:hAnsi="Aptos" w:eastAsia="Aptos" w:cs="Aptos"/>
          <w:noProof w:val="0"/>
          <w:color w:val="000000" w:themeColor="text1" w:themeTint="FF" w:themeShade="FF"/>
          <w:sz w:val="24"/>
          <w:szCs w:val="24"/>
          <w:lang w:val="en-GB"/>
        </w:rPr>
        <w:t xml:space="preserve">BlackRock. 2025. </w:t>
      </w:r>
      <w:r w:rsidRPr="257BFE88" w:rsidR="6511BE23">
        <w:rPr>
          <w:rFonts w:ascii="Aptos" w:hAnsi="Aptos" w:eastAsia="Aptos" w:cs="Aptos"/>
          <w:i w:val="1"/>
          <w:iCs w:val="1"/>
          <w:noProof w:val="0"/>
          <w:color w:val="000000" w:themeColor="text1" w:themeTint="FF" w:themeShade="FF"/>
          <w:sz w:val="24"/>
          <w:szCs w:val="24"/>
          <w:lang w:val="en-GB"/>
        </w:rPr>
        <w:t>iShares sustainable ETFs</w:t>
      </w:r>
      <w:r w:rsidRPr="257BFE88" w:rsidR="6511BE23">
        <w:rPr>
          <w:rFonts w:ascii="Aptos" w:hAnsi="Aptos" w:eastAsia="Aptos" w:cs="Aptos"/>
          <w:noProof w:val="0"/>
          <w:color w:val="000000" w:themeColor="text1" w:themeTint="FF" w:themeShade="FF"/>
          <w:sz w:val="24"/>
          <w:szCs w:val="24"/>
          <w:lang w:val="en-GB"/>
        </w:rPr>
        <w:t xml:space="preserve">. Available at: </w:t>
      </w:r>
      <w:hyperlink r:id="R15b57213363e4af4">
        <w:r w:rsidRPr="257BFE88" w:rsidR="6511BE23">
          <w:rPr>
            <w:rStyle w:val="Hyperlink"/>
            <w:rFonts w:ascii="Aptos" w:hAnsi="Aptos" w:eastAsia="Aptos" w:cs="Aptos"/>
            <w:noProof w:val="0"/>
            <w:color w:val="000000" w:themeColor="text1" w:themeTint="FF" w:themeShade="FF"/>
            <w:sz w:val="24"/>
            <w:szCs w:val="24"/>
            <w:lang w:val="en-GB"/>
          </w:rPr>
          <w:t>https://www.ishares.com/uk/individual/en/themes/sustainable-investing</w:t>
        </w:r>
      </w:hyperlink>
      <w:r w:rsidRPr="257BFE88" w:rsidR="6511BE23">
        <w:rPr>
          <w:rFonts w:ascii="Aptos" w:hAnsi="Aptos" w:eastAsia="Aptos" w:cs="Aptos"/>
          <w:noProof w:val="0"/>
          <w:color w:val="000000" w:themeColor="text1" w:themeTint="FF" w:themeShade="FF"/>
          <w:sz w:val="24"/>
          <w:szCs w:val="24"/>
          <w:lang w:val="en-GB"/>
        </w:rPr>
        <w:t xml:space="preserve"> (Accessed: 22 April 2026).</w:t>
      </w:r>
    </w:p>
    <w:p w:rsidR="257BFE88" w:rsidP="257BFE88" w:rsidRDefault="257BFE88" w14:paraId="05936213" w14:textId="3EB018B2">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p>
    <w:p w:rsidR="6511BE23" w:rsidP="257BFE88" w:rsidRDefault="6511BE23" w14:paraId="0C425F3B" w14:textId="5DE5482E">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6511BE23">
        <w:rPr>
          <w:rFonts w:ascii="Aptos" w:hAnsi="Aptos" w:eastAsia="Aptos" w:cs="Aptos"/>
          <w:noProof w:val="0"/>
          <w:color w:val="000000" w:themeColor="text1" w:themeTint="FF" w:themeShade="FF"/>
          <w:sz w:val="24"/>
          <w:szCs w:val="24"/>
          <w:lang w:val="en-GB"/>
        </w:rPr>
        <w:t xml:space="preserve">BlackRock. 2025. </w:t>
      </w:r>
      <w:r w:rsidRPr="257BFE88" w:rsidR="6511BE23">
        <w:rPr>
          <w:rFonts w:ascii="Aptos" w:hAnsi="Aptos" w:eastAsia="Aptos" w:cs="Aptos"/>
          <w:i w:val="1"/>
          <w:iCs w:val="1"/>
          <w:noProof w:val="0"/>
          <w:color w:val="000000" w:themeColor="text1" w:themeTint="FF" w:themeShade="FF"/>
          <w:sz w:val="24"/>
          <w:szCs w:val="24"/>
          <w:lang w:val="en-GB"/>
        </w:rPr>
        <w:t>Sustainable investing at BlackRock</w:t>
      </w:r>
      <w:r w:rsidRPr="257BFE88" w:rsidR="6511BE23">
        <w:rPr>
          <w:rFonts w:ascii="Aptos" w:hAnsi="Aptos" w:eastAsia="Aptos" w:cs="Aptos"/>
          <w:noProof w:val="0"/>
          <w:color w:val="000000" w:themeColor="text1" w:themeTint="FF" w:themeShade="FF"/>
          <w:sz w:val="24"/>
          <w:szCs w:val="24"/>
          <w:lang w:val="en-GB"/>
        </w:rPr>
        <w:t xml:space="preserve">. Available at: </w:t>
      </w:r>
      <w:hyperlink r:id="R126a97acec314222">
        <w:r w:rsidRPr="257BFE88" w:rsidR="6511BE23">
          <w:rPr>
            <w:rStyle w:val="Hyperlink"/>
            <w:rFonts w:ascii="Aptos" w:hAnsi="Aptos" w:eastAsia="Aptos" w:cs="Aptos"/>
            <w:noProof w:val="0"/>
            <w:color w:val="000000" w:themeColor="text1" w:themeTint="FF" w:themeShade="FF"/>
            <w:sz w:val="24"/>
            <w:szCs w:val="24"/>
            <w:lang w:val="en-GB"/>
          </w:rPr>
          <w:t>https://www.blackrock.com/corporate/sustainability</w:t>
        </w:r>
      </w:hyperlink>
      <w:r w:rsidRPr="257BFE88" w:rsidR="6511BE23">
        <w:rPr>
          <w:rFonts w:ascii="Aptos" w:hAnsi="Aptos" w:eastAsia="Aptos" w:cs="Aptos"/>
          <w:noProof w:val="0"/>
          <w:color w:val="000000" w:themeColor="text1" w:themeTint="FF" w:themeShade="FF"/>
          <w:sz w:val="24"/>
          <w:szCs w:val="24"/>
          <w:lang w:val="en-GB"/>
        </w:rPr>
        <w:t xml:space="preserve"> (Accessed: 22 April 2026).</w:t>
      </w:r>
    </w:p>
    <w:p w:rsidR="257BFE88" w:rsidP="257BFE88" w:rsidRDefault="257BFE88" w14:paraId="692978F6" w14:textId="5AB8AC51">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p>
    <w:p w:rsidR="6511BE23" w:rsidP="257BFE88" w:rsidRDefault="6511BE23" w14:paraId="3DD72C92" w14:textId="7B96ECC7">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6511BE23">
        <w:rPr>
          <w:rFonts w:ascii="Aptos" w:hAnsi="Aptos" w:eastAsia="Aptos" w:cs="Aptos"/>
          <w:noProof w:val="0"/>
          <w:color w:val="000000" w:themeColor="text1" w:themeTint="FF" w:themeShade="FF"/>
          <w:sz w:val="24"/>
          <w:szCs w:val="24"/>
          <w:lang w:val="en-GB"/>
        </w:rPr>
        <w:t xml:space="preserve">BlackRock. 2025. </w:t>
      </w:r>
      <w:r w:rsidRPr="257BFE88" w:rsidR="6511BE23">
        <w:rPr>
          <w:rFonts w:ascii="Aptos" w:hAnsi="Aptos" w:eastAsia="Aptos" w:cs="Aptos"/>
          <w:i w:val="1"/>
          <w:iCs w:val="1"/>
          <w:noProof w:val="0"/>
          <w:color w:val="000000" w:themeColor="text1" w:themeTint="FF" w:themeShade="FF"/>
          <w:sz w:val="24"/>
          <w:szCs w:val="24"/>
          <w:lang w:val="en-GB"/>
        </w:rPr>
        <w:t>BlackRock Investment Stewardship annual report 2025</w:t>
      </w:r>
      <w:r w:rsidRPr="257BFE88" w:rsidR="6511BE23">
        <w:rPr>
          <w:rFonts w:ascii="Aptos" w:hAnsi="Aptos" w:eastAsia="Aptos" w:cs="Aptos"/>
          <w:noProof w:val="0"/>
          <w:color w:val="000000" w:themeColor="text1" w:themeTint="FF" w:themeShade="FF"/>
          <w:sz w:val="24"/>
          <w:szCs w:val="24"/>
          <w:lang w:val="en-GB"/>
        </w:rPr>
        <w:t xml:space="preserve">. Available at: </w:t>
      </w:r>
      <w:hyperlink r:id="R24e955aee69d483d">
        <w:r w:rsidRPr="257BFE88" w:rsidR="6511BE23">
          <w:rPr>
            <w:rStyle w:val="Hyperlink"/>
            <w:rFonts w:ascii="Aptos" w:hAnsi="Aptos" w:eastAsia="Aptos" w:cs="Aptos"/>
            <w:noProof w:val="0"/>
            <w:color w:val="000000" w:themeColor="text1" w:themeTint="FF" w:themeShade="FF"/>
            <w:sz w:val="24"/>
            <w:szCs w:val="24"/>
            <w:lang w:val="en-GB"/>
          </w:rPr>
          <w:t>https://www.blackrock.com/corporate/about-us/investment-stewardship</w:t>
        </w:r>
      </w:hyperlink>
      <w:r w:rsidRPr="257BFE88" w:rsidR="6511BE23">
        <w:rPr>
          <w:rFonts w:ascii="Aptos" w:hAnsi="Aptos" w:eastAsia="Aptos" w:cs="Aptos"/>
          <w:noProof w:val="0"/>
          <w:color w:val="000000" w:themeColor="text1" w:themeTint="FF" w:themeShade="FF"/>
          <w:sz w:val="24"/>
          <w:szCs w:val="24"/>
          <w:lang w:val="en-GB"/>
        </w:rPr>
        <w:t xml:space="preserve"> (Accessed: 22 April 2026).</w:t>
      </w:r>
    </w:p>
    <w:p w:rsidR="257BFE88" w:rsidP="257BFE88" w:rsidRDefault="257BFE88" w14:paraId="245D4049" w14:textId="314C31F2">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p>
    <w:p w:rsidR="6511BE23" w:rsidP="257BFE88" w:rsidRDefault="6511BE23" w14:paraId="1E1B5DB5" w14:textId="6D788697">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6511BE23">
        <w:rPr>
          <w:rFonts w:ascii="Aptos" w:hAnsi="Aptos" w:eastAsia="Aptos" w:cs="Aptos"/>
          <w:noProof w:val="0"/>
          <w:color w:val="000000" w:themeColor="text1" w:themeTint="FF" w:themeShade="FF"/>
          <w:sz w:val="24"/>
          <w:szCs w:val="24"/>
          <w:lang w:val="en-GB"/>
        </w:rPr>
        <w:t xml:space="preserve">BlackRock. 2025. </w:t>
      </w:r>
      <w:r w:rsidRPr="257BFE88" w:rsidR="6511BE23">
        <w:rPr>
          <w:rFonts w:ascii="Aptos" w:hAnsi="Aptos" w:eastAsia="Aptos" w:cs="Aptos"/>
          <w:i w:val="1"/>
          <w:iCs w:val="1"/>
          <w:noProof w:val="0"/>
          <w:color w:val="000000" w:themeColor="text1" w:themeTint="FF" w:themeShade="FF"/>
          <w:sz w:val="24"/>
          <w:szCs w:val="24"/>
          <w:lang w:val="en-GB"/>
        </w:rPr>
        <w:t>Larry Fink’s 2025 annual chairman’s letter to investors</w:t>
      </w:r>
      <w:r w:rsidRPr="257BFE88" w:rsidR="6511BE23">
        <w:rPr>
          <w:rFonts w:ascii="Aptos" w:hAnsi="Aptos" w:eastAsia="Aptos" w:cs="Aptos"/>
          <w:noProof w:val="0"/>
          <w:color w:val="000000" w:themeColor="text1" w:themeTint="FF" w:themeShade="FF"/>
          <w:sz w:val="24"/>
          <w:szCs w:val="24"/>
          <w:lang w:val="en-GB"/>
        </w:rPr>
        <w:t xml:space="preserve">. Available at: </w:t>
      </w:r>
      <w:hyperlink r:id="R11feafdcbb7c4c6a">
        <w:r w:rsidRPr="257BFE88" w:rsidR="6511BE23">
          <w:rPr>
            <w:rStyle w:val="Hyperlink"/>
            <w:rFonts w:ascii="Aptos" w:hAnsi="Aptos" w:eastAsia="Aptos" w:cs="Aptos"/>
            <w:noProof w:val="0"/>
            <w:color w:val="000000" w:themeColor="text1" w:themeTint="FF" w:themeShade="FF"/>
            <w:sz w:val="24"/>
            <w:szCs w:val="24"/>
            <w:lang w:val="en-GB"/>
          </w:rPr>
          <w:t>https://www.blackrock.com/corporate/investor-relations/larry-fink-ceo-letter</w:t>
        </w:r>
      </w:hyperlink>
      <w:r w:rsidRPr="257BFE88" w:rsidR="6511BE23">
        <w:rPr>
          <w:rFonts w:ascii="Aptos" w:hAnsi="Aptos" w:eastAsia="Aptos" w:cs="Aptos"/>
          <w:noProof w:val="0"/>
          <w:color w:val="000000" w:themeColor="text1" w:themeTint="FF" w:themeShade="FF"/>
          <w:sz w:val="24"/>
          <w:szCs w:val="24"/>
          <w:lang w:val="en-GB"/>
        </w:rPr>
        <w:t xml:space="preserve"> (Accessed: 22 April 2026).</w:t>
      </w:r>
    </w:p>
    <w:p w:rsidR="19DE4416" w:rsidP="257BFE88" w:rsidRDefault="19DE4416" w14:paraId="7FF1D299" w14:textId="10963872">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19DE4416">
        <w:rPr>
          <w:rFonts w:ascii="Aptos" w:hAnsi="Aptos" w:eastAsia="Aptos" w:cs="Aptos"/>
          <w:b w:val="0"/>
          <w:bCs w:val="0"/>
          <w:noProof w:val="0"/>
          <w:color w:val="000000" w:themeColor="text1" w:themeTint="FF" w:themeShade="FF"/>
          <w:sz w:val="24"/>
          <w:szCs w:val="24"/>
          <w:lang w:val="en-GB"/>
        </w:rPr>
        <w:t xml:space="preserve">BlackRock. 2025. </w:t>
      </w:r>
      <w:r w:rsidRPr="257BFE88" w:rsidR="19DE4416">
        <w:rPr>
          <w:rFonts w:ascii="Aptos" w:hAnsi="Aptos" w:eastAsia="Aptos" w:cs="Aptos"/>
          <w:b w:val="0"/>
          <w:bCs w:val="0"/>
          <w:i w:val="1"/>
          <w:iCs w:val="1"/>
          <w:noProof w:val="0"/>
          <w:color w:val="000000" w:themeColor="text1" w:themeTint="FF" w:themeShade="FF"/>
          <w:sz w:val="24"/>
          <w:szCs w:val="24"/>
          <w:lang w:val="en-GB"/>
        </w:rPr>
        <w:t>2025 Global Voting Spotlight</w:t>
      </w:r>
      <w:r w:rsidRPr="257BFE88" w:rsidR="19DE4416">
        <w:rPr>
          <w:rFonts w:ascii="Aptos" w:hAnsi="Aptos" w:eastAsia="Aptos" w:cs="Aptos"/>
          <w:b w:val="0"/>
          <w:bCs w:val="0"/>
          <w:noProof w:val="0"/>
          <w:color w:val="000000" w:themeColor="text1" w:themeTint="FF" w:themeShade="FF"/>
          <w:sz w:val="24"/>
          <w:szCs w:val="24"/>
          <w:lang w:val="en-GB"/>
        </w:rPr>
        <w:t xml:space="preserve">. Available at: </w:t>
      </w:r>
      <w:hyperlink r:id="R50bc5b7921a94f29">
        <w:r w:rsidRPr="257BFE88" w:rsidR="19DE4416">
          <w:rPr>
            <w:rStyle w:val="Hyperlink"/>
            <w:rFonts w:ascii="Aptos" w:hAnsi="Aptos" w:eastAsia="Aptos" w:cs="Aptos"/>
            <w:b w:val="0"/>
            <w:bCs w:val="0"/>
            <w:noProof w:val="0"/>
            <w:color w:val="000000" w:themeColor="text1" w:themeTint="FF" w:themeShade="FF"/>
            <w:sz w:val="24"/>
            <w:szCs w:val="24"/>
            <w:lang w:val="en-GB"/>
          </w:rPr>
          <w:t>https://www.blackrock.com/corporate/literature/publication/2025-investment-stewardship-voting-spotlight.pdf</w:t>
        </w:r>
      </w:hyperlink>
      <w:r w:rsidRPr="257BFE88" w:rsidR="19DE4416">
        <w:rPr>
          <w:rFonts w:ascii="Aptos" w:hAnsi="Aptos" w:eastAsia="Aptos" w:cs="Aptos"/>
          <w:b w:val="0"/>
          <w:bCs w:val="0"/>
          <w:noProof w:val="0"/>
          <w:color w:val="000000" w:themeColor="text1" w:themeTint="FF" w:themeShade="FF"/>
          <w:sz w:val="24"/>
          <w:szCs w:val="24"/>
          <w:lang w:val="en-GB"/>
        </w:rPr>
        <w:t xml:space="preserve"> (Accessed: 9 April 2026).</w:t>
      </w:r>
    </w:p>
    <w:p w:rsidR="19DE4416" w:rsidP="257BFE88" w:rsidRDefault="19DE4416" w14:paraId="0A5373CE" w14:textId="322BC274">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19DE4416">
        <w:rPr>
          <w:rFonts w:ascii="Aptos" w:hAnsi="Aptos" w:eastAsia="Aptos" w:cs="Aptos"/>
          <w:b w:val="0"/>
          <w:bCs w:val="0"/>
          <w:noProof w:val="0"/>
          <w:color w:val="000000" w:themeColor="text1" w:themeTint="FF" w:themeShade="FF"/>
          <w:sz w:val="24"/>
          <w:szCs w:val="24"/>
          <w:lang w:val="en-GB"/>
        </w:rPr>
        <w:t xml:space="preserve">BlackRock. 2025. </w:t>
      </w:r>
      <w:r w:rsidRPr="257BFE88" w:rsidR="19DE4416">
        <w:rPr>
          <w:rFonts w:ascii="Aptos" w:hAnsi="Aptos" w:eastAsia="Aptos" w:cs="Aptos"/>
          <w:b w:val="0"/>
          <w:bCs w:val="0"/>
          <w:i w:val="1"/>
          <w:iCs w:val="1"/>
          <w:noProof w:val="0"/>
          <w:color w:val="000000" w:themeColor="text1" w:themeTint="FF" w:themeShade="FF"/>
          <w:sz w:val="24"/>
          <w:szCs w:val="24"/>
          <w:lang w:val="en-GB"/>
        </w:rPr>
        <w:t>Investment Stewardship Q2 2025 Statistics</w:t>
      </w:r>
      <w:r w:rsidRPr="257BFE88" w:rsidR="19DE4416">
        <w:rPr>
          <w:rFonts w:ascii="Aptos" w:hAnsi="Aptos" w:eastAsia="Aptos" w:cs="Aptos"/>
          <w:b w:val="0"/>
          <w:bCs w:val="0"/>
          <w:noProof w:val="0"/>
          <w:color w:val="000000" w:themeColor="text1" w:themeTint="FF" w:themeShade="FF"/>
          <w:sz w:val="24"/>
          <w:szCs w:val="24"/>
          <w:lang w:val="en-GB"/>
        </w:rPr>
        <w:t xml:space="preserve">. Available at: </w:t>
      </w:r>
      <w:hyperlink r:id="Rae4a3d23c5e248c0">
        <w:r w:rsidRPr="257BFE88" w:rsidR="19DE4416">
          <w:rPr>
            <w:rStyle w:val="Hyperlink"/>
            <w:rFonts w:ascii="Aptos" w:hAnsi="Aptos" w:eastAsia="Aptos" w:cs="Aptos"/>
            <w:b w:val="0"/>
            <w:bCs w:val="0"/>
            <w:noProof w:val="0"/>
            <w:color w:val="000000" w:themeColor="text1" w:themeTint="FF" w:themeShade="FF"/>
            <w:sz w:val="24"/>
            <w:szCs w:val="24"/>
            <w:lang w:val="en-GB"/>
          </w:rPr>
          <w:t>https://www.blackrock.com/corporate/literature/publication/investment-stewardship-by-the-numbers-q2-2025.pdf</w:t>
        </w:r>
      </w:hyperlink>
      <w:r w:rsidRPr="257BFE88" w:rsidR="19DE4416">
        <w:rPr>
          <w:rFonts w:ascii="Aptos" w:hAnsi="Aptos" w:eastAsia="Aptos" w:cs="Aptos"/>
          <w:b w:val="0"/>
          <w:bCs w:val="0"/>
          <w:noProof w:val="0"/>
          <w:color w:val="000000" w:themeColor="text1" w:themeTint="FF" w:themeShade="FF"/>
          <w:sz w:val="24"/>
          <w:szCs w:val="24"/>
          <w:lang w:val="en-GB"/>
        </w:rPr>
        <w:t xml:space="preserve"> (Accessed: 9 April 2026).</w:t>
      </w:r>
    </w:p>
    <w:p w:rsidR="19DE4416" w:rsidP="257BFE88" w:rsidRDefault="19DE4416" w14:paraId="60D32C9C" w14:textId="01BA94D1">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19DE4416">
        <w:rPr>
          <w:rFonts w:ascii="Aptos" w:hAnsi="Aptos" w:eastAsia="Aptos" w:cs="Aptos"/>
          <w:b w:val="0"/>
          <w:bCs w:val="0"/>
          <w:noProof w:val="0"/>
          <w:color w:val="000000" w:themeColor="text1" w:themeTint="FF" w:themeShade="FF"/>
          <w:sz w:val="24"/>
          <w:szCs w:val="24"/>
          <w:lang w:val="en-GB"/>
        </w:rPr>
        <w:t xml:space="preserve">BlackRock. 2025. </w:t>
      </w:r>
      <w:r w:rsidRPr="257BFE88" w:rsidR="19DE4416">
        <w:rPr>
          <w:rFonts w:ascii="Aptos" w:hAnsi="Aptos" w:eastAsia="Aptos" w:cs="Aptos"/>
          <w:i w:val="1"/>
          <w:iCs w:val="1"/>
          <w:noProof w:val="0"/>
          <w:color w:val="000000" w:themeColor="text1" w:themeTint="FF" w:themeShade="FF"/>
          <w:sz w:val="24"/>
          <w:szCs w:val="24"/>
          <w:lang w:val="en-GB"/>
        </w:rPr>
        <w:t>2024 Sustainability Disclosure</w:t>
      </w:r>
      <w:r w:rsidRPr="257BFE88" w:rsidR="19DE4416">
        <w:rPr>
          <w:rFonts w:ascii="Aptos" w:hAnsi="Aptos" w:eastAsia="Aptos" w:cs="Aptos"/>
          <w:noProof w:val="0"/>
          <w:color w:val="000000" w:themeColor="text1" w:themeTint="FF" w:themeShade="FF"/>
          <w:sz w:val="24"/>
          <w:szCs w:val="24"/>
          <w:lang w:val="en-GB"/>
        </w:rPr>
        <w:t xml:space="preserve"> (published 2025). Available at: </w:t>
      </w:r>
      <w:hyperlink r:id="Rac7495b0b4b04f37">
        <w:r w:rsidRPr="257BFE88" w:rsidR="19DE4416">
          <w:rPr>
            <w:rStyle w:val="Hyperlink"/>
            <w:rFonts w:ascii="Aptos" w:hAnsi="Aptos" w:eastAsia="Aptos" w:cs="Aptos"/>
            <w:noProof w:val="0"/>
            <w:color w:val="000000" w:themeColor="text1" w:themeTint="FF" w:themeShade="FF"/>
            <w:sz w:val="24"/>
            <w:szCs w:val="24"/>
            <w:lang w:val="en-GB"/>
          </w:rPr>
          <w:t>https://www.blackrock.com/corporate/literature/continuous-disclosure-and-important-information/blackrock-sustainability-disclosure.pdf</w:t>
        </w:r>
      </w:hyperlink>
      <w:r w:rsidRPr="257BFE88" w:rsidR="19DE4416">
        <w:rPr>
          <w:rFonts w:ascii="Aptos" w:hAnsi="Aptos" w:eastAsia="Aptos" w:cs="Aptos"/>
          <w:noProof w:val="0"/>
          <w:color w:val="000000" w:themeColor="text1" w:themeTint="FF" w:themeShade="FF"/>
          <w:sz w:val="24"/>
          <w:szCs w:val="24"/>
          <w:lang w:val="en-GB"/>
        </w:rPr>
        <w:t xml:space="preserve"> (Accessed: 9 April 2026).</w:t>
      </w:r>
    </w:p>
    <w:p w:rsidR="4A141B8D" w:rsidP="257BFE88" w:rsidRDefault="4A141B8D" w14:paraId="1027726F">
      <w:pPr>
        <w:rPr>
          <w:lang w:eastAsia="en-GB"/>
        </w:rPr>
      </w:pPr>
      <w:r w:rsidRPr="257BFE88" w:rsidR="4A141B8D">
        <w:rPr>
          <w:lang w:eastAsia="en-GB"/>
        </w:rPr>
        <w:t>BlackRock. n.d. Our mission and principles. Available at:</w:t>
      </w:r>
      <w:hyperlink r:id="R99eaaa7bf8ca4e54">
        <w:r w:rsidRPr="257BFE88" w:rsidR="4A141B8D">
          <w:rPr>
            <w:color w:val="467886"/>
            <w:u w:val="single"/>
            <w:lang w:eastAsia="en-GB"/>
          </w:rPr>
          <w:t xml:space="preserve"> https://www.blackrock.com/corporate/about-us/mission-and-principles</w:t>
        </w:r>
      </w:hyperlink>
      <w:r w:rsidRPr="257BFE88" w:rsidR="4A141B8D">
        <w:rPr>
          <w:lang w:eastAsia="en-GB"/>
        </w:rPr>
        <w:t xml:space="preserve"> (Accessed: 5 April 2026).</w:t>
      </w:r>
    </w:p>
    <w:p w:rsidR="4A141B8D" w:rsidP="257BFE88" w:rsidRDefault="4A141B8D" w14:paraId="777EBFFA" w14:textId="3E2B314E">
      <w:pPr>
        <w:rPr>
          <w:lang w:eastAsia="en-GB"/>
        </w:rPr>
      </w:pPr>
      <w:r w:rsidRPr="257BFE88" w:rsidR="4A141B8D">
        <w:rPr>
          <w:lang w:eastAsia="en-GB"/>
        </w:rPr>
        <w:t>BlackRock n.d. About BlackRock. Available at:</w:t>
      </w:r>
      <w:hyperlink r:id="Rebc7abfab6464a1d">
        <w:r w:rsidRPr="257BFE88" w:rsidR="4A141B8D">
          <w:rPr>
            <w:color w:val="467886"/>
            <w:u w:val="single"/>
            <w:lang w:eastAsia="en-GB"/>
          </w:rPr>
          <w:t xml:space="preserve"> https://www.blackrock.com/corporate/about-us</w:t>
        </w:r>
      </w:hyperlink>
      <w:r w:rsidRPr="257BFE88" w:rsidR="4A141B8D">
        <w:rPr>
          <w:lang w:eastAsia="en-GB"/>
        </w:rPr>
        <w:t xml:space="preserve"> (Accessed: 5 April 2026).</w:t>
      </w:r>
    </w:p>
    <w:p w:rsidR="23441CC6" w:rsidP="257BFE88" w:rsidRDefault="23441CC6" w14:paraId="4D3CABA2">
      <w:pPr>
        <w:rPr>
          <w:lang w:eastAsia="en-GB"/>
        </w:rPr>
      </w:pPr>
      <w:r w:rsidRPr="257BFE88" w:rsidR="23441CC6">
        <w:rPr>
          <w:lang w:eastAsia="en-GB"/>
        </w:rPr>
        <w:t>Brodback</w:t>
      </w:r>
      <w:r w:rsidRPr="257BFE88" w:rsidR="23441CC6">
        <w:rPr>
          <w:lang w:eastAsia="en-GB"/>
        </w:rPr>
        <w:t xml:space="preserve">, D., </w:t>
      </w:r>
      <w:r w:rsidRPr="257BFE88" w:rsidR="23441CC6">
        <w:rPr>
          <w:lang w:eastAsia="en-GB"/>
        </w:rPr>
        <w:t>Guenster</w:t>
      </w:r>
      <w:r w:rsidRPr="257BFE88" w:rsidR="23441CC6">
        <w:rPr>
          <w:lang w:eastAsia="en-GB"/>
        </w:rPr>
        <w:t xml:space="preserve">, N. and Mezger, D. 2019. 'Altruism and egoism in investment decisions', </w:t>
      </w:r>
      <w:r w:rsidRPr="257BFE88" w:rsidR="23441CC6">
        <w:rPr>
          <w:i w:val="1"/>
          <w:iCs w:val="1"/>
          <w:lang w:eastAsia="en-GB"/>
        </w:rPr>
        <w:t>Review of Financial Economics</w:t>
      </w:r>
      <w:r w:rsidRPr="257BFE88" w:rsidR="23441CC6">
        <w:rPr>
          <w:lang w:eastAsia="en-GB"/>
        </w:rPr>
        <w:t xml:space="preserve">, 37(1), pp. 118–148. </w:t>
      </w:r>
      <w:r w:rsidRPr="257BFE88" w:rsidR="23441CC6">
        <w:rPr>
          <w:lang w:eastAsia="en-GB"/>
        </w:rPr>
        <w:t>doi</w:t>
      </w:r>
      <w:r w:rsidRPr="257BFE88" w:rsidR="23441CC6">
        <w:rPr>
          <w:lang w:eastAsia="en-GB"/>
        </w:rPr>
        <w:t>: 10.1016/j.rfe.2018.07.003.</w:t>
      </w:r>
    </w:p>
    <w:p w:rsidR="384CFB7E" w:rsidP="257BFE88" w:rsidRDefault="384CFB7E" w14:paraId="45556E7A" w14:textId="350D81A8">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384CFB7E">
        <w:rPr>
          <w:rFonts w:ascii="Aptos" w:hAnsi="Aptos" w:eastAsia="Aptos" w:cs="Aptos"/>
          <w:noProof w:val="0"/>
          <w:color w:val="000000" w:themeColor="text1" w:themeTint="FF" w:themeShade="FF"/>
          <w:sz w:val="24"/>
          <w:szCs w:val="24"/>
          <w:lang w:val="en-GB"/>
        </w:rPr>
        <w:t xml:space="preserve">Business Chief. 2026. </w:t>
      </w:r>
      <w:r w:rsidRPr="257BFE88" w:rsidR="384CFB7E">
        <w:rPr>
          <w:rFonts w:ascii="Aptos" w:hAnsi="Aptos" w:eastAsia="Aptos" w:cs="Aptos"/>
          <w:i w:val="1"/>
          <w:iCs w:val="1"/>
          <w:noProof w:val="0"/>
          <w:color w:val="000000" w:themeColor="text1" w:themeTint="FF" w:themeShade="FF"/>
          <w:sz w:val="24"/>
          <w:szCs w:val="24"/>
          <w:lang w:val="en-GB"/>
        </w:rPr>
        <w:t>Is the ESG era over? Decoding Larry Fink’s 2026 letter</w:t>
      </w:r>
      <w:r w:rsidRPr="257BFE88" w:rsidR="384CFB7E">
        <w:rPr>
          <w:rFonts w:ascii="Aptos" w:hAnsi="Aptos" w:eastAsia="Aptos" w:cs="Aptos"/>
          <w:noProof w:val="0"/>
          <w:color w:val="000000" w:themeColor="text1" w:themeTint="FF" w:themeShade="FF"/>
          <w:sz w:val="24"/>
          <w:szCs w:val="24"/>
          <w:lang w:val="en-GB"/>
        </w:rPr>
        <w:t xml:space="preserve">. Business Chief, 24 March. Available at: </w:t>
      </w:r>
      <w:hyperlink r:id="R43810c7e043c4879">
        <w:r w:rsidRPr="257BFE88" w:rsidR="384CFB7E">
          <w:rPr>
            <w:rStyle w:val="Hyperlink"/>
            <w:rFonts w:ascii="Aptos" w:hAnsi="Aptos" w:eastAsia="Aptos" w:cs="Aptos"/>
            <w:noProof w:val="0"/>
            <w:color w:val="000000" w:themeColor="text1" w:themeTint="FF" w:themeShade="FF"/>
            <w:sz w:val="24"/>
            <w:szCs w:val="24"/>
            <w:lang w:val="en-GB"/>
          </w:rPr>
          <w:t>Business Chief article</w:t>
        </w:r>
      </w:hyperlink>
      <w:r w:rsidRPr="257BFE88" w:rsidR="384CFB7E">
        <w:rPr>
          <w:rFonts w:ascii="Aptos" w:hAnsi="Aptos" w:eastAsia="Aptos" w:cs="Aptos"/>
          <w:noProof w:val="0"/>
          <w:color w:val="000000" w:themeColor="text1" w:themeTint="FF" w:themeShade="FF"/>
          <w:sz w:val="24"/>
          <w:szCs w:val="24"/>
          <w:lang w:val="en-GB"/>
        </w:rPr>
        <w:t xml:space="preserve"> (Accessed: 22 April 2026). </w:t>
      </w:r>
    </w:p>
    <w:p w:rsidR="0F7F5722" w:rsidP="257BFE88" w:rsidRDefault="0F7F5722" w14:paraId="0032258F" w14:textId="79E4EDCF">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0F7F5722">
        <w:rPr>
          <w:rFonts w:ascii="Aptos" w:hAnsi="Aptos" w:eastAsia="Aptos" w:cs="Aptos"/>
          <w:b w:val="0"/>
          <w:bCs w:val="0"/>
          <w:noProof w:val="0"/>
          <w:color w:val="000000" w:themeColor="text1" w:themeTint="FF" w:themeShade="FF"/>
          <w:sz w:val="24"/>
          <w:szCs w:val="24"/>
          <w:lang w:val="en-GB"/>
        </w:rPr>
        <w:t>Carè</w:t>
      </w:r>
      <w:r w:rsidRPr="257BFE88" w:rsidR="0F7F5722">
        <w:rPr>
          <w:rFonts w:ascii="Aptos" w:hAnsi="Aptos" w:eastAsia="Aptos" w:cs="Aptos"/>
          <w:b w:val="0"/>
          <w:bCs w:val="0"/>
          <w:noProof w:val="0"/>
          <w:color w:val="000000" w:themeColor="text1" w:themeTint="FF" w:themeShade="FF"/>
          <w:sz w:val="24"/>
          <w:szCs w:val="24"/>
          <w:lang w:val="en-GB"/>
        </w:rPr>
        <w:t xml:space="preserve">, R. 2026. 'Should we trust impact indices? Not all that glitters is gold', </w:t>
      </w:r>
      <w:r w:rsidRPr="257BFE88" w:rsidR="0F7F5722">
        <w:rPr>
          <w:rFonts w:ascii="Aptos" w:hAnsi="Aptos" w:eastAsia="Aptos" w:cs="Aptos"/>
          <w:b w:val="0"/>
          <w:bCs w:val="0"/>
          <w:i w:val="1"/>
          <w:iCs w:val="1"/>
          <w:noProof w:val="0"/>
          <w:color w:val="000000" w:themeColor="text1" w:themeTint="FF" w:themeShade="FF"/>
          <w:sz w:val="24"/>
          <w:szCs w:val="24"/>
          <w:lang w:val="en-GB"/>
        </w:rPr>
        <w:t>International Review of Financial Analysis</w:t>
      </w:r>
      <w:r w:rsidRPr="257BFE88" w:rsidR="0F7F5722">
        <w:rPr>
          <w:rFonts w:ascii="Aptos" w:hAnsi="Aptos" w:eastAsia="Aptos" w:cs="Aptos"/>
          <w:b w:val="0"/>
          <w:bCs w:val="0"/>
          <w:noProof w:val="0"/>
          <w:color w:val="000000" w:themeColor="text1" w:themeTint="FF" w:themeShade="FF"/>
          <w:sz w:val="24"/>
          <w:szCs w:val="24"/>
          <w:lang w:val="en-GB"/>
        </w:rPr>
        <w:t xml:space="preserve">. Available at: </w:t>
      </w:r>
      <w:hyperlink r:id="Ra236d25ab8554f95">
        <w:r w:rsidRPr="257BFE88" w:rsidR="0F7F5722">
          <w:rPr>
            <w:rStyle w:val="Hyperlink"/>
            <w:rFonts w:ascii="Aptos" w:hAnsi="Aptos" w:eastAsia="Aptos" w:cs="Aptos"/>
            <w:b w:val="0"/>
            <w:bCs w:val="0"/>
            <w:noProof w:val="0"/>
            <w:color w:val="000000" w:themeColor="text1" w:themeTint="FF" w:themeShade="FF"/>
            <w:sz w:val="24"/>
            <w:szCs w:val="24"/>
            <w:lang w:val="en-GB"/>
          </w:rPr>
          <w:t>https://doi.org/10.1016/j.irfa.2026.XXXXXX</w:t>
        </w:r>
      </w:hyperlink>
      <w:r w:rsidRPr="257BFE88" w:rsidR="0F7F5722">
        <w:rPr>
          <w:rFonts w:ascii="Aptos" w:hAnsi="Aptos" w:eastAsia="Aptos" w:cs="Aptos"/>
          <w:b w:val="0"/>
          <w:bCs w:val="0"/>
          <w:noProof w:val="0"/>
          <w:color w:val="000000" w:themeColor="text1" w:themeTint="FF" w:themeShade="FF"/>
          <w:sz w:val="24"/>
          <w:szCs w:val="24"/>
          <w:lang w:val="en-GB"/>
        </w:rPr>
        <w:t xml:space="preserve"> (Accessed: 9 April 2026).</w:t>
      </w:r>
    </w:p>
    <w:p w:rsidR="42D0D1A3" w:rsidP="257BFE88" w:rsidRDefault="42D0D1A3" w14:paraId="0860667E" w14:textId="74317519">
      <w:pPr>
        <w:rPr>
          <w:rFonts w:ascii="Aptos" w:hAnsi="Aptos" w:eastAsia="Aptos" w:cs="Aptos"/>
          <w:noProof w:val="0"/>
          <w:color w:val="000000" w:themeColor="text1" w:themeTint="FF" w:themeShade="FF"/>
          <w:sz w:val="24"/>
          <w:szCs w:val="24"/>
          <w:lang w:val="en-GB"/>
        </w:rPr>
      </w:pPr>
      <w:r w:rsidRPr="257BFE88" w:rsidR="42D0D1A3">
        <w:rPr>
          <w:rFonts w:ascii="Aptos" w:hAnsi="Aptos" w:eastAsia="Aptos" w:cs="Aptos"/>
          <w:noProof w:val="0"/>
          <w:color w:val="000000" w:themeColor="text1" w:themeTint="FF" w:themeShade="FF"/>
          <w:sz w:val="24"/>
          <w:szCs w:val="24"/>
          <w:lang w:val="en-GB"/>
        </w:rPr>
        <w:t>C</w:t>
      </w:r>
      <w:r w:rsidRPr="257BFE88" w:rsidR="42D0D1A3">
        <w:rPr>
          <w:rFonts w:ascii="Aptos" w:hAnsi="Aptos" w:eastAsia="Aptos" w:cs="Aptos"/>
          <w:noProof w:val="0"/>
          <w:color w:val="000000" w:themeColor="text1" w:themeTint="FF" w:themeShade="FF"/>
          <w:sz w:val="24"/>
          <w:szCs w:val="24"/>
          <w:lang w:val="en-GB"/>
        </w:rPr>
        <w:t>hen, Y., Xie, Z., Wang, L. and Zhu, L. 20</w:t>
      </w:r>
      <w:r w:rsidRPr="257BFE88" w:rsidR="42D0D1A3">
        <w:rPr>
          <w:rFonts w:ascii="Aptos" w:hAnsi="Aptos" w:eastAsia="Aptos" w:cs="Aptos"/>
          <w:noProof w:val="0"/>
          <w:color w:val="000000" w:themeColor="text1" w:themeTint="FF" w:themeShade="FF"/>
          <w:sz w:val="24"/>
          <w:szCs w:val="24"/>
          <w:lang w:val="en-GB"/>
        </w:rPr>
        <w:t>25</w:t>
      </w:r>
      <w:r w:rsidRPr="257BFE88" w:rsidR="42D0D1A3">
        <w:rPr>
          <w:rFonts w:ascii="Aptos" w:hAnsi="Aptos" w:eastAsia="Aptos" w:cs="Aptos"/>
          <w:noProof w:val="0"/>
          <w:color w:val="000000" w:themeColor="text1" w:themeTint="FF" w:themeShade="FF"/>
          <w:sz w:val="24"/>
          <w:szCs w:val="24"/>
          <w:lang w:val="en-GB"/>
        </w:rPr>
        <w:t xml:space="preserve">. 'ESG disclosure, public perception and corporate financial performance: An empirical study based on textual analysis', </w:t>
      </w:r>
      <w:r w:rsidRPr="257BFE88" w:rsidR="42D0D1A3">
        <w:rPr>
          <w:rFonts w:ascii="Aptos" w:hAnsi="Aptos" w:eastAsia="Aptos" w:cs="Aptos"/>
          <w:i w:val="1"/>
          <w:iCs w:val="1"/>
          <w:noProof w:val="0"/>
          <w:color w:val="000000" w:themeColor="text1" w:themeTint="FF" w:themeShade="FF"/>
          <w:sz w:val="24"/>
          <w:szCs w:val="24"/>
          <w:lang w:val="en-GB"/>
        </w:rPr>
        <w:t>Journal of Environmental Management</w:t>
      </w:r>
      <w:r w:rsidRPr="257BFE88" w:rsidR="42D0D1A3">
        <w:rPr>
          <w:rFonts w:ascii="Aptos" w:hAnsi="Aptos" w:eastAsia="Aptos" w:cs="Aptos"/>
          <w:noProof w:val="0"/>
          <w:color w:val="000000" w:themeColor="text1" w:themeTint="FF" w:themeShade="FF"/>
          <w:sz w:val="24"/>
          <w:szCs w:val="24"/>
          <w:lang w:val="en-GB"/>
        </w:rPr>
        <w:t xml:space="preserve">. Available at: </w:t>
      </w:r>
      <w:hyperlink r:id="R8320638aa4ce40f5">
        <w:r w:rsidRPr="257BFE88" w:rsidR="42D0D1A3">
          <w:rPr>
            <w:rStyle w:val="Hyperlink"/>
            <w:rFonts w:ascii="Aptos" w:hAnsi="Aptos" w:eastAsia="Aptos" w:cs="Aptos"/>
            <w:noProof w:val="0"/>
            <w:color w:val="000000" w:themeColor="text1" w:themeTint="FF" w:themeShade="FF"/>
            <w:sz w:val="24"/>
            <w:szCs w:val="24"/>
            <w:lang w:val="en-GB"/>
          </w:rPr>
          <w:t>https://doi.org/10.1016/j.jenvman.20</w:t>
        </w:r>
        <w:r w:rsidRPr="257BFE88" w:rsidR="42D0D1A3">
          <w:rPr>
            <w:rStyle w:val="Hyperlink"/>
            <w:rFonts w:ascii="Aptos" w:hAnsi="Aptos" w:eastAsia="Aptos" w:cs="Aptos"/>
            <w:noProof w:val="0"/>
            <w:color w:val="000000" w:themeColor="text1" w:themeTint="FF" w:themeShade="FF"/>
            <w:sz w:val="24"/>
            <w:szCs w:val="24"/>
            <w:lang w:val="en-GB"/>
          </w:rPr>
          <w:t>25</w:t>
        </w:r>
      </w:hyperlink>
      <w:r w:rsidRPr="257BFE88" w:rsidR="42D0D1A3">
        <w:rPr>
          <w:rFonts w:ascii="Aptos" w:hAnsi="Aptos" w:eastAsia="Aptos" w:cs="Aptos"/>
          <w:noProof w:val="0"/>
          <w:color w:val="000000" w:themeColor="text1" w:themeTint="FF" w:themeShade="FF"/>
          <w:sz w:val="24"/>
          <w:szCs w:val="24"/>
          <w:lang w:val="en-GB"/>
        </w:rPr>
        <w:t>. (Inverted U-shaped relationship; supports nuanced interpretation of ESG signals.)</w:t>
      </w:r>
    </w:p>
    <w:p w:rsidR="2C023C9B" w:rsidP="257BFE88" w:rsidRDefault="2C023C9B" w14:paraId="45296DE0" w14:textId="7550A1D1">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2C023C9B">
        <w:rPr>
          <w:rFonts w:ascii="Aptos" w:hAnsi="Aptos" w:eastAsia="Aptos" w:cs="Aptos"/>
          <w:b w:val="0"/>
          <w:bCs w:val="0"/>
          <w:noProof w:val="0"/>
          <w:color w:val="000000" w:themeColor="text1" w:themeTint="FF" w:themeShade="FF"/>
          <w:sz w:val="24"/>
          <w:szCs w:val="24"/>
          <w:lang w:val="en-GB"/>
        </w:rPr>
        <w:t xml:space="preserve">China Securities Regulatory Commission. 2025. </w:t>
      </w:r>
      <w:r w:rsidRPr="257BFE88" w:rsidR="2C023C9B">
        <w:rPr>
          <w:rFonts w:ascii="Aptos" w:hAnsi="Aptos" w:eastAsia="Aptos" w:cs="Aptos"/>
          <w:b w:val="0"/>
          <w:bCs w:val="0"/>
          <w:i w:val="1"/>
          <w:iCs w:val="1"/>
          <w:noProof w:val="0"/>
          <w:color w:val="000000" w:themeColor="text1" w:themeTint="FF" w:themeShade="FF"/>
          <w:sz w:val="24"/>
          <w:szCs w:val="24"/>
          <w:lang w:val="en-GB"/>
        </w:rPr>
        <w:t>Administrative Measures for Information Disclosure by Listed Companies</w:t>
      </w:r>
      <w:r w:rsidRPr="257BFE88" w:rsidR="2C023C9B">
        <w:rPr>
          <w:rFonts w:ascii="Aptos" w:hAnsi="Aptos" w:eastAsia="Aptos" w:cs="Aptos"/>
          <w:b w:val="0"/>
          <w:bCs w:val="0"/>
          <w:noProof w:val="0"/>
          <w:color w:val="000000" w:themeColor="text1" w:themeTint="FF" w:themeShade="FF"/>
          <w:sz w:val="24"/>
          <w:szCs w:val="24"/>
          <w:lang w:val="en-GB"/>
        </w:rPr>
        <w:t xml:space="preserve"> (revised March 2025). Available at: </w:t>
      </w:r>
      <w:hyperlink r:id="R674082701f094428">
        <w:r w:rsidRPr="257BFE88" w:rsidR="2C023C9B">
          <w:rPr>
            <w:rStyle w:val="Hyperlink"/>
            <w:rFonts w:ascii="Aptos" w:hAnsi="Aptos" w:eastAsia="Aptos" w:cs="Aptos"/>
            <w:b w:val="0"/>
            <w:bCs w:val="0"/>
            <w:noProof w:val="0"/>
            <w:color w:val="000000" w:themeColor="text1" w:themeTint="FF" w:themeShade="FF"/>
            <w:sz w:val="24"/>
            <w:szCs w:val="24"/>
            <w:lang w:val="en-GB"/>
          </w:rPr>
          <w:t>https://www.csrc.gov.cn</w:t>
        </w:r>
      </w:hyperlink>
      <w:r w:rsidRPr="257BFE88" w:rsidR="2C023C9B">
        <w:rPr>
          <w:rFonts w:ascii="Aptos" w:hAnsi="Aptos" w:eastAsia="Aptos" w:cs="Aptos"/>
          <w:b w:val="0"/>
          <w:bCs w:val="0"/>
          <w:noProof w:val="0"/>
          <w:color w:val="000000" w:themeColor="text1" w:themeTint="FF" w:themeShade="FF"/>
          <w:sz w:val="24"/>
          <w:szCs w:val="24"/>
          <w:lang w:val="en-GB"/>
        </w:rPr>
        <w:t xml:space="preserve"> (Accessed: 10 April 2026).</w:t>
      </w:r>
    </w:p>
    <w:p w:rsidR="0EE57901" w:rsidP="257BFE88" w:rsidRDefault="0EE57901" w14:paraId="67ECD916">
      <w:pPr>
        <w:rPr>
          <w:lang w:eastAsia="en-GB"/>
        </w:rPr>
      </w:pPr>
      <w:r w:rsidRPr="257BFE88" w:rsidR="0EE57901">
        <w:rPr>
          <w:lang w:eastAsia="en-GB"/>
        </w:rPr>
        <w:t xml:space="preserve">Christensen, D., Serafeim, G. and </w:t>
      </w:r>
      <w:r w:rsidRPr="257BFE88" w:rsidR="0EE57901">
        <w:rPr>
          <w:lang w:eastAsia="en-GB"/>
        </w:rPr>
        <w:t>Sikochi</w:t>
      </w:r>
      <w:r w:rsidRPr="257BFE88" w:rsidR="0EE57901">
        <w:rPr>
          <w:lang w:eastAsia="en-GB"/>
        </w:rPr>
        <w:t xml:space="preserve">, A. 2022.  'Why is corporate virtue in the eye of the beholder? The case of ESG ratings', </w:t>
      </w:r>
      <w:r w:rsidRPr="257BFE88" w:rsidR="0EE57901">
        <w:rPr>
          <w:i w:val="1"/>
          <w:iCs w:val="1"/>
          <w:lang w:eastAsia="en-GB"/>
        </w:rPr>
        <w:t>The Accounting Review</w:t>
      </w:r>
      <w:r w:rsidRPr="257BFE88" w:rsidR="0EE57901">
        <w:rPr>
          <w:lang w:eastAsia="en-GB"/>
        </w:rPr>
        <w:t xml:space="preserve">, 97(1), pp. 147–175. </w:t>
      </w:r>
      <w:r w:rsidRPr="257BFE88" w:rsidR="0EE57901">
        <w:rPr>
          <w:lang w:eastAsia="en-GB"/>
        </w:rPr>
        <w:t>doi</w:t>
      </w:r>
      <w:r w:rsidRPr="257BFE88" w:rsidR="0EE57901">
        <w:rPr>
          <w:lang w:eastAsia="en-GB"/>
        </w:rPr>
        <w:t>: 10.2308/TAR-2019-0506.</w:t>
      </w:r>
    </w:p>
    <w:p w:rsidR="2D89FD34" w:rsidP="257BFE88" w:rsidRDefault="2D89FD34" w14:paraId="11D7D5D3" w14:textId="1CC41DDE">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2D89FD34">
        <w:rPr>
          <w:rFonts w:ascii="Aptos" w:hAnsi="Aptos" w:eastAsia="Aptos" w:cs="Aptos"/>
          <w:b w:val="0"/>
          <w:bCs w:val="0"/>
          <w:noProof w:val="0"/>
          <w:color w:val="000000" w:themeColor="text1" w:themeTint="FF" w:themeShade="FF"/>
          <w:sz w:val="24"/>
          <w:szCs w:val="24"/>
          <w:lang w:val="en-GB"/>
        </w:rPr>
        <w:t xml:space="preserve">Christensen, H.B., Hail, L. and </w:t>
      </w:r>
      <w:r w:rsidRPr="257BFE88" w:rsidR="2D89FD34">
        <w:rPr>
          <w:rFonts w:ascii="Aptos" w:hAnsi="Aptos" w:eastAsia="Aptos" w:cs="Aptos"/>
          <w:b w:val="0"/>
          <w:bCs w:val="0"/>
          <w:noProof w:val="0"/>
          <w:color w:val="000000" w:themeColor="text1" w:themeTint="FF" w:themeShade="FF"/>
          <w:sz w:val="24"/>
          <w:szCs w:val="24"/>
          <w:lang w:val="en-GB"/>
        </w:rPr>
        <w:t>Leuz</w:t>
      </w:r>
      <w:r w:rsidRPr="257BFE88" w:rsidR="2D89FD34">
        <w:rPr>
          <w:rFonts w:ascii="Aptos" w:hAnsi="Aptos" w:eastAsia="Aptos" w:cs="Aptos"/>
          <w:b w:val="0"/>
          <w:bCs w:val="0"/>
          <w:noProof w:val="0"/>
          <w:color w:val="000000" w:themeColor="text1" w:themeTint="FF" w:themeShade="FF"/>
          <w:sz w:val="24"/>
          <w:szCs w:val="24"/>
          <w:lang w:val="en-GB"/>
        </w:rPr>
        <w:t xml:space="preserve">, C. 2021. 'Mandatory CSR and sustainability reporting: Economic analysis and literature review', </w:t>
      </w:r>
      <w:r w:rsidRPr="257BFE88" w:rsidR="2D89FD34">
        <w:rPr>
          <w:rFonts w:ascii="Aptos" w:hAnsi="Aptos" w:eastAsia="Aptos" w:cs="Aptos"/>
          <w:b w:val="0"/>
          <w:bCs w:val="0"/>
          <w:i w:val="1"/>
          <w:iCs w:val="1"/>
          <w:noProof w:val="0"/>
          <w:color w:val="000000" w:themeColor="text1" w:themeTint="FF" w:themeShade="FF"/>
          <w:sz w:val="24"/>
          <w:szCs w:val="24"/>
          <w:lang w:val="en-GB"/>
        </w:rPr>
        <w:t>Review of Accounting Studies</w:t>
      </w:r>
      <w:r w:rsidRPr="257BFE88" w:rsidR="2D89FD34">
        <w:rPr>
          <w:rFonts w:ascii="Aptos" w:hAnsi="Aptos" w:eastAsia="Aptos" w:cs="Aptos"/>
          <w:b w:val="0"/>
          <w:bCs w:val="0"/>
          <w:noProof w:val="0"/>
          <w:color w:val="000000" w:themeColor="text1" w:themeTint="FF" w:themeShade="FF"/>
          <w:sz w:val="24"/>
          <w:szCs w:val="24"/>
          <w:lang w:val="en-GB"/>
        </w:rPr>
        <w:t xml:space="preserve">, 26(3), pp. 1176–1248. Available at: </w:t>
      </w:r>
      <w:hyperlink r:id="R751d08d6b43e4d8a">
        <w:r w:rsidRPr="257BFE88" w:rsidR="2D89FD34">
          <w:rPr>
            <w:rStyle w:val="Hyperlink"/>
            <w:rFonts w:ascii="Aptos" w:hAnsi="Aptos" w:eastAsia="Aptos" w:cs="Aptos"/>
            <w:b w:val="0"/>
            <w:bCs w:val="0"/>
            <w:noProof w:val="0"/>
            <w:color w:val="000000" w:themeColor="text1" w:themeTint="FF" w:themeShade="FF"/>
            <w:sz w:val="24"/>
            <w:szCs w:val="24"/>
            <w:lang w:val="en-GB"/>
          </w:rPr>
          <w:t>https://doi.org/10.1007/s11142-021-09609-5</w:t>
        </w:r>
      </w:hyperlink>
      <w:r w:rsidRPr="257BFE88" w:rsidR="2D89FD34">
        <w:rPr>
          <w:rFonts w:ascii="Aptos" w:hAnsi="Aptos" w:eastAsia="Aptos" w:cs="Aptos"/>
          <w:b w:val="0"/>
          <w:bCs w:val="0"/>
          <w:noProof w:val="0"/>
          <w:color w:val="000000" w:themeColor="text1" w:themeTint="FF" w:themeShade="FF"/>
          <w:sz w:val="24"/>
          <w:szCs w:val="24"/>
          <w:lang w:val="en-GB"/>
        </w:rPr>
        <w:t xml:space="preserve"> (Accessed: 10 April 2026).</w:t>
      </w:r>
    </w:p>
    <w:p w:rsidR="0EE57901" w:rsidP="257BFE88" w:rsidRDefault="0EE57901" w14:paraId="7D6BC85D" w14:textId="67CCCA49">
      <w:pPr>
        <w:rPr>
          <w:lang w:eastAsia="en-GB"/>
        </w:rPr>
      </w:pPr>
      <w:r w:rsidRPr="257BFE88" w:rsidR="0EE57901">
        <w:rPr>
          <w:lang w:eastAsia="en-GB"/>
        </w:rPr>
        <w:t xml:space="preserve">Cottrell, S. 2015. </w:t>
      </w:r>
      <w:r w:rsidRPr="257BFE88" w:rsidR="0EE57901">
        <w:rPr>
          <w:i w:val="1"/>
          <w:iCs w:val="1"/>
          <w:lang w:eastAsia="en-GB"/>
        </w:rPr>
        <w:t xml:space="preserve">Critical thinking skills: effective analysis, </w:t>
      </w:r>
      <w:r w:rsidRPr="257BFE88" w:rsidR="0EE57901">
        <w:rPr>
          <w:i w:val="1"/>
          <w:iCs w:val="1"/>
          <w:lang w:eastAsia="en-GB"/>
        </w:rPr>
        <w:t>argument</w:t>
      </w:r>
      <w:r w:rsidRPr="257BFE88" w:rsidR="0EE57901">
        <w:rPr>
          <w:i w:val="1"/>
          <w:iCs w:val="1"/>
          <w:lang w:eastAsia="en-GB"/>
        </w:rPr>
        <w:t xml:space="preserve"> and reflection</w:t>
      </w:r>
      <w:r w:rsidRPr="257BFE88" w:rsidR="0EE57901">
        <w:rPr>
          <w:lang w:eastAsia="en-GB"/>
        </w:rPr>
        <w:t xml:space="preserve">. 3rd </w:t>
      </w:r>
      <w:r w:rsidRPr="257BFE88" w:rsidR="0EE57901">
        <w:rPr>
          <w:lang w:eastAsia="en-GB"/>
        </w:rPr>
        <w:t>edn</w:t>
      </w:r>
      <w:r w:rsidRPr="257BFE88" w:rsidR="0EE57901">
        <w:rPr>
          <w:lang w:eastAsia="en-GB"/>
        </w:rPr>
        <w:t>. London: Palgrave Macmillan.</w:t>
      </w:r>
    </w:p>
    <w:p w:rsidR="37C18C04" w:rsidP="257BFE88" w:rsidRDefault="37C18C04" w14:paraId="7C21CE10" w14:textId="4D8EBE88">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37C18C04">
        <w:rPr>
          <w:rFonts w:ascii="Aptos" w:hAnsi="Aptos" w:eastAsia="Aptos" w:cs="Aptos"/>
          <w:b w:val="0"/>
          <w:bCs w:val="0"/>
          <w:noProof w:val="0"/>
          <w:color w:val="000000" w:themeColor="text1" w:themeTint="FF" w:themeShade="FF"/>
          <w:sz w:val="24"/>
          <w:szCs w:val="24"/>
          <w:lang w:val="en-GB"/>
        </w:rPr>
        <w:t xml:space="preserve">Crane, A., Matten, D., Glozer, S. and Spence, L.J. 2022. </w:t>
      </w:r>
      <w:r w:rsidRPr="257BFE88" w:rsidR="37C18C04">
        <w:rPr>
          <w:rFonts w:ascii="Aptos" w:hAnsi="Aptos" w:eastAsia="Aptos" w:cs="Aptos"/>
          <w:b w:val="0"/>
          <w:bCs w:val="0"/>
          <w:i w:val="1"/>
          <w:iCs w:val="1"/>
          <w:noProof w:val="0"/>
          <w:color w:val="000000" w:themeColor="text1" w:themeTint="FF" w:themeShade="FF"/>
          <w:sz w:val="24"/>
          <w:szCs w:val="24"/>
          <w:lang w:val="en-GB"/>
        </w:rPr>
        <w:t>Business ethics: Managing corporate citizenship and sustainability in the age of globalization</w:t>
      </w:r>
      <w:r w:rsidRPr="257BFE88" w:rsidR="37C18C04">
        <w:rPr>
          <w:rFonts w:ascii="Aptos" w:hAnsi="Aptos" w:eastAsia="Aptos" w:cs="Aptos"/>
          <w:b w:val="0"/>
          <w:bCs w:val="0"/>
          <w:noProof w:val="0"/>
          <w:color w:val="000000" w:themeColor="text1" w:themeTint="FF" w:themeShade="FF"/>
          <w:sz w:val="24"/>
          <w:szCs w:val="24"/>
          <w:lang w:val="en-GB"/>
        </w:rPr>
        <w:t xml:space="preserve"> (5th </w:t>
      </w:r>
      <w:r w:rsidRPr="257BFE88" w:rsidR="37C18C04">
        <w:rPr>
          <w:rFonts w:ascii="Aptos" w:hAnsi="Aptos" w:eastAsia="Aptos" w:cs="Aptos"/>
          <w:b w:val="0"/>
          <w:bCs w:val="0"/>
          <w:noProof w:val="0"/>
          <w:color w:val="000000" w:themeColor="text1" w:themeTint="FF" w:themeShade="FF"/>
          <w:sz w:val="24"/>
          <w:szCs w:val="24"/>
          <w:lang w:val="en-GB"/>
        </w:rPr>
        <w:t>edn</w:t>
      </w:r>
      <w:r w:rsidRPr="257BFE88" w:rsidR="37C18C04">
        <w:rPr>
          <w:rFonts w:ascii="Aptos" w:hAnsi="Aptos" w:eastAsia="Aptos" w:cs="Aptos"/>
          <w:b w:val="0"/>
          <w:bCs w:val="0"/>
          <w:noProof w:val="0"/>
          <w:color w:val="000000" w:themeColor="text1" w:themeTint="FF" w:themeShade="FF"/>
          <w:sz w:val="24"/>
          <w:szCs w:val="24"/>
          <w:lang w:val="en-GB"/>
        </w:rPr>
        <w:t>). Oxford: Oxford University Press.</w:t>
      </w:r>
    </w:p>
    <w:p w:rsidR="0EE57901" w:rsidP="257BFE88" w:rsidRDefault="0EE57901" w14:paraId="473479E8" w14:textId="508C339A">
      <w:pPr>
        <w:pStyle w:val="Normal"/>
        <w:rPr>
          <w:rFonts w:ascii="Aptos" w:hAnsi="Aptos" w:eastAsia="Aptos" w:cs="Aptos"/>
          <w:noProof w:val="0"/>
          <w:color w:val="000000" w:themeColor="text1" w:themeTint="FF" w:themeShade="FF"/>
          <w:sz w:val="24"/>
          <w:szCs w:val="24"/>
          <w:lang w:val="en-GB"/>
        </w:rPr>
      </w:pPr>
      <w:r w:rsidRPr="257BFE88" w:rsidR="0EE57901">
        <w:rPr>
          <w:rFonts w:ascii="Aptos" w:hAnsi="Aptos" w:eastAsia="Aptos" w:cs="Aptos"/>
          <w:noProof w:val="0"/>
          <w:color w:val="000000" w:themeColor="text1" w:themeTint="FF" w:themeShade="FF"/>
          <w:sz w:val="24"/>
          <w:szCs w:val="24"/>
          <w:lang w:val="en-GB"/>
        </w:rPr>
        <w:t xml:space="preserve">Creswell, J.W. 2012. </w:t>
      </w:r>
      <w:r w:rsidRPr="257BFE88" w:rsidR="0EE57901">
        <w:rPr>
          <w:rFonts w:ascii="Aptos" w:hAnsi="Aptos" w:eastAsia="Aptos" w:cs="Aptos"/>
          <w:i w:val="1"/>
          <w:iCs w:val="1"/>
          <w:noProof w:val="0"/>
          <w:color w:val="000000" w:themeColor="text1" w:themeTint="FF" w:themeShade="FF"/>
          <w:sz w:val="24"/>
          <w:szCs w:val="24"/>
          <w:lang w:val="en-GB"/>
        </w:rPr>
        <w:t>Educational research: planning, conducting</w:t>
      </w:r>
      <w:r w:rsidRPr="257BFE88" w:rsidR="0EE57901">
        <w:rPr>
          <w:rFonts w:ascii="Aptos" w:hAnsi="Aptos" w:eastAsia="Aptos" w:cs="Aptos"/>
          <w:i w:val="1"/>
          <w:iCs w:val="1"/>
          <w:noProof w:val="0"/>
          <w:color w:val="000000" w:themeColor="text1" w:themeTint="FF" w:themeShade="FF"/>
          <w:sz w:val="24"/>
          <w:szCs w:val="24"/>
          <w:lang w:val="en-GB"/>
        </w:rPr>
        <w:t xml:space="preserve"> and</w:t>
      </w:r>
      <w:r w:rsidRPr="257BFE88" w:rsidR="0EE57901">
        <w:rPr>
          <w:rFonts w:ascii="Aptos" w:hAnsi="Aptos" w:eastAsia="Aptos" w:cs="Aptos"/>
          <w:i w:val="1"/>
          <w:iCs w:val="1"/>
          <w:noProof w:val="0"/>
          <w:color w:val="000000" w:themeColor="text1" w:themeTint="FF" w:themeShade="FF"/>
          <w:sz w:val="24"/>
          <w:szCs w:val="24"/>
          <w:lang w:val="en-GB"/>
        </w:rPr>
        <w:t xml:space="preserve"> evaluating quantitative and qualitative research</w:t>
      </w:r>
      <w:r w:rsidRPr="257BFE88" w:rsidR="0EE57901">
        <w:rPr>
          <w:rFonts w:ascii="Aptos" w:hAnsi="Aptos" w:eastAsia="Aptos" w:cs="Aptos"/>
          <w:noProof w:val="0"/>
          <w:color w:val="000000" w:themeColor="text1" w:themeTint="FF" w:themeShade="FF"/>
          <w:sz w:val="24"/>
          <w:szCs w:val="24"/>
          <w:lang w:val="en-GB"/>
        </w:rPr>
        <w:t xml:space="preserve">. 4th </w:t>
      </w:r>
      <w:r w:rsidRPr="257BFE88" w:rsidR="0EE57901">
        <w:rPr>
          <w:rFonts w:ascii="Aptos" w:hAnsi="Aptos" w:eastAsia="Aptos" w:cs="Aptos"/>
          <w:noProof w:val="0"/>
          <w:color w:val="000000" w:themeColor="text1" w:themeTint="FF" w:themeShade="FF"/>
          <w:sz w:val="24"/>
          <w:szCs w:val="24"/>
          <w:lang w:val="en-GB"/>
        </w:rPr>
        <w:t>edn</w:t>
      </w:r>
      <w:r w:rsidRPr="257BFE88" w:rsidR="0EE57901">
        <w:rPr>
          <w:rFonts w:ascii="Aptos" w:hAnsi="Aptos" w:eastAsia="Aptos" w:cs="Aptos"/>
          <w:noProof w:val="0"/>
          <w:color w:val="000000" w:themeColor="text1" w:themeTint="FF" w:themeShade="FF"/>
          <w:sz w:val="24"/>
          <w:szCs w:val="24"/>
          <w:lang w:val="en-GB"/>
        </w:rPr>
        <w:t>. Boston, MA: Pearson.</w:t>
      </w:r>
    </w:p>
    <w:p w:rsidR="0EE57901" w:rsidP="257BFE88" w:rsidRDefault="0EE57901" w14:paraId="75D696B9" w14:textId="609ECEC6">
      <w:pPr>
        <w:rPr>
          <w:lang w:eastAsia="en-GB"/>
        </w:rPr>
      </w:pPr>
      <w:r w:rsidRPr="257BFE88" w:rsidR="0EE57901">
        <w:rPr>
          <w:lang w:eastAsia="en-GB"/>
        </w:rPr>
        <w:t xml:space="preserve">Creswell, J.W. and Plano Clark, V.L. 2017. </w:t>
      </w:r>
      <w:r w:rsidRPr="257BFE88" w:rsidR="0EE57901">
        <w:rPr>
          <w:i w:val="1"/>
          <w:iCs w:val="1"/>
          <w:lang w:eastAsia="en-GB"/>
        </w:rPr>
        <w:t>Designing and conducting mixed methods research</w:t>
      </w:r>
      <w:r w:rsidRPr="257BFE88" w:rsidR="0EE57901">
        <w:rPr>
          <w:lang w:eastAsia="en-GB"/>
        </w:rPr>
        <w:t xml:space="preserve">. 3rd </w:t>
      </w:r>
      <w:r w:rsidRPr="257BFE88" w:rsidR="0EE57901">
        <w:rPr>
          <w:lang w:eastAsia="en-GB"/>
        </w:rPr>
        <w:t>edn</w:t>
      </w:r>
      <w:r w:rsidRPr="257BFE88" w:rsidR="0EE57901">
        <w:rPr>
          <w:lang w:eastAsia="en-GB"/>
        </w:rPr>
        <w:t>. Thousand Oaks, CA: SAGE Publications.</w:t>
      </w:r>
    </w:p>
    <w:p w:rsidR="752C8B13" w:rsidP="257BFE88" w:rsidRDefault="752C8B13" w14:paraId="73CA68E7" w14:textId="46B26669">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752C8B13">
        <w:rPr>
          <w:rFonts w:ascii="Aptos" w:hAnsi="Aptos" w:eastAsia="Aptos" w:cs="Aptos"/>
          <w:b w:val="0"/>
          <w:bCs w:val="0"/>
          <w:noProof w:val="0"/>
          <w:color w:val="000000" w:themeColor="text1" w:themeTint="FF" w:themeShade="FF"/>
          <w:sz w:val="24"/>
          <w:szCs w:val="24"/>
          <w:lang w:val="en-GB"/>
        </w:rPr>
        <w:t>Dincă, M.S. 2025. 'Estimating the impact o</w:t>
      </w:r>
      <w:r w:rsidRPr="257BFE88" w:rsidR="752C8B13">
        <w:rPr>
          <w:rFonts w:ascii="Aptos" w:hAnsi="Aptos" w:eastAsia="Aptos" w:cs="Aptos"/>
          <w:b w:val="0"/>
          <w:bCs w:val="0"/>
          <w:noProof w:val="0"/>
          <w:color w:val="000000" w:themeColor="text1" w:themeTint="FF" w:themeShade="FF"/>
          <w:sz w:val="24"/>
          <w:szCs w:val="24"/>
          <w:lang w:val="en-GB"/>
        </w:rPr>
        <w:t>f</w:t>
      </w:r>
      <w:r w:rsidRPr="257BFE88" w:rsidR="752C8B13">
        <w:rPr>
          <w:rFonts w:ascii="Aptos" w:hAnsi="Aptos" w:eastAsia="Aptos" w:cs="Aptos"/>
          <w:b w:val="0"/>
          <w:bCs w:val="0"/>
          <w:noProof w:val="0"/>
          <w:color w:val="000000" w:themeColor="text1" w:themeTint="FF" w:themeShade="FF"/>
          <w:sz w:val="24"/>
          <w:szCs w:val="24"/>
          <w:lang w:val="en-GB"/>
        </w:rPr>
        <w:t xml:space="preserve"> ESG on </w:t>
      </w:r>
      <w:r w:rsidRPr="257BFE88" w:rsidR="752C8B13">
        <w:rPr>
          <w:rFonts w:ascii="Aptos" w:hAnsi="Aptos" w:eastAsia="Aptos" w:cs="Aptos"/>
          <w:b w:val="0"/>
          <w:bCs w:val="0"/>
          <w:noProof w:val="0"/>
          <w:color w:val="000000" w:themeColor="text1" w:themeTint="FF" w:themeShade="FF"/>
          <w:sz w:val="24"/>
          <w:szCs w:val="24"/>
          <w:lang w:val="en-GB"/>
        </w:rPr>
        <w:t>f</w:t>
      </w:r>
      <w:r w:rsidRPr="257BFE88" w:rsidR="752C8B13">
        <w:rPr>
          <w:rFonts w:ascii="Aptos" w:hAnsi="Aptos" w:eastAsia="Aptos" w:cs="Aptos"/>
          <w:b w:val="0"/>
          <w:bCs w:val="0"/>
          <w:noProof w:val="0"/>
          <w:color w:val="000000" w:themeColor="text1" w:themeTint="FF" w:themeShade="FF"/>
          <w:sz w:val="24"/>
          <w:szCs w:val="24"/>
          <w:lang w:val="en-GB"/>
        </w:rPr>
        <w:t xml:space="preserve">inancial </w:t>
      </w:r>
      <w:r w:rsidRPr="257BFE88" w:rsidR="752C8B13">
        <w:rPr>
          <w:rFonts w:ascii="Aptos" w:hAnsi="Aptos" w:eastAsia="Aptos" w:cs="Aptos"/>
          <w:b w:val="0"/>
          <w:bCs w:val="0"/>
          <w:noProof w:val="0"/>
          <w:color w:val="000000" w:themeColor="text1" w:themeTint="FF" w:themeShade="FF"/>
          <w:sz w:val="24"/>
          <w:szCs w:val="24"/>
          <w:lang w:val="en-GB"/>
        </w:rPr>
        <w:t>f</w:t>
      </w:r>
      <w:r w:rsidRPr="257BFE88" w:rsidR="752C8B13">
        <w:rPr>
          <w:rFonts w:ascii="Aptos" w:hAnsi="Aptos" w:eastAsia="Aptos" w:cs="Aptos"/>
          <w:b w:val="0"/>
          <w:bCs w:val="0"/>
          <w:noProof w:val="0"/>
          <w:color w:val="000000" w:themeColor="text1" w:themeTint="FF" w:themeShade="FF"/>
          <w:sz w:val="24"/>
          <w:szCs w:val="24"/>
          <w:lang w:val="en-GB"/>
        </w:rPr>
        <w:t xml:space="preserve">orecast accuracy', </w:t>
      </w:r>
      <w:r w:rsidRPr="257BFE88" w:rsidR="752C8B13">
        <w:rPr>
          <w:rFonts w:ascii="Aptos" w:hAnsi="Aptos" w:eastAsia="Aptos" w:cs="Aptos"/>
          <w:b w:val="0"/>
          <w:bCs w:val="0"/>
          <w:i w:val="1"/>
          <w:iCs w:val="1"/>
          <w:noProof w:val="0"/>
          <w:color w:val="000000" w:themeColor="text1" w:themeTint="FF" w:themeShade="FF"/>
          <w:sz w:val="24"/>
          <w:szCs w:val="24"/>
          <w:lang w:val="en-GB"/>
        </w:rPr>
        <w:t>International Journal o</w:t>
      </w:r>
      <w:r w:rsidRPr="257BFE88" w:rsidR="752C8B13">
        <w:rPr>
          <w:rFonts w:ascii="Aptos" w:hAnsi="Aptos" w:eastAsia="Aptos" w:cs="Aptos"/>
          <w:b w:val="0"/>
          <w:bCs w:val="0"/>
          <w:i w:val="1"/>
          <w:iCs w:val="1"/>
          <w:noProof w:val="0"/>
          <w:color w:val="000000" w:themeColor="text1" w:themeTint="FF" w:themeShade="FF"/>
          <w:sz w:val="24"/>
          <w:szCs w:val="24"/>
          <w:lang w:val="en-GB"/>
        </w:rPr>
        <w:t>f</w:t>
      </w:r>
      <w:r w:rsidRPr="257BFE88" w:rsidR="752C8B13">
        <w:rPr>
          <w:rFonts w:ascii="Aptos" w:hAnsi="Aptos" w:eastAsia="Aptos" w:cs="Aptos"/>
          <w:b w:val="0"/>
          <w:bCs w:val="0"/>
          <w:i w:val="1"/>
          <w:iCs w:val="1"/>
          <w:noProof w:val="0"/>
          <w:color w:val="000000" w:themeColor="text1" w:themeTint="FF" w:themeShade="FF"/>
          <w:sz w:val="24"/>
          <w:szCs w:val="24"/>
          <w:lang w:val="en-GB"/>
        </w:rPr>
        <w:t xml:space="preserve"> </w:t>
      </w:r>
      <w:r w:rsidRPr="257BFE88" w:rsidR="752C8B13">
        <w:rPr>
          <w:rFonts w:ascii="Aptos" w:hAnsi="Aptos" w:eastAsia="Aptos" w:cs="Aptos"/>
          <w:b w:val="0"/>
          <w:bCs w:val="0"/>
          <w:i w:val="1"/>
          <w:iCs w:val="1"/>
          <w:noProof w:val="0"/>
          <w:color w:val="000000" w:themeColor="text1" w:themeTint="FF" w:themeShade="FF"/>
          <w:sz w:val="24"/>
          <w:szCs w:val="24"/>
          <w:lang w:val="en-GB"/>
        </w:rPr>
        <w:t>F</w:t>
      </w:r>
      <w:r w:rsidRPr="257BFE88" w:rsidR="752C8B13">
        <w:rPr>
          <w:rFonts w:ascii="Aptos" w:hAnsi="Aptos" w:eastAsia="Aptos" w:cs="Aptos"/>
          <w:b w:val="0"/>
          <w:bCs w:val="0"/>
          <w:i w:val="1"/>
          <w:iCs w:val="1"/>
          <w:noProof w:val="0"/>
          <w:color w:val="000000" w:themeColor="text1" w:themeTint="FF" w:themeShade="FF"/>
          <w:sz w:val="24"/>
          <w:szCs w:val="24"/>
          <w:lang w:val="en-GB"/>
        </w:rPr>
        <w:t>inancial Studies</w:t>
      </w:r>
      <w:r w:rsidRPr="257BFE88" w:rsidR="752C8B13">
        <w:rPr>
          <w:rFonts w:ascii="Aptos" w:hAnsi="Aptos" w:eastAsia="Aptos" w:cs="Aptos"/>
          <w:b w:val="0"/>
          <w:bCs w:val="0"/>
          <w:noProof w:val="0"/>
          <w:color w:val="000000" w:themeColor="text1" w:themeTint="FF" w:themeShade="FF"/>
          <w:sz w:val="24"/>
          <w:szCs w:val="24"/>
          <w:lang w:val="en-GB"/>
        </w:rPr>
        <w:t xml:space="preserve">, 13(3), 166. Available at: </w:t>
      </w:r>
      <w:hyperlink r:id="Rab1f0b837e8f41ca">
        <w:r w:rsidRPr="257BFE88" w:rsidR="752C8B13">
          <w:rPr>
            <w:rStyle w:val="Hyperlink"/>
            <w:rFonts w:ascii="Aptos" w:hAnsi="Aptos" w:eastAsia="Aptos" w:cs="Aptos"/>
            <w:b w:val="0"/>
            <w:bCs w:val="0"/>
            <w:noProof w:val="0"/>
            <w:color w:val="000000" w:themeColor="text1" w:themeTint="FF" w:themeShade="FF"/>
            <w:sz w:val="24"/>
            <w:szCs w:val="24"/>
            <w:lang w:val="en-GB"/>
          </w:rPr>
          <w:t>https://doi.org/10.3390/ij</w:t>
        </w:r>
        <w:r w:rsidRPr="257BFE88" w:rsidR="752C8B13">
          <w:rPr>
            <w:rStyle w:val="Hyperlink"/>
            <w:rFonts w:ascii="Aptos" w:hAnsi="Aptos" w:eastAsia="Aptos" w:cs="Aptos"/>
            <w:b w:val="0"/>
            <w:bCs w:val="0"/>
            <w:noProof w:val="0"/>
            <w:color w:val="000000" w:themeColor="text1" w:themeTint="FF" w:themeShade="FF"/>
            <w:sz w:val="24"/>
            <w:szCs w:val="24"/>
            <w:lang w:val="en-GB"/>
          </w:rPr>
          <w:t>f</w:t>
        </w:r>
        <w:r w:rsidRPr="257BFE88" w:rsidR="752C8B13">
          <w:rPr>
            <w:rStyle w:val="Hyperlink"/>
            <w:rFonts w:ascii="Aptos" w:hAnsi="Aptos" w:eastAsia="Aptos" w:cs="Aptos"/>
            <w:b w:val="0"/>
            <w:bCs w:val="0"/>
            <w:noProof w:val="0"/>
            <w:color w:val="000000" w:themeColor="text1" w:themeTint="FF" w:themeShade="FF"/>
            <w:sz w:val="24"/>
            <w:szCs w:val="24"/>
            <w:lang w:val="en-GB"/>
          </w:rPr>
          <w:t>s13030166</w:t>
        </w:r>
      </w:hyperlink>
      <w:r w:rsidRPr="257BFE88" w:rsidR="752C8B13">
        <w:rPr>
          <w:rFonts w:ascii="Aptos" w:hAnsi="Aptos" w:eastAsia="Aptos" w:cs="Aptos"/>
          <w:b w:val="0"/>
          <w:bCs w:val="0"/>
          <w:noProof w:val="0"/>
          <w:color w:val="000000" w:themeColor="text1" w:themeTint="FF" w:themeShade="FF"/>
          <w:sz w:val="24"/>
          <w:szCs w:val="24"/>
          <w:lang w:val="en-GB"/>
        </w:rPr>
        <w:t xml:space="preserve"> (Accessed: 10 April 2026).</w:t>
      </w:r>
    </w:p>
    <w:p w:rsidR="78460471" w:rsidP="257BFE88" w:rsidRDefault="78460471" w14:paraId="2E605455" w14:textId="27B78B88">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78460471">
        <w:rPr>
          <w:rFonts w:ascii="Aptos" w:hAnsi="Aptos" w:eastAsia="Aptos" w:cs="Aptos"/>
          <w:b w:val="0"/>
          <w:bCs w:val="0"/>
          <w:noProof w:val="0"/>
          <w:color w:val="000000" w:themeColor="text1" w:themeTint="FF" w:themeShade="FF"/>
          <w:sz w:val="24"/>
          <w:szCs w:val="24"/>
          <w:lang w:val="en-GB"/>
        </w:rPr>
        <w:t>E</w:t>
      </w:r>
      <w:r w:rsidRPr="257BFE88" w:rsidR="78460471">
        <w:rPr>
          <w:rFonts w:ascii="Aptos" w:hAnsi="Aptos" w:eastAsia="Aptos" w:cs="Aptos"/>
          <w:b w:val="0"/>
          <w:bCs w:val="0"/>
          <w:noProof w:val="0"/>
          <w:color w:val="000000" w:themeColor="text1" w:themeTint="FF" w:themeShade="FF"/>
          <w:sz w:val="24"/>
          <w:szCs w:val="24"/>
          <w:lang w:val="en-GB"/>
        </w:rPr>
        <w:t>arth Island Institut</w:t>
      </w:r>
      <w:r w:rsidRPr="257BFE88" w:rsidR="78460471">
        <w:rPr>
          <w:rFonts w:ascii="Aptos" w:hAnsi="Aptos" w:eastAsia="Aptos" w:cs="Aptos"/>
          <w:b w:val="0"/>
          <w:bCs w:val="0"/>
          <w:noProof w:val="0"/>
          <w:color w:val="000000" w:themeColor="text1" w:themeTint="FF" w:themeShade="FF"/>
          <w:sz w:val="24"/>
          <w:szCs w:val="24"/>
          <w:lang w:val="en-GB"/>
        </w:rPr>
        <w:t>e</w:t>
      </w:r>
      <w:r w:rsidRPr="257BFE88" w:rsidR="78460471">
        <w:rPr>
          <w:rFonts w:ascii="Aptos" w:hAnsi="Aptos" w:eastAsia="Aptos" w:cs="Aptos"/>
          <w:b w:val="0"/>
          <w:bCs w:val="0"/>
          <w:noProof w:val="0"/>
          <w:color w:val="000000" w:themeColor="text1" w:themeTint="FF" w:themeShade="FF"/>
          <w:sz w:val="24"/>
          <w:szCs w:val="24"/>
          <w:lang w:val="en-GB"/>
        </w:rPr>
        <w:t xml:space="preserve"> v. Coca-Cola. 2024. District of Columbia Court of App</w:t>
      </w:r>
      <w:r w:rsidRPr="257BFE88" w:rsidR="78460471">
        <w:rPr>
          <w:rFonts w:ascii="Aptos" w:hAnsi="Aptos" w:eastAsia="Aptos" w:cs="Aptos"/>
          <w:b w:val="0"/>
          <w:bCs w:val="0"/>
          <w:noProof w:val="0"/>
          <w:color w:val="000000" w:themeColor="text1" w:themeTint="FF" w:themeShade="FF"/>
          <w:sz w:val="24"/>
          <w:szCs w:val="24"/>
          <w:lang w:val="en-GB"/>
        </w:rPr>
        <w:t>e</w:t>
      </w:r>
      <w:r w:rsidRPr="257BFE88" w:rsidR="78460471">
        <w:rPr>
          <w:rFonts w:ascii="Aptos" w:hAnsi="Aptos" w:eastAsia="Aptos" w:cs="Aptos"/>
          <w:b w:val="0"/>
          <w:bCs w:val="0"/>
          <w:noProof w:val="0"/>
          <w:color w:val="000000" w:themeColor="text1" w:themeTint="FF" w:themeShade="FF"/>
          <w:sz w:val="24"/>
          <w:szCs w:val="24"/>
          <w:lang w:val="en-GB"/>
        </w:rPr>
        <w:t>als (cas</w:t>
      </w:r>
      <w:r w:rsidRPr="257BFE88" w:rsidR="78460471">
        <w:rPr>
          <w:rFonts w:ascii="Aptos" w:hAnsi="Aptos" w:eastAsia="Aptos" w:cs="Aptos"/>
          <w:b w:val="0"/>
          <w:bCs w:val="0"/>
          <w:noProof w:val="0"/>
          <w:color w:val="000000" w:themeColor="text1" w:themeTint="FF" w:themeShade="FF"/>
          <w:sz w:val="24"/>
          <w:szCs w:val="24"/>
          <w:lang w:val="en-GB"/>
        </w:rPr>
        <w:t>e</w:t>
      </w:r>
      <w:r w:rsidRPr="257BFE88" w:rsidR="78460471">
        <w:rPr>
          <w:rFonts w:ascii="Aptos" w:hAnsi="Aptos" w:eastAsia="Aptos" w:cs="Aptos"/>
          <w:b w:val="0"/>
          <w:bCs w:val="0"/>
          <w:noProof w:val="0"/>
          <w:color w:val="000000" w:themeColor="text1" w:themeTint="FF" w:themeShade="FF"/>
          <w:sz w:val="24"/>
          <w:szCs w:val="24"/>
          <w:lang w:val="en-GB"/>
        </w:rPr>
        <w:t xml:space="preserve"> no. 22-CV-0895F). Availabl</w:t>
      </w:r>
      <w:r w:rsidRPr="257BFE88" w:rsidR="78460471">
        <w:rPr>
          <w:rFonts w:ascii="Aptos" w:hAnsi="Aptos" w:eastAsia="Aptos" w:cs="Aptos"/>
          <w:b w:val="0"/>
          <w:bCs w:val="0"/>
          <w:noProof w:val="0"/>
          <w:color w:val="000000" w:themeColor="text1" w:themeTint="FF" w:themeShade="FF"/>
          <w:sz w:val="24"/>
          <w:szCs w:val="24"/>
          <w:lang w:val="en-GB"/>
        </w:rPr>
        <w:t>e</w:t>
      </w:r>
      <w:r w:rsidRPr="257BFE88" w:rsidR="78460471">
        <w:rPr>
          <w:rFonts w:ascii="Aptos" w:hAnsi="Aptos" w:eastAsia="Aptos" w:cs="Aptos"/>
          <w:b w:val="0"/>
          <w:bCs w:val="0"/>
          <w:noProof w:val="0"/>
          <w:color w:val="000000" w:themeColor="text1" w:themeTint="FF" w:themeShade="FF"/>
          <w:sz w:val="24"/>
          <w:szCs w:val="24"/>
          <w:lang w:val="en-GB"/>
        </w:rPr>
        <w:t xml:space="preserve"> at: </w:t>
      </w:r>
      <w:hyperlink r:id="R36ac4a46cc7e4b94">
        <w:r w:rsidRPr="257BFE88" w:rsidR="78460471">
          <w:rPr>
            <w:rStyle w:val="Hyperlink"/>
            <w:rFonts w:ascii="Aptos" w:hAnsi="Aptos" w:eastAsia="Aptos" w:cs="Aptos"/>
            <w:b w:val="0"/>
            <w:bCs w:val="0"/>
            <w:noProof w:val="0"/>
            <w:color w:val="000000" w:themeColor="text1" w:themeTint="FF" w:themeShade="FF"/>
            <w:sz w:val="24"/>
            <w:szCs w:val="24"/>
            <w:lang w:val="en-GB"/>
          </w:rPr>
          <w:t>https://www.dccourts.gov</w:t>
        </w:r>
      </w:hyperlink>
      <w:r w:rsidRPr="257BFE88" w:rsidR="78460471">
        <w:rPr>
          <w:rFonts w:ascii="Aptos" w:hAnsi="Aptos" w:eastAsia="Aptos" w:cs="Aptos"/>
          <w:b w:val="0"/>
          <w:bCs w:val="0"/>
          <w:noProof w:val="0"/>
          <w:color w:val="000000" w:themeColor="text1" w:themeTint="FF" w:themeShade="FF"/>
          <w:sz w:val="24"/>
          <w:szCs w:val="24"/>
          <w:lang w:val="en-GB"/>
        </w:rPr>
        <w:t xml:space="preserve"> (Acc</w:t>
      </w:r>
      <w:r w:rsidRPr="257BFE88" w:rsidR="78460471">
        <w:rPr>
          <w:rFonts w:ascii="Aptos" w:hAnsi="Aptos" w:eastAsia="Aptos" w:cs="Aptos"/>
          <w:b w:val="0"/>
          <w:bCs w:val="0"/>
          <w:noProof w:val="0"/>
          <w:color w:val="000000" w:themeColor="text1" w:themeTint="FF" w:themeShade="FF"/>
          <w:sz w:val="24"/>
          <w:szCs w:val="24"/>
          <w:lang w:val="en-GB"/>
        </w:rPr>
        <w:t>e</w:t>
      </w:r>
      <w:r w:rsidRPr="257BFE88" w:rsidR="78460471">
        <w:rPr>
          <w:rFonts w:ascii="Aptos" w:hAnsi="Aptos" w:eastAsia="Aptos" w:cs="Aptos"/>
          <w:b w:val="0"/>
          <w:bCs w:val="0"/>
          <w:noProof w:val="0"/>
          <w:color w:val="000000" w:themeColor="text1" w:themeTint="FF" w:themeShade="FF"/>
          <w:sz w:val="24"/>
          <w:szCs w:val="24"/>
          <w:lang w:val="en-GB"/>
        </w:rPr>
        <w:t>ss</w:t>
      </w:r>
      <w:r w:rsidRPr="257BFE88" w:rsidR="78460471">
        <w:rPr>
          <w:rFonts w:ascii="Aptos" w:hAnsi="Aptos" w:eastAsia="Aptos" w:cs="Aptos"/>
          <w:b w:val="0"/>
          <w:bCs w:val="0"/>
          <w:noProof w:val="0"/>
          <w:color w:val="000000" w:themeColor="text1" w:themeTint="FF" w:themeShade="FF"/>
          <w:sz w:val="24"/>
          <w:szCs w:val="24"/>
          <w:lang w:val="en-GB"/>
        </w:rPr>
        <w:t>e</w:t>
      </w:r>
      <w:r w:rsidRPr="257BFE88" w:rsidR="78460471">
        <w:rPr>
          <w:rFonts w:ascii="Aptos" w:hAnsi="Aptos" w:eastAsia="Aptos" w:cs="Aptos"/>
          <w:b w:val="0"/>
          <w:bCs w:val="0"/>
          <w:noProof w:val="0"/>
          <w:color w:val="000000" w:themeColor="text1" w:themeTint="FF" w:themeShade="FF"/>
          <w:sz w:val="24"/>
          <w:szCs w:val="24"/>
          <w:lang w:val="en-GB"/>
        </w:rPr>
        <w:t>d: 10 April 2026).</w:t>
      </w:r>
    </w:p>
    <w:p w:rsidR="78460471" w:rsidP="257BFE88" w:rsidRDefault="78460471" w14:paraId="6007BD7B" w14:textId="0A1D8BF0">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78460471">
        <w:rPr>
          <w:rFonts w:ascii="Aptos" w:hAnsi="Aptos" w:eastAsia="Aptos" w:cs="Aptos"/>
          <w:b w:val="0"/>
          <w:bCs w:val="0"/>
          <w:noProof w:val="0"/>
          <w:color w:val="000000" w:themeColor="text1" w:themeTint="FF" w:themeShade="FF"/>
          <w:sz w:val="24"/>
          <w:szCs w:val="24"/>
          <w:lang w:val="en-GB"/>
        </w:rPr>
        <w:t xml:space="preserve">Eccles, R.G., Ioannou, I. and Serafeim, G. 2014 'The impact of corporate sustainability on organizational processes and performance', </w:t>
      </w:r>
      <w:r w:rsidRPr="257BFE88" w:rsidR="78460471">
        <w:rPr>
          <w:rFonts w:ascii="Aptos" w:hAnsi="Aptos" w:eastAsia="Aptos" w:cs="Aptos"/>
          <w:b w:val="0"/>
          <w:bCs w:val="0"/>
          <w:i w:val="1"/>
          <w:iCs w:val="1"/>
          <w:noProof w:val="0"/>
          <w:color w:val="000000" w:themeColor="text1" w:themeTint="FF" w:themeShade="FF"/>
          <w:sz w:val="24"/>
          <w:szCs w:val="24"/>
          <w:lang w:val="en-GB"/>
        </w:rPr>
        <w:t>Management Science</w:t>
      </w:r>
      <w:r w:rsidRPr="257BFE88" w:rsidR="78460471">
        <w:rPr>
          <w:rFonts w:ascii="Aptos" w:hAnsi="Aptos" w:eastAsia="Aptos" w:cs="Aptos"/>
          <w:b w:val="0"/>
          <w:bCs w:val="0"/>
          <w:noProof w:val="0"/>
          <w:color w:val="000000" w:themeColor="text1" w:themeTint="FF" w:themeShade="FF"/>
          <w:sz w:val="24"/>
          <w:szCs w:val="24"/>
          <w:lang w:val="en-GB"/>
        </w:rPr>
        <w:t xml:space="preserve">, 60(11), pp. 2835–2857. Available at: </w:t>
      </w:r>
      <w:hyperlink r:id="R0999eb62bfba46ec">
        <w:r w:rsidRPr="257BFE88" w:rsidR="78460471">
          <w:rPr>
            <w:rStyle w:val="Hyperlink"/>
            <w:rFonts w:ascii="Aptos" w:hAnsi="Aptos" w:eastAsia="Aptos" w:cs="Aptos"/>
            <w:b w:val="0"/>
            <w:bCs w:val="0"/>
            <w:noProof w:val="0"/>
            <w:color w:val="000000" w:themeColor="text1" w:themeTint="FF" w:themeShade="FF"/>
            <w:sz w:val="24"/>
            <w:szCs w:val="24"/>
            <w:lang w:val="en-GB"/>
          </w:rPr>
          <w:t>https://doi.org/10.1287/mnsc.2014.1984</w:t>
        </w:r>
      </w:hyperlink>
      <w:r w:rsidRPr="257BFE88" w:rsidR="78460471">
        <w:rPr>
          <w:rFonts w:ascii="Aptos" w:hAnsi="Aptos" w:eastAsia="Aptos" w:cs="Aptos"/>
          <w:b w:val="0"/>
          <w:bCs w:val="0"/>
          <w:noProof w:val="0"/>
          <w:color w:val="000000" w:themeColor="text1" w:themeTint="FF" w:themeShade="FF"/>
          <w:sz w:val="24"/>
          <w:szCs w:val="24"/>
          <w:lang w:val="en-GB"/>
        </w:rPr>
        <w:t xml:space="preserve"> (Accessed: 10 April 2026).</w:t>
      </w:r>
    </w:p>
    <w:p w:rsidR="78460471" w:rsidP="257BFE88" w:rsidRDefault="78460471" w14:paraId="25BAD2FC" w14:textId="006DF194">
      <w:pPr>
        <w:rPr>
          <w:lang w:eastAsia="en-GB"/>
        </w:rPr>
      </w:pPr>
      <w:r w:rsidRPr="257BFE88" w:rsidR="78460471">
        <w:rPr>
          <w:lang w:eastAsia="en-GB"/>
        </w:rPr>
        <w:t xml:space="preserve">Eccles, R.G. and </w:t>
      </w:r>
      <w:r w:rsidRPr="257BFE88" w:rsidR="78460471">
        <w:rPr>
          <w:lang w:eastAsia="en-GB"/>
        </w:rPr>
        <w:t>Krzus</w:t>
      </w:r>
      <w:r w:rsidRPr="257BFE88" w:rsidR="78460471">
        <w:rPr>
          <w:lang w:eastAsia="en-GB"/>
        </w:rPr>
        <w:t xml:space="preserve">, M.P. (with Ribot, S.) 2015. </w:t>
      </w:r>
      <w:r w:rsidRPr="257BFE88" w:rsidR="78460471">
        <w:rPr>
          <w:i w:val="1"/>
          <w:iCs w:val="1"/>
          <w:lang w:eastAsia="en-GB"/>
        </w:rPr>
        <w:t>The integrated reporting movement: meaning, momentum, motives</w:t>
      </w:r>
      <w:r w:rsidRPr="257BFE88" w:rsidR="78460471">
        <w:rPr>
          <w:i w:val="1"/>
          <w:iCs w:val="1"/>
          <w:lang w:eastAsia="en-GB"/>
        </w:rPr>
        <w:t xml:space="preserve"> and</w:t>
      </w:r>
      <w:r w:rsidRPr="257BFE88" w:rsidR="78460471">
        <w:rPr>
          <w:i w:val="1"/>
          <w:iCs w:val="1"/>
          <w:lang w:eastAsia="en-GB"/>
        </w:rPr>
        <w:t xml:space="preserve"> materiality</w:t>
      </w:r>
      <w:r w:rsidRPr="257BFE88" w:rsidR="78460471">
        <w:rPr>
          <w:lang w:eastAsia="en-GB"/>
        </w:rPr>
        <w:t>. Hoboken, NJ: John Wiley &amp; Sons.</w:t>
      </w:r>
    </w:p>
    <w:p w:rsidR="78460471" w:rsidP="257BFE88" w:rsidRDefault="78460471" w14:paraId="574C37B5">
      <w:pPr>
        <w:rPr>
          <w:lang w:eastAsia="en-GB"/>
        </w:rPr>
      </w:pPr>
      <w:r w:rsidRPr="257BFE88" w:rsidR="78460471">
        <w:rPr>
          <w:lang w:eastAsia="en-GB"/>
        </w:rPr>
        <w:t xml:space="preserve">Eccles, R.G. and Klimenko, S. 2019. 'The investor revolution', </w:t>
      </w:r>
      <w:r w:rsidRPr="257BFE88" w:rsidR="78460471">
        <w:rPr>
          <w:i w:val="1"/>
          <w:iCs w:val="1"/>
          <w:lang w:eastAsia="en-GB"/>
        </w:rPr>
        <w:t>Harvard Business Review</w:t>
      </w:r>
      <w:r w:rsidRPr="257BFE88" w:rsidR="78460471">
        <w:rPr>
          <w:lang w:eastAsia="en-GB"/>
        </w:rPr>
        <w:t>, May–June issue.</w:t>
      </w:r>
    </w:p>
    <w:p w:rsidR="78460471" w:rsidP="257BFE88" w:rsidRDefault="78460471" w14:paraId="28981826" w14:textId="25F024A2">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78460471">
        <w:rPr>
          <w:rFonts w:ascii="Aptos" w:hAnsi="Aptos" w:eastAsia="Aptos" w:cs="Aptos"/>
          <w:noProof w:val="0"/>
          <w:color w:val="000000" w:themeColor="text1" w:themeTint="FF" w:themeShade="FF"/>
          <w:sz w:val="24"/>
          <w:szCs w:val="24"/>
          <w:lang w:val="en-GB"/>
        </w:rPr>
        <w:t xml:space="preserve">Edelman. 2025. </w:t>
      </w:r>
      <w:r w:rsidRPr="257BFE88" w:rsidR="78460471">
        <w:rPr>
          <w:rFonts w:ascii="Aptos" w:hAnsi="Aptos" w:eastAsia="Aptos" w:cs="Aptos"/>
          <w:i w:val="1"/>
          <w:iCs w:val="1"/>
          <w:noProof w:val="0"/>
          <w:color w:val="000000" w:themeColor="text1" w:themeTint="FF" w:themeShade="FF"/>
          <w:sz w:val="24"/>
          <w:szCs w:val="24"/>
          <w:lang w:val="en-GB"/>
        </w:rPr>
        <w:t>Edelman Trust Barometer 2025</w:t>
      </w:r>
      <w:r w:rsidRPr="257BFE88" w:rsidR="78460471">
        <w:rPr>
          <w:rFonts w:ascii="Aptos" w:hAnsi="Aptos" w:eastAsia="Aptos" w:cs="Aptos"/>
          <w:noProof w:val="0"/>
          <w:color w:val="000000" w:themeColor="text1" w:themeTint="FF" w:themeShade="FF"/>
          <w:sz w:val="24"/>
          <w:szCs w:val="24"/>
          <w:lang w:val="en-GB"/>
        </w:rPr>
        <w:t xml:space="preserve">. Available at: </w:t>
      </w:r>
      <w:hyperlink r:id="Rc12a4233e11f439c">
        <w:r w:rsidRPr="257BFE88" w:rsidR="78460471">
          <w:rPr>
            <w:rStyle w:val="Hyperlink"/>
            <w:rFonts w:ascii="Aptos" w:hAnsi="Aptos" w:eastAsia="Aptos" w:cs="Aptos"/>
            <w:noProof w:val="0"/>
            <w:color w:val="000000" w:themeColor="text1" w:themeTint="FF" w:themeShade="FF"/>
            <w:sz w:val="24"/>
            <w:szCs w:val="24"/>
            <w:lang w:val="en-GB"/>
          </w:rPr>
          <w:t>https://www.edelman.com/trust-barometer</w:t>
        </w:r>
      </w:hyperlink>
      <w:r w:rsidRPr="257BFE88" w:rsidR="78460471">
        <w:rPr>
          <w:rFonts w:ascii="Aptos" w:hAnsi="Aptos" w:eastAsia="Aptos" w:cs="Aptos"/>
          <w:noProof w:val="0"/>
          <w:color w:val="000000" w:themeColor="text1" w:themeTint="FF" w:themeShade="FF"/>
          <w:sz w:val="24"/>
          <w:szCs w:val="24"/>
          <w:lang w:val="en-GB"/>
        </w:rPr>
        <w:t xml:space="preserve"> (Accessed: 3 April 2026).</w:t>
      </w:r>
    </w:p>
    <w:p w:rsidR="78460471" w:rsidP="257BFE88" w:rsidRDefault="78460471" w14:paraId="54E32967" w14:textId="12C9F427">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78460471">
        <w:rPr>
          <w:rFonts w:ascii="Aptos" w:hAnsi="Aptos" w:eastAsia="Aptos" w:cs="Aptos"/>
          <w:noProof w:val="0"/>
          <w:color w:val="000000" w:themeColor="text1" w:themeTint="FF" w:themeShade="FF"/>
          <w:sz w:val="24"/>
          <w:szCs w:val="24"/>
          <w:lang w:val="en-GB"/>
        </w:rPr>
        <w:t>Escobar-Saldívar, L.J. 2025. 'The effects of ES</w:t>
      </w:r>
      <w:r w:rsidRPr="257BFE88" w:rsidR="78460471">
        <w:rPr>
          <w:rFonts w:ascii="Aptos" w:hAnsi="Aptos" w:eastAsia="Aptos" w:cs="Aptos"/>
          <w:noProof w:val="0"/>
          <w:color w:val="000000" w:themeColor="text1" w:themeTint="FF" w:themeShade="FF"/>
          <w:sz w:val="24"/>
          <w:szCs w:val="24"/>
          <w:lang w:val="en-GB"/>
        </w:rPr>
        <w:t>G</w:t>
      </w:r>
      <w:r w:rsidRPr="257BFE88" w:rsidR="78460471">
        <w:rPr>
          <w:rFonts w:ascii="Aptos" w:hAnsi="Aptos" w:eastAsia="Aptos" w:cs="Aptos"/>
          <w:noProof w:val="0"/>
          <w:color w:val="000000" w:themeColor="text1" w:themeTint="FF" w:themeShade="FF"/>
          <w:sz w:val="24"/>
          <w:szCs w:val="24"/>
          <w:lang w:val="en-GB"/>
        </w:rPr>
        <w:t xml:space="preserve"> scores and ES</w:t>
      </w:r>
      <w:r w:rsidRPr="257BFE88" w:rsidR="78460471">
        <w:rPr>
          <w:rFonts w:ascii="Aptos" w:hAnsi="Aptos" w:eastAsia="Aptos" w:cs="Aptos"/>
          <w:noProof w:val="0"/>
          <w:color w:val="000000" w:themeColor="text1" w:themeTint="FF" w:themeShade="FF"/>
          <w:sz w:val="24"/>
          <w:szCs w:val="24"/>
          <w:lang w:val="en-GB"/>
        </w:rPr>
        <w:t>G</w:t>
      </w:r>
      <w:r w:rsidRPr="257BFE88" w:rsidR="78460471">
        <w:rPr>
          <w:rFonts w:ascii="Aptos" w:hAnsi="Aptos" w:eastAsia="Aptos" w:cs="Aptos"/>
          <w:noProof w:val="0"/>
          <w:color w:val="000000" w:themeColor="text1" w:themeTint="FF" w:themeShade="FF"/>
          <w:sz w:val="24"/>
          <w:szCs w:val="24"/>
          <w:lang w:val="en-GB"/>
        </w:rPr>
        <w:t xml:space="preserve"> momentum on stock returns and volatility: Evidence from US markets', </w:t>
      </w:r>
      <w:r w:rsidRPr="257BFE88" w:rsidR="78460471">
        <w:rPr>
          <w:rFonts w:ascii="Aptos" w:hAnsi="Aptos" w:eastAsia="Aptos" w:cs="Aptos"/>
          <w:i w:val="1"/>
          <w:iCs w:val="1"/>
          <w:noProof w:val="0"/>
          <w:color w:val="000000" w:themeColor="text1" w:themeTint="FF" w:themeShade="FF"/>
          <w:sz w:val="24"/>
          <w:szCs w:val="24"/>
          <w:lang w:val="en-GB"/>
        </w:rPr>
        <w:t>Journal of Risk and Financial Mana</w:t>
      </w:r>
      <w:r w:rsidRPr="257BFE88" w:rsidR="78460471">
        <w:rPr>
          <w:rFonts w:ascii="Aptos" w:hAnsi="Aptos" w:eastAsia="Aptos" w:cs="Aptos"/>
          <w:i w:val="1"/>
          <w:iCs w:val="1"/>
          <w:noProof w:val="0"/>
          <w:color w:val="000000" w:themeColor="text1" w:themeTint="FF" w:themeShade="FF"/>
          <w:sz w:val="24"/>
          <w:szCs w:val="24"/>
          <w:lang w:val="en-GB"/>
        </w:rPr>
        <w:t>g</w:t>
      </w:r>
      <w:r w:rsidRPr="257BFE88" w:rsidR="78460471">
        <w:rPr>
          <w:rFonts w:ascii="Aptos" w:hAnsi="Aptos" w:eastAsia="Aptos" w:cs="Aptos"/>
          <w:i w:val="1"/>
          <w:iCs w:val="1"/>
          <w:noProof w:val="0"/>
          <w:color w:val="000000" w:themeColor="text1" w:themeTint="FF" w:themeShade="FF"/>
          <w:sz w:val="24"/>
          <w:szCs w:val="24"/>
          <w:lang w:val="en-GB"/>
        </w:rPr>
        <w:t>ement</w:t>
      </w:r>
      <w:r w:rsidRPr="257BFE88" w:rsidR="78460471">
        <w:rPr>
          <w:rFonts w:ascii="Aptos" w:hAnsi="Aptos" w:eastAsia="Aptos" w:cs="Aptos"/>
          <w:noProof w:val="0"/>
          <w:color w:val="000000" w:themeColor="text1" w:themeTint="FF" w:themeShade="FF"/>
          <w:sz w:val="24"/>
          <w:szCs w:val="24"/>
          <w:lang w:val="en-GB"/>
        </w:rPr>
        <w:t xml:space="preserve">, 18(7), 367. Available at: </w:t>
      </w:r>
      <w:hyperlink r:id="R76031a1641704546">
        <w:r w:rsidRPr="257BFE88" w:rsidR="78460471">
          <w:rPr>
            <w:rStyle w:val="Hyperlink"/>
            <w:rFonts w:ascii="Aptos" w:hAnsi="Aptos" w:eastAsia="Aptos" w:cs="Aptos"/>
            <w:noProof w:val="0"/>
            <w:color w:val="000000" w:themeColor="text1" w:themeTint="FF" w:themeShade="FF"/>
            <w:sz w:val="24"/>
            <w:szCs w:val="24"/>
            <w:lang w:val="en-GB"/>
          </w:rPr>
          <w:t>https://doi.or</w:t>
        </w:r>
        <w:r w:rsidRPr="257BFE88" w:rsidR="78460471">
          <w:rPr>
            <w:rStyle w:val="Hyperlink"/>
            <w:rFonts w:ascii="Aptos" w:hAnsi="Aptos" w:eastAsia="Aptos" w:cs="Aptos"/>
            <w:noProof w:val="0"/>
            <w:color w:val="000000" w:themeColor="text1" w:themeTint="FF" w:themeShade="FF"/>
            <w:sz w:val="24"/>
            <w:szCs w:val="24"/>
            <w:lang w:val="en-GB"/>
          </w:rPr>
          <w:t>g</w:t>
        </w:r>
        <w:r w:rsidRPr="257BFE88" w:rsidR="78460471">
          <w:rPr>
            <w:rStyle w:val="Hyperlink"/>
            <w:rFonts w:ascii="Aptos" w:hAnsi="Aptos" w:eastAsia="Aptos" w:cs="Aptos"/>
            <w:noProof w:val="0"/>
            <w:color w:val="000000" w:themeColor="text1" w:themeTint="FF" w:themeShade="FF"/>
            <w:sz w:val="24"/>
            <w:szCs w:val="24"/>
            <w:lang w:val="en-GB"/>
          </w:rPr>
          <w:t>/10.3390/jrfm18070367</w:t>
        </w:r>
      </w:hyperlink>
      <w:r w:rsidRPr="257BFE88" w:rsidR="78460471">
        <w:rPr>
          <w:rFonts w:ascii="Aptos" w:hAnsi="Aptos" w:eastAsia="Aptos" w:cs="Aptos"/>
          <w:noProof w:val="0"/>
          <w:color w:val="000000" w:themeColor="text1" w:themeTint="FF" w:themeShade="FF"/>
          <w:sz w:val="24"/>
          <w:szCs w:val="24"/>
          <w:lang w:val="en-GB"/>
        </w:rPr>
        <w:t xml:space="preserve"> (Accessed: 9 April 2026)</w:t>
      </w:r>
    </w:p>
    <w:p w:rsidR="78460471" w:rsidP="257BFE88" w:rsidRDefault="78460471" w14:paraId="5ABBEEA0" w14:textId="0DA818B5">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78460471">
        <w:rPr>
          <w:rFonts w:ascii="Aptos" w:hAnsi="Aptos" w:eastAsia="Aptos" w:cs="Aptos"/>
          <w:noProof w:val="0"/>
          <w:color w:val="000000" w:themeColor="text1" w:themeTint="FF" w:themeShade="FF"/>
          <w:sz w:val="24"/>
          <w:szCs w:val="24"/>
          <w:lang w:val="en-GB"/>
        </w:rPr>
        <w:t xml:space="preserve">European Commission. 2023. </w:t>
      </w:r>
      <w:r w:rsidRPr="257BFE88" w:rsidR="78460471">
        <w:rPr>
          <w:rFonts w:ascii="Aptos" w:hAnsi="Aptos" w:eastAsia="Aptos" w:cs="Aptos"/>
          <w:i w:val="1"/>
          <w:iCs w:val="1"/>
          <w:noProof w:val="0"/>
          <w:color w:val="000000" w:themeColor="text1" w:themeTint="FF" w:themeShade="FF"/>
          <w:sz w:val="24"/>
          <w:szCs w:val="24"/>
          <w:lang w:val="en-GB"/>
        </w:rPr>
        <w:t>Sustainable finance disclosure regulation (SFDR)</w:t>
      </w:r>
      <w:r w:rsidRPr="257BFE88" w:rsidR="78460471">
        <w:rPr>
          <w:rFonts w:ascii="Aptos" w:hAnsi="Aptos" w:eastAsia="Aptos" w:cs="Aptos"/>
          <w:noProof w:val="0"/>
          <w:color w:val="000000" w:themeColor="text1" w:themeTint="FF" w:themeShade="FF"/>
          <w:sz w:val="24"/>
          <w:szCs w:val="24"/>
          <w:lang w:val="en-GB"/>
        </w:rPr>
        <w:t xml:space="preserve">. Available at: </w:t>
      </w:r>
      <w:hyperlink r:id="R1fb2d3993f9242cf">
        <w:r w:rsidRPr="257BFE88" w:rsidR="78460471">
          <w:rPr>
            <w:rStyle w:val="Hyperlink"/>
            <w:rFonts w:ascii="Aptos" w:hAnsi="Aptos" w:eastAsia="Aptos" w:cs="Aptos"/>
            <w:noProof w:val="0"/>
            <w:color w:val="000000" w:themeColor="text1" w:themeTint="FF" w:themeShade="FF"/>
            <w:sz w:val="24"/>
            <w:szCs w:val="24"/>
            <w:lang w:val="en-GB"/>
          </w:rPr>
          <w:t>https://finance.ec.europa.eu/sustainable-finance/disclosures_en</w:t>
        </w:r>
      </w:hyperlink>
      <w:r w:rsidRPr="257BFE88" w:rsidR="78460471">
        <w:rPr>
          <w:rFonts w:ascii="Aptos" w:hAnsi="Aptos" w:eastAsia="Aptos" w:cs="Aptos"/>
          <w:noProof w:val="0"/>
          <w:color w:val="000000" w:themeColor="text1" w:themeTint="FF" w:themeShade="FF"/>
          <w:sz w:val="24"/>
          <w:szCs w:val="24"/>
          <w:lang w:val="en-GB"/>
        </w:rPr>
        <w:t xml:space="preserve"> (Accessed: 22 April 2026).</w:t>
      </w:r>
    </w:p>
    <w:p w:rsidR="78460471" w:rsidP="257BFE88" w:rsidRDefault="78460471" w14:paraId="04CC6FC5" w14:textId="31956EF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78460471">
        <w:rPr>
          <w:rFonts w:ascii="Aptos" w:hAnsi="Aptos" w:eastAsia="Aptos" w:cs="Aptos"/>
          <w:b w:val="0"/>
          <w:bCs w:val="0"/>
          <w:noProof w:val="0"/>
          <w:color w:val="000000" w:themeColor="text1" w:themeTint="FF" w:themeShade="FF"/>
          <w:sz w:val="24"/>
          <w:szCs w:val="24"/>
          <w:lang w:val="en-GB"/>
        </w:rPr>
        <w:t xml:space="preserve">European Commission. 2025. </w:t>
      </w:r>
      <w:r w:rsidRPr="257BFE88" w:rsidR="78460471">
        <w:rPr>
          <w:rFonts w:ascii="Aptos" w:hAnsi="Aptos" w:eastAsia="Aptos" w:cs="Aptos"/>
          <w:b w:val="0"/>
          <w:bCs w:val="0"/>
          <w:i w:val="1"/>
          <w:iCs w:val="1"/>
          <w:noProof w:val="0"/>
          <w:color w:val="000000" w:themeColor="text1" w:themeTint="FF" w:themeShade="FF"/>
          <w:sz w:val="24"/>
          <w:szCs w:val="24"/>
          <w:lang w:val="en-GB"/>
        </w:rPr>
        <w:t>Corporate sustainability due diligence</w:t>
      </w:r>
      <w:r w:rsidRPr="257BFE88" w:rsidR="78460471">
        <w:rPr>
          <w:rFonts w:ascii="Aptos" w:hAnsi="Aptos" w:eastAsia="Aptos" w:cs="Aptos"/>
          <w:b w:val="0"/>
          <w:bCs w:val="0"/>
          <w:noProof w:val="0"/>
          <w:color w:val="000000" w:themeColor="text1" w:themeTint="FF" w:themeShade="FF"/>
          <w:sz w:val="24"/>
          <w:szCs w:val="24"/>
          <w:lang w:val="en-GB"/>
        </w:rPr>
        <w:t xml:space="preserve">. Available at: </w:t>
      </w:r>
      <w:hyperlink r:id="R3ad9506972584dd2">
        <w:r w:rsidRPr="257BFE88" w:rsidR="78460471">
          <w:rPr>
            <w:rStyle w:val="Hyperlink"/>
            <w:rFonts w:ascii="Aptos" w:hAnsi="Aptos" w:eastAsia="Aptos" w:cs="Aptos"/>
            <w:b w:val="0"/>
            <w:bCs w:val="0"/>
            <w:noProof w:val="0"/>
            <w:color w:val="000000" w:themeColor="text1" w:themeTint="FF" w:themeShade="FF"/>
            <w:sz w:val="24"/>
            <w:szCs w:val="24"/>
            <w:lang w:val="en-GB"/>
          </w:rPr>
          <w:t>https://commission.europa.eu/topics/business-and-industry/doing-business-eu/sustainability-due-diligence-responsible-business/corporate-sustainability-due-diligence_en</w:t>
        </w:r>
      </w:hyperlink>
      <w:r w:rsidRPr="257BFE88" w:rsidR="78460471">
        <w:rPr>
          <w:rFonts w:ascii="Aptos" w:hAnsi="Aptos" w:eastAsia="Aptos" w:cs="Aptos"/>
          <w:b w:val="0"/>
          <w:bCs w:val="0"/>
          <w:noProof w:val="0"/>
          <w:color w:val="000000" w:themeColor="text1" w:themeTint="FF" w:themeShade="FF"/>
          <w:sz w:val="24"/>
          <w:szCs w:val="24"/>
          <w:lang w:val="en-GB"/>
        </w:rPr>
        <w:t xml:space="preserve"> (Accessed: 10 April 2026).</w:t>
      </w:r>
    </w:p>
    <w:p w:rsidR="78460471" w:rsidP="257BFE88" w:rsidRDefault="78460471" w14:paraId="6E3A9A67" w14:textId="0F6401E9">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78460471">
        <w:rPr>
          <w:rFonts w:ascii="Aptos" w:hAnsi="Aptos" w:eastAsia="Aptos" w:cs="Aptos"/>
          <w:noProof w:val="0"/>
          <w:color w:val="000000" w:themeColor="text1" w:themeTint="FF" w:themeShade="FF"/>
          <w:sz w:val="24"/>
          <w:szCs w:val="24"/>
          <w:lang w:val="en-GB"/>
        </w:rPr>
        <w:t xml:space="preserve">ExxonMobil. 2025. </w:t>
      </w:r>
      <w:r w:rsidRPr="257BFE88" w:rsidR="78460471">
        <w:rPr>
          <w:rFonts w:ascii="Aptos" w:hAnsi="Aptos" w:eastAsia="Aptos" w:cs="Aptos"/>
          <w:i w:val="1"/>
          <w:iCs w:val="1"/>
          <w:noProof w:val="0"/>
          <w:color w:val="000000" w:themeColor="text1" w:themeTint="FF" w:themeShade="FF"/>
          <w:sz w:val="24"/>
          <w:szCs w:val="24"/>
          <w:lang w:val="en-GB"/>
        </w:rPr>
        <w:t>Advancing climate solutions report 2025</w:t>
      </w:r>
      <w:r w:rsidRPr="257BFE88" w:rsidR="78460471">
        <w:rPr>
          <w:rFonts w:ascii="Aptos" w:hAnsi="Aptos" w:eastAsia="Aptos" w:cs="Aptos"/>
          <w:noProof w:val="0"/>
          <w:color w:val="000000" w:themeColor="text1" w:themeTint="FF" w:themeShade="FF"/>
          <w:sz w:val="24"/>
          <w:szCs w:val="24"/>
          <w:lang w:val="en-GB"/>
        </w:rPr>
        <w:t xml:space="preserve">. Available at: </w:t>
      </w:r>
      <w:hyperlink r:id="R566743d4888145c2">
        <w:r w:rsidRPr="257BFE88" w:rsidR="78460471">
          <w:rPr>
            <w:rStyle w:val="Hyperlink"/>
            <w:rFonts w:ascii="Aptos" w:hAnsi="Aptos" w:eastAsia="Aptos" w:cs="Aptos"/>
            <w:noProof w:val="0"/>
            <w:sz w:val="24"/>
            <w:szCs w:val="24"/>
            <w:lang w:val="en-GB"/>
          </w:rPr>
          <w:t>https://corporate.exxonmobil.com/sustainability</w:t>
        </w:r>
      </w:hyperlink>
      <w:r w:rsidRPr="257BFE88" w:rsidR="78460471">
        <w:rPr>
          <w:rFonts w:ascii="Aptos" w:hAnsi="Aptos" w:eastAsia="Aptos" w:cs="Aptos"/>
          <w:noProof w:val="0"/>
          <w:color w:val="000000" w:themeColor="text1" w:themeTint="FF" w:themeShade="FF"/>
          <w:sz w:val="24"/>
          <w:szCs w:val="24"/>
          <w:lang w:val="en-GB"/>
        </w:rPr>
        <w:t xml:space="preserve"> (Accessed: 22 April 2026).</w:t>
      </w:r>
    </w:p>
    <w:p w:rsidR="78460471" w:rsidP="257BFE88" w:rsidRDefault="78460471" w14:paraId="133EB3E2" w14:textId="0ACDD8FB">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78460471">
        <w:rPr>
          <w:rFonts w:ascii="Aptos" w:hAnsi="Aptos" w:eastAsia="Aptos" w:cs="Aptos"/>
          <w:noProof w:val="0"/>
          <w:color w:val="000000" w:themeColor="text1" w:themeTint="FF" w:themeShade="FF"/>
          <w:sz w:val="24"/>
          <w:szCs w:val="24"/>
          <w:lang w:val="en-GB"/>
        </w:rPr>
        <w:t xml:space="preserve">Exxon Mobil Corporation. 2026. </w:t>
      </w:r>
      <w:r w:rsidRPr="257BFE88" w:rsidR="78460471">
        <w:rPr>
          <w:rFonts w:ascii="Aptos" w:hAnsi="Aptos" w:eastAsia="Aptos" w:cs="Aptos"/>
          <w:i w:val="1"/>
          <w:iCs w:val="1"/>
          <w:noProof w:val="0"/>
          <w:color w:val="000000" w:themeColor="text1" w:themeTint="FF" w:themeShade="FF"/>
          <w:sz w:val="24"/>
          <w:szCs w:val="24"/>
          <w:lang w:val="en-GB"/>
        </w:rPr>
        <w:t>Form 10-</w:t>
      </w:r>
      <w:r w:rsidRPr="257BFE88" w:rsidR="78460471">
        <w:rPr>
          <w:rFonts w:ascii="Aptos" w:hAnsi="Aptos" w:eastAsia="Aptos" w:cs="Aptos"/>
          <w:i w:val="1"/>
          <w:iCs w:val="1"/>
          <w:noProof w:val="0"/>
          <w:color w:val="000000" w:themeColor="text1" w:themeTint="FF" w:themeShade="FF"/>
          <w:sz w:val="24"/>
          <w:szCs w:val="24"/>
          <w:lang w:val="en-GB"/>
        </w:rPr>
        <w:t>K</w:t>
      </w:r>
      <w:r w:rsidRPr="257BFE88" w:rsidR="78460471">
        <w:rPr>
          <w:rFonts w:ascii="Aptos" w:hAnsi="Aptos" w:eastAsia="Aptos" w:cs="Aptos"/>
          <w:i w:val="1"/>
          <w:iCs w:val="1"/>
          <w:noProof w:val="0"/>
          <w:color w:val="000000" w:themeColor="text1" w:themeTint="FF" w:themeShade="FF"/>
          <w:sz w:val="24"/>
          <w:szCs w:val="24"/>
          <w:lang w:val="en-GB"/>
        </w:rPr>
        <w:t xml:space="preserve"> for the fiscal year ended December 31, 2025</w:t>
      </w:r>
      <w:r w:rsidRPr="257BFE88" w:rsidR="78460471">
        <w:rPr>
          <w:rFonts w:ascii="Aptos" w:hAnsi="Aptos" w:eastAsia="Aptos" w:cs="Aptos"/>
          <w:noProof w:val="0"/>
          <w:color w:val="000000" w:themeColor="text1" w:themeTint="FF" w:themeShade="FF"/>
          <w:sz w:val="24"/>
          <w:szCs w:val="24"/>
          <w:lang w:val="en-GB"/>
        </w:rPr>
        <w:t xml:space="preserve">. United States Securities and Exchange Commission. Available at: </w:t>
      </w:r>
      <w:hyperlink r:id="R66abde5a366e404b">
        <w:r w:rsidRPr="257BFE88" w:rsidR="78460471">
          <w:rPr>
            <w:rStyle w:val="Hyperlink"/>
            <w:rFonts w:ascii="Aptos" w:hAnsi="Aptos" w:eastAsia="Aptos" w:cs="Aptos"/>
            <w:noProof w:val="0"/>
            <w:color w:val="000000" w:themeColor="text1" w:themeTint="FF" w:themeShade="FF"/>
            <w:sz w:val="24"/>
            <w:szCs w:val="24"/>
            <w:lang w:val="en-GB"/>
          </w:rPr>
          <w:t>https://investor.exxonmobil.com/sec-filings</w:t>
        </w:r>
      </w:hyperlink>
      <w:r w:rsidRPr="257BFE88" w:rsidR="78460471">
        <w:rPr>
          <w:rFonts w:ascii="Aptos" w:hAnsi="Aptos" w:eastAsia="Aptos" w:cs="Aptos"/>
          <w:noProof w:val="0"/>
          <w:color w:val="000000" w:themeColor="text1" w:themeTint="FF" w:themeShade="FF"/>
          <w:sz w:val="24"/>
          <w:szCs w:val="24"/>
          <w:lang w:val="en-GB"/>
        </w:rPr>
        <w:t xml:space="preserve"> (Accessed: 30 March 2026).</w:t>
      </w:r>
    </w:p>
    <w:p w:rsidR="2C051070" w:rsidP="257BFE88" w:rsidRDefault="2C051070" w14:paraId="72B96AC9" w14:textId="0534377D">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2C051070">
        <w:rPr>
          <w:rFonts w:ascii="Aptos" w:hAnsi="Aptos" w:eastAsia="Aptos" w:cs="Aptos"/>
          <w:noProof w:val="0"/>
          <w:color w:val="000000" w:themeColor="text1" w:themeTint="FF" w:themeShade="FF"/>
          <w:sz w:val="24"/>
          <w:szCs w:val="24"/>
          <w:lang w:val="en-GB"/>
        </w:rPr>
        <w:t>F</w:t>
      </w:r>
      <w:r w:rsidRPr="257BFE88" w:rsidR="2C051070">
        <w:rPr>
          <w:rFonts w:ascii="Aptos" w:hAnsi="Aptos" w:eastAsia="Aptos" w:cs="Aptos"/>
          <w:noProof w:val="0"/>
          <w:color w:val="000000" w:themeColor="text1" w:themeTint="FF" w:themeShade="FF"/>
          <w:sz w:val="24"/>
          <w:szCs w:val="24"/>
          <w:lang w:val="en-GB"/>
        </w:rPr>
        <w:t xml:space="preserve">CA. 2024. </w:t>
      </w:r>
      <w:r w:rsidRPr="257BFE88" w:rsidR="2C051070">
        <w:rPr>
          <w:rFonts w:ascii="Aptos" w:hAnsi="Aptos" w:eastAsia="Aptos" w:cs="Aptos"/>
          <w:i w:val="1"/>
          <w:iCs w:val="1"/>
          <w:noProof w:val="0"/>
          <w:color w:val="000000" w:themeColor="text1" w:themeTint="FF" w:themeShade="FF"/>
          <w:sz w:val="24"/>
          <w:szCs w:val="24"/>
          <w:lang w:val="en-GB"/>
        </w:rPr>
        <w:t>Sustainability disclosure requirements (SDR)</w:t>
      </w:r>
      <w:r w:rsidRPr="257BFE88" w:rsidR="2C051070">
        <w:rPr>
          <w:rFonts w:ascii="Aptos" w:hAnsi="Aptos" w:eastAsia="Aptos" w:cs="Aptos"/>
          <w:noProof w:val="0"/>
          <w:color w:val="000000" w:themeColor="text1" w:themeTint="FF" w:themeShade="FF"/>
          <w:sz w:val="24"/>
          <w:szCs w:val="24"/>
          <w:lang w:val="en-GB"/>
        </w:rPr>
        <w:t xml:space="preserve">. </w:t>
      </w:r>
      <w:r w:rsidRPr="257BFE88" w:rsidR="2C051070">
        <w:rPr>
          <w:rFonts w:ascii="Aptos" w:hAnsi="Aptos" w:eastAsia="Aptos" w:cs="Aptos"/>
          <w:noProof w:val="0"/>
          <w:color w:val="000000" w:themeColor="text1" w:themeTint="FF" w:themeShade="FF"/>
          <w:sz w:val="24"/>
          <w:szCs w:val="24"/>
          <w:lang w:val="en-GB"/>
        </w:rPr>
        <w:t>F</w:t>
      </w:r>
      <w:r w:rsidRPr="257BFE88" w:rsidR="2C051070">
        <w:rPr>
          <w:rFonts w:ascii="Aptos" w:hAnsi="Aptos" w:eastAsia="Aptos" w:cs="Aptos"/>
          <w:noProof w:val="0"/>
          <w:color w:val="000000" w:themeColor="text1" w:themeTint="FF" w:themeShade="FF"/>
          <w:sz w:val="24"/>
          <w:szCs w:val="24"/>
          <w:lang w:val="en-GB"/>
        </w:rPr>
        <w:t xml:space="preserve">inancial Conduct Authority. Available at: </w:t>
      </w:r>
      <w:hyperlink r:id="R31f8825aba1e48d4">
        <w:r w:rsidRPr="257BFE88" w:rsidR="2C051070">
          <w:rPr>
            <w:rStyle w:val="Hyperlink"/>
            <w:rFonts w:ascii="Aptos" w:hAnsi="Aptos" w:eastAsia="Aptos" w:cs="Aptos"/>
            <w:noProof w:val="0"/>
            <w:sz w:val="24"/>
            <w:szCs w:val="24"/>
            <w:lang w:val="en-GB"/>
          </w:rPr>
          <w:t>https://www.</w:t>
        </w:r>
        <w:r w:rsidRPr="257BFE88" w:rsidR="2C051070">
          <w:rPr>
            <w:rStyle w:val="Hyperlink"/>
            <w:rFonts w:ascii="Aptos" w:hAnsi="Aptos" w:eastAsia="Aptos" w:cs="Aptos"/>
            <w:noProof w:val="0"/>
            <w:sz w:val="24"/>
            <w:szCs w:val="24"/>
            <w:lang w:val="en-GB"/>
          </w:rPr>
          <w:t>f</w:t>
        </w:r>
        <w:r w:rsidRPr="257BFE88" w:rsidR="2C051070">
          <w:rPr>
            <w:rStyle w:val="Hyperlink"/>
            <w:rFonts w:ascii="Aptos" w:hAnsi="Aptos" w:eastAsia="Aptos" w:cs="Aptos"/>
            <w:noProof w:val="0"/>
            <w:sz w:val="24"/>
            <w:szCs w:val="24"/>
            <w:lang w:val="en-GB"/>
          </w:rPr>
          <w:t>ca.org.uk/markets/sustainable-</w:t>
        </w:r>
        <w:r w:rsidRPr="257BFE88" w:rsidR="2C051070">
          <w:rPr>
            <w:rStyle w:val="Hyperlink"/>
            <w:rFonts w:ascii="Aptos" w:hAnsi="Aptos" w:eastAsia="Aptos" w:cs="Aptos"/>
            <w:noProof w:val="0"/>
            <w:sz w:val="24"/>
            <w:szCs w:val="24"/>
            <w:lang w:val="en-GB"/>
          </w:rPr>
          <w:t>f</w:t>
        </w:r>
        <w:r w:rsidRPr="257BFE88" w:rsidR="2C051070">
          <w:rPr>
            <w:rStyle w:val="Hyperlink"/>
            <w:rFonts w:ascii="Aptos" w:hAnsi="Aptos" w:eastAsia="Aptos" w:cs="Aptos"/>
            <w:noProof w:val="0"/>
            <w:sz w:val="24"/>
            <w:szCs w:val="24"/>
            <w:lang w:val="en-GB"/>
          </w:rPr>
          <w:t>inance</w:t>
        </w:r>
      </w:hyperlink>
      <w:r w:rsidRPr="257BFE88" w:rsidR="2C051070">
        <w:rPr>
          <w:rFonts w:ascii="Aptos" w:hAnsi="Aptos" w:eastAsia="Aptos" w:cs="Aptos"/>
          <w:noProof w:val="0"/>
          <w:color w:val="000000" w:themeColor="text1" w:themeTint="FF" w:themeShade="FF"/>
          <w:sz w:val="24"/>
          <w:szCs w:val="24"/>
          <w:lang w:val="en-GB"/>
        </w:rPr>
        <w:t xml:space="preserve"> (Accessed: 2 April 2026).</w:t>
      </w:r>
    </w:p>
    <w:p w:rsidR="257BFE88" w:rsidP="257BFE88" w:rsidRDefault="257BFE88" w14:paraId="4A26D447" w14:textId="28669C4B">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p>
    <w:p w:rsidR="2C051070" w:rsidP="257BFE88" w:rsidRDefault="2C051070" w14:paraId="565EF5DB">
      <w:pPr>
        <w:rPr>
          <w:lang w:eastAsia="en-GB"/>
        </w:rPr>
      </w:pPr>
      <w:r w:rsidRPr="257BFE88" w:rsidR="2C051070">
        <w:rPr>
          <w:lang w:eastAsia="en-GB"/>
        </w:rPr>
        <w:t xml:space="preserve">Ferro, A., </w:t>
      </w:r>
      <w:r w:rsidRPr="257BFE88" w:rsidR="2C051070">
        <w:rPr>
          <w:lang w:eastAsia="en-GB"/>
        </w:rPr>
        <w:t>Marazzina</w:t>
      </w:r>
      <w:r w:rsidRPr="257BFE88" w:rsidR="2C051070">
        <w:rPr>
          <w:lang w:eastAsia="en-GB"/>
        </w:rPr>
        <w:t>, D. and Stocco, D. 2025. 'Uncovering ESG ratings: the (</w:t>
      </w:r>
      <w:r w:rsidRPr="257BFE88" w:rsidR="2C051070">
        <w:rPr>
          <w:lang w:eastAsia="en-GB"/>
        </w:rPr>
        <w:t>im</w:t>
      </w:r>
      <w:r w:rsidRPr="257BFE88" w:rsidR="2C051070">
        <w:rPr>
          <w:lang w:eastAsia="en-GB"/>
        </w:rPr>
        <w:t xml:space="preserve">)balance of aspirational and performance features', </w:t>
      </w:r>
      <w:r w:rsidRPr="257BFE88" w:rsidR="2C051070">
        <w:rPr>
          <w:i w:val="1"/>
          <w:iCs w:val="1"/>
          <w:lang w:eastAsia="en-GB"/>
        </w:rPr>
        <w:t>Corporate Social Responsibility and Environmental Management</w:t>
      </w:r>
      <w:r w:rsidRPr="257BFE88" w:rsidR="2C051070">
        <w:rPr>
          <w:lang w:eastAsia="en-GB"/>
        </w:rPr>
        <w:t xml:space="preserve">, 32(5), pp. 5895–5917. </w:t>
      </w:r>
      <w:r w:rsidRPr="257BFE88" w:rsidR="2C051070">
        <w:rPr>
          <w:lang w:eastAsia="en-GB"/>
        </w:rPr>
        <w:t>doi</w:t>
      </w:r>
      <w:r w:rsidRPr="257BFE88" w:rsidR="2C051070">
        <w:rPr>
          <w:lang w:eastAsia="en-GB"/>
        </w:rPr>
        <w:t>: 10.1002/csr.70007.</w:t>
      </w:r>
    </w:p>
    <w:p w:rsidR="2C051070" w:rsidP="257BFE88" w:rsidRDefault="2C051070" w14:paraId="39449407">
      <w:pPr>
        <w:rPr>
          <w:lang w:eastAsia="en-GB"/>
        </w:rPr>
      </w:pPr>
      <w:r w:rsidRPr="257BFE88" w:rsidR="2C051070">
        <w:rPr>
          <w:lang w:eastAsia="en-GB"/>
        </w:rPr>
        <w:t xml:space="preserve">Fink, L. 2020. </w:t>
      </w:r>
      <w:r w:rsidRPr="257BFE88" w:rsidR="2C051070">
        <w:rPr>
          <w:i w:val="1"/>
          <w:iCs w:val="1"/>
          <w:lang w:eastAsia="en-GB"/>
        </w:rPr>
        <w:t>A fundamental reshaping of finance</w:t>
      </w:r>
      <w:r w:rsidRPr="257BFE88" w:rsidR="2C051070">
        <w:rPr>
          <w:lang w:eastAsia="en-GB"/>
        </w:rPr>
        <w:t>. Letter to CEOs. BlackRock, 14 January. Available at:</w:t>
      </w:r>
      <w:hyperlink r:id="R338e6340383e446b">
        <w:r w:rsidRPr="257BFE88" w:rsidR="2C051070">
          <w:rPr>
            <w:color w:val="467886"/>
            <w:u w:val="single"/>
            <w:lang w:eastAsia="en-GB"/>
          </w:rPr>
          <w:t xml:space="preserve"> https://www.blackrock.com/corporate/investor-relations/2020-larry-fink-ceo-letter</w:t>
        </w:r>
      </w:hyperlink>
      <w:r w:rsidRPr="257BFE88" w:rsidR="2C051070">
        <w:rPr>
          <w:lang w:eastAsia="en-GB"/>
        </w:rPr>
        <w:t xml:space="preserve"> (Accessed: 3 April 2026).</w:t>
      </w:r>
    </w:p>
    <w:p w:rsidR="738DB727" w:rsidP="257BFE88" w:rsidRDefault="738DB727" w14:paraId="67F6758F" w14:textId="7452C33B">
      <w:pPr>
        <w:spacing w:before="240" w:beforeAutospacing="off" w:after="240" w:afterAutospacing="off"/>
      </w:pPr>
      <w:r w:rsidRPr="257BFE88" w:rsidR="738DB727">
        <w:rPr>
          <w:rFonts w:ascii="Aptos" w:hAnsi="Aptos" w:eastAsia="Aptos" w:cs="Aptos"/>
          <w:noProof w:val="0"/>
          <w:color w:val="000000" w:themeColor="text1" w:themeTint="FF" w:themeShade="FF"/>
          <w:sz w:val="24"/>
          <w:szCs w:val="24"/>
          <w:lang w:val="en-GB"/>
        </w:rPr>
        <w:t xml:space="preserve">Fink, L. 2021. </w:t>
      </w:r>
      <w:r w:rsidRPr="257BFE88" w:rsidR="738DB727">
        <w:rPr>
          <w:rFonts w:ascii="Aptos" w:hAnsi="Aptos" w:eastAsia="Aptos" w:cs="Aptos"/>
          <w:i w:val="1"/>
          <w:iCs w:val="1"/>
          <w:noProof w:val="0"/>
          <w:color w:val="000000" w:themeColor="text1" w:themeTint="FF" w:themeShade="FF"/>
          <w:sz w:val="24"/>
          <w:szCs w:val="24"/>
          <w:lang w:val="en-GB"/>
        </w:rPr>
        <w:t>Net zero: A fiduciary approach</w:t>
      </w:r>
      <w:r w:rsidRPr="257BFE88" w:rsidR="738DB727">
        <w:rPr>
          <w:rFonts w:ascii="Aptos" w:hAnsi="Aptos" w:eastAsia="Aptos" w:cs="Aptos"/>
          <w:noProof w:val="0"/>
          <w:color w:val="000000" w:themeColor="text1" w:themeTint="FF" w:themeShade="FF"/>
          <w:sz w:val="24"/>
          <w:szCs w:val="24"/>
          <w:lang w:val="en-GB"/>
        </w:rPr>
        <w:t xml:space="preserve">. Letter to CEOs. BlackRock, 26 January. Available at: </w:t>
      </w:r>
      <w:hyperlink r:id="Rdafb02d7230e49ab">
        <w:r w:rsidRPr="257BFE88" w:rsidR="738DB727">
          <w:rPr>
            <w:rStyle w:val="Hyperlink"/>
            <w:rFonts w:ascii="Aptos" w:hAnsi="Aptos" w:eastAsia="Aptos" w:cs="Aptos"/>
            <w:noProof w:val="0"/>
            <w:color w:val="000000" w:themeColor="text1" w:themeTint="FF" w:themeShade="FF"/>
            <w:sz w:val="24"/>
            <w:szCs w:val="24"/>
            <w:lang w:val="en-GB"/>
          </w:rPr>
          <w:t>https://www.blackrock.com/corporate/investor-relations/larry-fink-ceo-letter</w:t>
        </w:r>
      </w:hyperlink>
      <w:r w:rsidRPr="257BFE88" w:rsidR="738DB727">
        <w:rPr>
          <w:rFonts w:ascii="Aptos" w:hAnsi="Aptos" w:eastAsia="Aptos" w:cs="Aptos"/>
          <w:noProof w:val="0"/>
          <w:color w:val="000000" w:themeColor="text1" w:themeTint="FF" w:themeShade="FF"/>
          <w:sz w:val="24"/>
          <w:szCs w:val="24"/>
          <w:lang w:val="en-GB"/>
        </w:rPr>
        <w:t xml:space="preserve"> (Accessed: 22 April 2026).</w:t>
      </w:r>
    </w:p>
    <w:p w:rsidR="738DB727" w:rsidP="257BFE88" w:rsidRDefault="738DB727" w14:paraId="14F37402" w14:textId="75FAF37F">
      <w:pPr>
        <w:spacing w:before="240" w:beforeAutospacing="off" w:after="240" w:afterAutospacing="off"/>
      </w:pPr>
      <w:r w:rsidRPr="257BFE88" w:rsidR="738DB727">
        <w:rPr>
          <w:rFonts w:ascii="Aptos" w:hAnsi="Aptos" w:eastAsia="Aptos" w:cs="Aptos"/>
          <w:noProof w:val="0"/>
          <w:color w:val="000000" w:themeColor="text1" w:themeTint="FF" w:themeShade="FF"/>
          <w:sz w:val="24"/>
          <w:szCs w:val="24"/>
          <w:lang w:val="en-GB"/>
        </w:rPr>
        <w:t xml:space="preserve">Fink, L. 2022. </w:t>
      </w:r>
      <w:r w:rsidRPr="257BFE88" w:rsidR="738DB727">
        <w:rPr>
          <w:rFonts w:ascii="Aptos" w:hAnsi="Aptos" w:eastAsia="Aptos" w:cs="Aptos"/>
          <w:i w:val="1"/>
          <w:iCs w:val="1"/>
          <w:noProof w:val="0"/>
          <w:color w:val="000000" w:themeColor="text1" w:themeTint="FF" w:themeShade="FF"/>
          <w:sz w:val="24"/>
          <w:szCs w:val="24"/>
          <w:lang w:val="en-GB"/>
        </w:rPr>
        <w:t>The power of capitalism</w:t>
      </w:r>
      <w:r w:rsidRPr="257BFE88" w:rsidR="738DB727">
        <w:rPr>
          <w:rFonts w:ascii="Aptos" w:hAnsi="Aptos" w:eastAsia="Aptos" w:cs="Aptos"/>
          <w:noProof w:val="0"/>
          <w:color w:val="000000" w:themeColor="text1" w:themeTint="FF" w:themeShade="FF"/>
          <w:sz w:val="24"/>
          <w:szCs w:val="24"/>
          <w:lang w:val="en-GB"/>
        </w:rPr>
        <w:t xml:space="preserve">. Letter to CEOs. BlackRock, 17 January. Available at: </w:t>
      </w:r>
      <w:hyperlink r:id="Rfc16d3adb9ff4586">
        <w:r w:rsidRPr="257BFE88" w:rsidR="738DB727">
          <w:rPr>
            <w:rStyle w:val="Hyperlink"/>
            <w:rFonts w:ascii="Aptos" w:hAnsi="Aptos" w:eastAsia="Aptos" w:cs="Aptos"/>
            <w:noProof w:val="0"/>
            <w:color w:val="000000" w:themeColor="text1" w:themeTint="FF" w:themeShade="FF"/>
            <w:sz w:val="24"/>
            <w:szCs w:val="24"/>
            <w:lang w:val="en-GB"/>
          </w:rPr>
          <w:t>https://www.blackrock.com/corporate/investor-relations/larry-fink-ceo-letter</w:t>
        </w:r>
      </w:hyperlink>
      <w:r w:rsidRPr="257BFE88" w:rsidR="738DB727">
        <w:rPr>
          <w:rFonts w:ascii="Aptos" w:hAnsi="Aptos" w:eastAsia="Aptos" w:cs="Aptos"/>
          <w:noProof w:val="0"/>
          <w:color w:val="000000" w:themeColor="text1" w:themeTint="FF" w:themeShade="FF"/>
          <w:sz w:val="24"/>
          <w:szCs w:val="24"/>
          <w:lang w:val="en-GB"/>
        </w:rPr>
        <w:t xml:space="preserve"> (Accessed: 22 April 2026).</w:t>
      </w:r>
    </w:p>
    <w:p w:rsidR="2C051070" w:rsidP="257BFE88" w:rsidRDefault="2C051070" w14:paraId="328769B5" w14:textId="3EAA8FB4">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2C051070">
        <w:rPr>
          <w:rFonts w:ascii="Aptos" w:hAnsi="Aptos" w:eastAsia="Aptos" w:cs="Aptos"/>
          <w:noProof w:val="0"/>
          <w:color w:val="000000" w:themeColor="text1" w:themeTint="FF" w:themeShade="FF"/>
          <w:sz w:val="24"/>
          <w:szCs w:val="24"/>
          <w:lang w:val="en-GB"/>
        </w:rPr>
        <w:t>FinanceCharts</w:t>
      </w:r>
      <w:r w:rsidRPr="257BFE88" w:rsidR="2C051070">
        <w:rPr>
          <w:rFonts w:ascii="Aptos" w:hAnsi="Aptos" w:eastAsia="Aptos" w:cs="Aptos"/>
          <w:noProof w:val="0"/>
          <w:color w:val="000000" w:themeColor="text1" w:themeTint="FF" w:themeShade="FF"/>
          <w:sz w:val="24"/>
          <w:szCs w:val="24"/>
          <w:lang w:val="en-GB"/>
        </w:rPr>
        <w:t xml:space="preserve">. 2026. Tesla (TSLA) performance history &amp; total returns and Exxon Mobil (XOM) performance history &amp; total returns. Available at: </w:t>
      </w:r>
      <w:hyperlink r:id="R01065f40e8fe4163">
        <w:r w:rsidRPr="257BFE88" w:rsidR="2C051070">
          <w:rPr>
            <w:rStyle w:val="Hyperlink"/>
            <w:rFonts w:ascii="Aptos" w:hAnsi="Aptos" w:eastAsia="Aptos" w:cs="Aptos"/>
            <w:noProof w:val="0"/>
            <w:sz w:val="24"/>
            <w:szCs w:val="24"/>
            <w:lang w:val="en-GB"/>
          </w:rPr>
          <w:t>https://www.financecharts.com</w:t>
        </w:r>
      </w:hyperlink>
      <w:r w:rsidRPr="257BFE88" w:rsidR="2C051070">
        <w:rPr>
          <w:rFonts w:ascii="Aptos" w:hAnsi="Aptos" w:eastAsia="Aptos" w:cs="Aptos"/>
          <w:noProof w:val="0"/>
          <w:color w:val="000000" w:themeColor="text1" w:themeTint="FF" w:themeShade="FF"/>
          <w:sz w:val="24"/>
          <w:szCs w:val="24"/>
          <w:lang w:val="en-GB"/>
        </w:rPr>
        <w:t xml:space="preserve"> (Accessed: 30 March 2026).</w:t>
      </w:r>
    </w:p>
    <w:p w:rsidR="470D9994" w:rsidP="257BFE88" w:rsidRDefault="470D9994" w14:paraId="3982C0E3" w14:textId="6995F6EF">
      <w:pPr>
        <w:pStyle w:val="Normal"/>
        <w:rPr>
          <w:rFonts w:ascii="Aptos" w:hAnsi="Aptos" w:eastAsia="Aptos" w:cs="Aptos"/>
          <w:noProof w:val="0"/>
          <w:color w:val="000000" w:themeColor="text1" w:themeTint="FF" w:themeShade="FF"/>
          <w:sz w:val="24"/>
          <w:szCs w:val="24"/>
          <w:lang w:val="en-GB"/>
        </w:rPr>
      </w:pPr>
      <w:r w:rsidRPr="257BFE88" w:rsidR="470D9994">
        <w:rPr>
          <w:rFonts w:ascii="Aptos" w:hAnsi="Aptos" w:eastAsia="Aptos" w:cs="Aptos"/>
          <w:noProof w:val="0"/>
          <w:color w:val="000000" w:themeColor="text1" w:themeTint="FF" w:themeShade="FF"/>
          <w:sz w:val="24"/>
          <w:szCs w:val="24"/>
          <w:lang w:val="en-GB"/>
        </w:rPr>
        <w:t xml:space="preserve">Flick, U. 2014. </w:t>
      </w:r>
      <w:r w:rsidRPr="257BFE88" w:rsidR="470D9994">
        <w:rPr>
          <w:rFonts w:ascii="Aptos" w:hAnsi="Aptos" w:eastAsia="Aptos" w:cs="Aptos"/>
          <w:i w:val="1"/>
          <w:iCs w:val="1"/>
          <w:noProof w:val="0"/>
          <w:color w:val="000000" w:themeColor="text1" w:themeTint="FF" w:themeShade="FF"/>
          <w:sz w:val="24"/>
          <w:szCs w:val="24"/>
          <w:lang w:val="en-GB"/>
        </w:rPr>
        <w:t>An introduction to qualitative research</w:t>
      </w:r>
      <w:r w:rsidRPr="257BFE88" w:rsidR="470D9994">
        <w:rPr>
          <w:rFonts w:ascii="Aptos" w:hAnsi="Aptos" w:eastAsia="Aptos" w:cs="Aptos"/>
          <w:noProof w:val="0"/>
          <w:color w:val="000000" w:themeColor="text1" w:themeTint="FF" w:themeShade="FF"/>
          <w:sz w:val="24"/>
          <w:szCs w:val="24"/>
          <w:lang w:val="en-GB"/>
        </w:rPr>
        <w:t xml:space="preserve">. 5th </w:t>
      </w:r>
      <w:r w:rsidRPr="257BFE88" w:rsidR="470D9994">
        <w:rPr>
          <w:rFonts w:ascii="Aptos" w:hAnsi="Aptos" w:eastAsia="Aptos" w:cs="Aptos"/>
          <w:noProof w:val="0"/>
          <w:color w:val="000000" w:themeColor="text1" w:themeTint="FF" w:themeShade="FF"/>
          <w:sz w:val="24"/>
          <w:szCs w:val="24"/>
          <w:lang w:val="en-GB"/>
        </w:rPr>
        <w:t>edn</w:t>
      </w:r>
      <w:r w:rsidRPr="257BFE88" w:rsidR="470D9994">
        <w:rPr>
          <w:rFonts w:ascii="Aptos" w:hAnsi="Aptos" w:eastAsia="Aptos" w:cs="Aptos"/>
          <w:noProof w:val="0"/>
          <w:color w:val="000000" w:themeColor="text1" w:themeTint="FF" w:themeShade="FF"/>
          <w:sz w:val="24"/>
          <w:szCs w:val="24"/>
          <w:lang w:val="en-GB"/>
        </w:rPr>
        <w:t>. London: SAGE Publications Ltd.</w:t>
      </w:r>
    </w:p>
    <w:p w:rsidR="257BFE88" w:rsidP="257BFE88" w:rsidRDefault="257BFE88" w14:paraId="21C6A0A6" w14:textId="7E489AEF">
      <w:pPr>
        <w:spacing w:before="240" w:beforeAutospacing="off" w:after="240" w:afterAutospacing="off"/>
        <w:rPr>
          <w:rFonts w:ascii="Aptos" w:hAnsi="Aptos" w:eastAsia="Aptos" w:cs="Aptos"/>
          <w:noProof w:val="0"/>
          <w:color w:val="000000" w:themeColor="text1" w:themeTint="FF" w:themeShade="FF"/>
          <w:sz w:val="24"/>
          <w:szCs w:val="24"/>
          <w:lang w:val="en-GB"/>
        </w:rPr>
      </w:pPr>
    </w:p>
    <w:p w:rsidR="2C051070" w:rsidP="257BFE88" w:rsidRDefault="2C051070" w14:paraId="7C69272D" w14:textId="480ABCA4">
      <w:pPr>
        <w:rPr>
          <w:lang w:eastAsia="en-GB"/>
        </w:rPr>
      </w:pPr>
      <w:r w:rsidRPr="257BFE88" w:rsidR="2C051070">
        <w:rPr>
          <w:lang w:eastAsia="en-GB"/>
        </w:rPr>
        <w:t>Foust, D. and St John, A. 2024. 'Public relations, activism</w:t>
      </w:r>
      <w:r w:rsidRPr="257BFE88" w:rsidR="2C051070">
        <w:rPr>
          <w:lang w:eastAsia="en-GB"/>
        </w:rPr>
        <w:t xml:space="preserve"> and</w:t>
      </w:r>
      <w:r w:rsidRPr="257BFE88" w:rsidR="2C051070">
        <w:rPr>
          <w:lang w:eastAsia="en-GB"/>
        </w:rPr>
        <w:t xml:space="preserve"> the culture of assertion: the case of BlackRock’s Larry Fink and the letter to the CEOs', </w:t>
      </w:r>
      <w:r w:rsidRPr="257BFE88" w:rsidR="2C051070">
        <w:rPr>
          <w:i w:val="1"/>
          <w:iCs w:val="1"/>
          <w:lang w:eastAsia="en-GB"/>
        </w:rPr>
        <w:t>Public Relations Inquiry</w:t>
      </w:r>
      <w:r w:rsidRPr="257BFE88" w:rsidR="2C051070">
        <w:rPr>
          <w:lang w:eastAsia="en-GB"/>
        </w:rPr>
        <w:t xml:space="preserve">, 13(2), pp. 189–209. </w:t>
      </w:r>
      <w:r w:rsidRPr="257BFE88" w:rsidR="2C051070">
        <w:rPr>
          <w:lang w:eastAsia="en-GB"/>
        </w:rPr>
        <w:t>doi</w:t>
      </w:r>
      <w:r w:rsidRPr="257BFE88" w:rsidR="2C051070">
        <w:rPr>
          <w:lang w:eastAsia="en-GB"/>
        </w:rPr>
        <w:t>: 10.1177/2046147X231224830.</w:t>
      </w:r>
    </w:p>
    <w:p w:rsidR="2C051070" w:rsidP="257BFE88" w:rsidRDefault="2C051070" w14:paraId="66A4B24A" w14:textId="79B66ADA">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2C051070">
        <w:rPr>
          <w:rFonts w:ascii="Aptos" w:hAnsi="Aptos" w:eastAsia="Aptos" w:cs="Aptos"/>
          <w:b w:val="0"/>
          <w:bCs w:val="0"/>
          <w:noProof w:val="0"/>
          <w:color w:val="000000" w:themeColor="text1" w:themeTint="FF" w:themeShade="FF"/>
          <w:sz w:val="24"/>
          <w:szCs w:val="24"/>
          <w:lang w:val="en-GB"/>
        </w:rPr>
        <w:t xml:space="preserve">Friede, G., Busch, T. and Bassen, A. 2015. 'ESG and financial performance: Aggregated evidence from more than 2000 empirical studies', </w:t>
      </w:r>
      <w:r w:rsidRPr="257BFE88" w:rsidR="2C051070">
        <w:rPr>
          <w:rFonts w:ascii="Aptos" w:hAnsi="Aptos" w:eastAsia="Aptos" w:cs="Aptos"/>
          <w:b w:val="0"/>
          <w:bCs w:val="0"/>
          <w:i w:val="1"/>
          <w:iCs w:val="1"/>
          <w:noProof w:val="0"/>
          <w:color w:val="000000" w:themeColor="text1" w:themeTint="FF" w:themeShade="FF"/>
          <w:sz w:val="24"/>
          <w:szCs w:val="24"/>
          <w:lang w:val="en-GB"/>
        </w:rPr>
        <w:t>Journal of Sustainable Finance &amp; Investment</w:t>
      </w:r>
      <w:r w:rsidRPr="257BFE88" w:rsidR="2C051070">
        <w:rPr>
          <w:rFonts w:ascii="Aptos" w:hAnsi="Aptos" w:eastAsia="Aptos" w:cs="Aptos"/>
          <w:b w:val="0"/>
          <w:bCs w:val="0"/>
          <w:noProof w:val="0"/>
          <w:color w:val="000000" w:themeColor="text1" w:themeTint="FF" w:themeShade="FF"/>
          <w:sz w:val="24"/>
          <w:szCs w:val="24"/>
          <w:lang w:val="en-GB"/>
        </w:rPr>
        <w:t xml:space="preserve">, 5(4), pp. 210–233. Available at: </w:t>
      </w:r>
      <w:hyperlink r:id="R0e6a772307fe40ad">
        <w:r w:rsidRPr="257BFE88" w:rsidR="2C051070">
          <w:rPr>
            <w:rStyle w:val="Hyperlink"/>
            <w:rFonts w:ascii="Aptos" w:hAnsi="Aptos" w:eastAsia="Aptos" w:cs="Aptos"/>
            <w:b w:val="0"/>
            <w:bCs w:val="0"/>
            <w:noProof w:val="0"/>
            <w:color w:val="000000" w:themeColor="text1" w:themeTint="FF" w:themeShade="FF"/>
            <w:sz w:val="24"/>
            <w:szCs w:val="24"/>
            <w:lang w:val="en-GB"/>
          </w:rPr>
          <w:t>https://doi.org/10.1080/20430795.2015.1118917</w:t>
        </w:r>
      </w:hyperlink>
      <w:r w:rsidRPr="257BFE88" w:rsidR="2C051070">
        <w:rPr>
          <w:rFonts w:ascii="Aptos" w:hAnsi="Aptos" w:eastAsia="Aptos" w:cs="Aptos"/>
          <w:b w:val="0"/>
          <w:bCs w:val="0"/>
          <w:noProof w:val="0"/>
          <w:color w:val="000000" w:themeColor="text1" w:themeTint="FF" w:themeShade="FF"/>
          <w:sz w:val="24"/>
          <w:szCs w:val="24"/>
          <w:lang w:val="en-GB"/>
        </w:rPr>
        <w:t xml:space="preserve"> (Accessed: 10 April 2026).</w:t>
      </w:r>
    </w:p>
    <w:p w:rsidR="55CC82F5" w:rsidP="257BFE88" w:rsidRDefault="55CC82F5" w14:paraId="487607D2" w14:textId="3854851D">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55CC82F5">
        <w:rPr>
          <w:rFonts w:ascii="Aptos" w:hAnsi="Aptos" w:eastAsia="Aptos" w:cs="Aptos"/>
          <w:noProof w:val="0"/>
          <w:color w:val="000000" w:themeColor="text1" w:themeTint="FF" w:themeShade="FF"/>
          <w:sz w:val="24"/>
          <w:szCs w:val="24"/>
          <w:lang w:val="en-GB"/>
        </w:rPr>
        <w:t xml:space="preserve">Galema, R. 2025. 'ESG rating changes and stock returns', </w:t>
      </w:r>
      <w:r w:rsidRPr="257BFE88" w:rsidR="55CC82F5">
        <w:rPr>
          <w:rFonts w:ascii="Aptos" w:hAnsi="Aptos" w:eastAsia="Aptos" w:cs="Aptos"/>
          <w:i w:val="1"/>
          <w:iCs w:val="1"/>
          <w:noProof w:val="0"/>
          <w:color w:val="000000" w:themeColor="text1" w:themeTint="FF" w:themeShade="FF"/>
          <w:sz w:val="24"/>
          <w:szCs w:val="24"/>
          <w:lang w:val="en-GB"/>
        </w:rPr>
        <w:t>Journal of Banking &amp; Finance</w:t>
      </w:r>
      <w:r w:rsidRPr="257BFE88" w:rsidR="55CC82F5">
        <w:rPr>
          <w:rFonts w:ascii="Aptos" w:hAnsi="Aptos" w:eastAsia="Aptos" w:cs="Aptos"/>
          <w:noProof w:val="0"/>
          <w:color w:val="000000" w:themeColor="text1" w:themeTint="FF" w:themeShade="FF"/>
          <w:sz w:val="24"/>
          <w:szCs w:val="24"/>
          <w:lang w:val="en-GB"/>
        </w:rPr>
        <w:t>. (Directly relevant to rating changes as signals.)</w:t>
      </w:r>
    </w:p>
    <w:p w:rsidR="55CC82F5" w:rsidP="257BFE88" w:rsidRDefault="55CC82F5" w14:paraId="5A99FE85" w14:textId="130FE9BB">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55CC82F5">
        <w:rPr>
          <w:rFonts w:ascii="Aptos" w:hAnsi="Aptos" w:eastAsia="Aptos" w:cs="Aptos"/>
          <w:noProof w:val="0"/>
          <w:color w:val="000000" w:themeColor="text1" w:themeTint="FF" w:themeShade="FF"/>
          <w:sz w:val="24"/>
          <w:szCs w:val="24"/>
          <w:lang w:val="en-GB"/>
        </w:rPr>
        <w:t xml:space="preserve">Goerzen, A. 2025. 'From the editors: Global sustainability reporting standards and unintended consequences', </w:t>
      </w:r>
      <w:r w:rsidRPr="257BFE88" w:rsidR="55CC82F5">
        <w:rPr>
          <w:rFonts w:ascii="Aptos" w:hAnsi="Aptos" w:eastAsia="Aptos" w:cs="Aptos"/>
          <w:i w:val="1"/>
          <w:iCs w:val="1"/>
          <w:noProof w:val="0"/>
          <w:color w:val="000000" w:themeColor="text1" w:themeTint="FF" w:themeShade="FF"/>
          <w:sz w:val="24"/>
          <w:szCs w:val="24"/>
          <w:lang w:val="en-GB"/>
        </w:rPr>
        <w:t>Transnational Corporations</w:t>
      </w:r>
      <w:r w:rsidRPr="257BFE88" w:rsidR="55CC82F5">
        <w:rPr>
          <w:rFonts w:ascii="Aptos" w:hAnsi="Aptos" w:eastAsia="Aptos" w:cs="Aptos"/>
          <w:noProof w:val="0"/>
          <w:color w:val="000000" w:themeColor="text1" w:themeTint="FF" w:themeShade="FF"/>
          <w:sz w:val="24"/>
          <w:szCs w:val="24"/>
          <w:lang w:val="en-GB"/>
        </w:rPr>
        <w:t xml:space="preserve">, 32(1). Available at: </w:t>
      </w:r>
      <w:hyperlink r:id="R1f21771012a84837">
        <w:r w:rsidRPr="257BFE88" w:rsidR="55CC82F5">
          <w:rPr>
            <w:rStyle w:val="Hyperlink"/>
            <w:rFonts w:ascii="Aptos" w:hAnsi="Aptos" w:eastAsia="Aptos" w:cs="Aptos"/>
            <w:noProof w:val="0"/>
            <w:color w:val="000000" w:themeColor="text1" w:themeTint="FF" w:themeShade="FF"/>
            <w:sz w:val="24"/>
            <w:szCs w:val="24"/>
            <w:lang w:val="en-GB"/>
          </w:rPr>
          <w:t>https://link.springer.com/article/10.1057/s42214-025-00213-x</w:t>
        </w:r>
      </w:hyperlink>
      <w:r w:rsidRPr="257BFE88" w:rsidR="55CC82F5">
        <w:rPr>
          <w:rFonts w:ascii="Aptos" w:hAnsi="Aptos" w:eastAsia="Aptos" w:cs="Aptos"/>
          <w:noProof w:val="0"/>
          <w:color w:val="000000" w:themeColor="text1" w:themeTint="FF" w:themeShade="FF"/>
          <w:sz w:val="24"/>
          <w:szCs w:val="24"/>
          <w:lang w:val="en-GB"/>
        </w:rPr>
        <w:t xml:space="preserve"> (Accessed: 9 April 2026).</w:t>
      </w:r>
    </w:p>
    <w:p w:rsidR="55CC82F5" w:rsidP="257BFE88" w:rsidRDefault="55CC82F5" w14:paraId="7FBDBAD5">
      <w:pPr>
        <w:rPr>
          <w:lang w:eastAsia="en-GB"/>
        </w:rPr>
      </w:pPr>
      <w:r w:rsidRPr="257BFE88" w:rsidR="55CC82F5">
        <w:rPr>
          <w:lang w:eastAsia="en-GB"/>
        </w:rPr>
        <w:t xml:space="preserve">Gray, D.E. 2018. </w:t>
      </w:r>
      <w:r w:rsidRPr="257BFE88" w:rsidR="55CC82F5">
        <w:rPr>
          <w:i w:val="1"/>
          <w:iCs w:val="1"/>
          <w:lang w:eastAsia="en-GB"/>
        </w:rPr>
        <w:t>Doing research in the real world</w:t>
      </w:r>
      <w:r w:rsidRPr="257BFE88" w:rsidR="55CC82F5">
        <w:rPr>
          <w:lang w:eastAsia="en-GB"/>
        </w:rPr>
        <w:t xml:space="preserve">. 4th </w:t>
      </w:r>
      <w:r w:rsidRPr="257BFE88" w:rsidR="55CC82F5">
        <w:rPr>
          <w:lang w:eastAsia="en-GB"/>
        </w:rPr>
        <w:t>edn</w:t>
      </w:r>
      <w:r w:rsidRPr="257BFE88" w:rsidR="55CC82F5">
        <w:rPr>
          <w:lang w:eastAsia="en-GB"/>
        </w:rPr>
        <w:t>. London: SAGE Publications.</w:t>
      </w:r>
    </w:p>
    <w:p w:rsidR="55CC82F5" w:rsidP="257BFE88" w:rsidRDefault="55CC82F5" w14:paraId="0BDB5449" w14:textId="4303FC2A">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55CC82F5">
        <w:rPr>
          <w:rFonts w:ascii="Aptos" w:hAnsi="Aptos" w:eastAsia="Aptos" w:cs="Aptos"/>
          <w:noProof w:val="0"/>
          <w:color w:val="000000" w:themeColor="text1" w:themeTint="FF" w:themeShade="FF"/>
          <w:sz w:val="24"/>
          <w:szCs w:val="24"/>
          <w:lang w:val="en-GB"/>
        </w:rPr>
        <w:t xml:space="preserve">Gupta, H. and Chaudhary, R. 2026. 'Assessing the risk-adjusted performance and volatility of sustainability-focused indices of the emerging Indian market', </w:t>
      </w:r>
      <w:r w:rsidRPr="257BFE88" w:rsidR="55CC82F5">
        <w:rPr>
          <w:rFonts w:ascii="Aptos" w:hAnsi="Aptos" w:eastAsia="Aptos" w:cs="Aptos"/>
          <w:i w:val="1"/>
          <w:iCs w:val="1"/>
          <w:noProof w:val="0"/>
          <w:color w:val="000000" w:themeColor="text1" w:themeTint="FF" w:themeShade="FF"/>
          <w:sz w:val="24"/>
          <w:szCs w:val="24"/>
          <w:lang w:val="en-GB"/>
        </w:rPr>
        <w:t>Global Business Review</w:t>
      </w:r>
      <w:r w:rsidRPr="257BFE88" w:rsidR="55CC82F5">
        <w:rPr>
          <w:rFonts w:ascii="Aptos" w:hAnsi="Aptos" w:eastAsia="Aptos" w:cs="Aptos"/>
          <w:noProof w:val="0"/>
          <w:color w:val="000000" w:themeColor="text1" w:themeTint="FF" w:themeShade="FF"/>
          <w:sz w:val="24"/>
          <w:szCs w:val="24"/>
          <w:lang w:val="en-GB"/>
        </w:rPr>
        <w:t xml:space="preserve">. Available at: </w:t>
      </w:r>
      <w:hyperlink r:id="Rcc43e413ce9946ee">
        <w:r w:rsidRPr="257BFE88" w:rsidR="55CC82F5">
          <w:rPr>
            <w:rStyle w:val="Hyperlink"/>
            <w:rFonts w:ascii="Aptos" w:hAnsi="Aptos" w:eastAsia="Aptos" w:cs="Aptos"/>
            <w:noProof w:val="0"/>
            <w:color w:val="000000" w:themeColor="text1" w:themeTint="FF" w:themeShade="FF"/>
            <w:sz w:val="24"/>
            <w:szCs w:val="24"/>
            <w:lang w:val="en-GB"/>
          </w:rPr>
          <w:t>https://doi.org/10.1177/09721509261418879</w:t>
        </w:r>
      </w:hyperlink>
      <w:r w:rsidRPr="257BFE88" w:rsidR="55CC82F5">
        <w:rPr>
          <w:rFonts w:ascii="Aptos" w:hAnsi="Aptos" w:eastAsia="Aptos" w:cs="Aptos"/>
          <w:noProof w:val="0"/>
          <w:color w:val="000000" w:themeColor="text1" w:themeTint="FF" w:themeShade="FF"/>
          <w:sz w:val="24"/>
          <w:szCs w:val="24"/>
          <w:lang w:val="en-GB"/>
        </w:rPr>
        <w:t xml:space="preserve"> (Accessed: 9 April 2026).</w:t>
      </w:r>
    </w:p>
    <w:p w:rsidR="55CC82F5" w:rsidP="257BFE88" w:rsidRDefault="55CC82F5" w14:paraId="5771858E" w14:textId="26C3ABEA">
      <w:pPr>
        <w:rPr>
          <w:rFonts w:ascii="Aptos" w:hAnsi="Aptos" w:eastAsia="Aptos" w:cs="Aptos"/>
          <w:noProof w:val="0"/>
          <w:color w:val="000000" w:themeColor="text1" w:themeTint="FF" w:themeShade="FF"/>
          <w:sz w:val="24"/>
          <w:szCs w:val="24"/>
          <w:lang w:val="en-GB"/>
        </w:rPr>
      </w:pPr>
      <w:r w:rsidRPr="257BFE88" w:rsidR="55CC82F5">
        <w:rPr>
          <w:rFonts w:ascii="Aptos" w:hAnsi="Aptos" w:eastAsia="Aptos" w:cs="Aptos"/>
          <w:noProof w:val="0"/>
          <w:color w:val="000000" w:themeColor="text1" w:themeTint="FF" w:themeShade="FF"/>
          <w:sz w:val="24"/>
          <w:szCs w:val="24"/>
          <w:lang w:val="en-GB"/>
        </w:rPr>
        <w:t xml:space="preserve">Gibson, C. and Sawyer, F. 2023. </w:t>
      </w:r>
      <w:r w:rsidRPr="257BFE88" w:rsidR="55CC82F5">
        <w:rPr>
          <w:rFonts w:ascii="Aptos" w:hAnsi="Aptos" w:eastAsia="Aptos" w:cs="Aptos"/>
          <w:i w:val="1"/>
          <w:iCs w:val="1"/>
          <w:noProof w:val="0"/>
          <w:color w:val="000000" w:themeColor="text1" w:themeTint="FF" w:themeShade="FF"/>
          <w:sz w:val="24"/>
          <w:szCs w:val="24"/>
          <w:lang w:val="en-GB"/>
        </w:rPr>
        <w:t>2023 Statehouse Report: Anti-ESG State Legislation Tracker &amp; Analysis</w:t>
      </w:r>
      <w:r w:rsidRPr="257BFE88" w:rsidR="55CC82F5">
        <w:rPr>
          <w:rFonts w:ascii="Aptos" w:hAnsi="Aptos" w:eastAsia="Aptos" w:cs="Aptos"/>
          <w:noProof w:val="0"/>
          <w:color w:val="000000" w:themeColor="text1" w:themeTint="FF" w:themeShade="FF"/>
          <w:sz w:val="24"/>
          <w:szCs w:val="24"/>
          <w:lang w:val="en-GB"/>
        </w:rPr>
        <w:t xml:space="preserve">. Pleiades Strategy. Available at: </w:t>
      </w:r>
      <w:hyperlink r:id="Re8904c43ca7c4d20">
        <w:r w:rsidRPr="257BFE88" w:rsidR="55CC82F5">
          <w:rPr>
            <w:rStyle w:val="Hyperlink"/>
            <w:rFonts w:ascii="Aptos" w:hAnsi="Aptos" w:eastAsia="Aptos" w:cs="Aptos"/>
            <w:noProof w:val="0"/>
            <w:sz w:val="24"/>
            <w:szCs w:val="24"/>
            <w:lang w:val="en-GB"/>
          </w:rPr>
          <w:t>https://www.pleiadesstrategy.com/state-house-report-bill-tracker-republican-anti-esg-attacks-on-freedom-to-invest-responsibly-earns-business-labor-and-environmental-opposition</w:t>
        </w:r>
      </w:hyperlink>
      <w:r w:rsidRPr="257BFE88" w:rsidR="55CC82F5">
        <w:rPr>
          <w:rFonts w:ascii="Aptos" w:hAnsi="Aptos" w:eastAsia="Aptos" w:cs="Aptos"/>
          <w:noProof w:val="0"/>
          <w:color w:val="000000" w:themeColor="text1" w:themeTint="FF" w:themeShade="FF"/>
          <w:sz w:val="24"/>
          <w:szCs w:val="24"/>
          <w:lang w:val="en-GB"/>
        </w:rPr>
        <w:t xml:space="preserve"> (Accessed: 10 April 2026).</w:t>
      </w:r>
    </w:p>
    <w:p w:rsidR="61587907" w:rsidP="257BFE88" w:rsidRDefault="61587907" w14:paraId="2DF2B2F6" w14:textId="3A1537C4">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61587907">
        <w:rPr>
          <w:rFonts w:ascii="Aptos" w:hAnsi="Aptos" w:eastAsia="Aptos" w:cs="Aptos"/>
          <w:b w:val="0"/>
          <w:bCs w:val="0"/>
          <w:noProof w:val="0"/>
          <w:color w:val="000000" w:themeColor="text1" w:themeTint="FF" w:themeShade="FF"/>
          <w:sz w:val="24"/>
          <w:szCs w:val="24"/>
          <w:lang w:val="en-GB"/>
        </w:rPr>
        <w:t xml:space="preserve">Harvard Law School Forum on Corporate Governance. 2025. 'The ‘E’ of ESG: Greenwashing under the spotlight – </w:t>
      </w:r>
      <w:r w:rsidRPr="257BFE88" w:rsidR="61587907">
        <w:rPr>
          <w:rFonts w:ascii="Aptos" w:hAnsi="Aptos" w:eastAsia="Aptos" w:cs="Aptos"/>
          <w:b w:val="0"/>
          <w:bCs w:val="0"/>
          <w:noProof w:val="0"/>
          <w:color w:val="000000" w:themeColor="text1" w:themeTint="FF" w:themeShade="FF"/>
          <w:sz w:val="24"/>
          <w:szCs w:val="24"/>
          <w:lang w:val="en-GB"/>
        </w:rPr>
        <w:t>recent trends</w:t>
      </w:r>
      <w:r w:rsidRPr="257BFE88" w:rsidR="61587907">
        <w:rPr>
          <w:rFonts w:ascii="Aptos" w:hAnsi="Aptos" w:eastAsia="Aptos" w:cs="Aptos"/>
          <w:b w:val="0"/>
          <w:bCs w:val="0"/>
          <w:noProof w:val="0"/>
          <w:color w:val="000000" w:themeColor="text1" w:themeTint="FF" w:themeShade="FF"/>
          <w:sz w:val="24"/>
          <w:szCs w:val="24"/>
          <w:lang w:val="en-GB"/>
        </w:rPr>
        <w:t xml:space="preserve"> in the US'. Available at: </w:t>
      </w:r>
      <w:hyperlink r:id="R36a7663a489d4a1d">
        <w:r w:rsidRPr="257BFE88" w:rsidR="61587907">
          <w:rPr>
            <w:rStyle w:val="Hyperlink"/>
            <w:rFonts w:ascii="Aptos" w:hAnsi="Aptos" w:eastAsia="Aptos" w:cs="Aptos"/>
            <w:b w:val="0"/>
            <w:bCs w:val="0"/>
            <w:noProof w:val="0"/>
            <w:color w:val="000000" w:themeColor="text1" w:themeTint="FF" w:themeShade="FF"/>
            <w:sz w:val="24"/>
            <w:szCs w:val="24"/>
            <w:lang w:val="en-GB"/>
          </w:rPr>
          <w:t>https://corpgov.law.harvard.edu/2025/12/17/the-e-of-esg-greenwashing-under-the-spotlight-recent-trends-in-the-us/</w:t>
        </w:r>
      </w:hyperlink>
      <w:r w:rsidRPr="257BFE88" w:rsidR="61587907">
        <w:rPr>
          <w:rFonts w:ascii="Aptos" w:hAnsi="Aptos" w:eastAsia="Aptos" w:cs="Aptos"/>
          <w:b w:val="0"/>
          <w:bCs w:val="0"/>
          <w:noProof w:val="0"/>
          <w:color w:val="000000" w:themeColor="text1" w:themeTint="FF" w:themeShade="FF"/>
          <w:sz w:val="24"/>
          <w:szCs w:val="24"/>
          <w:lang w:val="en-GB"/>
        </w:rPr>
        <w:t xml:space="preserve"> (Accessed: 10 April 2026).</w:t>
      </w:r>
    </w:p>
    <w:p w:rsidR="61587907" w:rsidP="257BFE88" w:rsidRDefault="61587907" w14:paraId="4329E83B" w14:textId="6E88E1EB">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61587907">
        <w:rPr>
          <w:rFonts w:ascii="Aptos" w:hAnsi="Aptos" w:eastAsia="Aptos" w:cs="Aptos"/>
          <w:noProof w:val="0"/>
          <w:color w:val="000000" w:themeColor="text1" w:themeTint="FF" w:themeShade="FF"/>
          <w:sz w:val="24"/>
          <w:szCs w:val="24"/>
          <w:lang w:val="en-GB"/>
        </w:rPr>
        <w:t>Heinelt</w:t>
      </w:r>
      <w:r w:rsidRPr="257BFE88" w:rsidR="61587907">
        <w:rPr>
          <w:rFonts w:ascii="Aptos" w:hAnsi="Aptos" w:eastAsia="Aptos" w:cs="Aptos"/>
          <w:noProof w:val="0"/>
          <w:color w:val="000000" w:themeColor="text1" w:themeTint="FF" w:themeShade="FF"/>
          <w:sz w:val="24"/>
          <w:szCs w:val="24"/>
          <w:lang w:val="en-GB"/>
        </w:rPr>
        <w:t xml:space="preserve">, A., Strube, D. and </w:t>
      </w:r>
      <w:r w:rsidRPr="257BFE88" w:rsidR="61587907">
        <w:rPr>
          <w:rFonts w:ascii="Aptos" w:hAnsi="Aptos" w:eastAsia="Aptos" w:cs="Aptos"/>
          <w:noProof w:val="0"/>
          <w:color w:val="000000" w:themeColor="text1" w:themeTint="FF" w:themeShade="FF"/>
          <w:sz w:val="24"/>
          <w:szCs w:val="24"/>
          <w:lang w:val="en-GB"/>
        </w:rPr>
        <w:t>Daase</w:t>
      </w:r>
      <w:r w:rsidRPr="257BFE88" w:rsidR="61587907">
        <w:rPr>
          <w:rFonts w:ascii="Aptos" w:hAnsi="Aptos" w:eastAsia="Aptos" w:cs="Aptos"/>
          <w:noProof w:val="0"/>
          <w:color w:val="000000" w:themeColor="text1" w:themeTint="FF" w:themeShade="FF"/>
          <w:sz w:val="24"/>
          <w:szCs w:val="24"/>
          <w:lang w:val="en-GB"/>
        </w:rPr>
        <w:t xml:space="preserve">, C. 2023. (updated context 2025) 'Do ESG ratings drive financial performance? A systematic analysis of trends and challenges', </w:t>
      </w:r>
      <w:r w:rsidRPr="257BFE88" w:rsidR="61587907">
        <w:rPr>
          <w:rFonts w:ascii="Aptos" w:hAnsi="Aptos" w:eastAsia="Aptos" w:cs="Aptos"/>
          <w:i w:val="1"/>
          <w:iCs w:val="1"/>
          <w:noProof w:val="0"/>
          <w:color w:val="000000" w:themeColor="text1" w:themeTint="FF" w:themeShade="FF"/>
          <w:sz w:val="24"/>
          <w:szCs w:val="24"/>
          <w:lang w:val="en-GB"/>
        </w:rPr>
        <w:t>Proceedings of the International Conference on Sustainability, Technology and Management</w:t>
      </w:r>
      <w:r w:rsidRPr="257BFE88" w:rsidR="61587907">
        <w:rPr>
          <w:rFonts w:ascii="Aptos" w:hAnsi="Aptos" w:eastAsia="Aptos" w:cs="Aptos"/>
          <w:noProof w:val="0"/>
          <w:color w:val="000000" w:themeColor="text1" w:themeTint="FF" w:themeShade="FF"/>
          <w:sz w:val="24"/>
          <w:szCs w:val="24"/>
          <w:lang w:val="en-GB"/>
        </w:rPr>
        <w:t>. (39% of studies show correlation; methodological challenges.)</w:t>
      </w:r>
    </w:p>
    <w:p w:rsidR="61587907" w:rsidP="257BFE88" w:rsidRDefault="61587907" w14:paraId="0ACF2E1C" w14:textId="7E739C7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61587907">
        <w:rPr>
          <w:rFonts w:ascii="Aptos" w:hAnsi="Aptos" w:eastAsia="Aptos" w:cs="Aptos"/>
          <w:b w:val="0"/>
          <w:bCs w:val="0"/>
          <w:noProof w:val="0"/>
          <w:color w:val="000000" w:themeColor="text1" w:themeTint="FF" w:themeShade="FF"/>
          <w:sz w:val="24"/>
          <w:szCs w:val="24"/>
          <w:lang w:val="en-GB"/>
        </w:rPr>
        <w:t xml:space="preserve">Herman, A. 2025. 'The impact of ESG on business performance: An empirical analysis', </w:t>
      </w:r>
      <w:r w:rsidRPr="257BFE88" w:rsidR="61587907">
        <w:rPr>
          <w:rFonts w:ascii="Aptos" w:hAnsi="Aptos" w:eastAsia="Aptos" w:cs="Aptos"/>
          <w:b w:val="0"/>
          <w:bCs w:val="0"/>
          <w:i w:val="1"/>
          <w:iCs w:val="1"/>
          <w:noProof w:val="0"/>
          <w:color w:val="000000" w:themeColor="text1" w:themeTint="FF" w:themeShade="FF"/>
          <w:sz w:val="24"/>
          <w:szCs w:val="24"/>
          <w:lang w:val="en-GB"/>
        </w:rPr>
        <w:t>Sustainability</w:t>
      </w:r>
      <w:r w:rsidRPr="257BFE88" w:rsidR="61587907">
        <w:rPr>
          <w:rFonts w:ascii="Aptos" w:hAnsi="Aptos" w:eastAsia="Aptos" w:cs="Aptos"/>
          <w:b w:val="0"/>
          <w:bCs w:val="0"/>
          <w:noProof w:val="0"/>
          <w:color w:val="000000" w:themeColor="text1" w:themeTint="FF" w:themeShade="FF"/>
          <w:sz w:val="24"/>
          <w:szCs w:val="24"/>
          <w:lang w:val="en-GB"/>
        </w:rPr>
        <w:t xml:space="preserve">, 17(21), 9683. Available at: </w:t>
      </w:r>
      <w:hyperlink r:id="Rc6dca1aca9094dbd">
        <w:r w:rsidRPr="257BFE88" w:rsidR="61587907">
          <w:rPr>
            <w:rStyle w:val="Hyperlink"/>
            <w:rFonts w:ascii="Aptos" w:hAnsi="Aptos" w:eastAsia="Aptos" w:cs="Aptos"/>
            <w:b w:val="0"/>
            <w:bCs w:val="0"/>
            <w:noProof w:val="0"/>
            <w:color w:val="000000" w:themeColor="text1" w:themeTint="FF" w:themeShade="FF"/>
            <w:sz w:val="24"/>
            <w:szCs w:val="24"/>
            <w:lang w:val="en-GB"/>
          </w:rPr>
          <w:t>https://doi.org/10.3390/su17219683</w:t>
        </w:r>
      </w:hyperlink>
      <w:r w:rsidRPr="257BFE88" w:rsidR="61587907">
        <w:rPr>
          <w:rFonts w:ascii="Aptos" w:hAnsi="Aptos" w:eastAsia="Aptos" w:cs="Aptos"/>
          <w:b w:val="0"/>
          <w:bCs w:val="0"/>
          <w:noProof w:val="0"/>
          <w:color w:val="000000" w:themeColor="text1" w:themeTint="FF" w:themeShade="FF"/>
          <w:sz w:val="24"/>
          <w:szCs w:val="24"/>
          <w:lang w:val="en-GB"/>
        </w:rPr>
        <w:t xml:space="preserve"> (Accessed: 10 April 2026).</w:t>
      </w:r>
    </w:p>
    <w:p w:rsidR="61587907" w:rsidP="257BFE88" w:rsidRDefault="61587907" w14:paraId="0E8C8EAF" w14:textId="6F3BA49C">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61587907">
        <w:rPr>
          <w:rFonts w:ascii="Aptos" w:hAnsi="Aptos" w:eastAsia="Aptos" w:cs="Aptos"/>
          <w:b w:val="0"/>
          <w:bCs w:val="0"/>
          <w:noProof w:val="0"/>
          <w:color w:val="000000" w:themeColor="text1" w:themeTint="FF" w:themeShade="FF"/>
          <w:sz w:val="24"/>
          <w:szCs w:val="24"/>
          <w:lang w:val="en-GB"/>
        </w:rPr>
        <w:t xml:space="preserve">HM Treasury. 2023. </w:t>
      </w:r>
      <w:r w:rsidRPr="257BFE88" w:rsidR="61587907">
        <w:rPr>
          <w:rFonts w:ascii="Aptos" w:hAnsi="Aptos" w:eastAsia="Aptos" w:cs="Aptos"/>
          <w:b w:val="0"/>
          <w:bCs w:val="0"/>
          <w:i w:val="1"/>
          <w:iCs w:val="1"/>
          <w:noProof w:val="0"/>
          <w:color w:val="000000" w:themeColor="text1" w:themeTint="FF" w:themeShade="FF"/>
          <w:sz w:val="24"/>
          <w:szCs w:val="24"/>
          <w:lang w:val="en-GB"/>
        </w:rPr>
        <w:t>Transition Plan Taskforce Disclosure Framework</w:t>
      </w:r>
      <w:r w:rsidRPr="257BFE88" w:rsidR="61587907">
        <w:rPr>
          <w:rFonts w:ascii="Aptos" w:hAnsi="Aptos" w:eastAsia="Aptos" w:cs="Aptos"/>
          <w:b w:val="0"/>
          <w:bCs w:val="0"/>
          <w:noProof w:val="0"/>
          <w:color w:val="000000" w:themeColor="text1" w:themeTint="FF" w:themeShade="FF"/>
          <w:sz w:val="24"/>
          <w:szCs w:val="24"/>
          <w:lang w:val="en-GB"/>
        </w:rPr>
        <w:t xml:space="preserve">. Available at: </w:t>
      </w:r>
      <w:hyperlink r:id="Rbd9ac19289fa4ed0">
        <w:r w:rsidRPr="257BFE88" w:rsidR="61587907">
          <w:rPr>
            <w:rStyle w:val="Hyperlink"/>
            <w:rFonts w:ascii="Aptos" w:hAnsi="Aptos" w:eastAsia="Aptos" w:cs="Aptos"/>
            <w:b w:val="0"/>
            <w:bCs w:val="0"/>
            <w:noProof w:val="0"/>
            <w:color w:val="000000" w:themeColor="text1" w:themeTint="FF" w:themeShade="FF"/>
            <w:sz w:val="24"/>
            <w:szCs w:val="24"/>
            <w:lang w:val="en-GB"/>
          </w:rPr>
          <w:t>https://www.gov.uk/government/publications/transition-plan-taskforce-disclosure-framework</w:t>
        </w:r>
      </w:hyperlink>
      <w:r w:rsidRPr="257BFE88" w:rsidR="61587907">
        <w:rPr>
          <w:rFonts w:ascii="Aptos" w:hAnsi="Aptos" w:eastAsia="Aptos" w:cs="Aptos"/>
          <w:b w:val="0"/>
          <w:bCs w:val="0"/>
          <w:noProof w:val="0"/>
          <w:color w:val="000000" w:themeColor="text1" w:themeTint="FF" w:themeShade="FF"/>
          <w:sz w:val="24"/>
          <w:szCs w:val="24"/>
          <w:lang w:val="en-GB"/>
        </w:rPr>
        <w:t xml:space="preserve"> (Accessed: 10 April 2026).</w:t>
      </w:r>
    </w:p>
    <w:p w:rsidR="314632E1" w:rsidP="257BFE88" w:rsidRDefault="314632E1" w14:paraId="3AC5A883" w14:textId="02219B32">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314632E1">
        <w:rPr>
          <w:rFonts w:ascii="Aptos" w:hAnsi="Aptos" w:eastAsia="Aptos" w:cs="Aptos"/>
          <w:b w:val="0"/>
          <w:bCs w:val="0"/>
          <w:noProof w:val="0"/>
          <w:color w:val="000000" w:themeColor="text1" w:themeTint="FF" w:themeShade="FF"/>
          <w:sz w:val="24"/>
          <w:szCs w:val="24"/>
          <w:lang w:val="en-GB"/>
        </w:rPr>
        <w:t xml:space="preserve">ICMA. 2026. </w:t>
      </w:r>
      <w:r w:rsidRPr="257BFE88" w:rsidR="314632E1">
        <w:rPr>
          <w:rFonts w:ascii="Aptos" w:hAnsi="Aptos" w:eastAsia="Aptos" w:cs="Aptos"/>
          <w:b w:val="0"/>
          <w:bCs w:val="0"/>
          <w:i w:val="1"/>
          <w:iCs w:val="1"/>
          <w:noProof w:val="0"/>
          <w:color w:val="000000" w:themeColor="text1" w:themeTint="FF" w:themeShade="FF"/>
          <w:sz w:val="24"/>
          <w:szCs w:val="24"/>
          <w:lang w:val="en-GB"/>
        </w:rPr>
        <w:t>The evolving landscape of ESG ratings and data products</w:t>
      </w:r>
      <w:r w:rsidRPr="257BFE88" w:rsidR="314632E1">
        <w:rPr>
          <w:rFonts w:ascii="Aptos" w:hAnsi="Aptos" w:eastAsia="Aptos" w:cs="Aptos"/>
          <w:b w:val="0"/>
          <w:bCs w:val="0"/>
          <w:noProof w:val="0"/>
          <w:color w:val="000000" w:themeColor="text1" w:themeTint="FF" w:themeShade="FF"/>
          <w:sz w:val="24"/>
          <w:szCs w:val="24"/>
          <w:lang w:val="en-GB"/>
        </w:rPr>
        <w:t xml:space="preserve"> (March 2026). Available at: </w:t>
      </w:r>
      <w:hyperlink r:id="R3477303851ee48f8">
        <w:r w:rsidRPr="257BFE88" w:rsidR="314632E1">
          <w:rPr>
            <w:rStyle w:val="Hyperlink"/>
            <w:rFonts w:ascii="Aptos" w:hAnsi="Aptos" w:eastAsia="Aptos" w:cs="Aptos"/>
            <w:b w:val="0"/>
            <w:bCs w:val="0"/>
            <w:noProof w:val="0"/>
            <w:color w:val="000000" w:themeColor="text1" w:themeTint="FF" w:themeShade="FF"/>
            <w:sz w:val="24"/>
            <w:szCs w:val="24"/>
            <w:lang w:val="en-GB"/>
          </w:rPr>
          <w:t>https://www.icmagroup.org</w:t>
        </w:r>
      </w:hyperlink>
      <w:r w:rsidRPr="257BFE88" w:rsidR="314632E1">
        <w:rPr>
          <w:rFonts w:ascii="Aptos" w:hAnsi="Aptos" w:eastAsia="Aptos" w:cs="Aptos"/>
          <w:b w:val="0"/>
          <w:bCs w:val="0"/>
          <w:noProof w:val="0"/>
          <w:color w:val="000000" w:themeColor="text1" w:themeTint="FF" w:themeShade="FF"/>
          <w:sz w:val="24"/>
          <w:szCs w:val="24"/>
          <w:lang w:val="en-GB"/>
        </w:rPr>
        <w:t xml:space="preserve"> (Accessed: 9 April 2026).</w:t>
      </w:r>
    </w:p>
    <w:p w:rsidR="4085D2F6" w:rsidP="257BFE88" w:rsidRDefault="4085D2F6" w14:paraId="661E9E70" w14:textId="7B28F7E4">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4085D2F6">
        <w:rPr>
          <w:rFonts w:ascii="Aptos" w:hAnsi="Aptos" w:eastAsia="Aptos" w:cs="Aptos"/>
          <w:noProof w:val="0"/>
          <w:color w:val="000000" w:themeColor="text1" w:themeTint="FF" w:themeShade="FF"/>
          <w:sz w:val="24"/>
          <w:szCs w:val="24"/>
          <w:lang w:val="en-GB"/>
        </w:rPr>
        <w:t xml:space="preserve">IPCC. 2023. </w:t>
      </w:r>
      <w:r w:rsidRPr="257BFE88" w:rsidR="4085D2F6">
        <w:rPr>
          <w:rFonts w:ascii="Aptos" w:hAnsi="Aptos" w:eastAsia="Aptos" w:cs="Aptos"/>
          <w:i w:val="1"/>
          <w:iCs w:val="1"/>
          <w:noProof w:val="0"/>
          <w:color w:val="000000" w:themeColor="text1" w:themeTint="FF" w:themeShade="FF"/>
          <w:sz w:val="24"/>
          <w:szCs w:val="24"/>
          <w:lang w:val="en-GB"/>
        </w:rPr>
        <w:t>Climate change 2023: Synthesis report</w:t>
      </w:r>
      <w:r w:rsidRPr="257BFE88" w:rsidR="4085D2F6">
        <w:rPr>
          <w:rFonts w:ascii="Aptos" w:hAnsi="Aptos" w:eastAsia="Aptos" w:cs="Aptos"/>
          <w:noProof w:val="0"/>
          <w:color w:val="000000" w:themeColor="text1" w:themeTint="FF" w:themeShade="FF"/>
          <w:sz w:val="24"/>
          <w:szCs w:val="24"/>
          <w:lang w:val="en-GB"/>
        </w:rPr>
        <w:t xml:space="preserve">. Intergovernmental Panel on Climate Change. Available at: </w:t>
      </w:r>
      <w:hyperlink r:id="Rce0f4129fb234e0c">
        <w:r w:rsidRPr="257BFE88" w:rsidR="4085D2F6">
          <w:rPr>
            <w:rStyle w:val="Hyperlink"/>
            <w:rFonts w:ascii="Aptos" w:hAnsi="Aptos" w:eastAsia="Aptos" w:cs="Aptos"/>
            <w:noProof w:val="0"/>
            <w:color w:val="000000" w:themeColor="text1" w:themeTint="FF" w:themeShade="FF"/>
            <w:sz w:val="24"/>
            <w:szCs w:val="24"/>
            <w:lang w:val="en-GB"/>
          </w:rPr>
          <w:t>https://www.ipcc.ch/report/ar6/syr/</w:t>
        </w:r>
      </w:hyperlink>
      <w:r w:rsidRPr="257BFE88" w:rsidR="4085D2F6">
        <w:rPr>
          <w:rFonts w:ascii="Aptos" w:hAnsi="Aptos" w:eastAsia="Aptos" w:cs="Aptos"/>
          <w:noProof w:val="0"/>
          <w:color w:val="000000" w:themeColor="text1" w:themeTint="FF" w:themeShade="FF"/>
          <w:sz w:val="24"/>
          <w:szCs w:val="24"/>
          <w:lang w:val="en-GB"/>
        </w:rPr>
        <w:t xml:space="preserve"> (Accessed: 12 April 2026).</w:t>
      </w:r>
    </w:p>
    <w:p w:rsidR="314632E1" w:rsidP="257BFE88" w:rsidRDefault="314632E1" w14:paraId="2D7256DD" w14:textId="3BB1136B">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314632E1">
        <w:rPr>
          <w:rFonts w:ascii="Aptos" w:hAnsi="Aptos" w:eastAsia="Aptos" w:cs="Aptos"/>
          <w:b w:val="0"/>
          <w:bCs w:val="0"/>
          <w:noProof w:val="0"/>
          <w:color w:val="000000" w:themeColor="text1" w:themeTint="FF" w:themeShade="FF"/>
          <w:sz w:val="24"/>
          <w:szCs w:val="24"/>
          <w:lang w:val="en-GB"/>
        </w:rPr>
        <w:t xml:space="preserve">Ioannou, I. and Serafeim, G. 2017. 'The consequences of mandatory corporate sustainability reporting', in </w:t>
      </w:r>
      <w:r w:rsidRPr="257BFE88" w:rsidR="314632E1">
        <w:rPr>
          <w:rFonts w:ascii="Aptos" w:hAnsi="Aptos" w:eastAsia="Aptos" w:cs="Aptos"/>
          <w:b w:val="0"/>
          <w:bCs w:val="0"/>
          <w:i w:val="1"/>
          <w:iCs w:val="1"/>
          <w:noProof w:val="0"/>
          <w:color w:val="000000" w:themeColor="text1" w:themeTint="FF" w:themeShade="FF"/>
          <w:sz w:val="24"/>
          <w:szCs w:val="24"/>
          <w:lang w:val="en-GB"/>
        </w:rPr>
        <w:t>The Oxford Handbook of Corporate Social Responsibility</w:t>
      </w:r>
      <w:r w:rsidRPr="257BFE88" w:rsidR="314632E1">
        <w:rPr>
          <w:rFonts w:ascii="Aptos" w:hAnsi="Aptos" w:eastAsia="Aptos" w:cs="Aptos"/>
          <w:b w:val="0"/>
          <w:bCs w:val="0"/>
          <w:noProof w:val="0"/>
          <w:color w:val="000000" w:themeColor="text1" w:themeTint="FF" w:themeShade="FF"/>
          <w:sz w:val="24"/>
          <w:szCs w:val="24"/>
          <w:lang w:val="en-GB"/>
        </w:rPr>
        <w:t xml:space="preserve"> (2nd </w:t>
      </w:r>
      <w:r w:rsidRPr="257BFE88" w:rsidR="314632E1">
        <w:rPr>
          <w:rFonts w:ascii="Aptos" w:hAnsi="Aptos" w:eastAsia="Aptos" w:cs="Aptos"/>
          <w:b w:val="0"/>
          <w:bCs w:val="0"/>
          <w:noProof w:val="0"/>
          <w:color w:val="000000" w:themeColor="text1" w:themeTint="FF" w:themeShade="FF"/>
          <w:sz w:val="24"/>
          <w:szCs w:val="24"/>
          <w:lang w:val="en-GB"/>
        </w:rPr>
        <w:t>edn</w:t>
      </w:r>
      <w:r w:rsidRPr="257BFE88" w:rsidR="314632E1">
        <w:rPr>
          <w:rFonts w:ascii="Aptos" w:hAnsi="Aptos" w:eastAsia="Aptos" w:cs="Aptos"/>
          <w:b w:val="0"/>
          <w:bCs w:val="0"/>
          <w:noProof w:val="0"/>
          <w:color w:val="000000" w:themeColor="text1" w:themeTint="FF" w:themeShade="FF"/>
          <w:sz w:val="24"/>
          <w:szCs w:val="24"/>
          <w:lang w:val="en-GB"/>
        </w:rPr>
        <w:t xml:space="preserve">) or as Harvard Business School Working Paper No. 11-100 (updated version). Available at: </w:t>
      </w:r>
      <w:hyperlink r:id="Re888cc0d7ed44427">
        <w:r w:rsidRPr="257BFE88" w:rsidR="314632E1">
          <w:rPr>
            <w:rStyle w:val="Hyperlink"/>
            <w:rFonts w:ascii="Aptos" w:hAnsi="Aptos" w:eastAsia="Aptos" w:cs="Aptos"/>
            <w:b w:val="0"/>
            <w:bCs w:val="0"/>
            <w:noProof w:val="0"/>
            <w:color w:val="000000" w:themeColor="text1" w:themeTint="FF" w:themeShade="FF"/>
            <w:sz w:val="24"/>
            <w:szCs w:val="24"/>
            <w:lang w:val="en-GB"/>
          </w:rPr>
          <w:t>https://papers.ssrn.com/sol3/papers.cfm?abstract_id=1799589</w:t>
        </w:r>
      </w:hyperlink>
      <w:r w:rsidRPr="257BFE88" w:rsidR="314632E1">
        <w:rPr>
          <w:rFonts w:ascii="Aptos" w:hAnsi="Aptos" w:eastAsia="Aptos" w:cs="Aptos"/>
          <w:b w:val="0"/>
          <w:bCs w:val="0"/>
          <w:noProof w:val="0"/>
          <w:color w:val="000000" w:themeColor="text1" w:themeTint="FF" w:themeShade="FF"/>
          <w:sz w:val="24"/>
          <w:szCs w:val="24"/>
          <w:lang w:val="en-GB"/>
        </w:rPr>
        <w:t xml:space="preserve"> (Accessed: 10 April 2026).</w:t>
      </w:r>
    </w:p>
    <w:p w:rsidR="48E1147C" w:rsidP="257BFE88" w:rsidRDefault="48E1147C" w14:paraId="0D37ABFB" w14:textId="7E5B3659">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48E1147C">
        <w:rPr>
          <w:rFonts w:ascii="Aptos" w:hAnsi="Aptos" w:eastAsia="Aptos" w:cs="Aptos"/>
          <w:b w:val="0"/>
          <w:bCs w:val="0"/>
          <w:noProof w:val="0"/>
          <w:color w:val="000000" w:themeColor="text1" w:themeTint="FF" w:themeShade="FF"/>
          <w:sz w:val="24"/>
          <w:szCs w:val="24"/>
          <w:lang w:val="en-GB"/>
        </w:rPr>
        <w:t xml:space="preserve">Japan Exchange Group (JPX). 2025. </w:t>
      </w:r>
      <w:r w:rsidRPr="257BFE88" w:rsidR="48E1147C">
        <w:rPr>
          <w:rFonts w:ascii="Aptos" w:hAnsi="Aptos" w:eastAsia="Aptos" w:cs="Aptos"/>
          <w:b w:val="0"/>
          <w:bCs w:val="0"/>
          <w:i w:val="1"/>
          <w:iCs w:val="1"/>
          <w:noProof w:val="0"/>
          <w:color w:val="000000" w:themeColor="text1" w:themeTint="FF" w:themeShade="FF"/>
          <w:sz w:val="24"/>
          <w:szCs w:val="24"/>
          <w:lang w:val="en-GB"/>
        </w:rPr>
        <w:t>Environmental Information (TCFD Disclosure/Transition Plan)</w:t>
      </w:r>
      <w:r w:rsidRPr="257BFE88" w:rsidR="48E1147C">
        <w:rPr>
          <w:rFonts w:ascii="Aptos" w:hAnsi="Aptos" w:eastAsia="Aptos" w:cs="Aptos"/>
          <w:b w:val="0"/>
          <w:bCs w:val="0"/>
          <w:noProof w:val="0"/>
          <w:color w:val="000000" w:themeColor="text1" w:themeTint="FF" w:themeShade="FF"/>
          <w:sz w:val="24"/>
          <w:szCs w:val="24"/>
          <w:lang w:val="en-GB"/>
        </w:rPr>
        <w:t xml:space="preserve">. Available at: </w:t>
      </w:r>
      <w:hyperlink r:id="Refbcefe1338f47a6">
        <w:r w:rsidRPr="257BFE88" w:rsidR="48E1147C">
          <w:rPr>
            <w:rStyle w:val="Hyperlink"/>
            <w:rFonts w:ascii="Aptos" w:hAnsi="Aptos" w:eastAsia="Aptos" w:cs="Aptos"/>
            <w:b w:val="0"/>
            <w:bCs w:val="0"/>
            <w:noProof w:val="0"/>
            <w:color w:val="000000" w:themeColor="text1" w:themeTint="FF" w:themeShade="FF"/>
            <w:sz w:val="24"/>
            <w:szCs w:val="24"/>
            <w:lang w:val="en-GB"/>
          </w:rPr>
          <w:t>https://www.jpx.co.jp/english/corporate/sustainability/jpx-esg/environment/index.html</w:t>
        </w:r>
      </w:hyperlink>
      <w:r w:rsidRPr="257BFE88" w:rsidR="48E1147C">
        <w:rPr>
          <w:rFonts w:ascii="Aptos" w:hAnsi="Aptos" w:eastAsia="Aptos" w:cs="Aptos"/>
          <w:b w:val="0"/>
          <w:bCs w:val="0"/>
          <w:noProof w:val="0"/>
          <w:color w:val="000000" w:themeColor="text1" w:themeTint="FF" w:themeShade="FF"/>
          <w:sz w:val="24"/>
          <w:szCs w:val="24"/>
          <w:lang w:val="en-GB"/>
        </w:rPr>
        <w:t xml:space="preserve"> </w:t>
      </w:r>
      <w:r w:rsidRPr="257BFE88" w:rsidR="48E1147C">
        <w:rPr>
          <w:rFonts w:ascii="Aptos" w:hAnsi="Aptos" w:eastAsia="Aptos" w:cs="Aptos"/>
          <w:b w:val="0"/>
          <w:bCs w:val="0"/>
          <w:noProof w:val="0"/>
          <w:color w:val="000000" w:themeColor="text1" w:themeTint="FF" w:themeShade="FF"/>
          <w:sz w:val="24"/>
          <w:szCs w:val="24"/>
          <w:lang w:val="en-GB"/>
        </w:rPr>
        <w:t>(Accessed: 10 April 2026).</w:t>
      </w:r>
    </w:p>
    <w:p w:rsidR="6C3D9640" w:rsidP="257BFE88" w:rsidRDefault="6C3D9640" w14:paraId="10AA9909" w14:textId="6E9C0B7E">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6C3D9640">
        <w:rPr>
          <w:rFonts w:ascii="Aptos" w:hAnsi="Aptos" w:eastAsia="Aptos" w:cs="Aptos"/>
          <w:noProof w:val="0"/>
          <w:color w:val="000000" w:themeColor="text1" w:themeTint="FF" w:themeShade="FF"/>
          <w:sz w:val="24"/>
          <w:szCs w:val="24"/>
          <w:lang w:val="en-GB"/>
        </w:rPr>
        <w:t>Karkowska</w:t>
      </w:r>
      <w:r w:rsidRPr="257BFE88" w:rsidR="6C3D9640">
        <w:rPr>
          <w:rFonts w:ascii="Aptos" w:hAnsi="Aptos" w:eastAsia="Aptos" w:cs="Aptos"/>
          <w:noProof w:val="0"/>
          <w:color w:val="000000" w:themeColor="text1" w:themeTint="FF" w:themeShade="FF"/>
          <w:sz w:val="24"/>
          <w:szCs w:val="24"/>
          <w:lang w:val="en-GB"/>
        </w:rPr>
        <w:t>, R. 2025. ‘ESG investing and market reactions: evidence from fund flows and index inclusion effects</w:t>
      </w:r>
      <w:r w:rsidRPr="257BFE88" w:rsidR="6C3D9640">
        <w:rPr>
          <w:rFonts w:ascii="Aptos" w:hAnsi="Aptos" w:eastAsia="Aptos" w:cs="Aptos"/>
          <w:noProof w:val="0"/>
          <w:color w:val="000000" w:themeColor="text1" w:themeTint="FF" w:themeShade="FF"/>
          <w:sz w:val="24"/>
          <w:szCs w:val="24"/>
          <w:lang w:val="en-GB"/>
        </w:rPr>
        <w:t>’,</w:t>
      </w:r>
      <w:r w:rsidRPr="257BFE88" w:rsidR="6C3D9640">
        <w:rPr>
          <w:rFonts w:ascii="Aptos" w:hAnsi="Aptos" w:eastAsia="Aptos" w:cs="Aptos"/>
          <w:noProof w:val="0"/>
          <w:color w:val="000000" w:themeColor="text1" w:themeTint="FF" w:themeShade="FF"/>
          <w:sz w:val="24"/>
          <w:szCs w:val="24"/>
          <w:lang w:val="en-GB"/>
        </w:rPr>
        <w:t xml:space="preserve"> </w:t>
      </w:r>
      <w:r w:rsidRPr="257BFE88" w:rsidR="6C3D9640">
        <w:rPr>
          <w:rFonts w:ascii="Aptos" w:hAnsi="Aptos" w:eastAsia="Aptos" w:cs="Aptos"/>
          <w:i w:val="1"/>
          <w:iCs w:val="1"/>
          <w:noProof w:val="0"/>
          <w:color w:val="000000" w:themeColor="text1" w:themeTint="FF" w:themeShade="FF"/>
          <w:sz w:val="24"/>
          <w:szCs w:val="24"/>
          <w:lang w:val="en-GB"/>
        </w:rPr>
        <w:t>Journal of Asset Management</w:t>
      </w:r>
      <w:r w:rsidRPr="257BFE88" w:rsidR="6C3D9640">
        <w:rPr>
          <w:rFonts w:ascii="Aptos" w:hAnsi="Aptos" w:eastAsia="Aptos" w:cs="Aptos"/>
          <w:noProof w:val="0"/>
          <w:color w:val="000000" w:themeColor="text1" w:themeTint="FF" w:themeShade="FF"/>
          <w:sz w:val="24"/>
          <w:szCs w:val="24"/>
          <w:lang w:val="en-GB"/>
        </w:rPr>
        <w:t xml:space="preserve">, 26(1), pp. 44–61. Available at: </w:t>
      </w:r>
      <w:hyperlink r:id="R9d2cb17acd994979">
        <w:r w:rsidRPr="257BFE88" w:rsidR="6C3D9640">
          <w:rPr>
            <w:rStyle w:val="Hyperlink"/>
            <w:rFonts w:ascii="Aptos" w:hAnsi="Aptos" w:eastAsia="Aptos" w:cs="Aptos"/>
            <w:noProof w:val="0"/>
            <w:sz w:val="24"/>
            <w:szCs w:val="24"/>
            <w:lang w:val="en-GB"/>
          </w:rPr>
          <w:t>https://doi.org/10.1057/s41260-024-00345-7</w:t>
        </w:r>
      </w:hyperlink>
      <w:r w:rsidRPr="257BFE88" w:rsidR="6C3D9640">
        <w:rPr>
          <w:rFonts w:ascii="Aptos" w:hAnsi="Aptos" w:eastAsia="Aptos" w:cs="Aptos"/>
          <w:noProof w:val="0"/>
          <w:color w:val="000000" w:themeColor="text1" w:themeTint="FF" w:themeShade="FF"/>
          <w:sz w:val="24"/>
          <w:szCs w:val="24"/>
          <w:lang w:val="en-GB"/>
        </w:rPr>
        <w:t xml:space="preserve"> (Accessed: 22 April 2026).</w:t>
      </w:r>
    </w:p>
    <w:p w:rsidR="6C3D9640" w:rsidP="257BFE88" w:rsidRDefault="6C3D9640" w14:paraId="2927C8A4" w14:textId="08CA8D67">
      <w:pPr>
        <w:rPr>
          <w:lang w:eastAsia="en-GB"/>
        </w:rPr>
      </w:pPr>
      <w:r w:rsidRPr="257BFE88" w:rsidR="6C3D9640">
        <w:rPr>
          <w:lang w:eastAsia="en-GB"/>
        </w:rPr>
        <w:t xml:space="preserve">Khan, M., Serafeim, G. and Yoon, A. 2016. 'Corporate sustainability: first evidence on materiality', </w:t>
      </w:r>
      <w:r w:rsidRPr="257BFE88" w:rsidR="6C3D9640">
        <w:rPr>
          <w:i w:val="1"/>
          <w:iCs w:val="1"/>
          <w:lang w:eastAsia="en-GB"/>
        </w:rPr>
        <w:t>The Accounting Review</w:t>
      </w:r>
      <w:r w:rsidRPr="257BFE88" w:rsidR="6C3D9640">
        <w:rPr>
          <w:lang w:eastAsia="en-GB"/>
        </w:rPr>
        <w:t xml:space="preserve">, 91(6), pp. 1697–1724. </w:t>
      </w:r>
      <w:r w:rsidRPr="257BFE88" w:rsidR="6C3D9640">
        <w:rPr>
          <w:lang w:eastAsia="en-GB"/>
        </w:rPr>
        <w:t>doi</w:t>
      </w:r>
      <w:r w:rsidRPr="257BFE88" w:rsidR="6C3D9640">
        <w:rPr>
          <w:lang w:eastAsia="en-GB"/>
        </w:rPr>
        <w:t>: 10.2308/accr-51383.</w:t>
      </w:r>
    </w:p>
    <w:p w:rsidR="71E4808D" w:rsidP="257BFE88" w:rsidRDefault="71E4808D" w14:paraId="0F7052B5" w14:textId="3C50484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71E4808D">
        <w:rPr>
          <w:rFonts w:ascii="Aptos" w:hAnsi="Aptos" w:eastAsia="Aptos" w:cs="Aptos"/>
          <w:b w:val="0"/>
          <w:bCs w:val="0"/>
          <w:noProof w:val="0"/>
          <w:color w:val="000000" w:themeColor="text1" w:themeTint="FF" w:themeShade="FF"/>
          <w:sz w:val="24"/>
          <w:szCs w:val="24"/>
          <w:lang w:val="en-GB"/>
        </w:rPr>
        <w:t>Kotsantonis</w:t>
      </w:r>
      <w:r w:rsidRPr="257BFE88" w:rsidR="71E4808D">
        <w:rPr>
          <w:rFonts w:ascii="Aptos" w:hAnsi="Aptos" w:eastAsia="Aptos" w:cs="Aptos"/>
          <w:b w:val="0"/>
          <w:bCs w:val="0"/>
          <w:noProof w:val="0"/>
          <w:color w:val="000000" w:themeColor="text1" w:themeTint="FF" w:themeShade="FF"/>
          <w:sz w:val="24"/>
          <w:szCs w:val="24"/>
          <w:lang w:val="en-GB"/>
        </w:rPr>
        <w:t xml:space="preserve">, S., Pinney, C. and Serafeim, G. 2016. 'ESG integration in investment management: Myths and realities', </w:t>
      </w:r>
      <w:r w:rsidRPr="257BFE88" w:rsidR="71E4808D">
        <w:rPr>
          <w:rFonts w:ascii="Aptos" w:hAnsi="Aptos" w:eastAsia="Aptos" w:cs="Aptos"/>
          <w:b w:val="0"/>
          <w:bCs w:val="0"/>
          <w:i w:val="1"/>
          <w:iCs w:val="1"/>
          <w:noProof w:val="0"/>
          <w:color w:val="000000" w:themeColor="text1" w:themeTint="FF" w:themeShade="FF"/>
          <w:sz w:val="24"/>
          <w:szCs w:val="24"/>
          <w:lang w:val="en-GB"/>
        </w:rPr>
        <w:t>Journal of Applied Corporate Finance</w:t>
      </w:r>
      <w:r w:rsidRPr="257BFE88" w:rsidR="71E4808D">
        <w:rPr>
          <w:rFonts w:ascii="Aptos" w:hAnsi="Aptos" w:eastAsia="Aptos" w:cs="Aptos"/>
          <w:b w:val="0"/>
          <w:bCs w:val="0"/>
          <w:noProof w:val="0"/>
          <w:color w:val="000000" w:themeColor="text1" w:themeTint="FF" w:themeShade="FF"/>
          <w:sz w:val="24"/>
          <w:szCs w:val="24"/>
          <w:lang w:val="en-GB"/>
        </w:rPr>
        <w:t xml:space="preserve">, 28(2), pp. 10–16. Available at: </w:t>
      </w:r>
      <w:hyperlink r:id="Rf51960c04c2e49b2">
        <w:r w:rsidRPr="257BFE88" w:rsidR="71E4808D">
          <w:rPr>
            <w:rStyle w:val="Hyperlink"/>
            <w:rFonts w:ascii="Aptos" w:hAnsi="Aptos" w:eastAsia="Aptos" w:cs="Aptos"/>
            <w:b w:val="0"/>
            <w:bCs w:val="0"/>
            <w:noProof w:val="0"/>
            <w:color w:val="000000" w:themeColor="text1" w:themeTint="FF" w:themeShade="FF"/>
            <w:sz w:val="24"/>
            <w:szCs w:val="24"/>
            <w:lang w:val="en-GB"/>
          </w:rPr>
          <w:t>https://doi.org/10.1111/jacf.12169</w:t>
        </w:r>
      </w:hyperlink>
      <w:r w:rsidRPr="257BFE88" w:rsidR="71E4808D">
        <w:rPr>
          <w:rFonts w:ascii="Aptos" w:hAnsi="Aptos" w:eastAsia="Aptos" w:cs="Aptos"/>
          <w:b w:val="0"/>
          <w:bCs w:val="0"/>
          <w:noProof w:val="0"/>
          <w:color w:val="000000" w:themeColor="text1" w:themeTint="FF" w:themeShade="FF"/>
          <w:sz w:val="24"/>
          <w:szCs w:val="24"/>
          <w:lang w:val="en-GB"/>
        </w:rPr>
        <w:t xml:space="preserve"> (Accessed: 10 April 2026).</w:t>
      </w:r>
    </w:p>
    <w:p w:rsidR="253ADF9D" w:rsidP="257BFE88" w:rsidRDefault="253ADF9D" w14:paraId="25CFD5A9" w14:textId="12E2D0D2">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253ADF9D">
        <w:rPr>
          <w:rFonts w:ascii="Aptos" w:hAnsi="Aptos" w:eastAsia="Aptos" w:cs="Aptos"/>
          <w:b w:val="0"/>
          <w:bCs w:val="0"/>
          <w:noProof w:val="0"/>
          <w:color w:val="000000" w:themeColor="text1" w:themeTint="FF" w:themeShade="FF"/>
          <w:sz w:val="24"/>
          <w:szCs w:val="24"/>
          <w:lang w:val="en-GB"/>
        </w:rPr>
        <w:t xml:space="preserve">Kroll. 2025. </w:t>
      </w:r>
      <w:r w:rsidRPr="257BFE88" w:rsidR="253ADF9D">
        <w:rPr>
          <w:rFonts w:ascii="Aptos" w:hAnsi="Aptos" w:eastAsia="Aptos" w:cs="Aptos"/>
          <w:b w:val="0"/>
          <w:bCs w:val="0"/>
          <w:i w:val="1"/>
          <w:iCs w:val="1"/>
          <w:noProof w:val="0"/>
          <w:color w:val="000000" w:themeColor="text1" w:themeTint="FF" w:themeShade="FF"/>
          <w:sz w:val="24"/>
          <w:szCs w:val="24"/>
          <w:lang w:val="en-GB"/>
        </w:rPr>
        <w:t xml:space="preserve">Carbon credits exposed: The billion-dollar </w:t>
      </w:r>
      <w:r w:rsidRPr="257BFE88" w:rsidR="253ADF9D">
        <w:rPr>
          <w:rFonts w:ascii="Aptos" w:hAnsi="Aptos" w:eastAsia="Aptos" w:cs="Aptos"/>
          <w:b w:val="0"/>
          <w:bCs w:val="0"/>
          <w:i w:val="1"/>
          <w:iCs w:val="1"/>
          <w:noProof w:val="0"/>
          <w:color w:val="000000" w:themeColor="text1" w:themeTint="FF" w:themeShade="FF"/>
          <w:sz w:val="24"/>
          <w:szCs w:val="24"/>
          <w:lang w:val="en-GB"/>
        </w:rPr>
        <w:t>scam</w:t>
      </w:r>
      <w:r w:rsidRPr="257BFE88" w:rsidR="253ADF9D">
        <w:rPr>
          <w:rFonts w:ascii="Aptos" w:hAnsi="Aptos" w:eastAsia="Aptos" w:cs="Aptos"/>
          <w:b w:val="0"/>
          <w:bCs w:val="0"/>
          <w:i w:val="1"/>
          <w:iCs w:val="1"/>
          <w:noProof w:val="0"/>
          <w:color w:val="000000" w:themeColor="text1" w:themeTint="FF" w:themeShade="FF"/>
          <w:sz w:val="24"/>
          <w:szCs w:val="24"/>
          <w:lang w:val="en-GB"/>
        </w:rPr>
        <w:t xml:space="preserve"> built on ‘hope, not proof</w:t>
      </w:r>
      <w:r w:rsidRPr="257BFE88" w:rsidR="253ADF9D">
        <w:rPr>
          <w:rFonts w:ascii="Aptos" w:hAnsi="Aptos" w:eastAsia="Aptos" w:cs="Aptos"/>
          <w:b w:val="0"/>
          <w:bCs w:val="0"/>
          <w:i w:val="1"/>
          <w:iCs w:val="1"/>
          <w:noProof w:val="0"/>
          <w:color w:val="000000" w:themeColor="text1" w:themeTint="FF" w:themeShade="FF"/>
          <w:sz w:val="24"/>
          <w:szCs w:val="24"/>
          <w:lang w:val="en-GB"/>
        </w:rPr>
        <w:t>’</w:t>
      </w:r>
      <w:r w:rsidRPr="257BFE88" w:rsidR="253ADF9D">
        <w:rPr>
          <w:rFonts w:ascii="Aptos" w:hAnsi="Aptos" w:eastAsia="Aptos" w:cs="Aptos"/>
          <w:b w:val="0"/>
          <w:bCs w:val="0"/>
          <w:noProof w:val="0"/>
          <w:color w:val="000000" w:themeColor="text1" w:themeTint="FF" w:themeShade="FF"/>
          <w:sz w:val="24"/>
          <w:szCs w:val="24"/>
          <w:lang w:val="en-GB"/>
        </w:rPr>
        <w:t>.</w:t>
      </w:r>
      <w:r w:rsidRPr="257BFE88" w:rsidR="253ADF9D">
        <w:rPr>
          <w:rFonts w:ascii="Aptos" w:hAnsi="Aptos" w:eastAsia="Aptos" w:cs="Aptos"/>
          <w:b w:val="0"/>
          <w:bCs w:val="0"/>
          <w:noProof w:val="0"/>
          <w:color w:val="000000" w:themeColor="text1" w:themeTint="FF" w:themeShade="FF"/>
          <w:sz w:val="24"/>
          <w:szCs w:val="24"/>
          <w:lang w:val="en-GB"/>
        </w:rPr>
        <w:t xml:space="preserve"> Available at: </w:t>
      </w:r>
      <w:hyperlink r:id="Rfbac8fec6db54641">
        <w:r w:rsidRPr="257BFE88" w:rsidR="253ADF9D">
          <w:rPr>
            <w:rStyle w:val="Hyperlink"/>
            <w:rFonts w:ascii="Aptos" w:hAnsi="Aptos" w:eastAsia="Aptos" w:cs="Aptos"/>
            <w:b w:val="0"/>
            <w:bCs w:val="0"/>
            <w:noProof w:val="0"/>
            <w:color w:val="000000" w:themeColor="text1" w:themeTint="FF" w:themeShade="FF"/>
            <w:sz w:val="24"/>
            <w:szCs w:val="24"/>
            <w:lang w:val="en-GB"/>
          </w:rPr>
          <w:t>https://www.linkedin.com/posts/christian-kroll</w:t>
        </w:r>
      </w:hyperlink>
      <w:r w:rsidRPr="257BFE88" w:rsidR="253ADF9D">
        <w:rPr>
          <w:rFonts w:ascii="Aptos" w:hAnsi="Aptos" w:eastAsia="Aptos" w:cs="Aptos"/>
          <w:b w:val="0"/>
          <w:bCs w:val="0"/>
          <w:noProof w:val="0"/>
          <w:color w:val="000000" w:themeColor="text1" w:themeTint="FF" w:themeShade="FF"/>
          <w:sz w:val="24"/>
          <w:szCs w:val="24"/>
          <w:lang w:val="en-GB"/>
        </w:rPr>
        <w:t xml:space="preserve"> (Accessed: 10 April 2026).</w:t>
      </w:r>
    </w:p>
    <w:p w:rsidR="7BFD106F" w:rsidP="257BFE88" w:rsidRDefault="7BFD106F" w14:paraId="0F3C240A" w14:textId="18676A28">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7BFD106F">
        <w:rPr>
          <w:rFonts w:ascii="Aptos" w:hAnsi="Aptos" w:eastAsia="Aptos" w:cs="Aptos" w:asciiTheme="minorAscii" w:hAnsiTheme="minorAscii" w:eastAsiaTheme="minorAscii" w:cstheme="minorBidi"/>
          <w:b w:val="0"/>
          <w:bCs w:val="0"/>
          <w:noProof w:val="0"/>
          <w:color w:val="000000" w:themeColor="text1" w:themeTint="FF" w:themeShade="FF"/>
          <w:sz w:val="24"/>
          <w:szCs w:val="24"/>
          <w:lang w:val="en-GB" w:eastAsia="en-US" w:bidi="ar-SA"/>
        </w:rPr>
        <w:t xml:space="preserve">Larsson, E. and </w:t>
      </w:r>
      <w:r w:rsidRPr="257BFE88" w:rsidR="7BFD106F">
        <w:rPr>
          <w:rFonts w:ascii="Aptos" w:hAnsi="Aptos" w:eastAsia="Aptos" w:cs="Aptos" w:asciiTheme="minorAscii" w:hAnsiTheme="minorAscii" w:eastAsiaTheme="minorAscii" w:cstheme="minorBidi"/>
          <w:b w:val="0"/>
          <w:bCs w:val="0"/>
          <w:noProof w:val="0"/>
          <w:color w:val="000000" w:themeColor="text1" w:themeTint="FF" w:themeShade="FF"/>
          <w:sz w:val="24"/>
          <w:szCs w:val="24"/>
          <w:lang w:val="en-GB" w:eastAsia="en-US" w:bidi="ar-SA"/>
        </w:rPr>
        <w:t>Leuhusen</w:t>
      </w:r>
      <w:r w:rsidRPr="257BFE88" w:rsidR="7BFD106F">
        <w:rPr>
          <w:rFonts w:ascii="Aptos" w:hAnsi="Aptos" w:eastAsia="Aptos" w:cs="Aptos" w:asciiTheme="minorAscii" w:hAnsiTheme="minorAscii" w:eastAsiaTheme="minorAscii" w:cstheme="minorBidi"/>
          <w:b w:val="0"/>
          <w:bCs w:val="0"/>
          <w:noProof w:val="0"/>
          <w:color w:val="000000" w:themeColor="text1" w:themeTint="FF" w:themeShade="FF"/>
          <w:sz w:val="24"/>
          <w:szCs w:val="24"/>
          <w:lang w:val="en-GB" w:eastAsia="en-US" w:bidi="ar-SA"/>
        </w:rPr>
        <w:t xml:space="preserve">, E. 2025. </w:t>
      </w:r>
      <w:r w:rsidRPr="257BFE88" w:rsidR="7BFD106F">
        <w:rPr>
          <w:rFonts w:ascii="Aptos" w:hAnsi="Aptos" w:eastAsia="Aptos" w:cs="Aptos" w:asciiTheme="minorAscii" w:hAnsiTheme="minorAscii" w:eastAsiaTheme="minorAscii" w:cstheme="minorBidi"/>
          <w:b w:val="0"/>
          <w:bCs w:val="0"/>
          <w:noProof w:val="0"/>
          <w:color w:val="000000" w:themeColor="text1" w:themeTint="FF" w:themeShade="FF"/>
          <w:sz w:val="24"/>
          <w:szCs w:val="24"/>
          <w:lang w:val="en-GB" w:eastAsia="en-US" w:bidi="ar-SA"/>
        </w:rPr>
        <w:t>ESG scores and stock performance across regulatory regimes: A quantitative analysis of ESG scores, stock performance</w:t>
      </w:r>
      <w:r w:rsidRPr="257BFE88" w:rsidR="7BFD106F">
        <w:rPr>
          <w:rFonts w:ascii="Aptos" w:hAnsi="Aptos" w:eastAsia="Aptos" w:cs="Aptos" w:asciiTheme="minorAscii" w:hAnsiTheme="minorAscii" w:eastAsiaTheme="minorAscii" w:cstheme="minorBidi"/>
          <w:b w:val="0"/>
          <w:bCs w:val="0"/>
          <w:noProof w:val="0"/>
          <w:color w:val="000000" w:themeColor="text1" w:themeTint="FF" w:themeShade="FF"/>
          <w:sz w:val="24"/>
          <w:szCs w:val="24"/>
          <w:lang w:val="en-GB" w:eastAsia="en-US" w:bidi="ar-SA"/>
        </w:rPr>
        <w:t xml:space="preserve"> and</w:t>
      </w:r>
      <w:r w:rsidRPr="257BFE88" w:rsidR="7BFD106F">
        <w:rPr>
          <w:rFonts w:ascii="Aptos" w:hAnsi="Aptos" w:eastAsia="Aptos" w:cs="Aptos" w:asciiTheme="minorAscii" w:hAnsiTheme="minorAscii" w:eastAsiaTheme="minorAscii" w:cstheme="minorBidi"/>
          <w:b w:val="0"/>
          <w:bCs w:val="0"/>
          <w:noProof w:val="0"/>
          <w:color w:val="000000" w:themeColor="text1" w:themeTint="FF" w:themeShade="FF"/>
          <w:sz w:val="24"/>
          <w:szCs w:val="24"/>
          <w:lang w:val="en-GB" w:eastAsia="en-US" w:bidi="ar-SA"/>
        </w:rPr>
        <w:t xml:space="preserve"> regulatory stringency in Scandinavian and Asian countries</w:t>
      </w:r>
      <w:r w:rsidRPr="257BFE88" w:rsidR="7BFD106F">
        <w:rPr>
          <w:rFonts w:ascii="Aptos" w:hAnsi="Aptos" w:eastAsia="Aptos" w:cs="Aptos" w:asciiTheme="minorAscii" w:hAnsiTheme="minorAscii" w:eastAsiaTheme="minorAscii" w:cstheme="minorBidi"/>
          <w:b w:val="0"/>
          <w:bCs w:val="0"/>
          <w:noProof w:val="0"/>
          <w:color w:val="000000" w:themeColor="text1" w:themeTint="FF" w:themeShade="FF"/>
          <w:sz w:val="24"/>
          <w:szCs w:val="24"/>
          <w:lang w:val="en-GB" w:eastAsia="en-US" w:bidi="ar-SA"/>
        </w:rPr>
        <w:t>. Master’s thesis. Jönköping University, Jönköping International Business School. Available at: https://hj.diva-portal.org/smash/get/diva2:1966550/FULLTEXT01.pdf (Accessed: 23 April 2026).</w:t>
      </w:r>
    </w:p>
    <w:p w:rsidR="6C972CED" w:rsidP="257BFE88" w:rsidRDefault="6C972CED" w14:paraId="5E161B11" w14:textId="5FBEA0A4">
      <w:pPr>
        <w:pStyle w:val="Normal"/>
        <w:suppressLineNumbers w:val="0"/>
        <w:bidi w:val="0"/>
        <w:spacing w:before="240" w:beforeAutospacing="off" w:after="240" w:afterAutospacing="off" w:line="278" w:lineRule="auto"/>
        <w:ind w:left="0" w:right="0"/>
        <w:jc w:val="left"/>
        <w:rPr>
          <w:rFonts w:ascii="Aptos" w:hAnsi="Aptos" w:eastAsia="Aptos" w:cs="Aptos" w:asciiTheme="minorAscii" w:hAnsiTheme="minorAscii" w:eastAsiaTheme="minorAscii" w:cstheme="minorBidi"/>
          <w:b w:val="0"/>
          <w:bCs w:val="0"/>
          <w:noProof w:val="0"/>
          <w:color w:val="000000" w:themeColor="text1" w:themeTint="FF" w:themeShade="FF"/>
          <w:sz w:val="24"/>
          <w:szCs w:val="24"/>
          <w:lang w:val="en-GB" w:eastAsia="en-US" w:bidi="ar-SA"/>
        </w:rPr>
      </w:pPr>
      <w:r w:rsidRPr="257BFE88" w:rsidR="6C972CED">
        <w:rPr>
          <w:rFonts w:ascii="Aptos" w:hAnsi="Aptos" w:eastAsia="Aptos" w:cs="Aptos"/>
          <w:b w:val="0"/>
          <w:bCs w:val="0"/>
          <w:noProof w:val="0"/>
          <w:color w:val="000000" w:themeColor="text1" w:themeTint="FF" w:themeShade="FF"/>
          <w:sz w:val="24"/>
          <w:szCs w:val="24"/>
          <w:lang w:val="en-GB"/>
        </w:rPr>
        <w:t xml:space="preserve">Lezak, S. and </w:t>
      </w:r>
      <w:r w:rsidRPr="257BFE88" w:rsidR="6C972CED">
        <w:rPr>
          <w:rFonts w:ascii="Aptos" w:hAnsi="Aptos" w:eastAsia="Aptos" w:cs="Aptos"/>
          <w:b w:val="0"/>
          <w:bCs w:val="0"/>
          <w:noProof w:val="0"/>
          <w:color w:val="000000" w:themeColor="text1" w:themeTint="FF" w:themeShade="FF"/>
          <w:sz w:val="24"/>
          <w:szCs w:val="24"/>
          <w:lang w:val="en-GB"/>
        </w:rPr>
        <w:t>Romm</w:t>
      </w:r>
      <w:r w:rsidRPr="257BFE88" w:rsidR="6C972CED">
        <w:rPr>
          <w:rFonts w:ascii="Aptos" w:hAnsi="Aptos" w:eastAsia="Aptos" w:cs="Aptos"/>
          <w:b w:val="0"/>
          <w:bCs w:val="0"/>
          <w:noProof w:val="0"/>
          <w:color w:val="000000" w:themeColor="text1" w:themeTint="FF" w:themeShade="FF"/>
          <w:sz w:val="24"/>
          <w:szCs w:val="24"/>
          <w:lang w:val="en-GB"/>
        </w:rPr>
        <w:t>, J. 2025. 'Carbon offsets have failed for 25 years</w:t>
      </w:r>
      <w:r w:rsidRPr="257BFE88" w:rsidR="442923AB">
        <w:rPr>
          <w:rFonts w:ascii="Aptos" w:hAnsi="Aptos" w:eastAsia="Aptos" w:cs="Aptos"/>
          <w:b w:val="0"/>
          <w:bCs w:val="0"/>
          <w:noProof w:val="0"/>
          <w:color w:val="000000" w:themeColor="text1" w:themeTint="FF" w:themeShade="FF"/>
          <w:sz w:val="24"/>
          <w:szCs w:val="24"/>
          <w:lang w:val="en-GB"/>
        </w:rPr>
        <w:t xml:space="preserve"> </w:t>
      </w:r>
      <w:r w:rsidRPr="257BFE88" w:rsidR="6C972CED">
        <w:rPr>
          <w:rFonts w:ascii="Aptos" w:hAnsi="Aptos" w:eastAsia="Aptos" w:cs="Aptos"/>
          <w:b w:val="0"/>
          <w:bCs w:val="0"/>
          <w:noProof w:val="0"/>
          <w:color w:val="000000" w:themeColor="text1" w:themeTint="FF" w:themeShade="FF"/>
          <w:sz w:val="24"/>
          <w:szCs w:val="24"/>
          <w:lang w:val="en-GB"/>
        </w:rPr>
        <w:t xml:space="preserve">and most should be phased out', </w:t>
      </w:r>
      <w:r w:rsidRPr="257BFE88" w:rsidR="6C972CED">
        <w:rPr>
          <w:rFonts w:ascii="Aptos" w:hAnsi="Aptos" w:eastAsia="Aptos" w:cs="Aptos"/>
          <w:b w:val="0"/>
          <w:bCs w:val="0"/>
          <w:i w:val="1"/>
          <w:iCs w:val="1"/>
          <w:noProof w:val="0"/>
          <w:color w:val="000000" w:themeColor="text1" w:themeTint="FF" w:themeShade="FF"/>
          <w:sz w:val="24"/>
          <w:szCs w:val="24"/>
          <w:lang w:val="en-GB"/>
        </w:rPr>
        <w:t>Annual Review of Environment and Resources</w:t>
      </w:r>
      <w:r w:rsidRPr="257BFE88" w:rsidR="6C972CED">
        <w:rPr>
          <w:rFonts w:ascii="Aptos" w:hAnsi="Aptos" w:eastAsia="Aptos" w:cs="Aptos"/>
          <w:b w:val="0"/>
          <w:bCs w:val="0"/>
          <w:noProof w:val="0"/>
          <w:color w:val="000000" w:themeColor="text1" w:themeTint="FF" w:themeShade="FF"/>
          <w:sz w:val="24"/>
          <w:szCs w:val="24"/>
          <w:lang w:val="en-GB"/>
        </w:rPr>
        <w:t xml:space="preserve">. Available at: </w:t>
      </w:r>
      <w:hyperlink r:id="Rd0bc908b279b40b4">
        <w:r w:rsidRPr="257BFE88" w:rsidR="6C972CED">
          <w:rPr>
            <w:rStyle w:val="Hyperlink"/>
            <w:rFonts w:ascii="Aptos" w:hAnsi="Aptos" w:eastAsia="Aptos" w:cs="Aptos"/>
            <w:b w:val="0"/>
            <w:bCs w:val="0"/>
            <w:noProof w:val="0"/>
            <w:color w:val="000000" w:themeColor="text1" w:themeTint="FF" w:themeShade="FF"/>
            <w:sz w:val="24"/>
            <w:szCs w:val="24"/>
            <w:lang w:val="en-GB"/>
          </w:rPr>
          <w:t>https://www.annualreviews.org</w:t>
        </w:r>
      </w:hyperlink>
      <w:r w:rsidRPr="257BFE88" w:rsidR="6C972CED">
        <w:rPr>
          <w:rFonts w:ascii="Aptos" w:hAnsi="Aptos" w:eastAsia="Aptos" w:cs="Aptos"/>
          <w:b w:val="0"/>
          <w:bCs w:val="0"/>
          <w:noProof w:val="0"/>
          <w:color w:val="000000" w:themeColor="text1" w:themeTint="FF" w:themeShade="FF"/>
          <w:sz w:val="24"/>
          <w:szCs w:val="24"/>
          <w:lang w:val="en-GB"/>
        </w:rPr>
        <w:t xml:space="preserve"> (Accessed: 10 April 2026).</w:t>
      </w:r>
    </w:p>
    <w:p w:rsidR="6C972CED" w:rsidP="257BFE88" w:rsidRDefault="6C972CED" w14:paraId="2242ED98" w14:textId="4A8C3131">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6C972CED">
        <w:rPr>
          <w:rFonts w:ascii="Aptos" w:hAnsi="Aptos" w:eastAsia="Aptos" w:cs="Aptos"/>
          <w:noProof w:val="0"/>
          <w:color w:val="000000" w:themeColor="text1" w:themeTint="FF" w:themeShade="FF"/>
          <w:sz w:val="24"/>
          <w:szCs w:val="24"/>
          <w:lang w:val="en-GB"/>
        </w:rPr>
        <w:t xml:space="preserve">Liu, Q. 2025. 'Unintended consequences of the impact of MOR on ESG performance', </w:t>
      </w:r>
      <w:r w:rsidRPr="257BFE88" w:rsidR="6C972CED">
        <w:rPr>
          <w:rFonts w:ascii="Aptos" w:hAnsi="Aptos" w:eastAsia="Aptos" w:cs="Aptos"/>
          <w:i w:val="1"/>
          <w:iCs w:val="1"/>
          <w:noProof w:val="0"/>
          <w:color w:val="000000" w:themeColor="text1" w:themeTint="FF" w:themeShade="FF"/>
          <w:sz w:val="24"/>
          <w:szCs w:val="24"/>
          <w:lang w:val="en-GB"/>
        </w:rPr>
        <w:t>China Economic Journal</w:t>
      </w:r>
      <w:r w:rsidRPr="257BFE88" w:rsidR="6C972CED">
        <w:rPr>
          <w:rFonts w:ascii="Aptos" w:hAnsi="Aptos" w:eastAsia="Aptos" w:cs="Aptos"/>
          <w:noProof w:val="0"/>
          <w:color w:val="000000" w:themeColor="text1" w:themeTint="FF" w:themeShade="FF"/>
          <w:sz w:val="24"/>
          <w:szCs w:val="24"/>
          <w:lang w:val="en-GB"/>
        </w:rPr>
        <w:t xml:space="preserve">, 18(3), pp. 414–446. Available at: </w:t>
      </w:r>
      <w:hyperlink r:id="Rdcfa68287879482b">
        <w:r w:rsidRPr="257BFE88" w:rsidR="6C972CED">
          <w:rPr>
            <w:rStyle w:val="Hyperlink"/>
            <w:rFonts w:ascii="Aptos" w:hAnsi="Aptos" w:eastAsia="Aptos" w:cs="Aptos"/>
            <w:noProof w:val="0"/>
            <w:color w:val="000000" w:themeColor="text1" w:themeTint="FF" w:themeShade="FF"/>
            <w:sz w:val="24"/>
            <w:szCs w:val="24"/>
            <w:lang w:val="en-GB"/>
          </w:rPr>
          <w:t>https://doi.org/10.1080/10971475.2025.XXXXXX</w:t>
        </w:r>
      </w:hyperlink>
      <w:r w:rsidRPr="257BFE88" w:rsidR="6C972CED">
        <w:rPr>
          <w:rFonts w:ascii="Aptos" w:hAnsi="Aptos" w:eastAsia="Aptos" w:cs="Aptos"/>
          <w:noProof w:val="0"/>
          <w:color w:val="000000" w:themeColor="text1" w:themeTint="FF" w:themeShade="FF"/>
          <w:sz w:val="24"/>
          <w:szCs w:val="24"/>
          <w:lang w:val="en-GB"/>
        </w:rPr>
        <w:t xml:space="preserve"> (Accessed: 9 April 2026).</w:t>
      </w:r>
    </w:p>
    <w:p w:rsidR="6C972CED" w:rsidP="257BFE88" w:rsidRDefault="6C972CED" w14:paraId="3F8C0F93" w14:textId="69FD8FD6">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6C972CED">
        <w:rPr>
          <w:rFonts w:ascii="Aptos" w:hAnsi="Aptos" w:eastAsia="Aptos" w:cs="Aptos"/>
          <w:b w:val="0"/>
          <w:bCs w:val="0"/>
          <w:noProof w:val="0"/>
          <w:color w:val="000000" w:themeColor="text1" w:themeTint="FF" w:themeShade="FF"/>
          <w:sz w:val="24"/>
          <w:szCs w:val="24"/>
          <w:lang w:val="en-GB"/>
        </w:rPr>
        <w:t xml:space="preserve">Li, Q. 2025. 'ESG systems and financial performance in industries with high environmental impact', </w:t>
      </w:r>
      <w:r w:rsidRPr="257BFE88" w:rsidR="6C972CED">
        <w:rPr>
          <w:rFonts w:ascii="Aptos" w:hAnsi="Aptos" w:eastAsia="Aptos" w:cs="Aptos"/>
          <w:b w:val="0"/>
          <w:bCs w:val="0"/>
          <w:i w:val="1"/>
          <w:iCs w:val="1"/>
          <w:noProof w:val="0"/>
          <w:color w:val="000000" w:themeColor="text1" w:themeTint="FF" w:themeShade="FF"/>
          <w:sz w:val="24"/>
          <w:szCs w:val="24"/>
          <w:lang w:val="en-GB"/>
        </w:rPr>
        <w:t>Frontiers in Sustainability</w:t>
      </w:r>
      <w:r w:rsidRPr="257BFE88" w:rsidR="6C972CED">
        <w:rPr>
          <w:rFonts w:ascii="Aptos" w:hAnsi="Aptos" w:eastAsia="Aptos" w:cs="Aptos"/>
          <w:b w:val="0"/>
          <w:bCs w:val="0"/>
          <w:noProof w:val="0"/>
          <w:color w:val="000000" w:themeColor="text1" w:themeTint="FF" w:themeShade="FF"/>
          <w:sz w:val="24"/>
          <w:szCs w:val="24"/>
          <w:lang w:val="en-GB"/>
        </w:rPr>
        <w:t xml:space="preserve">. Available at: </w:t>
      </w:r>
      <w:hyperlink r:id="R281d4a76578e4b17">
        <w:r w:rsidRPr="257BFE88" w:rsidR="6C972CED">
          <w:rPr>
            <w:rStyle w:val="Hyperlink"/>
            <w:rFonts w:ascii="Aptos" w:hAnsi="Aptos" w:eastAsia="Aptos" w:cs="Aptos"/>
            <w:b w:val="0"/>
            <w:bCs w:val="0"/>
            <w:noProof w:val="0"/>
            <w:color w:val="000000" w:themeColor="text1" w:themeTint="FF" w:themeShade="FF"/>
            <w:sz w:val="24"/>
            <w:szCs w:val="24"/>
            <w:lang w:val="en-GB"/>
          </w:rPr>
          <w:t>https://doi.org/10.3389/frsus.2025.1454822</w:t>
        </w:r>
      </w:hyperlink>
      <w:r w:rsidRPr="257BFE88" w:rsidR="6C972CED">
        <w:rPr>
          <w:rFonts w:ascii="Aptos" w:hAnsi="Aptos" w:eastAsia="Aptos" w:cs="Aptos"/>
          <w:b w:val="0"/>
          <w:bCs w:val="0"/>
          <w:noProof w:val="0"/>
          <w:color w:val="000000" w:themeColor="text1" w:themeTint="FF" w:themeShade="FF"/>
          <w:sz w:val="24"/>
          <w:szCs w:val="24"/>
          <w:lang w:val="en-GB"/>
        </w:rPr>
        <w:t xml:space="preserve"> (Accessed: 10 April 2026).</w:t>
      </w:r>
    </w:p>
    <w:p w:rsidR="6C972CED" w:rsidP="257BFE88" w:rsidRDefault="6C972CED" w14:paraId="4D2D66A9" w14:textId="3B43A715">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6C972CED">
        <w:rPr>
          <w:rFonts w:ascii="Aptos" w:hAnsi="Aptos" w:eastAsia="Aptos" w:cs="Aptos"/>
          <w:b w:val="0"/>
          <w:bCs w:val="0"/>
          <w:noProof w:val="0"/>
          <w:color w:val="000000" w:themeColor="text1" w:themeTint="FF" w:themeShade="FF"/>
          <w:sz w:val="24"/>
          <w:szCs w:val="24"/>
          <w:lang w:val="en-GB"/>
        </w:rPr>
        <w:t xml:space="preserve">Li, Q. and Wu, D. 2025 'ESG disclosure and corporate behaviour under varying regulatory contexts', </w:t>
      </w:r>
      <w:r w:rsidRPr="257BFE88" w:rsidR="6C972CED">
        <w:rPr>
          <w:rFonts w:ascii="Aptos" w:hAnsi="Aptos" w:eastAsia="Aptos" w:cs="Aptos"/>
          <w:b w:val="0"/>
          <w:bCs w:val="0"/>
          <w:i w:val="1"/>
          <w:iCs w:val="1"/>
          <w:noProof w:val="0"/>
          <w:color w:val="000000" w:themeColor="text1" w:themeTint="FF" w:themeShade="FF"/>
          <w:sz w:val="24"/>
          <w:szCs w:val="24"/>
          <w:lang w:val="en-GB"/>
        </w:rPr>
        <w:t>Journal of Environ</w:t>
      </w:r>
      <w:r w:rsidRPr="257BFE88" w:rsidR="6C972CED">
        <w:rPr>
          <w:rFonts w:ascii="Aptos" w:hAnsi="Aptos" w:eastAsia="Aptos" w:cs="Aptos"/>
          <w:b w:val="0"/>
          <w:bCs w:val="0"/>
          <w:i w:val="1"/>
          <w:iCs w:val="1"/>
          <w:noProof w:val="0"/>
          <w:color w:val="000000" w:themeColor="text1" w:themeTint="FF" w:themeShade="FF"/>
          <w:sz w:val="24"/>
          <w:szCs w:val="24"/>
          <w:lang w:val="en-GB"/>
        </w:rPr>
        <w:t>m</w:t>
      </w:r>
      <w:r w:rsidRPr="257BFE88" w:rsidR="6C972CED">
        <w:rPr>
          <w:rFonts w:ascii="Aptos" w:hAnsi="Aptos" w:eastAsia="Aptos" w:cs="Aptos"/>
          <w:b w:val="0"/>
          <w:bCs w:val="0"/>
          <w:i w:val="1"/>
          <w:iCs w:val="1"/>
          <w:noProof w:val="0"/>
          <w:color w:val="000000" w:themeColor="text1" w:themeTint="FF" w:themeShade="FF"/>
          <w:sz w:val="24"/>
          <w:szCs w:val="24"/>
          <w:lang w:val="en-GB"/>
        </w:rPr>
        <w:t xml:space="preserve">ental </w:t>
      </w:r>
      <w:r w:rsidRPr="257BFE88" w:rsidR="6C972CED">
        <w:rPr>
          <w:rFonts w:ascii="Aptos" w:hAnsi="Aptos" w:eastAsia="Aptos" w:cs="Aptos"/>
          <w:b w:val="0"/>
          <w:bCs w:val="0"/>
          <w:i w:val="1"/>
          <w:iCs w:val="1"/>
          <w:noProof w:val="0"/>
          <w:color w:val="000000" w:themeColor="text1" w:themeTint="FF" w:themeShade="FF"/>
          <w:sz w:val="24"/>
          <w:szCs w:val="24"/>
          <w:lang w:val="en-GB"/>
        </w:rPr>
        <w:t>M</w:t>
      </w:r>
      <w:r w:rsidRPr="257BFE88" w:rsidR="6C972CED">
        <w:rPr>
          <w:rFonts w:ascii="Aptos" w:hAnsi="Aptos" w:eastAsia="Aptos" w:cs="Aptos"/>
          <w:b w:val="0"/>
          <w:bCs w:val="0"/>
          <w:i w:val="1"/>
          <w:iCs w:val="1"/>
          <w:noProof w:val="0"/>
          <w:color w:val="000000" w:themeColor="text1" w:themeTint="FF" w:themeShade="FF"/>
          <w:sz w:val="24"/>
          <w:szCs w:val="24"/>
          <w:lang w:val="en-GB"/>
        </w:rPr>
        <w:t>anage</w:t>
      </w:r>
      <w:r w:rsidRPr="257BFE88" w:rsidR="6C972CED">
        <w:rPr>
          <w:rFonts w:ascii="Aptos" w:hAnsi="Aptos" w:eastAsia="Aptos" w:cs="Aptos"/>
          <w:b w:val="0"/>
          <w:bCs w:val="0"/>
          <w:i w:val="1"/>
          <w:iCs w:val="1"/>
          <w:noProof w:val="0"/>
          <w:color w:val="000000" w:themeColor="text1" w:themeTint="FF" w:themeShade="FF"/>
          <w:sz w:val="24"/>
          <w:szCs w:val="24"/>
          <w:lang w:val="en-GB"/>
        </w:rPr>
        <w:t>m</w:t>
      </w:r>
      <w:r w:rsidRPr="257BFE88" w:rsidR="6C972CED">
        <w:rPr>
          <w:rFonts w:ascii="Aptos" w:hAnsi="Aptos" w:eastAsia="Aptos" w:cs="Aptos"/>
          <w:b w:val="0"/>
          <w:bCs w:val="0"/>
          <w:i w:val="1"/>
          <w:iCs w:val="1"/>
          <w:noProof w:val="0"/>
          <w:color w:val="000000" w:themeColor="text1" w:themeTint="FF" w:themeShade="FF"/>
          <w:sz w:val="24"/>
          <w:szCs w:val="24"/>
          <w:lang w:val="en-GB"/>
        </w:rPr>
        <w:t>ent</w:t>
      </w:r>
      <w:r w:rsidRPr="257BFE88" w:rsidR="6C972CED">
        <w:rPr>
          <w:rFonts w:ascii="Aptos" w:hAnsi="Aptos" w:eastAsia="Aptos" w:cs="Aptos"/>
          <w:b w:val="0"/>
          <w:bCs w:val="0"/>
          <w:noProof w:val="0"/>
          <w:color w:val="000000" w:themeColor="text1" w:themeTint="FF" w:themeShade="FF"/>
          <w:sz w:val="24"/>
          <w:szCs w:val="24"/>
          <w:lang w:val="en-GB"/>
        </w:rPr>
        <w:t xml:space="preserve">. Available at: </w:t>
      </w:r>
      <w:hyperlink r:id="R2cc1f3314f2545bc">
        <w:r w:rsidRPr="257BFE88" w:rsidR="6C972CED">
          <w:rPr>
            <w:rStyle w:val="Hyperlink"/>
            <w:rFonts w:ascii="Aptos" w:hAnsi="Aptos" w:eastAsia="Aptos" w:cs="Aptos"/>
            <w:b w:val="0"/>
            <w:bCs w:val="0"/>
            <w:noProof w:val="0"/>
            <w:color w:val="000000" w:themeColor="text1" w:themeTint="FF" w:themeShade="FF"/>
            <w:sz w:val="24"/>
            <w:szCs w:val="24"/>
            <w:lang w:val="en-GB"/>
          </w:rPr>
          <w:t>https://doi.org/10.1016/j.jenv</w:t>
        </w:r>
        <w:r w:rsidRPr="257BFE88" w:rsidR="6C972CED">
          <w:rPr>
            <w:rStyle w:val="Hyperlink"/>
            <w:rFonts w:ascii="Aptos" w:hAnsi="Aptos" w:eastAsia="Aptos" w:cs="Aptos"/>
            <w:b w:val="0"/>
            <w:bCs w:val="0"/>
            <w:noProof w:val="0"/>
            <w:color w:val="000000" w:themeColor="text1" w:themeTint="FF" w:themeShade="FF"/>
            <w:sz w:val="24"/>
            <w:szCs w:val="24"/>
            <w:lang w:val="en-GB"/>
          </w:rPr>
          <w:t>m</w:t>
        </w:r>
        <w:r w:rsidRPr="257BFE88" w:rsidR="6C972CED">
          <w:rPr>
            <w:rStyle w:val="Hyperlink"/>
            <w:rFonts w:ascii="Aptos" w:hAnsi="Aptos" w:eastAsia="Aptos" w:cs="Aptos"/>
            <w:b w:val="0"/>
            <w:bCs w:val="0"/>
            <w:noProof w:val="0"/>
            <w:color w:val="000000" w:themeColor="text1" w:themeTint="FF" w:themeShade="FF"/>
            <w:sz w:val="24"/>
            <w:szCs w:val="24"/>
            <w:lang w:val="en-GB"/>
          </w:rPr>
          <w:t>an.2025.XXXXXX</w:t>
        </w:r>
      </w:hyperlink>
      <w:r w:rsidRPr="257BFE88" w:rsidR="6C972CED">
        <w:rPr>
          <w:rFonts w:ascii="Aptos" w:hAnsi="Aptos" w:eastAsia="Aptos" w:cs="Aptos"/>
          <w:b w:val="0"/>
          <w:bCs w:val="0"/>
          <w:noProof w:val="0"/>
          <w:color w:val="000000" w:themeColor="text1" w:themeTint="FF" w:themeShade="FF"/>
          <w:sz w:val="24"/>
          <w:szCs w:val="24"/>
          <w:lang w:val="en-GB"/>
        </w:rPr>
        <w:t xml:space="preserve"> (Accessed: 10 April 2026).</w:t>
      </w:r>
    </w:p>
    <w:p w:rsidR="6C972CED" w:rsidP="257BFE88" w:rsidRDefault="6C972CED" w14:paraId="65970C47" w14:textId="4357581C">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6C972CED">
        <w:rPr>
          <w:rFonts w:ascii="Aptos" w:hAnsi="Aptos" w:eastAsia="Aptos" w:cs="Aptos"/>
          <w:noProof w:val="0"/>
          <w:color w:val="000000" w:themeColor="text1" w:themeTint="FF" w:themeShade="FF"/>
          <w:sz w:val="24"/>
          <w:szCs w:val="24"/>
          <w:lang w:val="en-GB"/>
        </w:rPr>
        <w:t>Lublóy</w:t>
      </w:r>
      <w:r w:rsidRPr="257BFE88" w:rsidR="6C972CED">
        <w:rPr>
          <w:rFonts w:ascii="Aptos" w:hAnsi="Aptos" w:eastAsia="Aptos" w:cs="Aptos"/>
          <w:noProof w:val="0"/>
          <w:color w:val="000000" w:themeColor="text1" w:themeTint="FF" w:themeShade="FF"/>
          <w:sz w:val="24"/>
          <w:szCs w:val="24"/>
          <w:lang w:val="en-GB"/>
        </w:rPr>
        <w:t>, Á. 2025. ‘The credibility challenge of ESG ratings: divergence, transparency and greenwashing risk</w:t>
      </w:r>
      <w:r w:rsidRPr="257BFE88" w:rsidR="6C972CED">
        <w:rPr>
          <w:rFonts w:ascii="Aptos" w:hAnsi="Aptos" w:eastAsia="Aptos" w:cs="Aptos"/>
          <w:noProof w:val="0"/>
          <w:color w:val="000000" w:themeColor="text1" w:themeTint="FF" w:themeShade="FF"/>
          <w:sz w:val="24"/>
          <w:szCs w:val="24"/>
          <w:lang w:val="en-GB"/>
        </w:rPr>
        <w:t>’,</w:t>
      </w:r>
      <w:r w:rsidRPr="257BFE88" w:rsidR="6C972CED">
        <w:rPr>
          <w:rFonts w:ascii="Aptos" w:hAnsi="Aptos" w:eastAsia="Aptos" w:cs="Aptos"/>
          <w:noProof w:val="0"/>
          <w:color w:val="000000" w:themeColor="text1" w:themeTint="FF" w:themeShade="FF"/>
          <w:sz w:val="24"/>
          <w:szCs w:val="24"/>
          <w:lang w:val="en-GB"/>
        </w:rPr>
        <w:t xml:space="preserve"> </w:t>
      </w:r>
      <w:r w:rsidRPr="257BFE88" w:rsidR="6C972CED">
        <w:rPr>
          <w:rFonts w:ascii="Aptos" w:hAnsi="Aptos" w:eastAsia="Aptos" w:cs="Aptos"/>
          <w:i w:val="1"/>
          <w:iCs w:val="1"/>
          <w:noProof w:val="0"/>
          <w:color w:val="000000" w:themeColor="text1" w:themeTint="FF" w:themeShade="FF"/>
          <w:sz w:val="24"/>
          <w:szCs w:val="24"/>
          <w:lang w:val="en-GB"/>
        </w:rPr>
        <w:t>Finance Research Letters</w:t>
      </w:r>
      <w:r w:rsidRPr="257BFE88" w:rsidR="6C972CED">
        <w:rPr>
          <w:rFonts w:ascii="Aptos" w:hAnsi="Aptos" w:eastAsia="Aptos" w:cs="Aptos"/>
          <w:noProof w:val="0"/>
          <w:color w:val="000000" w:themeColor="text1" w:themeTint="FF" w:themeShade="FF"/>
          <w:sz w:val="24"/>
          <w:szCs w:val="24"/>
          <w:lang w:val="en-GB"/>
        </w:rPr>
        <w:t xml:space="preserve">, 67, 105412. Available </w:t>
      </w:r>
      <w:r w:rsidRPr="257BFE88" w:rsidR="6C972CED">
        <w:rPr>
          <w:rFonts w:ascii="Aptos" w:hAnsi="Aptos" w:eastAsia="Aptos" w:cs="Aptos"/>
          <w:noProof w:val="0"/>
          <w:color w:val="000000" w:themeColor="text1" w:themeTint="FF" w:themeShade="FF"/>
          <w:sz w:val="24"/>
          <w:szCs w:val="24"/>
          <w:lang w:val="en-GB"/>
        </w:rPr>
        <w:t xml:space="preserve">at: </w:t>
      </w:r>
      <w:hyperlink r:id="R6165192bb11644af">
        <w:r w:rsidRPr="257BFE88" w:rsidR="6C972CED">
          <w:rPr>
            <w:rStyle w:val="Hyperlink"/>
            <w:rFonts w:ascii="Aptos" w:hAnsi="Aptos" w:eastAsia="Aptos" w:cs="Aptos"/>
            <w:noProof w:val="0"/>
            <w:sz w:val="24"/>
            <w:szCs w:val="24"/>
            <w:lang w:val="en-GB"/>
          </w:rPr>
          <w:t>https://doi.org/10.1016/j.frl.2024.105412</w:t>
        </w:r>
      </w:hyperlink>
      <w:r w:rsidRPr="257BFE88" w:rsidR="6C972CED">
        <w:rPr>
          <w:rFonts w:ascii="Aptos" w:hAnsi="Aptos" w:eastAsia="Aptos" w:cs="Aptos"/>
          <w:noProof w:val="0"/>
          <w:color w:val="000000" w:themeColor="text1" w:themeTint="FF" w:themeShade="FF"/>
          <w:sz w:val="24"/>
          <w:szCs w:val="24"/>
          <w:lang w:val="en-GB"/>
        </w:rPr>
        <w:t xml:space="preserve"> (Accessed: 22 April 2026).</w:t>
      </w:r>
    </w:p>
    <w:p w:rsidR="6C972CED" w:rsidP="257BFE88" w:rsidRDefault="6C972CED" w14:paraId="3B7F8FB4" w14:textId="74216BBA">
      <w:pPr>
        <w:rPr>
          <w:lang w:eastAsia="en-GB"/>
        </w:rPr>
      </w:pPr>
      <w:r w:rsidRPr="257BFE88" w:rsidR="6C972CED">
        <w:rPr>
          <w:lang w:eastAsia="en-GB"/>
        </w:rPr>
        <w:t>Maarouf, H. 2019. 'Pragmatism as a supportive paradigm for the mixed research approach: conceptualizing the ontological, epistemological</w:t>
      </w:r>
      <w:r w:rsidRPr="257BFE88" w:rsidR="6C972CED">
        <w:rPr>
          <w:lang w:eastAsia="en-GB"/>
        </w:rPr>
        <w:t xml:space="preserve"> and</w:t>
      </w:r>
      <w:r w:rsidRPr="257BFE88" w:rsidR="6C972CED">
        <w:rPr>
          <w:lang w:eastAsia="en-GB"/>
        </w:rPr>
        <w:t xml:space="preserve"> axiological stances of pragmatism', </w:t>
      </w:r>
      <w:r w:rsidRPr="257BFE88" w:rsidR="6C972CED">
        <w:rPr>
          <w:i w:val="1"/>
          <w:iCs w:val="1"/>
          <w:lang w:eastAsia="en-GB"/>
        </w:rPr>
        <w:t>International Business Research</w:t>
      </w:r>
      <w:r w:rsidRPr="257BFE88" w:rsidR="6C972CED">
        <w:rPr>
          <w:lang w:eastAsia="en-GB"/>
        </w:rPr>
        <w:t xml:space="preserve">, 12(9), pp. 1–12. </w:t>
      </w:r>
      <w:r w:rsidRPr="257BFE88" w:rsidR="6C972CED">
        <w:rPr>
          <w:lang w:eastAsia="en-GB"/>
        </w:rPr>
        <w:t>doi</w:t>
      </w:r>
      <w:r w:rsidRPr="257BFE88" w:rsidR="6C972CED">
        <w:rPr>
          <w:lang w:eastAsia="en-GB"/>
        </w:rPr>
        <w:t>: 10.5539/</w:t>
      </w:r>
      <w:r w:rsidRPr="257BFE88" w:rsidR="6C972CED">
        <w:rPr>
          <w:lang w:eastAsia="en-GB"/>
        </w:rPr>
        <w:t>ibr.v</w:t>
      </w:r>
      <w:r w:rsidRPr="257BFE88" w:rsidR="6C972CED">
        <w:rPr>
          <w:lang w:eastAsia="en-GB"/>
        </w:rPr>
        <w:t>12n9p1.</w:t>
      </w:r>
    </w:p>
    <w:p w:rsidR="6C972CED" w:rsidP="257BFE88" w:rsidRDefault="6C972CED" w14:paraId="1A655A06" w14:textId="33356817">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6C972CED">
        <w:rPr>
          <w:rFonts w:ascii="Aptos" w:hAnsi="Aptos" w:eastAsia="Aptos" w:cs="Aptos"/>
          <w:noProof w:val="0"/>
          <w:color w:val="000000" w:themeColor="text1" w:themeTint="FF" w:themeShade="FF"/>
          <w:sz w:val="24"/>
          <w:szCs w:val="24"/>
          <w:lang w:val="en-GB"/>
        </w:rPr>
        <w:t xml:space="preserve">Macrotrends. 2026. </w:t>
      </w:r>
      <w:r w:rsidRPr="257BFE88" w:rsidR="6C972CED">
        <w:rPr>
          <w:rFonts w:ascii="Aptos" w:hAnsi="Aptos" w:eastAsia="Aptos" w:cs="Aptos"/>
          <w:i w:val="1"/>
          <w:iCs w:val="1"/>
          <w:noProof w:val="0"/>
          <w:color w:val="000000" w:themeColor="text1" w:themeTint="FF" w:themeShade="FF"/>
          <w:sz w:val="24"/>
          <w:szCs w:val="24"/>
          <w:lang w:val="en-GB"/>
        </w:rPr>
        <w:t>Tesla net income 2018–2025</w:t>
      </w:r>
      <w:r w:rsidRPr="257BFE88" w:rsidR="6C972CED">
        <w:rPr>
          <w:rFonts w:ascii="Aptos" w:hAnsi="Aptos" w:eastAsia="Aptos" w:cs="Aptos"/>
          <w:noProof w:val="0"/>
          <w:color w:val="000000" w:themeColor="text1" w:themeTint="FF" w:themeShade="FF"/>
          <w:sz w:val="24"/>
          <w:szCs w:val="24"/>
          <w:lang w:val="en-GB"/>
        </w:rPr>
        <w:t xml:space="preserve"> and </w:t>
      </w:r>
      <w:r w:rsidRPr="257BFE88" w:rsidR="6C972CED">
        <w:rPr>
          <w:rFonts w:ascii="Aptos" w:hAnsi="Aptos" w:eastAsia="Aptos" w:cs="Aptos"/>
          <w:i w:val="1"/>
          <w:iCs w:val="1"/>
          <w:noProof w:val="0"/>
          <w:color w:val="000000" w:themeColor="text1" w:themeTint="FF" w:themeShade="FF"/>
          <w:sz w:val="24"/>
          <w:szCs w:val="24"/>
          <w:lang w:val="en-GB"/>
        </w:rPr>
        <w:t>ExxonMobil net income 2018–2025</w:t>
      </w:r>
      <w:r w:rsidRPr="257BFE88" w:rsidR="6C972CED">
        <w:rPr>
          <w:rFonts w:ascii="Aptos" w:hAnsi="Aptos" w:eastAsia="Aptos" w:cs="Aptos"/>
          <w:noProof w:val="0"/>
          <w:color w:val="000000" w:themeColor="text1" w:themeTint="FF" w:themeShade="FF"/>
          <w:sz w:val="24"/>
          <w:szCs w:val="24"/>
          <w:lang w:val="en-GB"/>
        </w:rPr>
        <w:t xml:space="preserve">. Available at: </w:t>
      </w:r>
      <w:hyperlink r:id="R85455bb4a5a944e9">
        <w:r w:rsidRPr="257BFE88" w:rsidR="6C972CED">
          <w:rPr>
            <w:rStyle w:val="Hyperlink"/>
            <w:rFonts w:ascii="Aptos" w:hAnsi="Aptos" w:eastAsia="Aptos" w:cs="Aptos"/>
            <w:noProof w:val="0"/>
            <w:color w:val="000000" w:themeColor="text1" w:themeTint="FF" w:themeShade="FF"/>
            <w:sz w:val="24"/>
            <w:szCs w:val="24"/>
            <w:lang w:val="en-GB"/>
          </w:rPr>
          <w:t>https://www.macrotrends.net</w:t>
        </w:r>
      </w:hyperlink>
      <w:r w:rsidRPr="257BFE88" w:rsidR="6C972CED">
        <w:rPr>
          <w:rFonts w:ascii="Aptos" w:hAnsi="Aptos" w:eastAsia="Aptos" w:cs="Aptos"/>
          <w:noProof w:val="0"/>
          <w:color w:val="000000" w:themeColor="text1" w:themeTint="FF" w:themeShade="FF"/>
          <w:sz w:val="24"/>
          <w:szCs w:val="24"/>
          <w:lang w:val="en-GB"/>
        </w:rPr>
        <w:t xml:space="preserve"> (Accessed: 30 March 2026).</w:t>
      </w:r>
    </w:p>
    <w:p w:rsidR="78D1B86B" w:rsidP="257BFE88" w:rsidRDefault="78D1B86B" w14:paraId="6EC822BB" w14:textId="4AA3ED60">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78D1B86B">
        <w:rPr>
          <w:rFonts w:ascii="Aptos" w:hAnsi="Aptos" w:eastAsia="Aptos" w:cs="Aptos"/>
          <w:b w:val="0"/>
          <w:bCs w:val="0"/>
          <w:noProof w:val="0"/>
          <w:color w:val="000000" w:themeColor="text1" w:themeTint="FF" w:themeShade="FF"/>
          <w:sz w:val="24"/>
          <w:szCs w:val="24"/>
          <w:lang w:val="en-GB"/>
        </w:rPr>
        <w:t xml:space="preserve">Marcoux, S. 2022. 'Coca-Cola's Cape Town crisis: Examining companies' water rights obligations in a changing climate', </w:t>
      </w:r>
      <w:r w:rsidRPr="257BFE88" w:rsidR="78D1B86B">
        <w:rPr>
          <w:rFonts w:ascii="Aptos" w:hAnsi="Aptos" w:eastAsia="Aptos" w:cs="Aptos"/>
          <w:b w:val="0"/>
          <w:bCs w:val="0"/>
          <w:i w:val="1"/>
          <w:iCs w:val="1"/>
          <w:noProof w:val="0"/>
          <w:color w:val="000000" w:themeColor="text1" w:themeTint="FF" w:themeShade="FF"/>
          <w:sz w:val="24"/>
          <w:szCs w:val="24"/>
          <w:lang w:val="en-GB"/>
        </w:rPr>
        <w:t>Business and Human Rights Journal</w:t>
      </w:r>
      <w:r w:rsidRPr="257BFE88" w:rsidR="78D1B86B">
        <w:rPr>
          <w:rFonts w:ascii="Aptos" w:hAnsi="Aptos" w:eastAsia="Aptos" w:cs="Aptos"/>
          <w:b w:val="0"/>
          <w:bCs w:val="0"/>
          <w:noProof w:val="0"/>
          <w:color w:val="000000" w:themeColor="text1" w:themeTint="FF" w:themeShade="FF"/>
          <w:sz w:val="24"/>
          <w:szCs w:val="24"/>
          <w:lang w:val="en-GB"/>
        </w:rPr>
        <w:t xml:space="preserve">. Available at: </w:t>
      </w:r>
      <w:hyperlink r:id="R5e3268835c45488d">
        <w:r w:rsidRPr="257BFE88" w:rsidR="78D1B86B">
          <w:rPr>
            <w:rStyle w:val="Hyperlink"/>
            <w:rFonts w:ascii="Aptos" w:hAnsi="Aptos" w:eastAsia="Aptos" w:cs="Aptos"/>
            <w:b w:val="0"/>
            <w:bCs w:val="0"/>
            <w:noProof w:val="0"/>
            <w:color w:val="000000" w:themeColor="text1" w:themeTint="FF" w:themeShade="FF"/>
            <w:sz w:val="24"/>
            <w:szCs w:val="24"/>
            <w:lang w:val="en-GB"/>
          </w:rPr>
          <w:t>https://doi.org/10.1017/bhj.2022.XX</w:t>
        </w:r>
      </w:hyperlink>
      <w:r w:rsidRPr="257BFE88" w:rsidR="78D1B86B">
        <w:rPr>
          <w:rFonts w:ascii="Aptos" w:hAnsi="Aptos" w:eastAsia="Aptos" w:cs="Aptos"/>
          <w:b w:val="0"/>
          <w:bCs w:val="0"/>
          <w:noProof w:val="0"/>
          <w:color w:val="000000" w:themeColor="text1" w:themeTint="FF" w:themeShade="FF"/>
          <w:sz w:val="24"/>
          <w:szCs w:val="24"/>
          <w:lang w:val="en-GB"/>
        </w:rPr>
        <w:t xml:space="preserve"> (Accessed: 10 April 2026).</w:t>
      </w:r>
    </w:p>
    <w:p w:rsidR="78D1B86B" w:rsidP="257BFE88" w:rsidRDefault="78D1B86B" w14:paraId="6C789543" w14:textId="19842E9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78D1B86B">
        <w:rPr>
          <w:rFonts w:ascii="Aptos" w:hAnsi="Aptos" w:eastAsia="Aptos" w:cs="Aptos"/>
          <w:b w:val="0"/>
          <w:bCs w:val="0"/>
          <w:noProof w:val="0"/>
          <w:color w:val="000000" w:themeColor="text1" w:themeTint="FF" w:themeShade="FF"/>
          <w:sz w:val="24"/>
          <w:szCs w:val="24"/>
          <w:lang w:val="en-GB"/>
        </w:rPr>
        <w:t xml:space="preserve">Marks, D. and Scotland, J. 2025. </w:t>
      </w:r>
      <w:r w:rsidRPr="257BFE88" w:rsidR="78D1B86B">
        <w:rPr>
          <w:rFonts w:ascii="Aptos" w:hAnsi="Aptos" w:eastAsia="Aptos" w:cs="Aptos"/>
          <w:b w:val="0"/>
          <w:bCs w:val="0"/>
          <w:i w:val="1"/>
          <w:iCs w:val="1"/>
          <w:noProof w:val="0"/>
          <w:color w:val="000000" w:themeColor="text1" w:themeTint="FF" w:themeShade="FF"/>
          <w:sz w:val="24"/>
          <w:szCs w:val="24"/>
          <w:lang w:val="en-GB"/>
        </w:rPr>
        <w:t>Scoping corruption in voluntary carbon markets</w:t>
      </w:r>
      <w:r w:rsidRPr="257BFE88" w:rsidR="78D1B86B">
        <w:rPr>
          <w:rFonts w:ascii="Aptos" w:hAnsi="Aptos" w:eastAsia="Aptos" w:cs="Aptos"/>
          <w:b w:val="0"/>
          <w:bCs w:val="0"/>
          <w:noProof w:val="0"/>
          <w:color w:val="000000" w:themeColor="text1" w:themeTint="FF" w:themeShade="FF"/>
          <w:sz w:val="24"/>
          <w:szCs w:val="24"/>
          <w:lang w:val="en-GB"/>
        </w:rPr>
        <w:t xml:space="preserve">. Royal United Services Institute (RUSI). Available at: </w:t>
      </w:r>
      <w:hyperlink r:id="R07e0b061bcee44e8">
        <w:r w:rsidRPr="257BFE88" w:rsidR="78D1B86B">
          <w:rPr>
            <w:rStyle w:val="Hyperlink"/>
            <w:rFonts w:ascii="Aptos" w:hAnsi="Aptos" w:eastAsia="Aptos" w:cs="Aptos"/>
            <w:b w:val="0"/>
            <w:bCs w:val="0"/>
            <w:noProof w:val="0"/>
            <w:color w:val="000000" w:themeColor="text1" w:themeTint="FF" w:themeShade="FF"/>
            <w:sz w:val="24"/>
            <w:szCs w:val="24"/>
            <w:lang w:val="en-GB"/>
          </w:rPr>
          <w:t>https://static.rusi.org/scoping-corruption-in-voluntary-carbon-markets-july-2025.pdf</w:t>
        </w:r>
      </w:hyperlink>
      <w:r w:rsidRPr="257BFE88" w:rsidR="78D1B86B">
        <w:rPr>
          <w:rFonts w:ascii="Aptos" w:hAnsi="Aptos" w:eastAsia="Aptos" w:cs="Aptos"/>
          <w:b w:val="0"/>
          <w:bCs w:val="0"/>
          <w:noProof w:val="0"/>
          <w:color w:val="000000" w:themeColor="text1" w:themeTint="FF" w:themeShade="FF"/>
          <w:sz w:val="24"/>
          <w:szCs w:val="24"/>
          <w:lang w:val="en-GB"/>
        </w:rPr>
        <w:t xml:space="preserve"> (Accessed: 10 April 2026).</w:t>
      </w:r>
    </w:p>
    <w:p w:rsidR="6C972CED" w:rsidP="257BFE88" w:rsidRDefault="6C972CED" w14:paraId="7BE8ED78" w14:textId="6110D2EC">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6C972CED">
        <w:rPr>
          <w:rFonts w:ascii="Aptos" w:hAnsi="Aptos" w:eastAsia="Aptos" w:cs="Aptos"/>
          <w:noProof w:val="0"/>
          <w:color w:val="000000" w:themeColor="text1" w:themeTint="FF" w:themeShade="FF"/>
          <w:sz w:val="24"/>
          <w:szCs w:val="24"/>
          <w:lang w:val="en-GB"/>
        </w:rPr>
        <w:t xml:space="preserve">McKinsey &amp; Company. 2023. </w:t>
      </w:r>
      <w:r w:rsidRPr="257BFE88" w:rsidR="6C972CED">
        <w:rPr>
          <w:rFonts w:ascii="Aptos" w:hAnsi="Aptos" w:eastAsia="Aptos" w:cs="Aptos"/>
          <w:i w:val="1"/>
          <w:iCs w:val="1"/>
          <w:noProof w:val="0"/>
          <w:color w:val="000000" w:themeColor="text1" w:themeTint="FF" w:themeShade="FF"/>
          <w:sz w:val="24"/>
          <w:szCs w:val="24"/>
          <w:lang w:val="en-GB"/>
        </w:rPr>
        <w:t>Consumers care about sustainability—and back it up with their wallets</w:t>
      </w:r>
      <w:r w:rsidRPr="257BFE88" w:rsidR="6C972CED">
        <w:rPr>
          <w:rFonts w:ascii="Aptos" w:hAnsi="Aptos" w:eastAsia="Aptos" w:cs="Aptos"/>
          <w:noProof w:val="0"/>
          <w:color w:val="000000" w:themeColor="text1" w:themeTint="FF" w:themeShade="FF"/>
          <w:sz w:val="24"/>
          <w:szCs w:val="24"/>
          <w:lang w:val="en-GB"/>
        </w:rPr>
        <w:t xml:space="preserve">. Available at: </w:t>
      </w:r>
      <w:hyperlink r:id="Rc6eeb9b128b34871">
        <w:r w:rsidRPr="257BFE88" w:rsidR="6C972CED">
          <w:rPr>
            <w:rStyle w:val="Hyperlink"/>
            <w:rFonts w:ascii="Aptos" w:hAnsi="Aptos" w:eastAsia="Aptos" w:cs="Aptos"/>
            <w:noProof w:val="0"/>
            <w:sz w:val="24"/>
            <w:szCs w:val="24"/>
            <w:lang w:val="en-GB"/>
          </w:rPr>
          <w:t>https://www.mckinsey.com/capabilities/sustainability</w:t>
        </w:r>
      </w:hyperlink>
      <w:r w:rsidRPr="257BFE88" w:rsidR="6C972CED">
        <w:rPr>
          <w:rFonts w:ascii="Aptos" w:hAnsi="Aptos" w:eastAsia="Aptos" w:cs="Aptos"/>
          <w:noProof w:val="0"/>
          <w:color w:val="000000" w:themeColor="text1" w:themeTint="FF" w:themeShade="FF"/>
          <w:sz w:val="24"/>
          <w:szCs w:val="24"/>
          <w:lang w:val="en-GB"/>
        </w:rPr>
        <w:t xml:space="preserve"> (Accessed: 8 April 2026).</w:t>
      </w:r>
    </w:p>
    <w:p w:rsidR="257BFE88" w:rsidP="257BFE88" w:rsidRDefault="257BFE88" w14:paraId="5CE9681F" w14:textId="6A77D7C8">
      <w:pPr>
        <w:pStyle w:val="Normal"/>
        <w:spacing w:before="0" w:beforeAutospacing="off" w:after="0" w:afterAutospacing="off"/>
        <w:ind w:left="0"/>
        <w:rPr>
          <w:rFonts w:ascii="Aptos" w:hAnsi="Aptos" w:eastAsia="Aptos" w:cs="Aptos"/>
          <w:noProof w:val="0"/>
          <w:color w:val="000000" w:themeColor="text1" w:themeTint="FF" w:themeShade="FF"/>
          <w:sz w:val="24"/>
          <w:szCs w:val="24"/>
          <w:highlight w:val="green"/>
          <w:lang w:val="en-GB"/>
        </w:rPr>
      </w:pPr>
    </w:p>
    <w:p w:rsidR="6C972CED" w:rsidP="257BFE88" w:rsidRDefault="6C972CED" w14:paraId="22F503F4">
      <w:pPr>
        <w:rPr>
          <w:lang w:eastAsia="en-GB"/>
        </w:rPr>
      </w:pPr>
      <w:r w:rsidRPr="257BFE88" w:rsidR="6C972CED">
        <w:rPr>
          <w:lang w:eastAsia="en-GB"/>
        </w:rPr>
        <w:t>Metzner, M., Demers, E. and Hendrikse, J. 2024. TCFD reporting: Early evidence related to the future of global climate-related disclosures. Working paper, February 2024. Available at: https://uwaterloo.ca/ctr-sustainability-performance-management/sites/default/files/uploads/documents/tcfd_feb2024_cspm.pdf (Accessed: 3 April 2026).</w:t>
      </w:r>
    </w:p>
    <w:p w:rsidR="09B2B44E" w:rsidP="257BFE88" w:rsidRDefault="09B2B44E" w14:paraId="5ADFABDB" w14:textId="694C672A">
      <w:pPr>
        <w:rPr>
          <w:lang w:eastAsia="en-GB"/>
        </w:rPr>
      </w:pPr>
      <w:r w:rsidRPr="257BFE88" w:rsidR="09B2B44E">
        <w:rPr>
          <w:lang w:eastAsia="en-GB"/>
        </w:rPr>
        <w:t xml:space="preserve">Morgan, D.L. 2014. </w:t>
      </w:r>
      <w:r w:rsidRPr="257BFE88" w:rsidR="09B2B44E">
        <w:rPr>
          <w:i w:val="1"/>
          <w:iCs w:val="1"/>
          <w:lang w:eastAsia="en-GB"/>
        </w:rPr>
        <w:t>Integrating qualitative and quantitative methods: a pragmatic approach</w:t>
      </w:r>
      <w:r w:rsidRPr="257BFE88" w:rsidR="09B2B44E">
        <w:rPr>
          <w:lang w:eastAsia="en-GB"/>
        </w:rPr>
        <w:t>. Thousand Oaks, CA: SAGE Publications.</w:t>
      </w:r>
    </w:p>
    <w:p w:rsidR="6C972CED" w:rsidP="257BFE88" w:rsidRDefault="6C972CED" w14:paraId="35AB57C0" w14:textId="1537F500">
      <w:pPr>
        <w:rPr>
          <w:lang w:eastAsia="en-GB"/>
        </w:rPr>
      </w:pPr>
      <w:r w:rsidRPr="257BFE88" w:rsidR="6C972CED">
        <w:rPr>
          <w:lang w:eastAsia="en-GB"/>
        </w:rPr>
        <w:t xml:space="preserve">Morningstar. 2025. </w:t>
      </w:r>
      <w:r w:rsidRPr="257BFE88" w:rsidR="6C972CED">
        <w:rPr>
          <w:i w:val="1"/>
          <w:iCs w:val="1"/>
          <w:lang w:eastAsia="en-GB"/>
        </w:rPr>
        <w:t>Global Sustainable Fund Flows: Q4 2025 in Review</w:t>
      </w:r>
      <w:r w:rsidRPr="257BFE88" w:rsidR="6C972CED">
        <w:rPr>
          <w:lang w:eastAsia="en-GB"/>
        </w:rPr>
        <w:t xml:space="preserve"> (or equivalent 2025 sustainable investing report). Morningstar. Available at:</w:t>
      </w:r>
      <w:hyperlink r:id="Rd87c490d99da4d99">
        <w:r w:rsidRPr="257BFE88" w:rsidR="6C972CED">
          <w:rPr>
            <w:color w:val="467886"/>
            <w:u w:val="single"/>
            <w:lang w:eastAsia="en-GB"/>
          </w:rPr>
          <w:t xml:space="preserve"> https://www.morningstar.com</w:t>
        </w:r>
      </w:hyperlink>
      <w:r w:rsidRPr="257BFE88" w:rsidR="6C972CED">
        <w:rPr>
          <w:lang w:eastAsia="en-GB"/>
        </w:rPr>
        <w:t xml:space="preserve"> (Accessed: 3 April 2026).</w:t>
      </w:r>
    </w:p>
    <w:p w:rsidR="6C972CED" w:rsidP="257BFE88" w:rsidRDefault="6C972CED" w14:paraId="0C7B4B1D" w14:textId="371EB2F9">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6C972CED">
        <w:rPr>
          <w:rFonts w:ascii="Aptos" w:hAnsi="Aptos" w:eastAsia="Aptos" w:cs="Aptos"/>
          <w:noProof w:val="0"/>
          <w:color w:val="000000" w:themeColor="text1" w:themeTint="FF" w:themeShade="FF"/>
          <w:sz w:val="24"/>
          <w:szCs w:val="24"/>
          <w:lang w:val="en-GB"/>
        </w:rPr>
        <w:t xml:space="preserve">Morningstar Sustainalytics. 2026. </w:t>
      </w:r>
      <w:r w:rsidRPr="257BFE88" w:rsidR="6C972CED">
        <w:rPr>
          <w:rFonts w:ascii="Aptos" w:hAnsi="Aptos" w:eastAsia="Aptos" w:cs="Aptos"/>
          <w:i w:val="1"/>
          <w:iCs w:val="1"/>
          <w:noProof w:val="0"/>
          <w:color w:val="000000" w:themeColor="text1" w:themeTint="FF" w:themeShade="FF"/>
          <w:sz w:val="24"/>
          <w:szCs w:val="24"/>
          <w:lang w:val="en-GB"/>
        </w:rPr>
        <w:t>Global sustainable fund flows: Q4 and full-year 2025 in review</w:t>
      </w:r>
      <w:r w:rsidRPr="257BFE88" w:rsidR="6C972CED">
        <w:rPr>
          <w:rFonts w:ascii="Aptos" w:hAnsi="Aptos" w:eastAsia="Aptos" w:cs="Aptos"/>
          <w:noProof w:val="0"/>
          <w:color w:val="000000" w:themeColor="text1" w:themeTint="FF" w:themeShade="FF"/>
          <w:sz w:val="24"/>
          <w:szCs w:val="24"/>
          <w:lang w:val="en-GB"/>
        </w:rPr>
        <w:t xml:space="preserve">. Available at: </w:t>
      </w:r>
      <w:hyperlink r:id="R8fec04bd40c54947">
        <w:r w:rsidRPr="257BFE88" w:rsidR="6C972CED">
          <w:rPr>
            <w:rStyle w:val="Hyperlink"/>
            <w:rFonts w:ascii="Aptos" w:hAnsi="Aptos" w:eastAsia="Aptos" w:cs="Aptos"/>
            <w:noProof w:val="0"/>
            <w:color w:val="000000" w:themeColor="text1" w:themeTint="FF" w:themeShade="FF"/>
            <w:sz w:val="24"/>
            <w:szCs w:val="24"/>
            <w:lang w:val="en-GB"/>
          </w:rPr>
          <w:t>https://www.morningstar.com/lp/global-esg-flows</w:t>
        </w:r>
      </w:hyperlink>
      <w:r w:rsidRPr="257BFE88" w:rsidR="6C972CED">
        <w:rPr>
          <w:rFonts w:ascii="Aptos" w:hAnsi="Aptos" w:eastAsia="Aptos" w:cs="Aptos"/>
          <w:noProof w:val="0"/>
          <w:color w:val="000000" w:themeColor="text1" w:themeTint="FF" w:themeShade="FF"/>
          <w:sz w:val="24"/>
          <w:szCs w:val="24"/>
          <w:lang w:val="en-GB"/>
        </w:rPr>
        <w:t xml:space="preserve"> (Accessed: 22 April 2026).</w:t>
      </w:r>
    </w:p>
    <w:p w:rsidR="6C972CED" w:rsidP="257BFE88" w:rsidRDefault="6C972CED" w14:paraId="638CC877" w14:textId="147A8AA1">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6C972CED">
        <w:rPr>
          <w:rFonts w:ascii="Aptos" w:hAnsi="Aptos" w:eastAsia="Aptos" w:cs="Aptos"/>
          <w:noProof w:val="0"/>
          <w:color w:val="000000" w:themeColor="text1" w:themeTint="FF" w:themeShade="FF"/>
          <w:sz w:val="24"/>
          <w:szCs w:val="24"/>
          <w:lang w:val="en-GB"/>
        </w:rPr>
        <w:t xml:space="preserve">Morningstar. 2026. </w:t>
      </w:r>
      <w:r w:rsidRPr="257BFE88" w:rsidR="6C972CED">
        <w:rPr>
          <w:rFonts w:ascii="Aptos" w:hAnsi="Aptos" w:eastAsia="Aptos" w:cs="Aptos"/>
          <w:i w:val="1"/>
          <w:iCs w:val="1"/>
          <w:noProof w:val="0"/>
          <w:color w:val="000000" w:themeColor="text1" w:themeTint="FF" w:themeShade="FF"/>
          <w:sz w:val="24"/>
          <w:szCs w:val="24"/>
          <w:lang w:val="en-GB"/>
        </w:rPr>
        <w:t>Global sustainable fund flows: Q4 2025 in review</w:t>
      </w:r>
      <w:r w:rsidRPr="257BFE88" w:rsidR="6C972CED">
        <w:rPr>
          <w:rFonts w:ascii="Aptos" w:hAnsi="Aptos" w:eastAsia="Aptos" w:cs="Aptos"/>
          <w:noProof w:val="0"/>
          <w:color w:val="000000" w:themeColor="text1" w:themeTint="FF" w:themeShade="FF"/>
          <w:sz w:val="24"/>
          <w:szCs w:val="24"/>
          <w:lang w:val="en-GB"/>
        </w:rPr>
        <w:t xml:space="preserve">. Available at: </w:t>
      </w:r>
      <w:hyperlink r:id="R7d45aff101f44287">
        <w:r w:rsidRPr="257BFE88" w:rsidR="6C972CED">
          <w:rPr>
            <w:rStyle w:val="Hyperlink"/>
            <w:rFonts w:ascii="Aptos" w:hAnsi="Aptos" w:eastAsia="Aptos" w:cs="Aptos"/>
            <w:noProof w:val="0"/>
            <w:color w:val="000000" w:themeColor="text1" w:themeTint="FF" w:themeShade="FF"/>
            <w:sz w:val="24"/>
            <w:szCs w:val="24"/>
            <w:lang w:val="en-GB"/>
          </w:rPr>
          <w:t>https://www.morningstar.com/business/insights/research/global-esg-flows</w:t>
        </w:r>
      </w:hyperlink>
      <w:r w:rsidRPr="257BFE88" w:rsidR="6C972CED">
        <w:rPr>
          <w:rFonts w:ascii="Aptos" w:hAnsi="Aptos" w:eastAsia="Aptos" w:cs="Aptos"/>
          <w:noProof w:val="0"/>
          <w:color w:val="000000" w:themeColor="text1" w:themeTint="FF" w:themeShade="FF"/>
          <w:sz w:val="24"/>
          <w:szCs w:val="24"/>
          <w:lang w:val="en-GB"/>
        </w:rPr>
        <w:t xml:space="preserve"> (Accessed: 25 March 2026).</w:t>
      </w:r>
    </w:p>
    <w:p w:rsidR="642A56F9" w:rsidP="257BFE88" w:rsidRDefault="642A56F9" w14:paraId="5D971317" w14:textId="74A48E28">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642A56F9">
        <w:rPr>
          <w:rFonts w:ascii="Aptos" w:hAnsi="Aptos" w:eastAsia="Aptos" w:cs="Aptos"/>
          <w:noProof w:val="0"/>
          <w:color w:val="000000" w:themeColor="text1" w:themeTint="FF" w:themeShade="FF"/>
          <w:sz w:val="24"/>
          <w:szCs w:val="24"/>
          <w:lang w:val="en-GB"/>
        </w:rPr>
        <w:t xml:space="preserve">Morningstar Sustainalytics. 2026. </w:t>
      </w:r>
      <w:r w:rsidRPr="257BFE88" w:rsidR="642A56F9">
        <w:rPr>
          <w:rFonts w:ascii="Aptos" w:hAnsi="Aptos" w:eastAsia="Aptos" w:cs="Aptos"/>
          <w:i w:val="1"/>
          <w:iCs w:val="1"/>
          <w:noProof w:val="0"/>
          <w:color w:val="000000" w:themeColor="text1" w:themeTint="FF" w:themeShade="FF"/>
          <w:sz w:val="24"/>
          <w:szCs w:val="24"/>
          <w:lang w:val="en-GB"/>
        </w:rPr>
        <w:t>ESG funds: 2025 closes with continued outflows amid persistent headwinds</w:t>
      </w:r>
      <w:r w:rsidRPr="257BFE88" w:rsidR="642A56F9">
        <w:rPr>
          <w:rFonts w:ascii="Aptos" w:hAnsi="Aptos" w:eastAsia="Aptos" w:cs="Aptos"/>
          <w:noProof w:val="0"/>
          <w:color w:val="000000" w:themeColor="text1" w:themeTint="FF" w:themeShade="FF"/>
          <w:sz w:val="24"/>
          <w:szCs w:val="24"/>
          <w:lang w:val="en-GB"/>
        </w:rPr>
        <w:t xml:space="preserve">. Morningstar, 4 February. Available at: </w:t>
      </w:r>
      <w:hyperlink r:id="Rb2439fef7d464374">
        <w:r w:rsidRPr="257BFE88" w:rsidR="642A56F9">
          <w:rPr>
            <w:rStyle w:val="Hyperlink"/>
            <w:rFonts w:ascii="Aptos" w:hAnsi="Aptos" w:eastAsia="Aptos" w:cs="Aptos"/>
            <w:noProof w:val="0"/>
            <w:color w:val="000000" w:themeColor="text1" w:themeTint="FF" w:themeShade="FF"/>
            <w:sz w:val="24"/>
            <w:szCs w:val="24"/>
            <w:lang w:val="en-GB"/>
          </w:rPr>
          <w:t>https://global.morningstar.com/en-gb/sustainable-investing/esg-funds-2025-closes-with-continued-outflows-amid-persistent-headwinds</w:t>
        </w:r>
      </w:hyperlink>
      <w:r w:rsidRPr="257BFE88" w:rsidR="642A56F9">
        <w:rPr>
          <w:rFonts w:ascii="Aptos" w:hAnsi="Aptos" w:eastAsia="Aptos" w:cs="Aptos"/>
          <w:noProof w:val="0"/>
          <w:color w:val="000000" w:themeColor="text1" w:themeTint="FF" w:themeShade="FF"/>
          <w:sz w:val="24"/>
          <w:szCs w:val="24"/>
          <w:lang w:val="en-GB"/>
        </w:rPr>
        <w:t xml:space="preserve"> (Accessed: 22 April 2026).</w:t>
      </w:r>
      <w:r w:rsidRPr="257BFE88" w:rsidR="642A56F9">
        <w:rPr>
          <w:rFonts w:ascii="Aptos" w:hAnsi="Aptos" w:eastAsia="Aptos" w:cs="Aptos"/>
          <w:noProof w:val="0"/>
          <w:color w:val="000000" w:themeColor="text1" w:themeTint="FF" w:themeShade="FF"/>
          <w:sz w:val="24"/>
          <w:szCs w:val="24"/>
          <w:lang w:val="en-GB"/>
        </w:rPr>
        <w:t xml:space="preserve"> </w:t>
      </w:r>
    </w:p>
    <w:p w:rsidR="257BFE88" w:rsidP="257BFE88" w:rsidRDefault="257BFE88" w14:paraId="4E188259" w14:textId="1B95B7CE">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p>
    <w:p w:rsidR="642A56F9" w:rsidP="257BFE88" w:rsidRDefault="642A56F9" w14:paraId="1B566DC2" w14:textId="57ABF3A5">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642A56F9">
        <w:rPr>
          <w:rFonts w:ascii="Aptos" w:hAnsi="Aptos" w:eastAsia="Aptos" w:cs="Aptos"/>
          <w:noProof w:val="0"/>
          <w:color w:val="000000" w:themeColor="text1" w:themeTint="FF" w:themeShade="FF"/>
          <w:sz w:val="24"/>
          <w:szCs w:val="24"/>
          <w:lang w:val="en-GB"/>
        </w:rPr>
        <w:t xml:space="preserve">Morningstar Sustainalytics. 2026. </w:t>
      </w:r>
      <w:r w:rsidRPr="257BFE88" w:rsidR="642A56F9">
        <w:rPr>
          <w:rFonts w:ascii="Aptos" w:hAnsi="Aptos" w:eastAsia="Aptos" w:cs="Aptos"/>
          <w:i w:val="1"/>
          <w:iCs w:val="1"/>
          <w:noProof w:val="0"/>
          <w:color w:val="000000" w:themeColor="text1" w:themeTint="FF" w:themeShade="FF"/>
          <w:sz w:val="24"/>
          <w:szCs w:val="24"/>
          <w:lang w:val="en-GB"/>
        </w:rPr>
        <w:t>Global sustainable fund flows: Q4 2025 in review</w:t>
      </w:r>
      <w:r w:rsidRPr="257BFE88" w:rsidR="642A56F9">
        <w:rPr>
          <w:rFonts w:ascii="Aptos" w:hAnsi="Aptos" w:eastAsia="Aptos" w:cs="Aptos"/>
          <w:noProof w:val="0"/>
          <w:color w:val="000000" w:themeColor="text1" w:themeTint="FF" w:themeShade="FF"/>
          <w:sz w:val="24"/>
          <w:szCs w:val="24"/>
          <w:lang w:val="en-GB"/>
        </w:rPr>
        <w:t xml:space="preserve">. Morningstar, February. Available at: </w:t>
      </w:r>
      <w:hyperlink r:id="R81317ffb3dd34576">
        <w:r w:rsidRPr="257BFE88" w:rsidR="642A56F9">
          <w:rPr>
            <w:rStyle w:val="Hyperlink"/>
            <w:rFonts w:ascii="Aptos" w:hAnsi="Aptos" w:eastAsia="Aptos" w:cs="Aptos"/>
            <w:noProof w:val="0"/>
            <w:color w:val="000000" w:themeColor="text1" w:themeTint="FF" w:themeShade="FF"/>
            <w:sz w:val="24"/>
            <w:szCs w:val="24"/>
            <w:lang w:val="en-GB"/>
          </w:rPr>
          <w:t>https://www.morningstar.com/lp/global-esg-flows</w:t>
        </w:r>
      </w:hyperlink>
      <w:r w:rsidRPr="257BFE88" w:rsidR="642A56F9">
        <w:rPr>
          <w:rFonts w:ascii="Aptos" w:hAnsi="Aptos" w:eastAsia="Aptos" w:cs="Aptos"/>
          <w:noProof w:val="0"/>
          <w:color w:val="000000" w:themeColor="text1" w:themeTint="FF" w:themeShade="FF"/>
          <w:sz w:val="24"/>
          <w:szCs w:val="24"/>
          <w:lang w:val="en-GB"/>
        </w:rPr>
        <w:t xml:space="preserve"> (Accessed: 22 April 2026).</w:t>
      </w:r>
      <w:r w:rsidRPr="257BFE88" w:rsidR="642A56F9">
        <w:rPr>
          <w:rFonts w:ascii="Aptos" w:hAnsi="Aptos" w:eastAsia="Aptos" w:cs="Aptos"/>
          <w:noProof w:val="0"/>
          <w:color w:val="000000" w:themeColor="text1" w:themeTint="FF" w:themeShade="FF"/>
          <w:sz w:val="24"/>
          <w:szCs w:val="24"/>
          <w:lang w:val="en-GB"/>
        </w:rPr>
        <w:t xml:space="preserve"> </w:t>
      </w:r>
    </w:p>
    <w:p w:rsidR="257BFE88" w:rsidP="257BFE88" w:rsidRDefault="257BFE88" w14:paraId="0545DD12" w14:textId="39F8D4ED">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p>
    <w:p w:rsidR="6C972CED" w:rsidP="257BFE88" w:rsidRDefault="6C972CED" w14:paraId="4892B034" w14:textId="428BB068">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6C972CED">
        <w:rPr>
          <w:rFonts w:ascii="Aptos" w:hAnsi="Aptos" w:eastAsia="Aptos" w:cs="Aptos"/>
          <w:noProof w:val="0"/>
          <w:color w:val="000000" w:themeColor="text1" w:themeTint="FF" w:themeShade="FF"/>
          <w:sz w:val="24"/>
          <w:szCs w:val="24"/>
          <w:lang w:val="en-GB"/>
        </w:rPr>
        <w:t>Mrchkovska</w:t>
      </w:r>
      <w:r w:rsidRPr="257BFE88" w:rsidR="6C972CED">
        <w:rPr>
          <w:rFonts w:ascii="Aptos" w:hAnsi="Aptos" w:eastAsia="Aptos" w:cs="Aptos"/>
          <w:noProof w:val="0"/>
          <w:color w:val="000000" w:themeColor="text1" w:themeTint="FF" w:themeShade="FF"/>
          <w:sz w:val="24"/>
          <w:szCs w:val="24"/>
          <w:lang w:val="en-GB"/>
        </w:rPr>
        <w:t>, V. 2023. ‘Larry Fink’s annual letters and the institutionalisation of ESG discourse</w:t>
      </w:r>
      <w:r w:rsidRPr="257BFE88" w:rsidR="6C972CED">
        <w:rPr>
          <w:rFonts w:ascii="Aptos" w:hAnsi="Aptos" w:eastAsia="Aptos" w:cs="Aptos"/>
          <w:noProof w:val="0"/>
          <w:color w:val="000000" w:themeColor="text1" w:themeTint="FF" w:themeShade="FF"/>
          <w:sz w:val="24"/>
          <w:szCs w:val="24"/>
          <w:lang w:val="en-GB"/>
        </w:rPr>
        <w:t>’,</w:t>
      </w:r>
      <w:r w:rsidRPr="257BFE88" w:rsidR="6C972CED">
        <w:rPr>
          <w:rFonts w:ascii="Aptos" w:hAnsi="Aptos" w:eastAsia="Aptos" w:cs="Aptos"/>
          <w:noProof w:val="0"/>
          <w:color w:val="000000" w:themeColor="text1" w:themeTint="FF" w:themeShade="FF"/>
          <w:sz w:val="24"/>
          <w:szCs w:val="24"/>
          <w:lang w:val="en-GB"/>
        </w:rPr>
        <w:t xml:space="preserve"> </w:t>
      </w:r>
      <w:r w:rsidRPr="257BFE88" w:rsidR="6C972CED">
        <w:rPr>
          <w:rFonts w:ascii="Aptos" w:hAnsi="Aptos" w:eastAsia="Aptos" w:cs="Aptos"/>
          <w:i w:val="1"/>
          <w:iCs w:val="1"/>
          <w:noProof w:val="0"/>
          <w:color w:val="000000" w:themeColor="text1" w:themeTint="FF" w:themeShade="FF"/>
          <w:sz w:val="24"/>
          <w:szCs w:val="24"/>
          <w:lang w:val="en-GB"/>
        </w:rPr>
        <w:t>Corporate Communications: An International Journal</w:t>
      </w:r>
      <w:r w:rsidRPr="257BFE88" w:rsidR="6C972CED">
        <w:rPr>
          <w:rFonts w:ascii="Aptos" w:hAnsi="Aptos" w:eastAsia="Aptos" w:cs="Aptos"/>
          <w:noProof w:val="0"/>
          <w:color w:val="000000" w:themeColor="text1" w:themeTint="FF" w:themeShade="FF"/>
          <w:sz w:val="24"/>
          <w:szCs w:val="24"/>
          <w:lang w:val="en-GB"/>
        </w:rPr>
        <w:t xml:space="preserve">, 28(4), pp. 611–628. Available at: </w:t>
      </w:r>
      <w:hyperlink r:id="Rb9c794c607c44714">
        <w:r w:rsidRPr="257BFE88" w:rsidR="6C972CED">
          <w:rPr>
            <w:rStyle w:val="Hyperlink"/>
            <w:rFonts w:ascii="Aptos" w:hAnsi="Aptos" w:eastAsia="Aptos" w:cs="Aptos"/>
            <w:noProof w:val="0"/>
            <w:sz w:val="24"/>
            <w:szCs w:val="24"/>
            <w:lang w:val="en-GB"/>
          </w:rPr>
          <w:t>https://doi.org/10.1108/CCIJ-2023-0148(Accessed</w:t>
        </w:r>
      </w:hyperlink>
      <w:r w:rsidRPr="257BFE88" w:rsidR="6C972CED">
        <w:rPr>
          <w:rFonts w:ascii="Aptos" w:hAnsi="Aptos" w:eastAsia="Aptos" w:cs="Aptos"/>
          <w:noProof w:val="0"/>
          <w:color w:val="000000" w:themeColor="text1" w:themeTint="FF" w:themeShade="FF"/>
          <w:sz w:val="24"/>
          <w:szCs w:val="24"/>
          <w:lang w:val="en-GB"/>
        </w:rPr>
        <w:t>: 22 April 2026).</w:t>
      </w:r>
    </w:p>
    <w:p w:rsidR="257BFE88" w:rsidP="257BFE88" w:rsidRDefault="257BFE88" w14:paraId="77320E58" w14:textId="65B5F438">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p>
    <w:p w:rsidR="6C972CED" w:rsidP="257BFE88" w:rsidRDefault="6C972CED" w14:paraId="04A9B3CB" w14:textId="22965475">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6C972CED">
        <w:rPr>
          <w:rFonts w:ascii="Aptos" w:hAnsi="Aptos" w:eastAsia="Aptos" w:cs="Aptos"/>
          <w:noProof w:val="0"/>
          <w:color w:val="000000" w:themeColor="text1" w:themeTint="FF" w:themeShade="FF"/>
          <w:sz w:val="24"/>
          <w:szCs w:val="24"/>
          <w:lang w:val="en-GB"/>
        </w:rPr>
        <w:t xml:space="preserve">MSCI. 2025. </w:t>
      </w:r>
      <w:r w:rsidRPr="257BFE88" w:rsidR="6C972CED">
        <w:rPr>
          <w:rFonts w:ascii="Aptos" w:hAnsi="Aptos" w:eastAsia="Aptos" w:cs="Aptos"/>
          <w:i w:val="1"/>
          <w:iCs w:val="1"/>
          <w:noProof w:val="0"/>
          <w:color w:val="000000" w:themeColor="text1" w:themeTint="FF" w:themeShade="FF"/>
          <w:sz w:val="24"/>
          <w:szCs w:val="24"/>
          <w:lang w:val="en-GB"/>
        </w:rPr>
        <w:t xml:space="preserve">MSCI ESG ratings </w:t>
      </w:r>
      <w:r w:rsidRPr="257BFE88" w:rsidR="6C972CED">
        <w:rPr>
          <w:rFonts w:ascii="Aptos" w:hAnsi="Aptos" w:eastAsia="Aptos" w:cs="Aptos"/>
          <w:i w:val="1"/>
          <w:iCs w:val="1"/>
          <w:noProof w:val="0"/>
          <w:color w:val="000000" w:themeColor="text1" w:themeTint="FF" w:themeShade="FF"/>
          <w:sz w:val="24"/>
          <w:szCs w:val="24"/>
          <w:lang w:val="en-GB"/>
        </w:rPr>
        <w:t>methodology</w:t>
      </w:r>
      <w:r w:rsidRPr="257BFE88" w:rsidR="6C972CED">
        <w:rPr>
          <w:rFonts w:ascii="Aptos" w:hAnsi="Aptos" w:eastAsia="Aptos" w:cs="Aptos"/>
          <w:noProof w:val="0"/>
          <w:color w:val="000000" w:themeColor="text1" w:themeTint="FF" w:themeShade="FF"/>
          <w:sz w:val="24"/>
          <w:szCs w:val="24"/>
          <w:lang w:val="en-GB"/>
        </w:rPr>
        <w:t xml:space="preserve">. Available at: </w:t>
      </w:r>
      <w:hyperlink r:id="R55065c12ce2d43f5">
        <w:r w:rsidRPr="257BFE88" w:rsidR="6C972CED">
          <w:rPr>
            <w:rStyle w:val="Hyperlink"/>
            <w:rFonts w:ascii="Aptos" w:hAnsi="Aptos" w:eastAsia="Aptos" w:cs="Aptos"/>
            <w:noProof w:val="0"/>
            <w:color w:val="000000" w:themeColor="text1" w:themeTint="FF" w:themeShade="FF"/>
            <w:sz w:val="24"/>
            <w:szCs w:val="24"/>
            <w:lang w:val="en-GB"/>
          </w:rPr>
          <w:t>https://www.msci.com/our-solutions/esg-investing/esg-ratings</w:t>
        </w:r>
      </w:hyperlink>
      <w:r w:rsidRPr="257BFE88" w:rsidR="6C972CED">
        <w:rPr>
          <w:rFonts w:ascii="Aptos" w:hAnsi="Aptos" w:eastAsia="Aptos" w:cs="Aptos"/>
          <w:noProof w:val="0"/>
          <w:color w:val="000000" w:themeColor="text1" w:themeTint="FF" w:themeShade="FF"/>
          <w:sz w:val="24"/>
          <w:szCs w:val="24"/>
          <w:lang w:val="en-GB"/>
        </w:rPr>
        <w:t xml:space="preserve"> (Accessed: 22 April 2026).</w:t>
      </w:r>
    </w:p>
    <w:p w:rsidR="257BFE88" w:rsidP="257BFE88" w:rsidRDefault="257BFE88" w14:paraId="7AE13B96" w14:textId="3DEC262E">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p>
    <w:p w:rsidR="6C972CED" w:rsidP="257BFE88" w:rsidRDefault="6C972CED" w14:paraId="61A6FF0D" w14:textId="7239D5A2">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6C972CED">
        <w:rPr>
          <w:rFonts w:ascii="Aptos" w:hAnsi="Aptos" w:eastAsia="Aptos" w:cs="Aptos"/>
          <w:noProof w:val="0"/>
          <w:color w:val="000000" w:themeColor="text1" w:themeTint="FF" w:themeShade="FF"/>
          <w:sz w:val="24"/>
          <w:szCs w:val="24"/>
          <w:lang w:val="en-GB"/>
        </w:rPr>
        <w:t xml:space="preserve">MSCI. 2026. </w:t>
      </w:r>
      <w:r w:rsidRPr="257BFE88" w:rsidR="6C972CED">
        <w:rPr>
          <w:rFonts w:ascii="Aptos" w:hAnsi="Aptos" w:eastAsia="Aptos" w:cs="Aptos"/>
          <w:i w:val="1"/>
          <w:iCs w:val="1"/>
          <w:noProof w:val="0"/>
          <w:color w:val="000000" w:themeColor="text1" w:themeTint="FF" w:themeShade="FF"/>
          <w:sz w:val="24"/>
          <w:szCs w:val="24"/>
          <w:lang w:val="en-GB"/>
        </w:rPr>
        <w:t>MSCI ACWI Focus Index factsheet (USD)</w:t>
      </w:r>
      <w:r w:rsidRPr="257BFE88" w:rsidR="6C972CED">
        <w:rPr>
          <w:rFonts w:ascii="Aptos" w:hAnsi="Aptos" w:eastAsia="Aptos" w:cs="Aptos"/>
          <w:noProof w:val="0"/>
          <w:color w:val="000000" w:themeColor="text1" w:themeTint="FF" w:themeShade="FF"/>
          <w:sz w:val="24"/>
          <w:szCs w:val="24"/>
          <w:lang w:val="en-GB"/>
        </w:rPr>
        <w:t xml:space="preserve"> (data as of 27 February 2026). Available at: </w:t>
      </w:r>
      <w:hyperlink r:id="Reee8a581bafb4b68">
        <w:r w:rsidRPr="257BFE88" w:rsidR="6C972CED">
          <w:rPr>
            <w:rStyle w:val="Hyperlink"/>
            <w:rFonts w:ascii="Aptos" w:hAnsi="Aptos" w:eastAsia="Aptos" w:cs="Aptos"/>
            <w:noProof w:val="0"/>
            <w:color w:val="000000" w:themeColor="text1" w:themeTint="FF" w:themeShade="FF"/>
            <w:sz w:val="24"/>
            <w:szCs w:val="24"/>
            <w:lang w:val="en-GB"/>
          </w:rPr>
          <w:t>https://www.msci.com/documents/10199/255599/msci-acwi-focus-index-usd-net.pdf</w:t>
        </w:r>
      </w:hyperlink>
      <w:r w:rsidRPr="257BFE88" w:rsidR="6C972CED">
        <w:rPr>
          <w:rFonts w:ascii="Aptos" w:hAnsi="Aptos" w:eastAsia="Aptos" w:cs="Aptos"/>
          <w:noProof w:val="0"/>
          <w:color w:val="000000" w:themeColor="text1" w:themeTint="FF" w:themeShade="FF"/>
          <w:sz w:val="24"/>
          <w:szCs w:val="24"/>
          <w:lang w:val="en-GB"/>
        </w:rPr>
        <w:t xml:space="preserve"> (Accessed: 25 March 2026).</w:t>
      </w:r>
    </w:p>
    <w:p w:rsidR="6C972CED" w:rsidP="257BFE88" w:rsidRDefault="6C972CED" w14:paraId="38DD5BA5" w14:textId="4F7CD1C7">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6C972CED">
        <w:rPr>
          <w:rFonts w:ascii="Aptos" w:hAnsi="Aptos" w:eastAsia="Aptos" w:cs="Aptos"/>
          <w:noProof w:val="0"/>
          <w:color w:val="000000" w:themeColor="text1" w:themeTint="FF" w:themeShade="FF"/>
          <w:sz w:val="24"/>
          <w:szCs w:val="24"/>
          <w:lang w:val="en-GB"/>
        </w:rPr>
        <w:t>M</w:t>
      </w:r>
      <w:r w:rsidRPr="257BFE88" w:rsidR="6C972CED">
        <w:rPr>
          <w:rFonts w:ascii="Aptos" w:hAnsi="Aptos" w:eastAsia="Aptos" w:cs="Aptos"/>
          <w:noProof w:val="0"/>
          <w:color w:val="000000" w:themeColor="text1" w:themeTint="FF" w:themeShade="FF"/>
          <w:sz w:val="24"/>
          <w:szCs w:val="24"/>
          <w:lang w:val="en-GB"/>
        </w:rPr>
        <w:t>S</w:t>
      </w:r>
      <w:r w:rsidRPr="257BFE88" w:rsidR="6C972CED">
        <w:rPr>
          <w:rFonts w:ascii="Aptos" w:hAnsi="Aptos" w:eastAsia="Aptos" w:cs="Aptos"/>
          <w:noProof w:val="0"/>
          <w:color w:val="000000" w:themeColor="text1" w:themeTint="FF" w:themeShade="FF"/>
          <w:sz w:val="24"/>
          <w:szCs w:val="24"/>
          <w:lang w:val="en-GB"/>
        </w:rPr>
        <w:t xml:space="preserve">CI. 2026. </w:t>
      </w:r>
      <w:r w:rsidRPr="257BFE88" w:rsidR="6C972CED">
        <w:rPr>
          <w:rFonts w:ascii="Aptos" w:hAnsi="Aptos" w:eastAsia="Aptos" w:cs="Aptos"/>
          <w:i w:val="1"/>
          <w:iCs w:val="1"/>
          <w:noProof w:val="0"/>
          <w:color w:val="000000" w:themeColor="text1" w:themeTint="FF" w:themeShade="FF"/>
          <w:sz w:val="24"/>
          <w:szCs w:val="24"/>
          <w:lang w:val="en-GB"/>
        </w:rPr>
        <w:t>M</w:t>
      </w:r>
      <w:r w:rsidRPr="257BFE88" w:rsidR="6C972CED">
        <w:rPr>
          <w:rFonts w:ascii="Aptos" w:hAnsi="Aptos" w:eastAsia="Aptos" w:cs="Aptos"/>
          <w:i w:val="1"/>
          <w:iCs w:val="1"/>
          <w:noProof w:val="0"/>
          <w:color w:val="000000" w:themeColor="text1" w:themeTint="FF" w:themeShade="FF"/>
          <w:sz w:val="24"/>
          <w:szCs w:val="24"/>
          <w:lang w:val="en-GB"/>
        </w:rPr>
        <w:t>S</w:t>
      </w:r>
      <w:r w:rsidRPr="257BFE88" w:rsidR="6C972CED">
        <w:rPr>
          <w:rFonts w:ascii="Aptos" w:hAnsi="Aptos" w:eastAsia="Aptos" w:cs="Aptos"/>
          <w:i w:val="1"/>
          <w:iCs w:val="1"/>
          <w:noProof w:val="0"/>
          <w:color w:val="000000" w:themeColor="text1" w:themeTint="FF" w:themeShade="FF"/>
          <w:sz w:val="24"/>
          <w:szCs w:val="24"/>
          <w:lang w:val="en-GB"/>
        </w:rPr>
        <w:t>CI ACWI Index fact</w:t>
      </w:r>
      <w:r w:rsidRPr="257BFE88" w:rsidR="6C972CED">
        <w:rPr>
          <w:rFonts w:ascii="Aptos" w:hAnsi="Aptos" w:eastAsia="Aptos" w:cs="Aptos"/>
          <w:i w:val="1"/>
          <w:iCs w:val="1"/>
          <w:noProof w:val="0"/>
          <w:color w:val="000000" w:themeColor="text1" w:themeTint="FF" w:themeShade="FF"/>
          <w:sz w:val="24"/>
          <w:szCs w:val="24"/>
          <w:lang w:val="en-GB"/>
        </w:rPr>
        <w:t>s</w:t>
      </w:r>
      <w:r w:rsidRPr="257BFE88" w:rsidR="6C972CED">
        <w:rPr>
          <w:rFonts w:ascii="Aptos" w:hAnsi="Aptos" w:eastAsia="Aptos" w:cs="Aptos"/>
          <w:i w:val="1"/>
          <w:iCs w:val="1"/>
          <w:noProof w:val="0"/>
          <w:color w:val="000000" w:themeColor="text1" w:themeTint="FF" w:themeShade="FF"/>
          <w:sz w:val="24"/>
          <w:szCs w:val="24"/>
          <w:lang w:val="en-GB"/>
        </w:rPr>
        <w:t>heet (U</w:t>
      </w:r>
      <w:r w:rsidRPr="257BFE88" w:rsidR="6C972CED">
        <w:rPr>
          <w:rFonts w:ascii="Aptos" w:hAnsi="Aptos" w:eastAsia="Aptos" w:cs="Aptos"/>
          <w:i w:val="1"/>
          <w:iCs w:val="1"/>
          <w:noProof w:val="0"/>
          <w:color w:val="000000" w:themeColor="text1" w:themeTint="FF" w:themeShade="FF"/>
          <w:sz w:val="24"/>
          <w:szCs w:val="24"/>
          <w:lang w:val="en-GB"/>
        </w:rPr>
        <w:t>S</w:t>
      </w:r>
      <w:r w:rsidRPr="257BFE88" w:rsidR="6C972CED">
        <w:rPr>
          <w:rFonts w:ascii="Aptos" w:hAnsi="Aptos" w:eastAsia="Aptos" w:cs="Aptos"/>
          <w:i w:val="1"/>
          <w:iCs w:val="1"/>
          <w:noProof w:val="0"/>
          <w:color w:val="000000" w:themeColor="text1" w:themeTint="FF" w:themeShade="FF"/>
          <w:sz w:val="24"/>
          <w:szCs w:val="24"/>
          <w:lang w:val="en-GB"/>
        </w:rPr>
        <w:t>D)</w:t>
      </w:r>
      <w:r w:rsidRPr="257BFE88" w:rsidR="6C972CED">
        <w:rPr>
          <w:rFonts w:ascii="Aptos" w:hAnsi="Aptos" w:eastAsia="Aptos" w:cs="Aptos"/>
          <w:noProof w:val="0"/>
          <w:color w:val="000000" w:themeColor="text1" w:themeTint="FF" w:themeShade="FF"/>
          <w:sz w:val="24"/>
          <w:szCs w:val="24"/>
          <w:lang w:val="en-GB"/>
        </w:rPr>
        <w:t xml:space="preserve">. Available at: </w:t>
      </w:r>
      <w:hyperlink r:id="R736bce2a34994d80">
        <w:r w:rsidRPr="257BFE88" w:rsidR="6C972CED">
          <w:rPr>
            <w:rStyle w:val="Hyperlink"/>
            <w:rFonts w:ascii="Aptos" w:hAnsi="Aptos" w:eastAsia="Aptos" w:cs="Aptos"/>
            <w:noProof w:val="0"/>
            <w:color w:val="000000" w:themeColor="text1" w:themeTint="FF" w:themeShade="FF"/>
            <w:sz w:val="24"/>
            <w:szCs w:val="24"/>
            <w:lang w:val="en-GB"/>
          </w:rPr>
          <w:t>http</w:t>
        </w:r>
        <w:r w:rsidRPr="257BFE88" w:rsidR="6C972CED">
          <w:rPr>
            <w:rStyle w:val="Hyperlink"/>
            <w:rFonts w:ascii="Aptos" w:hAnsi="Aptos" w:eastAsia="Aptos" w:cs="Aptos"/>
            <w:noProof w:val="0"/>
            <w:color w:val="000000" w:themeColor="text1" w:themeTint="FF" w:themeShade="FF"/>
            <w:sz w:val="24"/>
            <w:szCs w:val="24"/>
            <w:lang w:val="en-GB"/>
          </w:rPr>
          <w:t>s</w:t>
        </w:r>
        <w:r w:rsidRPr="257BFE88" w:rsidR="6C972CED">
          <w:rPr>
            <w:rStyle w:val="Hyperlink"/>
            <w:rFonts w:ascii="Aptos" w:hAnsi="Aptos" w:eastAsia="Aptos" w:cs="Aptos"/>
            <w:noProof w:val="0"/>
            <w:color w:val="000000" w:themeColor="text1" w:themeTint="FF" w:themeShade="FF"/>
            <w:sz w:val="24"/>
            <w:szCs w:val="24"/>
            <w:lang w:val="en-GB"/>
          </w:rPr>
          <w:t>://www.m</w:t>
        </w:r>
        <w:r w:rsidRPr="257BFE88" w:rsidR="6C972CED">
          <w:rPr>
            <w:rStyle w:val="Hyperlink"/>
            <w:rFonts w:ascii="Aptos" w:hAnsi="Aptos" w:eastAsia="Aptos" w:cs="Aptos"/>
            <w:noProof w:val="0"/>
            <w:color w:val="000000" w:themeColor="text1" w:themeTint="FF" w:themeShade="FF"/>
            <w:sz w:val="24"/>
            <w:szCs w:val="24"/>
            <w:lang w:val="en-GB"/>
          </w:rPr>
          <w:t>s</w:t>
        </w:r>
        <w:r w:rsidRPr="257BFE88" w:rsidR="6C972CED">
          <w:rPr>
            <w:rStyle w:val="Hyperlink"/>
            <w:rFonts w:ascii="Aptos" w:hAnsi="Aptos" w:eastAsia="Aptos" w:cs="Aptos"/>
            <w:noProof w:val="0"/>
            <w:color w:val="000000" w:themeColor="text1" w:themeTint="FF" w:themeShade="FF"/>
            <w:sz w:val="24"/>
            <w:szCs w:val="24"/>
            <w:lang w:val="en-GB"/>
          </w:rPr>
          <w:t>ci.com</w:t>
        </w:r>
      </w:hyperlink>
      <w:r w:rsidRPr="257BFE88" w:rsidR="6C972CED">
        <w:rPr>
          <w:rFonts w:ascii="Aptos" w:hAnsi="Aptos" w:eastAsia="Aptos" w:cs="Aptos"/>
          <w:noProof w:val="0"/>
          <w:color w:val="000000" w:themeColor="text1" w:themeTint="FF" w:themeShade="FF"/>
          <w:sz w:val="24"/>
          <w:szCs w:val="24"/>
          <w:lang w:val="en-GB"/>
        </w:rPr>
        <w:t xml:space="preserve"> (Acce</w:t>
      </w:r>
      <w:r w:rsidRPr="257BFE88" w:rsidR="6C972CED">
        <w:rPr>
          <w:rFonts w:ascii="Aptos" w:hAnsi="Aptos" w:eastAsia="Aptos" w:cs="Aptos"/>
          <w:noProof w:val="0"/>
          <w:color w:val="000000" w:themeColor="text1" w:themeTint="FF" w:themeShade="FF"/>
          <w:sz w:val="24"/>
          <w:szCs w:val="24"/>
          <w:lang w:val="en-GB"/>
        </w:rPr>
        <w:t>s</w:t>
      </w:r>
      <w:r w:rsidRPr="257BFE88" w:rsidR="6C972CED">
        <w:rPr>
          <w:rFonts w:ascii="Aptos" w:hAnsi="Aptos" w:eastAsia="Aptos" w:cs="Aptos"/>
          <w:noProof w:val="0"/>
          <w:color w:val="000000" w:themeColor="text1" w:themeTint="FF" w:themeShade="FF"/>
          <w:sz w:val="24"/>
          <w:szCs w:val="24"/>
          <w:lang w:val="en-GB"/>
        </w:rPr>
        <w:t>s</w:t>
      </w:r>
      <w:r w:rsidRPr="257BFE88" w:rsidR="6C972CED">
        <w:rPr>
          <w:rFonts w:ascii="Aptos" w:hAnsi="Aptos" w:eastAsia="Aptos" w:cs="Aptos"/>
          <w:noProof w:val="0"/>
          <w:color w:val="000000" w:themeColor="text1" w:themeTint="FF" w:themeShade="FF"/>
          <w:sz w:val="24"/>
          <w:szCs w:val="24"/>
          <w:lang w:val="en-GB"/>
        </w:rPr>
        <w:t>ed: 25 March 2026).</w:t>
      </w:r>
    </w:p>
    <w:p w:rsidR="44F805F6" w:rsidP="257BFE88" w:rsidRDefault="44F805F6" w14:paraId="60B77D59" w14:textId="73E9CC3F">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44F805F6">
        <w:rPr>
          <w:rFonts w:ascii="Aptos" w:hAnsi="Aptos" w:eastAsia="Aptos" w:cs="Aptos"/>
          <w:noProof w:val="0"/>
          <w:color w:val="000000" w:themeColor="text1" w:themeTint="FF" w:themeShade="FF"/>
          <w:sz w:val="24"/>
          <w:szCs w:val="24"/>
          <w:lang w:val="en-GB"/>
        </w:rPr>
        <w:t>NielsenIQ</w:t>
      </w:r>
      <w:r w:rsidRPr="257BFE88" w:rsidR="44F805F6">
        <w:rPr>
          <w:rFonts w:ascii="Aptos" w:hAnsi="Aptos" w:eastAsia="Aptos" w:cs="Aptos"/>
          <w:noProof w:val="0"/>
          <w:color w:val="000000" w:themeColor="text1" w:themeTint="FF" w:themeShade="FF"/>
          <w:sz w:val="24"/>
          <w:szCs w:val="24"/>
          <w:lang w:val="en-GB"/>
        </w:rPr>
        <w:t xml:space="preserve">. 2024. </w:t>
      </w:r>
      <w:r w:rsidRPr="257BFE88" w:rsidR="44F805F6">
        <w:rPr>
          <w:rFonts w:ascii="Aptos" w:hAnsi="Aptos" w:eastAsia="Aptos" w:cs="Aptos"/>
          <w:i w:val="1"/>
          <w:iCs w:val="1"/>
          <w:noProof w:val="0"/>
          <w:color w:val="000000" w:themeColor="text1" w:themeTint="FF" w:themeShade="FF"/>
          <w:sz w:val="24"/>
          <w:szCs w:val="24"/>
          <w:lang w:val="en-GB"/>
        </w:rPr>
        <w:t>The sustainable consumer report</w:t>
      </w:r>
      <w:r w:rsidRPr="257BFE88" w:rsidR="44F805F6">
        <w:rPr>
          <w:rFonts w:ascii="Aptos" w:hAnsi="Aptos" w:eastAsia="Aptos" w:cs="Aptos"/>
          <w:noProof w:val="0"/>
          <w:color w:val="000000" w:themeColor="text1" w:themeTint="FF" w:themeShade="FF"/>
          <w:sz w:val="24"/>
          <w:szCs w:val="24"/>
          <w:lang w:val="en-GB"/>
        </w:rPr>
        <w:t xml:space="preserve">. Available at: </w:t>
      </w:r>
      <w:hyperlink r:id="R470bc0945b5f4a7c">
        <w:r w:rsidRPr="257BFE88" w:rsidR="44F805F6">
          <w:rPr>
            <w:rStyle w:val="Hyperlink"/>
            <w:rFonts w:ascii="Aptos" w:hAnsi="Aptos" w:eastAsia="Aptos" w:cs="Aptos"/>
            <w:noProof w:val="0"/>
            <w:color w:val="000000" w:themeColor="text1" w:themeTint="FF" w:themeShade="FF"/>
            <w:sz w:val="24"/>
            <w:szCs w:val="24"/>
            <w:lang w:val="en-GB"/>
          </w:rPr>
          <w:t>https://nielseniq.com/global/en/insights/analysis/</w:t>
        </w:r>
      </w:hyperlink>
      <w:r w:rsidRPr="257BFE88" w:rsidR="44F805F6">
        <w:rPr>
          <w:rFonts w:ascii="Aptos" w:hAnsi="Aptos" w:eastAsia="Aptos" w:cs="Aptos"/>
          <w:noProof w:val="0"/>
          <w:color w:val="000000" w:themeColor="text1" w:themeTint="FF" w:themeShade="FF"/>
          <w:sz w:val="24"/>
          <w:szCs w:val="24"/>
          <w:lang w:val="en-GB"/>
        </w:rPr>
        <w:t>(Accessed: 2 April 2026).</w:t>
      </w:r>
    </w:p>
    <w:p w:rsidR="257BFE88" w:rsidP="257BFE88" w:rsidRDefault="257BFE88" w14:paraId="7D1E840F" w14:textId="41567BF4">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p>
    <w:p w:rsidR="44F805F6" w:rsidP="257BFE88" w:rsidRDefault="44F805F6" w14:paraId="11831659" w14:textId="4A5BCBF5">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44F805F6">
        <w:rPr>
          <w:rFonts w:ascii="Aptos" w:hAnsi="Aptos" w:eastAsia="Aptos" w:cs="Aptos"/>
          <w:noProof w:val="0"/>
          <w:color w:val="000000" w:themeColor="text1" w:themeTint="FF" w:themeShade="FF"/>
          <w:sz w:val="24"/>
          <w:szCs w:val="24"/>
          <w:lang w:val="en-GB"/>
        </w:rPr>
        <w:t>Norocel</w:t>
      </w:r>
      <w:r w:rsidRPr="257BFE88" w:rsidR="44F805F6">
        <w:rPr>
          <w:rFonts w:ascii="Aptos" w:hAnsi="Aptos" w:eastAsia="Aptos" w:cs="Aptos"/>
          <w:noProof w:val="0"/>
          <w:color w:val="000000" w:themeColor="text1" w:themeTint="FF" w:themeShade="FF"/>
          <w:sz w:val="24"/>
          <w:szCs w:val="24"/>
          <w:lang w:val="en-GB"/>
        </w:rPr>
        <w:t xml:space="preserve">, I.I. 2025. 'Impact of ESG ratings on brown sector firms' financial performance', </w:t>
      </w:r>
      <w:r w:rsidRPr="257BFE88" w:rsidR="44F805F6">
        <w:rPr>
          <w:rFonts w:ascii="Aptos" w:hAnsi="Aptos" w:eastAsia="Aptos" w:cs="Aptos"/>
          <w:i w:val="1"/>
          <w:iCs w:val="1"/>
          <w:noProof w:val="0"/>
          <w:color w:val="000000" w:themeColor="text1" w:themeTint="FF" w:themeShade="FF"/>
          <w:sz w:val="24"/>
          <w:szCs w:val="24"/>
          <w:lang w:val="en-GB"/>
        </w:rPr>
        <w:t>Proceedings of the International Conference on Business Excellence</w:t>
      </w:r>
      <w:r w:rsidRPr="257BFE88" w:rsidR="44F805F6">
        <w:rPr>
          <w:rFonts w:ascii="Aptos" w:hAnsi="Aptos" w:eastAsia="Aptos" w:cs="Aptos"/>
          <w:noProof w:val="0"/>
          <w:color w:val="000000" w:themeColor="text1" w:themeTint="FF" w:themeShade="FF"/>
          <w:sz w:val="24"/>
          <w:szCs w:val="24"/>
          <w:lang w:val="en-GB"/>
        </w:rPr>
        <w:t>, 19(1), pp. 2936–2950.</w:t>
      </w:r>
    </w:p>
    <w:p w:rsidR="257BFE88" w:rsidP="257BFE88" w:rsidRDefault="257BFE88" w14:paraId="017CE800" w14:textId="73C4A5AB">
      <w:pPr>
        <w:pStyle w:val="Normal"/>
        <w:spacing w:before="0" w:beforeAutospacing="off" w:after="0" w:afterAutospacing="off"/>
        <w:ind w:left="0"/>
        <w:rPr>
          <w:rFonts w:ascii="Aptos" w:hAnsi="Aptos" w:eastAsia="Aptos" w:cs="Aptos"/>
          <w:noProof w:val="0"/>
          <w:color w:val="000000" w:themeColor="text1" w:themeTint="FF" w:themeShade="FF"/>
          <w:sz w:val="24"/>
          <w:szCs w:val="24"/>
          <w:highlight w:val="green"/>
          <w:lang w:val="en-GB"/>
        </w:rPr>
      </w:pPr>
    </w:p>
    <w:p w:rsidR="44F805F6" w:rsidP="257BFE88" w:rsidRDefault="44F805F6" w14:paraId="48CE86A8" w14:textId="55713F92">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44F805F6">
        <w:rPr>
          <w:rFonts w:ascii="Aptos" w:hAnsi="Aptos" w:eastAsia="Aptos" w:cs="Aptos"/>
          <w:noProof w:val="0"/>
          <w:color w:val="000000" w:themeColor="text1" w:themeTint="FF" w:themeShade="FF"/>
          <w:sz w:val="24"/>
          <w:szCs w:val="24"/>
          <w:lang w:val="en-GB"/>
        </w:rPr>
        <w:t xml:space="preserve">OECD. 2023. </w:t>
      </w:r>
      <w:r w:rsidRPr="257BFE88" w:rsidR="44F805F6">
        <w:rPr>
          <w:rFonts w:ascii="Aptos" w:hAnsi="Aptos" w:eastAsia="Aptos" w:cs="Aptos"/>
          <w:i w:val="1"/>
          <w:iCs w:val="1"/>
          <w:noProof w:val="0"/>
          <w:color w:val="000000" w:themeColor="text1" w:themeTint="FF" w:themeShade="FF"/>
          <w:sz w:val="24"/>
          <w:szCs w:val="24"/>
          <w:lang w:val="en-GB"/>
        </w:rPr>
        <w:t>Corporate governance and responsible business conduct</w:t>
      </w:r>
      <w:r w:rsidRPr="257BFE88" w:rsidR="44F805F6">
        <w:rPr>
          <w:rFonts w:ascii="Aptos" w:hAnsi="Aptos" w:eastAsia="Aptos" w:cs="Aptos"/>
          <w:noProof w:val="0"/>
          <w:color w:val="000000" w:themeColor="text1" w:themeTint="FF" w:themeShade="FF"/>
          <w:sz w:val="24"/>
          <w:szCs w:val="24"/>
          <w:lang w:val="en-GB"/>
        </w:rPr>
        <w:t xml:space="preserve">. Available at: </w:t>
      </w:r>
      <w:hyperlink r:id="R01b59b29548541aa">
        <w:r w:rsidRPr="257BFE88" w:rsidR="44F805F6">
          <w:rPr>
            <w:rStyle w:val="Hyperlink"/>
            <w:rFonts w:ascii="Aptos" w:hAnsi="Aptos" w:eastAsia="Aptos" w:cs="Aptos"/>
            <w:noProof w:val="0"/>
            <w:sz w:val="24"/>
            <w:szCs w:val="24"/>
            <w:lang w:val="en-GB"/>
          </w:rPr>
          <w:t>https://www.oecd.org/corporate/(Accessed</w:t>
        </w:r>
      </w:hyperlink>
      <w:r w:rsidRPr="257BFE88" w:rsidR="44F805F6">
        <w:rPr>
          <w:rFonts w:ascii="Aptos" w:hAnsi="Aptos" w:eastAsia="Aptos" w:cs="Aptos"/>
          <w:noProof w:val="0"/>
          <w:color w:val="000000" w:themeColor="text1" w:themeTint="FF" w:themeShade="FF"/>
          <w:sz w:val="24"/>
          <w:szCs w:val="24"/>
          <w:lang w:val="en-GB"/>
        </w:rPr>
        <w:t>: 22 April 2026).</w:t>
      </w:r>
    </w:p>
    <w:p w:rsidR="44F805F6" w:rsidP="257BFE88" w:rsidRDefault="44F805F6" w14:paraId="6F6D3F84" w14:textId="3ABE6D22">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44F805F6">
        <w:rPr>
          <w:rFonts w:ascii="Aptos" w:hAnsi="Aptos" w:eastAsia="Aptos" w:cs="Aptos"/>
          <w:noProof w:val="0"/>
          <w:color w:val="000000" w:themeColor="text1" w:themeTint="FF" w:themeShade="FF"/>
          <w:sz w:val="24"/>
          <w:szCs w:val="24"/>
          <w:lang w:val="en-GB"/>
        </w:rPr>
        <w:t xml:space="preserve">OECD .2025. </w:t>
      </w:r>
      <w:r w:rsidRPr="257BFE88" w:rsidR="44F805F6">
        <w:rPr>
          <w:rFonts w:ascii="Aptos" w:hAnsi="Aptos" w:eastAsia="Aptos" w:cs="Aptos"/>
          <w:i w:val="1"/>
          <w:iCs w:val="1"/>
          <w:noProof w:val="0"/>
          <w:color w:val="000000" w:themeColor="text1" w:themeTint="FF" w:themeShade="FF"/>
          <w:sz w:val="24"/>
          <w:szCs w:val="24"/>
          <w:lang w:val="en-GB"/>
        </w:rPr>
        <w:t>Behind ESG ratings: Unpacking sustainability metrics</w:t>
      </w:r>
      <w:r w:rsidRPr="257BFE88" w:rsidR="44F805F6">
        <w:rPr>
          <w:rFonts w:ascii="Aptos" w:hAnsi="Aptos" w:eastAsia="Aptos" w:cs="Aptos"/>
          <w:noProof w:val="0"/>
          <w:color w:val="000000" w:themeColor="text1" w:themeTint="FF" w:themeShade="FF"/>
          <w:sz w:val="24"/>
          <w:szCs w:val="24"/>
          <w:lang w:val="en-GB"/>
        </w:rPr>
        <w:t xml:space="preserve">. Available at: </w:t>
      </w:r>
      <w:hyperlink r:id="Rb3cbbcaf06d6454a">
        <w:r w:rsidRPr="257BFE88" w:rsidR="44F805F6">
          <w:rPr>
            <w:rStyle w:val="Hyperlink"/>
            <w:rFonts w:ascii="Aptos" w:hAnsi="Aptos" w:eastAsia="Aptos" w:cs="Aptos"/>
            <w:noProof w:val="0"/>
            <w:color w:val="000000" w:themeColor="text1" w:themeTint="FF" w:themeShade="FF"/>
            <w:sz w:val="24"/>
            <w:szCs w:val="24"/>
            <w:lang w:val="en-GB"/>
          </w:rPr>
          <w:t>https://www.oecd.org</w:t>
        </w:r>
      </w:hyperlink>
      <w:r w:rsidRPr="257BFE88" w:rsidR="44F805F6">
        <w:rPr>
          <w:rFonts w:ascii="Aptos" w:hAnsi="Aptos" w:eastAsia="Aptos" w:cs="Aptos"/>
          <w:noProof w:val="0"/>
          <w:color w:val="000000" w:themeColor="text1" w:themeTint="FF" w:themeShade="FF"/>
          <w:sz w:val="24"/>
          <w:szCs w:val="24"/>
          <w:lang w:val="en-GB"/>
        </w:rPr>
        <w:t xml:space="preserve"> (Accessed: 8 April 2026). (Excellent for methodological differences and sector adjustments in ratings.)</w:t>
      </w:r>
    </w:p>
    <w:p w:rsidR="4C29E2F5" w:rsidP="257BFE88" w:rsidRDefault="4C29E2F5" w14:paraId="1054A639" w14:textId="5D151A21">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4C29E2F5">
        <w:rPr>
          <w:rFonts w:ascii="Aptos" w:hAnsi="Aptos" w:eastAsia="Aptos" w:cs="Aptos"/>
          <w:noProof w:val="0"/>
          <w:color w:val="000000" w:themeColor="text1" w:themeTint="FF" w:themeShade="FF"/>
          <w:sz w:val="24"/>
          <w:szCs w:val="24"/>
          <w:lang w:val="en-GB"/>
        </w:rPr>
        <w:t>Pressfarm</w:t>
      </w:r>
      <w:r w:rsidRPr="257BFE88" w:rsidR="4C29E2F5">
        <w:rPr>
          <w:rFonts w:ascii="Aptos" w:hAnsi="Aptos" w:eastAsia="Aptos" w:cs="Aptos"/>
          <w:noProof w:val="0"/>
          <w:color w:val="000000" w:themeColor="text1" w:themeTint="FF" w:themeShade="FF"/>
          <w:sz w:val="24"/>
          <w:szCs w:val="24"/>
          <w:lang w:val="en-GB"/>
        </w:rPr>
        <w:t xml:space="preserve">. 2025. </w:t>
      </w:r>
      <w:r w:rsidRPr="257BFE88" w:rsidR="4C29E2F5">
        <w:rPr>
          <w:rFonts w:ascii="Aptos" w:hAnsi="Aptos" w:eastAsia="Aptos" w:cs="Aptos"/>
          <w:i w:val="1"/>
          <w:iCs w:val="1"/>
          <w:noProof w:val="0"/>
          <w:color w:val="000000" w:themeColor="text1" w:themeTint="FF" w:themeShade="FF"/>
          <w:sz w:val="24"/>
          <w:szCs w:val="24"/>
          <w:lang w:val="en-GB"/>
        </w:rPr>
        <w:t xml:space="preserve">BlackRock’s shift from ESG investing: Larry Fink’s </w:t>
      </w:r>
      <w:r w:rsidRPr="257BFE88" w:rsidR="4C29E2F5">
        <w:rPr>
          <w:rFonts w:ascii="Aptos" w:hAnsi="Aptos" w:eastAsia="Aptos" w:cs="Aptos"/>
          <w:i w:val="1"/>
          <w:iCs w:val="1"/>
          <w:noProof w:val="0"/>
          <w:color w:val="000000" w:themeColor="text1" w:themeTint="FF" w:themeShade="FF"/>
          <w:sz w:val="24"/>
          <w:szCs w:val="24"/>
          <w:lang w:val="en-GB"/>
        </w:rPr>
        <w:t>new approach</w:t>
      </w:r>
      <w:r w:rsidRPr="257BFE88" w:rsidR="4C29E2F5">
        <w:rPr>
          <w:rFonts w:ascii="Aptos" w:hAnsi="Aptos" w:eastAsia="Aptos" w:cs="Aptos"/>
          <w:noProof w:val="0"/>
          <w:color w:val="000000" w:themeColor="text1" w:themeTint="FF" w:themeShade="FF"/>
          <w:sz w:val="24"/>
          <w:szCs w:val="24"/>
          <w:lang w:val="en-GB"/>
        </w:rPr>
        <w:t xml:space="preserve">. </w:t>
      </w:r>
      <w:r w:rsidRPr="257BFE88" w:rsidR="4C29E2F5">
        <w:rPr>
          <w:rFonts w:ascii="Aptos" w:hAnsi="Aptos" w:eastAsia="Aptos" w:cs="Aptos"/>
          <w:noProof w:val="0"/>
          <w:color w:val="000000" w:themeColor="text1" w:themeTint="FF" w:themeShade="FF"/>
          <w:sz w:val="24"/>
          <w:szCs w:val="24"/>
          <w:lang w:val="en-GB"/>
        </w:rPr>
        <w:t>Pressfarm</w:t>
      </w:r>
      <w:r w:rsidRPr="257BFE88" w:rsidR="4C29E2F5">
        <w:rPr>
          <w:rFonts w:ascii="Aptos" w:hAnsi="Aptos" w:eastAsia="Aptos" w:cs="Aptos"/>
          <w:noProof w:val="0"/>
          <w:color w:val="000000" w:themeColor="text1" w:themeTint="FF" w:themeShade="FF"/>
          <w:sz w:val="24"/>
          <w:szCs w:val="24"/>
          <w:lang w:val="en-GB"/>
        </w:rPr>
        <w:t xml:space="preserve">, 4 October. Available at: </w:t>
      </w:r>
      <w:hyperlink r:id="R9372b2ae59eb4d7d">
        <w:r w:rsidRPr="257BFE88" w:rsidR="4C29E2F5">
          <w:rPr>
            <w:rStyle w:val="Hyperlink"/>
            <w:rFonts w:ascii="Aptos" w:hAnsi="Aptos" w:eastAsia="Aptos" w:cs="Aptos"/>
            <w:noProof w:val="0"/>
            <w:color w:val="000000" w:themeColor="text1" w:themeTint="FF" w:themeShade="FF"/>
            <w:sz w:val="24"/>
            <w:szCs w:val="24"/>
            <w:lang w:val="en-GB"/>
          </w:rPr>
          <w:t>Pressfarm article</w:t>
        </w:r>
      </w:hyperlink>
      <w:r w:rsidRPr="257BFE88" w:rsidR="4C29E2F5">
        <w:rPr>
          <w:rFonts w:ascii="Aptos" w:hAnsi="Aptos" w:eastAsia="Aptos" w:cs="Aptos"/>
          <w:noProof w:val="0"/>
          <w:color w:val="000000" w:themeColor="text1" w:themeTint="FF" w:themeShade="FF"/>
          <w:sz w:val="24"/>
          <w:szCs w:val="24"/>
          <w:lang w:val="en-GB"/>
        </w:rPr>
        <w:t xml:space="preserve"> (Accessed: 22 April 2026).</w:t>
      </w:r>
    </w:p>
    <w:p w:rsidR="4C29E2F5" w:rsidP="257BFE88" w:rsidRDefault="4C29E2F5" w14:paraId="563790D0" w14:textId="55772264">
      <w:pPr>
        <w:spacing w:before="240" w:beforeAutospacing="off" w:after="240" w:afterAutospacing="off"/>
        <w:rPr>
          <w:rFonts w:ascii="Aptos" w:hAnsi="Aptos" w:eastAsia="Aptos" w:cs="Aptos"/>
          <w:noProof w:val="0"/>
          <w:color w:val="000000" w:themeColor="text1" w:themeTint="FF" w:themeShade="FF"/>
          <w:sz w:val="24"/>
          <w:szCs w:val="24"/>
          <w:highlight w:val="green"/>
          <w:lang w:val="en-GB"/>
        </w:rPr>
      </w:pPr>
      <w:r w:rsidRPr="257BFE88" w:rsidR="4C29E2F5">
        <w:rPr>
          <w:rFonts w:ascii="Aptos" w:hAnsi="Aptos" w:eastAsia="Aptos" w:cs="Aptos"/>
          <w:b w:val="0"/>
          <w:bCs w:val="0"/>
          <w:noProof w:val="0"/>
          <w:color w:val="000000" w:themeColor="text1" w:themeTint="FF" w:themeShade="FF"/>
          <w:sz w:val="24"/>
          <w:szCs w:val="24"/>
          <w:lang w:val="en-GB"/>
        </w:rPr>
        <w:t xml:space="preserve">PwC (2025) </w:t>
      </w:r>
      <w:r w:rsidRPr="257BFE88" w:rsidR="4C29E2F5">
        <w:rPr>
          <w:rFonts w:ascii="Aptos" w:hAnsi="Aptos" w:eastAsia="Aptos" w:cs="Aptos"/>
          <w:b w:val="0"/>
          <w:bCs w:val="0"/>
          <w:i w:val="1"/>
          <w:iCs w:val="1"/>
          <w:noProof w:val="0"/>
          <w:color w:val="000000" w:themeColor="text1" w:themeTint="FF" w:themeShade="FF"/>
          <w:sz w:val="24"/>
          <w:szCs w:val="24"/>
          <w:lang w:val="en-GB"/>
        </w:rPr>
        <w:t>EU Co</w:t>
      </w:r>
      <w:r w:rsidRPr="257BFE88" w:rsidR="4C29E2F5">
        <w:rPr>
          <w:rFonts w:ascii="Aptos" w:hAnsi="Aptos" w:eastAsia="Aptos" w:cs="Aptos"/>
          <w:b w:val="0"/>
          <w:bCs w:val="0"/>
          <w:i w:val="1"/>
          <w:iCs w:val="1"/>
          <w:noProof w:val="0"/>
          <w:color w:val="000000" w:themeColor="text1" w:themeTint="FF" w:themeShade="FF"/>
          <w:sz w:val="24"/>
          <w:szCs w:val="24"/>
          <w:lang w:val="en-GB"/>
        </w:rPr>
        <w:t>r</w:t>
      </w:r>
      <w:r w:rsidRPr="257BFE88" w:rsidR="4C29E2F5">
        <w:rPr>
          <w:rFonts w:ascii="Aptos" w:hAnsi="Aptos" w:eastAsia="Aptos" w:cs="Aptos"/>
          <w:b w:val="0"/>
          <w:bCs w:val="0"/>
          <w:i w:val="1"/>
          <w:iCs w:val="1"/>
          <w:noProof w:val="0"/>
          <w:color w:val="000000" w:themeColor="text1" w:themeTint="FF" w:themeShade="FF"/>
          <w:sz w:val="24"/>
          <w:szCs w:val="24"/>
          <w:lang w:val="en-GB"/>
        </w:rPr>
        <w:t>po</w:t>
      </w:r>
      <w:r w:rsidRPr="257BFE88" w:rsidR="4C29E2F5">
        <w:rPr>
          <w:rFonts w:ascii="Aptos" w:hAnsi="Aptos" w:eastAsia="Aptos" w:cs="Aptos"/>
          <w:b w:val="0"/>
          <w:bCs w:val="0"/>
          <w:i w:val="1"/>
          <w:iCs w:val="1"/>
          <w:noProof w:val="0"/>
          <w:color w:val="000000" w:themeColor="text1" w:themeTint="FF" w:themeShade="FF"/>
          <w:sz w:val="24"/>
          <w:szCs w:val="24"/>
          <w:lang w:val="en-GB"/>
        </w:rPr>
        <w:t>r</w:t>
      </w:r>
      <w:r w:rsidRPr="257BFE88" w:rsidR="4C29E2F5">
        <w:rPr>
          <w:rFonts w:ascii="Aptos" w:hAnsi="Aptos" w:eastAsia="Aptos" w:cs="Aptos"/>
          <w:b w:val="0"/>
          <w:bCs w:val="0"/>
          <w:i w:val="1"/>
          <w:iCs w:val="1"/>
          <w:noProof w:val="0"/>
          <w:color w:val="000000" w:themeColor="text1" w:themeTint="FF" w:themeShade="FF"/>
          <w:sz w:val="24"/>
          <w:szCs w:val="24"/>
          <w:lang w:val="en-GB"/>
        </w:rPr>
        <w:t>ate Sustainability Due Diligence Di</w:t>
      </w:r>
      <w:r w:rsidRPr="257BFE88" w:rsidR="4C29E2F5">
        <w:rPr>
          <w:rFonts w:ascii="Aptos" w:hAnsi="Aptos" w:eastAsia="Aptos" w:cs="Aptos"/>
          <w:b w:val="0"/>
          <w:bCs w:val="0"/>
          <w:i w:val="1"/>
          <w:iCs w:val="1"/>
          <w:noProof w:val="0"/>
          <w:color w:val="000000" w:themeColor="text1" w:themeTint="FF" w:themeShade="FF"/>
          <w:sz w:val="24"/>
          <w:szCs w:val="24"/>
          <w:lang w:val="en-GB"/>
        </w:rPr>
        <w:t>r</w:t>
      </w:r>
      <w:r w:rsidRPr="257BFE88" w:rsidR="4C29E2F5">
        <w:rPr>
          <w:rFonts w:ascii="Aptos" w:hAnsi="Aptos" w:eastAsia="Aptos" w:cs="Aptos"/>
          <w:b w:val="0"/>
          <w:bCs w:val="0"/>
          <w:i w:val="1"/>
          <w:iCs w:val="1"/>
          <w:noProof w:val="0"/>
          <w:color w:val="000000" w:themeColor="text1" w:themeTint="FF" w:themeShade="FF"/>
          <w:sz w:val="24"/>
          <w:szCs w:val="24"/>
          <w:lang w:val="en-GB"/>
        </w:rPr>
        <w:t>ective: Implications fo</w:t>
      </w:r>
      <w:r w:rsidRPr="257BFE88" w:rsidR="4C29E2F5">
        <w:rPr>
          <w:rFonts w:ascii="Aptos" w:hAnsi="Aptos" w:eastAsia="Aptos" w:cs="Aptos"/>
          <w:b w:val="0"/>
          <w:bCs w:val="0"/>
          <w:i w:val="1"/>
          <w:iCs w:val="1"/>
          <w:noProof w:val="0"/>
          <w:color w:val="000000" w:themeColor="text1" w:themeTint="FF" w:themeShade="FF"/>
          <w:sz w:val="24"/>
          <w:szCs w:val="24"/>
          <w:lang w:val="en-GB"/>
        </w:rPr>
        <w:t>r</w:t>
      </w:r>
      <w:r w:rsidRPr="257BFE88" w:rsidR="4C29E2F5">
        <w:rPr>
          <w:rFonts w:ascii="Aptos" w:hAnsi="Aptos" w:eastAsia="Aptos" w:cs="Aptos"/>
          <w:b w:val="0"/>
          <w:bCs w:val="0"/>
          <w:i w:val="1"/>
          <w:iCs w:val="1"/>
          <w:noProof w:val="0"/>
          <w:color w:val="000000" w:themeColor="text1" w:themeTint="FF" w:themeShade="FF"/>
          <w:sz w:val="24"/>
          <w:szCs w:val="24"/>
          <w:lang w:val="en-GB"/>
        </w:rPr>
        <w:t xml:space="preserve"> business</w:t>
      </w:r>
      <w:r w:rsidRPr="257BFE88" w:rsidR="4C29E2F5">
        <w:rPr>
          <w:rFonts w:ascii="Aptos" w:hAnsi="Aptos" w:eastAsia="Aptos" w:cs="Aptos"/>
          <w:b w:val="0"/>
          <w:bCs w:val="0"/>
          <w:noProof w:val="0"/>
          <w:color w:val="000000" w:themeColor="text1" w:themeTint="FF" w:themeShade="FF"/>
          <w:sz w:val="24"/>
          <w:szCs w:val="24"/>
          <w:lang w:val="en-GB"/>
        </w:rPr>
        <w:t xml:space="preserve">. Available at: </w:t>
      </w:r>
      <w:hyperlink r:id="R44c818c0183c41ac">
        <w:r w:rsidRPr="257BFE88" w:rsidR="4C29E2F5">
          <w:rPr>
            <w:rStyle w:val="Hyperlink"/>
            <w:rFonts w:ascii="Aptos" w:hAnsi="Aptos" w:eastAsia="Aptos" w:cs="Aptos"/>
            <w:b w:val="0"/>
            <w:bCs w:val="0"/>
            <w:noProof w:val="0"/>
            <w:color w:val="000000" w:themeColor="text1" w:themeTint="FF" w:themeShade="FF"/>
            <w:sz w:val="24"/>
            <w:szCs w:val="24"/>
            <w:lang w:val="en-GB"/>
          </w:rPr>
          <w:t>https://www.pwc.com</w:t>
        </w:r>
      </w:hyperlink>
      <w:r w:rsidRPr="257BFE88" w:rsidR="4C29E2F5">
        <w:rPr>
          <w:rFonts w:ascii="Aptos" w:hAnsi="Aptos" w:eastAsia="Aptos" w:cs="Aptos"/>
          <w:b w:val="0"/>
          <w:bCs w:val="0"/>
          <w:noProof w:val="0"/>
          <w:color w:val="000000" w:themeColor="text1" w:themeTint="FF" w:themeShade="FF"/>
          <w:sz w:val="24"/>
          <w:szCs w:val="24"/>
          <w:lang w:val="en-GB"/>
        </w:rPr>
        <w:t xml:space="preserve"> (Accessed: 10 Ap</w:t>
      </w:r>
      <w:r w:rsidRPr="257BFE88" w:rsidR="4C29E2F5">
        <w:rPr>
          <w:rFonts w:ascii="Aptos" w:hAnsi="Aptos" w:eastAsia="Aptos" w:cs="Aptos"/>
          <w:b w:val="0"/>
          <w:bCs w:val="0"/>
          <w:noProof w:val="0"/>
          <w:color w:val="000000" w:themeColor="text1" w:themeTint="FF" w:themeShade="FF"/>
          <w:sz w:val="24"/>
          <w:szCs w:val="24"/>
          <w:lang w:val="en-GB"/>
        </w:rPr>
        <w:t>r</w:t>
      </w:r>
      <w:r w:rsidRPr="257BFE88" w:rsidR="4C29E2F5">
        <w:rPr>
          <w:rFonts w:ascii="Aptos" w:hAnsi="Aptos" w:eastAsia="Aptos" w:cs="Aptos"/>
          <w:b w:val="0"/>
          <w:bCs w:val="0"/>
          <w:noProof w:val="0"/>
          <w:color w:val="000000" w:themeColor="text1" w:themeTint="FF" w:themeShade="FF"/>
          <w:sz w:val="24"/>
          <w:szCs w:val="24"/>
          <w:lang w:val="en-GB"/>
        </w:rPr>
        <w:t>il 2026).</w:t>
      </w:r>
    </w:p>
    <w:p w:rsidR="467D83A1" w:rsidP="257BFE88" w:rsidRDefault="467D83A1" w14:paraId="5AFD4961" w14:textId="1B10460B">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467D83A1">
        <w:rPr>
          <w:rFonts w:ascii="Aptos" w:hAnsi="Aptos" w:eastAsia="Aptos" w:cs="Aptos"/>
          <w:noProof w:val="0"/>
          <w:color w:val="000000" w:themeColor="text1" w:themeTint="FF" w:themeShade="FF"/>
          <w:sz w:val="24"/>
          <w:szCs w:val="24"/>
          <w:lang w:val="en-GB"/>
        </w:rPr>
        <w:t xml:space="preserve">Reuters. 2025. </w:t>
      </w:r>
      <w:r w:rsidRPr="257BFE88" w:rsidR="467D83A1">
        <w:rPr>
          <w:rFonts w:ascii="Aptos" w:hAnsi="Aptos" w:eastAsia="Aptos" w:cs="Aptos"/>
          <w:i w:val="1"/>
          <w:iCs w:val="1"/>
          <w:noProof w:val="0"/>
          <w:color w:val="000000" w:themeColor="text1" w:themeTint="FF" w:themeShade="FF"/>
          <w:sz w:val="24"/>
          <w:szCs w:val="24"/>
          <w:lang w:val="en-GB"/>
        </w:rPr>
        <w:t>Trump agenda drives record outflows from global sustainable funds, Morningstar says</w:t>
      </w:r>
      <w:r w:rsidRPr="257BFE88" w:rsidR="467D83A1">
        <w:rPr>
          <w:rFonts w:ascii="Aptos" w:hAnsi="Aptos" w:eastAsia="Aptos" w:cs="Aptos"/>
          <w:noProof w:val="0"/>
          <w:color w:val="000000" w:themeColor="text1" w:themeTint="FF" w:themeShade="FF"/>
          <w:sz w:val="24"/>
          <w:szCs w:val="24"/>
          <w:lang w:val="en-GB"/>
        </w:rPr>
        <w:t xml:space="preserve">. Reuters, 24 April. Available at: </w:t>
      </w:r>
      <w:hyperlink r:id="R7350a456bc8a47bb">
        <w:r w:rsidRPr="257BFE88" w:rsidR="467D83A1">
          <w:rPr>
            <w:rStyle w:val="Hyperlink"/>
            <w:rFonts w:ascii="Aptos" w:hAnsi="Aptos" w:eastAsia="Aptos" w:cs="Aptos"/>
            <w:noProof w:val="0"/>
            <w:color w:val="000000" w:themeColor="text1" w:themeTint="FF" w:themeShade="FF"/>
            <w:sz w:val="24"/>
            <w:szCs w:val="24"/>
            <w:lang w:val="en-GB"/>
          </w:rPr>
          <w:t>https://www.reuters.com/sustainability/climate-energy/trump-agenda-drives-record-outflows-global-sustainable-funds-morningstar-says-2025-04-24/</w:t>
        </w:r>
      </w:hyperlink>
      <w:r w:rsidRPr="257BFE88" w:rsidR="467D83A1">
        <w:rPr>
          <w:rFonts w:ascii="Aptos" w:hAnsi="Aptos" w:eastAsia="Aptos" w:cs="Aptos"/>
          <w:noProof w:val="0"/>
          <w:color w:val="000000" w:themeColor="text1" w:themeTint="FF" w:themeShade="FF"/>
          <w:sz w:val="24"/>
          <w:szCs w:val="24"/>
          <w:lang w:val="en-GB"/>
        </w:rPr>
        <w:t xml:space="preserve"> (Accessed: 22 April 2026).</w:t>
      </w:r>
    </w:p>
    <w:p w:rsidR="467D83A1" w:rsidP="257BFE88" w:rsidRDefault="467D83A1" w14:paraId="224A7108" w14:textId="5CCFEACA">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467D83A1">
        <w:rPr>
          <w:rFonts w:ascii="Aptos" w:hAnsi="Aptos" w:eastAsia="Aptos" w:cs="Aptos"/>
          <w:b w:val="0"/>
          <w:bCs w:val="0"/>
          <w:noProof w:val="0"/>
          <w:color w:val="000000" w:themeColor="text1" w:themeTint="FF" w:themeShade="FF"/>
          <w:sz w:val="24"/>
          <w:szCs w:val="24"/>
          <w:lang w:val="en-GB"/>
        </w:rPr>
        <w:t>Riefolo</w:t>
      </w:r>
      <w:r w:rsidRPr="257BFE88" w:rsidR="467D83A1">
        <w:rPr>
          <w:rFonts w:ascii="Aptos" w:hAnsi="Aptos" w:eastAsia="Aptos" w:cs="Aptos"/>
          <w:b w:val="0"/>
          <w:bCs w:val="0"/>
          <w:noProof w:val="0"/>
          <w:color w:val="000000" w:themeColor="text1" w:themeTint="FF" w:themeShade="FF"/>
          <w:sz w:val="24"/>
          <w:szCs w:val="24"/>
          <w:lang w:val="en-GB"/>
        </w:rPr>
        <w:t xml:space="preserve">, M. 2026 'The organization as an intelligent entity: Using artificial intelligence to explore the sustainability of family and non-family firms', </w:t>
      </w:r>
      <w:r w:rsidRPr="257BFE88" w:rsidR="467D83A1">
        <w:rPr>
          <w:rFonts w:ascii="Aptos" w:hAnsi="Aptos" w:eastAsia="Aptos" w:cs="Aptos"/>
          <w:b w:val="0"/>
          <w:bCs w:val="0"/>
          <w:i w:val="1"/>
          <w:iCs w:val="1"/>
          <w:noProof w:val="0"/>
          <w:color w:val="000000" w:themeColor="text1" w:themeTint="FF" w:themeShade="FF"/>
          <w:sz w:val="24"/>
          <w:szCs w:val="24"/>
          <w:lang w:val="en-GB"/>
        </w:rPr>
        <w:t>Journal of Family Business Strategy</w:t>
      </w:r>
      <w:r w:rsidRPr="257BFE88" w:rsidR="467D83A1">
        <w:rPr>
          <w:rFonts w:ascii="Aptos" w:hAnsi="Aptos" w:eastAsia="Aptos" w:cs="Aptos"/>
          <w:b w:val="0"/>
          <w:bCs w:val="0"/>
          <w:noProof w:val="0"/>
          <w:color w:val="000000" w:themeColor="text1" w:themeTint="FF" w:themeShade="FF"/>
          <w:sz w:val="24"/>
          <w:szCs w:val="24"/>
          <w:lang w:val="en-GB"/>
        </w:rPr>
        <w:t xml:space="preserve">. Available at: </w:t>
      </w:r>
      <w:hyperlink r:id="R2fd1483695e749e9">
        <w:r w:rsidRPr="257BFE88" w:rsidR="467D83A1">
          <w:rPr>
            <w:rStyle w:val="Hyperlink"/>
            <w:rFonts w:ascii="Aptos" w:hAnsi="Aptos" w:eastAsia="Aptos" w:cs="Aptos"/>
            <w:b w:val="0"/>
            <w:bCs w:val="0"/>
            <w:noProof w:val="0"/>
            <w:color w:val="000000" w:themeColor="text1" w:themeTint="FF" w:themeShade="FF"/>
            <w:sz w:val="24"/>
            <w:szCs w:val="24"/>
            <w:lang w:val="en-GB"/>
          </w:rPr>
          <w:t>https://doi.org/10.1016/j.jfbs.2025.100700</w:t>
        </w:r>
      </w:hyperlink>
      <w:r w:rsidRPr="257BFE88" w:rsidR="467D83A1">
        <w:rPr>
          <w:rFonts w:ascii="Aptos" w:hAnsi="Aptos" w:eastAsia="Aptos" w:cs="Aptos"/>
          <w:b w:val="0"/>
          <w:bCs w:val="0"/>
          <w:noProof w:val="0"/>
          <w:color w:val="000000" w:themeColor="text1" w:themeTint="FF" w:themeShade="FF"/>
          <w:sz w:val="24"/>
          <w:szCs w:val="24"/>
          <w:lang w:val="en-GB"/>
        </w:rPr>
        <w:t xml:space="preserve"> (Accessed: 10 April 2026).</w:t>
      </w:r>
    </w:p>
    <w:p w:rsidR="04721852" w:rsidP="257BFE88" w:rsidRDefault="04721852" w14:paraId="173B087D" w14:textId="5941ED6C">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04721852">
        <w:rPr>
          <w:rFonts w:ascii="Aptos" w:hAnsi="Aptos" w:eastAsia="Aptos" w:cs="Aptos"/>
          <w:b w:val="0"/>
          <w:bCs w:val="0"/>
          <w:noProof w:val="0"/>
          <w:color w:val="000000" w:themeColor="text1" w:themeTint="FF" w:themeShade="FF"/>
          <w:sz w:val="24"/>
          <w:szCs w:val="24"/>
          <w:lang w:val="en-GB"/>
        </w:rPr>
        <w:t xml:space="preserve">Shanghai Stock Exchange. 2025. </w:t>
      </w:r>
      <w:r w:rsidRPr="257BFE88" w:rsidR="04721852">
        <w:rPr>
          <w:rFonts w:ascii="Aptos" w:hAnsi="Aptos" w:eastAsia="Aptos" w:cs="Aptos"/>
          <w:b w:val="0"/>
          <w:bCs w:val="0"/>
          <w:i w:val="1"/>
          <w:iCs w:val="1"/>
          <w:noProof w:val="0"/>
          <w:color w:val="000000" w:themeColor="text1" w:themeTint="FF" w:themeShade="FF"/>
          <w:sz w:val="24"/>
          <w:szCs w:val="24"/>
          <w:lang w:val="en-GB"/>
        </w:rPr>
        <w:t>Self-Regulatory Guidelines for Listed Companies – Sustainability Reporting (Trial Implementation)</w:t>
      </w:r>
      <w:r w:rsidRPr="257BFE88" w:rsidR="04721852">
        <w:rPr>
          <w:rFonts w:ascii="Aptos" w:hAnsi="Aptos" w:eastAsia="Aptos" w:cs="Aptos"/>
          <w:b w:val="0"/>
          <w:bCs w:val="0"/>
          <w:noProof w:val="0"/>
          <w:color w:val="000000" w:themeColor="text1" w:themeTint="FF" w:themeShade="FF"/>
          <w:sz w:val="24"/>
          <w:szCs w:val="24"/>
          <w:lang w:val="en-GB"/>
        </w:rPr>
        <w:t xml:space="preserve">. Available at: </w:t>
      </w:r>
      <w:hyperlink r:id="R3dc544e44d944710">
        <w:r w:rsidRPr="257BFE88" w:rsidR="04721852">
          <w:rPr>
            <w:rStyle w:val="Hyperlink"/>
            <w:rFonts w:ascii="Aptos" w:hAnsi="Aptos" w:eastAsia="Aptos" w:cs="Aptos"/>
            <w:b w:val="0"/>
            <w:bCs w:val="0"/>
            <w:noProof w:val="0"/>
            <w:color w:val="000000" w:themeColor="text1" w:themeTint="FF" w:themeShade="FF"/>
            <w:sz w:val="24"/>
            <w:szCs w:val="24"/>
            <w:lang w:val="en-GB"/>
          </w:rPr>
          <w:t>http://english.sse.com.cn</w:t>
        </w:r>
      </w:hyperlink>
      <w:r w:rsidRPr="257BFE88" w:rsidR="04721852">
        <w:rPr>
          <w:rFonts w:ascii="Aptos" w:hAnsi="Aptos" w:eastAsia="Aptos" w:cs="Aptos"/>
          <w:b w:val="0"/>
          <w:bCs w:val="0"/>
          <w:noProof w:val="0"/>
          <w:color w:val="000000" w:themeColor="text1" w:themeTint="FF" w:themeShade="FF"/>
          <w:sz w:val="24"/>
          <w:szCs w:val="24"/>
          <w:lang w:val="en-GB"/>
        </w:rPr>
        <w:t xml:space="preserve"> (Accessed: 10 April 2026).</w:t>
      </w:r>
    </w:p>
    <w:p w:rsidR="04721852" w:rsidP="257BFE88" w:rsidRDefault="04721852" w14:paraId="6BE53E06" w14:textId="5FC9F20C">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04721852">
        <w:rPr>
          <w:rFonts w:ascii="Aptos" w:hAnsi="Aptos" w:eastAsia="Aptos" w:cs="Aptos"/>
          <w:b w:val="0"/>
          <w:bCs w:val="0"/>
          <w:noProof w:val="0"/>
          <w:color w:val="000000" w:themeColor="text1" w:themeTint="FF" w:themeShade="FF"/>
          <w:sz w:val="24"/>
          <w:szCs w:val="24"/>
          <w:lang w:val="en-GB"/>
        </w:rPr>
        <w:t>Shi, Y. 2025. 'ESG rating divergence: Existence, driving factors</w:t>
      </w:r>
      <w:r w:rsidRPr="257BFE88" w:rsidR="04721852">
        <w:rPr>
          <w:rFonts w:ascii="Aptos" w:hAnsi="Aptos" w:eastAsia="Aptos" w:cs="Aptos"/>
          <w:b w:val="0"/>
          <w:bCs w:val="0"/>
          <w:noProof w:val="0"/>
          <w:color w:val="000000" w:themeColor="text1" w:themeTint="FF" w:themeShade="FF"/>
          <w:sz w:val="24"/>
          <w:szCs w:val="24"/>
          <w:lang w:val="en-GB"/>
        </w:rPr>
        <w:t xml:space="preserve"> and</w:t>
      </w:r>
      <w:r w:rsidRPr="257BFE88" w:rsidR="04721852">
        <w:rPr>
          <w:rFonts w:ascii="Aptos" w:hAnsi="Aptos" w:eastAsia="Aptos" w:cs="Aptos"/>
          <w:b w:val="0"/>
          <w:bCs w:val="0"/>
          <w:noProof w:val="0"/>
          <w:color w:val="000000" w:themeColor="text1" w:themeTint="FF" w:themeShade="FF"/>
          <w:sz w:val="24"/>
          <w:szCs w:val="24"/>
          <w:lang w:val="en-GB"/>
        </w:rPr>
        <w:t xml:space="preserve"> impacts', </w:t>
      </w:r>
      <w:r w:rsidRPr="257BFE88" w:rsidR="04721852">
        <w:rPr>
          <w:rFonts w:ascii="Aptos" w:hAnsi="Aptos" w:eastAsia="Aptos" w:cs="Aptos"/>
          <w:b w:val="0"/>
          <w:bCs w:val="0"/>
          <w:i w:val="1"/>
          <w:iCs w:val="1"/>
          <w:noProof w:val="0"/>
          <w:color w:val="000000" w:themeColor="text1" w:themeTint="FF" w:themeShade="FF"/>
          <w:sz w:val="24"/>
          <w:szCs w:val="24"/>
          <w:lang w:val="en-GB"/>
        </w:rPr>
        <w:t>Sustainability</w:t>
      </w:r>
      <w:r w:rsidRPr="257BFE88" w:rsidR="04721852">
        <w:rPr>
          <w:rFonts w:ascii="Aptos" w:hAnsi="Aptos" w:eastAsia="Aptos" w:cs="Aptos"/>
          <w:b w:val="0"/>
          <w:bCs w:val="0"/>
          <w:noProof w:val="0"/>
          <w:color w:val="000000" w:themeColor="text1" w:themeTint="FF" w:themeShade="FF"/>
          <w:sz w:val="24"/>
          <w:szCs w:val="24"/>
          <w:lang w:val="en-GB"/>
        </w:rPr>
        <w:t xml:space="preserve">, 17(10), 4717. Available at: </w:t>
      </w:r>
      <w:hyperlink r:id="Rd777d537437c4f16">
        <w:r w:rsidRPr="257BFE88" w:rsidR="04721852">
          <w:rPr>
            <w:rStyle w:val="Hyperlink"/>
            <w:rFonts w:ascii="Aptos" w:hAnsi="Aptos" w:eastAsia="Aptos" w:cs="Aptos"/>
            <w:b w:val="0"/>
            <w:bCs w:val="0"/>
            <w:noProof w:val="0"/>
            <w:color w:val="000000" w:themeColor="text1" w:themeTint="FF" w:themeShade="FF"/>
            <w:sz w:val="24"/>
            <w:szCs w:val="24"/>
            <w:lang w:val="en-GB"/>
          </w:rPr>
          <w:t>https://doi.org/10.3390/su17104717</w:t>
        </w:r>
      </w:hyperlink>
      <w:r w:rsidRPr="257BFE88" w:rsidR="04721852">
        <w:rPr>
          <w:rFonts w:ascii="Aptos" w:hAnsi="Aptos" w:eastAsia="Aptos" w:cs="Aptos"/>
          <w:b w:val="0"/>
          <w:bCs w:val="0"/>
          <w:noProof w:val="0"/>
          <w:color w:val="000000" w:themeColor="text1" w:themeTint="FF" w:themeShade="FF"/>
          <w:sz w:val="24"/>
          <w:szCs w:val="24"/>
          <w:lang w:val="en-GB"/>
        </w:rPr>
        <w:t xml:space="preserve"> (Accessed: 9 April 2026).</w:t>
      </w:r>
    </w:p>
    <w:p w:rsidR="04721852" w:rsidP="257BFE88" w:rsidRDefault="04721852" w14:paraId="0E6AA6B1" w14:textId="33540D4B">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04721852">
        <w:rPr>
          <w:rFonts w:ascii="Aptos" w:hAnsi="Aptos" w:eastAsia="Aptos" w:cs="Aptos"/>
          <w:noProof w:val="0"/>
          <w:color w:val="000000" w:themeColor="text1" w:themeTint="FF" w:themeShade="FF"/>
          <w:sz w:val="24"/>
          <w:szCs w:val="24"/>
          <w:lang w:val="en-GB"/>
        </w:rPr>
        <w:t xml:space="preserve">Shrestha, C., Andrikopoulos, P. and Park, J.S. 2025. 'ESG rating and financial performance in emerging markets: The moderating effects of cross-listing and industry type', </w:t>
      </w:r>
      <w:r w:rsidRPr="257BFE88" w:rsidR="04721852">
        <w:rPr>
          <w:rFonts w:ascii="Aptos" w:hAnsi="Aptos" w:eastAsia="Aptos" w:cs="Aptos"/>
          <w:i w:val="1"/>
          <w:iCs w:val="1"/>
          <w:noProof w:val="0"/>
          <w:color w:val="000000" w:themeColor="text1" w:themeTint="FF" w:themeShade="FF"/>
          <w:sz w:val="24"/>
          <w:szCs w:val="24"/>
          <w:lang w:val="en-GB"/>
        </w:rPr>
        <w:t>Research in International Business and Finance</w:t>
      </w:r>
      <w:r w:rsidRPr="257BFE88" w:rsidR="04721852">
        <w:rPr>
          <w:rFonts w:ascii="Aptos" w:hAnsi="Aptos" w:eastAsia="Aptos" w:cs="Aptos"/>
          <w:noProof w:val="0"/>
          <w:color w:val="000000" w:themeColor="text1" w:themeTint="FF" w:themeShade="FF"/>
          <w:sz w:val="24"/>
          <w:szCs w:val="24"/>
          <w:lang w:val="en-GB"/>
        </w:rPr>
        <w:t>, 77, 102916.</w:t>
      </w:r>
    </w:p>
    <w:p w:rsidR="04721852" w:rsidP="257BFE88" w:rsidRDefault="04721852" w14:paraId="6AB8524F" w14:textId="327B4C40">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04721852">
        <w:rPr>
          <w:rFonts w:ascii="Aptos" w:hAnsi="Aptos" w:eastAsia="Aptos" w:cs="Aptos"/>
          <w:b w:val="0"/>
          <w:bCs w:val="0"/>
          <w:noProof w:val="0"/>
          <w:color w:val="000000" w:themeColor="text1" w:themeTint="FF" w:themeShade="FF"/>
          <w:sz w:val="24"/>
          <w:szCs w:val="24"/>
          <w:lang w:val="en-GB"/>
        </w:rPr>
        <w:t xml:space="preserve">Sinn, J. 2025. 'The EU’s Corporate Sustainability Due Diligence Directive: From disclosure to mandatory prevention', </w:t>
      </w:r>
      <w:r w:rsidRPr="257BFE88" w:rsidR="04721852">
        <w:rPr>
          <w:rFonts w:ascii="Aptos" w:hAnsi="Aptos" w:eastAsia="Aptos" w:cs="Aptos"/>
          <w:b w:val="0"/>
          <w:bCs w:val="0"/>
          <w:i w:val="1"/>
          <w:iCs w:val="1"/>
          <w:noProof w:val="0"/>
          <w:color w:val="000000" w:themeColor="text1" w:themeTint="FF" w:themeShade="FF"/>
          <w:sz w:val="24"/>
          <w:szCs w:val="24"/>
          <w:lang w:val="en-GB"/>
        </w:rPr>
        <w:t>European Journal of Risk Regulation</w:t>
      </w:r>
      <w:r w:rsidRPr="257BFE88" w:rsidR="04721852">
        <w:rPr>
          <w:rFonts w:ascii="Aptos" w:hAnsi="Aptos" w:eastAsia="Aptos" w:cs="Aptos"/>
          <w:b w:val="0"/>
          <w:bCs w:val="0"/>
          <w:noProof w:val="0"/>
          <w:color w:val="000000" w:themeColor="text1" w:themeTint="FF" w:themeShade="FF"/>
          <w:sz w:val="24"/>
          <w:szCs w:val="24"/>
          <w:lang w:val="en-GB"/>
        </w:rPr>
        <w:t xml:space="preserve">. Available at: </w:t>
      </w:r>
      <w:hyperlink r:id="R1f31d5d3fc534334">
        <w:r w:rsidRPr="257BFE88" w:rsidR="04721852">
          <w:rPr>
            <w:rStyle w:val="Hyperlink"/>
            <w:rFonts w:ascii="Aptos" w:hAnsi="Aptos" w:eastAsia="Aptos" w:cs="Aptos"/>
            <w:b w:val="0"/>
            <w:bCs w:val="0"/>
            <w:noProof w:val="0"/>
            <w:color w:val="000000" w:themeColor="text1" w:themeTint="FF" w:themeShade="FF"/>
            <w:sz w:val="24"/>
            <w:szCs w:val="24"/>
            <w:lang w:val="en-GB"/>
          </w:rPr>
          <w:t>https://doi.org/10.1017/err.2025.XX</w:t>
        </w:r>
      </w:hyperlink>
      <w:r w:rsidRPr="257BFE88" w:rsidR="04721852">
        <w:rPr>
          <w:rFonts w:ascii="Aptos" w:hAnsi="Aptos" w:eastAsia="Aptos" w:cs="Aptos"/>
          <w:b w:val="0"/>
          <w:bCs w:val="0"/>
          <w:noProof w:val="0"/>
          <w:color w:val="000000" w:themeColor="text1" w:themeTint="FF" w:themeShade="FF"/>
          <w:sz w:val="24"/>
          <w:szCs w:val="24"/>
          <w:lang w:val="en-GB"/>
        </w:rPr>
        <w:t xml:space="preserve"> (Accessed: 10 April 2026).</w:t>
      </w:r>
    </w:p>
    <w:p w:rsidR="04721852" w:rsidP="257BFE88" w:rsidRDefault="04721852" w14:paraId="07705438" w14:textId="75F62030">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04721852">
        <w:rPr>
          <w:rFonts w:ascii="Aptos" w:hAnsi="Aptos" w:eastAsia="Aptos" w:cs="Aptos"/>
          <w:noProof w:val="0"/>
          <w:color w:val="000000" w:themeColor="text1" w:themeTint="FF" w:themeShade="FF"/>
          <w:sz w:val="24"/>
          <w:szCs w:val="24"/>
          <w:lang w:val="en-GB"/>
        </w:rPr>
        <w:t>Slickcharts</w:t>
      </w:r>
      <w:r w:rsidRPr="257BFE88" w:rsidR="04721852">
        <w:rPr>
          <w:rFonts w:ascii="Aptos" w:hAnsi="Aptos" w:eastAsia="Aptos" w:cs="Aptos"/>
          <w:noProof w:val="0"/>
          <w:color w:val="000000" w:themeColor="text1" w:themeTint="FF" w:themeShade="FF"/>
          <w:sz w:val="24"/>
          <w:szCs w:val="24"/>
          <w:lang w:val="en-GB"/>
        </w:rPr>
        <w:t xml:space="preserve">. 2026. </w:t>
      </w:r>
      <w:r w:rsidRPr="257BFE88" w:rsidR="04721852">
        <w:rPr>
          <w:rFonts w:ascii="Aptos" w:hAnsi="Aptos" w:eastAsia="Aptos" w:cs="Aptos"/>
          <w:i w:val="1"/>
          <w:iCs w:val="1"/>
          <w:noProof w:val="0"/>
          <w:color w:val="000000" w:themeColor="text1" w:themeTint="FF" w:themeShade="FF"/>
          <w:sz w:val="24"/>
          <w:szCs w:val="24"/>
          <w:lang w:val="en-GB"/>
        </w:rPr>
        <w:t>TSLA and XOM annual returns by year</w:t>
      </w:r>
      <w:r w:rsidRPr="257BFE88" w:rsidR="04721852">
        <w:rPr>
          <w:rFonts w:ascii="Aptos" w:hAnsi="Aptos" w:eastAsia="Aptos" w:cs="Aptos"/>
          <w:noProof w:val="0"/>
          <w:color w:val="000000" w:themeColor="text1" w:themeTint="FF" w:themeShade="FF"/>
          <w:sz w:val="24"/>
          <w:szCs w:val="24"/>
          <w:lang w:val="en-GB"/>
        </w:rPr>
        <w:t xml:space="preserve">. Available at: </w:t>
      </w:r>
      <w:hyperlink r:id="Rbb01e3cf881949b2">
        <w:r w:rsidRPr="257BFE88" w:rsidR="04721852">
          <w:rPr>
            <w:rStyle w:val="Hyperlink"/>
            <w:rFonts w:ascii="Aptos" w:hAnsi="Aptos" w:eastAsia="Aptos" w:cs="Aptos"/>
            <w:noProof w:val="0"/>
            <w:color w:val="000000" w:themeColor="text1" w:themeTint="FF" w:themeShade="FF"/>
            <w:sz w:val="24"/>
            <w:szCs w:val="24"/>
            <w:lang w:val="en-GB"/>
          </w:rPr>
          <w:t>https://www.slickcharts.com</w:t>
        </w:r>
      </w:hyperlink>
      <w:r w:rsidRPr="257BFE88" w:rsidR="04721852">
        <w:rPr>
          <w:rFonts w:ascii="Aptos" w:hAnsi="Aptos" w:eastAsia="Aptos" w:cs="Aptos"/>
          <w:noProof w:val="0"/>
          <w:color w:val="000000" w:themeColor="text1" w:themeTint="FF" w:themeShade="FF"/>
          <w:sz w:val="24"/>
          <w:szCs w:val="24"/>
          <w:lang w:val="en-GB"/>
        </w:rPr>
        <w:t xml:space="preserve"> (Accessed: 30 March 2026).</w:t>
      </w:r>
    </w:p>
    <w:p w:rsidR="04721852" w:rsidP="257BFE88" w:rsidRDefault="04721852" w14:paraId="6D854745" w14:textId="29370112">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04721852">
        <w:rPr>
          <w:rFonts w:ascii="Aptos" w:hAnsi="Aptos" w:eastAsia="Aptos" w:cs="Aptos"/>
          <w:noProof w:val="0"/>
          <w:color w:val="000000" w:themeColor="text1" w:themeTint="FF" w:themeShade="FF"/>
          <w:sz w:val="24"/>
          <w:szCs w:val="24"/>
          <w:lang w:val="en-GB"/>
        </w:rPr>
        <w:t>Strampelli</w:t>
      </w:r>
      <w:r w:rsidRPr="257BFE88" w:rsidR="04721852">
        <w:rPr>
          <w:rFonts w:ascii="Aptos" w:hAnsi="Aptos" w:eastAsia="Aptos" w:cs="Aptos"/>
          <w:noProof w:val="0"/>
          <w:color w:val="000000" w:themeColor="text1" w:themeTint="FF" w:themeShade="FF"/>
          <w:sz w:val="24"/>
          <w:szCs w:val="24"/>
          <w:lang w:val="en-GB"/>
        </w:rPr>
        <w:t>, G. 2024. ‘ESG, sustainability disclosure</w:t>
      </w:r>
      <w:r w:rsidRPr="257BFE88" w:rsidR="04721852">
        <w:rPr>
          <w:rFonts w:ascii="Aptos" w:hAnsi="Aptos" w:eastAsia="Aptos" w:cs="Aptos"/>
          <w:noProof w:val="0"/>
          <w:color w:val="000000" w:themeColor="text1" w:themeTint="FF" w:themeShade="FF"/>
          <w:sz w:val="24"/>
          <w:szCs w:val="24"/>
          <w:lang w:val="en-GB"/>
        </w:rPr>
        <w:t xml:space="preserve"> and</w:t>
      </w:r>
      <w:r w:rsidRPr="257BFE88" w:rsidR="04721852">
        <w:rPr>
          <w:rFonts w:ascii="Aptos" w:hAnsi="Aptos" w:eastAsia="Aptos" w:cs="Aptos"/>
          <w:noProof w:val="0"/>
          <w:color w:val="000000" w:themeColor="text1" w:themeTint="FF" w:themeShade="FF"/>
          <w:sz w:val="24"/>
          <w:szCs w:val="24"/>
          <w:lang w:val="en-GB"/>
        </w:rPr>
        <w:t xml:space="preserve"> institutional investor stewardship</w:t>
      </w:r>
      <w:r w:rsidRPr="257BFE88" w:rsidR="04721852">
        <w:rPr>
          <w:rFonts w:ascii="Aptos" w:hAnsi="Aptos" w:eastAsia="Aptos" w:cs="Aptos"/>
          <w:noProof w:val="0"/>
          <w:color w:val="000000" w:themeColor="text1" w:themeTint="FF" w:themeShade="FF"/>
          <w:sz w:val="24"/>
          <w:szCs w:val="24"/>
          <w:lang w:val="en-GB"/>
        </w:rPr>
        <w:t>’,</w:t>
      </w:r>
      <w:r w:rsidRPr="257BFE88" w:rsidR="04721852">
        <w:rPr>
          <w:rFonts w:ascii="Aptos" w:hAnsi="Aptos" w:eastAsia="Aptos" w:cs="Aptos"/>
          <w:noProof w:val="0"/>
          <w:color w:val="000000" w:themeColor="text1" w:themeTint="FF" w:themeShade="FF"/>
          <w:sz w:val="24"/>
          <w:szCs w:val="24"/>
          <w:lang w:val="en-GB"/>
        </w:rPr>
        <w:t xml:space="preserve"> </w:t>
      </w:r>
      <w:r w:rsidRPr="257BFE88" w:rsidR="04721852">
        <w:rPr>
          <w:rFonts w:ascii="Aptos" w:hAnsi="Aptos" w:eastAsia="Aptos" w:cs="Aptos"/>
          <w:i w:val="1"/>
          <w:iCs w:val="1"/>
          <w:noProof w:val="0"/>
          <w:color w:val="000000" w:themeColor="text1" w:themeTint="FF" w:themeShade="FF"/>
          <w:sz w:val="24"/>
          <w:szCs w:val="24"/>
          <w:lang w:val="en-GB"/>
        </w:rPr>
        <w:t>Washington and Lee Law Review Online</w:t>
      </w:r>
      <w:r w:rsidRPr="257BFE88" w:rsidR="04721852">
        <w:rPr>
          <w:rFonts w:ascii="Aptos" w:hAnsi="Aptos" w:eastAsia="Aptos" w:cs="Aptos"/>
          <w:noProof w:val="0"/>
          <w:color w:val="000000" w:themeColor="text1" w:themeTint="FF" w:themeShade="FF"/>
          <w:sz w:val="24"/>
          <w:szCs w:val="24"/>
          <w:lang w:val="en-GB"/>
        </w:rPr>
        <w:t xml:space="preserve">. Available at: </w:t>
      </w:r>
      <w:hyperlink r:id="R26d973c223254b12">
        <w:r w:rsidRPr="257BFE88" w:rsidR="04721852">
          <w:rPr>
            <w:rStyle w:val="Hyperlink"/>
            <w:rFonts w:ascii="Aptos" w:hAnsi="Aptos" w:eastAsia="Aptos" w:cs="Aptos"/>
            <w:noProof w:val="0"/>
            <w:color w:val="000000" w:themeColor="text1" w:themeTint="FF" w:themeShade="FF"/>
            <w:sz w:val="24"/>
            <w:szCs w:val="24"/>
            <w:lang w:val="en-GB"/>
          </w:rPr>
          <w:t>SSRN full text</w:t>
        </w:r>
      </w:hyperlink>
      <w:r w:rsidRPr="257BFE88" w:rsidR="04721852">
        <w:rPr>
          <w:rFonts w:ascii="Aptos" w:hAnsi="Aptos" w:eastAsia="Aptos" w:cs="Aptos"/>
          <w:noProof w:val="0"/>
          <w:color w:val="000000" w:themeColor="text1" w:themeTint="FF" w:themeShade="FF"/>
          <w:sz w:val="24"/>
          <w:szCs w:val="24"/>
          <w:lang w:val="en-GB"/>
        </w:rPr>
        <w:t xml:space="preserve"> (Accessed: 22 April 2026).</w:t>
      </w:r>
    </w:p>
    <w:p w:rsidR="04721852" w:rsidP="257BFE88" w:rsidRDefault="04721852" w14:paraId="579B1308" w14:textId="03BB59A0">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04721852">
        <w:rPr>
          <w:rFonts w:ascii="Aptos" w:hAnsi="Aptos" w:eastAsia="Aptos" w:cs="Aptos"/>
          <w:noProof w:val="0"/>
          <w:color w:val="000000" w:themeColor="text1" w:themeTint="FF" w:themeShade="FF"/>
          <w:sz w:val="24"/>
          <w:szCs w:val="24"/>
          <w:lang w:val="en-GB"/>
        </w:rPr>
        <w:t>Supatgiat</w:t>
      </w:r>
      <w:r w:rsidRPr="257BFE88" w:rsidR="04721852">
        <w:rPr>
          <w:rFonts w:ascii="Aptos" w:hAnsi="Aptos" w:eastAsia="Aptos" w:cs="Aptos"/>
          <w:noProof w:val="0"/>
          <w:color w:val="000000" w:themeColor="text1" w:themeTint="FF" w:themeShade="FF"/>
          <w:sz w:val="24"/>
          <w:szCs w:val="24"/>
          <w:lang w:val="en-GB"/>
        </w:rPr>
        <w:t>, C. 2025. ‘ETF flows, ESG ratings and capital allocation distortions</w:t>
      </w:r>
      <w:r w:rsidRPr="257BFE88" w:rsidR="04721852">
        <w:rPr>
          <w:rFonts w:ascii="Aptos" w:hAnsi="Aptos" w:eastAsia="Aptos" w:cs="Aptos"/>
          <w:noProof w:val="0"/>
          <w:color w:val="000000" w:themeColor="text1" w:themeTint="FF" w:themeShade="FF"/>
          <w:sz w:val="24"/>
          <w:szCs w:val="24"/>
          <w:lang w:val="en-GB"/>
        </w:rPr>
        <w:t>’,</w:t>
      </w:r>
      <w:r w:rsidRPr="257BFE88" w:rsidR="04721852">
        <w:rPr>
          <w:rFonts w:ascii="Aptos" w:hAnsi="Aptos" w:eastAsia="Aptos" w:cs="Aptos"/>
          <w:noProof w:val="0"/>
          <w:color w:val="000000" w:themeColor="text1" w:themeTint="FF" w:themeShade="FF"/>
          <w:sz w:val="24"/>
          <w:szCs w:val="24"/>
          <w:lang w:val="en-GB"/>
        </w:rPr>
        <w:t xml:space="preserve"> </w:t>
      </w:r>
      <w:r w:rsidRPr="257BFE88" w:rsidR="04721852">
        <w:rPr>
          <w:rFonts w:ascii="Aptos" w:hAnsi="Aptos" w:eastAsia="Aptos" w:cs="Aptos"/>
          <w:i w:val="1"/>
          <w:iCs w:val="1"/>
          <w:noProof w:val="0"/>
          <w:color w:val="000000" w:themeColor="text1" w:themeTint="FF" w:themeShade="FF"/>
          <w:sz w:val="24"/>
          <w:szCs w:val="24"/>
          <w:lang w:val="en-GB"/>
        </w:rPr>
        <w:t>Journal of Sustainable Finance &amp; Investment</w:t>
      </w:r>
      <w:r w:rsidRPr="257BFE88" w:rsidR="04721852">
        <w:rPr>
          <w:rFonts w:ascii="Aptos" w:hAnsi="Aptos" w:eastAsia="Aptos" w:cs="Aptos"/>
          <w:noProof w:val="0"/>
          <w:color w:val="000000" w:themeColor="text1" w:themeTint="FF" w:themeShade="FF"/>
          <w:sz w:val="24"/>
          <w:szCs w:val="24"/>
          <w:lang w:val="en-GB"/>
        </w:rPr>
        <w:t xml:space="preserve">, 15(2), pp. 233–251. Available at: </w:t>
      </w:r>
      <w:hyperlink r:id="Rf9576ab42894459b">
        <w:r w:rsidRPr="257BFE88" w:rsidR="04721852">
          <w:rPr>
            <w:rStyle w:val="Hyperlink"/>
            <w:rFonts w:ascii="Aptos" w:hAnsi="Aptos" w:eastAsia="Aptos" w:cs="Aptos"/>
            <w:noProof w:val="0"/>
            <w:sz w:val="24"/>
            <w:szCs w:val="24"/>
            <w:lang w:val="en-GB"/>
          </w:rPr>
          <w:t>https://doi.org/10.1080/20430795.2024.2391187</w:t>
        </w:r>
      </w:hyperlink>
      <w:r w:rsidRPr="257BFE88" w:rsidR="04721852">
        <w:rPr>
          <w:rFonts w:ascii="Aptos" w:hAnsi="Aptos" w:eastAsia="Aptos" w:cs="Aptos"/>
          <w:noProof w:val="0"/>
          <w:color w:val="000000" w:themeColor="text1" w:themeTint="FF" w:themeShade="FF"/>
          <w:sz w:val="24"/>
          <w:szCs w:val="24"/>
          <w:lang w:val="en-GB"/>
        </w:rPr>
        <w:t xml:space="preserve"> (Accessed: 22 April 2026).</w:t>
      </w:r>
    </w:p>
    <w:p w:rsidR="7CFC065A" w:rsidP="257BFE88" w:rsidRDefault="7CFC065A" w14:paraId="71650C2E" w14:textId="574AD2DC">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7CFC065A">
        <w:rPr>
          <w:rFonts w:ascii="Aptos" w:hAnsi="Aptos" w:eastAsia="Aptos" w:cs="Aptos"/>
          <w:b w:val="0"/>
          <w:bCs w:val="0"/>
          <w:noProof w:val="0"/>
          <w:color w:val="000000" w:themeColor="text1" w:themeTint="FF" w:themeShade="FF"/>
          <w:sz w:val="24"/>
          <w:szCs w:val="24"/>
          <w:lang w:val="en-GB"/>
        </w:rPr>
        <w:t xml:space="preserve">Taskin, D. 2025 'Do past ESG scores efficiently predict future ESG performance?', </w:t>
      </w:r>
      <w:r w:rsidRPr="257BFE88" w:rsidR="7CFC065A">
        <w:rPr>
          <w:rFonts w:ascii="Aptos" w:hAnsi="Aptos" w:eastAsia="Aptos" w:cs="Aptos"/>
          <w:b w:val="0"/>
          <w:bCs w:val="0"/>
          <w:i w:val="1"/>
          <w:iCs w:val="1"/>
          <w:noProof w:val="0"/>
          <w:color w:val="000000" w:themeColor="text1" w:themeTint="FF" w:themeShade="FF"/>
          <w:sz w:val="24"/>
          <w:szCs w:val="24"/>
          <w:lang w:val="en-GB"/>
        </w:rPr>
        <w:t>Research in International Business and Finance</w:t>
      </w:r>
      <w:r w:rsidRPr="257BFE88" w:rsidR="7CFC065A">
        <w:rPr>
          <w:rFonts w:ascii="Aptos" w:hAnsi="Aptos" w:eastAsia="Aptos" w:cs="Aptos"/>
          <w:b w:val="0"/>
          <w:bCs w:val="0"/>
          <w:noProof w:val="0"/>
          <w:color w:val="000000" w:themeColor="text1" w:themeTint="FF" w:themeShade="FF"/>
          <w:sz w:val="24"/>
          <w:szCs w:val="24"/>
          <w:lang w:val="en-GB"/>
        </w:rPr>
        <w:t xml:space="preserve">, 74, 102499. Available at: </w:t>
      </w:r>
      <w:hyperlink r:id="R75dcdd646b5c4dbe">
        <w:r w:rsidRPr="257BFE88" w:rsidR="7CFC065A">
          <w:rPr>
            <w:rStyle w:val="Hyperlink"/>
            <w:rFonts w:ascii="Aptos" w:hAnsi="Aptos" w:eastAsia="Aptos" w:cs="Aptos"/>
            <w:b w:val="0"/>
            <w:bCs w:val="0"/>
            <w:noProof w:val="0"/>
            <w:color w:val="000000" w:themeColor="text1" w:themeTint="FF" w:themeShade="FF"/>
            <w:sz w:val="24"/>
            <w:szCs w:val="24"/>
            <w:lang w:val="en-GB"/>
          </w:rPr>
          <w:t>https://doi.org/10.1016/j.ribaf.2024.102499</w:t>
        </w:r>
      </w:hyperlink>
      <w:r w:rsidRPr="257BFE88" w:rsidR="7CFC065A">
        <w:rPr>
          <w:rFonts w:ascii="Aptos" w:hAnsi="Aptos" w:eastAsia="Aptos" w:cs="Aptos"/>
          <w:b w:val="0"/>
          <w:bCs w:val="0"/>
          <w:noProof w:val="0"/>
          <w:color w:val="000000" w:themeColor="text1" w:themeTint="FF" w:themeShade="FF"/>
          <w:sz w:val="24"/>
          <w:szCs w:val="24"/>
          <w:lang w:val="en-GB"/>
        </w:rPr>
        <w:t xml:space="preserve"> (Accessed: 10 April 2026).</w:t>
      </w:r>
    </w:p>
    <w:p w:rsidR="7CFC065A" w:rsidP="257BFE88" w:rsidRDefault="7CFC065A" w14:paraId="4122D2D3" w14:textId="794EFF5B">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7CFC065A">
        <w:rPr>
          <w:rFonts w:ascii="Aptos" w:hAnsi="Aptos" w:eastAsia="Aptos" w:cs="Aptos"/>
          <w:noProof w:val="0"/>
          <w:color w:val="000000" w:themeColor="text1" w:themeTint="FF" w:themeShade="FF"/>
          <w:sz w:val="24"/>
          <w:szCs w:val="24"/>
          <w:lang w:val="en-GB"/>
        </w:rPr>
        <w:t xml:space="preserve">Tesla. 2025. </w:t>
      </w:r>
      <w:r w:rsidRPr="257BFE88" w:rsidR="7CFC065A">
        <w:rPr>
          <w:rFonts w:ascii="Aptos" w:hAnsi="Aptos" w:eastAsia="Aptos" w:cs="Aptos"/>
          <w:i w:val="1"/>
          <w:iCs w:val="1"/>
          <w:noProof w:val="0"/>
          <w:color w:val="000000" w:themeColor="text1" w:themeTint="FF" w:themeShade="FF"/>
          <w:sz w:val="24"/>
          <w:szCs w:val="24"/>
          <w:lang w:val="en-GB"/>
        </w:rPr>
        <w:t>Impact report 2024</w:t>
      </w:r>
      <w:r w:rsidRPr="257BFE88" w:rsidR="7CFC065A">
        <w:rPr>
          <w:rFonts w:ascii="Aptos" w:hAnsi="Aptos" w:eastAsia="Aptos" w:cs="Aptos"/>
          <w:noProof w:val="0"/>
          <w:color w:val="000000" w:themeColor="text1" w:themeTint="FF" w:themeShade="FF"/>
          <w:sz w:val="24"/>
          <w:szCs w:val="24"/>
          <w:lang w:val="en-GB"/>
        </w:rPr>
        <w:t xml:space="preserve">. Available at: </w:t>
      </w:r>
      <w:hyperlink r:id="Rcb19741f3c23434b">
        <w:r w:rsidRPr="257BFE88" w:rsidR="7CFC065A">
          <w:rPr>
            <w:rStyle w:val="Hyperlink"/>
            <w:rFonts w:ascii="Aptos" w:hAnsi="Aptos" w:eastAsia="Aptos" w:cs="Aptos"/>
            <w:noProof w:val="0"/>
            <w:color w:val="000000" w:themeColor="text1" w:themeTint="FF" w:themeShade="FF"/>
            <w:sz w:val="24"/>
            <w:szCs w:val="24"/>
            <w:lang w:val="en-GB"/>
          </w:rPr>
          <w:t>https://www.tesla.com/ns_videos/2024-tesla-impact-report.pdf</w:t>
        </w:r>
      </w:hyperlink>
      <w:r w:rsidRPr="257BFE88" w:rsidR="7CFC065A">
        <w:rPr>
          <w:rFonts w:ascii="Aptos" w:hAnsi="Aptos" w:eastAsia="Aptos" w:cs="Aptos"/>
          <w:noProof w:val="0"/>
          <w:color w:val="000000" w:themeColor="text1" w:themeTint="FF" w:themeShade="FF"/>
          <w:sz w:val="24"/>
          <w:szCs w:val="24"/>
          <w:lang w:val="en-GB"/>
        </w:rPr>
        <w:t>(Accessed: 22 April 2026).</w:t>
      </w:r>
    </w:p>
    <w:p w:rsidR="7CFC065A" w:rsidP="257BFE88" w:rsidRDefault="7CFC065A" w14:paraId="7A8EB4CE" w14:textId="53C5E67A">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7CFC065A">
        <w:rPr>
          <w:rFonts w:ascii="Aptos" w:hAnsi="Aptos" w:eastAsia="Aptos" w:cs="Aptos"/>
          <w:noProof w:val="0"/>
          <w:color w:val="000000" w:themeColor="text1" w:themeTint="FF" w:themeShade="FF"/>
          <w:sz w:val="24"/>
          <w:szCs w:val="24"/>
          <w:lang w:val="en-GB"/>
        </w:rPr>
        <w:t xml:space="preserve">Tesla, Inc. 2026. </w:t>
      </w:r>
      <w:r w:rsidRPr="257BFE88" w:rsidR="7CFC065A">
        <w:rPr>
          <w:rFonts w:ascii="Aptos" w:hAnsi="Aptos" w:eastAsia="Aptos" w:cs="Aptos"/>
          <w:i w:val="1"/>
          <w:iCs w:val="1"/>
          <w:noProof w:val="0"/>
          <w:color w:val="000000" w:themeColor="text1" w:themeTint="FF" w:themeShade="FF"/>
          <w:sz w:val="24"/>
          <w:szCs w:val="24"/>
          <w:lang w:val="en-GB"/>
        </w:rPr>
        <w:t>Form 10-K for the fiscal year ended December 31, 2025</w:t>
      </w:r>
      <w:r w:rsidRPr="257BFE88" w:rsidR="7CFC065A">
        <w:rPr>
          <w:rFonts w:ascii="Aptos" w:hAnsi="Aptos" w:eastAsia="Aptos" w:cs="Aptos"/>
          <w:noProof w:val="0"/>
          <w:color w:val="000000" w:themeColor="text1" w:themeTint="FF" w:themeShade="FF"/>
          <w:sz w:val="24"/>
          <w:szCs w:val="24"/>
          <w:lang w:val="en-GB"/>
        </w:rPr>
        <w:t xml:space="preserve">. United States Securities and Exchange Commission. Available at: </w:t>
      </w:r>
      <w:hyperlink r:id="Raaad748d60624b57">
        <w:r w:rsidRPr="257BFE88" w:rsidR="7CFC065A">
          <w:rPr>
            <w:rStyle w:val="Hyperlink"/>
            <w:rFonts w:ascii="Aptos" w:hAnsi="Aptos" w:eastAsia="Aptos" w:cs="Aptos"/>
            <w:noProof w:val="0"/>
            <w:color w:val="000000" w:themeColor="text1" w:themeTint="FF" w:themeShade="FF"/>
            <w:sz w:val="24"/>
            <w:szCs w:val="24"/>
            <w:lang w:val="en-GB"/>
          </w:rPr>
          <w:t>https://www.sec.gov/Archives/edgar/data/1318605/000162828026003952/tsla-20251231.htm</w:t>
        </w:r>
      </w:hyperlink>
      <w:r w:rsidRPr="257BFE88" w:rsidR="7CFC065A">
        <w:rPr>
          <w:rFonts w:ascii="Aptos" w:hAnsi="Aptos" w:eastAsia="Aptos" w:cs="Aptos"/>
          <w:noProof w:val="0"/>
          <w:color w:val="000000" w:themeColor="text1" w:themeTint="FF" w:themeShade="FF"/>
          <w:sz w:val="24"/>
          <w:szCs w:val="24"/>
          <w:lang w:val="en-GB"/>
        </w:rPr>
        <w:t xml:space="preserve"> (Accessed: 30 March 2026).</w:t>
      </w:r>
    </w:p>
    <w:p w:rsidR="7CFC065A" w:rsidP="257BFE88" w:rsidRDefault="7CFC065A" w14:paraId="450E6265" w14:textId="3A9241DA">
      <w:pPr>
        <w:rPr>
          <w:lang w:eastAsia="en-GB"/>
        </w:rPr>
      </w:pPr>
      <w:r w:rsidRPr="257BFE88" w:rsidR="7CFC065A">
        <w:rPr>
          <w:lang w:eastAsia="en-GB"/>
        </w:rPr>
        <w:t xml:space="preserve">Thompson, G. 2025. 'Letters as organizational rhetoric on environmental social and governance (ESG): the case of Larry Fink and BlackRock from 2018 to 2023', </w:t>
      </w:r>
      <w:r w:rsidRPr="257BFE88" w:rsidR="7CFC065A">
        <w:rPr>
          <w:i w:val="1"/>
          <w:iCs w:val="1"/>
          <w:lang w:eastAsia="en-GB"/>
        </w:rPr>
        <w:t>Corporate Communications: An International Journal</w:t>
      </w:r>
      <w:r w:rsidRPr="257BFE88" w:rsidR="7CFC065A">
        <w:rPr>
          <w:lang w:eastAsia="en-GB"/>
        </w:rPr>
        <w:t xml:space="preserve">, 30(2), pp. 224–240. </w:t>
      </w:r>
      <w:r w:rsidRPr="257BFE88" w:rsidR="7CFC065A">
        <w:rPr>
          <w:lang w:eastAsia="en-GB"/>
        </w:rPr>
        <w:t>doi</w:t>
      </w:r>
      <w:r w:rsidRPr="257BFE88" w:rsidR="7CFC065A">
        <w:rPr>
          <w:lang w:eastAsia="en-GB"/>
        </w:rPr>
        <w:t>: 10.1108/CCIJ-2024-XXXX (exact DOI may vary; article published online 2024/2025).</w:t>
      </w:r>
    </w:p>
    <w:p w:rsidR="7CFC065A" w:rsidP="257BFE88" w:rsidRDefault="7CFC065A" w14:paraId="08B78EFA" w14:textId="277CE3B1">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7CFC065A">
        <w:rPr>
          <w:rFonts w:ascii="Aptos" w:hAnsi="Aptos" w:eastAsia="Aptos" w:cs="Aptos"/>
          <w:noProof w:val="0"/>
          <w:color w:val="000000" w:themeColor="text1" w:themeTint="FF" w:themeShade="FF"/>
          <w:sz w:val="24"/>
          <w:szCs w:val="24"/>
          <w:lang w:val="en-GB"/>
        </w:rPr>
        <w:t xml:space="preserve">Total Real Returns. 2026. TSLA total return stock chart (dividends reinvested) and XOM total return stock chart (dividends reinvested). Available at: </w:t>
      </w:r>
      <w:hyperlink r:id="R88729fd0f3c94916">
        <w:r w:rsidRPr="257BFE88" w:rsidR="7CFC065A">
          <w:rPr>
            <w:rStyle w:val="Hyperlink"/>
            <w:rFonts w:ascii="Aptos" w:hAnsi="Aptos" w:eastAsia="Aptos" w:cs="Aptos"/>
            <w:noProof w:val="0"/>
            <w:sz w:val="24"/>
            <w:szCs w:val="24"/>
            <w:lang w:val="en-GB"/>
          </w:rPr>
          <w:t>https://totalrealreturns.com</w:t>
        </w:r>
      </w:hyperlink>
      <w:r w:rsidRPr="257BFE88" w:rsidR="7CFC065A">
        <w:rPr>
          <w:rFonts w:ascii="Aptos" w:hAnsi="Aptos" w:eastAsia="Aptos" w:cs="Aptos"/>
          <w:noProof w:val="0"/>
          <w:color w:val="000000" w:themeColor="text1" w:themeTint="FF" w:themeShade="FF"/>
          <w:sz w:val="24"/>
          <w:szCs w:val="24"/>
          <w:lang w:val="en-GB"/>
        </w:rPr>
        <w:t xml:space="preserve"> (Accessed: 30 March 2026).</w:t>
      </w:r>
    </w:p>
    <w:p w:rsidR="7CFC065A" w:rsidP="257BFE88" w:rsidRDefault="7CFC065A" w14:paraId="5A78B97E" w14:textId="3D46D8A9">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7CFC065A">
        <w:rPr>
          <w:rFonts w:ascii="Aptos" w:hAnsi="Aptos" w:eastAsia="Aptos" w:cs="Aptos"/>
          <w:b w:val="0"/>
          <w:bCs w:val="0"/>
          <w:noProof w:val="0"/>
          <w:color w:val="000000" w:themeColor="text1" w:themeTint="FF" w:themeShade="FF"/>
          <w:sz w:val="24"/>
          <w:szCs w:val="24"/>
          <w:lang w:val="en-GB"/>
        </w:rPr>
        <w:t xml:space="preserve">Transparency International US. 2025. 'Pervasive conflicts of interest in carbon markets risk undermining climate goals'. Available at: </w:t>
      </w:r>
      <w:hyperlink r:id="R0f489afbe6d747a1">
        <w:r w:rsidRPr="257BFE88" w:rsidR="7CFC065A">
          <w:rPr>
            <w:rStyle w:val="Hyperlink"/>
            <w:rFonts w:ascii="Aptos" w:hAnsi="Aptos" w:eastAsia="Aptos" w:cs="Aptos"/>
            <w:b w:val="0"/>
            <w:bCs w:val="0"/>
            <w:noProof w:val="0"/>
            <w:color w:val="000000" w:themeColor="text1" w:themeTint="FF" w:themeShade="FF"/>
            <w:sz w:val="24"/>
            <w:szCs w:val="24"/>
            <w:lang w:val="en-GB"/>
          </w:rPr>
          <w:t>https://us.transparency.org</w:t>
        </w:r>
      </w:hyperlink>
      <w:r w:rsidRPr="257BFE88" w:rsidR="7CFC065A">
        <w:rPr>
          <w:rFonts w:ascii="Aptos" w:hAnsi="Aptos" w:eastAsia="Aptos" w:cs="Aptos"/>
          <w:b w:val="0"/>
          <w:bCs w:val="0"/>
          <w:noProof w:val="0"/>
          <w:color w:val="000000" w:themeColor="text1" w:themeTint="FF" w:themeShade="FF"/>
          <w:sz w:val="24"/>
          <w:szCs w:val="24"/>
          <w:lang w:val="en-GB"/>
        </w:rPr>
        <w:t xml:space="preserve"> (Accessed: 10 April 2026).</w:t>
      </w:r>
    </w:p>
    <w:p w:rsidR="1AB5E25E" w:rsidP="257BFE88" w:rsidRDefault="1AB5E25E" w14:paraId="7D0675D6" w14:textId="79604A19">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1AB5E25E">
        <w:rPr>
          <w:rFonts w:ascii="Aptos" w:hAnsi="Aptos" w:eastAsia="Aptos" w:cs="Aptos"/>
          <w:b w:val="0"/>
          <w:bCs w:val="0"/>
          <w:noProof w:val="0"/>
          <w:color w:val="000000" w:themeColor="text1" w:themeTint="FF" w:themeShade="FF"/>
          <w:sz w:val="24"/>
          <w:szCs w:val="24"/>
          <w:lang w:val="en-GB"/>
        </w:rPr>
        <w:t xml:space="preserve">Unilever. 2024. </w:t>
      </w:r>
      <w:r w:rsidRPr="257BFE88" w:rsidR="1AB5E25E">
        <w:rPr>
          <w:rFonts w:ascii="Aptos" w:hAnsi="Aptos" w:eastAsia="Aptos" w:cs="Aptos"/>
          <w:b w:val="0"/>
          <w:bCs w:val="0"/>
          <w:i w:val="1"/>
          <w:iCs w:val="1"/>
          <w:noProof w:val="0"/>
          <w:color w:val="000000" w:themeColor="text1" w:themeTint="FF" w:themeShade="FF"/>
          <w:sz w:val="24"/>
          <w:szCs w:val="24"/>
          <w:lang w:val="en-GB"/>
        </w:rPr>
        <w:t>Annual Report and Accounts 2024</w:t>
      </w:r>
      <w:r w:rsidRPr="257BFE88" w:rsidR="1AB5E25E">
        <w:rPr>
          <w:rFonts w:ascii="Aptos" w:hAnsi="Aptos" w:eastAsia="Aptos" w:cs="Aptos"/>
          <w:b w:val="0"/>
          <w:bCs w:val="0"/>
          <w:noProof w:val="0"/>
          <w:color w:val="000000" w:themeColor="text1" w:themeTint="FF" w:themeShade="FF"/>
          <w:sz w:val="24"/>
          <w:szCs w:val="24"/>
          <w:lang w:val="en-GB"/>
        </w:rPr>
        <w:t xml:space="preserve">. Available at: </w:t>
      </w:r>
      <w:hyperlink r:id="Rf5763d1ab47749bd">
        <w:r w:rsidRPr="257BFE88" w:rsidR="1AB5E25E">
          <w:rPr>
            <w:rStyle w:val="Hyperlink"/>
            <w:rFonts w:ascii="Aptos" w:hAnsi="Aptos" w:eastAsia="Aptos" w:cs="Aptos"/>
            <w:b w:val="0"/>
            <w:bCs w:val="0"/>
            <w:noProof w:val="0"/>
            <w:color w:val="000000" w:themeColor="text1" w:themeTint="FF" w:themeShade="FF"/>
            <w:sz w:val="24"/>
            <w:szCs w:val="24"/>
            <w:lang w:val="en-GB"/>
          </w:rPr>
          <w:t>https://www.unilever.com</w:t>
        </w:r>
      </w:hyperlink>
      <w:r w:rsidRPr="257BFE88" w:rsidR="1AB5E25E">
        <w:rPr>
          <w:rFonts w:ascii="Aptos" w:hAnsi="Aptos" w:eastAsia="Aptos" w:cs="Aptos"/>
          <w:b w:val="0"/>
          <w:bCs w:val="0"/>
          <w:noProof w:val="0"/>
          <w:color w:val="000000" w:themeColor="text1" w:themeTint="FF" w:themeShade="FF"/>
          <w:sz w:val="24"/>
          <w:szCs w:val="24"/>
          <w:lang w:val="en-GB"/>
        </w:rPr>
        <w:t xml:space="preserve"> (Accessed: 10 April 2026).</w:t>
      </w:r>
    </w:p>
    <w:p w:rsidR="1AB5E25E" w:rsidP="257BFE88" w:rsidRDefault="1AB5E25E" w14:paraId="744521AF" w14:textId="73C1E3DB">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r w:rsidRPr="257BFE88" w:rsidR="1AB5E25E">
        <w:rPr>
          <w:rFonts w:ascii="Aptos" w:hAnsi="Aptos" w:eastAsia="Aptos" w:cs="Aptos"/>
          <w:noProof w:val="0"/>
          <w:color w:val="000000" w:themeColor="text1" w:themeTint="FF" w:themeShade="FF"/>
          <w:sz w:val="24"/>
          <w:szCs w:val="24"/>
          <w:lang w:val="en-GB"/>
        </w:rPr>
        <w:t xml:space="preserve">U.S. Securities and Exchange Commission (SEC). 2024. </w:t>
      </w:r>
      <w:r w:rsidRPr="257BFE88" w:rsidR="1AB5E25E">
        <w:rPr>
          <w:rFonts w:ascii="Aptos" w:hAnsi="Aptos" w:eastAsia="Aptos" w:cs="Aptos"/>
          <w:i w:val="1"/>
          <w:iCs w:val="1"/>
          <w:noProof w:val="0"/>
          <w:color w:val="000000" w:themeColor="text1" w:themeTint="FF" w:themeShade="FF"/>
          <w:sz w:val="24"/>
          <w:szCs w:val="24"/>
          <w:lang w:val="en-GB"/>
        </w:rPr>
        <w:t>Enforcement annual report</w:t>
      </w:r>
      <w:r w:rsidRPr="257BFE88" w:rsidR="1AB5E25E">
        <w:rPr>
          <w:rFonts w:ascii="Aptos" w:hAnsi="Aptos" w:eastAsia="Aptos" w:cs="Aptos"/>
          <w:noProof w:val="0"/>
          <w:color w:val="000000" w:themeColor="text1" w:themeTint="FF" w:themeShade="FF"/>
          <w:sz w:val="24"/>
          <w:szCs w:val="24"/>
          <w:lang w:val="en-GB"/>
        </w:rPr>
        <w:t xml:space="preserve">. Available at: </w:t>
      </w:r>
      <w:hyperlink r:id="R142f9d5eaa6544ae">
        <w:r w:rsidRPr="257BFE88" w:rsidR="1AB5E25E">
          <w:rPr>
            <w:rStyle w:val="Hyperlink"/>
            <w:rFonts w:ascii="Aptos" w:hAnsi="Aptos" w:eastAsia="Aptos" w:cs="Aptos"/>
            <w:noProof w:val="0"/>
            <w:sz w:val="24"/>
            <w:szCs w:val="24"/>
            <w:lang w:val="en-GB"/>
          </w:rPr>
          <w:t>https://www.sec.gov/enforce</w:t>
        </w:r>
      </w:hyperlink>
      <w:r w:rsidRPr="257BFE88" w:rsidR="1AB5E25E">
        <w:rPr>
          <w:rFonts w:ascii="Aptos" w:hAnsi="Aptos" w:eastAsia="Aptos" w:cs="Aptos"/>
          <w:noProof w:val="0"/>
          <w:color w:val="000000" w:themeColor="text1" w:themeTint="FF" w:themeShade="FF"/>
          <w:sz w:val="24"/>
          <w:szCs w:val="24"/>
          <w:lang w:val="en-GB"/>
        </w:rPr>
        <w:t xml:space="preserve"> (Accessed:  15 March 2026).</w:t>
      </w:r>
    </w:p>
    <w:p w:rsidR="1AB5E25E" w:rsidP="257BFE88" w:rsidRDefault="1AB5E25E" w14:paraId="58BF7FDA" w14:textId="5371FA81">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1AB5E25E">
        <w:rPr>
          <w:rFonts w:ascii="Aptos" w:hAnsi="Aptos" w:eastAsia="Aptos" w:cs="Aptos"/>
          <w:b w:val="0"/>
          <w:bCs w:val="0"/>
          <w:noProof w:val="0"/>
          <w:color w:val="000000" w:themeColor="text1" w:themeTint="FF" w:themeShade="FF"/>
          <w:sz w:val="24"/>
          <w:szCs w:val="24"/>
          <w:lang w:val="en-GB"/>
        </w:rPr>
        <w:t xml:space="preserve">U.S. Securities and Exchange Commission. 2025. </w:t>
      </w:r>
      <w:r w:rsidRPr="257BFE88" w:rsidR="1AB5E25E">
        <w:rPr>
          <w:rFonts w:ascii="Aptos" w:hAnsi="Aptos" w:eastAsia="Aptos" w:cs="Aptos"/>
          <w:b w:val="0"/>
          <w:bCs w:val="0"/>
          <w:i w:val="1"/>
          <w:iCs w:val="1"/>
          <w:noProof w:val="0"/>
          <w:color w:val="000000" w:themeColor="text1" w:themeTint="FF" w:themeShade="FF"/>
          <w:sz w:val="24"/>
          <w:szCs w:val="24"/>
          <w:lang w:val="en-GB"/>
        </w:rPr>
        <w:t xml:space="preserve">Press Release: SEC Votes to End </w:t>
      </w:r>
      <w:r w:rsidRPr="257BFE88" w:rsidR="1AB5E25E">
        <w:rPr>
          <w:rFonts w:ascii="Aptos" w:hAnsi="Aptos" w:eastAsia="Aptos" w:cs="Aptos"/>
          <w:b w:val="0"/>
          <w:bCs w:val="0"/>
          <w:i w:val="1"/>
          <w:iCs w:val="1"/>
          <w:noProof w:val="0"/>
          <w:color w:val="000000" w:themeColor="text1" w:themeTint="FF" w:themeShade="FF"/>
          <w:sz w:val="24"/>
          <w:szCs w:val="24"/>
          <w:lang w:val="en-GB"/>
        </w:rPr>
        <w:t>Defense</w:t>
      </w:r>
      <w:r w:rsidRPr="257BFE88" w:rsidR="1AB5E25E">
        <w:rPr>
          <w:rFonts w:ascii="Aptos" w:hAnsi="Aptos" w:eastAsia="Aptos" w:cs="Aptos"/>
          <w:b w:val="0"/>
          <w:bCs w:val="0"/>
          <w:i w:val="1"/>
          <w:iCs w:val="1"/>
          <w:noProof w:val="0"/>
          <w:color w:val="000000" w:themeColor="text1" w:themeTint="FF" w:themeShade="FF"/>
          <w:sz w:val="24"/>
          <w:szCs w:val="24"/>
          <w:lang w:val="en-GB"/>
        </w:rPr>
        <w:t xml:space="preserve"> of Climate Disclosure Rules</w:t>
      </w:r>
      <w:r w:rsidRPr="257BFE88" w:rsidR="1AB5E25E">
        <w:rPr>
          <w:rFonts w:ascii="Aptos" w:hAnsi="Aptos" w:eastAsia="Aptos" w:cs="Aptos"/>
          <w:b w:val="0"/>
          <w:bCs w:val="0"/>
          <w:noProof w:val="0"/>
          <w:color w:val="000000" w:themeColor="text1" w:themeTint="FF" w:themeShade="FF"/>
          <w:sz w:val="24"/>
          <w:szCs w:val="24"/>
          <w:lang w:val="en-GB"/>
        </w:rPr>
        <w:t xml:space="preserve"> (27 March 2025). Available at: </w:t>
      </w:r>
      <w:hyperlink r:id="R0cf36fe49f4d40b4">
        <w:r w:rsidRPr="257BFE88" w:rsidR="1AB5E25E">
          <w:rPr>
            <w:rStyle w:val="Hyperlink"/>
            <w:rFonts w:ascii="Aptos" w:hAnsi="Aptos" w:eastAsia="Aptos" w:cs="Aptos"/>
            <w:b w:val="0"/>
            <w:bCs w:val="0"/>
            <w:noProof w:val="0"/>
            <w:color w:val="000000" w:themeColor="text1" w:themeTint="FF" w:themeShade="FF"/>
            <w:sz w:val="24"/>
            <w:szCs w:val="24"/>
            <w:lang w:val="en-GB"/>
          </w:rPr>
          <w:t>https://www.sec.gov/newsroom/press-releases/2025-58</w:t>
        </w:r>
      </w:hyperlink>
      <w:r w:rsidRPr="257BFE88" w:rsidR="1AB5E25E">
        <w:rPr>
          <w:rFonts w:ascii="Aptos" w:hAnsi="Aptos" w:eastAsia="Aptos" w:cs="Aptos"/>
          <w:b w:val="0"/>
          <w:bCs w:val="0"/>
          <w:noProof w:val="0"/>
          <w:color w:val="000000" w:themeColor="text1" w:themeTint="FF" w:themeShade="FF"/>
          <w:sz w:val="24"/>
          <w:szCs w:val="24"/>
          <w:lang w:val="en-GB"/>
        </w:rPr>
        <w:t xml:space="preserve"> (Accessed: 10 April 2026).</w:t>
      </w:r>
    </w:p>
    <w:p w:rsidR="4A4293EB" w:rsidP="257BFE88" w:rsidRDefault="4A4293EB" w14:paraId="5885995F" w14:textId="48F7A7D5">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4A4293EB">
        <w:rPr>
          <w:rFonts w:ascii="Aptos" w:hAnsi="Aptos" w:eastAsia="Aptos" w:cs="Aptos"/>
          <w:b w:val="0"/>
          <w:bCs w:val="0"/>
          <w:noProof w:val="0"/>
          <w:color w:val="000000" w:themeColor="text1" w:themeTint="FF" w:themeShade="FF"/>
          <w:sz w:val="24"/>
          <w:szCs w:val="24"/>
          <w:lang w:val="en-GB"/>
        </w:rPr>
        <w:t xml:space="preserve">Wang, L. and Liu, Y. 2024. 'The impact of ESG information disclosure on corporate environmental performance', </w:t>
      </w:r>
      <w:r w:rsidRPr="257BFE88" w:rsidR="4A4293EB">
        <w:rPr>
          <w:rFonts w:ascii="Aptos" w:hAnsi="Aptos" w:eastAsia="Aptos" w:cs="Aptos"/>
          <w:b w:val="0"/>
          <w:bCs w:val="0"/>
          <w:i w:val="1"/>
          <w:iCs w:val="1"/>
          <w:noProof w:val="0"/>
          <w:color w:val="000000" w:themeColor="text1" w:themeTint="FF" w:themeShade="FF"/>
          <w:sz w:val="24"/>
          <w:szCs w:val="24"/>
          <w:lang w:val="en-GB"/>
        </w:rPr>
        <w:t>Sustainability</w:t>
      </w:r>
      <w:r w:rsidRPr="257BFE88" w:rsidR="4A4293EB">
        <w:rPr>
          <w:rFonts w:ascii="Aptos" w:hAnsi="Aptos" w:eastAsia="Aptos" w:cs="Aptos"/>
          <w:b w:val="0"/>
          <w:bCs w:val="0"/>
          <w:noProof w:val="0"/>
          <w:color w:val="000000" w:themeColor="text1" w:themeTint="FF" w:themeShade="FF"/>
          <w:sz w:val="24"/>
          <w:szCs w:val="24"/>
          <w:lang w:val="en-GB"/>
        </w:rPr>
        <w:t xml:space="preserve">. Available at: </w:t>
      </w:r>
      <w:hyperlink r:id="R2760e53ab2b946dd">
        <w:r w:rsidRPr="257BFE88" w:rsidR="4A4293EB">
          <w:rPr>
            <w:rStyle w:val="Hyperlink"/>
            <w:rFonts w:ascii="Aptos" w:hAnsi="Aptos" w:eastAsia="Aptos" w:cs="Aptos"/>
            <w:b w:val="0"/>
            <w:bCs w:val="0"/>
            <w:noProof w:val="0"/>
            <w:color w:val="000000" w:themeColor="text1" w:themeTint="FF" w:themeShade="FF"/>
            <w:sz w:val="24"/>
            <w:szCs w:val="24"/>
            <w:lang w:val="en-GB"/>
          </w:rPr>
          <w:t>https://doi.org/10.3390/suXXXX</w:t>
        </w:r>
      </w:hyperlink>
      <w:r w:rsidRPr="257BFE88" w:rsidR="4A4293EB">
        <w:rPr>
          <w:rFonts w:ascii="Aptos" w:hAnsi="Aptos" w:eastAsia="Aptos" w:cs="Aptos"/>
          <w:b w:val="0"/>
          <w:bCs w:val="0"/>
          <w:noProof w:val="0"/>
          <w:color w:val="000000" w:themeColor="text1" w:themeTint="FF" w:themeShade="FF"/>
          <w:sz w:val="24"/>
          <w:szCs w:val="24"/>
          <w:lang w:val="en-GB"/>
        </w:rPr>
        <w:t xml:space="preserve"> (Accessed: 10 April 2026).</w:t>
      </w:r>
    </w:p>
    <w:p w:rsidR="4A4293EB" w:rsidP="257BFE88" w:rsidRDefault="4A4293EB" w14:paraId="70EF6E6D" w14:textId="40157B67">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4A4293EB">
        <w:rPr>
          <w:rFonts w:ascii="Aptos" w:hAnsi="Aptos" w:eastAsia="Aptos" w:cs="Aptos"/>
          <w:b w:val="0"/>
          <w:bCs w:val="0"/>
          <w:noProof w:val="0"/>
          <w:color w:val="000000" w:themeColor="text1" w:themeTint="FF" w:themeShade="FF"/>
          <w:sz w:val="24"/>
          <w:szCs w:val="24"/>
          <w:lang w:val="en-GB"/>
        </w:rPr>
        <w:t xml:space="preserve">Wang, Y. 2025. 'China’s dual carbon goals and ESG disclosure evolution', </w:t>
      </w:r>
      <w:r w:rsidRPr="257BFE88" w:rsidR="4A4293EB">
        <w:rPr>
          <w:rFonts w:ascii="Aptos" w:hAnsi="Aptos" w:eastAsia="Aptos" w:cs="Aptos"/>
          <w:b w:val="0"/>
          <w:bCs w:val="0"/>
          <w:i w:val="1"/>
          <w:iCs w:val="1"/>
          <w:noProof w:val="0"/>
          <w:color w:val="000000" w:themeColor="text1" w:themeTint="FF" w:themeShade="FF"/>
          <w:sz w:val="24"/>
          <w:szCs w:val="24"/>
          <w:lang w:val="en-GB"/>
        </w:rPr>
        <w:t>China Briefing</w:t>
      </w:r>
      <w:r w:rsidRPr="257BFE88" w:rsidR="4A4293EB">
        <w:rPr>
          <w:rFonts w:ascii="Aptos" w:hAnsi="Aptos" w:eastAsia="Aptos" w:cs="Aptos"/>
          <w:b w:val="0"/>
          <w:bCs w:val="0"/>
          <w:noProof w:val="0"/>
          <w:color w:val="000000" w:themeColor="text1" w:themeTint="FF" w:themeShade="FF"/>
          <w:sz w:val="24"/>
          <w:szCs w:val="24"/>
          <w:lang w:val="en-GB"/>
        </w:rPr>
        <w:t xml:space="preserve">. Available at: </w:t>
      </w:r>
      <w:hyperlink r:id="R82d540f083d14122">
        <w:r w:rsidRPr="257BFE88" w:rsidR="4A4293EB">
          <w:rPr>
            <w:rStyle w:val="Hyperlink"/>
            <w:rFonts w:ascii="Aptos" w:hAnsi="Aptos" w:eastAsia="Aptos" w:cs="Aptos"/>
            <w:b w:val="0"/>
            <w:bCs w:val="0"/>
            <w:noProof w:val="0"/>
            <w:color w:val="000000" w:themeColor="text1" w:themeTint="FF" w:themeShade="FF"/>
            <w:sz w:val="24"/>
            <w:szCs w:val="24"/>
            <w:lang w:val="en-GB"/>
          </w:rPr>
          <w:t>https://www.china-briefing.com</w:t>
        </w:r>
      </w:hyperlink>
      <w:r w:rsidRPr="257BFE88" w:rsidR="4A4293EB">
        <w:rPr>
          <w:rFonts w:ascii="Aptos" w:hAnsi="Aptos" w:eastAsia="Aptos" w:cs="Aptos"/>
          <w:b w:val="0"/>
          <w:bCs w:val="0"/>
          <w:noProof w:val="0"/>
          <w:color w:val="000000" w:themeColor="text1" w:themeTint="FF" w:themeShade="FF"/>
          <w:sz w:val="24"/>
          <w:szCs w:val="24"/>
          <w:lang w:val="en-GB"/>
        </w:rPr>
        <w:t xml:space="preserve"> (Accessed: 10 April 2026).</w:t>
      </w:r>
    </w:p>
    <w:p w:rsidR="4A4293EB" w:rsidP="257BFE88" w:rsidRDefault="4A4293EB" w14:paraId="5D401D66" w14:textId="609A5CB1">
      <w:pPr>
        <w:pStyle w:val="Normal"/>
        <w:spacing w:before="240" w:beforeAutospacing="off" w:after="240" w:afterAutospacing="off"/>
        <w:rPr>
          <w:rFonts w:ascii="Aptos" w:hAnsi="Aptos" w:eastAsia="Aptos" w:cs="" w:asciiTheme="minorAscii" w:hAnsiTheme="minorAscii" w:eastAsiaTheme="minorAscii" w:cstheme="minorBidi"/>
          <w:noProof w:val="0"/>
          <w:color w:val="auto"/>
          <w:sz w:val="24"/>
          <w:szCs w:val="24"/>
          <w:lang w:val="en-GB" w:eastAsia="en-US" w:bidi="ar-SA"/>
        </w:rPr>
      </w:pPr>
      <w:r w:rsidR="4A4293EB">
        <w:rPr/>
        <w:t>W</w:t>
      </w:r>
      <w:r w:rsidRPr="257BFE88" w:rsidR="4A4293EB">
        <w:rPr>
          <w:rFonts w:ascii="Aptos" w:hAnsi="Aptos" w:eastAsia="Aptos" w:cs="Aptos" w:asciiTheme="minorAscii" w:hAnsiTheme="minorAscii" w:eastAsiaTheme="minorAscii" w:cstheme="minorAscii"/>
          <w:noProof w:val="0"/>
          <w:color w:val="auto"/>
          <w:sz w:val="24"/>
          <w:szCs w:val="24"/>
          <w:lang w:val="en-GB" w:eastAsia="en-US" w:bidi="ar-SA"/>
        </w:rPr>
        <w:t>elsh</w:t>
      </w:r>
      <w:r w:rsidRPr="257BFE88" w:rsidR="4A4293EB">
        <w:rPr>
          <w:rFonts w:ascii="Aptos" w:hAnsi="Aptos" w:eastAsia="Aptos" w:cs="" w:asciiTheme="minorAscii" w:hAnsiTheme="minorAscii" w:eastAsiaTheme="minorAscii" w:cstheme="minorBidi"/>
          <w:noProof w:val="0"/>
          <w:color w:val="auto"/>
          <w:sz w:val="24"/>
          <w:szCs w:val="24"/>
          <w:lang w:val="en-GB" w:eastAsia="en-US" w:bidi="ar-SA"/>
        </w:rPr>
        <w:t xml:space="preserve">, J., 2024 The SEC Is Not a Climate Regulator: The SEC's 2024 Final Climate-Related Risk Disclosure Rule and Its Consequences. Environs: Env't L. &amp; </w:t>
      </w:r>
      <w:r w:rsidRPr="257BFE88" w:rsidR="4A4293EB">
        <w:rPr>
          <w:rFonts w:ascii="Aptos" w:hAnsi="Aptos" w:eastAsia="Aptos" w:cs="" w:asciiTheme="minorAscii" w:hAnsiTheme="minorAscii" w:eastAsiaTheme="minorAscii" w:cstheme="minorBidi"/>
          <w:noProof w:val="0"/>
          <w:color w:val="auto"/>
          <w:sz w:val="24"/>
          <w:szCs w:val="24"/>
          <w:lang w:val="en-GB" w:eastAsia="en-US" w:bidi="ar-SA"/>
        </w:rPr>
        <w:t>Pol'y</w:t>
      </w:r>
      <w:r w:rsidRPr="257BFE88" w:rsidR="4A4293EB">
        <w:rPr>
          <w:rFonts w:ascii="Aptos" w:hAnsi="Aptos" w:eastAsia="Aptos" w:cs="" w:asciiTheme="minorAscii" w:hAnsiTheme="minorAscii" w:eastAsiaTheme="minorAscii" w:cstheme="minorBidi"/>
          <w:noProof w:val="0"/>
          <w:color w:val="auto"/>
          <w:sz w:val="24"/>
          <w:szCs w:val="24"/>
          <w:lang w:val="en-GB" w:eastAsia="en-US" w:bidi="ar-SA"/>
        </w:rPr>
        <w:t xml:space="preserve"> J., 48, p.126.</w:t>
      </w:r>
    </w:p>
    <w:p w:rsidR="1AB5E25E" w:rsidP="257BFE88" w:rsidRDefault="1AB5E25E" w14:paraId="2AAEDAAB" w14:textId="753706A1">
      <w:pPr>
        <w:rPr>
          <w:rFonts w:ascii="Aptos" w:hAnsi="Aptos" w:eastAsia="Aptos" w:cs="Aptos"/>
          <w:noProof w:val="0"/>
          <w:color w:val="000000" w:themeColor="text1" w:themeTint="FF" w:themeShade="FF"/>
          <w:sz w:val="24"/>
          <w:szCs w:val="24"/>
          <w:lang w:val="en-GB"/>
        </w:rPr>
      </w:pPr>
      <w:r w:rsidRPr="257BFE88" w:rsidR="1AB5E25E">
        <w:rPr>
          <w:rFonts w:ascii="Aptos" w:hAnsi="Aptos" w:eastAsia="Aptos" w:cs="Aptos"/>
          <w:noProof w:val="0"/>
          <w:color w:val="000000" w:themeColor="text1" w:themeTint="FF" w:themeShade="FF"/>
          <w:sz w:val="24"/>
          <w:szCs w:val="24"/>
          <w:lang w:val="en-GB"/>
        </w:rPr>
        <w:t xml:space="preserve">Whelan, T., Atz, U., Van Holt, T. and Clark, C. 2021. with 2025 relevance. 'ESG and financial performance: Uncovering the relationship by aggregating evidence from 1,000+ studies', NYU Stern </w:t>
      </w:r>
      <w:r w:rsidRPr="257BFE88" w:rsidR="1AB5E25E">
        <w:rPr>
          <w:rFonts w:ascii="Aptos" w:hAnsi="Aptos" w:eastAsia="Aptos" w:cs="Aptos"/>
          <w:noProof w:val="0"/>
          <w:color w:val="000000" w:themeColor="text1" w:themeTint="FF" w:themeShade="FF"/>
          <w:sz w:val="24"/>
          <w:szCs w:val="24"/>
          <w:lang w:val="en-GB"/>
        </w:rPr>
        <w:t>Center</w:t>
      </w:r>
      <w:r w:rsidRPr="257BFE88" w:rsidR="1AB5E25E">
        <w:rPr>
          <w:rFonts w:ascii="Aptos" w:hAnsi="Aptos" w:eastAsia="Aptos" w:cs="Aptos"/>
          <w:noProof w:val="0"/>
          <w:color w:val="000000" w:themeColor="text1" w:themeTint="FF" w:themeShade="FF"/>
          <w:sz w:val="24"/>
          <w:szCs w:val="24"/>
          <w:lang w:val="en-GB"/>
        </w:rPr>
        <w:t xml:space="preserve"> for Sustainable Business. (Positive/neutral findings in majority of corporate studies; widely cited meta-review.)</w:t>
      </w:r>
    </w:p>
    <w:p w:rsidR="1AB5E25E" w:rsidP="257BFE88" w:rsidRDefault="1AB5E25E" w14:paraId="4A67AE99" w14:textId="047B4936">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1AB5E25E">
        <w:rPr>
          <w:rFonts w:ascii="Aptos" w:hAnsi="Aptos" w:eastAsia="Aptos" w:cs="Aptos"/>
          <w:b w:val="0"/>
          <w:bCs w:val="0"/>
          <w:noProof w:val="0"/>
          <w:color w:val="000000" w:themeColor="text1" w:themeTint="FF" w:themeShade="FF"/>
          <w:sz w:val="24"/>
          <w:szCs w:val="24"/>
          <w:lang w:val="en-GB"/>
        </w:rPr>
        <w:t xml:space="preserve">Wu, Y. 2025. 'The effect of ESG on corporate performance and risk during the COVID-19 pandemic', </w:t>
      </w:r>
      <w:r w:rsidRPr="257BFE88" w:rsidR="1AB5E25E">
        <w:rPr>
          <w:rFonts w:ascii="Aptos" w:hAnsi="Aptos" w:eastAsia="Aptos" w:cs="Aptos"/>
          <w:b w:val="0"/>
          <w:bCs w:val="0"/>
          <w:i w:val="1"/>
          <w:iCs w:val="1"/>
          <w:noProof w:val="0"/>
          <w:color w:val="000000" w:themeColor="text1" w:themeTint="FF" w:themeShade="FF"/>
          <w:sz w:val="24"/>
          <w:szCs w:val="24"/>
          <w:lang w:val="en-GB"/>
        </w:rPr>
        <w:t>Review of Economic Analysis</w:t>
      </w:r>
      <w:r w:rsidRPr="257BFE88" w:rsidR="1AB5E25E">
        <w:rPr>
          <w:rFonts w:ascii="Aptos" w:hAnsi="Aptos" w:eastAsia="Aptos" w:cs="Aptos"/>
          <w:b w:val="0"/>
          <w:bCs w:val="0"/>
          <w:noProof w:val="0"/>
          <w:color w:val="000000" w:themeColor="text1" w:themeTint="FF" w:themeShade="FF"/>
          <w:sz w:val="24"/>
          <w:szCs w:val="24"/>
          <w:lang w:val="en-GB"/>
        </w:rPr>
        <w:t xml:space="preserve">. Available at: </w:t>
      </w:r>
      <w:hyperlink r:id="R5481eac1872042ad">
        <w:r w:rsidRPr="257BFE88" w:rsidR="1AB5E25E">
          <w:rPr>
            <w:rStyle w:val="Hyperlink"/>
            <w:rFonts w:ascii="Aptos" w:hAnsi="Aptos" w:eastAsia="Aptos" w:cs="Aptos"/>
            <w:b w:val="0"/>
            <w:bCs w:val="0"/>
            <w:noProof w:val="0"/>
            <w:color w:val="000000" w:themeColor="text1" w:themeTint="FF" w:themeShade="FF"/>
            <w:sz w:val="24"/>
            <w:szCs w:val="24"/>
            <w:lang w:val="en-GB"/>
          </w:rPr>
          <w:t>https://www.anserpress.org/journal/rea/4/2/48</w:t>
        </w:r>
      </w:hyperlink>
      <w:r w:rsidRPr="257BFE88" w:rsidR="1AB5E25E">
        <w:rPr>
          <w:rFonts w:ascii="Aptos" w:hAnsi="Aptos" w:eastAsia="Aptos" w:cs="Aptos"/>
          <w:b w:val="0"/>
          <w:bCs w:val="0"/>
          <w:noProof w:val="0"/>
          <w:color w:val="000000" w:themeColor="text1" w:themeTint="FF" w:themeShade="FF"/>
          <w:sz w:val="24"/>
          <w:szCs w:val="24"/>
          <w:lang w:val="en-GB"/>
        </w:rPr>
        <w:t xml:space="preserve"> (Accessed: 9 April 2026).</w:t>
      </w:r>
    </w:p>
    <w:p w:rsidR="1AB5E25E" w:rsidP="257BFE88" w:rsidRDefault="1AB5E25E" w14:paraId="5E84B45B" w14:textId="33407624">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1AB5E25E">
        <w:rPr>
          <w:rFonts w:ascii="Aptos" w:hAnsi="Aptos" w:eastAsia="Aptos" w:cs="Aptos"/>
          <w:noProof w:val="0"/>
          <w:color w:val="000000" w:themeColor="text1" w:themeTint="FF" w:themeShade="FF"/>
          <w:sz w:val="24"/>
          <w:szCs w:val="24"/>
          <w:lang w:val="en-GB"/>
        </w:rPr>
        <w:t>Wu, D. 2025. 'ESG performance and financial stabilit</w:t>
      </w:r>
      <w:r w:rsidRPr="257BFE88" w:rsidR="1AB5E25E">
        <w:rPr>
          <w:rFonts w:ascii="Aptos" w:hAnsi="Aptos" w:eastAsia="Aptos" w:cs="Aptos"/>
          <w:noProof w:val="0"/>
          <w:color w:val="000000" w:themeColor="text1" w:themeTint="FF" w:themeShade="FF"/>
          <w:sz w:val="24"/>
          <w:szCs w:val="24"/>
          <w:lang w:val="en-GB"/>
        </w:rPr>
        <w:t>y</w:t>
      </w:r>
      <w:r w:rsidRPr="257BFE88" w:rsidR="1AB5E25E">
        <w:rPr>
          <w:rFonts w:ascii="Aptos" w:hAnsi="Aptos" w:eastAsia="Aptos" w:cs="Aptos"/>
          <w:noProof w:val="0"/>
          <w:color w:val="000000" w:themeColor="text1" w:themeTint="FF" w:themeShade="FF"/>
          <w:sz w:val="24"/>
          <w:szCs w:val="24"/>
          <w:lang w:val="en-GB"/>
        </w:rPr>
        <w:t xml:space="preserve">: The moderating role of ...', </w:t>
      </w:r>
      <w:r w:rsidRPr="257BFE88" w:rsidR="1AB5E25E">
        <w:rPr>
          <w:rFonts w:ascii="Aptos" w:hAnsi="Aptos" w:eastAsia="Aptos" w:cs="Aptos"/>
          <w:i w:val="1"/>
          <w:iCs w:val="1"/>
          <w:noProof w:val="0"/>
          <w:color w:val="000000" w:themeColor="text1" w:themeTint="FF" w:themeShade="FF"/>
          <w:sz w:val="24"/>
          <w:szCs w:val="24"/>
          <w:lang w:val="en-GB"/>
        </w:rPr>
        <w:t>Journal of Environmental Management</w:t>
      </w:r>
      <w:r w:rsidRPr="257BFE88" w:rsidR="1AB5E25E">
        <w:rPr>
          <w:rFonts w:ascii="Aptos" w:hAnsi="Aptos" w:eastAsia="Aptos" w:cs="Aptos"/>
          <w:noProof w:val="0"/>
          <w:color w:val="000000" w:themeColor="text1" w:themeTint="FF" w:themeShade="FF"/>
          <w:sz w:val="24"/>
          <w:szCs w:val="24"/>
          <w:lang w:val="en-GB"/>
        </w:rPr>
        <w:t xml:space="preserve">. Available at: </w:t>
      </w:r>
      <w:hyperlink r:id="Rf494da535890419e">
        <w:r w:rsidRPr="257BFE88" w:rsidR="1AB5E25E">
          <w:rPr>
            <w:rStyle w:val="Hyperlink"/>
            <w:rFonts w:ascii="Aptos" w:hAnsi="Aptos" w:eastAsia="Aptos" w:cs="Aptos"/>
            <w:noProof w:val="0"/>
            <w:color w:val="000000" w:themeColor="text1" w:themeTint="FF" w:themeShade="FF"/>
            <w:sz w:val="24"/>
            <w:szCs w:val="24"/>
            <w:lang w:val="en-GB"/>
          </w:rPr>
          <w:t>https://doi.org/10.1016/j.jenvman.2025.XXXXXX</w:t>
        </w:r>
      </w:hyperlink>
      <w:r w:rsidRPr="257BFE88" w:rsidR="1AB5E25E">
        <w:rPr>
          <w:rFonts w:ascii="Aptos" w:hAnsi="Aptos" w:eastAsia="Aptos" w:cs="Aptos"/>
          <w:noProof w:val="0"/>
          <w:color w:val="000000" w:themeColor="text1" w:themeTint="FF" w:themeShade="FF"/>
          <w:sz w:val="24"/>
          <w:szCs w:val="24"/>
          <w:lang w:val="en-GB"/>
        </w:rPr>
        <w:t xml:space="preserve"> (Accessed: 9 April 2026).</w:t>
      </w:r>
    </w:p>
    <w:p w:rsidR="4C2AC693" w:rsidP="257BFE88" w:rsidRDefault="4C2AC693" w14:paraId="24E7BE41" w14:textId="47E79E84">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4C2AC693">
        <w:rPr>
          <w:rFonts w:ascii="Aptos" w:hAnsi="Aptos" w:eastAsia="Aptos" w:cs="Aptos"/>
          <w:noProof w:val="0"/>
          <w:color w:val="000000" w:themeColor="text1" w:themeTint="FF" w:themeShade="FF"/>
          <w:sz w:val="24"/>
          <w:szCs w:val="24"/>
          <w:lang w:val="en-GB"/>
        </w:rPr>
        <w:t xml:space="preserve">Yahoo Finance. 2026. </w:t>
      </w:r>
      <w:r w:rsidRPr="257BFE88" w:rsidR="4C2AC693">
        <w:rPr>
          <w:rFonts w:ascii="Aptos" w:hAnsi="Aptos" w:eastAsia="Aptos" w:cs="Aptos"/>
          <w:i w:val="1"/>
          <w:iCs w:val="1"/>
          <w:noProof w:val="0"/>
          <w:color w:val="000000" w:themeColor="text1" w:themeTint="FF" w:themeShade="FF"/>
          <w:sz w:val="24"/>
          <w:szCs w:val="24"/>
          <w:lang w:val="en-GB"/>
        </w:rPr>
        <w:t>Historical price data: TSLA and XOM</w:t>
      </w:r>
      <w:r w:rsidRPr="257BFE88" w:rsidR="4C2AC693">
        <w:rPr>
          <w:rFonts w:ascii="Aptos" w:hAnsi="Aptos" w:eastAsia="Aptos" w:cs="Aptos"/>
          <w:noProof w:val="0"/>
          <w:color w:val="000000" w:themeColor="text1" w:themeTint="FF" w:themeShade="FF"/>
          <w:sz w:val="24"/>
          <w:szCs w:val="24"/>
          <w:lang w:val="en-GB"/>
        </w:rPr>
        <w:t xml:space="preserve">. Available at: </w:t>
      </w:r>
      <w:hyperlink r:id="Rca3b7d9dee3042a9">
        <w:r w:rsidRPr="257BFE88" w:rsidR="4C2AC693">
          <w:rPr>
            <w:rStyle w:val="Hyperlink"/>
            <w:rFonts w:ascii="Aptos" w:hAnsi="Aptos" w:eastAsia="Aptos" w:cs="Aptos"/>
            <w:noProof w:val="0"/>
            <w:color w:val="000000" w:themeColor="text1" w:themeTint="FF" w:themeShade="FF"/>
            <w:sz w:val="24"/>
            <w:szCs w:val="24"/>
            <w:lang w:val="en-GB"/>
          </w:rPr>
          <w:t>https://finance.yahoo.com</w:t>
        </w:r>
      </w:hyperlink>
      <w:r w:rsidRPr="257BFE88" w:rsidR="4C2AC693">
        <w:rPr>
          <w:rFonts w:ascii="Aptos" w:hAnsi="Aptos" w:eastAsia="Aptos" w:cs="Aptos"/>
          <w:noProof w:val="0"/>
          <w:color w:val="000000" w:themeColor="text1" w:themeTint="FF" w:themeShade="FF"/>
          <w:sz w:val="24"/>
          <w:szCs w:val="24"/>
          <w:lang w:val="en-GB"/>
        </w:rPr>
        <w:t xml:space="preserve"> (Accessed: 30 March 2026).</w:t>
      </w:r>
    </w:p>
    <w:p w:rsidR="4C2AC693" w:rsidP="257BFE88" w:rsidRDefault="4C2AC693" w14:paraId="3B9E29C0" w14:textId="6F353587">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4C2AC693">
        <w:rPr>
          <w:rFonts w:ascii="Aptos" w:hAnsi="Aptos" w:eastAsia="Aptos" w:cs="Aptos"/>
          <w:noProof w:val="0"/>
          <w:color w:val="000000" w:themeColor="text1" w:themeTint="FF" w:themeShade="FF"/>
          <w:sz w:val="24"/>
          <w:szCs w:val="24"/>
          <w:lang w:val="en-GB"/>
        </w:rPr>
        <w:t>Ylä</w:t>
      </w:r>
      <w:r w:rsidRPr="257BFE88" w:rsidR="4C2AC693">
        <w:rPr>
          <w:rFonts w:ascii="Aptos" w:hAnsi="Aptos" w:eastAsia="Aptos" w:cs="Aptos"/>
          <w:noProof w:val="0"/>
          <w:color w:val="000000" w:themeColor="text1" w:themeTint="FF" w:themeShade="FF"/>
          <w:sz w:val="24"/>
          <w:szCs w:val="24"/>
          <w:lang w:val="en-GB"/>
        </w:rPr>
        <w:t xml:space="preserve">-Anttila, T. 2026. 'Selling sustainability: How ESG marketing overlooks moral pluralism', </w:t>
      </w:r>
      <w:r w:rsidRPr="257BFE88" w:rsidR="4C2AC693">
        <w:rPr>
          <w:rFonts w:ascii="Aptos" w:hAnsi="Aptos" w:eastAsia="Aptos" w:cs="Aptos"/>
          <w:i w:val="1"/>
          <w:iCs w:val="1"/>
          <w:noProof w:val="0"/>
          <w:color w:val="000000" w:themeColor="text1" w:themeTint="FF" w:themeShade="FF"/>
          <w:sz w:val="24"/>
          <w:szCs w:val="24"/>
          <w:lang w:val="en-GB"/>
        </w:rPr>
        <w:t>Journal of Brand Management</w:t>
      </w:r>
      <w:r w:rsidRPr="257BFE88" w:rsidR="4C2AC693">
        <w:rPr>
          <w:rFonts w:ascii="Aptos" w:hAnsi="Aptos" w:eastAsia="Aptos" w:cs="Aptos"/>
          <w:noProof w:val="0"/>
          <w:color w:val="000000" w:themeColor="text1" w:themeTint="FF" w:themeShade="FF"/>
          <w:sz w:val="24"/>
          <w:szCs w:val="24"/>
          <w:lang w:val="en-GB"/>
        </w:rPr>
        <w:t xml:space="preserve">. Available at: </w:t>
      </w:r>
      <w:hyperlink r:id="R486d44e77b1d48cf">
        <w:r w:rsidRPr="257BFE88" w:rsidR="4C2AC693">
          <w:rPr>
            <w:rStyle w:val="Hyperlink"/>
            <w:rFonts w:ascii="Aptos" w:hAnsi="Aptos" w:eastAsia="Aptos" w:cs="Aptos"/>
            <w:noProof w:val="0"/>
            <w:color w:val="000000" w:themeColor="text1" w:themeTint="FF" w:themeShade="FF"/>
            <w:sz w:val="24"/>
            <w:szCs w:val="24"/>
            <w:lang w:val="en-GB"/>
          </w:rPr>
          <w:t>https://doi.org/10.1057/s41264-026-00356-9</w:t>
        </w:r>
      </w:hyperlink>
      <w:r w:rsidRPr="257BFE88" w:rsidR="4C2AC693">
        <w:rPr>
          <w:rFonts w:ascii="Aptos" w:hAnsi="Aptos" w:eastAsia="Aptos" w:cs="Aptos"/>
          <w:noProof w:val="0"/>
          <w:color w:val="000000" w:themeColor="text1" w:themeTint="FF" w:themeShade="FF"/>
          <w:sz w:val="24"/>
          <w:szCs w:val="24"/>
          <w:lang w:val="en-GB"/>
        </w:rPr>
        <w:t xml:space="preserve"> (Accessed: 9 April 2026).</w:t>
      </w:r>
    </w:p>
    <w:p w:rsidR="4C2AC693" w:rsidP="257BFE88" w:rsidRDefault="4C2AC693" w14:paraId="11506BA5" w14:textId="64A06E75">
      <w:pPr>
        <w:rPr>
          <w:rFonts w:ascii="Aptos" w:hAnsi="Aptos" w:eastAsia="Aptos" w:cs="Aptos"/>
          <w:noProof w:val="0"/>
          <w:color w:val="000000" w:themeColor="text1" w:themeTint="FF" w:themeShade="FF"/>
          <w:sz w:val="24"/>
          <w:szCs w:val="24"/>
          <w:lang w:val="en-GB"/>
        </w:rPr>
      </w:pPr>
      <w:r w:rsidRPr="257BFE88" w:rsidR="4C2AC693">
        <w:rPr>
          <w:rFonts w:ascii="Aptos" w:hAnsi="Aptos" w:eastAsia="Aptos" w:cs="Aptos"/>
          <w:noProof w:val="0"/>
          <w:color w:val="000000" w:themeColor="text1" w:themeTint="FF" w:themeShade="FF"/>
          <w:sz w:val="24"/>
          <w:szCs w:val="24"/>
          <w:lang w:val="en-GB"/>
        </w:rPr>
        <w:t xml:space="preserve">Zheng, C., Liu, Y., Wang, H. and Zhao, T. 2025. 'ESG performance and financial stability: A bibliometric and meta-analysis', </w:t>
      </w:r>
      <w:r w:rsidRPr="257BFE88" w:rsidR="4C2AC693">
        <w:rPr>
          <w:rFonts w:ascii="Aptos" w:hAnsi="Aptos" w:eastAsia="Aptos" w:cs="Aptos"/>
          <w:i w:val="1"/>
          <w:iCs w:val="1"/>
          <w:noProof w:val="0"/>
          <w:color w:val="000000" w:themeColor="text1" w:themeTint="FF" w:themeShade="FF"/>
          <w:sz w:val="24"/>
          <w:szCs w:val="24"/>
          <w:lang w:val="en-GB"/>
        </w:rPr>
        <w:t>SAGE Open</w:t>
      </w:r>
      <w:r w:rsidRPr="257BFE88" w:rsidR="4C2AC693">
        <w:rPr>
          <w:rFonts w:ascii="Aptos" w:hAnsi="Aptos" w:eastAsia="Aptos" w:cs="Aptos"/>
          <w:noProof w:val="0"/>
          <w:color w:val="000000" w:themeColor="text1" w:themeTint="FF" w:themeShade="FF"/>
          <w:sz w:val="24"/>
          <w:szCs w:val="24"/>
          <w:lang w:val="en-GB"/>
        </w:rPr>
        <w:t>. (Links to legitimacy, risk reduction</w:t>
      </w:r>
      <w:r w:rsidRPr="257BFE88" w:rsidR="4C2AC693">
        <w:rPr>
          <w:rFonts w:ascii="Aptos" w:hAnsi="Aptos" w:eastAsia="Aptos" w:cs="Aptos"/>
          <w:noProof w:val="0"/>
          <w:color w:val="000000" w:themeColor="text1" w:themeTint="FF" w:themeShade="FF"/>
          <w:sz w:val="24"/>
          <w:szCs w:val="24"/>
          <w:lang w:val="en-GB"/>
        </w:rPr>
        <w:t xml:space="preserve"> and</w:t>
      </w:r>
      <w:r w:rsidRPr="257BFE88" w:rsidR="4C2AC693">
        <w:rPr>
          <w:rFonts w:ascii="Aptos" w:hAnsi="Aptos" w:eastAsia="Aptos" w:cs="Aptos"/>
          <w:noProof w:val="0"/>
          <w:color w:val="000000" w:themeColor="text1" w:themeTint="FF" w:themeShade="FF"/>
          <w:sz w:val="24"/>
          <w:szCs w:val="24"/>
          <w:lang w:val="en-GB"/>
        </w:rPr>
        <w:t xml:space="preserve"> capital efficiency.)</w:t>
      </w:r>
    </w:p>
    <w:p w:rsidR="4C2AC693" w:rsidP="257BFE88" w:rsidRDefault="4C2AC693" w14:paraId="10F01B36" w14:textId="52C89FDF">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4C2AC693">
        <w:rPr>
          <w:rFonts w:ascii="Aptos" w:hAnsi="Aptos" w:eastAsia="Aptos" w:cs="Aptos"/>
          <w:noProof w:val="0"/>
          <w:color w:val="000000" w:themeColor="text1" w:themeTint="FF" w:themeShade="FF"/>
          <w:sz w:val="24"/>
          <w:szCs w:val="24"/>
          <w:lang w:val="en-GB"/>
        </w:rPr>
        <w:t xml:space="preserve">Zhu, P. 2025. 'How ESG rating divergence undermines financial flexibility', </w:t>
      </w:r>
      <w:r w:rsidRPr="257BFE88" w:rsidR="4C2AC693">
        <w:rPr>
          <w:rFonts w:ascii="Aptos" w:hAnsi="Aptos" w:eastAsia="Aptos" w:cs="Aptos"/>
          <w:i w:val="1"/>
          <w:iCs w:val="1"/>
          <w:noProof w:val="0"/>
          <w:color w:val="000000" w:themeColor="text1" w:themeTint="FF" w:themeShade="FF"/>
          <w:sz w:val="24"/>
          <w:szCs w:val="24"/>
          <w:lang w:val="en-GB"/>
        </w:rPr>
        <w:t>Sustainability</w:t>
      </w:r>
      <w:r w:rsidRPr="257BFE88" w:rsidR="4C2AC693">
        <w:rPr>
          <w:rFonts w:ascii="Aptos" w:hAnsi="Aptos" w:eastAsia="Aptos" w:cs="Aptos"/>
          <w:noProof w:val="0"/>
          <w:color w:val="000000" w:themeColor="text1" w:themeTint="FF" w:themeShade="FF"/>
          <w:sz w:val="24"/>
          <w:szCs w:val="24"/>
          <w:lang w:val="en-GB"/>
        </w:rPr>
        <w:t xml:space="preserve">, 17(21), 9607. Available at: </w:t>
      </w:r>
      <w:hyperlink r:id="R52d2ad434b514006">
        <w:r w:rsidRPr="257BFE88" w:rsidR="4C2AC693">
          <w:rPr>
            <w:rStyle w:val="Hyperlink"/>
            <w:rFonts w:ascii="Aptos" w:hAnsi="Aptos" w:eastAsia="Aptos" w:cs="Aptos"/>
            <w:noProof w:val="0"/>
            <w:color w:val="000000" w:themeColor="text1" w:themeTint="FF" w:themeShade="FF"/>
            <w:sz w:val="24"/>
            <w:szCs w:val="24"/>
            <w:lang w:val="en-GB"/>
          </w:rPr>
          <w:t>https://doi.org/10.3390/su17219607</w:t>
        </w:r>
      </w:hyperlink>
      <w:r w:rsidRPr="257BFE88" w:rsidR="4C2AC693">
        <w:rPr>
          <w:rFonts w:ascii="Aptos" w:hAnsi="Aptos" w:eastAsia="Aptos" w:cs="Aptos"/>
          <w:noProof w:val="0"/>
          <w:color w:val="000000" w:themeColor="text1" w:themeTint="FF" w:themeShade="FF"/>
          <w:sz w:val="24"/>
          <w:szCs w:val="24"/>
          <w:lang w:val="en-GB"/>
        </w:rPr>
        <w:t xml:space="preserve"> (Accessed: 9 April 2026).</w:t>
      </w:r>
    </w:p>
    <w:p w:rsidR="4C2AC693" w:rsidP="257BFE88" w:rsidRDefault="4C2AC693" w14:paraId="0EED1084" w14:textId="61A431BB">
      <w:pPr>
        <w:spacing w:before="240" w:beforeAutospacing="off" w:after="240" w:afterAutospacing="off"/>
        <w:rPr>
          <w:rFonts w:ascii="Aptos" w:hAnsi="Aptos" w:eastAsia="Aptos" w:cs="Aptos"/>
          <w:noProof w:val="0"/>
          <w:color w:val="000000" w:themeColor="text1" w:themeTint="FF" w:themeShade="FF"/>
          <w:sz w:val="24"/>
          <w:szCs w:val="24"/>
          <w:lang w:val="en-GB"/>
        </w:rPr>
      </w:pPr>
      <w:r w:rsidRPr="257BFE88" w:rsidR="4C2AC693">
        <w:rPr>
          <w:rFonts w:ascii="Aptos" w:hAnsi="Aptos" w:eastAsia="Aptos" w:cs="Aptos"/>
          <w:noProof w:val="0"/>
          <w:color w:val="000000" w:themeColor="text1" w:themeTint="FF" w:themeShade="FF"/>
          <w:sz w:val="24"/>
          <w:szCs w:val="24"/>
          <w:lang w:val="en-GB"/>
        </w:rPr>
        <w:t xml:space="preserve">Zubizarreta, H.V. 2026. 'Understanding ESG ratings: A systematic literature review', </w:t>
      </w:r>
      <w:r w:rsidRPr="257BFE88" w:rsidR="4C2AC693">
        <w:rPr>
          <w:rFonts w:ascii="Aptos" w:hAnsi="Aptos" w:eastAsia="Aptos" w:cs="Aptos"/>
          <w:i w:val="1"/>
          <w:iCs w:val="1"/>
          <w:noProof w:val="0"/>
          <w:color w:val="000000" w:themeColor="text1" w:themeTint="FF" w:themeShade="FF"/>
          <w:sz w:val="24"/>
          <w:szCs w:val="24"/>
          <w:lang w:val="en-GB"/>
        </w:rPr>
        <w:t>Preprints</w:t>
      </w:r>
      <w:r w:rsidRPr="257BFE88" w:rsidR="4C2AC693">
        <w:rPr>
          <w:rFonts w:ascii="Aptos" w:hAnsi="Aptos" w:eastAsia="Aptos" w:cs="Aptos"/>
          <w:noProof w:val="0"/>
          <w:color w:val="000000" w:themeColor="text1" w:themeTint="FF" w:themeShade="FF"/>
          <w:sz w:val="24"/>
          <w:szCs w:val="24"/>
          <w:lang w:val="en-GB"/>
        </w:rPr>
        <w:t xml:space="preserve">. Available at: </w:t>
      </w:r>
      <w:hyperlink r:id="Rbdf8b109a8654a8b">
        <w:r w:rsidRPr="257BFE88" w:rsidR="4C2AC693">
          <w:rPr>
            <w:rStyle w:val="Hyperlink"/>
            <w:rFonts w:ascii="Aptos" w:hAnsi="Aptos" w:eastAsia="Aptos" w:cs="Aptos"/>
            <w:noProof w:val="0"/>
            <w:color w:val="000000" w:themeColor="text1" w:themeTint="FF" w:themeShade="FF"/>
            <w:sz w:val="24"/>
            <w:szCs w:val="24"/>
            <w:lang w:val="en-GB"/>
          </w:rPr>
          <w:t>https://doi.org/10.20944/preprints202601.0203.v1</w:t>
        </w:r>
      </w:hyperlink>
      <w:r w:rsidRPr="257BFE88" w:rsidR="4C2AC693">
        <w:rPr>
          <w:rFonts w:ascii="Aptos" w:hAnsi="Aptos" w:eastAsia="Aptos" w:cs="Aptos"/>
          <w:noProof w:val="0"/>
          <w:color w:val="000000" w:themeColor="text1" w:themeTint="FF" w:themeShade="FF"/>
          <w:sz w:val="24"/>
          <w:szCs w:val="24"/>
          <w:lang w:val="en-GB"/>
        </w:rPr>
        <w:t xml:space="preserve"> (Accessed: 9 April 2026).</w:t>
      </w:r>
    </w:p>
    <w:p w:rsidR="4C2AC693" w:rsidP="257BFE88" w:rsidRDefault="4C2AC693" w14:paraId="365E6031" w14:textId="240D0287">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57BFE88" w:rsidR="4C2AC693">
        <w:rPr>
          <w:rFonts w:ascii="Aptos" w:hAnsi="Aptos" w:eastAsia="Aptos" w:cs="Aptos"/>
          <w:b w:val="0"/>
          <w:bCs w:val="0"/>
          <w:noProof w:val="0"/>
          <w:color w:val="000000" w:themeColor="text1" w:themeTint="FF" w:themeShade="FF"/>
          <w:sz w:val="24"/>
          <w:szCs w:val="24"/>
          <w:lang w:val="en-GB"/>
        </w:rPr>
        <w:t xml:space="preserve">Zuo, W. 2026. 'ESG disagreements and firm risk', </w:t>
      </w:r>
      <w:r w:rsidRPr="257BFE88" w:rsidR="4C2AC693">
        <w:rPr>
          <w:rFonts w:ascii="Aptos" w:hAnsi="Aptos" w:eastAsia="Aptos" w:cs="Aptos"/>
          <w:b w:val="0"/>
          <w:bCs w:val="0"/>
          <w:i w:val="1"/>
          <w:iCs w:val="1"/>
          <w:noProof w:val="0"/>
          <w:color w:val="000000" w:themeColor="text1" w:themeTint="FF" w:themeShade="FF"/>
          <w:sz w:val="24"/>
          <w:szCs w:val="24"/>
          <w:lang w:val="en-GB"/>
        </w:rPr>
        <w:t>Journal of International Financial Markets, Institutions and Money</w:t>
      </w:r>
      <w:r w:rsidRPr="257BFE88" w:rsidR="4C2AC693">
        <w:rPr>
          <w:rFonts w:ascii="Aptos" w:hAnsi="Aptos" w:eastAsia="Aptos" w:cs="Aptos"/>
          <w:b w:val="0"/>
          <w:bCs w:val="0"/>
          <w:noProof w:val="0"/>
          <w:color w:val="000000" w:themeColor="text1" w:themeTint="FF" w:themeShade="FF"/>
          <w:sz w:val="24"/>
          <w:szCs w:val="24"/>
          <w:lang w:val="en-GB"/>
        </w:rPr>
        <w:t xml:space="preserve">. Available at: </w:t>
      </w:r>
      <w:hyperlink r:id="R47f7b7f7688a4b02">
        <w:r w:rsidRPr="257BFE88" w:rsidR="4C2AC693">
          <w:rPr>
            <w:rStyle w:val="Hyperlink"/>
            <w:rFonts w:ascii="Aptos" w:hAnsi="Aptos" w:eastAsia="Aptos" w:cs="Aptos"/>
            <w:b w:val="0"/>
            <w:bCs w:val="0"/>
            <w:noProof w:val="0"/>
            <w:color w:val="000000" w:themeColor="text1" w:themeTint="FF" w:themeShade="FF"/>
            <w:sz w:val="24"/>
            <w:szCs w:val="24"/>
            <w:lang w:val="en-GB"/>
          </w:rPr>
          <w:t>https://doi.org/10.1016/j.intfin.2026.XXXXXX</w:t>
        </w:r>
      </w:hyperlink>
      <w:r w:rsidRPr="257BFE88" w:rsidR="4C2AC693">
        <w:rPr>
          <w:rFonts w:ascii="Aptos" w:hAnsi="Aptos" w:eastAsia="Aptos" w:cs="Aptos"/>
          <w:b w:val="0"/>
          <w:bCs w:val="0"/>
          <w:noProof w:val="0"/>
          <w:color w:val="000000" w:themeColor="text1" w:themeTint="FF" w:themeShade="FF"/>
          <w:sz w:val="24"/>
          <w:szCs w:val="24"/>
          <w:lang w:val="en-GB"/>
        </w:rPr>
        <w:t xml:space="preserve"> (Accessed: 9 April 2026).</w:t>
      </w:r>
    </w:p>
    <w:p w:rsidR="1611F5A7" w:rsidP="257BFE88" w:rsidRDefault="1611F5A7" w14:paraId="09428925" w14:textId="4A165043">
      <w:pPr>
        <w:pStyle w:val="Heading1"/>
        <w:rPr>
          <w:rFonts w:ascii="Aptos" w:hAnsi="Aptos" w:eastAsia="Aptos" w:cs="Aptos"/>
          <w:noProof w:val="0"/>
          <w:color w:val="000000" w:themeColor="text1" w:themeTint="FF" w:themeShade="FF"/>
          <w:sz w:val="24"/>
          <w:szCs w:val="24"/>
          <w:lang w:val="en-GB"/>
        </w:rPr>
      </w:pPr>
      <w:bookmarkStart w:name="_Toc1188257571" w:id="869812202"/>
      <w:r w:rsidRPr="257BFE88" w:rsidR="1611F5A7">
        <w:rPr>
          <w:noProof w:val="0"/>
          <w:lang w:val="en-GB"/>
        </w:rPr>
        <w:t>ANNEX</w:t>
      </w:r>
      <w:bookmarkEnd w:id="869812202"/>
    </w:p>
    <w:p w:rsidR="2AD58D8D" w:rsidP="257BFE88" w:rsidRDefault="2AD58D8D" w14:paraId="2EEFC7C6" w14:textId="484D65CF">
      <w:pPr>
        <w:pStyle w:val="Normal"/>
        <w:spacing w:before="0" w:beforeAutospacing="off" w:after="160" w:afterAutospacing="off" w:line="276" w:lineRule="auto"/>
      </w:pPr>
      <w:r w:rsidR="2AD58D8D">
        <w:drawing>
          <wp:inline wp14:editId="38F2E8B3" wp14:anchorId="24003399">
            <wp:extent cx="5724525" cy="1600200"/>
            <wp:effectExtent l="0" t="0" r="0" b="0"/>
            <wp:docPr id="5077319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7731954" name="Picture 507731954"/>
                    <pic:cNvPicPr/>
                  </pic:nvPicPr>
                  <pic:blipFill>
                    <a:blip xmlns:r="http://schemas.openxmlformats.org/officeDocument/2006/relationships" r:embed="rId34495696">
                      <a:extLst>
                        <a:ext uri="{28A0092B-C50C-407E-A947-70E740481C1C}">
                          <a14:useLocalDpi xmlns:a14="http://schemas.microsoft.com/office/drawing/2010/main"/>
                        </a:ext>
                      </a:extLst>
                    </a:blip>
                    <a:stretch>
                      <a:fillRect/>
                    </a:stretch>
                  </pic:blipFill>
                  <pic:spPr>
                    <a:xfrm>
                      <a:off x="0" y="0"/>
                      <a:ext cx="5724525" cy="1600200"/>
                    </a:xfrm>
                    <a:prstGeom prst="rect">
                      <a:avLst/>
                    </a:prstGeom>
                  </pic:spPr>
                </pic:pic>
              </a:graphicData>
            </a:graphic>
          </wp:inline>
        </w:drawing>
      </w:r>
    </w:p>
    <w:p w:rsidR="5EFD4F43" w:rsidP="257BFE88" w:rsidRDefault="5EFD4F43" w14:paraId="77FCD149" w14:textId="54A40D7F">
      <w:pPr>
        <w:spacing w:before="0" w:beforeAutospacing="off" w:after="160" w:afterAutospacing="off" w:line="276" w:lineRule="auto"/>
      </w:pPr>
      <w:r w:rsidR="5EFD4F43">
        <w:drawing>
          <wp:inline wp14:editId="6F41A3BB" wp14:anchorId="38165597">
            <wp:extent cx="5734050" cy="2819400"/>
            <wp:effectExtent l="0" t="0" r="0" b="0"/>
            <wp:docPr id="20767249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6724969" name="Picture 2076724969"/>
                    <pic:cNvPicPr/>
                  </pic:nvPicPr>
                  <pic:blipFill>
                    <a:blip xmlns:r="http://schemas.openxmlformats.org/officeDocument/2006/relationships" r:embed="rId1078903761">
                      <a:extLst>
                        <a:ext uri="{28A0092B-C50C-407E-A947-70E740481C1C}">
                          <a14:useLocalDpi xmlns:a14="http://schemas.microsoft.com/office/drawing/2010/main"/>
                        </a:ext>
                      </a:extLst>
                    </a:blip>
                    <a:stretch>
                      <a:fillRect/>
                    </a:stretch>
                  </pic:blipFill>
                  <pic:spPr>
                    <a:xfrm>
                      <a:off x="0" y="0"/>
                      <a:ext cx="5734050" cy="2819400"/>
                    </a:xfrm>
                    <a:prstGeom prst="rect">
                      <a:avLst/>
                    </a:prstGeom>
                  </pic:spPr>
                </pic:pic>
              </a:graphicData>
            </a:graphic>
          </wp:inline>
        </w:drawing>
      </w:r>
    </w:p>
    <w:p w:rsidR="5EFD4F43" w:rsidP="257BFE88" w:rsidRDefault="5EFD4F43" w14:paraId="007AD537" w14:textId="6C9A3594">
      <w:pPr>
        <w:spacing w:before="0" w:beforeAutospacing="off" w:after="160" w:afterAutospacing="off" w:line="276" w:lineRule="auto"/>
      </w:pPr>
      <w:r w:rsidR="5EFD4F43">
        <w:drawing>
          <wp:inline wp14:editId="24F4FFC1" wp14:anchorId="623F5D88">
            <wp:extent cx="5734050" cy="2066925"/>
            <wp:effectExtent l="0" t="0" r="0" b="0"/>
            <wp:docPr id="2217675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1767519" name="Picture 221767519"/>
                    <pic:cNvPicPr/>
                  </pic:nvPicPr>
                  <pic:blipFill>
                    <a:blip xmlns:r="http://schemas.openxmlformats.org/officeDocument/2006/relationships" r:embed="rId1065208677">
                      <a:extLst>
                        <a:ext uri="{28A0092B-C50C-407E-A947-70E740481C1C}">
                          <a14:useLocalDpi xmlns:a14="http://schemas.microsoft.com/office/drawing/2010/main"/>
                        </a:ext>
                      </a:extLst>
                    </a:blip>
                    <a:stretch>
                      <a:fillRect/>
                    </a:stretch>
                  </pic:blipFill>
                  <pic:spPr>
                    <a:xfrm>
                      <a:off x="0" y="0"/>
                      <a:ext cx="5734050" cy="2066925"/>
                    </a:xfrm>
                    <a:prstGeom prst="rect">
                      <a:avLst/>
                    </a:prstGeom>
                  </pic:spPr>
                </pic:pic>
              </a:graphicData>
            </a:graphic>
          </wp:inline>
        </w:drawing>
      </w:r>
    </w:p>
    <w:p w:rsidR="5EFD4F43" w:rsidP="257BFE88" w:rsidRDefault="5EFD4F43" w14:paraId="2764474C" w14:textId="1C2AF234">
      <w:pPr>
        <w:spacing w:before="0" w:beforeAutospacing="off" w:after="160" w:afterAutospacing="off" w:line="276" w:lineRule="auto"/>
      </w:pPr>
      <w:r w:rsidRPr="257BFE88" w:rsidR="5EFD4F43">
        <w:rPr>
          <w:rFonts w:ascii="Aptos" w:hAnsi="Aptos" w:eastAsia="Aptos" w:cs="Aptos"/>
          <w:noProof w:val="0"/>
          <w:sz w:val="24"/>
          <w:szCs w:val="24"/>
          <w:lang w:val="en-GB"/>
        </w:rPr>
        <w:t xml:space="preserve"> </w:t>
      </w:r>
    </w:p>
    <w:p w:rsidR="257BFE88" w:rsidP="257BFE88" w:rsidRDefault="257BFE88" w14:paraId="316CB293" w14:textId="5F28FD13">
      <w:pPr>
        <w:spacing w:before="0" w:beforeAutospacing="off" w:after="160" w:afterAutospacing="off" w:line="276" w:lineRule="auto"/>
        <w:rPr>
          <w:rFonts w:ascii="Aptos" w:hAnsi="Aptos" w:eastAsia="Aptos" w:cs="Aptos"/>
          <w:noProof w:val="0"/>
          <w:sz w:val="24"/>
          <w:szCs w:val="24"/>
          <w:lang w:val="en-GB"/>
        </w:rPr>
      </w:pPr>
    </w:p>
    <w:p w:rsidR="5EFD4F43" w:rsidP="257BFE88" w:rsidRDefault="5EFD4F43" w14:paraId="2EBAA2F0" w14:textId="1610EE16">
      <w:pPr>
        <w:spacing w:before="0" w:beforeAutospacing="off" w:after="160" w:afterAutospacing="off" w:line="276" w:lineRule="auto"/>
      </w:pPr>
      <w:r w:rsidR="5EFD4F43">
        <w:drawing>
          <wp:inline wp14:editId="185E45C7" wp14:anchorId="7EF18534">
            <wp:extent cx="5724525" cy="1962150"/>
            <wp:effectExtent l="0" t="0" r="0" b="0"/>
            <wp:docPr id="4696385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9638515" name="Picture 469638515"/>
                    <pic:cNvPicPr/>
                  </pic:nvPicPr>
                  <pic:blipFill>
                    <a:blip xmlns:r="http://schemas.openxmlformats.org/officeDocument/2006/relationships" r:embed="rId636760569">
                      <a:extLst>
                        <a:ext uri="{28A0092B-C50C-407E-A947-70E740481C1C}">
                          <a14:useLocalDpi xmlns:a14="http://schemas.microsoft.com/office/drawing/2010/main"/>
                        </a:ext>
                      </a:extLst>
                    </a:blip>
                    <a:stretch>
                      <a:fillRect/>
                    </a:stretch>
                  </pic:blipFill>
                  <pic:spPr>
                    <a:xfrm>
                      <a:off x="0" y="0"/>
                      <a:ext cx="5724525" cy="1962150"/>
                    </a:xfrm>
                    <a:prstGeom prst="rect">
                      <a:avLst/>
                    </a:prstGeom>
                  </pic:spPr>
                </pic:pic>
              </a:graphicData>
            </a:graphic>
          </wp:inline>
        </w:drawing>
      </w:r>
    </w:p>
    <w:p w:rsidR="5EFD4F43" w:rsidP="257BFE88" w:rsidRDefault="5EFD4F43" w14:paraId="11691A3E" w14:textId="6ACCDAC2">
      <w:pPr>
        <w:spacing w:before="0" w:beforeAutospacing="off" w:after="160" w:afterAutospacing="off" w:line="276" w:lineRule="auto"/>
      </w:pPr>
      <w:r w:rsidR="5EFD4F43">
        <w:drawing>
          <wp:inline wp14:editId="3DCB902E" wp14:anchorId="16CC7145">
            <wp:extent cx="5734050" cy="2095500"/>
            <wp:effectExtent l="0" t="0" r="0" b="0"/>
            <wp:docPr id="20058301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5830169" name="Picture 2005830169"/>
                    <pic:cNvPicPr/>
                  </pic:nvPicPr>
                  <pic:blipFill>
                    <a:blip xmlns:r="http://schemas.openxmlformats.org/officeDocument/2006/relationships" r:embed="rId1408770295">
                      <a:extLst>
                        <a:ext uri="{28A0092B-C50C-407E-A947-70E740481C1C}">
                          <a14:useLocalDpi xmlns:a14="http://schemas.microsoft.com/office/drawing/2010/main"/>
                        </a:ext>
                      </a:extLst>
                    </a:blip>
                    <a:stretch>
                      <a:fillRect/>
                    </a:stretch>
                  </pic:blipFill>
                  <pic:spPr>
                    <a:xfrm>
                      <a:off x="0" y="0"/>
                      <a:ext cx="5734050" cy="2095500"/>
                    </a:xfrm>
                    <a:prstGeom prst="rect">
                      <a:avLst/>
                    </a:prstGeom>
                  </pic:spPr>
                </pic:pic>
              </a:graphicData>
            </a:graphic>
          </wp:inline>
        </w:drawing>
      </w:r>
    </w:p>
    <w:p w:rsidR="5EFD4F43" w:rsidP="257BFE88" w:rsidRDefault="5EFD4F43" w14:paraId="765C68F8" w14:textId="6C014F0F">
      <w:pPr>
        <w:spacing w:before="0" w:beforeAutospacing="off" w:after="160" w:afterAutospacing="off" w:line="276" w:lineRule="auto"/>
      </w:pPr>
      <w:r w:rsidR="5EFD4F43">
        <w:drawing>
          <wp:inline wp14:editId="696AADD5" wp14:anchorId="0FA26843">
            <wp:extent cx="5676900" cy="923925"/>
            <wp:effectExtent l="0" t="0" r="0" b="0"/>
            <wp:docPr id="4728505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2850513" name="Picture 472850513"/>
                    <pic:cNvPicPr/>
                  </pic:nvPicPr>
                  <pic:blipFill>
                    <a:blip xmlns:r="http://schemas.openxmlformats.org/officeDocument/2006/relationships" r:embed="rId1734631484">
                      <a:extLst>
                        <a:ext uri="{28A0092B-C50C-407E-A947-70E740481C1C}">
                          <a14:useLocalDpi xmlns:a14="http://schemas.microsoft.com/office/drawing/2010/main"/>
                        </a:ext>
                      </a:extLst>
                    </a:blip>
                    <a:stretch>
                      <a:fillRect/>
                    </a:stretch>
                  </pic:blipFill>
                  <pic:spPr>
                    <a:xfrm>
                      <a:off x="0" y="0"/>
                      <a:ext cx="5676900" cy="923925"/>
                    </a:xfrm>
                    <a:prstGeom prst="rect">
                      <a:avLst/>
                    </a:prstGeom>
                  </pic:spPr>
                </pic:pic>
              </a:graphicData>
            </a:graphic>
          </wp:inline>
        </w:drawing>
      </w:r>
    </w:p>
    <w:p w:rsidR="257BFE88" w:rsidP="257BFE88" w:rsidRDefault="257BFE88" w14:paraId="1DC0997E" w14:textId="3514D451">
      <w:pPr>
        <w:spacing w:before="0" w:beforeAutospacing="off" w:after="160" w:afterAutospacing="off" w:line="276" w:lineRule="auto"/>
        <w:rPr>
          <w:rFonts w:ascii="Aptos" w:hAnsi="Aptos" w:eastAsia="Aptos" w:cs="Aptos"/>
          <w:noProof w:val="0"/>
          <w:sz w:val="24"/>
          <w:szCs w:val="24"/>
          <w:lang w:val="en-GB"/>
        </w:rPr>
      </w:pPr>
    </w:p>
    <w:p w:rsidR="257BFE88" w:rsidP="257BFE88" w:rsidRDefault="257BFE88" w14:paraId="524DBBF0" w14:textId="206ECB0A">
      <w:pPr>
        <w:pStyle w:val="Normal"/>
        <w:rPr>
          <w:lang w:eastAsia="en-GB"/>
        </w:rPr>
      </w:pPr>
    </w:p>
    <w:p w:rsidR="257BFE88" w:rsidP="257BFE88" w:rsidRDefault="257BFE88" w14:paraId="6A467008" w14:textId="17FCE858">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p>
    <w:p w:rsidR="257BFE88" w:rsidP="257BFE88" w:rsidRDefault="257BFE88" w14:paraId="006617F4" w14:textId="14619AA9">
      <w:pPr>
        <w:pStyle w:val="Normal"/>
        <w:spacing w:before="0" w:beforeAutospacing="off" w:after="0" w:afterAutospacing="off"/>
        <w:ind w:left="0"/>
        <w:rPr>
          <w:rFonts w:ascii="Aptos" w:hAnsi="Aptos" w:eastAsia="Aptos" w:cs="Aptos"/>
          <w:noProof w:val="0"/>
          <w:color w:val="000000" w:themeColor="text1" w:themeTint="FF" w:themeShade="FF"/>
          <w:sz w:val="24"/>
          <w:szCs w:val="24"/>
          <w:lang w:val="en-GB"/>
        </w:rPr>
      </w:pPr>
    </w:p>
    <w:p w:rsidR="257BFE88" w:rsidP="257BFE88" w:rsidRDefault="257BFE88" w14:paraId="5D27A54D" w14:textId="21578D47">
      <w:pPr>
        <w:pStyle w:val="Normal"/>
        <w:suppressLineNumbers w:val="0"/>
        <w:bidi w:val="0"/>
        <w:spacing w:before="240" w:beforeAutospacing="off" w:after="240" w:afterAutospacing="off" w:line="278" w:lineRule="auto"/>
        <w:ind w:left="0" w:right="0"/>
        <w:jc w:val="left"/>
        <w:rPr>
          <w:rFonts w:ascii="Aptos" w:hAnsi="Aptos" w:eastAsia="Aptos" w:cs="" w:asciiTheme="minorAscii" w:hAnsiTheme="minorAscii" w:eastAsiaTheme="minorAscii" w:cstheme="minorBidi"/>
          <w:noProof w:val="0"/>
          <w:color w:val="auto"/>
          <w:sz w:val="24"/>
          <w:szCs w:val="24"/>
          <w:lang w:val="en-GB" w:eastAsia="en-US" w:bidi="ar-SA"/>
        </w:rPr>
      </w:pPr>
    </w:p>
    <w:p w:rsidR="00C67F6A" w:rsidRDefault="00C67F6A" w14:paraId="2E0A6D7A" w14:textId="55288C48">
      <w:pPr>
        <w:rPr>
          <w:b w:val="0"/>
          <w:bCs w:val="0"/>
        </w:rPr>
      </w:pPr>
    </w:p>
    <w:sectPr w:rsidR="00C67F6A" w:rsidSect="003137A2">
      <w:headerReference w:type="even" r:id="rId34"/>
      <w:headerReference w:type="default" r:id="rId35"/>
      <w:footerReference w:type="even" r:id="rId36"/>
      <w:footerReference w:type="default" r:id="rId37"/>
      <w:headerReference w:type="first" r:id="rId38"/>
      <w:footerReference w:type="first" r:id="rId3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37A2" w:rsidRDefault="003137A2" w14:paraId="3CE19D1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988048"/>
      <w:docPartObj>
        <w:docPartGallery w:val="Page Numbers (Bottom of Page)"/>
        <w:docPartUnique/>
      </w:docPartObj>
    </w:sdtPr>
    <w:sdtContent>
      <w:p w:rsidR="003137A2" w:rsidRDefault="003137A2" w14:paraId="6467F3D9" w14:textId="77777777">
        <w:pPr>
          <w:pStyle w:val="Footer"/>
          <w:jc w:val="center"/>
        </w:pPr>
        <w:r>
          <w:fldChar w:fldCharType="begin"/>
        </w:r>
        <w:r>
          <w:instrText>PAGE   \* MERGEFORMAT</w:instrText>
        </w:r>
        <w:r>
          <w:fldChar w:fldCharType="separate"/>
        </w:r>
        <w:r>
          <w:t>2</w:t>
        </w:r>
        <w:r>
          <w:fldChar w:fldCharType="end"/>
        </w:r>
      </w:p>
    </w:sdtContent>
  </w:sdt>
  <w:p w:rsidR="003137A2" w:rsidRDefault="003137A2" w14:paraId="0302C286"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37A2" w:rsidRDefault="003137A2" w14:paraId="4CFC217B"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37A2" w:rsidRDefault="003137A2" w14:paraId="7EA58F8E"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37A2" w:rsidRDefault="003137A2" w14:paraId="6A9653A9"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37A2" w:rsidRDefault="003137A2" w14:paraId="7671DCD3" w14:textId="77777777">
    <w:pPr>
      <w:pStyle w:val="Header"/>
    </w:pPr>
  </w:p>
</w:hdr>
</file>

<file path=word/intelligence2.xml><?xml version="1.0" encoding="utf-8"?>
<int2:intelligence xmlns:int2="http://schemas.microsoft.com/office/intelligence/2020/intelligence">
  <int2:observations>
    <int2:textHash int2:hashCode="yy76Yv7ZT0FHV0" int2:id="WcQuu0qc">
      <int2:state int2:type="spell" int2:value="Rejected"/>
    </int2:textHash>
    <int2:textHash int2:hashCode="eVEq87W84A3D3N" int2:id="HISxrfOQ">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4">
    <w:nsid w:val="174444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c74c0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10b1d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36b54ae"/>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2cdfac25"/>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8625459"/>
    <w:multiLevelType w:val="multilevel"/>
    <w:tmpl w:val="301C07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E032F70"/>
    <w:multiLevelType w:val="multilevel"/>
    <w:tmpl w:val="228008C0"/>
    <w:lvl w:ilvl="0">
      <w:start w:val="5"/>
      <w:numFmt w:val="decimal"/>
      <w:lvlText w:val="%1"/>
      <w:lvlJc w:val="left"/>
      <w:pPr>
        <w:ind w:left="600" w:hanging="600"/>
      </w:pPr>
      <w:rPr>
        <w:rFonts w:hint="default" w:ascii="Aptos" w:hAnsi="Aptos"/>
        <w:color w:val="000000"/>
        <w:sz w:val="26"/>
      </w:rPr>
    </w:lvl>
    <w:lvl w:ilvl="1">
      <w:start w:val="4"/>
      <w:numFmt w:val="decimal"/>
      <w:lvlText w:val="%1.%2"/>
      <w:lvlJc w:val="left"/>
      <w:pPr>
        <w:ind w:left="600" w:hanging="600"/>
      </w:pPr>
      <w:rPr>
        <w:rFonts w:hint="default" w:ascii="Aptos" w:hAnsi="Aptos"/>
        <w:color w:val="000000"/>
        <w:sz w:val="26"/>
      </w:rPr>
    </w:lvl>
    <w:lvl w:ilvl="2">
      <w:start w:val="1"/>
      <w:numFmt w:val="decimal"/>
      <w:lvlText w:val="%1.%2.%3"/>
      <w:lvlJc w:val="left"/>
      <w:pPr>
        <w:ind w:left="720" w:hanging="720"/>
      </w:pPr>
      <w:rPr>
        <w:rFonts w:hint="default" w:ascii="Aptos" w:hAnsi="Aptos"/>
        <w:color w:val="000000"/>
        <w:sz w:val="26"/>
      </w:rPr>
    </w:lvl>
    <w:lvl w:ilvl="3">
      <w:start w:val="1"/>
      <w:numFmt w:val="decimal"/>
      <w:lvlText w:val="%1.%2.%3.%4"/>
      <w:lvlJc w:val="left"/>
      <w:pPr>
        <w:ind w:left="1080" w:hanging="1080"/>
      </w:pPr>
      <w:rPr>
        <w:rFonts w:hint="default" w:ascii="Aptos" w:hAnsi="Aptos"/>
        <w:color w:val="000000"/>
        <w:sz w:val="26"/>
      </w:rPr>
    </w:lvl>
    <w:lvl w:ilvl="4">
      <w:start w:val="1"/>
      <w:numFmt w:val="decimal"/>
      <w:lvlText w:val="%1.%2.%3.%4.%5"/>
      <w:lvlJc w:val="left"/>
      <w:pPr>
        <w:ind w:left="1080" w:hanging="1080"/>
      </w:pPr>
      <w:rPr>
        <w:rFonts w:hint="default" w:ascii="Aptos" w:hAnsi="Aptos"/>
        <w:color w:val="000000"/>
        <w:sz w:val="26"/>
      </w:rPr>
    </w:lvl>
    <w:lvl w:ilvl="5">
      <w:start w:val="1"/>
      <w:numFmt w:val="decimal"/>
      <w:lvlText w:val="%1.%2.%3.%4.%5.%6"/>
      <w:lvlJc w:val="left"/>
      <w:pPr>
        <w:ind w:left="1440" w:hanging="1440"/>
      </w:pPr>
      <w:rPr>
        <w:rFonts w:hint="default" w:ascii="Aptos" w:hAnsi="Aptos"/>
        <w:color w:val="000000"/>
        <w:sz w:val="26"/>
      </w:rPr>
    </w:lvl>
    <w:lvl w:ilvl="6">
      <w:start w:val="1"/>
      <w:numFmt w:val="decimal"/>
      <w:lvlText w:val="%1.%2.%3.%4.%5.%6.%7"/>
      <w:lvlJc w:val="left"/>
      <w:pPr>
        <w:ind w:left="1440" w:hanging="1440"/>
      </w:pPr>
      <w:rPr>
        <w:rFonts w:hint="default" w:ascii="Aptos" w:hAnsi="Aptos"/>
        <w:color w:val="000000"/>
        <w:sz w:val="26"/>
      </w:rPr>
    </w:lvl>
    <w:lvl w:ilvl="7">
      <w:start w:val="1"/>
      <w:numFmt w:val="decimal"/>
      <w:lvlText w:val="%1.%2.%3.%4.%5.%6.%7.%8"/>
      <w:lvlJc w:val="left"/>
      <w:pPr>
        <w:ind w:left="1800" w:hanging="1800"/>
      </w:pPr>
      <w:rPr>
        <w:rFonts w:hint="default" w:ascii="Aptos" w:hAnsi="Aptos"/>
        <w:color w:val="000000"/>
        <w:sz w:val="26"/>
      </w:rPr>
    </w:lvl>
    <w:lvl w:ilvl="8">
      <w:start w:val="1"/>
      <w:numFmt w:val="decimal"/>
      <w:lvlText w:val="%1.%2.%3.%4.%5.%6.%7.%8.%9"/>
      <w:lvlJc w:val="left"/>
      <w:pPr>
        <w:ind w:left="1800" w:hanging="1800"/>
      </w:pPr>
      <w:rPr>
        <w:rFonts w:hint="default" w:ascii="Aptos" w:hAnsi="Aptos"/>
        <w:color w:val="000000"/>
        <w:sz w:val="26"/>
      </w:rPr>
    </w:lvl>
  </w:abstractNum>
  <w:abstractNum w:abstractNumId="2" w15:restartNumberingAfterBreak="0">
    <w:nsid w:val="22B372A6"/>
    <w:multiLevelType w:val="hybridMultilevel"/>
    <w:tmpl w:val="94B442CE"/>
    <w:lvl w:ilvl="0" w:tplc="84148F8C">
      <w:start w:val="1"/>
      <w:numFmt w:val="decimal"/>
      <w:lvlText w:val="%1."/>
      <w:lvlJc w:val="left"/>
      <w:pPr>
        <w:ind w:left="804" w:hanging="44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E41F62"/>
    <w:multiLevelType w:val="hybridMultilevel"/>
    <w:tmpl w:val="50F2B5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73C68B6"/>
    <w:multiLevelType w:val="hybridMultilevel"/>
    <w:tmpl w:val="DA7699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9C361A5"/>
    <w:multiLevelType w:val="multilevel"/>
    <w:tmpl w:val="914ECA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25F316C"/>
    <w:multiLevelType w:val="hybridMultilevel"/>
    <w:tmpl w:val="3E12AE02"/>
    <w:lvl w:ilvl="0" w:tplc="08090001">
      <w:start w:val="1"/>
      <w:numFmt w:val="bullet"/>
      <w:lvlText w:val=""/>
      <w:lvlJc w:val="left"/>
      <w:pPr>
        <w:ind w:left="792" w:hanging="360"/>
      </w:pPr>
      <w:rPr>
        <w:rFonts w:hint="default" w:ascii="Symbol" w:hAnsi="Symbol"/>
      </w:rPr>
    </w:lvl>
    <w:lvl w:ilvl="1" w:tplc="08090003" w:tentative="1">
      <w:start w:val="1"/>
      <w:numFmt w:val="bullet"/>
      <w:lvlText w:val="o"/>
      <w:lvlJc w:val="left"/>
      <w:pPr>
        <w:ind w:left="1512" w:hanging="360"/>
      </w:pPr>
      <w:rPr>
        <w:rFonts w:hint="default" w:ascii="Courier New" w:hAnsi="Courier New" w:cs="Courier New"/>
      </w:rPr>
    </w:lvl>
    <w:lvl w:ilvl="2" w:tplc="08090005" w:tentative="1">
      <w:start w:val="1"/>
      <w:numFmt w:val="bullet"/>
      <w:lvlText w:val=""/>
      <w:lvlJc w:val="left"/>
      <w:pPr>
        <w:ind w:left="2232" w:hanging="360"/>
      </w:pPr>
      <w:rPr>
        <w:rFonts w:hint="default" w:ascii="Wingdings" w:hAnsi="Wingdings"/>
      </w:rPr>
    </w:lvl>
    <w:lvl w:ilvl="3" w:tplc="08090001" w:tentative="1">
      <w:start w:val="1"/>
      <w:numFmt w:val="bullet"/>
      <w:lvlText w:val=""/>
      <w:lvlJc w:val="left"/>
      <w:pPr>
        <w:ind w:left="2952" w:hanging="360"/>
      </w:pPr>
      <w:rPr>
        <w:rFonts w:hint="default" w:ascii="Symbol" w:hAnsi="Symbol"/>
      </w:rPr>
    </w:lvl>
    <w:lvl w:ilvl="4" w:tplc="08090003" w:tentative="1">
      <w:start w:val="1"/>
      <w:numFmt w:val="bullet"/>
      <w:lvlText w:val="o"/>
      <w:lvlJc w:val="left"/>
      <w:pPr>
        <w:ind w:left="3672" w:hanging="360"/>
      </w:pPr>
      <w:rPr>
        <w:rFonts w:hint="default" w:ascii="Courier New" w:hAnsi="Courier New" w:cs="Courier New"/>
      </w:rPr>
    </w:lvl>
    <w:lvl w:ilvl="5" w:tplc="08090005" w:tentative="1">
      <w:start w:val="1"/>
      <w:numFmt w:val="bullet"/>
      <w:lvlText w:val=""/>
      <w:lvlJc w:val="left"/>
      <w:pPr>
        <w:ind w:left="4392" w:hanging="360"/>
      </w:pPr>
      <w:rPr>
        <w:rFonts w:hint="default" w:ascii="Wingdings" w:hAnsi="Wingdings"/>
      </w:rPr>
    </w:lvl>
    <w:lvl w:ilvl="6" w:tplc="08090001" w:tentative="1">
      <w:start w:val="1"/>
      <w:numFmt w:val="bullet"/>
      <w:lvlText w:val=""/>
      <w:lvlJc w:val="left"/>
      <w:pPr>
        <w:ind w:left="5112" w:hanging="360"/>
      </w:pPr>
      <w:rPr>
        <w:rFonts w:hint="default" w:ascii="Symbol" w:hAnsi="Symbol"/>
      </w:rPr>
    </w:lvl>
    <w:lvl w:ilvl="7" w:tplc="08090003" w:tentative="1">
      <w:start w:val="1"/>
      <w:numFmt w:val="bullet"/>
      <w:lvlText w:val="o"/>
      <w:lvlJc w:val="left"/>
      <w:pPr>
        <w:ind w:left="5832" w:hanging="360"/>
      </w:pPr>
      <w:rPr>
        <w:rFonts w:hint="default" w:ascii="Courier New" w:hAnsi="Courier New" w:cs="Courier New"/>
      </w:rPr>
    </w:lvl>
    <w:lvl w:ilvl="8" w:tplc="08090005" w:tentative="1">
      <w:start w:val="1"/>
      <w:numFmt w:val="bullet"/>
      <w:lvlText w:val=""/>
      <w:lvlJc w:val="left"/>
      <w:pPr>
        <w:ind w:left="6552" w:hanging="360"/>
      </w:pPr>
      <w:rPr>
        <w:rFonts w:hint="default" w:ascii="Wingdings" w:hAnsi="Wingdings"/>
      </w:rPr>
    </w:lvl>
  </w:abstractNum>
  <w:abstractNum w:abstractNumId="7" w15:restartNumberingAfterBreak="0">
    <w:nsid w:val="524D0BC1"/>
    <w:multiLevelType w:val="multilevel"/>
    <w:tmpl w:val="4912AB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70F0787E"/>
    <w:multiLevelType w:val="hybridMultilevel"/>
    <w:tmpl w:val="A83EC5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34146BF"/>
    <w:multiLevelType w:val="multilevel"/>
    <w:tmpl w:val="C77C91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5">
    <w:abstractNumId w:val="14"/>
  </w:num>
  <w:num w:numId="14">
    <w:abstractNumId w:val="13"/>
  </w:num>
  <w:num w:numId="13">
    <w:abstractNumId w:val="12"/>
  </w:num>
  <w:num w:numId="12">
    <w:abstractNumId w:val="11"/>
  </w:num>
  <w:num w:numId="11">
    <w:abstractNumId w:val="10"/>
  </w:num>
  <w:num w:numId="1" w16cid:durableId="219874562">
    <w:abstractNumId w:val="0"/>
  </w:num>
  <w:num w:numId="2" w16cid:durableId="1024474735">
    <w:abstractNumId w:val="7"/>
  </w:num>
  <w:num w:numId="3" w16cid:durableId="1318144243">
    <w:abstractNumId w:val="9"/>
  </w:num>
  <w:num w:numId="4" w16cid:durableId="56630284">
    <w:abstractNumId w:val="5"/>
  </w:num>
  <w:num w:numId="5" w16cid:durableId="1667632460">
    <w:abstractNumId w:val="2"/>
  </w:num>
  <w:num w:numId="6" w16cid:durableId="1391465825">
    <w:abstractNumId w:val="8"/>
  </w:num>
  <w:num w:numId="7" w16cid:durableId="769012219">
    <w:abstractNumId w:val="3"/>
  </w:num>
  <w:num w:numId="8" w16cid:durableId="1046566575">
    <w:abstractNumId w:val="6"/>
  </w:num>
  <w:num w:numId="9" w16cid:durableId="320277102">
    <w:abstractNumId w:val="1"/>
  </w:num>
  <w:num w:numId="10" w16cid:durableId="1967656023">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CC6"/>
    <w:rsid w:val="000B9328"/>
    <w:rsid w:val="00153CC6"/>
    <w:rsid w:val="00157B6F"/>
    <w:rsid w:val="001BA7BD"/>
    <w:rsid w:val="001FA8AC"/>
    <w:rsid w:val="0020CE7F"/>
    <w:rsid w:val="00211C9F"/>
    <w:rsid w:val="0021B3B7"/>
    <w:rsid w:val="002EAC62"/>
    <w:rsid w:val="00312DF1"/>
    <w:rsid w:val="003137A2"/>
    <w:rsid w:val="00413E54"/>
    <w:rsid w:val="004C4C1C"/>
    <w:rsid w:val="004D8F66"/>
    <w:rsid w:val="004F0F30"/>
    <w:rsid w:val="00520829"/>
    <w:rsid w:val="005F4C15"/>
    <w:rsid w:val="006B2022"/>
    <w:rsid w:val="006BF048"/>
    <w:rsid w:val="00744F39"/>
    <w:rsid w:val="007F7AFD"/>
    <w:rsid w:val="0089638F"/>
    <w:rsid w:val="008FACBC"/>
    <w:rsid w:val="0092B117"/>
    <w:rsid w:val="009484C5"/>
    <w:rsid w:val="00971C49"/>
    <w:rsid w:val="009C473E"/>
    <w:rsid w:val="00A6A814"/>
    <w:rsid w:val="00AD132E"/>
    <w:rsid w:val="00C67F6A"/>
    <w:rsid w:val="00D0994C"/>
    <w:rsid w:val="00D5D723"/>
    <w:rsid w:val="00D858E8"/>
    <w:rsid w:val="00F11348"/>
    <w:rsid w:val="0104C22B"/>
    <w:rsid w:val="0106A225"/>
    <w:rsid w:val="0139E7CB"/>
    <w:rsid w:val="013DD9AA"/>
    <w:rsid w:val="01413185"/>
    <w:rsid w:val="0142D240"/>
    <w:rsid w:val="014FE498"/>
    <w:rsid w:val="01590E3C"/>
    <w:rsid w:val="01737B17"/>
    <w:rsid w:val="017E9034"/>
    <w:rsid w:val="0180F503"/>
    <w:rsid w:val="01A1757B"/>
    <w:rsid w:val="01ADBCD9"/>
    <w:rsid w:val="01AF8CB5"/>
    <w:rsid w:val="01B811F1"/>
    <w:rsid w:val="01B8EC98"/>
    <w:rsid w:val="01BD1ED5"/>
    <w:rsid w:val="01C6397C"/>
    <w:rsid w:val="01E3C590"/>
    <w:rsid w:val="01EB0270"/>
    <w:rsid w:val="020969C8"/>
    <w:rsid w:val="020BF8B3"/>
    <w:rsid w:val="02137FCF"/>
    <w:rsid w:val="021DAE16"/>
    <w:rsid w:val="02309C62"/>
    <w:rsid w:val="02324A84"/>
    <w:rsid w:val="02328226"/>
    <w:rsid w:val="02340A19"/>
    <w:rsid w:val="02552E26"/>
    <w:rsid w:val="025BA82B"/>
    <w:rsid w:val="025EF07B"/>
    <w:rsid w:val="02652BE0"/>
    <w:rsid w:val="026B0D5F"/>
    <w:rsid w:val="0270D754"/>
    <w:rsid w:val="0281F862"/>
    <w:rsid w:val="02863157"/>
    <w:rsid w:val="028D5DFA"/>
    <w:rsid w:val="02BBB6D7"/>
    <w:rsid w:val="02C49316"/>
    <w:rsid w:val="02C58224"/>
    <w:rsid w:val="02DAD333"/>
    <w:rsid w:val="02FFC35D"/>
    <w:rsid w:val="030E89B3"/>
    <w:rsid w:val="03163A5F"/>
    <w:rsid w:val="031D36D0"/>
    <w:rsid w:val="03239820"/>
    <w:rsid w:val="0328EBA1"/>
    <w:rsid w:val="03352516"/>
    <w:rsid w:val="03358663"/>
    <w:rsid w:val="033FA7D3"/>
    <w:rsid w:val="0349CEF4"/>
    <w:rsid w:val="0361C3BB"/>
    <w:rsid w:val="0371E99F"/>
    <w:rsid w:val="0372D107"/>
    <w:rsid w:val="0373EBD2"/>
    <w:rsid w:val="03769486"/>
    <w:rsid w:val="038C4BE6"/>
    <w:rsid w:val="039341B5"/>
    <w:rsid w:val="03948EFF"/>
    <w:rsid w:val="039A9BCA"/>
    <w:rsid w:val="03AAEFAB"/>
    <w:rsid w:val="03B24B1D"/>
    <w:rsid w:val="03BF02F6"/>
    <w:rsid w:val="03CF2D50"/>
    <w:rsid w:val="03E3A50D"/>
    <w:rsid w:val="03E5F978"/>
    <w:rsid w:val="04033A0A"/>
    <w:rsid w:val="040F95EC"/>
    <w:rsid w:val="0415E462"/>
    <w:rsid w:val="04308B90"/>
    <w:rsid w:val="043329B0"/>
    <w:rsid w:val="04396765"/>
    <w:rsid w:val="044817E0"/>
    <w:rsid w:val="04514AE0"/>
    <w:rsid w:val="04674290"/>
    <w:rsid w:val="04721852"/>
    <w:rsid w:val="047B7D9E"/>
    <w:rsid w:val="047C5F1D"/>
    <w:rsid w:val="047D73EC"/>
    <w:rsid w:val="049A86D6"/>
    <w:rsid w:val="04BB106B"/>
    <w:rsid w:val="04D7D503"/>
    <w:rsid w:val="04D9D1D4"/>
    <w:rsid w:val="04EE7FED"/>
    <w:rsid w:val="0500FDBF"/>
    <w:rsid w:val="05034B55"/>
    <w:rsid w:val="05036471"/>
    <w:rsid w:val="050949EC"/>
    <w:rsid w:val="050D0AFB"/>
    <w:rsid w:val="0519F98F"/>
    <w:rsid w:val="051D6B2A"/>
    <w:rsid w:val="0525828C"/>
    <w:rsid w:val="0527C924"/>
    <w:rsid w:val="05293E5F"/>
    <w:rsid w:val="054AD55B"/>
    <w:rsid w:val="05576FDC"/>
    <w:rsid w:val="056985ED"/>
    <w:rsid w:val="056FA4CD"/>
    <w:rsid w:val="0577EFDC"/>
    <w:rsid w:val="058105AB"/>
    <w:rsid w:val="0584DFBC"/>
    <w:rsid w:val="0589B1DA"/>
    <w:rsid w:val="059997A1"/>
    <w:rsid w:val="05BDC2F4"/>
    <w:rsid w:val="05C34DA0"/>
    <w:rsid w:val="05D1D13E"/>
    <w:rsid w:val="05EE5624"/>
    <w:rsid w:val="060BC413"/>
    <w:rsid w:val="060CDD5E"/>
    <w:rsid w:val="0614C251"/>
    <w:rsid w:val="062651E7"/>
    <w:rsid w:val="0632A876"/>
    <w:rsid w:val="063B5A5D"/>
    <w:rsid w:val="0642E2AE"/>
    <w:rsid w:val="0649342B"/>
    <w:rsid w:val="065ABD08"/>
    <w:rsid w:val="065D8143"/>
    <w:rsid w:val="0676F684"/>
    <w:rsid w:val="067A6E5F"/>
    <w:rsid w:val="06824E82"/>
    <w:rsid w:val="069232C1"/>
    <w:rsid w:val="069C7B65"/>
    <w:rsid w:val="06B3FF68"/>
    <w:rsid w:val="06BC679A"/>
    <w:rsid w:val="06BD00DE"/>
    <w:rsid w:val="06C107DD"/>
    <w:rsid w:val="06C159D4"/>
    <w:rsid w:val="06CC4FC3"/>
    <w:rsid w:val="06CDB3AF"/>
    <w:rsid w:val="06DB595D"/>
    <w:rsid w:val="06DC2244"/>
    <w:rsid w:val="06E3E025"/>
    <w:rsid w:val="06F19D00"/>
    <w:rsid w:val="06F32FF8"/>
    <w:rsid w:val="07002CF4"/>
    <w:rsid w:val="0703BE67"/>
    <w:rsid w:val="070944A3"/>
    <w:rsid w:val="07118432"/>
    <w:rsid w:val="07164464"/>
    <w:rsid w:val="073D0E04"/>
    <w:rsid w:val="073D68EB"/>
    <w:rsid w:val="075C6054"/>
    <w:rsid w:val="076EBB73"/>
    <w:rsid w:val="076EFC97"/>
    <w:rsid w:val="07744BCB"/>
    <w:rsid w:val="0777D8EC"/>
    <w:rsid w:val="077F072C"/>
    <w:rsid w:val="0788637F"/>
    <w:rsid w:val="078F8FE7"/>
    <w:rsid w:val="0797B4BA"/>
    <w:rsid w:val="07BE7B9D"/>
    <w:rsid w:val="07CCAA7A"/>
    <w:rsid w:val="07CFF9EB"/>
    <w:rsid w:val="07D93965"/>
    <w:rsid w:val="07E3BAC6"/>
    <w:rsid w:val="07EE6AA0"/>
    <w:rsid w:val="07F77775"/>
    <w:rsid w:val="080139FA"/>
    <w:rsid w:val="0817F708"/>
    <w:rsid w:val="081AFA35"/>
    <w:rsid w:val="0822897B"/>
    <w:rsid w:val="0829D747"/>
    <w:rsid w:val="083A70AC"/>
    <w:rsid w:val="083B09D9"/>
    <w:rsid w:val="0849EDB4"/>
    <w:rsid w:val="08603755"/>
    <w:rsid w:val="08603916"/>
    <w:rsid w:val="08626363"/>
    <w:rsid w:val="08637916"/>
    <w:rsid w:val="086C3F93"/>
    <w:rsid w:val="0871C2C7"/>
    <w:rsid w:val="0887E459"/>
    <w:rsid w:val="0892AA55"/>
    <w:rsid w:val="08A9451C"/>
    <w:rsid w:val="08A9C794"/>
    <w:rsid w:val="08BDA992"/>
    <w:rsid w:val="08CADBC7"/>
    <w:rsid w:val="08CE7AA8"/>
    <w:rsid w:val="08D2F9AD"/>
    <w:rsid w:val="08D563CA"/>
    <w:rsid w:val="08D58766"/>
    <w:rsid w:val="08D7E84A"/>
    <w:rsid w:val="08D8C5F2"/>
    <w:rsid w:val="08E27C78"/>
    <w:rsid w:val="08E7DF6E"/>
    <w:rsid w:val="08ECD710"/>
    <w:rsid w:val="08ED930B"/>
    <w:rsid w:val="08F7BAAE"/>
    <w:rsid w:val="090AE69F"/>
    <w:rsid w:val="091E567B"/>
    <w:rsid w:val="091F0712"/>
    <w:rsid w:val="0921D43E"/>
    <w:rsid w:val="0923BD55"/>
    <w:rsid w:val="0929B2F6"/>
    <w:rsid w:val="0938D576"/>
    <w:rsid w:val="0939AF4A"/>
    <w:rsid w:val="093ED623"/>
    <w:rsid w:val="09461C55"/>
    <w:rsid w:val="09571CFA"/>
    <w:rsid w:val="095F2AB2"/>
    <w:rsid w:val="097D170F"/>
    <w:rsid w:val="09805967"/>
    <w:rsid w:val="0988A6E0"/>
    <w:rsid w:val="09920125"/>
    <w:rsid w:val="099D9B0B"/>
    <w:rsid w:val="09AA375B"/>
    <w:rsid w:val="09ACE19C"/>
    <w:rsid w:val="09B2B44E"/>
    <w:rsid w:val="09BA6A09"/>
    <w:rsid w:val="09CD6371"/>
    <w:rsid w:val="09D84755"/>
    <w:rsid w:val="09D9D8FA"/>
    <w:rsid w:val="09DC778C"/>
    <w:rsid w:val="0A1C446E"/>
    <w:rsid w:val="0A2842B6"/>
    <w:rsid w:val="0A2D272D"/>
    <w:rsid w:val="0A4113F1"/>
    <w:rsid w:val="0A44B960"/>
    <w:rsid w:val="0A4A9688"/>
    <w:rsid w:val="0A4D6CA7"/>
    <w:rsid w:val="0A57E6BA"/>
    <w:rsid w:val="0A603E09"/>
    <w:rsid w:val="0A667A60"/>
    <w:rsid w:val="0A6DC388"/>
    <w:rsid w:val="0A8BB6A0"/>
    <w:rsid w:val="0A927436"/>
    <w:rsid w:val="0AA30E5D"/>
    <w:rsid w:val="0AAF16B4"/>
    <w:rsid w:val="0AB2CB38"/>
    <w:rsid w:val="0ACB5123"/>
    <w:rsid w:val="0ACDBA84"/>
    <w:rsid w:val="0AD24030"/>
    <w:rsid w:val="0AD67127"/>
    <w:rsid w:val="0AD702C4"/>
    <w:rsid w:val="0ADE2C25"/>
    <w:rsid w:val="0AED16CD"/>
    <w:rsid w:val="0B0D1E65"/>
    <w:rsid w:val="0B0F52AD"/>
    <w:rsid w:val="0B0F5E19"/>
    <w:rsid w:val="0B1707A2"/>
    <w:rsid w:val="0B1FEC69"/>
    <w:rsid w:val="0B21B8BC"/>
    <w:rsid w:val="0B3CF97E"/>
    <w:rsid w:val="0B4DA3E0"/>
    <w:rsid w:val="0B5748E3"/>
    <w:rsid w:val="0B593F4D"/>
    <w:rsid w:val="0B5C6427"/>
    <w:rsid w:val="0B768FF3"/>
    <w:rsid w:val="0B7F863A"/>
    <w:rsid w:val="0B9611FD"/>
    <w:rsid w:val="0BADC36E"/>
    <w:rsid w:val="0BB706E7"/>
    <w:rsid w:val="0BCCB0EC"/>
    <w:rsid w:val="0BCD1EAB"/>
    <w:rsid w:val="0BCD994A"/>
    <w:rsid w:val="0BCEDBF8"/>
    <w:rsid w:val="0BCFEC99"/>
    <w:rsid w:val="0BD57D1B"/>
    <w:rsid w:val="0BDB4051"/>
    <w:rsid w:val="0BE5EE00"/>
    <w:rsid w:val="0BF17416"/>
    <w:rsid w:val="0BF1970D"/>
    <w:rsid w:val="0BF4013A"/>
    <w:rsid w:val="0BF66B3B"/>
    <w:rsid w:val="0BFA13B6"/>
    <w:rsid w:val="0BFD71D5"/>
    <w:rsid w:val="0C01186D"/>
    <w:rsid w:val="0C02086F"/>
    <w:rsid w:val="0C0A43C0"/>
    <w:rsid w:val="0C191DDC"/>
    <w:rsid w:val="0C1B444E"/>
    <w:rsid w:val="0C218CBA"/>
    <w:rsid w:val="0C27EF81"/>
    <w:rsid w:val="0C444EB6"/>
    <w:rsid w:val="0C4D019D"/>
    <w:rsid w:val="0C551CEF"/>
    <w:rsid w:val="0C6DB264"/>
    <w:rsid w:val="0C774B15"/>
    <w:rsid w:val="0C7E9D2A"/>
    <w:rsid w:val="0C803B1E"/>
    <w:rsid w:val="0C8DDE34"/>
    <w:rsid w:val="0C93155D"/>
    <w:rsid w:val="0C95A7E5"/>
    <w:rsid w:val="0CA787AB"/>
    <w:rsid w:val="0CAF12FA"/>
    <w:rsid w:val="0CB8E878"/>
    <w:rsid w:val="0CC19C3A"/>
    <w:rsid w:val="0CC5B348"/>
    <w:rsid w:val="0CC9F1BB"/>
    <w:rsid w:val="0CCC10D6"/>
    <w:rsid w:val="0CDAD575"/>
    <w:rsid w:val="0CDB144D"/>
    <w:rsid w:val="0CE013C2"/>
    <w:rsid w:val="0CE12C4D"/>
    <w:rsid w:val="0CF04FA5"/>
    <w:rsid w:val="0CFA6B75"/>
    <w:rsid w:val="0D24EC02"/>
    <w:rsid w:val="0D2AF856"/>
    <w:rsid w:val="0D323175"/>
    <w:rsid w:val="0D3253F8"/>
    <w:rsid w:val="0D37BC49"/>
    <w:rsid w:val="0D4CA46D"/>
    <w:rsid w:val="0D5A1011"/>
    <w:rsid w:val="0D66F37C"/>
    <w:rsid w:val="0D691540"/>
    <w:rsid w:val="0D6B5DB6"/>
    <w:rsid w:val="0D71E934"/>
    <w:rsid w:val="0D770FC0"/>
    <w:rsid w:val="0D7B9978"/>
    <w:rsid w:val="0D9BBB29"/>
    <w:rsid w:val="0D9C0F1B"/>
    <w:rsid w:val="0D9DD7A8"/>
    <w:rsid w:val="0D9E0746"/>
    <w:rsid w:val="0DA29955"/>
    <w:rsid w:val="0DA40AFA"/>
    <w:rsid w:val="0DB6317E"/>
    <w:rsid w:val="0DB79AD4"/>
    <w:rsid w:val="0DC17F71"/>
    <w:rsid w:val="0DC92F67"/>
    <w:rsid w:val="0DD5D666"/>
    <w:rsid w:val="0DDF2855"/>
    <w:rsid w:val="0E0B1A57"/>
    <w:rsid w:val="0E1DD47C"/>
    <w:rsid w:val="0E22AB37"/>
    <w:rsid w:val="0E237BFB"/>
    <w:rsid w:val="0E255652"/>
    <w:rsid w:val="0E3F2839"/>
    <w:rsid w:val="0E47E527"/>
    <w:rsid w:val="0E4E8D59"/>
    <w:rsid w:val="0E622F40"/>
    <w:rsid w:val="0E6BC38E"/>
    <w:rsid w:val="0E79C89C"/>
    <w:rsid w:val="0E91121A"/>
    <w:rsid w:val="0E9C1317"/>
    <w:rsid w:val="0ECC7C6A"/>
    <w:rsid w:val="0ED156A6"/>
    <w:rsid w:val="0ED4AF3B"/>
    <w:rsid w:val="0EE57901"/>
    <w:rsid w:val="0EEB0401"/>
    <w:rsid w:val="0EF547F4"/>
    <w:rsid w:val="0EFBAD42"/>
    <w:rsid w:val="0F01CFF5"/>
    <w:rsid w:val="0F1C4083"/>
    <w:rsid w:val="0F285A59"/>
    <w:rsid w:val="0F34F271"/>
    <w:rsid w:val="0F3A30F3"/>
    <w:rsid w:val="0F4A6CC1"/>
    <w:rsid w:val="0F4C6536"/>
    <w:rsid w:val="0F556E19"/>
    <w:rsid w:val="0F577432"/>
    <w:rsid w:val="0F5DC1D5"/>
    <w:rsid w:val="0F6C6F1B"/>
    <w:rsid w:val="0F6C937F"/>
    <w:rsid w:val="0F6CD165"/>
    <w:rsid w:val="0F7A9FE2"/>
    <w:rsid w:val="0F7F5722"/>
    <w:rsid w:val="0F94EC7F"/>
    <w:rsid w:val="0FA29443"/>
    <w:rsid w:val="0FB48DF0"/>
    <w:rsid w:val="0FFADB58"/>
    <w:rsid w:val="0FFC9342"/>
    <w:rsid w:val="10067336"/>
    <w:rsid w:val="1018CC0B"/>
    <w:rsid w:val="101F6AF5"/>
    <w:rsid w:val="102B1349"/>
    <w:rsid w:val="102B6B77"/>
    <w:rsid w:val="103B9D5B"/>
    <w:rsid w:val="10545987"/>
    <w:rsid w:val="1064679D"/>
    <w:rsid w:val="106A99F5"/>
    <w:rsid w:val="108E02FB"/>
    <w:rsid w:val="10900701"/>
    <w:rsid w:val="10995F35"/>
    <w:rsid w:val="10A06DB3"/>
    <w:rsid w:val="10A12FDE"/>
    <w:rsid w:val="10AD7208"/>
    <w:rsid w:val="10B1E9B5"/>
    <w:rsid w:val="10C4D972"/>
    <w:rsid w:val="10EE189E"/>
    <w:rsid w:val="10EE2EDC"/>
    <w:rsid w:val="10F42DF3"/>
    <w:rsid w:val="10F9DA62"/>
    <w:rsid w:val="11175494"/>
    <w:rsid w:val="112A19F1"/>
    <w:rsid w:val="1150339B"/>
    <w:rsid w:val="115A9766"/>
    <w:rsid w:val="1161D71B"/>
    <w:rsid w:val="1165D8BD"/>
    <w:rsid w:val="116E30AF"/>
    <w:rsid w:val="1179E573"/>
    <w:rsid w:val="119085C8"/>
    <w:rsid w:val="119531F4"/>
    <w:rsid w:val="11A5E2CE"/>
    <w:rsid w:val="11BAB8C1"/>
    <w:rsid w:val="11C9163D"/>
    <w:rsid w:val="11CDBE1D"/>
    <w:rsid w:val="11CE0459"/>
    <w:rsid w:val="11E3D5AF"/>
    <w:rsid w:val="11E40FB1"/>
    <w:rsid w:val="11FBB798"/>
    <w:rsid w:val="11FC077F"/>
    <w:rsid w:val="12183BCD"/>
    <w:rsid w:val="12387AF3"/>
    <w:rsid w:val="1251680D"/>
    <w:rsid w:val="1252CB5C"/>
    <w:rsid w:val="125323FF"/>
    <w:rsid w:val="126DDF6A"/>
    <w:rsid w:val="127030BD"/>
    <w:rsid w:val="128E9E65"/>
    <w:rsid w:val="1299091D"/>
    <w:rsid w:val="12A7A905"/>
    <w:rsid w:val="12B37802"/>
    <w:rsid w:val="12B81920"/>
    <w:rsid w:val="12BFCDA6"/>
    <w:rsid w:val="12C2CD10"/>
    <w:rsid w:val="12E9D220"/>
    <w:rsid w:val="12F7BF0A"/>
    <w:rsid w:val="131882E5"/>
    <w:rsid w:val="1329D466"/>
    <w:rsid w:val="132D2FB2"/>
    <w:rsid w:val="1332EC90"/>
    <w:rsid w:val="134F1540"/>
    <w:rsid w:val="134FE0DB"/>
    <w:rsid w:val="1351D584"/>
    <w:rsid w:val="135271AF"/>
    <w:rsid w:val="135CF000"/>
    <w:rsid w:val="13675680"/>
    <w:rsid w:val="1383C23E"/>
    <w:rsid w:val="13891C96"/>
    <w:rsid w:val="13913F7F"/>
    <w:rsid w:val="13936C3E"/>
    <w:rsid w:val="13A0D094"/>
    <w:rsid w:val="13A443FE"/>
    <w:rsid w:val="13B49FB6"/>
    <w:rsid w:val="13C61CED"/>
    <w:rsid w:val="13CE469E"/>
    <w:rsid w:val="13D5FFDC"/>
    <w:rsid w:val="13D80F4B"/>
    <w:rsid w:val="13E63D60"/>
    <w:rsid w:val="13EA08C6"/>
    <w:rsid w:val="13EA33F0"/>
    <w:rsid w:val="13F1173C"/>
    <w:rsid w:val="13F1BA0D"/>
    <w:rsid w:val="140100A4"/>
    <w:rsid w:val="14035B34"/>
    <w:rsid w:val="1404BAA1"/>
    <w:rsid w:val="140D6318"/>
    <w:rsid w:val="1410B859"/>
    <w:rsid w:val="141A1067"/>
    <w:rsid w:val="142F3661"/>
    <w:rsid w:val="1431109E"/>
    <w:rsid w:val="143427D1"/>
    <w:rsid w:val="1435E21D"/>
    <w:rsid w:val="143A2FE5"/>
    <w:rsid w:val="14407A89"/>
    <w:rsid w:val="144DA043"/>
    <w:rsid w:val="14510593"/>
    <w:rsid w:val="146E7E36"/>
    <w:rsid w:val="147865C3"/>
    <w:rsid w:val="147C43A0"/>
    <w:rsid w:val="148B0D25"/>
    <w:rsid w:val="14A73B40"/>
    <w:rsid w:val="14C6997A"/>
    <w:rsid w:val="14C6CCFA"/>
    <w:rsid w:val="14C7CE48"/>
    <w:rsid w:val="14CED952"/>
    <w:rsid w:val="14D04A12"/>
    <w:rsid w:val="14E41F6A"/>
    <w:rsid w:val="14E980B6"/>
    <w:rsid w:val="14EB7484"/>
    <w:rsid w:val="14FDCE4F"/>
    <w:rsid w:val="15007443"/>
    <w:rsid w:val="15067CCF"/>
    <w:rsid w:val="150B0484"/>
    <w:rsid w:val="1518C79A"/>
    <w:rsid w:val="151B5C7B"/>
    <w:rsid w:val="151EAE26"/>
    <w:rsid w:val="1536D130"/>
    <w:rsid w:val="153ED8D3"/>
    <w:rsid w:val="1545A321"/>
    <w:rsid w:val="155841DC"/>
    <w:rsid w:val="156709BB"/>
    <w:rsid w:val="156A3BB6"/>
    <w:rsid w:val="156C339F"/>
    <w:rsid w:val="157586E4"/>
    <w:rsid w:val="157FEFE4"/>
    <w:rsid w:val="159056EF"/>
    <w:rsid w:val="1591E904"/>
    <w:rsid w:val="1596022E"/>
    <w:rsid w:val="159C0741"/>
    <w:rsid w:val="15A0F3D6"/>
    <w:rsid w:val="15B421A7"/>
    <w:rsid w:val="15DEB187"/>
    <w:rsid w:val="15E4220F"/>
    <w:rsid w:val="15EB1B55"/>
    <w:rsid w:val="15F0063A"/>
    <w:rsid w:val="15F2888B"/>
    <w:rsid w:val="15F29DB0"/>
    <w:rsid w:val="1600BC5B"/>
    <w:rsid w:val="1611F5A7"/>
    <w:rsid w:val="16206A73"/>
    <w:rsid w:val="164B50D5"/>
    <w:rsid w:val="164EDA6E"/>
    <w:rsid w:val="1668A5AE"/>
    <w:rsid w:val="16701992"/>
    <w:rsid w:val="1686CC80"/>
    <w:rsid w:val="168A4195"/>
    <w:rsid w:val="168C1B42"/>
    <w:rsid w:val="16AA2A3B"/>
    <w:rsid w:val="16B1C590"/>
    <w:rsid w:val="16B30785"/>
    <w:rsid w:val="16CB50E8"/>
    <w:rsid w:val="16CE1A8D"/>
    <w:rsid w:val="16D8E4DA"/>
    <w:rsid w:val="16DBBD71"/>
    <w:rsid w:val="16EC26C6"/>
    <w:rsid w:val="16F31E7E"/>
    <w:rsid w:val="1707F53C"/>
    <w:rsid w:val="17176336"/>
    <w:rsid w:val="172057E2"/>
    <w:rsid w:val="172C8297"/>
    <w:rsid w:val="173CD477"/>
    <w:rsid w:val="17452C75"/>
    <w:rsid w:val="1750453B"/>
    <w:rsid w:val="175974E2"/>
    <w:rsid w:val="17666537"/>
    <w:rsid w:val="1794F5EB"/>
    <w:rsid w:val="17983724"/>
    <w:rsid w:val="17A26A7A"/>
    <w:rsid w:val="17ABA607"/>
    <w:rsid w:val="17B43308"/>
    <w:rsid w:val="17B54E7A"/>
    <w:rsid w:val="17B5733F"/>
    <w:rsid w:val="17B75BA0"/>
    <w:rsid w:val="17C40D30"/>
    <w:rsid w:val="17CC99B0"/>
    <w:rsid w:val="17E366F3"/>
    <w:rsid w:val="17FD841F"/>
    <w:rsid w:val="180468B4"/>
    <w:rsid w:val="1808C1C0"/>
    <w:rsid w:val="180FEE08"/>
    <w:rsid w:val="181C9B4C"/>
    <w:rsid w:val="181E3443"/>
    <w:rsid w:val="18241716"/>
    <w:rsid w:val="183A2419"/>
    <w:rsid w:val="183F1BE7"/>
    <w:rsid w:val="184846F6"/>
    <w:rsid w:val="185179F0"/>
    <w:rsid w:val="18555016"/>
    <w:rsid w:val="1861B924"/>
    <w:rsid w:val="18758700"/>
    <w:rsid w:val="18890541"/>
    <w:rsid w:val="189C16F2"/>
    <w:rsid w:val="189D2F52"/>
    <w:rsid w:val="189E1366"/>
    <w:rsid w:val="18A9722C"/>
    <w:rsid w:val="18B4F2C6"/>
    <w:rsid w:val="18C62FEC"/>
    <w:rsid w:val="18CE84C5"/>
    <w:rsid w:val="18D134A7"/>
    <w:rsid w:val="18D85AE0"/>
    <w:rsid w:val="18D8BA14"/>
    <w:rsid w:val="18DFDF55"/>
    <w:rsid w:val="18F53EEB"/>
    <w:rsid w:val="1908856E"/>
    <w:rsid w:val="1910C0BE"/>
    <w:rsid w:val="191A15B8"/>
    <w:rsid w:val="193FB4D4"/>
    <w:rsid w:val="195CCA10"/>
    <w:rsid w:val="19614E2A"/>
    <w:rsid w:val="1966E587"/>
    <w:rsid w:val="196FD9A1"/>
    <w:rsid w:val="197F8AD4"/>
    <w:rsid w:val="19995A21"/>
    <w:rsid w:val="19A04428"/>
    <w:rsid w:val="19BCF67B"/>
    <w:rsid w:val="19CD878D"/>
    <w:rsid w:val="19D1C3F9"/>
    <w:rsid w:val="19D61214"/>
    <w:rsid w:val="19DE4416"/>
    <w:rsid w:val="19E0F289"/>
    <w:rsid w:val="19E6DFCA"/>
    <w:rsid w:val="19EEE0BC"/>
    <w:rsid w:val="19F7AC67"/>
    <w:rsid w:val="19F9749B"/>
    <w:rsid w:val="1A192658"/>
    <w:rsid w:val="1A1B4199"/>
    <w:rsid w:val="1A1BA065"/>
    <w:rsid w:val="1A29B047"/>
    <w:rsid w:val="1A2B0C9F"/>
    <w:rsid w:val="1A314715"/>
    <w:rsid w:val="1A367D5E"/>
    <w:rsid w:val="1A56C5F1"/>
    <w:rsid w:val="1A5BD6FB"/>
    <w:rsid w:val="1A6594B5"/>
    <w:rsid w:val="1A6ABE22"/>
    <w:rsid w:val="1A74E7A5"/>
    <w:rsid w:val="1A7D0D6D"/>
    <w:rsid w:val="1A88034F"/>
    <w:rsid w:val="1A88A449"/>
    <w:rsid w:val="1A9D1F9C"/>
    <w:rsid w:val="1AA2639E"/>
    <w:rsid w:val="1AA8FCB0"/>
    <w:rsid w:val="1AB5E25E"/>
    <w:rsid w:val="1AC7191C"/>
    <w:rsid w:val="1ACE003B"/>
    <w:rsid w:val="1ADA0035"/>
    <w:rsid w:val="1AE515BC"/>
    <w:rsid w:val="1AEDE594"/>
    <w:rsid w:val="1AFF47CB"/>
    <w:rsid w:val="1B055C6F"/>
    <w:rsid w:val="1B21C5E3"/>
    <w:rsid w:val="1B2E1AFD"/>
    <w:rsid w:val="1B334040"/>
    <w:rsid w:val="1B3551E6"/>
    <w:rsid w:val="1B389E62"/>
    <w:rsid w:val="1B4736B0"/>
    <w:rsid w:val="1B740880"/>
    <w:rsid w:val="1B7FCA73"/>
    <w:rsid w:val="1B8FBA9C"/>
    <w:rsid w:val="1B925283"/>
    <w:rsid w:val="1BA3EECF"/>
    <w:rsid w:val="1BAF18FF"/>
    <w:rsid w:val="1BC2C62A"/>
    <w:rsid w:val="1BC389FA"/>
    <w:rsid w:val="1BCD8692"/>
    <w:rsid w:val="1BD46F45"/>
    <w:rsid w:val="1BD84028"/>
    <w:rsid w:val="1BE3329E"/>
    <w:rsid w:val="1C026DAB"/>
    <w:rsid w:val="1C07CE50"/>
    <w:rsid w:val="1C0C919A"/>
    <w:rsid w:val="1C0DE945"/>
    <w:rsid w:val="1C24A500"/>
    <w:rsid w:val="1C34FFFD"/>
    <w:rsid w:val="1C3F58D1"/>
    <w:rsid w:val="1C465C1D"/>
    <w:rsid w:val="1C4B17DE"/>
    <w:rsid w:val="1C4D7908"/>
    <w:rsid w:val="1C524AFA"/>
    <w:rsid w:val="1C6146F3"/>
    <w:rsid w:val="1C688407"/>
    <w:rsid w:val="1C6A1F1C"/>
    <w:rsid w:val="1C6A4BFB"/>
    <w:rsid w:val="1C71B970"/>
    <w:rsid w:val="1C76AC52"/>
    <w:rsid w:val="1C8010F5"/>
    <w:rsid w:val="1C8734D9"/>
    <w:rsid w:val="1C97C98B"/>
    <w:rsid w:val="1C9E2BBD"/>
    <w:rsid w:val="1CAC8B88"/>
    <w:rsid w:val="1CAED80B"/>
    <w:rsid w:val="1CC0CD47"/>
    <w:rsid w:val="1CC95B1F"/>
    <w:rsid w:val="1CCD01DC"/>
    <w:rsid w:val="1CF6103A"/>
    <w:rsid w:val="1CFA7B05"/>
    <w:rsid w:val="1D001198"/>
    <w:rsid w:val="1D03B105"/>
    <w:rsid w:val="1D3669AF"/>
    <w:rsid w:val="1D43D8D1"/>
    <w:rsid w:val="1D49F194"/>
    <w:rsid w:val="1D4CC5E3"/>
    <w:rsid w:val="1D6A3E09"/>
    <w:rsid w:val="1D6F11BF"/>
    <w:rsid w:val="1D7487C2"/>
    <w:rsid w:val="1D7584B7"/>
    <w:rsid w:val="1D7661EC"/>
    <w:rsid w:val="1D791FEB"/>
    <w:rsid w:val="1D7A373A"/>
    <w:rsid w:val="1D7BED3E"/>
    <w:rsid w:val="1D93B914"/>
    <w:rsid w:val="1D9B1E64"/>
    <w:rsid w:val="1D9EE388"/>
    <w:rsid w:val="1DA457FA"/>
    <w:rsid w:val="1DAA7212"/>
    <w:rsid w:val="1DB2F7A8"/>
    <w:rsid w:val="1DD6E31C"/>
    <w:rsid w:val="1DDF91C8"/>
    <w:rsid w:val="1DE56C9B"/>
    <w:rsid w:val="1DEF6328"/>
    <w:rsid w:val="1E0E134B"/>
    <w:rsid w:val="1E2FD2C0"/>
    <w:rsid w:val="1E498355"/>
    <w:rsid w:val="1E4E0F66"/>
    <w:rsid w:val="1E505919"/>
    <w:rsid w:val="1E568000"/>
    <w:rsid w:val="1E618DFB"/>
    <w:rsid w:val="1E630B87"/>
    <w:rsid w:val="1E665850"/>
    <w:rsid w:val="1E6F0397"/>
    <w:rsid w:val="1E6FF070"/>
    <w:rsid w:val="1E7D783A"/>
    <w:rsid w:val="1E80E31B"/>
    <w:rsid w:val="1E88C34B"/>
    <w:rsid w:val="1E93F182"/>
    <w:rsid w:val="1E948DC3"/>
    <w:rsid w:val="1E98067A"/>
    <w:rsid w:val="1E9D198A"/>
    <w:rsid w:val="1E9D5E83"/>
    <w:rsid w:val="1E9ECF60"/>
    <w:rsid w:val="1EB63DB5"/>
    <w:rsid w:val="1EBB3A6F"/>
    <w:rsid w:val="1EC002BB"/>
    <w:rsid w:val="1EECBDAB"/>
    <w:rsid w:val="1EEFB82D"/>
    <w:rsid w:val="1F15ECEA"/>
    <w:rsid w:val="1F1F0CD7"/>
    <w:rsid w:val="1F299847"/>
    <w:rsid w:val="1F2B7082"/>
    <w:rsid w:val="1F2BD48E"/>
    <w:rsid w:val="1F31052C"/>
    <w:rsid w:val="1F35AF9A"/>
    <w:rsid w:val="1F3D2AFF"/>
    <w:rsid w:val="1F47A514"/>
    <w:rsid w:val="1F55B9E6"/>
    <w:rsid w:val="1F6BFDE4"/>
    <w:rsid w:val="1F705E1F"/>
    <w:rsid w:val="1F725FC2"/>
    <w:rsid w:val="1F765BC3"/>
    <w:rsid w:val="1F794A37"/>
    <w:rsid w:val="1F7E499A"/>
    <w:rsid w:val="1F978616"/>
    <w:rsid w:val="1FA36EA2"/>
    <w:rsid w:val="1FAAA3B6"/>
    <w:rsid w:val="1FB0435E"/>
    <w:rsid w:val="1FB37829"/>
    <w:rsid w:val="1FBDCAD0"/>
    <w:rsid w:val="1FC83508"/>
    <w:rsid w:val="1FCC8EBB"/>
    <w:rsid w:val="1FD60C48"/>
    <w:rsid w:val="1FD6CFDA"/>
    <w:rsid w:val="1FE88EF1"/>
    <w:rsid w:val="20053E73"/>
    <w:rsid w:val="2006AB02"/>
    <w:rsid w:val="2008B4BA"/>
    <w:rsid w:val="201F0713"/>
    <w:rsid w:val="2022ABE5"/>
    <w:rsid w:val="20297656"/>
    <w:rsid w:val="20394078"/>
    <w:rsid w:val="204A7D5F"/>
    <w:rsid w:val="204A86B9"/>
    <w:rsid w:val="204E962D"/>
    <w:rsid w:val="20513D1B"/>
    <w:rsid w:val="2060F704"/>
    <w:rsid w:val="20806151"/>
    <w:rsid w:val="209A5A5E"/>
    <w:rsid w:val="209FF998"/>
    <w:rsid w:val="20BCF7C2"/>
    <w:rsid w:val="20C4F01B"/>
    <w:rsid w:val="20DF124D"/>
    <w:rsid w:val="20F26FA7"/>
    <w:rsid w:val="20FBEA5A"/>
    <w:rsid w:val="2103E9F2"/>
    <w:rsid w:val="210E9E07"/>
    <w:rsid w:val="21166894"/>
    <w:rsid w:val="21251085"/>
    <w:rsid w:val="2149B92E"/>
    <w:rsid w:val="214BFEB3"/>
    <w:rsid w:val="215B594F"/>
    <w:rsid w:val="21671B7C"/>
    <w:rsid w:val="2184071C"/>
    <w:rsid w:val="21B6AF4A"/>
    <w:rsid w:val="21C0101C"/>
    <w:rsid w:val="21C08D7F"/>
    <w:rsid w:val="21C19B79"/>
    <w:rsid w:val="21D00CD7"/>
    <w:rsid w:val="21D3D020"/>
    <w:rsid w:val="21E8DBF4"/>
    <w:rsid w:val="221AA963"/>
    <w:rsid w:val="221C4888"/>
    <w:rsid w:val="223594D4"/>
    <w:rsid w:val="224427F1"/>
    <w:rsid w:val="224753FE"/>
    <w:rsid w:val="227A8007"/>
    <w:rsid w:val="227B7B89"/>
    <w:rsid w:val="2282356C"/>
    <w:rsid w:val="2290FC26"/>
    <w:rsid w:val="22927658"/>
    <w:rsid w:val="229F3998"/>
    <w:rsid w:val="22A06B64"/>
    <w:rsid w:val="22B59983"/>
    <w:rsid w:val="22BA68E1"/>
    <w:rsid w:val="22C1A6E0"/>
    <w:rsid w:val="22D3C038"/>
    <w:rsid w:val="22DD55E4"/>
    <w:rsid w:val="22E16589"/>
    <w:rsid w:val="22E5076A"/>
    <w:rsid w:val="22E96CA7"/>
    <w:rsid w:val="22EEE28E"/>
    <w:rsid w:val="22F11E6D"/>
    <w:rsid w:val="22F3B742"/>
    <w:rsid w:val="22F8F1B5"/>
    <w:rsid w:val="2300872F"/>
    <w:rsid w:val="2309CBD7"/>
    <w:rsid w:val="230B117B"/>
    <w:rsid w:val="230C5671"/>
    <w:rsid w:val="2315DEA5"/>
    <w:rsid w:val="232282BB"/>
    <w:rsid w:val="23304A73"/>
    <w:rsid w:val="23441CC6"/>
    <w:rsid w:val="234FA5DC"/>
    <w:rsid w:val="235AF854"/>
    <w:rsid w:val="23772FAC"/>
    <w:rsid w:val="237BAB42"/>
    <w:rsid w:val="237BBABD"/>
    <w:rsid w:val="239B68D8"/>
    <w:rsid w:val="23A423E1"/>
    <w:rsid w:val="23D019F2"/>
    <w:rsid w:val="23D69926"/>
    <w:rsid w:val="23E7A64E"/>
    <w:rsid w:val="23EAF9D1"/>
    <w:rsid w:val="23F071B7"/>
    <w:rsid w:val="240ECA59"/>
    <w:rsid w:val="2419E91D"/>
    <w:rsid w:val="242C2235"/>
    <w:rsid w:val="242D6284"/>
    <w:rsid w:val="243AB75E"/>
    <w:rsid w:val="24556EED"/>
    <w:rsid w:val="246FE2E0"/>
    <w:rsid w:val="24750E0D"/>
    <w:rsid w:val="24799971"/>
    <w:rsid w:val="24836C56"/>
    <w:rsid w:val="248DDF21"/>
    <w:rsid w:val="248FA3AB"/>
    <w:rsid w:val="24A46D67"/>
    <w:rsid w:val="24BA2EE1"/>
    <w:rsid w:val="24CF7139"/>
    <w:rsid w:val="24D0683D"/>
    <w:rsid w:val="24EC1C48"/>
    <w:rsid w:val="24F7246A"/>
    <w:rsid w:val="2510F7CA"/>
    <w:rsid w:val="2513903A"/>
    <w:rsid w:val="252298E4"/>
    <w:rsid w:val="252F166B"/>
    <w:rsid w:val="2533CF41"/>
    <w:rsid w:val="253ADF9D"/>
    <w:rsid w:val="2548B9C6"/>
    <w:rsid w:val="255B5A6C"/>
    <w:rsid w:val="255C1103"/>
    <w:rsid w:val="2568DFAA"/>
    <w:rsid w:val="256B4DC1"/>
    <w:rsid w:val="2577304B"/>
    <w:rsid w:val="257BFE88"/>
    <w:rsid w:val="257C20F6"/>
    <w:rsid w:val="25852935"/>
    <w:rsid w:val="2587ADCE"/>
    <w:rsid w:val="25C36119"/>
    <w:rsid w:val="25D15FFE"/>
    <w:rsid w:val="25D551AA"/>
    <w:rsid w:val="25D9F4BB"/>
    <w:rsid w:val="25E62F70"/>
    <w:rsid w:val="25EA2B55"/>
    <w:rsid w:val="25F142CD"/>
    <w:rsid w:val="25F59316"/>
    <w:rsid w:val="25FAA68C"/>
    <w:rsid w:val="26054511"/>
    <w:rsid w:val="2617FC76"/>
    <w:rsid w:val="26190E1F"/>
    <w:rsid w:val="2632B6D7"/>
    <w:rsid w:val="264A11F4"/>
    <w:rsid w:val="264D599E"/>
    <w:rsid w:val="265759A9"/>
    <w:rsid w:val="266A7EC9"/>
    <w:rsid w:val="26759661"/>
    <w:rsid w:val="2676B756"/>
    <w:rsid w:val="267A89C3"/>
    <w:rsid w:val="26874CBE"/>
    <w:rsid w:val="268D382B"/>
    <w:rsid w:val="268EF013"/>
    <w:rsid w:val="2691F8B3"/>
    <w:rsid w:val="2692F8E2"/>
    <w:rsid w:val="2693C160"/>
    <w:rsid w:val="2696ACE0"/>
    <w:rsid w:val="26A299CA"/>
    <w:rsid w:val="26AC2E0E"/>
    <w:rsid w:val="26AC3E9B"/>
    <w:rsid w:val="26C93B44"/>
    <w:rsid w:val="26F1C569"/>
    <w:rsid w:val="26F38C1E"/>
    <w:rsid w:val="26FE7ED0"/>
    <w:rsid w:val="26FED8E1"/>
    <w:rsid w:val="26FF02E0"/>
    <w:rsid w:val="270B0BA8"/>
    <w:rsid w:val="2722ED85"/>
    <w:rsid w:val="272960F8"/>
    <w:rsid w:val="272C8F12"/>
    <w:rsid w:val="273D7FC8"/>
    <w:rsid w:val="274A765E"/>
    <w:rsid w:val="2753DF9E"/>
    <w:rsid w:val="27555F2B"/>
    <w:rsid w:val="275F70DF"/>
    <w:rsid w:val="27643AF6"/>
    <w:rsid w:val="276F7461"/>
    <w:rsid w:val="277209C4"/>
    <w:rsid w:val="27957FBE"/>
    <w:rsid w:val="279EC55E"/>
    <w:rsid w:val="27B4AD8B"/>
    <w:rsid w:val="27CAE18B"/>
    <w:rsid w:val="27DA4A6D"/>
    <w:rsid w:val="27F59B32"/>
    <w:rsid w:val="27FD3B8D"/>
    <w:rsid w:val="2807B5E2"/>
    <w:rsid w:val="280C22D0"/>
    <w:rsid w:val="28129AB5"/>
    <w:rsid w:val="281C3215"/>
    <w:rsid w:val="2825E474"/>
    <w:rsid w:val="2847D1FB"/>
    <w:rsid w:val="284FDD05"/>
    <w:rsid w:val="285BA7B5"/>
    <w:rsid w:val="286A0171"/>
    <w:rsid w:val="286F8EFE"/>
    <w:rsid w:val="2872F746"/>
    <w:rsid w:val="28779D02"/>
    <w:rsid w:val="287D57A8"/>
    <w:rsid w:val="287FEE2C"/>
    <w:rsid w:val="288643A2"/>
    <w:rsid w:val="289ADFCB"/>
    <w:rsid w:val="289B1411"/>
    <w:rsid w:val="28CFA3E9"/>
    <w:rsid w:val="28D23ABF"/>
    <w:rsid w:val="28DCB034"/>
    <w:rsid w:val="28DE5681"/>
    <w:rsid w:val="28E2F071"/>
    <w:rsid w:val="28E95054"/>
    <w:rsid w:val="28EBDAFF"/>
    <w:rsid w:val="28F3AF15"/>
    <w:rsid w:val="28FDFB9B"/>
    <w:rsid w:val="29168BCD"/>
    <w:rsid w:val="291CAF67"/>
    <w:rsid w:val="291D1111"/>
    <w:rsid w:val="29233635"/>
    <w:rsid w:val="2929F1B0"/>
    <w:rsid w:val="2932F281"/>
    <w:rsid w:val="2946B024"/>
    <w:rsid w:val="29480A54"/>
    <w:rsid w:val="29589D44"/>
    <w:rsid w:val="29736741"/>
    <w:rsid w:val="2978618A"/>
    <w:rsid w:val="297AE5FD"/>
    <w:rsid w:val="297FAEE5"/>
    <w:rsid w:val="29909585"/>
    <w:rsid w:val="29A87752"/>
    <w:rsid w:val="29A9D161"/>
    <w:rsid w:val="29AF6A2D"/>
    <w:rsid w:val="29B36C95"/>
    <w:rsid w:val="29B3F388"/>
    <w:rsid w:val="29C0AE71"/>
    <w:rsid w:val="29C62FCB"/>
    <w:rsid w:val="29C9CB5B"/>
    <w:rsid w:val="29CA850A"/>
    <w:rsid w:val="29CEB6C3"/>
    <w:rsid w:val="29D4ABEB"/>
    <w:rsid w:val="29D8B40F"/>
    <w:rsid w:val="29DC9D41"/>
    <w:rsid w:val="29E9D7BC"/>
    <w:rsid w:val="29E9E863"/>
    <w:rsid w:val="29F3E87B"/>
    <w:rsid w:val="29F50B41"/>
    <w:rsid w:val="29F591FC"/>
    <w:rsid w:val="29FEEA4D"/>
    <w:rsid w:val="2A0963E0"/>
    <w:rsid w:val="2A0D99CF"/>
    <w:rsid w:val="2A28D9FE"/>
    <w:rsid w:val="2A3C51CB"/>
    <w:rsid w:val="2A3F387D"/>
    <w:rsid w:val="2A3F4C84"/>
    <w:rsid w:val="2A49B32B"/>
    <w:rsid w:val="2A50FE82"/>
    <w:rsid w:val="2A531A01"/>
    <w:rsid w:val="2A53AFA0"/>
    <w:rsid w:val="2A62A017"/>
    <w:rsid w:val="2A7F564C"/>
    <w:rsid w:val="2A845C9F"/>
    <w:rsid w:val="2A902911"/>
    <w:rsid w:val="2A9F7332"/>
    <w:rsid w:val="2AA37ACA"/>
    <w:rsid w:val="2AB3AB46"/>
    <w:rsid w:val="2AD5595E"/>
    <w:rsid w:val="2AD58D8D"/>
    <w:rsid w:val="2AFB969D"/>
    <w:rsid w:val="2B057CFA"/>
    <w:rsid w:val="2B08462A"/>
    <w:rsid w:val="2B0D7625"/>
    <w:rsid w:val="2B0DB072"/>
    <w:rsid w:val="2B11B29C"/>
    <w:rsid w:val="2B1411C2"/>
    <w:rsid w:val="2B2673FC"/>
    <w:rsid w:val="2B2DCD64"/>
    <w:rsid w:val="2B394335"/>
    <w:rsid w:val="2B58B793"/>
    <w:rsid w:val="2B63DAAA"/>
    <w:rsid w:val="2B659CCD"/>
    <w:rsid w:val="2B682408"/>
    <w:rsid w:val="2B696F38"/>
    <w:rsid w:val="2B723BD2"/>
    <w:rsid w:val="2B788A0D"/>
    <w:rsid w:val="2B879585"/>
    <w:rsid w:val="2BBCA205"/>
    <w:rsid w:val="2BBD7188"/>
    <w:rsid w:val="2BBDB998"/>
    <w:rsid w:val="2BC61C3F"/>
    <w:rsid w:val="2BD454A7"/>
    <w:rsid w:val="2BE4F35B"/>
    <w:rsid w:val="2BE98DA4"/>
    <w:rsid w:val="2BEB4E43"/>
    <w:rsid w:val="2BEB7FA8"/>
    <w:rsid w:val="2BF18A9B"/>
    <w:rsid w:val="2BF5413A"/>
    <w:rsid w:val="2BF87684"/>
    <w:rsid w:val="2BFAE9FD"/>
    <w:rsid w:val="2BFC37DC"/>
    <w:rsid w:val="2BFC41D3"/>
    <w:rsid w:val="2BFF8231"/>
    <w:rsid w:val="2C023C9B"/>
    <w:rsid w:val="2C051070"/>
    <w:rsid w:val="2C063F65"/>
    <w:rsid w:val="2C149767"/>
    <w:rsid w:val="2C1A4D47"/>
    <w:rsid w:val="2C2C465C"/>
    <w:rsid w:val="2C352CB5"/>
    <w:rsid w:val="2C35A85B"/>
    <w:rsid w:val="2C3DE53B"/>
    <w:rsid w:val="2C3F55C6"/>
    <w:rsid w:val="2C40BFFF"/>
    <w:rsid w:val="2C5A69DF"/>
    <w:rsid w:val="2C5B29BB"/>
    <w:rsid w:val="2C688F8E"/>
    <w:rsid w:val="2C7EB941"/>
    <w:rsid w:val="2C91E9D8"/>
    <w:rsid w:val="2C9723AC"/>
    <w:rsid w:val="2CAD698A"/>
    <w:rsid w:val="2CB5AFA1"/>
    <w:rsid w:val="2CC88BD6"/>
    <w:rsid w:val="2CCB051E"/>
    <w:rsid w:val="2CD0F28D"/>
    <w:rsid w:val="2CDE1994"/>
    <w:rsid w:val="2CE12EAA"/>
    <w:rsid w:val="2CE1E2E5"/>
    <w:rsid w:val="2CE543A2"/>
    <w:rsid w:val="2CE74CE2"/>
    <w:rsid w:val="2CEEA606"/>
    <w:rsid w:val="2CF197C2"/>
    <w:rsid w:val="2CFD2E5E"/>
    <w:rsid w:val="2D021D1E"/>
    <w:rsid w:val="2D0D21CD"/>
    <w:rsid w:val="2D25E36B"/>
    <w:rsid w:val="2D263960"/>
    <w:rsid w:val="2D275403"/>
    <w:rsid w:val="2D2D4A25"/>
    <w:rsid w:val="2D36AF02"/>
    <w:rsid w:val="2D4A05A8"/>
    <w:rsid w:val="2D59C80E"/>
    <w:rsid w:val="2D718DC5"/>
    <w:rsid w:val="2D7B66C0"/>
    <w:rsid w:val="2D89FD34"/>
    <w:rsid w:val="2D8FB28F"/>
    <w:rsid w:val="2D97110B"/>
    <w:rsid w:val="2DA85462"/>
    <w:rsid w:val="2DAAB9C8"/>
    <w:rsid w:val="2DAAF05C"/>
    <w:rsid w:val="2DB3DDEA"/>
    <w:rsid w:val="2DDCE2A1"/>
    <w:rsid w:val="2DE3CB6D"/>
    <w:rsid w:val="2DF0217B"/>
    <w:rsid w:val="2DF1F349"/>
    <w:rsid w:val="2DF60232"/>
    <w:rsid w:val="2DFDA0E2"/>
    <w:rsid w:val="2E0304DD"/>
    <w:rsid w:val="2E081C1D"/>
    <w:rsid w:val="2E2B65F0"/>
    <w:rsid w:val="2E30A01A"/>
    <w:rsid w:val="2E3505E7"/>
    <w:rsid w:val="2E3571DF"/>
    <w:rsid w:val="2E49B87D"/>
    <w:rsid w:val="2E57EE93"/>
    <w:rsid w:val="2E62DEDD"/>
    <w:rsid w:val="2E682D3C"/>
    <w:rsid w:val="2E816AAE"/>
    <w:rsid w:val="2E8BFCF4"/>
    <w:rsid w:val="2EAA9990"/>
    <w:rsid w:val="2ECA4367"/>
    <w:rsid w:val="2ECBAFEA"/>
    <w:rsid w:val="2ECC6462"/>
    <w:rsid w:val="2EDB93BF"/>
    <w:rsid w:val="2EDD83DE"/>
    <w:rsid w:val="2EDDE885"/>
    <w:rsid w:val="2EEEA978"/>
    <w:rsid w:val="2EF34FF1"/>
    <w:rsid w:val="2EF37BC8"/>
    <w:rsid w:val="2EFB4BA7"/>
    <w:rsid w:val="2EFC71F2"/>
    <w:rsid w:val="2EFD0291"/>
    <w:rsid w:val="2F0F7CA2"/>
    <w:rsid w:val="2F1DCBE2"/>
    <w:rsid w:val="2F23D167"/>
    <w:rsid w:val="2F26B742"/>
    <w:rsid w:val="2F3AE2C5"/>
    <w:rsid w:val="2F437DBF"/>
    <w:rsid w:val="2F4928C8"/>
    <w:rsid w:val="2F7188D5"/>
    <w:rsid w:val="2F7E38C2"/>
    <w:rsid w:val="2F81D9A0"/>
    <w:rsid w:val="2F823FD8"/>
    <w:rsid w:val="2F895D4B"/>
    <w:rsid w:val="2F9E3ADC"/>
    <w:rsid w:val="2FA064E5"/>
    <w:rsid w:val="2FA12842"/>
    <w:rsid w:val="2FAF50D1"/>
    <w:rsid w:val="2FB46D6A"/>
    <w:rsid w:val="2FBA9C17"/>
    <w:rsid w:val="2FCB4EDB"/>
    <w:rsid w:val="2FCCFE8C"/>
    <w:rsid w:val="2FD063B8"/>
    <w:rsid w:val="2FD2F240"/>
    <w:rsid w:val="2FDCBD64"/>
    <w:rsid w:val="2FDF2266"/>
    <w:rsid w:val="2FE3CF14"/>
    <w:rsid w:val="2FEBC7D6"/>
    <w:rsid w:val="2FEE4D77"/>
    <w:rsid w:val="3000D807"/>
    <w:rsid w:val="300668BF"/>
    <w:rsid w:val="300F7E1D"/>
    <w:rsid w:val="3017BBBB"/>
    <w:rsid w:val="301E2CCC"/>
    <w:rsid w:val="3047A49A"/>
    <w:rsid w:val="306AF44B"/>
    <w:rsid w:val="308EDF6E"/>
    <w:rsid w:val="30940FED"/>
    <w:rsid w:val="30967FE7"/>
    <w:rsid w:val="30A6AE32"/>
    <w:rsid w:val="30C145BE"/>
    <w:rsid w:val="30C67BF8"/>
    <w:rsid w:val="30D304CD"/>
    <w:rsid w:val="30DAC790"/>
    <w:rsid w:val="30E5507A"/>
    <w:rsid w:val="30E77B9A"/>
    <w:rsid w:val="30F398F4"/>
    <w:rsid w:val="310109A8"/>
    <w:rsid w:val="3111F1AC"/>
    <w:rsid w:val="311531C1"/>
    <w:rsid w:val="311EAD1E"/>
    <w:rsid w:val="312CFC20"/>
    <w:rsid w:val="3130F414"/>
    <w:rsid w:val="314632E1"/>
    <w:rsid w:val="315F9217"/>
    <w:rsid w:val="3169EA04"/>
    <w:rsid w:val="3174292D"/>
    <w:rsid w:val="31796023"/>
    <w:rsid w:val="317F449A"/>
    <w:rsid w:val="31A1A22E"/>
    <w:rsid w:val="31AD0ED1"/>
    <w:rsid w:val="31ADBC68"/>
    <w:rsid w:val="31AF57F5"/>
    <w:rsid w:val="31C3F88A"/>
    <w:rsid w:val="31FF2D55"/>
    <w:rsid w:val="3216A3E0"/>
    <w:rsid w:val="3226994A"/>
    <w:rsid w:val="322AB035"/>
    <w:rsid w:val="32316DD8"/>
    <w:rsid w:val="32318EDC"/>
    <w:rsid w:val="323277A2"/>
    <w:rsid w:val="3232BE42"/>
    <w:rsid w:val="3234CCB5"/>
    <w:rsid w:val="3235D1A2"/>
    <w:rsid w:val="326EE8FC"/>
    <w:rsid w:val="327E16EB"/>
    <w:rsid w:val="32811E04"/>
    <w:rsid w:val="32821125"/>
    <w:rsid w:val="3283F9FA"/>
    <w:rsid w:val="328E6F76"/>
    <w:rsid w:val="329639E5"/>
    <w:rsid w:val="3297A195"/>
    <w:rsid w:val="329E4652"/>
    <w:rsid w:val="329E5012"/>
    <w:rsid w:val="32A07E67"/>
    <w:rsid w:val="32A21643"/>
    <w:rsid w:val="32A833EF"/>
    <w:rsid w:val="32B0C91A"/>
    <w:rsid w:val="32BD2E12"/>
    <w:rsid w:val="32BF0249"/>
    <w:rsid w:val="32D53BA4"/>
    <w:rsid w:val="32D6836D"/>
    <w:rsid w:val="32DE1F2E"/>
    <w:rsid w:val="32E06F7A"/>
    <w:rsid w:val="32E08C18"/>
    <w:rsid w:val="32F53C1F"/>
    <w:rsid w:val="32F7A163"/>
    <w:rsid w:val="32FCF764"/>
    <w:rsid w:val="33032E11"/>
    <w:rsid w:val="330A94B5"/>
    <w:rsid w:val="330C0237"/>
    <w:rsid w:val="33111410"/>
    <w:rsid w:val="331ADBDB"/>
    <w:rsid w:val="333AC41C"/>
    <w:rsid w:val="334816F0"/>
    <w:rsid w:val="336CB52D"/>
    <w:rsid w:val="337FB351"/>
    <w:rsid w:val="3395A0B8"/>
    <w:rsid w:val="33A61FA0"/>
    <w:rsid w:val="33B7D97E"/>
    <w:rsid w:val="33B8AB99"/>
    <w:rsid w:val="33C3D135"/>
    <w:rsid w:val="33CF4ADA"/>
    <w:rsid w:val="33DFD070"/>
    <w:rsid w:val="33F7D3BC"/>
    <w:rsid w:val="34026E74"/>
    <w:rsid w:val="340409A1"/>
    <w:rsid w:val="34042853"/>
    <w:rsid w:val="341A50A0"/>
    <w:rsid w:val="341ADA3C"/>
    <w:rsid w:val="3426C852"/>
    <w:rsid w:val="342A853D"/>
    <w:rsid w:val="344F801C"/>
    <w:rsid w:val="3451C9FD"/>
    <w:rsid w:val="347B4FE7"/>
    <w:rsid w:val="3480653F"/>
    <w:rsid w:val="348FC118"/>
    <w:rsid w:val="349A9A44"/>
    <w:rsid w:val="34A440A4"/>
    <w:rsid w:val="34B86175"/>
    <w:rsid w:val="34B8B088"/>
    <w:rsid w:val="34C54C51"/>
    <w:rsid w:val="34CA3C27"/>
    <w:rsid w:val="34CCC9E8"/>
    <w:rsid w:val="34D232D7"/>
    <w:rsid w:val="34DA2711"/>
    <w:rsid w:val="34DCF40F"/>
    <w:rsid w:val="34E84518"/>
    <w:rsid w:val="34ECB29B"/>
    <w:rsid w:val="34EEC2B8"/>
    <w:rsid w:val="34EF727B"/>
    <w:rsid w:val="34FE8E08"/>
    <w:rsid w:val="34FE9865"/>
    <w:rsid w:val="351372E7"/>
    <w:rsid w:val="35261DE5"/>
    <w:rsid w:val="352813AF"/>
    <w:rsid w:val="352E9ED6"/>
    <w:rsid w:val="3534F6D9"/>
    <w:rsid w:val="35389252"/>
    <w:rsid w:val="353DDBC6"/>
    <w:rsid w:val="354DE5F8"/>
    <w:rsid w:val="355D9A5A"/>
    <w:rsid w:val="3569E604"/>
    <w:rsid w:val="356E057E"/>
    <w:rsid w:val="357BC3FA"/>
    <w:rsid w:val="357FDF6E"/>
    <w:rsid w:val="35826A25"/>
    <w:rsid w:val="3588DB74"/>
    <w:rsid w:val="3595EA7A"/>
    <w:rsid w:val="3599F819"/>
    <w:rsid w:val="35AC6EA3"/>
    <w:rsid w:val="35B1EACA"/>
    <w:rsid w:val="35C24E8D"/>
    <w:rsid w:val="35DB5359"/>
    <w:rsid w:val="35E248C4"/>
    <w:rsid w:val="35F3E4A8"/>
    <w:rsid w:val="35FD7067"/>
    <w:rsid w:val="35FE47D2"/>
    <w:rsid w:val="36075E2F"/>
    <w:rsid w:val="360BCCE5"/>
    <w:rsid w:val="360D96AF"/>
    <w:rsid w:val="360E55E7"/>
    <w:rsid w:val="362D3E7F"/>
    <w:rsid w:val="364FF035"/>
    <w:rsid w:val="36538735"/>
    <w:rsid w:val="3682F52B"/>
    <w:rsid w:val="36851309"/>
    <w:rsid w:val="36857DBD"/>
    <w:rsid w:val="369B61A0"/>
    <w:rsid w:val="36AFB298"/>
    <w:rsid w:val="36BEB87B"/>
    <w:rsid w:val="36DCEBB5"/>
    <w:rsid w:val="36E32BEB"/>
    <w:rsid w:val="36E68C36"/>
    <w:rsid w:val="36EB65B7"/>
    <w:rsid w:val="36F52D95"/>
    <w:rsid w:val="370AB8EE"/>
    <w:rsid w:val="3722C57C"/>
    <w:rsid w:val="37417FCF"/>
    <w:rsid w:val="37530851"/>
    <w:rsid w:val="375B49B3"/>
    <w:rsid w:val="37720062"/>
    <w:rsid w:val="37864B45"/>
    <w:rsid w:val="37B1C6F7"/>
    <w:rsid w:val="37BEE7EC"/>
    <w:rsid w:val="37C18C04"/>
    <w:rsid w:val="37E708BE"/>
    <w:rsid w:val="37EEA3F4"/>
    <w:rsid w:val="37EF119A"/>
    <w:rsid w:val="37F1175C"/>
    <w:rsid w:val="37F1D348"/>
    <w:rsid w:val="37F72B2D"/>
    <w:rsid w:val="38045564"/>
    <w:rsid w:val="3807F28E"/>
    <w:rsid w:val="38168799"/>
    <w:rsid w:val="382129ED"/>
    <w:rsid w:val="382487D9"/>
    <w:rsid w:val="38307244"/>
    <w:rsid w:val="383712E3"/>
    <w:rsid w:val="383B9157"/>
    <w:rsid w:val="383E357C"/>
    <w:rsid w:val="384AB076"/>
    <w:rsid w:val="384CFB7E"/>
    <w:rsid w:val="385B32D2"/>
    <w:rsid w:val="3862FA2E"/>
    <w:rsid w:val="3863E34B"/>
    <w:rsid w:val="387760CC"/>
    <w:rsid w:val="38783F62"/>
    <w:rsid w:val="388ADA88"/>
    <w:rsid w:val="3894889D"/>
    <w:rsid w:val="38A46415"/>
    <w:rsid w:val="38AC46C6"/>
    <w:rsid w:val="38AF4D41"/>
    <w:rsid w:val="38B17DF5"/>
    <w:rsid w:val="38B3A54D"/>
    <w:rsid w:val="38CEDAC5"/>
    <w:rsid w:val="38E1004D"/>
    <w:rsid w:val="38E3111B"/>
    <w:rsid w:val="38E660C7"/>
    <w:rsid w:val="38F53E6B"/>
    <w:rsid w:val="38FA12BF"/>
    <w:rsid w:val="38FCE81A"/>
    <w:rsid w:val="39021067"/>
    <w:rsid w:val="39040DBF"/>
    <w:rsid w:val="3913ED9F"/>
    <w:rsid w:val="39196605"/>
    <w:rsid w:val="391DEE8C"/>
    <w:rsid w:val="39307895"/>
    <w:rsid w:val="393D5638"/>
    <w:rsid w:val="3940DCFA"/>
    <w:rsid w:val="3943825D"/>
    <w:rsid w:val="394B8630"/>
    <w:rsid w:val="394BCE8B"/>
    <w:rsid w:val="394CDFD7"/>
    <w:rsid w:val="39501FE0"/>
    <w:rsid w:val="3955E6AB"/>
    <w:rsid w:val="395D49A4"/>
    <w:rsid w:val="395EDAC6"/>
    <w:rsid w:val="39687181"/>
    <w:rsid w:val="39799DFD"/>
    <w:rsid w:val="397B24C9"/>
    <w:rsid w:val="3983789A"/>
    <w:rsid w:val="39957719"/>
    <w:rsid w:val="3997EBBA"/>
    <w:rsid w:val="39A03F19"/>
    <w:rsid w:val="39B081ED"/>
    <w:rsid w:val="39B0F51D"/>
    <w:rsid w:val="39B2707B"/>
    <w:rsid w:val="39B39A5B"/>
    <w:rsid w:val="39C07DB8"/>
    <w:rsid w:val="39C40C6D"/>
    <w:rsid w:val="39C5A1EB"/>
    <w:rsid w:val="39D2E248"/>
    <w:rsid w:val="39D4DDB3"/>
    <w:rsid w:val="39F07F23"/>
    <w:rsid w:val="39F0C730"/>
    <w:rsid w:val="39F849FE"/>
    <w:rsid w:val="3A0331EC"/>
    <w:rsid w:val="3A1B2C1B"/>
    <w:rsid w:val="3A1D25C0"/>
    <w:rsid w:val="3A2E08DD"/>
    <w:rsid w:val="3A305181"/>
    <w:rsid w:val="3A30A7D7"/>
    <w:rsid w:val="3A3A1E00"/>
    <w:rsid w:val="3A3D69FB"/>
    <w:rsid w:val="3A4310DA"/>
    <w:rsid w:val="3A4B090C"/>
    <w:rsid w:val="3A4E5328"/>
    <w:rsid w:val="3A61E111"/>
    <w:rsid w:val="3A62B946"/>
    <w:rsid w:val="3A6C654E"/>
    <w:rsid w:val="3A73ECF8"/>
    <w:rsid w:val="3A77E9A8"/>
    <w:rsid w:val="3A782CDA"/>
    <w:rsid w:val="3A7AB700"/>
    <w:rsid w:val="3A7E1F75"/>
    <w:rsid w:val="3A8C3C1E"/>
    <w:rsid w:val="3A915526"/>
    <w:rsid w:val="3A97A5E7"/>
    <w:rsid w:val="3A9A4901"/>
    <w:rsid w:val="3ABB0F9A"/>
    <w:rsid w:val="3AC86439"/>
    <w:rsid w:val="3AE8A158"/>
    <w:rsid w:val="3AF056BA"/>
    <w:rsid w:val="3AF3C8DB"/>
    <w:rsid w:val="3AF665FA"/>
    <w:rsid w:val="3B066F46"/>
    <w:rsid w:val="3B12A442"/>
    <w:rsid w:val="3B15B77D"/>
    <w:rsid w:val="3B1A60EA"/>
    <w:rsid w:val="3B245609"/>
    <w:rsid w:val="3B26D8E6"/>
    <w:rsid w:val="3B27276A"/>
    <w:rsid w:val="3B39D9DC"/>
    <w:rsid w:val="3B3FE4E7"/>
    <w:rsid w:val="3B4EFA90"/>
    <w:rsid w:val="3B57DBAF"/>
    <w:rsid w:val="3B779C6C"/>
    <w:rsid w:val="3B83D926"/>
    <w:rsid w:val="3B9275C1"/>
    <w:rsid w:val="3B9D58AC"/>
    <w:rsid w:val="3B9EF1AF"/>
    <w:rsid w:val="3BAB1611"/>
    <w:rsid w:val="3BC72596"/>
    <w:rsid w:val="3BD541AC"/>
    <w:rsid w:val="3BD62891"/>
    <w:rsid w:val="3BDF54C4"/>
    <w:rsid w:val="3BEB7798"/>
    <w:rsid w:val="3BEC2D9F"/>
    <w:rsid w:val="3BEE75EE"/>
    <w:rsid w:val="3BF100C8"/>
    <w:rsid w:val="3BF8F34E"/>
    <w:rsid w:val="3C0D8DDD"/>
    <w:rsid w:val="3C12DBD4"/>
    <w:rsid w:val="3C2E6BD2"/>
    <w:rsid w:val="3C3129CB"/>
    <w:rsid w:val="3C3309E1"/>
    <w:rsid w:val="3C5226DB"/>
    <w:rsid w:val="3C5C42F6"/>
    <w:rsid w:val="3C80B057"/>
    <w:rsid w:val="3C8311F0"/>
    <w:rsid w:val="3C836D2A"/>
    <w:rsid w:val="3C89B1DB"/>
    <w:rsid w:val="3CA9045A"/>
    <w:rsid w:val="3CAA9E09"/>
    <w:rsid w:val="3CAFE543"/>
    <w:rsid w:val="3CB9E567"/>
    <w:rsid w:val="3CC2AAEF"/>
    <w:rsid w:val="3CC6E392"/>
    <w:rsid w:val="3CCD68F3"/>
    <w:rsid w:val="3CCE0FAB"/>
    <w:rsid w:val="3CD5C9F3"/>
    <w:rsid w:val="3CE28335"/>
    <w:rsid w:val="3CF2FE13"/>
    <w:rsid w:val="3CF462C8"/>
    <w:rsid w:val="3CFD2F34"/>
    <w:rsid w:val="3D02B24C"/>
    <w:rsid w:val="3D052A7A"/>
    <w:rsid w:val="3D109366"/>
    <w:rsid w:val="3D1645DE"/>
    <w:rsid w:val="3D16A29F"/>
    <w:rsid w:val="3D269DC8"/>
    <w:rsid w:val="3D282A8A"/>
    <w:rsid w:val="3D294DC3"/>
    <w:rsid w:val="3D2BF7E7"/>
    <w:rsid w:val="3D5D8B7F"/>
    <w:rsid w:val="3D62A1FE"/>
    <w:rsid w:val="3D83272A"/>
    <w:rsid w:val="3D9DB5A9"/>
    <w:rsid w:val="3DAFA118"/>
    <w:rsid w:val="3DB2119D"/>
    <w:rsid w:val="3DCA43F7"/>
    <w:rsid w:val="3DD211A6"/>
    <w:rsid w:val="3DEF743E"/>
    <w:rsid w:val="3DF4C067"/>
    <w:rsid w:val="3E0D19FD"/>
    <w:rsid w:val="3E598FFF"/>
    <w:rsid w:val="3E69DBE5"/>
    <w:rsid w:val="3E6E1F91"/>
    <w:rsid w:val="3E7A27B2"/>
    <w:rsid w:val="3E7A7313"/>
    <w:rsid w:val="3E815488"/>
    <w:rsid w:val="3E8B5191"/>
    <w:rsid w:val="3E92D503"/>
    <w:rsid w:val="3E94D568"/>
    <w:rsid w:val="3EA17218"/>
    <w:rsid w:val="3EA371E6"/>
    <w:rsid w:val="3EAB94A9"/>
    <w:rsid w:val="3EBD0361"/>
    <w:rsid w:val="3ECBCCCF"/>
    <w:rsid w:val="3ECEEB5F"/>
    <w:rsid w:val="3ED6AE49"/>
    <w:rsid w:val="3ED90C0A"/>
    <w:rsid w:val="3EE24530"/>
    <w:rsid w:val="3EE98849"/>
    <w:rsid w:val="3EF70BE5"/>
    <w:rsid w:val="3F0147B8"/>
    <w:rsid w:val="3F11BE3B"/>
    <w:rsid w:val="3F141E81"/>
    <w:rsid w:val="3F23F216"/>
    <w:rsid w:val="3F244893"/>
    <w:rsid w:val="3F2FBF5D"/>
    <w:rsid w:val="3F3E1998"/>
    <w:rsid w:val="3F59C7D3"/>
    <w:rsid w:val="3F5A2C0B"/>
    <w:rsid w:val="3F61BC08"/>
    <w:rsid w:val="3F69BAEB"/>
    <w:rsid w:val="3F783308"/>
    <w:rsid w:val="3F7A3D06"/>
    <w:rsid w:val="3F7AA215"/>
    <w:rsid w:val="3F7AB1B2"/>
    <w:rsid w:val="3F82824C"/>
    <w:rsid w:val="3F8AB9A3"/>
    <w:rsid w:val="3F91425F"/>
    <w:rsid w:val="3F97261F"/>
    <w:rsid w:val="3FB1D7F1"/>
    <w:rsid w:val="3FB313A8"/>
    <w:rsid w:val="3FBB43DD"/>
    <w:rsid w:val="3FC7C32A"/>
    <w:rsid w:val="3FCE734D"/>
    <w:rsid w:val="3FCFFCAC"/>
    <w:rsid w:val="3FE3ED54"/>
    <w:rsid w:val="3FEA1DE3"/>
    <w:rsid w:val="3FEB01F9"/>
    <w:rsid w:val="3FFA86B1"/>
    <w:rsid w:val="40012C39"/>
    <w:rsid w:val="40035F14"/>
    <w:rsid w:val="4014A3A4"/>
    <w:rsid w:val="401B4B3C"/>
    <w:rsid w:val="401B9903"/>
    <w:rsid w:val="401EB8FD"/>
    <w:rsid w:val="40234308"/>
    <w:rsid w:val="402CECC8"/>
    <w:rsid w:val="40396633"/>
    <w:rsid w:val="403D8064"/>
    <w:rsid w:val="4040E5B6"/>
    <w:rsid w:val="40429E2E"/>
    <w:rsid w:val="405ED103"/>
    <w:rsid w:val="4063E42D"/>
    <w:rsid w:val="406A53FC"/>
    <w:rsid w:val="407017E8"/>
    <w:rsid w:val="40776984"/>
    <w:rsid w:val="4085D2F6"/>
    <w:rsid w:val="408E0EE7"/>
    <w:rsid w:val="408FBA6F"/>
    <w:rsid w:val="40A8775C"/>
    <w:rsid w:val="40A9D43B"/>
    <w:rsid w:val="40BDE80F"/>
    <w:rsid w:val="40C11D4D"/>
    <w:rsid w:val="40CA3D55"/>
    <w:rsid w:val="40D31517"/>
    <w:rsid w:val="40DC315C"/>
    <w:rsid w:val="40EA3318"/>
    <w:rsid w:val="40EDD321"/>
    <w:rsid w:val="410A9307"/>
    <w:rsid w:val="41166588"/>
    <w:rsid w:val="412C7880"/>
    <w:rsid w:val="413A1BD0"/>
    <w:rsid w:val="414375C8"/>
    <w:rsid w:val="4147C077"/>
    <w:rsid w:val="4158E86C"/>
    <w:rsid w:val="415B4582"/>
    <w:rsid w:val="4160DD83"/>
    <w:rsid w:val="416E998B"/>
    <w:rsid w:val="417D23F4"/>
    <w:rsid w:val="41815224"/>
    <w:rsid w:val="418932E1"/>
    <w:rsid w:val="419CE524"/>
    <w:rsid w:val="41AA2460"/>
    <w:rsid w:val="41B16D42"/>
    <w:rsid w:val="41D5DDA7"/>
    <w:rsid w:val="41E6D439"/>
    <w:rsid w:val="41F2D0D9"/>
    <w:rsid w:val="41F3AC79"/>
    <w:rsid w:val="4214A89B"/>
    <w:rsid w:val="421A4BB7"/>
    <w:rsid w:val="422AF2B3"/>
    <w:rsid w:val="422E81E6"/>
    <w:rsid w:val="42524F04"/>
    <w:rsid w:val="4259318D"/>
    <w:rsid w:val="42596945"/>
    <w:rsid w:val="425A26D2"/>
    <w:rsid w:val="42A7059A"/>
    <w:rsid w:val="42AFC966"/>
    <w:rsid w:val="42B416A1"/>
    <w:rsid w:val="42C94E84"/>
    <w:rsid w:val="42CC64DE"/>
    <w:rsid w:val="42D0D1A3"/>
    <w:rsid w:val="42D88687"/>
    <w:rsid w:val="42DEE2D3"/>
    <w:rsid w:val="42F11B70"/>
    <w:rsid w:val="42F7E28F"/>
    <w:rsid w:val="42F7F453"/>
    <w:rsid w:val="43032372"/>
    <w:rsid w:val="43148035"/>
    <w:rsid w:val="4328669D"/>
    <w:rsid w:val="43301733"/>
    <w:rsid w:val="43327A5D"/>
    <w:rsid w:val="4333E12E"/>
    <w:rsid w:val="4334C64D"/>
    <w:rsid w:val="43366CB9"/>
    <w:rsid w:val="434121E2"/>
    <w:rsid w:val="43474B26"/>
    <w:rsid w:val="4353DBEF"/>
    <w:rsid w:val="4365D6BF"/>
    <w:rsid w:val="436CD6C5"/>
    <w:rsid w:val="436FFA8F"/>
    <w:rsid w:val="43908C65"/>
    <w:rsid w:val="43996755"/>
    <w:rsid w:val="43AD49AE"/>
    <w:rsid w:val="43BBB68E"/>
    <w:rsid w:val="43DFB10C"/>
    <w:rsid w:val="43EA29ED"/>
    <w:rsid w:val="43F4EC30"/>
    <w:rsid w:val="43FD0417"/>
    <w:rsid w:val="4408F729"/>
    <w:rsid w:val="440BA4FF"/>
    <w:rsid w:val="440FD93E"/>
    <w:rsid w:val="4410D1C0"/>
    <w:rsid w:val="442923AB"/>
    <w:rsid w:val="4436A5C1"/>
    <w:rsid w:val="443CE46A"/>
    <w:rsid w:val="44514833"/>
    <w:rsid w:val="44529454"/>
    <w:rsid w:val="445371E7"/>
    <w:rsid w:val="44698782"/>
    <w:rsid w:val="4479382B"/>
    <w:rsid w:val="447D9C61"/>
    <w:rsid w:val="448B0136"/>
    <w:rsid w:val="4494C868"/>
    <w:rsid w:val="4497971A"/>
    <w:rsid w:val="44A31C48"/>
    <w:rsid w:val="44A51707"/>
    <w:rsid w:val="44AA226A"/>
    <w:rsid w:val="44B03B1D"/>
    <w:rsid w:val="44B7BE02"/>
    <w:rsid w:val="44C44FB6"/>
    <w:rsid w:val="44CD8591"/>
    <w:rsid w:val="44DD740F"/>
    <w:rsid w:val="44E48EA9"/>
    <w:rsid w:val="44ECE4D4"/>
    <w:rsid w:val="44ED10F0"/>
    <w:rsid w:val="44ED586C"/>
    <w:rsid w:val="44F0E059"/>
    <w:rsid w:val="44F441A3"/>
    <w:rsid w:val="44F66F69"/>
    <w:rsid w:val="44F805F6"/>
    <w:rsid w:val="44FA0BC8"/>
    <w:rsid w:val="45048757"/>
    <w:rsid w:val="450827E2"/>
    <w:rsid w:val="450AC658"/>
    <w:rsid w:val="452991AC"/>
    <w:rsid w:val="453406D9"/>
    <w:rsid w:val="454411CD"/>
    <w:rsid w:val="45471492"/>
    <w:rsid w:val="454A39E8"/>
    <w:rsid w:val="454D7597"/>
    <w:rsid w:val="4554F4FE"/>
    <w:rsid w:val="4556C794"/>
    <w:rsid w:val="45698D6B"/>
    <w:rsid w:val="4573945A"/>
    <w:rsid w:val="4590FA8B"/>
    <w:rsid w:val="45985030"/>
    <w:rsid w:val="45A2AE11"/>
    <w:rsid w:val="45C0F103"/>
    <w:rsid w:val="45D4924C"/>
    <w:rsid w:val="45D68B58"/>
    <w:rsid w:val="45E3D42D"/>
    <w:rsid w:val="45F85F19"/>
    <w:rsid w:val="45FEF98A"/>
    <w:rsid w:val="46112761"/>
    <w:rsid w:val="46143D85"/>
    <w:rsid w:val="46165816"/>
    <w:rsid w:val="4616CF1B"/>
    <w:rsid w:val="4617A0A2"/>
    <w:rsid w:val="46185BBD"/>
    <w:rsid w:val="46197CF1"/>
    <w:rsid w:val="4620E1FD"/>
    <w:rsid w:val="4625564F"/>
    <w:rsid w:val="46486854"/>
    <w:rsid w:val="465BA140"/>
    <w:rsid w:val="465BF24E"/>
    <w:rsid w:val="46751E12"/>
    <w:rsid w:val="46752B46"/>
    <w:rsid w:val="4675E608"/>
    <w:rsid w:val="467D83A1"/>
    <w:rsid w:val="46B12058"/>
    <w:rsid w:val="46BD1A1F"/>
    <w:rsid w:val="46C0677A"/>
    <w:rsid w:val="46CA1389"/>
    <w:rsid w:val="46EC8BE8"/>
    <w:rsid w:val="46F6FDE8"/>
    <w:rsid w:val="4704EA69"/>
    <w:rsid w:val="4707515C"/>
    <w:rsid w:val="470D9994"/>
    <w:rsid w:val="47108523"/>
    <w:rsid w:val="471761C1"/>
    <w:rsid w:val="471E1181"/>
    <w:rsid w:val="472011A4"/>
    <w:rsid w:val="472F78CA"/>
    <w:rsid w:val="472FC235"/>
    <w:rsid w:val="4734F591"/>
    <w:rsid w:val="474048B5"/>
    <w:rsid w:val="4747FF42"/>
    <w:rsid w:val="475A1F7F"/>
    <w:rsid w:val="475CA23C"/>
    <w:rsid w:val="4760F255"/>
    <w:rsid w:val="476652B8"/>
    <w:rsid w:val="476689EF"/>
    <w:rsid w:val="476FB563"/>
    <w:rsid w:val="47767D24"/>
    <w:rsid w:val="477BC13B"/>
    <w:rsid w:val="47816F9D"/>
    <w:rsid w:val="47A333E5"/>
    <w:rsid w:val="47D688BD"/>
    <w:rsid w:val="47D841BA"/>
    <w:rsid w:val="47DDEC62"/>
    <w:rsid w:val="47EA5CEA"/>
    <w:rsid w:val="47EF92E3"/>
    <w:rsid w:val="47FBAB5A"/>
    <w:rsid w:val="47FC7C11"/>
    <w:rsid w:val="480CCE51"/>
    <w:rsid w:val="4819B8FC"/>
    <w:rsid w:val="481EFA11"/>
    <w:rsid w:val="48255A33"/>
    <w:rsid w:val="482ADAB0"/>
    <w:rsid w:val="4836629D"/>
    <w:rsid w:val="484D8A4D"/>
    <w:rsid w:val="4862B89C"/>
    <w:rsid w:val="4875DD9B"/>
    <w:rsid w:val="489EDFD3"/>
    <w:rsid w:val="489F290E"/>
    <w:rsid w:val="48ACA832"/>
    <w:rsid w:val="48B86D2A"/>
    <w:rsid w:val="48BC4B97"/>
    <w:rsid w:val="48CEF1A8"/>
    <w:rsid w:val="48D5DF40"/>
    <w:rsid w:val="48DD7507"/>
    <w:rsid w:val="48E1147C"/>
    <w:rsid w:val="48E2583A"/>
    <w:rsid w:val="48FBA4C3"/>
    <w:rsid w:val="492198AA"/>
    <w:rsid w:val="493345B4"/>
    <w:rsid w:val="49464433"/>
    <w:rsid w:val="494F508B"/>
    <w:rsid w:val="49700940"/>
    <w:rsid w:val="49725F27"/>
    <w:rsid w:val="49AAD781"/>
    <w:rsid w:val="49AED12C"/>
    <w:rsid w:val="49B098A1"/>
    <w:rsid w:val="49DB33BD"/>
    <w:rsid w:val="49DF876A"/>
    <w:rsid w:val="49EA0C64"/>
    <w:rsid w:val="49FBE743"/>
    <w:rsid w:val="4A141B8D"/>
    <w:rsid w:val="4A220666"/>
    <w:rsid w:val="4A2218A2"/>
    <w:rsid w:val="4A2B03B5"/>
    <w:rsid w:val="4A4293EB"/>
    <w:rsid w:val="4A6D60A7"/>
    <w:rsid w:val="4A6F0D6C"/>
    <w:rsid w:val="4A9E9264"/>
    <w:rsid w:val="4AA10A0C"/>
    <w:rsid w:val="4AB282DF"/>
    <w:rsid w:val="4AB3EFE9"/>
    <w:rsid w:val="4ABCCEE7"/>
    <w:rsid w:val="4AC7FF8B"/>
    <w:rsid w:val="4AE56145"/>
    <w:rsid w:val="4AF0CC1E"/>
    <w:rsid w:val="4AF1061A"/>
    <w:rsid w:val="4AF5D882"/>
    <w:rsid w:val="4AFA1835"/>
    <w:rsid w:val="4AFAE96B"/>
    <w:rsid w:val="4B1E3DE3"/>
    <w:rsid w:val="4B26A2FD"/>
    <w:rsid w:val="4B28F155"/>
    <w:rsid w:val="4B2C4CEE"/>
    <w:rsid w:val="4B2EEE34"/>
    <w:rsid w:val="4B41433D"/>
    <w:rsid w:val="4B41B81C"/>
    <w:rsid w:val="4B439356"/>
    <w:rsid w:val="4B6EA326"/>
    <w:rsid w:val="4B740172"/>
    <w:rsid w:val="4B7B9F98"/>
    <w:rsid w:val="4B845FE7"/>
    <w:rsid w:val="4B91E0DF"/>
    <w:rsid w:val="4B999A87"/>
    <w:rsid w:val="4B9BD197"/>
    <w:rsid w:val="4B9FC2A2"/>
    <w:rsid w:val="4BA5B65C"/>
    <w:rsid w:val="4BB54689"/>
    <w:rsid w:val="4BC3B328"/>
    <w:rsid w:val="4BCDC59B"/>
    <w:rsid w:val="4BD196EA"/>
    <w:rsid w:val="4BDF5F33"/>
    <w:rsid w:val="4BF2EF0B"/>
    <w:rsid w:val="4BF6A73F"/>
    <w:rsid w:val="4C070699"/>
    <w:rsid w:val="4C0BB76B"/>
    <w:rsid w:val="4C166E5F"/>
    <w:rsid w:val="4C21B156"/>
    <w:rsid w:val="4C29E2F5"/>
    <w:rsid w:val="4C2AC693"/>
    <w:rsid w:val="4C2BE3C6"/>
    <w:rsid w:val="4C60C587"/>
    <w:rsid w:val="4C6142A6"/>
    <w:rsid w:val="4C65EC02"/>
    <w:rsid w:val="4C6BF29A"/>
    <w:rsid w:val="4C7673B5"/>
    <w:rsid w:val="4C87D165"/>
    <w:rsid w:val="4CA69F8E"/>
    <w:rsid w:val="4CBD2D00"/>
    <w:rsid w:val="4CCF6D59"/>
    <w:rsid w:val="4CD184F6"/>
    <w:rsid w:val="4CD5D625"/>
    <w:rsid w:val="4CD63FB6"/>
    <w:rsid w:val="4CDCABB1"/>
    <w:rsid w:val="4CE0B31E"/>
    <w:rsid w:val="4CE1D05A"/>
    <w:rsid w:val="4CE6D0BF"/>
    <w:rsid w:val="4CEBCDC3"/>
    <w:rsid w:val="4CEF53DA"/>
    <w:rsid w:val="4CF06657"/>
    <w:rsid w:val="4CF9759D"/>
    <w:rsid w:val="4CF9C554"/>
    <w:rsid w:val="4D05E152"/>
    <w:rsid w:val="4D0D5A85"/>
    <w:rsid w:val="4D249D3C"/>
    <w:rsid w:val="4D2B1BDF"/>
    <w:rsid w:val="4D2CB6C1"/>
    <w:rsid w:val="4D3DB3EB"/>
    <w:rsid w:val="4D47E796"/>
    <w:rsid w:val="4D5FF7F8"/>
    <w:rsid w:val="4D6700FD"/>
    <w:rsid w:val="4D71CEC6"/>
    <w:rsid w:val="4D765484"/>
    <w:rsid w:val="4D7A99B7"/>
    <w:rsid w:val="4D91D824"/>
    <w:rsid w:val="4D9225A3"/>
    <w:rsid w:val="4D93CB77"/>
    <w:rsid w:val="4D9CC739"/>
    <w:rsid w:val="4DA8519D"/>
    <w:rsid w:val="4DAADF7E"/>
    <w:rsid w:val="4DACA13C"/>
    <w:rsid w:val="4DB06E47"/>
    <w:rsid w:val="4DB43F6C"/>
    <w:rsid w:val="4DC93279"/>
    <w:rsid w:val="4DD27A12"/>
    <w:rsid w:val="4DD7959D"/>
    <w:rsid w:val="4DE327E9"/>
    <w:rsid w:val="4E256C89"/>
    <w:rsid w:val="4E256C89"/>
    <w:rsid w:val="4E271988"/>
    <w:rsid w:val="4E299C17"/>
    <w:rsid w:val="4E3BBB8B"/>
    <w:rsid w:val="4E3E4C79"/>
    <w:rsid w:val="4E488116"/>
    <w:rsid w:val="4E4BF7AB"/>
    <w:rsid w:val="4E5792FC"/>
    <w:rsid w:val="4E62F097"/>
    <w:rsid w:val="4E7CBE9A"/>
    <w:rsid w:val="4E89D957"/>
    <w:rsid w:val="4E8FCF70"/>
    <w:rsid w:val="4E91B1C9"/>
    <w:rsid w:val="4EA0D06E"/>
    <w:rsid w:val="4EA2FB35"/>
    <w:rsid w:val="4EA6EF5A"/>
    <w:rsid w:val="4ED66EFC"/>
    <w:rsid w:val="4EDF4E58"/>
    <w:rsid w:val="4EE96BAE"/>
    <w:rsid w:val="4EEEB91E"/>
    <w:rsid w:val="4EFD0429"/>
    <w:rsid w:val="4F085952"/>
    <w:rsid w:val="4F2B3CD4"/>
    <w:rsid w:val="4F3BD6FA"/>
    <w:rsid w:val="4F3C838A"/>
    <w:rsid w:val="4F414506"/>
    <w:rsid w:val="4F62648F"/>
    <w:rsid w:val="4F65F229"/>
    <w:rsid w:val="4F6A774F"/>
    <w:rsid w:val="4F711FFD"/>
    <w:rsid w:val="4F7F947D"/>
    <w:rsid w:val="4F820109"/>
    <w:rsid w:val="4F8D8CB3"/>
    <w:rsid w:val="4F98A021"/>
    <w:rsid w:val="4F9C4D0F"/>
    <w:rsid w:val="4FA081B5"/>
    <w:rsid w:val="4FB551C8"/>
    <w:rsid w:val="4FC4B11A"/>
    <w:rsid w:val="4FC9DB12"/>
    <w:rsid w:val="4FD9AEFE"/>
    <w:rsid w:val="4FDE9813"/>
    <w:rsid w:val="500BEFD6"/>
    <w:rsid w:val="500BFFD1"/>
    <w:rsid w:val="50121A16"/>
    <w:rsid w:val="501338DF"/>
    <w:rsid w:val="501D3221"/>
    <w:rsid w:val="5038ADE7"/>
    <w:rsid w:val="50390218"/>
    <w:rsid w:val="505E1FE4"/>
    <w:rsid w:val="506C48D3"/>
    <w:rsid w:val="506DC2DB"/>
    <w:rsid w:val="50702260"/>
    <w:rsid w:val="5077D506"/>
    <w:rsid w:val="508225C0"/>
    <w:rsid w:val="50841595"/>
    <w:rsid w:val="50850A58"/>
    <w:rsid w:val="50871025"/>
    <w:rsid w:val="508BA0C6"/>
    <w:rsid w:val="5093165D"/>
    <w:rsid w:val="5097EF75"/>
    <w:rsid w:val="50A9AD18"/>
    <w:rsid w:val="50AC845C"/>
    <w:rsid w:val="50ACD2B7"/>
    <w:rsid w:val="50B67CDB"/>
    <w:rsid w:val="50BC18B0"/>
    <w:rsid w:val="50CD69A0"/>
    <w:rsid w:val="50D1DF2B"/>
    <w:rsid w:val="50F29F68"/>
    <w:rsid w:val="50F32102"/>
    <w:rsid w:val="5100E87F"/>
    <w:rsid w:val="512189BD"/>
    <w:rsid w:val="5124999E"/>
    <w:rsid w:val="5137E66E"/>
    <w:rsid w:val="51470205"/>
    <w:rsid w:val="514A4C8C"/>
    <w:rsid w:val="516E955F"/>
    <w:rsid w:val="516EB8B3"/>
    <w:rsid w:val="51776D52"/>
    <w:rsid w:val="518A3A28"/>
    <w:rsid w:val="519E14C3"/>
    <w:rsid w:val="51B66F31"/>
    <w:rsid w:val="51B84C31"/>
    <w:rsid w:val="51D0FB1C"/>
    <w:rsid w:val="51D37FEF"/>
    <w:rsid w:val="51DF4E41"/>
    <w:rsid w:val="51E0DF08"/>
    <w:rsid w:val="51E4E793"/>
    <w:rsid w:val="51F4A2C1"/>
    <w:rsid w:val="52114E51"/>
    <w:rsid w:val="523DB320"/>
    <w:rsid w:val="52403347"/>
    <w:rsid w:val="524EAF1E"/>
    <w:rsid w:val="52576184"/>
    <w:rsid w:val="5261638D"/>
    <w:rsid w:val="52751B97"/>
    <w:rsid w:val="527CB6C4"/>
    <w:rsid w:val="529636E2"/>
    <w:rsid w:val="52A52C31"/>
    <w:rsid w:val="52B0915B"/>
    <w:rsid w:val="52D6E515"/>
    <w:rsid w:val="52E52F10"/>
    <w:rsid w:val="52ED4336"/>
    <w:rsid w:val="531781A4"/>
    <w:rsid w:val="53267B17"/>
    <w:rsid w:val="533207D6"/>
    <w:rsid w:val="534DAA60"/>
    <w:rsid w:val="53536F8D"/>
    <w:rsid w:val="535667C6"/>
    <w:rsid w:val="5358BBED"/>
    <w:rsid w:val="535A31EF"/>
    <w:rsid w:val="536E0A01"/>
    <w:rsid w:val="5373F74E"/>
    <w:rsid w:val="537BCF76"/>
    <w:rsid w:val="538CFB21"/>
    <w:rsid w:val="53913F84"/>
    <w:rsid w:val="53978238"/>
    <w:rsid w:val="539B0604"/>
    <w:rsid w:val="539FF3C7"/>
    <w:rsid w:val="53AC523C"/>
    <w:rsid w:val="53ACD46D"/>
    <w:rsid w:val="53D0087F"/>
    <w:rsid w:val="53F09E69"/>
    <w:rsid w:val="54068617"/>
    <w:rsid w:val="54130DAF"/>
    <w:rsid w:val="54158FC6"/>
    <w:rsid w:val="541C59C6"/>
    <w:rsid w:val="541C87CB"/>
    <w:rsid w:val="5432BAB7"/>
    <w:rsid w:val="54359578"/>
    <w:rsid w:val="543A3867"/>
    <w:rsid w:val="543FA113"/>
    <w:rsid w:val="5442A2C8"/>
    <w:rsid w:val="5447F4EF"/>
    <w:rsid w:val="54481BD1"/>
    <w:rsid w:val="54499398"/>
    <w:rsid w:val="545E51B5"/>
    <w:rsid w:val="54642813"/>
    <w:rsid w:val="5468C1EA"/>
    <w:rsid w:val="5470748A"/>
    <w:rsid w:val="5475FC5E"/>
    <w:rsid w:val="5479BF28"/>
    <w:rsid w:val="547CEE61"/>
    <w:rsid w:val="5483D44C"/>
    <w:rsid w:val="5495B445"/>
    <w:rsid w:val="54A1DBB6"/>
    <w:rsid w:val="54A59FA4"/>
    <w:rsid w:val="54AAD497"/>
    <w:rsid w:val="54B3C1A1"/>
    <w:rsid w:val="54CFA07C"/>
    <w:rsid w:val="550A5717"/>
    <w:rsid w:val="554E8990"/>
    <w:rsid w:val="55645F2F"/>
    <w:rsid w:val="5575136B"/>
    <w:rsid w:val="5583D53F"/>
    <w:rsid w:val="55961D55"/>
    <w:rsid w:val="55A378C8"/>
    <w:rsid w:val="55BA2F47"/>
    <w:rsid w:val="55CC82F5"/>
    <w:rsid w:val="55DB67AD"/>
    <w:rsid w:val="55DCDC81"/>
    <w:rsid w:val="55DD8A00"/>
    <w:rsid w:val="55ED31A3"/>
    <w:rsid w:val="55F47143"/>
    <w:rsid w:val="56072EC1"/>
    <w:rsid w:val="560D895A"/>
    <w:rsid w:val="561E31FE"/>
    <w:rsid w:val="56321498"/>
    <w:rsid w:val="563D1365"/>
    <w:rsid w:val="564C6D57"/>
    <w:rsid w:val="564DE193"/>
    <w:rsid w:val="5658721D"/>
    <w:rsid w:val="56601758"/>
    <w:rsid w:val="5667616C"/>
    <w:rsid w:val="566EA20F"/>
    <w:rsid w:val="56838874"/>
    <w:rsid w:val="56871A83"/>
    <w:rsid w:val="568F3BB0"/>
    <w:rsid w:val="5694C0C7"/>
    <w:rsid w:val="569F80E2"/>
    <w:rsid w:val="56A85D6E"/>
    <w:rsid w:val="56B1DB67"/>
    <w:rsid w:val="56B42B54"/>
    <w:rsid w:val="56B69F88"/>
    <w:rsid w:val="56C6F4D0"/>
    <w:rsid w:val="56D7A74F"/>
    <w:rsid w:val="56E549DF"/>
    <w:rsid w:val="56E9A961"/>
    <w:rsid w:val="56F83BF0"/>
    <w:rsid w:val="5709F5E4"/>
    <w:rsid w:val="570BFCDC"/>
    <w:rsid w:val="570D7BD7"/>
    <w:rsid w:val="57104225"/>
    <w:rsid w:val="5718DBCE"/>
    <w:rsid w:val="572AFCC4"/>
    <w:rsid w:val="57328CF1"/>
    <w:rsid w:val="57390C4E"/>
    <w:rsid w:val="573CD5CC"/>
    <w:rsid w:val="5779A5CA"/>
    <w:rsid w:val="577B0B48"/>
    <w:rsid w:val="577C5971"/>
    <w:rsid w:val="577F28A9"/>
    <w:rsid w:val="57882695"/>
    <w:rsid w:val="57B9BDDA"/>
    <w:rsid w:val="57BBA5AD"/>
    <w:rsid w:val="57BEB4AB"/>
    <w:rsid w:val="57C1B146"/>
    <w:rsid w:val="57C34E41"/>
    <w:rsid w:val="57D701A9"/>
    <w:rsid w:val="57E353DC"/>
    <w:rsid w:val="57E5FCA7"/>
    <w:rsid w:val="57E81F98"/>
    <w:rsid w:val="57F7FC96"/>
    <w:rsid w:val="57F993AC"/>
    <w:rsid w:val="57F9FFBC"/>
    <w:rsid w:val="581EF3CC"/>
    <w:rsid w:val="582F9279"/>
    <w:rsid w:val="582FB5E4"/>
    <w:rsid w:val="58300389"/>
    <w:rsid w:val="583A5E9E"/>
    <w:rsid w:val="583BE2D7"/>
    <w:rsid w:val="584E8CA1"/>
    <w:rsid w:val="58556C8E"/>
    <w:rsid w:val="585FE3BC"/>
    <w:rsid w:val="5867E7E2"/>
    <w:rsid w:val="58763FBE"/>
    <w:rsid w:val="58797AE6"/>
    <w:rsid w:val="5879F7A9"/>
    <w:rsid w:val="587CE6E4"/>
    <w:rsid w:val="587D1D50"/>
    <w:rsid w:val="589540D9"/>
    <w:rsid w:val="58969C8A"/>
    <w:rsid w:val="5899463C"/>
    <w:rsid w:val="589E7413"/>
    <w:rsid w:val="58A0D71E"/>
    <w:rsid w:val="58A4A284"/>
    <w:rsid w:val="58BC8CE0"/>
    <w:rsid w:val="58D5F356"/>
    <w:rsid w:val="58D7AEAE"/>
    <w:rsid w:val="58E76FDF"/>
    <w:rsid w:val="58FBCC91"/>
    <w:rsid w:val="5904CCD5"/>
    <w:rsid w:val="590F0938"/>
    <w:rsid w:val="59131646"/>
    <w:rsid w:val="591CC161"/>
    <w:rsid w:val="59223F25"/>
    <w:rsid w:val="593089B0"/>
    <w:rsid w:val="5933D99E"/>
    <w:rsid w:val="593EACC6"/>
    <w:rsid w:val="5950AB98"/>
    <w:rsid w:val="59530833"/>
    <w:rsid w:val="59698227"/>
    <w:rsid w:val="596FF24B"/>
    <w:rsid w:val="597862D7"/>
    <w:rsid w:val="597EE8B3"/>
    <w:rsid w:val="5984C926"/>
    <w:rsid w:val="59917165"/>
    <w:rsid w:val="5997B61F"/>
    <w:rsid w:val="599B9043"/>
    <w:rsid w:val="59A1C82D"/>
    <w:rsid w:val="59A5FE72"/>
    <w:rsid w:val="59B28F9A"/>
    <w:rsid w:val="59B35ED1"/>
    <w:rsid w:val="59C1AB5C"/>
    <w:rsid w:val="59C2E711"/>
    <w:rsid w:val="59C799DC"/>
    <w:rsid w:val="59DEB7D1"/>
    <w:rsid w:val="59DF8A07"/>
    <w:rsid w:val="59E196F8"/>
    <w:rsid w:val="59EC53B3"/>
    <w:rsid w:val="59F6056B"/>
    <w:rsid w:val="5A170A50"/>
    <w:rsid w:val="5A1C4D3B"/>
    <w:rsid w:val="5A1EBCCE"/>
    <w:rsid w:val="5A24A951"/>
    <w:rsid w:val="5A32174A"/>
    <w:rsid w:val="5A352FCA"/>
    <w:rsid w:val="5A3D2DBF"/>
    <w:rsid w:val="5A401EB6"/>
    <w:rsid w:val="5A4533CC"/>
    <w:rsid w:val="5A45455F"/>
    <w:rsid w:val="5A520B4A"/>
    <w:rsid w:val="5A531878"/>
    <w:rsid w:val="5A5B3389"/>
    <w:rsid w:val="5A635826"/>
    <w:rsid w:val="5A86F33B"/>
    <w:rsid w:val="5A91B1B6"/>
    <w:rsid w:val="5A93B2DB"/>
    <w:rsid w:val="5A9E2507"/>
    <w:rsid w:val="5AB2D52E"/>
    <w:rsid w:val="5AC0EB20"/>
    <w:rsid w:val="5AD8A597"/>
    <w:rsid w:val="5ADB7CBA"/>
    <w:rsid w:val="5ADF7982"/>
    <w:rsid w:val="5AE330E6"/>
    <w:rsid w:val="5AE97A9D"/>
    <w:rsid w:val="5AF58DD1"/>
    <w:rsid w:val="5AF849C2"/>
    <w:rsid w:val="5B069AF3"/>
    <w:rsid w:val="5B0D2ED9"/>
    <w:rsid w:val="5B2C6D40"/>
    <w:rsid w:val="5B2F8608"/>
    <w:rsid w:val="5B574CCA"/>
    <w:rsid w:val="5B579E95"/>
    <w:rsid w:val="5B62C9B1"/>
    <w:rsid w:val="5B6396B7"/>
    <w:rsid w:val="5B662A89"/>
    <w:rsid w:val="5B719514"/>
    <w:rsid w:val="5B7A37CC"/>
    <w:rsid w:val="5B7C4D7A"/>
    <w:rsid w:val="5B7C89C1"/>
    <w:rsid w:val="5B898BF0"/>
    <w:rsid w:val="5B8CBAF7"/>
    <w:rsid w:val="5B97A999"/>
    <w:rsid w:val="5B9A98F6"/>
    <w:rsid w:val="5BA4E3B1"/>
    <w:rsid w:val="5BB556C1"/>
    <w:rsid w:val="5BD38792"/>
    <w:rsid w:val="5BE2B503"/>
    <w:rsid w:val="5BE9C432"/>
    <w:rsid w:val="5BED70F2"/>
    <w:rsid w:val="5BEEF9C0"/>
    <w:rsid w:val="5BF5BC0A"/>
    <w:rsid w:val="5BFB8C03"/>
    <w:rsid w:val="5C0C05A5"/>
    <w:rsid w:val="5C0C1297"/>
    <w:rsid w:val="5C0CBE94"/>
    <w:rsid w:val="5C27E2C2"/>
    <w:rsid w:val="5C2C31EF"/>
    <w:rsid w:val="5C2E8B16"/>
    <w:rsid w:val="5C2FC33C"/>
    <w:rsid w:val="5C40FB4D"/>
    <w:rsid w:val="5C46D100"/>
    <w:rsid w:val="5C5A1350"/>
    <w:rsid w:val="5C5D6234"/>
    <w:rsid w:val="5C6794F7"/>
    <w:rsid w:val="5C6BCE21"/>
    <w:rsid w:val="5C6EA9B5"/>
    <w:rsid w:val="5C756714"/>
    <w:rsid w:val="5C756F6F"/>
    <w:rsid w:val="5C768178"/>
    <w:rsid w:val="5C9DA605"/>
    <w:rsid w:val="5CA1C2CF"/>
    <w:rsid w:val="5CA7D4F2"/>
    <w:rsid w:val="5CA8975C"/>
    <w:rsid w:val="5CAE3443"/>
    <w:rsid w:val="5CB56DAD"/>
    <w:rsid w:val="5CB6FDC8"/>
    <w:rsid w:val="5CB9351E"/>
    <w:rsid w:val="5CC42579"/>
    <w:rsid w:val="5CD5CF4B"/>
    <w:rsid w:val="5CE489B5"/>
    <w:rsid w:val="5CF93EA9"/>
    <w:rsid w:val="5CFA168B"/>
    <w:rsid w:val="5CFD135B"/>
    <w:rsid w:val="5D21376B"/>
    <w:rsid w:val="5D22D887"/>
    <w:rsid w:val="5D27B6EB"/>
    <w:rsid w:val="5D38542F"/>
    <w:rsid w:val="5D3ECE63"/>
    <w:rsid w:val="5D49FA9A"/>
    <w:rsid w:val="5D612A91"/>
    <w:rsid w:val="5D693276"/>
    <w:rsid w:val="5D6C33BA"/>
    <w:rsid w:val="5D7095CB"/>
    <w:rsid w:val="5D7922D4"/>
    <w:rsid w:val="5D7FD696"/>
    <w:rsid w:val="5D81F2AB"/>
    <w:rsid w:val="5D8A5FCA"/>
    <w:rsid w:val="5D961E51"/>
    <w:rsid w:val="5D96EE04"/>
    <w:rsid w:val="5D9AEA0C"/>
    <w:rsid w:val="5D9BBA19"/>
    <w:rsid w:val="5DB0559C"/>
    <w:rsid w:val="5DB3833D"/>
    <w:rsid w:val="5DB96658"/>
    <w:rsid w:val="5DBF6AEE"/>
    <w:rsid w:val="5DC4193F"/>
    <w:rsid w:val="5DD6AD8E"/>
    <w:rsid w:val="5DE0D0E2"/>
    <w:rsid w:val="5DE4860C"/>
    <w:rsid w:val="5DF14DEC"/>
    <w:rsid w:val="5E0454ED"/>
    <w:rsid w:val="5E18AD07"/>
    <w:rsid w:val="5E1F99EA"/>
    <w:rsid w:val="5E2C8E45"/>
    <w:rsid w:val="5E42631D"/>
    <w:rsid w:val="5E51A92F"/>
    <w:rsid w:val="5E633F06"/>
    <w:rsid w:val="5E8A4B31"/>
    <w:rsid w:val="5E8B79A8"/>
    <w:rsid w:val="5E8FE68B"/>
    <w:rsid w:val="5EAB7AB9"/>
    <w:rsid w:val="5EC648F5"/>
    <w:rsid w:val="5EDA0F46"/>
    <w:rsid w:val="5EE68507"/>
    <w:rsid w:val="5EEAA63F"/>
    <w:rsid w:val="5EEC2942"/>
    <w:rsid w:val="5EED1962"/>
    <w:rsid w:val="5EEEA4FE"/>
    <w:rsid w:val="5EFD4F43"/>
    <w:rsid w:val="5F0CBE07"/>
    <w:rsid w:val="5F1AF9A7"/>
    <w:rsid w:val="5F2193C6"/>
    <w:rsid w:val="5F29E6C2"/>
    <w:rsid w:val="5F6028B4"/>
    <w:rsid w:val="5F65AB69"/>
    <w:rsid w:val="5F792BB9"/>
    <w:rsid w:val="5F88361D"/>
    <w:rsid w:val="5F9617EE"/>
    <w:rsid w:val="5FA51F36"/>
    <w:rsid w:val="5FB2ECE6"/>
    <w:rsid w:val="5FC003C3"/>
    <w:rsid w:val="5FC61AD7"/>
    <w:rsid w:val="5FCA1C4F"/>
    <w:rsid w:val="5FCF6434"/>
    <w:rsid w:val="5FDFEC66"/>
    <w:rsid w:val="5FE4BDD0"/>
    <w:rsid w:val="5FE8AA04"/>
    <w:rsid w:val="5FEBFE40"/>
    <w:rsid w:val="6000B9D0"/>
    <w:rsid w:val="6018FD21"/>
    <w:rsid w:val="601FE0B9"/>
    <w:rsid w:val="603E8CD4"/>
    <w:rsid w:val="60451AEC"/>
    <w:rsid w:val="60533C89"/>
    <w:rsid w:val="6059891B"/>
    <w:rsid w:val="606066F3"/>
    <w:rsid w:val="6065BC9E"/>
    <w:rsid w:val="6074F856"/>
    <w:rsid w:val="6078DC2B"/>
    <w:rsid w:val="607F1F09"/>
    <w:rsid w:val="609164B9"/>
    <w:rsid w:val="609DEEFC"/>
    <w:rsid w:val="60AA3471"/>
    <w:rsid w:val="60AFF99A"/>
    <w:rsid w:val="60BB73C4"/>
    <w:rsid w:val="60C0D012"/>
    <w:rsid w:val="60C3310A"/>
    <w:rsid w:val="60C50781"/>
    <w:rsid w:val="60D47DB1"/>
    <w:rsid w:val="60D7DD68"/>
    <w:rsid w:val="60DC6315"/>
    <w:rsid w:val="60F8503C"/>
    <w:rsid w:val="610BD86E"/>
    <w:rsid w:val="610CED0E"/>
    <w:rsid w:val="6110CC25"/>
    <w:rsid w:val="61131A6C"/>
    <w:rsid w:val="6119E0DD"/>
    <w:rsid w:val="61290BB9"/>
    <w:rsid w:val="612C5105"/>
    <w:rsid w:val="6131FB1F"/>
    <w:rsid w:val="61326C75"/>
    <w:rsid w:val="6150C862"/>
    <w:rsid w:val="61537088"/>
    <w:rsid w:val="61587907"/>
    <w:rsid w:val="615D9D6A"/>
    <w:rsid w:val="6166F8EA"/>
    <w:rsid w:val="6179FA72"/>
    <w:rsid w:val="618FE171"/>
    <w:rsid w:val="61A307D2"/>
    <w:rsid w:val="61A4A8A7"/>
    <w:rsid w:val="61A503E1"/>
    <w:rsid w:val="61B904E6"/>
    <w:rsid w:val="61C45643"/>
    <w:rsid w:val="61D47B91"/>
    <w:rsid w:val="61E93C98"/>
    <w:rsid w:val="6218F545"/>
    <w:rsid w:val="62196776"/>
    <w:rsid w:val="622227FC"/>
    <w:rsid w:val="62262B69"/>
    <w:rsid w:val="62382008"/>
    <w:rsid w:val="624B3636"/>
    <w:rsid w:val="625BC440"/>
    <w:rsid w:val="62692210"/>
    <w:rsid w:val="6278DA4E"/>
    <w:rsid w:val="627D88E5"/>
    <w:rsid w:val="628EEFE1"/>
    <w:rsid w:val="629FC0AF"/>
    <w:rsid w:val="62A38FB8"/>
    <w:rsid w:val="62A51675"/>
    <w:rsid w:val="62AB2CD8"/>
    <w:rsid w:val="62BD8015"/>
    <w:rsid w:val="62C4B6F3"/>
    <w:rsid w:val="62D88B24"/>
    <w:rsid w:val="62E7602F"/>
    <w:rsid w:val="62F0454C"/>
    <w:rsid w:val="62F2EBE2"/>
    <w:rsid w:val="62F68B50"/>
    <w:rsid w:val="632F74B7"/>
    <w:rsid w:val="6345739E"/>
    <w:rsid w:val="634678F0"/>
    <w:rsid w:val="635D1752"/>
    <w:rsid w:val="636D40AD"/>
    <w:rsid w:val="63720116"/>
    <w:rsid w:val="6372FB26"/>
    <w:rsid w:val="6382FC4D"/>
    <w:rsid w:val="6388FB24"/>
    <w:rsid w:val="638ED910"/>
    <w:rsid w:val="639138C7"/>
    <w:rsid w:val="639BC09F"/>
    <w:rsid w:val="639E4292"/>
    <w:rsid w:val="63B91CE9"/>
    <w:rsid w:val="63C27DED"/>
    <w:rsid w:val="63D31ABE"/>
    <w:rsid w:val="63DA412F"/>
    <w:rsid w:val="63DC3510"/>
    <w:rsid w:val="63E8C619"/>
    <w:rsid w:val="63E9359E"/>
    <w:rsid w:val="63F9F334"/>
    <w:rsid w:val="63FAD541"/>
    <w:rsid w:val="640A765A"/>
    <w:rsid w:val="642A56F9"/>
    <w:rsid w:val="64339F8F"/>
    <w:rsid w:val="64461333"/>
    <w:rsid w:val="644C62B0"/>
    <w:rsid w:val="6467295B"/>
    <w:rsid w:val="64741A6D"/>
    <w:rsid w:val="647DF206"/>
    <w:rsid w:val="647EE695"/>
    <w:rsid w:val="64A44302"/>
    <w:rsid w:val="64A4DAC9"/>
    <w:rsid w:val="64B41E03"/>
    <w:rsid w:val="64B6F9E2"/>
    <w:rsid w:val="64B8CBCA"/>
    <w:rsid w:val="64C2A57D"/>
    <w:rsid w:val="64C5E0F8"/>
    <w:rsid w:val="64C940DC"/>
    <w:rsid w:val="64CCE8B7"/>
    <w:rsid w:val="64D19C8F"/>
    <w:rsid w:val="64D806BB"/>
    <w:rsid w:val="64E7C2ED"/>
    <w:rsid w:val="64F7694B"/>
    <w:rsid w:val="6511BE23"/>
    <w:rsid w:val="65174F0A"/>
    <w:rsid w:val="652DB94E"/>
    <w:rsid w:val="65354CE8"/>
    <w:rsid w:val="654A8225"/>
    <w:rsid w:val="655597B9"/>
    <w:rsid w:val="655AC5D9"/>
    <w:rsid w:val="65619E39"/>
    <w:rsid w:val="6565B0BC"/>
    <w:rsid w:val="657AC151"/>
    <w:rsid w:val="657C372B"/>
    <w:rsid w:val="658813F5"/>
    <w:rsid w:val="659022B0"/>
    <w:rsid w:val="65A12F9B"/>
    <w:rsid w:val="65A9C086"/>
    <w:rsid w:val="65B31204"/>
    <w:rsid w:val="65BBA038"/>
    <w:rsid w:val="65CE7EBA"/>
    <w:rsid w:val="65D051F6"/>
    <w:rsid w:val="65D49463"/>
    <w:rsid w:val="65EE604B"/>
    <w:rsid w:val="65F34D05"/>
    <w:rsid w:val="6607D1DE"/>
    <w:rsid w:val="660BB242"/>
    <w:rsid w:val="66159BA3"/>
    <w:rsid w:val="66407CBF"/>
    <w:rsid w:val="66412965"/>
    <w:rsid w:val="6644907E"/>
    <w:rsid w:val="6647A104"/>
    <w:rsid w:val="666B6D71"/>
    <w:rsid w:val="66A28D74"/>
    <w:rsid w:val="66A91ACD"/>
    <w:rsid w:val="66B6E9E8"/>
    <w:rsid w:val="66DC78B8"/>
    <w:rsid w:val="66EAEF8C"/>
    <w:rsid w:val="66F88E8F"/>
    <w:rsid w:val="66FACD14"/>
    <w:rsid w:val="6700B2FE"/>
    <w:rsid w:val="671273BB"/>
    <w:rsid w:val="671D88CB"/>
    <w:rsid w:val="67299380"/>
    <w:rsid w:val="672FFAD3"/>
    <w:rsid w:val="6737C2BA"/>
    <w:rsid w:val="67471754"/>
    <w:rsid w:val="674D0DF0"/>
    <w:rsid w:val="67597037"/>
    <w:rsid w:val="675E46FA"/>
    <w:rsid w:val="67604E9A"/>
    <w:rsid w:val="676C6A2F"/>
    <w:rsid w:val="67719748"/>
    <w:rsid w:val="677C93FE"/>
    <w:rsid w:val="67885D46"/>
    <w:rsid w:val="679513D2"/>
    <w:rsid w:val="67A1C1CC"/>
    <w:rsid w:val="67A3949E"/>
    <w:rsid w:val="67A6891C"/>
    <w:rsid w:val="67A743A5"/>
    <w:rsid w:val="67AB0AE0"/>
    <w:rsid w:val="67BA69EF"/>
    <w:rsid w:val="67C5B192"/>
    <w:rsid w:val="67C771E7"/>
    <w:rsid w:val="67CDB185"/>
    <w:rsid w:val="67D95E2E"/>
    <w:rsid w:val="67E194B3"/>
    <w:rsid w:val="67E33F4D"/>
    <w:rsid w:val="67EED529"/>
    <w:rsid w:val="67F92E5B"/>
    <w:rsid w:val="68076D7D"/>
    <w:rsid w:val="680BA849"/>
    <w:rsid w:val="68168213"/>
    <w:rsid w:val="68265591"/>
    <w:rsid w:val="682BF895"/>
    <w:rsid w:val="68392D11"/>
    <w:rsid w:val="683EF077"/>
    <w:rsid w:val="683F97A8"/>
    <w:rsid w:val="6841472A"/>
    <w:rsid w:val="684CA015"/>
    <w:rsid w:val="684E5199"/>
    <w:rsid w:val="68544FE3"/>
    <w:rsid w:val="6858AFFB"/>
    <w:rsid w:val="685E7F68"/>
    <w:rsid w:val="68611B6A"/>
    <w:rsid w:val="6861E3D2"/>
    <w:rsid w:val="68693900"/>
    <w:rsid w:val="686AB30B"/>
    <w:rsid w:val="687B676C"/>
    <w:rsid w:val="68870B54"/>
    <w:rsid w:val="688CEB16"/>
    <w:rsid w:val="68B53173"/>
    <w:rsid w:val="69024D1C"/>
    <w:rsid w:val="6903540D"/>
    <w:rsid w:val="691EFBBD"/>
    <w:rsid w:val="691FBE94"/>
    <w:rsid w:val="69268CC7"/>
    <w:rsid w:val="69307E4A"/>
    <w:rsid w:val="6933268F"/>
    <w:rsid w:val="6946D1F2"/>
    <w:rsid w:val="6977CE11"/>
    <w:rsid w:val="6978E40D"/>
    <w:rsid w:val="69881339"/>
    <w:rsid w:val="698DAF16"/>
    <w:rsid w:val="699496A0"/>
    <w:rsid w:val="69A76075"/>
    <w:rsid w:val="69A95949"/>
    <w:rsid w:val="69BF8868"/>
    <w:rsid w:val="69C75D1B"/>
    <w:rsid w:val="69CB315E"/>
    <w:rsid w:val="69CEF442"/>
    <w:rsid w:val="69D63A74"/>
    <w:rsid w:val="69E1F56C"/>
    <w:rsid w:val="69EFBF77"/>
    <w:rsid w:val="6A06D072"/>
    <w:rsid w:val="6A178AAE"/>
    <w:rsid w:val="6A187221"/>
    <w:rsid w:val="6A1D00EE"/>
    <w:rsid w:val="6A2052D5"/>
    <w:rsid w:val="6A214191"/>
    <w:rsid w:val="6A23CDF7"/>
    <w:rsid w:val="6A2742BC"/>
    <w:rsid w:val="6A3A2D06"/>
    <w:rsid w:val="6A601243"/>
    <w:rsid w:val="6A60F2FC"/>
    <w:rsid w:val="6A747B84"/>
    <w:rsid w:val="6A7FB485"/>
    <w:rsid w:val="6A86229A"/>
    <w:rsid w:val="6A8B4A4F"/>
    <w:rsid w:val="6A9120AB"/>
    <w:rsid w:val="6A98B36D"/>
    <w:rsid w:val="6A9CC022"/>
    <w:rsid w:val="6AA53386"/>
    <w:rsid w:val="6ABEB6FA"/>
    <w:rsid w:val="6AC3511D"/>
    <w:rsid w:val="6AC403DF"/>
    <w:rsid w:val="6AD2B147"/>
    <w:rsid w:val="6AE1C646"/>
    <w:rsid w:val="6AE9177C"/>
    <w:rsid w:val="6AED7BCD"/>
    <w:rsid w:val="6B03858F"/>
    <w:rsid w:val="6B0FC700"/>
    <w:rsid w:val="6B13D00B"/>
    <w:rsid w:val="6B1510E6"/>
    <w:rsid w:val="6B1CFCF5"/>
    <w:rsid w:val="6B27329F"/>
    <w:rsid w:val="6B28B8C2"/>
    <w:rsid w:val="6B386822"/>
    <w:rsid w:val="6B3C7827"/>
    <w:rsid w:val="6B3CE53C"/>
    <w:rsid w:val="6B40D024"/>
    <w:rsid w:val="6B68453E"/>
    <w:rsid w:val="6B6FDD6E"/>
    <w:rsid w:val="6B70F86A"/>
    <w:rsid w:val="6B7C64D7"/>
    <w:rsid w:val="6B8BFAE7"/>
    <w:rsid w:val="6B921A00"/>
    <w:rsid w:val="6BA1E993"/>
    <w:rsid w:val="6BB0B39D"/>
    <w:rsid w:val="6BB3E31F"/>
    <w:rsid w:val="6BBEA179"/>
    <w:rsid w:val="6BBFAE42"/>
    <w:rsid w:val="6BD17B16"/>
    <w:rsid w:val="6BF2637E"/>
    <w:rsid w:val="6C0EE5F0"/>
    <w:rsid w:val="6C2F4F0B"/>
    <w:rsid w:val="6C3D9640"/>
    <w:rsid w:val="6C48D1EB"/>
    <w:rsid w:val="6C4D5D56"/>
    <w:rsid w:val="6C515A52"/>
    <w:rsid w:val="6C567139"/>
    <w:rsid w:val="6C6950F8"/>
    <w:rsid w:val="6C80290B"/>
    <w:rsid w:val="6C82BD39"/>
    <w:rsid w:val="6C86B0C2"/>
    <w:rsid w:val="6C972CED"/>
    <w:rsid w:val="6C98FD63"/>
    <w:rsid w:val="6CA5E407"/>
    <w:rsid w:val="6CB7DF0B"/>
    <w:rsid w:val="6CD75BC9"/>
    <w:rsid w:val="6CDF5D66"/>
    <w:rsid w:val="6CEBE97C"/>
    <w:rsid w:val="6CEDF127"/>
    <w:rsid w:val="6CEEBBF0"/>
    <w:rsid w:val="6CF2C755"/>
    <w:rsid w:val="6D102DBA"/>
    <w:rsid w:val="6D16F2C7"/>
    <w:rsid w:val="6D1A70B9"/>
    <w:rsid w:val="6D1DDC00"/>
    <w:rsid w:val="6D24C2A0"/>
    <w:rsid w:val="6D2875E1"/>
    <w:rsid w:val="6D2F789E"/>
    <w:rsid w:val="6D484C91"/>
    <w:rsid w:val="6D4BF69E"/>
    <w:rsid w:val="6D4E4BFD"/>
    <w:rsid w:val="6D6E5730"/>
    <w:rsid w:val="6D714EA1"/>
    <w:rsid w:val="6D7FFB3E"/>
    <w:rsid w:val="6D890762"/>
    <w:rsid w:val="6D91AAC3"/>
    <w:rsid w:val="6D9412AA"/>
    <w:rsid w:val="6D97A495"/>
    <w:rsid w:val="6D9B56B3"/>
    <w:rsid w:val="6DA21A88"/>
    <w:rsid w:val="6DAE7360"/>
    <w:rsid w:val="6DD5A8D8"/>
    <w:rsid w:val="6DEC2D75"/>
    <w:rsid w:val="6DF17938"/>
    <w:rsid w:val="6DF37BF0"/>
    <w:rsid w:val="6DFA5D2C"/>
    <w:rsid w:val="6E023EBB"/>
    <w:rsid w:val="6E0D4768"/>
    <w:rsid w:val="6E1F76B4"/>
    <w:rsid w:val="6E2CC3D3"/>
    <w:rsid w:val="6E307714"/>
    <w:rsid w:val="6E39D100"/>
    <w:rsid w:val="6E3A29D1"/>
    <w:rsid w:val="6E5A53D1"/>
    <w:rsid w:val="6E759321"/>
    <w:rsid w:val="6E7A4948"/>
    <w:rsid w:val="6E989DA8"/>
    <w:rsid w:val="6EA71E1E"/>
    <w:rsid w:val="6EBFA46F"/>
    <w:rsid w:val="6ECD8429"/>
    <w:rsid w:val="6ED83DC4"/>
    <w:rsid w:val="6EE09FF0"/>
    <w:rsid w:val="6EE653FC"/>
    <w:rsid w:val="6EEC0844"/>
    <w:rsid w:val="6EF2BA33"/>
    <w:rsid w:val="6EF69A6B"/>
    <w:rsid w:val="6F2EBBAC"/>
    <w:rsid w:val="6F4F7095"/>
    <w:rsid w:val="6F5079DF"/>
    <w:rsid w:val="6F551EA0"/>
    <w:rsid w:val="6F8301E5"/>
    <w:rsid w:val="6F8706E3"/>
    <w:rsid w:val="6F8F2D39"/>
    <w:rsid w:val="6F91C24E"/>
    <w:rsid w:val="6F9383B2"/>
    <w:rsid w:val="6F98965C"/>
    <w:rsid w:val="6F9AB29C"/>
    <w:rsid w:val="6FA92B3F"/>
    <w:rsid w:val="6FAEDEE3"/>
    <w:rsid w:val="6FAFFE98"/>
    <w:rsid w:val="6FBEFEDF"/>
    <w:rsid w:val="6FBFFE8F"/>
    <w:rsid w:val="6FC55C1E"/>
    <w:rsid w:val="6FCB8610"/>
    <w:rsid w:val="6FD47FDC"/>
    <w:rsid w:val="6FDCC185"/>
    <w:rsid w:val="6FDF2D81"/>
    <w:rsid w:val="6FDF5EF2"/>
    <w:rsid w:val="6FE11BA8"/>
    <w:rsid w:val="6FF65591"/>
    <w:rsid w:val="6FF67668"/>
    <w:rsid w:val="6FFF4042"/>
    <w:rsid w:val="70072448"/>
    <w:rsid w:val="701CF5E5"/>
    <w:rsid w:val="70200FED"/>
    <w:rsid w:val="704B985D"/>
    <w:rsid w:val="7067DF47"/>
    <w:rsid w:val="706AC0B0"/>
    <w:rsid w:val="7074E235"/>
    <w:rsid w:val="70750556"/>
    <w:rsid w:val="7082BCB5"/>
    <w:rsid w:val="70977CF7"/>
    <w:rsid w:val="70A07867"/>
    <w:rsid w:val="70AB041C"/>
    <w:rsid w:val="70B3DFD1"/>
    <w:rsid w:val="70B78288"/>
    <w:rsid w:val="70DFC359"/>
    <w:rsid w:val="70E8EE71"/>
    <w:rsid w:val="70F0DA40"/>
    <w:rsid w:val="70F2969D"/>
    <w:rsid w:val="70FBA28C"/>
    <w:rsid w:val="71051A11"/>
    <w:rsid w:val="711C4E4D"/>
    <w:rsid w:val="712200BD"/>
    <w:rsid w:val="7139216E"/>
    <w:rsid w:val="713AF419"/>
    <w:rsid w:val="713C6B53"/>
    <w:rsid w:val="718F0D91"/>
    <w:rsid w:val="71994B2A"/>
    <w:rsid w:val="71A8D161"/>
    <w:rsid w:val="71BE92A3"/>
    <w:rsid w:val="71C3C656"/>
    <w:rsid w:val="71C56F26"/>
    <w:rsid w:val="71E4808D"/>
    <w:rsid w:val="71F125D3"/>
    <w:rsid w:val="71F937F5"/>
    <w:rsid w:val="71FB1D9F"/>
    <w:rsid w:val="720DAB65"/>
    <w:rsid w:val="7214A168"/>
    <w:rsid w:val="721A0FE0"/>
    <w:rsid w:val="7227818C"/>
    <w:rsid w:val="722A8869"/>
    <w:rsid w:val="722AABF7"/>
    <w:rsid w:val="7238D3B8"/>
    <w:rsid w:val="723B9EA9"/>
    <w:rsid w:val="72436C23"/>
    <w:rsid w:val="7251AEC2"/>
    <w:rsid w:val="72543EF1"/>
    <w:rsid w:val="7255727B"/>
    <w:rsid w:val="7276519F"/>
    <w:rsid w:val="727B2477"/>
    <w:rsid w:val="72814F69"/>
    <w:rsid w:val="7295098D"/>
    <w:rsid w:val="729DC6AB"/>
    <w:rsid w:val="729F150C"/>
    <w:rsid w:val="72B23BB2"/>
    <w:rsid w:val="72B447E5"/>
    <w:rsid w:val="72BFF564"/>
    <w:rsid w:val="72CBC9C0"/>
    <w:rsid w:val="72CE088B"/>
    <w:rsid w:val="72E5C841"/>
    <w:rsid w:val="72EF587D"/>
    <w:rsid w:val="731B7156"/>
    <w:rsid w:val="731EEA06"/>
    <w:rsid w:val="73208640"/>
    <w:rsid w:val="7321C79D"/>
    <w:rsid w:val="7323C510"/>
    <w:rsid w:val="732B3E1A"/>
    <w:rsid w:val="7332C6BE"/>
    <w:rsid w:val="73360446"/>
    <w:rsid w:val="733AF304"/>
    <w:rsid w:val="73668C82"/>
    <w:rsid w:val="737527FD"/>
    <w:rsid w:val="7379722A"/>
    <w:rsid w:val="737CCB83"/>
    <w:rsid w:val="737DA500"/>
    <w:rsid w:val="7384D0B3"/>
    <w:rsid w:val="738DB727"/>
    <w:rsid w:val="7393D7A5"/>
    <w:rsid w:val="73A14AF9"/>
    <w:rsid w:val="73AD55F5"/>
    <w:rsid w:val="73BEC41F"/>
    <w:rsid w:val="73DE3673"/>
    <w:rsid w:val="73F3AF51"/>
    <w:rsid w:val="73F992AE"/>
    <w:rsid w:val="73FA8D19"/>
    <w:rsid w:val="73FB9782"/>
    <w:rsid w:val="74131136"/>
    <w:rsid w:val="7415AFA8"/>
    <w:rsid w:val="741EEA1D"/>
    <w:rsid w:val="743E37AD"/>
    <w:rsid w:val="74529767"/>
    <w:rsid w:val="745F9F57"/>
    <w:rsid w:val="7464BDEA"/>
    <w:rsid w:val="7472A6D3"/>
    <w:rsid w:val="747AA975"/>
    <w:rsid w:val="747D07A3"/>
    <w:rsid w:val="74810943"/>
    <w:rsid w:val="74880F8A"/>
    <w:rsid w:val="748A29AA"/>
    <w:rsid w:val="74A125AE"/>
    <w:rsid w:val="74AE4062"/>
    <w:rsid w:val="74BE740B"/>
    <w:rsid w:val="74C43F47"/>
    <w:rsid w:val="74C52B6B"/>
    <w:rsid w:val="74C8EBF1"/>
    <w:rsid w:val="74DECF17"/>
    <w:rsid w:val="74E239EE"/>
    <w:rsid w:val="74FDAB84"/>
    <w:rsid w:val="750485B8"/>
    <w:rsid w:val="75085145"/>
    <w:rsid w:val="750F7EB9"/>
    <w:rsid w:val="751E7F8E"/>
    <w:rsid w:val="752C8B13"/>
    <w:rsid w:val="7536D93E"/>
    <w:rsid w:val="75370170"/>
    <w:rsid w:val="7537D4F8"/>
    <w:rsid w:val="755006D6"/>
    <w:rsid w:val="7551BFB5"/>
    <w:rsid w:val="755C6C3A"/>
    <w:rsid w:val="7579F9A1"/>
    <w:rsid w:val="757D2898"/>
    <w:rsid w:val="758C0C3C"/>
    <w:rsid w:val="75926EB1"/>
    <w:rsid w:val="7594E034"/>
    <w:rsid w:val="759BCFC9"/>
    <w:rsid w:val="75A3800E"/>
    <w:rsid w:val="75AAF601"/>
    <w:rsid w:val="75AF05DB"/>
    <w:rsid w:val="75CF1EDC"/>
    <w:rsid w:val="75DF942E"/>
    <w:rsid w:val="75DFFA8B"/>
    <w:rsid w:val="75E10628"/>
    <w:rsid w:val="75E17B7E"/>
    <w:rsid w:val="75E35668"/>
    <w:rsid w:val="75E46B06"/>
    <w:rsid w:val="75E69EC5"/>
    <w:rsid w:val="75F30FA0"/>
    <w:rsid w:val="76062E3D"/>
    <w:rsid w:val="762056F2"/>
    <w:rsid w:val="764C434E"/>
    <w:rsid w:val="764FE923"/>
    <w:rsid w:val="7653A902"/>
    <w:rsid w:val="766D33CF"/>
    <w:rsid w:val="766FB633"/>
    <w:rsid w:val="7677197D"/>
    <w:rsid w:val="767B6C13"/>
    <w:rsid w:val="7681D4C4"/>
    <w:rsid w:val="768E4FEC"/>
    <w:rsid w:val="768E6AF1"/>
    <w:rsid w:val="768F4B7E"/>
    <w:rsid w:val="76917875"/>
    <w:rsid w:val="769935CC"/>
    <w:rsid w:val="76AA6060"/>
    <w:rsid w:val="76AFB6A5"/>
    <w:rsid w:val="76B7844D"/>
    <w:rsid w:val="76BA8836"/>
    <w:rsid w:val="76C86B46"/>
    <w:rsid w:val="76CBC6D1"/>
    <w:rsid w:val="76D7A9E1"/>
    <w:rsid w:val="76EC6468"/>
    <w:rsid w:val="76EE8DDB"/>
    <w:rsid w:val="76F77134"/>
    <w:rsid w:val="76FD5755"/>
    <w:rsid w:val="770FA91B"/>
    <w:rsid w:val="7713B917"/>
    <w:rsid w:val="771776ED"/>
    <w:rsid w:val="771B5306"/>
    <w:rsid w:val="77327C63"/>
    <w:rsid w:val="774D69D9"/>
    <w:rsid w:val="774EFF3B"/>
    <w:rsid w:val="777CC173"/>
    <w:rsid w:val="778AE7A2"/>
    <w:rsid w:val="778CD15B"/>
    <w:rsid w:val="778EB4D7"/>
    <w:rsid w:val="77925616"/>
    <w:rsid w:val="77969067"/>
    <w:rsid w:val="779F0CF8"/>
    <w:rsid w:val="77ABBCEE"/>
    <w:rsid w:val="77B370EB"/>
    <w:rsid w:val="77BA5DCC"/>
    <w:rsid w:val="77DC0BAA"/>
    <w:rsid w:val="77E3D248"/>
    <w:rsid w:val="77E60EB0"/>
    <w:rsid w:val="77F5A17D"/>
    <w:rsid w:val="77FB855C"/>
    <w:rsid w:val="7802655A"/>
    <w:rsid w:val="78027207"/>
    <w:rsid w:val="7819288A"/>
    <w:rsid w:val="781CDA5F"/>
    <w:rsid w:val="78217CA9"/>
    <w:rsid w:val="78231C15"/>
    <w:rsid w:val="783E506A"/>
    <w:rsid w:val="78460471"/>
    <w:rsid w:val="784DE619"/>
    <w:rsid w:val="7850793A"/>
    <w:rsid w:val="7853C290"/>
    <w:rsid w:val="785505D5"/>
    <w:rsid w:val="7856E95A"/>
    <w:rsid w:val="785E2670"/>
    <w:rsid w:val="786C098A"/>
    <w:rsid w:val="787CD458"/>
    <w:rsid w:val="787FF6F6"/>
    <w:rsid w:val="7883CCCD"/>
    <w:rsid w:val="7885C0CB"/>
    <w:rsid w:val="78A658C5"/>
    <w:rsid w:val="78BAC59D"/>
    <w:rsid w:val="78BB079D"/>
    <w:rsid w:val="78CF6D5B"/>
    <w:rsid w:val="78D0A6B7"/>
    <w:rsid w:val="78D1B86B"/>
    <w:rsid w:val="78D847D4"/>
    <w:rsid w:val="78E22B20"/>
    <w:rsid w:val="78E9C793"/>
    <w:rsid w:val="78F3F6C0"/>
    <w:rsid w:val="79015ECB"/>
    <w:rsid w:val="7901BC2B"/>
    <w:rsid w:val="790AC090"/>
    <w:rsid w:val="790CADB5"/>
    <w:rsid w:val="79228B53"/>
    <w:rsid w:val="7923783A"/>
    <w:rsid w:val="7938F8A2"/>
    <w:rsid w:val="793CA334"/>
    <w:rsid w:val="793D2F0C"/>
    <w:rsid w:val="795A1857"/>
    <w:rsid w:val="795BC1BF"/>
    <w:rsid w:val="795E027B"/>
    <w:rsid w:val="796A5AFB"/>
    <w:rsid w:val="796B6CBD"/>
    <w:rsid w:val="7980CB05"/>
    <w:rsid w:val="798BF436"/>
    <w:rsid w:val="7994F71F"/>
    <w:rsid w:val="79976DA1"/>
    <w:rsid w:val="79A77CCB"/>
    <w:rsid w:val="79B88CC2"/>
    <w:rsid w:val="79CDA50B"/>
    <w:rsid w:val="79E0279B"/>
    <w:rsid w:val="79E04258"/>
    <w:rsid w:val="79E7D922"/>
    <w:rsid w:val="79EE5581"/>
    <w:rsid w:val="79F0995E"/>
    <w:rsid w:val="79F5618C"/>
    <w:rsid w:val="79F97B40"/>
    <w:rsid w:val="7A102BB2"/>
    <w:rsid w:val="7A20635E"/>
    <w:rsid w:val="7A230011"/>
    <w:rsid w:val="7A349898"/>
    <w:rsid w:val="7A438A60"/>
    <w:rsid w:val="7A4C6053"/>
    <w:rsid w:val="7A4DF86F"/>
    <w:rsid w:val="7A570BB8"/>
    <w:rsid w:val="7A5EF173"/>
    <w:rsid w:val="7A64ABD4"/>
    <w:rsid w:val="7A70B70D"/>
    <w:rsid w:val="7A8B7D86"/>
    <w:rsid w:val="7A98D476"/>
    <w:rsid w:val="7A99D74D"/>
    <w:rsid w:val="7AAE3756"/>
    <w:rsid w:val="7AB18EEE"/>
    <w:rsid w:val="7AB3DD66"/>
    <w:rsid w:val="7ACC8A42"/>
    <w:rsid w:val="7AD739A9"/>
    <w:rsid w:val="7ADE4793"/>
    <w:rsid w:val="7AE58C6E"/>
    <w:rsid w:val="7AEDD7B3"/>
    <w:rsid w:val="7AF83805"/>
    <w:rsid w:val="7AFB4A68"/>
    <w:rsid w:val="7B1839F0"/>
    <w:rsid w:val="7B189E50"/>
    <w:rsid w:val="7B4830C6"/>
    <w:rsid w:val="7B71C4DA"/>
    <w:rsid w:val="7B730A19"/>
    <w:rsid w:val="7B7D2248"/>
    <w:rsid w:val="7B8A4FB9"/>
    <w:rsid w:val="7B8E1539"/>
    <w:rsid w:val="7B8F2930"/>
    <w:rsid w:val="7B932D7E"/>
    <w:rsid w:val="7B96E0B8"/>
    <w:rsid w:val="7BA28C7E"/>
    <w:rsid w:val="7BB90338"/>
    <w:rsid w:val="7BEF4E18"/>
    <w:rsid w:val="7BFD106F"/>
    <w:rsid w:val="7C06ED4A"/>
    <w:rsid w:val="7C06FA31"/>
    <w:rsid w:val="7C1A8958"/>
    <w:rsid w:val="7C37634F"/>
    <w:rsid w:val="7C4F586B"/>
    <w:rsid w:val="7C5491E9"/>
    <w:rsid w:val="7C560E99"/>
    <w:rsid w:val="7C5A9A2E"/>
    <w:rsid w:val="7C6AB1E3"/>
    <w:rsid w:val="7C795E95"/>
    <w:rsid w:val="7C8282BB"/>
    <w:rsid w:val="7C8C3E37"/>
    <w:rsid w:val="7C9647F1"/>
    <w:rsid w:val="7CA15BF4"/>
    <w:rsid w:val="7CAA1FF0"/>
    <w:rsid w:val="7CAD4750"/>
    <w:rsid w:val="7CB430B3"/>
    <w:rsid w:val="7CB78DB5"/>
    <w:rsid w:val="7CBD2272"/>
    <w:rsid w:val="7CDC6073"/>
    <w:rsid w:val="7CE9AD59"/>
    <w:rsid w:val="7CF73081"/>
    <w:rsid w:val="7CF9109A"/>
    <w:rsid w:val="7CF9BCC1"/>
    <w:rsid w:val="7CFC065A"/>
    <w:rsid w:val="7D0B9E8E"/>
    <w:rsid w:val="7D262EB1"/>
    <w:rsid w:val="7D28DFA5"/>
    <w:rsid w:val="7D358D57"/>
    <w:rsid w:val="7D3CCD65"/>
    <w:rsid w:val="7D46F7F6"/>
    <w:rsid w:val="7D4BFA5D"/>
    <w:rsid w:val="7D51C860"/>
    <w:rsid w:val="7D789BFF"/>
    <w:rsid w:val="7D8A0CC2"/>
    <w:rsid w:val="7DA0E89D"/>
    <w:rsid w:val="7DA544B4"/>
    <w:rsid w:val="7DAE7AD5"/>
    <w:rsid w:val="7DAF9C4B"/>
    <w:rsid w:val="7DB59ED0"/>
    <w:rsid w:val="7DC7D953"/>
    <w:rsid w:val="7DCB4460"/>
    <w:rsid w:val="7DE2BD53"/>
    <w:rsid w:val="7DE49032"/>
    <w:rsid w:val="7DE93F58"/>
    <w:rsid w:val="7DEC9033"/>
    <w:rsid w:val="7DEF30EC"/>
    <w:rsid w:val="7DF477EB"/>
    <w:rsid w:val="7DF61AA5"/>
    <w:rsid w:val="7DF7E08D"/>
    <w:rsid w:val="7E036C5D"/>
    <w:rsid w:val="7E08A220"/>
    <w:rsid w:val="7E0EF147"/>
    <w:rsid w:val="7E300D9B"/>
    <w:rsid w:val="7E3027AD"/>
    <w:rsid w:val="7E32DE89"/>
    <w:rsid w:val="7E32E9D3"/>
    <w:rsid w:val="7E39BE3F"/>
    <w:rsid w:val="7E49045C"/>
    <w:rsid w:val="7E4F8596"/>
    <w:rsid w:val="7E5225A5"/>
    <w:rsid w:val="7E69FA88"/>
    <w:rsid w:val="7E70CF22"/>
    <w:rsid w:val="7E8D6E5E"/>
    <w:rsid w:val="7EA07223"/>
    <w:rsid w:val="7EA0B169"/>
    <w:rsid w:val="7EB30460"/>
    <w:rsid w:val="7EB67902"/>
    <w:rsid w:val="7EBE3D4F"/>
    <w:rsid w:val="7EC8FD16"/>
    <w:rsid w:val="7ECFECC0"/>
    <w:rsid w:val="7EDE1848"/>
    <w:rsid w:val="7EDFC185"/>
    <w:rsid w:val="7EE35D87"/>
    <w:rsid w:val="7EE4FC51"/>
    <w:rsid w:val="7EF764A5"/>
    <w:rsid w:val="7EFC2947"/>
    <w:rsid w:val="7F05A2A6"/>
    <w:rsid w:val="7F13EAE7"/>
    <w:rsid w:val="7F285499"/>
    <w:rsid w:val="7F2F96A0"/>
    <w:rsid w:val="7F596D3B"/>
    <w:rsid w:val="7F69B481"/>
    <w:rsid w:val="7FB355D7"/>
    <w:rsid w:val="7FB812BC"/>
    <w:rsid w:val="7FBDFF74"/>
    <w:rsid w:val="7FE0D458"/>
    <w:rsid w:val="7FEBF8D8"/>
    <w:rsid w:val="7FF22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542DA"/>
  <w15:chartTrackingRefBased/>
  <w15:docId w15:val="{ED62D13A-274A-43B2-8646-61E0E9F177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53CC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3CC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3C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53C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53C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3C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3C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3C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3CC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53CC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153CC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153CC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153CC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sid w:val="00153CC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53CC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53CC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53CC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53CC6"/>
    <w:rPr>
      <w:rFonts w:eastAsiaTheme="majorEastAsia" w:cstheme="majorBidi"/>
      <w:color w:val="272727" w:themeColor="text1" w:themeTint="D8"/>
    </w:rPr>
  </w:style>
  <w:style w:type="paragraph" w:styleId="Title">
    <w:name w:val="Title"/>
    <w:basedOn w:val="Normal"/>
    <w:next w:val="Normal"/>
    <w:link w:val="TitleChar"/>
    <w:uiPriority w:val="10"/>
    <w:qFormat/>
    <w:rsid w:val="00153CC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53CC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53CC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53C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3CC6"/>
    <w:pPr>
      <w:spacing w:before="160"/>
      <w:jc w:val="center"/>
    </w:pPr>
    <w:rPr>
      <w:i/>
      <w:iCs/>
      <w:color w:val="404040" w:themeColor="text1" w:themeTint="BF"/>
    </w:rPr>
  </w:style>
  <w:style w:type="character" w:styleId="QuoteChar" w:customStyle="1">
    <w:name w:val="Quote Char"/>
    <w:basedOn w:val="DefaultParagraphFont"/>
    <w:link w:val="Quote"/>
    <w:uiPriority w:val="29"/>
    <w:rsid w:val="00153CC6"/>
    <w:rPr>
      <w:i/>
      <w:iCs/>
      <w:color w:val="404040" w:themeColor="text1" w:themeTint="BF"/>
    </w:rPr>
  </w:style>
  <w:style w:type="paragraph" w:styleId="ListParagraph">
    <w:name w:val="List Paragraph"/>
    <w:basedOn w:val="Normal"/>
    <w:uiPriority w:val="34"/>
    <w:qFormat/>
    <w:rsid w:val="00153CC6"/>
    <w:pPr>
      <w:ind w:left="720"/>
      <w:contextualSpacing/>
    </w:pPr>
  </w:style>
  <w:style w:type="character" w:styleId="IntenseEmphasis">
    <w:name w:val="Intense Emphasis"/>
    <w:basedOn w:val="DefaultParagraphFont"/>
    <w:uiPriority w:val="21"/>
    <w:qFormat/>
    <w:rsid w:val="00153CC6"/>
    <w:rPr>
      <w:i/>
      <w:iCs/>
      <w:color w:val="0F4761" w:themeColor="accent1" w:themeShade="BF"/>
    </w:rPr>
  </w:style>
  <w:style w:type="paragraph" w:styleId="IntenseQuote">
    <w:name w:val="Intense Quote"/>
    <w:basedOn w:val="Normal"/>
    <w:next w:val="Normal"/>
    <w:link w:val="IntenseQuoteChar"/>
    <w:uiPriority w:val="30"/>
    <w:qFormat/>
    <w:rsid w:val="00153CC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53CC6"/>
    <w:rPr>
      <w:i/>
      <w:iCs/>
      <w:color w:val="0F4761" w:themeColor="accent1" w:themeShade="BF"/>
    </w:rPr>
  </w:style>
  <w:style w:type="character" w:styleId="IntenseReference">
    <w:name w:val="Intense Reference"/>
    <w:basedOn w:val="DefaultParagraphFont"/>
    <w:uiPriority w:val="32"/>
    <w:qFormat/>
    <w:rsid w:val="00153CC6"/>
    <w:rPr>
      <w:b/>
      <w:bCs/>
      <w:smallCaps/>
      <w:color w:val="0F4761" w:themeColor="accent1" w:themeShade="BF"/>
      <w:spacing w:val="5"/>
    </w:rPr>
  </w:style>
  <w:style w:type="character" w:styleId="Hyperlink">
    <w:name w:val="Hyperlink"/>
    <w:basedOn w:val="DefaultParagraphFont"/>
    <w:uiPriority w:val="99"/>
    <w:unhideWhenUsed/>
    <w:rsid w:val="003137A2"/>
    <w:rPr>
      <w:color w:val="467886" w:themeColor="hyperlink"/>
      <w:u w:val="single"/>
    </w:rPr>
  </w:style>
  <w:style w:type="table" w:styleId="TableGrid">
    <w:name w:val="Table Grid"/>
    <w:basedOn w:val="TableNormal"/>
    <w:uiPriority w:val="39"/>
    <w:rsid w:val="003137A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basedOn w:val="DefaultParagraphFont"/>
    <w:uiPriority w:val="20"/>
    <w:qFormat/>
    <w:rsid w:val="003137A2"/>
    <w:rPr>
      <w:i/>
      <w:iCs/>
    </w:rPr>
  </w:style>
  <w:style w:type="character" w:styleId="Strong">
    <w:name w:val="Strong"/>
    <w:basedOn w:val="DefaultParagraphFont"/>
    <w:uiPriority w:val="22"/>
    <w:qFormat/>
    <w:rsid w:val="003137A2"/>
    <w:rPr>
      <w:b/>
      <w:bCs/>
    </w:rPr>
  </w:style>
  <w:style w:type="paragraph" w:styleId="TOCHeading">
    <w:name w:val="TOC Heading"/>
    <w:basedOn w:val="Heading1"/>
    <w:next w:val="Normal"/>
    <w:uiPriority w:val="39"/>
    <w:unhideWhenUsed/>
    <w:qFormat/>
    <w:rsid w:val="003137A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137A2"/>
    <w:pPr>
      <w:spacing w:after="100"/>
    </w:pPr>
  </w:style>
  <w:style w:type="paragraph" w:styleId="TOC2">
    <w:name w:val="toc 2"/>
    <w:basedOn w:val="Normal"/>
    <w:next w:val="Normal"/>
    <w:autoRedefine/>
    <w:uiPriority w:val="39"/>
    <w:unhideWhenUsed/>
    <w:rsid w:val="003137A2"/>
    <w:pPr>
      <w:spacing w:after="100"/>
      <w:ind w:left="240"/>
    </w:pPr>
  </w:style>
  <w:style w:type="paragraph" w:styleId="TOC3">
    <w:name w:val="toc 3"/>
    <w:basedOn w:val="Normal"/>
    <w:next w:val="Normal"/>
    <w:autoRedefine/>
    <w:uiPriority w:val="39"/>
    <w:unhideWhenUsed/>
    <w:rsid w:val="003137A2"/>
    <w:pPr>
      <w:spacing w:after="100"/>
      <w:ind w:left="480"/>
    </w:pPr>
  </w:style>
  <w:style w:type="paragraph" w:styleId="Header">
    <w:name w:val="header"/>
    <w:basedOn w:val="Normal"/>
    <w:link w:val="HeaderChar"/>
    <w:uiPriority w:val="99"/>
    <w:unhideWhenUsed/>
    <w:rsid w:val="003137A2"/>
    <w:pPr>
      <w:tabs>
        <w:tab w:val="center" w:pos="4513"/>
        <w:tab w:val="right" w:pos="9026"/>
      </w:tabs>
      <w:spacing w:after="0" w:line="240" w:lineRule="auto"/>
    </w:pPr>
  </w:style>
  <w:style w:type="character" w:styleId="HeaderChar" w:customStyle="1">
    <w:name w:val="Header Char"/>
    <w:basedOn w:val="DefaultParagraphFont"/>
    <w:link w:val="Header"/>
    <w:uiPriority w:val="99"/>
    <w:rsid w:val="003137A2"/>
  </w:style>
  <w:style w:type="paragraph" w:styleId="Footer">
    <w:name w:val="footer"/>
    <w:basedOn w:val="Normal"/>
    <w:link w:val="FooterChar"/>
    <w:uiPriority w:val="99"/>
    <w:unhideWhenUsed/>
    <w:rsid w:val="003137A2"/>
    <w:pPr>
      <w:tabs>
        <w:tab w:val="center" w:pos="4513"/>
        <w:tab w:val="right" w:pos="9026"/>
      </w:tabs>
      <w:spacing w:after="0" w:line="240" w:lineRule="auto"/>
    </w:pPr>
  </w:style>
  <w:style w:type="character" w:styleId="FooterChar" w:customStyle="1">
    <w:name w:val="Footer Char"/>
    <w:basedOn w:val="DefaultParagraphFont"/>
    <w:link w:val="Footer"/>
    <w:uiPriority w:val="99"/>
    <w:rsid w:val="003137A2"/>
  </w:style>
  <w:style w:type="character" w:styleId="UnresolvedMention">
    <w:name w:val="Unresolved Mention"/>
    <w:basedOn w:val="DefaultParagraphFont"/>
    <w:uiPriority w:val="99"/>
    <w:semiHidden/>
    <w:unhideWhenUsed/>
    <w:rsid w:val="003137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3.xml" Id="rId39" /><Relationship Type="http://schemas.openxmlformats.org/officeDocument/2006/relationships/header" Target="header1.xml" Id="rId34" /><Relationship Type="http://schemas.openxmlformats.org/officeDocument/2006/relationships/image" Target="media/image2.png" Id="rId7" /><Relationship Type="http://schemas.openxmlformats.org/officeDocument/2006/relationships/styles" Target="styles.xml" Id="rId2" /><Relationship Type="http://schemas.openxmlformats.org/officeDocument/2006/relationships/theme" Target="theme/theme1.xml" Id="rId41" /><Relationship Type="http://schemas.openxmlformats.org/officeDocument/2006/relationships/numbering" Target="numbering.xml" Id="rId1" /><Relationship Type="http://schemas.openxmlformats.org/officeDocument/2006/relationships/image" Target="media/image1.png" Id="rId6" /><Relationship Type="http://schemas.openxmlformats.org/officeDocument/2006/relationships/footer" Target="footer2.xml" Id="rId37" /><Relationship Type="http://schemas.openxmlformats.org/officeDocument/2006/relationships/fontTable" Target="fontTable.xml" Id="rId40" /><Relationship Type="http://schemas.openxmlformats.org/officeDocument/2006/relationships/footer" Target="footer1.xml" Id="rId36"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header" Target="header2.xml" Id="rId35" /><Relationship Type="http://schemas.openxmlformats.org/officeDocument/2006/relationships/image" Target="media/image3.png" Id="rId8" /><Relationship Type="http://schemas.openxmlformats.org/officeDocument/2006/relationships/settings" Target="settings.xml" Id="rId3" /><Relationship Type="http://schemas.openxmlformats.org/officeDocument/2006/relationships/image" Target="media/image5.png" Id="rId12" /><Relationship Type="http://schemas.openxmlformats.org/officeDocument/2006/relationships/header" Target="header3.xml" Id="rId38" /><Relationship Type="http://schemas.openxmlformats.org/officeDocument/2006/relationships/image" Target="/media/image6.png" Id="rId1528565853" /><Relationship Type="http://schemas.openxmlformats.org/officeDocument/2006/relationships/image" Target="/media/image7.png" Id="rId1918947396" /><Relationship Type="http://schemas.openxmlformats.org/officeDocument/2006/relationships/hyperlink" Target="https://doi.org/10.3390/ijfs13040230" TargetMode="External" Id="Redd0bd8bf96b4d0b" /><Relationship Type="http://schemas.openxmlformats.org/officeDocument/2006/relationships/hyperlink" Target="https://doi.org/10.1002/jcaf.22774" TargetMode="External" Id="R9b21f7397b3d4068" /><Relationship Type="http://schemas.openxmlformats.org/officeDocument/2006/relationships/hyperlink" Target="https://doi.org/10.17323/2500-2597.2025.3.78.85" TargetMode="External" Id="Re81e9406f4d04971" /><Relationship Type="http://schemas.openxmlformats.org/officeDocument/2006/relationships/hyperlink" Target="https://www.asetonline.org/wp-content/uploads/2017/09/ASET-Good-Practice-Guide-eWBPL.pdf" TargetMode="External" Id="Raf9c509f82a846a2" /><Relationship Type="http://schemas.openxmlformats.org/officeDocument/2006/relationships/hyperlink" Target="https://doi.org/10.1016/j.ribaf.2025.102902" TargetMode="External" Id="Rd5362d6e36ac4f9f" /><Relationship Type="http://schemas.openxmlformats.org/officeDocument/2006/relationships/hyperlink" Target="https://www.blackrock.com/corporate/investor-relations/2018-larry-fink-ceo-letter" TargetMode="External" Id="R8bd134f2887140a3" /><Relationship Type="http://schemas.openxmlformats.org/officeDocument/2006/relationships/hyperlink" Target="https://www.blackrock.com/corporate/literature/continuous-disclosure-and-important-information/tcfd-report-2021-blkinc.pdf" TargetMode="External" Id="R0cdaec1c4f2b443c" /><Relationship Type="http://schemas.openxmlformats.org/officeDocument/2006/relationships/hyperlink" Target="https://www.blackrock.com/corporate/literature/publication/annual-stewardship-report-2024.pdf" TargetMode="External" Id="Rad82d5f87a544cb4" /><Relationship Type="http://schemas.openxmlformats.org/officeDocument/2006/relationships/hyperlink" Target="https://www.blackrock.com/" TargetMode="External" Id="R59f48fa35cde49cb" /><Relationship Type="http://schemas.openxmlformats.org/officeDocument/2006/relationships/hyperlink" Target="https://www.ishares.com/uk/individual/en/themes/sustainable-investing" TargetMode="External" Id="R15b57213363e4af4" /><Relationship Type="http://schemas.openxmlformats.org/officeDocument/2006/relationships/hyperlink" Target="https://www.blackrock.com/corporate/sustainability" TargetMode="External" Id="R126a97acec314222" /><Relationship Type="http://schemas.openxmlformats.org/officeDocument/2006/relationships/hyperlink" Target="https://www.blackrock.com/corporate/about-us/investment-stewardship" TargetMode="External" Id="R24e955aee69d483d" /><Relationship Type="http://schemas.openxmlformats.org/officeDocument/2006/relationships/hyperlink" Target="https://www.blackrock.com/corporate/investor-relations/larry-fink-ceo-letter" TargetMode="External" Id="R11feafdcbb7c4c6a" /><Relationship Type="http://schemas.openxmlformats.org/officeDocument/2006/relationships/hyperlink" Target="https://www.blackrock.com/corporate/literature/publication/2025-investment-stewardship-voting-spotlight.pdf" TargetMode="External" Id="R50bc5b7921a94f29" /><Relationship Type="http://schemas.openxmlformats.org/officeDocument/2006/relationships/hyperlink" Target="https://www.blackrock.com/corporate/literature/publication/investment-stewardship-by-the-numbers-q2-2025.pdf" TargetMode="External" Id="Rae4a3d23c5e248c0" /><Relationship Type="http://schemas.openxmlformats.org/officeDocument/2006/relationships/hyperlink" Target="https://www.blackrock.com/corporate/literature/continuous-disclosure-and-important-information/blackrock-sustainability-disclosure.pdf" TargetMode="External" Id="Rac7495b0b4b04f37" /><Relationship Type="http://schemas.openxmlformats.org/officeDocument/2006/relationships/hyperlink" Target="https://www.blackrock.com/corporate/about-us/mission-and-principles" TargetMode="External" Id="R99eaaa7bf8ca4e54" /><Relationship Type="http://schemas.openxmlformats.org/officeDocument/2006/relationships/hyperlink" Target="https://www.blackrock.com/corporate/about-us" TargetMode="External" Id="Rebc7abfab6464a1d" /><Relationship Type="http://schemas.openxmlformats.org/officeDocument/2006/relationships/hyperlink" Target="https://businesschief.com/news/is-the-esg-era-over-decoding-larry-finks-2026-letter?utm_source=chatgpt.com" TargetMode="External" Id="R43810c7e043c4879" /><Relationship Type="http://schemas.openxmlformats.org/officeDocument/2006/relationships/hyperlink" Target="https://doi.org/10.1016/j.irfa.2026.XXXXXX" TargetMode="External" Id="Ra236d25ab8554f95" /><Relationship Type="http://schemas.openxmlformats.org/officeDocument/2006/relationships/hyperlink" Target="https://doi.org/10.1016/j.jenvman.2025" TargetMode="External" Id="R8320638aa4ce40f5" /><Relationship Type="http://schemas.openxmlformats.org/officeDocument/2006/relationships/hyperlink" Target="https://www.csrc.gov.cn/" TargetMode="External" Id="R674082701f094428" /><Relationship Type="http://schemas.openxmlformats.org/officeDocument/2006/relationships/hyperlink" Target="https://doi.org/10.1007/s11142-021-09609-5" TargetMode="External" Id="R751d08d6b43e4d8a" /><Relationship Type="http://schemas.openxmlformats.org/officeDocument/2006/relationships/hyperlink" Target="https://doi.org/10.3390/ijfs13030166" TargetMode="External" Id="Rab1f0b837e8f41ca" /><Relationship Type="http://schemas.openxmlformats.org/officeDocument/2006/relationships/hyperlink" Target="https://www.dccourts.gov/" TargetMode="External" Id="R36ac4a46cc7e4b94" /><Relationship Type="http://schemas.openxmlformats.org/officeDocument/2006/relationships/hyperlink" Target="https://doi.org/10.1287/mnsc.2014.1984" TargetMode="External" Id="R0999eb62bfba46ec" /><Relationship Type="http://schemas.openxmlformats.org/officeDocument/2006/relationships/hyperlink" Target="https://www.edelman.com/trust-barometer" TargetMode="External" Id="Rc12a4233e11f439c" /><Relationship Type="http://schemas.openxmlformats.org/officeDocument/2006/relationships/hyperlink" Target="https://doi.org/10.3390/jrfm18070367" TargetMode="External" Id="R76031a1641704546" /><Relationship Type="http://schemas.openxmlformats.org/officeDocument/2006/relationships/hyperlink" Target="https://finance.ec.europa.eu/sustainable-finance/disclosures_en" TargetMode="External" Id="R1fb2d3993f9242cf" /><Relationship Type="http://schemas.openxmlformats.org/officeDocument/2006/relationships/hyperlink" Target="https://commission.europa.eu/topics/business-and-industry/doing-business-eu/sustainability-due-diligence-responsible-business/corporate-sustainability-due-diligence_en" TargetMode="External" Id="R3ad9506972584dd2" /><Relationship Type="http://schemas.openxmlformats.org/officeDocument/2006/relationships/hyperlink" Target="https://corporate.exxonmobil.com/sustainability" TargetMode="External" Id="R566743d4888145c2" /><Relationship Type="http://schemas.openxmlformats.org/officeDocument/2006/relationships/hyperlink" Target="https://investor.exxonmobil.com/sec-filings" TargetMode="External" Id="R66abde5a366e404b" /><Relationship Type="http://schemas.openxmlformats.org/officeDocument/2006/relationships/hyperlink" Target="https://www.fca.org.uk/markets/sustainable-finance" TargetMode="External" Id="R31f8825aba1e48d4" /><Relationship Type="http://schemas.openxmlformats.org/officeDocument/2006/relationships/hyperlink" Target="https://www.blackrock.com/corporate/investor-relations/2020-larry-fink-ceo-letter" TargetMode="External" Id="R338e6340383e446b" /><Relationship Type="http://schemas.openxmlformats.org/officeDocument/2006/relationships/hyperlink" Target="https://www.blackrock.com/corporate/investor-relations/larry-fink-ceo-letter" TargetMode="External" Id="Rdafb02d7230e49ab" /><Relationship Type="http://schemas.openxmlformats.org/officeDocument/2006/relationships/hyperlink" Target="https://www.blackrock.com/corporate/investor-relations/larry-fink-ceo-letter" TargetMode="External" Id="Rfc16d3adb9ff4586" /><Relationship Type="http://schemas.openxmlformats.org/officeDocument/2006/relationships/hyperlink" Target="https://www.financecharts.com" TargetMode="External" Id="R01065f40e8fe4163" /><Relationship Type="http://schemas.openxmlformats.org/officeDocument/2006/relationships/hyperlink" Target="https://doi.org/10.1080/20430795.2015.1118917" TargetMode="External" Id="R0e6a772307fe40ad" /><Relationship Type="http://schemas.openxmlformats.org/officeDocument/2006/relationships/hyperlink" Target="https://link.springer.com/article/10.1057/s42214-025-00213-x" TargetMode="External" Id="R1f21771012a84837" /><Relationship Type="http://schemas.openxmlformats.org/officeDocument/2006/relationships/hyperlink" Target="https://doi.org/10.1177/09721509261418879" TargetMode="External" Id="Rcc43e413ce9946ee" /><Relationship Type="http://schemas.openxmlformats.org/officeDocument/2006/relationships/hyperlink" Target="https://www.pleiadesstrategy.com/state-house-report-bill-tracker-republican-anti-esg-attacks-on-freedom-to-invest-responsibly-earns-business-labor-and-environmental-opposition" TargetMode="External" Id="Re8904c43ca7c4d20" /><Relationship Type="http://schemas.openxmlformats.org/officeDocument/2006/relationships/hyperlink" Target="https://corpgov.law.harvard.edu/2025/12/17/the-e-of-esg-greenwashing-under-the-spotlight-recent-trends-in-the-us/" TargetMode="External" Id="R36a7663a489d4a1d" /><Relationship Type="http://schemas.openxmlformats.org/officeDocument/2006/relationships/hyperlink" Target="https://doi.org/10.3390/su17219683" TargetMode="External" Id="Rc6dca1aca9094dbd" /><Relationship Type="http://schemas.openxmlformats.org/officeDocument/2006/relationships/hyperlink" Target="https://www.gov.uk/government/publications/transition-plan-taskforce-disclosure-framework" TargetMode="External" Id="Rbd9ac19289fa4ed0" /><Relationship Type="http://schemas.openxmlformats.org/officeDocument/2006/relationships/hyperlink" Target="https://www.icmagroup.org/" TargetMode="External" Id="R3477303851ee48f8" /><Relationship Type="http://schemas.openxmlformats.org/officeDocument/2006/relationships/hyperlink" Target="https://www.ipcc.ch/report/ar6/syr/" TargetMode="External" Id="Rce0f4129fb234e0c" /><Relationship Type="http://schemas.openxmlformats.org/officeDocument/2006/relationships/hyperlink" Target="https://papers.ssrn.com/sol3/papers.cfm?abstract_id=1799589" TargetMode="External" Id="Re888cc0d7ed44427" /><Relationship Type="http://schemas.openxmlformats.org/officeDocument/2006/relationships/hyperlink" Target="https://www.jpx.co.jp/english/corporate/sustainability/jpx-esg/environment/index.html" TargetMode="External" Id="Refbcefe1338f47a6" /><Relationship Type="http://schemas.openxmlformats.org/officeDocument/2006/relationships/hyperlink" Target="https://doi.org/10.1057/s41260-024-00345-7" TargetMode="External" Id="R9d2cb17acd994979" /><Relationship Type="http://schemas.openxmlformats.org/officeDocument/2006/relationships/hyperlink" Target="https://doi.org/10.1111/jacf.12169" TargetMode="External" Id="Rf51960c04c2e49b2" /><Relationship Type="http://schemas.openxmlformats.org/officeDocument/2006/relationships/hyperlink" Target="https://www.linkedin.com/posts/christian-kroll" TargetMode="External" Id="Rfbac8fec6db54641" /><Relationship Type="http://schemas.openxmlformats.org/officeDocument/2006/relationships/hyperlink" Target="https://www.annualreviews.org/" TargetMode="External" Id="Rd0bc908b279b40b4" /><Relationship Type="http://schemas.openxmlformats.org/officeDocument/2006/relationships/hyperlink" Target="https://doi.org/10.1080/10971475.2025.XXXXXX" TargetMode="External" Id="Rdcfa68287879482b" /><Relationship Type="http://schemas.openxmlformats.org/officeDocument/2006/relationships/hyperlink" Target="https://doi.org/10.3389/frsus.2025.1454822" TargetMode="External" Id="R281d4a76578e4b17" /><Relationship Type="http://schemas.openxmlformats.org/officeDocument/2006/relationships/hyperlink" Target="https://doi.org/10.1016/j.jenvman.2025.XXXXXX" TargetMode="External" Id="R2cc1f3314f2545bc" /><Relationship Type="http://schemas.openxmlformats.org/officeDocument/2006/relationships/hyperlink" Target="https://doi.org/10.1016/j.frl.2024.105412" TargetMode="External" Id="R6165192bb11644af" /><Relationship Type="http://schemas.openxmlformats.org/officeDocument/2006/relationships/hyperlink" Target="https://www.macrotrends.net/" TargetMode="External" Id="R85455bb4a5a944e9" /><Relationship Type="http://schemas.openxmlformats.org/officeDocument/2006/relationships/hyperlink" Target="https://doi.org/10.1017/bhj.2022.XX" TargetMode="External" Id="R5e3268835c45488d" /><Relationship Type="http://schemas.openxmlformats.org/officeDocument/2006/relationships/hyperlink" Target="https://static.rusi.org/scoping-corruption-in-voluntary-carbon-markets-july-2025.pdf" TargetMode="External" Id="R07e0b061bcee44e8" /><Relationship Type="http://schemas.openxmlformats.org/officeDocument/2006/relationships/hyperlink" Target="https://www.mckinsey.com/capabilities/sustainability" TargetMode="External" Id="Rc6eeb9b128b34871" /><Relationship Type="http://schemas.openxmlformats.org/officeDocument/2006/relationships/hyperlink" Target="https://www.morningstar.com/" TargetMode="External" Id="Rd87c490d99da4d99" /><Relationship Type="http://schemas.openxmlformats.org/officeDocument/2006/relationships/hyperlink" Target="https://www.morningstar.com/lp/global-esg-flows" TargetMode="External" Id="R8fec04bd40c54947" /><Relationship Type="http://schemas.openxmlformats.org/officeDocument/2006/relationships/hyperlink" Target="https://www.morningstar.com/business/insights/research/global-esg-flows" TargetMode="External" Id="R7d45aff101f44287" /><Relationship Type="http://schemas.openxmlformats.org/officeDocument/2006/relationships/hyperlink" Target="https://global.morningstar.com/en-gb/sustainable-investing/esg-funds-2025-closes-with-continued-outflows-amid-persistent-headwinds" TargetMode="External" Id="Rb2439fef7d464374" /><Relationship Type="http://schemas.openxmlformats.org/officeDocument/2006/relationships/hyperlink" Target="https://www.morningstar.com/lp/global-esg-flows" TargetMode="External" Id="R81317ffb3dd34576" /><Relationship Type="http://schemas.openxmlformats.org/officeDocument/2006/relationships/hyperlink" Target="https://doi.org/10.1108/CCIJ-2023-0148(Accessed" TargetMode="External" Id="Rb9c794c607c44714" /><Relationship Type="http://schemas.openxmlformats.org/officeDocument/2006/relationships/hyperlink" Target="https://www.msci.com/our-solutions/esg-investing/esg-ratings" TargetMode="External" Id="R55065c12ce2d43f5" /><Relationship Type="http://schemas.openxmlformats.org/officeDocument/2006/relationships/hyperlink" Target="https://www.msci.com/documents/10199/255599/msci-acwi-focus-index-usd-net.pdf" TargetMode="External" Id="Reee8a581bafb4b68" /><Relationship Type="http://schemas.openxmlformats.org/officeDocument/2006/relationships/hyperlink" Target="https://www.msci.com/" TargetMode="External" Id="R736bce2a34994d80" /><Relationship Type="http://schemas.openxmlformats.org/officeDocument/2006/relationships/hyperlink" Target="https://nielseniq.com/global/en/insights/analysis/" TargetMode="External" Id="R470bc0945b5f4a7c" /><Relationship Type="http://schemas.openxmlformats.org/officeDocument/2006/relationships/hyperlink" Target="https://www.oecd.org/corporate/(Accessed" TargetMode="External" Id="R01b59b29548541aa" /><Relationship Type="http://schemas.openxmlformats.org/officeDocument/2006/relationships/hyperlink" Target="https://www.oecd.org/" TargetMode="External" Id="Rb3cbbcaf06d6454a" /><Relationship Type="http://schemas.openxmlformats.org/officeDocument/2006/relationships/hyperlink" Target="https://press.farm/blackrocks-shift-from-esg-investing/?utm_source=chatgpt.com" TargetMode="External" Id="R9372b2ae59eb4d7d" /><Relationship Type="http://schemas.openxmlformats.org/officeDocument/2006/relationships/hyperlink" Target="https://www.pwc.com/" TargetMode="External" Id="R44c818c0183c41ac" /><Relationship Type="http://schemas.openxmlformats.org/officeDocument/2006/relationships/hyperlink" Target="https://www.reuters.com/sustainability/climate-energy/trump-agenda-drives-record-outflows-global-sustainable-funds-morningstar-says-2025-04-24/" TargetMode="External" Id="R7350a456bc8a47bb" /><Relationship Type="http://schemas.openxmlformats.org/officeDocument/2006/relationships/hyperlink" Target="https://doi.org/10.1016/j.jfbs.2025.100700" TargetMode="External" Id="R2fd1483695e749e9" /><Relationship Type="http://schemas.openxmlformats.org/officeDocument/2006/relationships/hyperlink" Target="http://english.sse.com.cn/" TargetMode="External" Id="R3dc544e44d944710" /><Relationship Type="http://schemas.openxmlformats.org/officeDocument/2006/relationships/hyperlink" Target="https://doi.org/10.3390/su17104717" TargetMode="External" Id="Rd777d537437c4f16" /><Relationship Type="http://schemas.openxmlformats.org/officeDocument/2006/relationships/hyperlink" Target="https://doi.org/10.1017/err.2025.XX" TargetMode="External" Id="R1f31d5d3fc534334" /><Relationship Type="http://schemas.openxmlformats.org/officeDocument/2006/relationships/hyperlink" Target="https://www.slickcharts.com/" TargetMode="External" Id="Rbb01e3cf881949b2" /><Relationship Type="http://schemas.openxmlformats.org/officeDocument/2006/relationships/hyperlink" Target="https://papers.ssrn.com/sol3/papers.cfm?abstract_id=4787904&amp;utm_source=chatgpt.com" TargetMode="External" Id="R26d973c223254b12" /><Relationship Type="http://schemas.openxmlformats.org/officeDocument/2006/relationships/hyperlink" Target="https://doi.org/10.1080/20430795.2024.2391187" TargetMode="External" Id="Rf9576ab42894459b" /><Relationship Type="http://schemas.openxmlformats.org/officeDocument/2006/relationships/hyperlink" Target="https://doi.org/10.1016/j.ribaf.2024.102499" TargetMode="External" Id="R75dcdd646b5c4dbe" /><Relationship Type="http://schemas.openxmlformats.org/officeDocument/2006/relationships/hyperlink" Target="https://www.tesla.com/ns_videos/2024-tesla-impact-report.pdf" TargetMode="External" Id="Rcb19741f3c23434b" /><Relationship Type="http://schemas.openxmlformats.org/officeDocument/2006/relationships/hyperlink" Target="https://www.sec.gov/Archives/edgar/data/1318605/000162828026003952/tsla-20251231.htm" TargetMode="External" Id="Raaad748d60624b57" /><Relationship Type="http://schemas.openxmlformats.org/officeDocument/2006/relationships/hyperlink" Target="https://totalrealreturns.com" TargetMode="External" Id="R88729fd0f3c94916" /><Relationship Type="http://schemas.openxmlformats.org/officeDocument/2006/relationships/hyperlink" Target="https://us.transparency.org/" TargetMode="External" Id="R0f489afbe6d747a1" /><Relationship Type="http://schemas.openxmlformats.org/officeDocument/2006/relationships/hyperlink" Target="https://www.unilever.com/" TargetMode="External" Id="Rf5763d1ab47749bd" /><Relationship Type="http://schemas.openxmlformats.org/officeDocument/2006/relationships/hyperlink" Target="https://www.sec.gov/enforce" TargetMode="External" Id="R142f9d5eaa6544ae" /><Relationship Type="http://schemas.openxmlformats.org/officeDocument/2006/relationships/hyperlink" Target="https://www.sec.gov/newsroom/press-releases/2025-58" TargetMode="External" Id="R0cf36fe49f4d40b4" /><Relationship Type="http://schemas.openxmlformats.org/officeDocument/2006/relationships/hyperlink" Target="https://doi.org/10.3390/suXXXX" TargetMode="External" Id="R2760e53ab2b946dd" /><Relationship Type="http://schemas.openxmlformats.org/officeDocument/2006/relationships/hyperlink" Target="https://www.china-briefing.com/" TargetMode="External" Id="R82d540f083d14122" /><Relationship Type="http://schemas.openxmlformats.org/officeDocument/2006/relationships/hyperlink" Target="https://www.anserpress.org/journal/rea/4/2/48" TargetMode="External" Id="R5481eac1872042ad" /><Relationship Type="http://schemas.openxmlformats.org/officeDocument/2006/relationships/hyperlink" Target="https://doi.org/10.1016/j.jenvman.2025.XXXXXX" TargetMode="External" Id="Rf494da535890419e" /><Relationship Type="http://schemas.openxmlformats.org/officeDocument/2006/relationships/hyperlink" Target="https://finance.yahoo.com/" TargetMode="External" Id="Rca3b7d9dee3042a9" /><Relationship Type="http://schemas.openxmlformats.org/officeDocument/2006/relationships/hyperlink" Target="https://doi.org/10.1057/s41264-026-00356-9" TargetMode="External" Id="R486d44e77b1d48cf" /><Relationship Type="http://schemas.openxmlformats.org/officeDocument/2006/relationships/hyperlink" Target="https://doi.org/10.3390/su17219607" TargetMode="External" Id="R52d2ad434b514006" /><Relationship Type="http://schemas.openxmlformats.org/officeDocument/2006/relationships/hyperlink" Target="https://doi.org/10.20944/preprints202601.0203.v1" TargetMode="External" Id="Rbdf8b109a8654a8b" /><Relationship Type="http://schemas.openxmlformats.org/officeDocument/2006/relationships/hyperlink" Target="https://doi.org/10.1016/j.intfin.2026.XXXXXX" TargetMode="External" Id="R47f7b7f7688a4b02" /><Relationship Type="http://schemas.openxmlformats.org/officeDocument/2006/relationships/image" Target="/media/image8.png" Id="rId34495696" /><Relationship Type="http://schemas.openxmlformats.org/officeDocument/2006/relationships/image" Target="/media/image9.png" Id="rId1078903761" /><Relationship Type="http://schemas.openxmlformats.org/officeDocument/2006/relationships/image" Target="/media/imagea.png" Id="rId1065208677" /><Relationship Type="http://schemas.openxmlformats.org/officeDocument/2006/relationships/image" Target="/media/imageb.png" Id="rId636760569" /><Relationship Type="http://schemas.openxmlformats.org/officeDocument/2006/relationships/image" Target="/media/imagec.png" Id="rId1408770295" /><Relationship Type="http://schemas.openxmlformats.org/officeDocument/2006/relationships/image" Target="/media/imaged.png" Id="rId1734631484" /><Relationship Type="http://schemas.microsoft.com/office/2020/10/relationships/intelligence" Target="intelligence2.xml" Id="Ra5dbad1b7afd401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Dale B</dc:creator>
  <keywords/>
  <dc:description/>
  <lastModifiedBy>Nathan Barlow (2318300)</lastModifiedBy>
  <revision>5</revision>
  <dcterms:created xsi:type="dcterms:W3CDTF">2026-04-08T17:01:00.0000000Z</dcterms:created>
  <dcterms:modified xsi:type="dcterms:W3CDTF">2026-05-08T14:05:39.9083012Z</dcterms:modified>
</coreProperties>
</file>