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A1A09" w14:textId="77777777" w:rsidR="000749A3" w:rsidRPr="005D74BB" w:rsidRDefault="000749A3" w:rsidP="000749A3">
      <w:pPr>
        <w:jc w:val="center"/>
        <w:rPr>
          <w:rFonts w:ascii="Arial" w:eastAsia="Calibri" w:hAnsi="Arial" w:cs="Arial"/>
          <w:b/>
          <w:bCs/>
          <w:sz w:val="48"/>
          <w:szCs w:val="48"/>
        </w:rPr>
      </w:pPr>
      <w:r w:rsidRPr="005D74BB">
        <w:rPr>
          <w:rFonts w:ascii="Arial" w:eastAsia="Calibri" w:hAnsi="Arial" w:cs="Arial"/>
          <w:b/>
          <w:bCs/>
          <w:sz w:val="48"/>
          <w:szCs w:val="48"/>
        </w:rPr>
        <w:t>University of Wales Trinity Saint David</w:t>
      </w:r>
    </w:p>
    <w:p w14:paraId="3D35ABB4" w14:textId="77777777" w:rsidR="000749A3" w:rsidRPr="005D74BB" w:rsidRDefault="000749A3" w:rsidP="000749A3">
      <w:pPr>
        <w:jc w:val="center"/>
        <w:rPr>
          <w:rFonts w:ascii="Arial" w:eastAsia="Calibri" w:hAnsi="Arial" w:cs="Arial"/>
          <w:sz w:val="48"/>
          <w:szCs w:val="48"/>
        </w:rPr>
      </w:pPr>
      <w:r w:rsidRPr="005D74BB">
        <w:rPr>
          <w:rFonts w:ascii="Arial" w:eastAsia="Calibri" w:hAnsi="Arial" w:cs="Arial"/>
          <w:sz w:val="48"/>
          <w:szCs w:val="48"/>
        </w:rPr>
        <w:t>London Campus</w:t>
      </w:r>
    </w:p>
    <w:p w14:paraId="4F08E98A" w14:textId="77777777" w:rsidR="000749A3" w:rsidRPr="005D74BB" w:rsidRDefault="000749A3" w:rsidP="000749A3">
      <w:pPr>
        <w:jc w:val="center"/>
        <w:rPr>
          <w:rFonts w:ascii="Arial" w:eastAsia="Calibri" w:hAnsi="Arial" w:cs="Arial"/>
          <w:sz w:val="48"/>
          <w:szCs w:val="48"/>
        </w:rPr>
      </w:pPr>
    </w:p>
    <w:p w14:paraId="23F4221C" w14:textId="6AD8ED51" w:rsidR="000749A3" w:rsidRPr="005D74BB" w:rsidRDefault="000749A3" w:rsidP="000749A3">
      <w:pPr>
        <w:jc w:val="center"/>
        <w:rPr>
          <w:rFonts w:ascii="Arial" w:eastAsia="Calibri" w:hAnsi="Arial" w:cs="Arial"/>
          <w:b/>
          <w:bCs/>
          <w:sz w:val="48"/>
          <w:szCs w:val="48"/>
        </w:rPr>
      </w:pPr>
      <w:r>
        <w:rPr>
          <w:rFonts w:ascii="Arial" w:eastAsia="Calibri" w:hAnsi="Arial" w:cs="Arial"/>
          <w:b/>
          <w:bCs/>
          <w:sz w:val="48"/>
          <w:szCs w:val="48"/>
        </w:rPr>
        <w:t>Management Economics</w:t>
      </w:r>
    </w:p>
    <w:p w14:paraId="67CD50E1" w14:textId="77777777" w:rsidR="000749A3" w:rsidRPr="005D74BB" w:rsidRDefault="000749A3" w:rsidP="000749A3">
      <w:pPr>
        <w:jc w:val="center"/>
        <w:rPr>
          <w:rFonts w:ascii="Arial" w:eastAsia="Calibri" w:hAnsi="Arial" w:cs="Arial"/>
          <w:b/>
          <w:bCs/>
          <w:sz w:val="48"/>
          <w:szCs w:val="48"/>
        </w:rPr>
      </w:pPr>
    </w:p>
    <w:p w14:paraId="4AA4B73B" w14:textId="77777777" w:rsidR="000749A3" w:rsidRDefault="000749A3" w:rsidP="000749A3">
      <w:pPr>
        <w:jc w:val="center"/>
        <w:rPr>
          <w:rFonts w:ascii="Arial" w:eastAsia="Calibri" w:hAnsi="Arial" w:cs="Arial"/>
          <w:sz w:val="36"/>
          <w:szCs w:val="36"/>
        </w:rPr>
      </w:pPr>
      <w:r w:rsidRPr="005D74BB">
        <w:rPr>
          <w:rFonts w:ascii="Arial" w:eastAsia="Calibri" w:hAnsi="Arial" w:cs="Arial"/>
          <w:b/>
          <w:bCs/>
          <w:sz w:val="48"/>
          <w:szCs w:val="48"/>
        </w:rPr>
        <w:t xml:space="preserve">Assessment </w:t>
      </w:r>
      <w:r>
        <w:rPr>
          <w:rFonts w:ascii="Arial" w:eastAsia="Calibri" w:hAnsi="Arial" w:cs="Arial"/>
          <w:b/>
          <w:bCs/>
          <w:sz w:val="48"/>
          <w:szCs w:val="48"/>
        </w:rPr>
        <w:t>1</w:t>
      </w:r>
      <w:r w:rsidRPr="00DB13C3">
        <w:rPr>
          <w:rFonts w:ascii="Arial" w:eastAsia="Calibri" w:hAnsi="Arial" w:cs="Arial"/>
          <w:b/>
          <w:bCs/>
          <w:sz w:val="36"/>
          <w:szCs w:val="36"/>
        </w:rPr>
        <w:t>:</w:t>
      </w:r>
      <w:r w:rsidRPr="00DB13C3">
        <w:rPr>
          <w:rFonts w:ascii="Arial" w:eastAsia="Calibri" w:hAnsi="Arial" w:cs="Arial"/>
          <w:sz w:val="36"/>
          <w:szCs w:val="36"/>
        </w:rPr>
        <w:t xml:space="preserve"> </w:t>
      </w:r>
    </w:p>
    <w:p w14:paraId="2C163710" w14:textId="246186B7" w:rsidR="000749A3" w:rsidRPr="005D74BB" w:rsidRDefault="00325581" w:rsidP="00F52CAC">
      <w:pPr>
        <w:jc w:val="center"/>
        <w:rPr>
          <w:rFonts w:ascii="Arial" w:eastAsia="Calibri" w:hAnsi="Arial" w:cs="Arial"/>
          <w:b/>
          <w:bCs/>
          <w:sz w:val="48"/>
          <w:szCs w:val="48"/>
        </w:rPr>
      </w:pPr>
      <w:r w:rsidRPr="00CA74C8">
        <w:rPr>
          <w:rFonts w:ascii="Arial" w:eastAsia="Calibri" w:hAnsi="Arial" w:cs="Arial"/>
          <w:sz w:val="36"/>
          <w:szCs w:val="36"/>
        </w:rPr>
        <w:t>Economic Analysis of</w:t>
      </w:r>
      <w:r w:rsidR="0032647B">
        <w:rPr>
          <w:rFonts w:ascii="Arial" w:eastAsia="Calibri" w:hAnsi="Arial" w:cs="Arial"/>
          <w:sz w:val="36"/>
          <w:szCs w:val="36"/>
        </w:rPr>
        <w:t xml:space="preserve"> </w:t>
      </w:r>
      <w:r w:rsidR="00ED79EF">
        <w:rPr>
          <w:rFonts w:ascii="Arial" w:eastAsia="Calibri" w:hAnsi="Arial" w:cs="Arial"/>
          <w:sz w:val="36"/>
          <w:szCs w:val="36"/>
        </w:rPr>
        <w:t>Pfizer</w:t>
      </w:r>
      <w:r w:rsidR="00454177">
        <w:rPr>
          <w:rFonts w:ascii="Arial" w:eastAsia="Calibri" w:hAnsi="Arial" w:cs="Arial"/>
          <w:sz w:val="36"/>
          <w:szCs w:val="36"/>
        </w:rPr>
        <w:t xml:space="preserve"> Inc</w:t>
      </w:r>
    </w:p>
    <w:p w14:paraId="6B4B387A" w14:textId="77777777" w:rsidR="000749A3" w:rsidRPr="005D74BB" w:rsidRDefault="000749A3" w:rsidP="000749A3">
      <w:pPr>
        <w:jc w:val="center"/>
        <w:rPr>
          <w:rFonts w:ascii="Arial" w:eastAsia="Calibri" w:hAnsi="Arial" w:cs="Arial"/>
          <w:b/>
          <w:bCs/>
          <w:sz w:val="48"/>
          <w:szCs w:val="48"/>
        </w:rPr>
      </w:pPr>
    </w:p>
    <w:p w14:paraId="3FC28E17" w14:textId="498AB2FA" w:rsidR="000749A3" w:rsidRPr="005D74BB" w:rsidRDefault="000749A3" w:rsidP="000749A3">
      <w:pPr>
        <w:jc w:val="center"/>
        <w:rPr>
          <w:rFonts w:ascii="Arial" w:eastAsia="Calibri" w:hAnsi="Arial" w:cs="Arial"/>
          <w:b/>
          <w:bCs/>
          <w:sz w:val="48"/>
          <w:szCs w:val="48"/>
        </w:rPr>
      </w:pPr>
      <w:r w:rsidRPr="005D74BB">
        <w:rPr>
          <w:rFonts w:ascii="Arial" w:eastAsia="Calibri" w:hAnsi="Arial" w:cs="Arial"/>
          <w:b/>
          <w:bCs/>
          <w:sz w:val="48"/>
          <w:szCs w:val="48"/>
        </w:rPr>
        <w:t xml:space="preserve">Lector: </w:t>
      </w:r>
      <w:r>
        <w:rPr>
          <w:rFonts w:ascii="Arial" w:eastAsia="Calibri" w:hAnsi="Arial" w:cs="Arial"/>
          <w:b/>
          <w:bCs/>
          <w:sz w:val="48"/>
          <w:szCs w:val="48"/>
        </w:rPr>
        <w:t>Samuel Ze -To</w:t>
      </w:r>
      <w:r w:rsidR="004C1E59">
        <w:rPr>
          <w:rFonts w:ascii="Arial" w:eastAsia="Calibri" w:hAnsi="Arial" w:cs="Arial"/>
          <w:b/>
          <w:bCs/>
          <w:sz w:val="48"/>
          <w:szCs w:val="48"/>
        </w:rPr>
        <w:t xml:space="preserve"> </w:t>
      </w:r>
    </w:p>
    <w:p w14:paraId="25D1E63E" w14:textId="77777777" w:rsidR="000749A3" w:rsidRPr="005D74BB" w:rsidRDefault="000749A3" w:rsidP="000749A3">
      <w:pPr>
        <w:jc w:val="center"/>
        <w:rPr>
          <w:rFonts w:ascii="Arial" w:eastAsia="Calibri" w:hAnsi="Arial" w:cs="Arial"/>
          <w:b/>
          <w:bCs/>
          <w:sz w:val="48"/>
          <w:szCs w:val="48"/>
        </w:rPr>
      </w:pPr>
    </w:p>
    <w:p w14:paraId="007AA2DB" w14:textId="77777777" w:rsidR="000749A3" w:rsidRPr="005D74BB" w:rsidRDefault="000749A3" w:rsidP="000749A3">
      <w:pPr>
        <w:jc w:val="center"/>
        <w:rPr>
          <w:rFonts w:ascii="Arial" w:eastAsia="Calibri" w:hAnsi="Arial" w:cs="Arial"/>
          <w:b/>
          <w:bCs/>
          <w:sz w:val="48"/>
          <w:szCs w:val="48"/>
        </w:rPr>
      </w:pPr>
      <w:r w:rsidRPr="005D74BB">
        <w:rPr>
          <w:rFonts w:ascii="Arial" w:eastAsia="Calibri" w:hAnsi="Arial" w:cs="Arial"/>
          <w:b/>
          <w:bCs/>
          <w:sz w:val="48"/>
          <w:szCs w:val="48"/>
        </w:rPr>
        <w:t>Galina Gancheva 2022711</w:t>
      </w:r>
    </w:p>
    <w:p w14:paraId="7BC66639" w14:textId="77777777" w:rsidR="000749A3" w:rsidRPr="005D74BB" w:rsidRDefault="000749A3" w:rsidP="000749A3">
      <w:pPr>
        <w:jc w:val="center"/>
        <w:rPr>
          <w:rFonts w:ascii="Arial" w:eastAsia="Calibri" w:hAnsi="Arial" w:cs="Arial"/>
          <w:b/>
          <w:bCs/>
          <w:sz w:val="48"/>
          <w:szCs w:val="48"/>
        </w:rPr>
      </w:pPr>
    </w:p>
    <w:p w14:paraId="054CA188" w14:textId="77777777" w:rsidR="000749A3" w:rsidRPr="005D74BB" w:rsidRDefault="000749A3" w:rsidP="000749A3">
      <w:pPr>
        <w:jc w:val="center"/>
        <w:rPr>
          <w:rFonts w:ascii="Arial" w:eastAsia="Calibri" w:hAnsi="Arial" w:cs="Arial"/>
          <w:b/>
          <w:bCs/>
          <w:sz w:val="48"/>
          <w:szCs w:val="48"/>
        </w:rPr>
      </w:pPr>
    </w:p>
    <w:p w14:paraId="67DD90FB" w14:textId="1D66B8D7" w:rsidR="000749A3" w:rsidRDefault="000749A3" w:rsidP="000749A3">
      <w:pPr>
        <w:jc w:val="center"/>
        <w:rPr>
          <w:rFonts w:ascii="Arial" w:eastAsia="Calibri" w:hAnsi="Arial" w:cs="Arial"/>
          <w:b/>
          <w:bCs/>
          <w:sz w:val="48"/>
          <w:szCs w:val="48"/>
        </w:rPr>
      </w:pPr>
    </w:p>
    <w:p w14:paraId="08CDC828" w14:textId="598454E9" w:rsidR="00985A7C" w:rsidRDefault="00985A7C" w:rsidP="000749A3">
      <w:pPr>
        <w:jc w:val="center"/>
        <w:rPr>
          <w:rFonts w:ascii="Arial" w:eastAsia="Calibri" w:hAnsi="Arial" w:cs="Arial"/>
          <w:b/>
          <w:bCs/>
          <w:sz w:val="48"/>
          <w:szCs w:val="48"/>
        </w:rPr>
      </w:pPr>
    </w:p>
    <w:p w14:paraId="44BA5931" w14:textId="77777777" w:rsidR="00985A7C" w:rsidRPr="005D74BB" w:rsidRDefault="00985A7C" w:rsidP="000749A3">
      <w:pPr>
        <w:jc w:val="center"/>
        <w:rPr>
          <w:rFonts w:ascii="Arial" w:eastAsia="Calibri" w:hAnsi="Arial" w:cs="Arial"/>
          <w:b/>
          <w:bCs/>
          <w:sz w:val="48"/>
          <w:szCs w:val="48"/>
        </w:rPr>
      </w:pPr>
    </w:p>
    <w:p w14:paraId="3A0FDE53" w14:textId="678C94E3" w:rsidR="000749A3" w:rsidRPr="005D74BB" w:rsidRDefault="000749A3" w:rsidP="000749A3">
      <w:pPr>
        <w:jc w:val="both"/>
        <w:rPr>
          <w:rFonts w:ascii="Arial" w:eastAsia="Calibri" w:hAnsi="Arial" w:cs="Arial"/>
          <w:sz w:val="24"/>
          <w:szCs w:val="24"/>
        </w:rPr>
      </w:pPr>
      <w:r w:rsidRPr="005D74BB">
        <w:rPr>
          <w:rFonts w:ascii="Arial" w:eastAsia="Calibri" w:hAnsi="Arial" w:cs="Arial"/>
          <w:sz w:val="24"/>
          <w:szCs w:val="24"/>
        </w:rPr>
        <w:t xml:space="preserve">Date: </w:t>
      </w:r>
      <w:r w:rsidR="00B708CA">
        <w:rPr>
          <w:rFonts w:ascii="Arial" w:eastAsia="Calibri" w:hAnsi="Arial" w:cs="Arial"/>
          <w:sz w:val="24"/>
          <w:szCs w:val="24"/>
        </w:rPr>
        <w:t>06/01/</w:t>
      </w:r>
      <w:r w:rsidR="002C4C8E">
        <w:rPr>
          <w:rFonts w:ascii="Arial" w:eastAsia="Calibri" w:hAnsi="Arial" w:cs="Arial"/>
          <w:sz w:val="24"/>
          <w:szCs w:val="24"/>
        </w:rPr>
        <w:t>2023</w:t>
      </w:r>
      <w:r w:rsidRPr="005D74BB">
        <w:rPr>
          <w:rFonts w:ascii="Arial" w:eastAsia="Calibri" w:hAnsi="Arial" w:cs="Arial"/>
          <w:sz w:val="24"/>
          <w:szCs w:val="24"/>
        </w:rPr>
        <w:t xml:space="preserve">                                                                               word count:</w:t>
      </w:r>
      <w:r w:rsidR="00403A25">
        <w:rPr>
          <w:rFonts w:ascii="Arial" w:eastAsia="Calibri" w:hAnsi="Arial" w:cs="Arial"/>
          <w:sz w:val="24"/>
          <w:szCs w:val="24"/>
        </w:rPr>
        <w:t>2500</w:t>
      </w:r>
    </w:p>
    <w:p w14:paraId="0DD0FAA2" w14:textId="77777777" w:rsidR="000749A3" w:rsidRDefault="000749A3"/>
    <w:p w14:paraId="252BE295" w14:textId="77777777" w:rsidR="003A71A1" w:rsidRDefault="003A71A1"/>
    <w:p w14:paraId="2FE09350" w14:textId="558022C7" w:rsidR="003A71A1" w:rsidRDefault="003A71A1"/>
    <w:p w14:paraId="0BF24BBB" w14:textId="424043CD" w:rsidR="003A71A1" w:rsidRDefault="003A71A1"/>
    <w:p w14:paraId="3675E318" w14:textId="7348C881" w:rsidR="003A71A1" w:rsidRDefault="003A71A1" w:rsidP="003A71A1">
      <w:pPr>
        <w:jc w:val="center"/>
        <w:rPr>
          <w:rFonts w:ascii="Times New Roman" w:hAnsi="Times New Roman" w:cs="Times New Roman"/>
          <w:b/>
          <w:bCs/>
          <w:sz w:val="56"/>
          <w:szCs w:val="56"/>
        </w:rPr>
      </w:pPr>
      <w:r w:rsidRPr="00890A8E">
        <w:rPr>
          <w:rFonts w:ascii="Times New Roman" w:hAnsi="Times New Roman" w:cs="Times New Roman"/>
          <w:b/>
          <w:bCs/>
          <w:sz w:val="56"/>
          <w:szCs w:val="56"/>
        </w:rPr>
        <w:t>Contents:</w:t>
      </w:r>
    </w:p>
    <w:p w14:paraId="4A410096" w14:textId="77777777" w:rsidR="008F48D6" w:rsidRDefault="008F48D6" w:rsidP="003A71A1">
      <w:pPr>
        <w:jc w:val="center"/>
        <w:rPr>
          <w:rFonts w:ascii="Times New Roman" w:hAnsi="Times New Roman" w:cs="Times New Roman"/>
          <w:b/>
          <w:bCs/>
          <w:sz w:val="56"/>
          <w:szCs w:val="56"/>
        </w:rPr>
      </w:pPr>
    </w:p>
    <w:p w14:paraId="42F4D2E2" w14:textId="77777777" w:rsidR="008F48D6" w:rsidRPr="00220A77" w:rsidRDefault="008F48D6" w:rsidP="008F48D6">
      <w:pPr>
        <w:jc w:val="both"/>
        <w:rPr>
          <w:rFonts w:ascii="Arial" w:hAnsi="Arial" w:cs="Arial"/>
          <w:b/>
          <w:bCs/>
          <w:sz w:val="28"/>
          <w:szCs w:val="28"/>
        </w:rPr>
      </w:pPr>
      <w:r w:rsidRPr="00220A77">
        <w:rPr>
          <w:rFonts w:ascii="Arial" w:hAnsi="Arial" w:cs="Arial"/>
          <w:b/>
          <w:bCs/>
          <w:sz w:val="28"/>
          <w:szCs w:val="28"/>
        </w:rPr>
        <w:t>Introduction</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t>3</w:t>
      </w:r>
    </w:p>
    <w:p w14:paraId="454B02C4" w14:textId="12FF97CF" w:rsidR="008F48D6" w:rsidRPr="00220A77" w:rsidRDefault="008F48D6" w:rsidP="008F48D6">
      <w:pPr>
        <w:jc w:val="both"/>
        <w:rPr>
          <w:rFonts w:ascii="Arial" w:hAnsi="Arial" w:cs="Arial"/>
          <w:b/>
          <w:bCs/>
          <w:sz w:val="28"/>
          <w:szCs w:val="28"/>
        </w:rPr>
      </w:pPr>
      <w:bookmarkStart w:id="0" w:name="_Hlk113298446"/>
      <w:r w:rsidRPr="00220A77">
        <w:rPr>
          <w:rFonts w:ascii="Arial" w:hAnsi="Arial" w:cs="Arial"/>
          <w:b/>
          <w:bCs/>
          <w:sz w:val="28"/>
          <w:szCs w:val="28"/>
        </w:rPr>
        <w:t xml:space="preserve">About </w:t>
      </w:r>
      <w:r>
        <w:rPr>
          <w:rFonts w:ascii="Arial" w:hAnsi="Arial" w:cs="Arial"/>
          <w:b/>
          <w:bCs/>
          <w:sz w:val="28"/>
          <w:szCs w:val="28"/>
        </w:rPr>
        <w:t>Pfizer</w:t>
      </w:r>
      <w:r w:rsidR="00DC5588">
        <w:rPr>
          <w:rFonts w:ascii="Arial" w:hAnsi="Arial" w:cs="Arial"/>
          <w:b/>
          <w:bCs/>
          <w:sz w:val="28"/>
          <w:szCs w:val="28"/>
        </w:rPr>
        <w:tab/>
      </w:r>
      <w:r w:rsidR="00DC5588">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t>3</w:t>
      </w:r>
    </w:p>
    <w:bookmarkEnd w:id="0"/>
    <w:p w14:paraId="69B5EACC" w14:textId="77777777" w:rsidR="008F48D6" w:rsidRDefault="008F48D6" w:rsidP="008F48D6">
      <w:pPr>
        <w:pStyle w:val="NormalWeb"/>
        <w:rPr>
          <w:rFonts w:ascii="Arial" w:hAnsi="Arial" w:cs="Arial"/>
          <w:b/>
          <w:bCs/>
          <w:color w:val="000000"/>
          <w:sz w:val="28"/>
          <w:szCs w:val="28"/>
        </w:rPr>
      </w:pPr>
      <w:r w:rsidRPr="00220A77">
        <w:rPr>
          <w:rFonts w:ascii="Arial" w:hAnsi="Arial" w:cs="Arial"/>
          <w:b/>
          <w:bCs/>
          <w:color w:val="000000"/>
          <w:sz w:val="28"/>
          <w:szCs w:val="28"/>
        </w:rPr>
        <w:t>Findings</w:t>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p>
    <w:p w14:paraId="02FD8CE6" w14:textId="24844B8A" w:rsidR="008F48D6" w:rsidRPr="007E275F" w:rsidRDefault="008F48D6" w:rsidP="008F48D6">
      <w:pPr>
        <w:pStyle w:val="NormalWeb"/>
        <w:ind w:firstLine="720"/>
        <w:rPr>
          <w:rFonts w:ascii="Arial" w:hAnsi="Arial" w:cs="Arial"/>
          <w:color w:val="000000"/>
          <w:sz w:val="28"/>
          <w:szCs w:val="28"/>
        </w:rPr>
      </w:pPr>
      <w:r w:rsidRPr="007E275F">
        <w:rPr>
          <w:rFonts w:ascii="Arial" w:hAnsi="Arial" w:cs="Arial"/>
          <w:color w:val="000000"/>
          <w:sz w:val="28"/>
          <w:szCs w:val="28"/>
        </w:rPr>
        <w:t>Demand and Market Equilibrium</w:t>
      </w:r>
      <w:r>
        <w:rPr>
          <w:rFonts w:ascii="Arial" w:hAnsi="Arial" w:cs="Arial"/>
          <w:color w:val="000000"/>
          <w:sz w:val="28"/>
          <w:szCs w:val="28"/>
        </w:rPr>
        <w:tab/>
      </w:r>
      <w:r>
        <w:rPr>
          <w:rFonts w:ascii="Arial" w:hAnsi="Arial" w:cs="Arial"/>
          <w:color w:val="000000"/>
          <w:sz w:val="28"/>
          <w:szCs w:val="28"/>
        </w:rPr>
        <w:tab/>
      </w:r>
      <w:r>
        <w:rPr>
          <w:rFonts w:ascii="Arial" w:hAnsi="Arial" w:cs="Arial"/>
          <w:color w:val="000000"/>
          <w:sz w:val="28"/>
          <w:szCs w:val="28"/>
        </w:rPr>
        <w:tab/>
      </w:r>
      <w:r>
        <w:rPr>
          <w:rFonts w:ascii="Arial" w:hAnsi="Arial" w:cs="Arial"/>
          <w:color w:val="000000"/>
          <w:sz w:val="28"/>
          <w:szCs w:val="28"/>
        </w:rPr>
        <w:tab/>
      </w:r>
      <w:r w:rsidR="004D7447">
        <w:rPr>
          <w:rFonts w:ascii="Arial" w:hAnsi="Arial" w:cs="Arial"/>
          <w:color w:val="000000"/>
          <w:sz w:val="28"/>
          <w:szCs w:val="28"/>
        </w:rPr>
        <w:t>4</w:t>
      </w:r>
    </w:p>
    <w:p w14:paraId="5412FF89" w14:textId="77777777" w:rsidR="008F48D6" w:rsidRPr="007E275F" w:rsidRDefault="008F48D6" w:rsidP="008F48D6">
      <w:pPr>
        <w:pStyle w:val="NormalWeb"/>
        <w:rPr>
          <w:rFonts w:ascii="Arial" w:hAnsi="Arial" w:cs="Arial"/>
          <w:color w:val="000000"/>
          <w:sz w:val="28"/>
          <w:szCs w:val="28"/>
        </w:rPr>
      </w:pPr>
      <w:r w:rsidRPr="007E275F">
        <w:rPr>
          <w:rFonts w:ascii="Arial" w:hAnsi="Arial" w:cs="Arial"/>
          <w:color w:val="000000"/>
          <w:sz w:val="28"/>
          <w:szCs w:val="28"/>
        </w:rPr>
        <w:tab/>
      </w:r>
      <w:bookmarkStart w:id="1" w:name="_Hlk113307633"/>
      <w:r w:rsidRPr="007E275F">
        <w:rPr>
          <w:rFonts w:ascii="Arial" w:hAnsi="Arial" w:cs="Arial"/>
          <w:color w:val="000000"/>
          <w:sz w:val="28"/>
          <w:szCs w:val="28"/>
        </w:rPr>
        <w:t>Factors that may affects demand</w:t>
      </w:r>
      <w:bookmarkEnd w:id="1"/>
      <w:r>
        <w:rPr>
          <w:rFonts w:ascii="Arial" w:hAnsi="Arial" w:cs="Arial"/>
          <w:color w:val="000000"/>
          <w:sz w:val="28"/>
          <w:szCs w:val="28"/>
        </w:rPr>
        <w:tab/>
      </w:r>
      <w:r>
        <w:rPr>
          <w:rFonts w:ascii="Arial" w:hAnsi="Arial" w:cs="Arial"/>
          <w:color w:val="000000"/>
          <w:sz w:val="28"/>
          <w:szCs w:val="28"/>
        </w:rPr>
        <w:tab/>
      </w:r>
      <w:r>
        <w:rPr>
          <w:rFonts w:ascii="Arial" w:hAnsi="Arial" w:cs="Arial"/>
          <w:color w:val="000000"/>
          <w:sz w:val="28"/>
          <w:szCs w:val="28"/>
        </w:rPr>
        <w:tab/>
      </w:r>
      <w:r>
        <w:rPr>
          <w:rFonts w:ascii="Arial" w:hAnsi="Arial" w:cs="Arial"/>
          <w:color w:val="000000"/>
          <w:sz w:val="28"/>
          <w:szCs w:val="28"/>
        </w:rPr>
        <w:tab/>
        <w:t>5</w:t>
      </w:r>
    </w:p>
    <w:p w14:paraId="77E21C83" w14:textId="6F3B838F" w:rsidR="008F48D6" w:rsidRPr="007E275F" w:rsidRDefault="008F48D6" w:rsidP="008F48D6">
      <w:pPr>
        <w:pStyle w:val="NormalWeb"/>
        <w:rPr>
          <w:rFonts w:ascii="Arial" w:hAnsi="Arial" w:cs="Arial"/>
          <w:color w:val="000000"/>
          <w:sz w:val="28"/>
          <w:szCs w:val="28"/>
        </w:rPr>
      </w:pPr>
      <w:r w:rsidRPr="007E275F">
        <w:rPr>
          <w:rFonts w:ascii="Arial" w:hAnsi="Arial" w:cs="Arial"/>
          <w:color w:val="000000"/>
          <w:sz w:val="28"/>
          <w:szCs w:val="28"/>
        </w:rPr>
        <w:tab/>
      </w:r>
      <w:bookmarkStart w:id="2" w:name="_Hlk123814510"/>
      <w:r w:rsidRPr="007E275F">
        <w:rPr>
          <w:rFonts w:ascii="Arial" w:hAnsi="Arial" w:cs="Arial"/>
          <w:color w:val="000000"/>
          <w:sz w:val="28"/>
          <w:szCs w:val="28"/>
        </w:rPr>
        <w:t>Cost management</w:t>
      </w:r>
      <w:bookmarkEnd w:id="2"/>
      <w:r>
        <w:rPr>
          <w:rFonts w:ascii="Arial" w:hAnsi="Arial" w:cs="Arial"/>
          <w:color w:val="000000"/>
          <w:sz w:val="28"/>
          <w:szCs w:val="28"/>
        </w:rPr>
        <w:tab/>
      </w:r>
      <w:r>
        <w:rPr>
          <w:rFonts w:ascii="Arial" w:hAnsi="Arial" w:cs="Arial"/>
          <w:color w:val="000000"/>
          <w:sz w:val="28"/>
          <w:szCs w:val="28"/>
        </w:rPr>
        <w:tab/>
      </w:r>
      <w:r>
        <w:rPr>
          <w:rFonts w:ascii="Arial" w:hAnsi="Arial" w:cs="Arial"/>
          <w:color w:val="000000"/>
          <w:sz w:val="28"/>
          <w:szCs w:val="28"/>
        </w:rPr>
        <w:tab/>
      </w:r>
      <w:r>
        <w:rPr>
          <w:rFonts w:ascii="Arial" w:hAnsi="Arial" w:cs="Arial"/>
          <w:color w:val="000000"/>
          <w:sz w:val="28"/>
          <w:szCs w:val="28"/>
        </w:rPr>
        <w:tab/>
      </w:r>
      <w:r>
        <w:rPr>
          <w:rFonts w:ascii="Arial" w:hAnsi="Arial" w:cs="Arial"/>
          <w:color w:val="000000"/>
          <w:sz w:val="28"/>
          <w:szCs w:val="28"/>
        </w:rPr>
        <w:tab/>
      </w:r>
      <w:r>
        <w:rPr>
          <w:rFonts w:ascii="Arial" w:hAnsi="Arial" w:cs="Arial"/>
          <w:color w:val="000000"/>
          <w:sz w:val="28"/>
          <w:szCs w:val="28"/>
        </w:rPr>
        <w:tab/>
      </w:r>
      <w:r w:rsidR="003763D7">
        <w:rPr>
          <w:rFonts w:ascii="Arial" w:hAnsi="Arial" w:cs="Arial"/>
          <w:color w:val="000000"/>
          <w:sz w:val="28"/>
          <w:szCs w:val="28"/>
        </w:rPr>
        <w:t>6</w:t>
      </w:r>
    </w:p>
    <w:p w14:paraId="386CB418" w14:textId="1456C68F" w:rsidR="008F48D6" w:rsidRPr="007E275F" w:rsidRDefault="008F48D6" w:rsidP="008F48D6">
      <w:pPr>
        <w:pStyle w:val="NormalWeb"/>
        <w:rPr>
          <w:rFonts w:ascii="Arial" w:hAnsi="Arial" w:cs="Arial"/>
          <w:color w:val="000000"/>
          <w:sz w:val="28"/>
          <w:szCs w:val="28"/>
        </w:rPr>
      </w:pPr>
      <w:r w:rsidRPr="007E275F">
        <w:rPr>
          <w:rFonts w:ascii="Arial" w:hAnsi="Arial" w:cs="Arial"/>
          <w:color w:val="000000"/>
          <w:sz w:val="28"/>
          <w:szCs w:val="28"/>
        </w:rPr>
        <w:tab/>
        <w:t>Market structure</w:t>
      </w:r>
      <w:r>
        <w:rPr>
          <w:rFonts w:ascii="Arial" w:hAnsi="Arial" w:cs="Arial"/>
          <w:color w:val="000000"/>
          <w:sz w:val="28"/>
          <w:szCs w:val="28"/>
        </w:rPr>
        <w:tab/>
      </w:r>
      <w:r>
        <w:rPr>
          <w:rFonts w:ascii="Arial" w:hAnsi="Arial" w:cs="Arial"/>
          <w:color w:val="000000"/>
          <w:sz w:val="28"/>
          <w:szCs w:val="28"/>
        </w:rPr>
        <w:tab/>
      </w:r>
      <w:r>
        <w:rPr>
          <w:rFonts w:ascii="Arial" w:hAnsi="Arial" w:cs="Arial"/>
          <w:color w:val="000000"/>
          <w:sz w:val="28"/>
          <w:szCs w:val="28"/>
        </w:rPr>
        <w:tab/>
      </w:r>
      <w:r>
        <w:rPr>
          <w:rFonts w:ascii="Arial" w:hAnsi="Arial" w:cs="Arial"/>
          <w:color w:val="000000"/>
          <w:sz w:val="28"/>
          <w:szCs w:val="28"/>
        </w:rPr>
        <w:tab/>
      </w:r>
      <w:r>
        <w:rPr>
          <w:rFonts w:ascii="Arial" w:hAnsi="Arial" w:cs="Arial"/>
          <w:color w:val="000000"/>
          <w:sz w:val="28"/>
          <w:szCs w:val="28"/>
        </w:rPr>
        <w:tab/>
      </w:r>
      <w:r>
        <w:rPr>
          <w:rFonts w:ascii="Arial" w:hAnsi="Arial" w:cs="Arial"/>
          <w:color w:val="000000"/>
          <w:sz w:val="28"/>
          <w:szCs w:val="28"/>
        </w:rPr>
        <w:tab/>
      </w:r>
      <w:r>
        <w:rPr>
          <w:rFonts w:ascii="Arial" w:hAnsi="Arial" w:cs="Arial"/>
          <w:color w:val="000000"/>
          <w:sz w:val="28"/>
          <w:szCs w:val="28"/>
        </w:rPr>
        <w:tab/>
      </w:r>
      <w:r w:rsidR="003763D7">
        <w:rPr>
          <w:rFonts w:ascii="Arial" w:hAnsi="Arial" w:cs="Arial"/>
          <w:color w:val="000000"/>
          <w:sz w:val="28"/>
          <w:szCs w:val="28"/>
        </w:rPr>
        <w:t>7</w:t>
      </w:r>
    </w:p>
    <w:p w14:paraId="3D45C2C7" w14:textId="48CA0501" w:rsidR="008F48D6" w:rsidRPr="007E275F" w:rsidRDefault="008F48D6" w:rsidP="008F48D6">
      <w:pPr>
        <w:pStyle w:val="NormalWeb"/>
        <w:rPr>
          <w:rFonts w:ascii="Arial" w:hAnsi="Arial" w:cs="Arial"/>
          <w:color w:val="000000"/>
          <w:sz w:val="28"/>
          <w:szCs w:val="28"/>
        </w:rPr>
      </w:pPr>
      <w:r w:rsidRPr="007E275F">
        <w:rPr>
          <w:rFonts w:ascii="Arial" w:hAnsi="Arial" w:cs="Arial"/>
          <w:color w:val="000000"/>
          <w:sz w:val="28"/>
          <w:szCs w:val="28"/>
        </w:rPr>
        <w:tab/>
        <w:t>Regulation and Policies</w:t>
      </w:r>
      <w:r>
        <w:rPr>
          <w:rFonts w:ascii="Arial" w:hAnsi="Arial" w:cs="Arial"/>
          <w:color w:val="000000"/>
          <w:sz w:val="28"/>
          <w:szCs w:val="28"/>
        </w:rPr>
        <w:tab/>
      </w:r>
      <w:r>
        <w:rPr>
          <w:rFonts w:ascii="Arial" w:hAnsi="Arial" w:cs="Arial"/>
          <w:color w:val="000000"/>
          <w:sz w:val="28"/>
          <w:szCs w:val="28"/>
        </w:rPr>
        <w:tab/>
      </w:r>
      <w:r>
        <w:rPr>
          <w:rFonts w:ascii="Arial" w:hAnsi="Arial" w:cs="Arial"/>
          <w:color w:val="000000"/>
          <w:sz w:val="28"/>
          <w:szCs w:val="28"/>
        </w:rPr>
        <w:tab/>
      </w:r>
      <w:r>
        <w:rPr>
          <w:rFonts w:ascii="Arial" w:hAnsi="Arial" w:cs="Arial"/>
          <w:color w:val="000000"/>
          <w:sz w:val="28"/>
          <w:szCs w:val="28"/>
        </w:rPr>
        <w:tab/>
      </w:r>
      <w:r>
        <w:rPr>
          <w:rFonts w:ascii="Arial" w:hAnsi="Arial" w:cs="Arial"/>
          <w:color w:val="000000"/>
          <w:sz w:val="28"/>
          <w:szCs w:val="28"/>
        </w:rPr>
        <w:tab/>
      </w:r>
      <w:r w:rsidR="003763D7">
        <w:rPr>
          <w:rFonts w:ascii="Arial" w:hAnsi="Arial" w:cs="Arial"/>
          <w:color w:val="000000"/>
          <w:sz w:val="28"/>
          <w:szCs w:val="28"/>
        </w:rPr>
        <w:t>8</w:t>
      </w:r>
      <w:r>
        <w:rPr>
          <w:rFonts w:ascii="Arial" w:hAnsi="Arial" w:cs="Arial"/>
          <w:color w:val="000000"/>
          <w:sz w:val="28"/>
          <w:szCs w:val="28"/>
        </w:rPr>
        <w:tab/>
      </w:r>
    </w:p>
    <w:p w14:paraId="384E1FC4" w14:textId="638FAFE6" w:rsidR="008F48D6" w:rsidRPr="00220A77" w:rsidRDefault="008F48D6" w:rsidP="008F48D6">
      <w:pPr>
        <w:pStyle w:val="NormalWeb"/>
        <w:rPr>
          <w:rFonts w:ascii="Arial" w:hAnsi="Arial" w:cs="Arial"/>
          <w:color w:val="000000"/>
          <w:sz w:val="28"/>
          <w:szCs w:val="28"/>
        </w:rPr>
      </w:pPr>
      <w:r w:rsidRPr="00220A77">
        <w:rPr>
          <w:rFonts w:ascii="Arial" w:hAnsi="Arial" w:cs="Arial"/>
          <w:b/>
          <w:bCs/>
          <w:color w:val="000000"/>
          <w:sz w:val="28"/>
          <w:szCs w:val="28"/>
        </w:rPr>
        <w:t>Conclusion and Recommendation</w:t>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sidR="003763D7">
        <w:rPr>
          <w:rFonts w:ascii="Arial" w:hAnsi="Arial" w:cs="Arial"/>
          <w:b/>
          <w:bCs/>
          <w:color w:val="000000"/>
          <w:sz w:val="28"/>
          <w:szCs w:val="28"/>
        </w:rPr>
        <w:t>9</w:t>
      </w:r>
    </w:p>
    <w:p w14:paraId="28256305" w14:textId="18D68900" w:rsidR="008F48D6" w:rsidRPr="00220A77" w:rsidRDefault="008F48D6" w:rsidP="008F48D6">
      <w:pPr>
        <w:jc w:val="both"/>
        <w:rPr>
          <w:rFonts w:ascii="Arial" w:hAnsi="Arial" w:cs="Arial"/>
          <w:b/>
          <w:bCs/>
          <w:color w:val="000000"/>
          <w:sz w:val="28"/>
          <w:szCs w:val="28"/>
        </w:rPr>
      </w:pPr>
      <w:r w:rsidRPr="00220A77">
        <w:rPr>
          <w:rFonts w:ascii="Arial" w:hAnsi="Arial" w:cs="Arial"/>
          <w:b/>
          <w:bCs/>
          <w:color w:val="000000"/>
          <w:sz w:val="28"/>
          <w:szCs w:val="28"/>
        </w:rPr>
        <w:t>Reference list</w:t>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sidR="003763D7">
        <w:rPr>
          <w:rFonts w:ascii="Arial" w:hAnsi="Arial" w:cs="Arial"/>
          <w:b/>
          <w:bCs/>
          <w:color w:val="000000"/>
          <w:sz w:val="28"/>
          <w:szCs w:val="28"/>
        </w:rPr>
        <w:t>1</w:t>
      </w:r>
      <w:r w:rsidR="00643B90">
        <w:rPr>
          <w:rFonts w:ascii="Arial" w:hAnsi="Arial" w:cs="Arial"/>
          <w:b/>
          <w:bCs/>
          <w:color w:val="000000"/>
          <w:sz w:val="28"/>
          <w:szCs w:val="28"/>
        </w:rPr>
        <w:t>1</w:t>
      </w:r>
    </w:p>
    <w:p w14:paraId="3D546EDD" w14:textId="1F20D3C9" w:rsidR="008F48D6" w:rsidRPr="00220A77" w:rsidRDefault="008F48D6" w:rsidP="008F48D6">
      <w:pPr>
        <w:jc w:val="both"/>
        <w:rPr>
          <w:rFonts w:ascii="Arial" w:hAnsi="Arial" w:cs="Arial"/>
          <w:b/>
          <w:bCs/>
          <w:sz w:val="28"/>
          <w:szCs w:val="28"/>
        </w:rPr>
      </w:pPr>
      <w:r w:rsidRPr="00220A77">
        <w:rPr>
          <w:rFonts w:ascii="Arial" w:hAnsi="Arial" w:cs="Arial"/>
          <w:b/>
          <w:bCs/>
          <w:color w:val="000000"/>
          <w:sz w:val="28"/>
          <w:szCs w:val="28"/>
        </w:rPr>
        <w:t>Appendices</w:t>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r>
      <w:r>
        <w:rPr>
          <w:rFonts w:ascii="Arial" w:hAnsi="Arial" w:cs="Arial"/>
          <w:b/>
          <w:bCs/>
          <w:color w:val="000000"/>
          <w:sz w:val="28"/>
          <w:szCs w:val="28"/>
        </w:rPr>
        <w:tab/>
        <w:t>1</w:t>
      </w:r>
      <w:r w:rsidR="002448C0">
        <w:rPr>
          <w:rFonts w:ascii="Arial" w:hAnsi="Arial" w:cs="Arial"/>
          <w:b/>
          <w:bCs/>
          <w:color w:val="000000"/>
          <w:sz w:val="28"/>
          <w:szCs w:val="28"/>
        </w:rPr>
        <w:t>3</w:t>
      </w:r>
    </w:p>
    <w:p w14:paraId="0602F2B4" w14:textId="3A25A494" w:rsidR="00617880" w:rsidRDefault="00617880" w:rsidP="003A71A1">
      <w:pPr>
        <w:jc w:val="center"/>
        <w:rPr>
          <w:rFonts w:ascii="Times New Roman" w:hAnsi="Times New Roman" w:cs="Times New Roman"/>
          <w:b/>
          <w:bCs/>
          <w:sz w:val="56"/>
          <w:szCs w:val="56"/>
        </w:rPr>
      </w:pPr>
    </w:p>
    <w:p w14:paraId="51279CA7" w14:textId="77B1992B" w:rsidR="00617880" w:rsidRDefault="00617880" w:rsidP="003A71A1">
      <w:pPr>
        <w:jc w:val="center"/>
        <w:rPr>
          <w:rFonts w:ascii="Times New Roman" w:hAnsi="Times New Roman" w:cs="Times New Roman"/>
          <w:b/>
          <w:bCs/>
          <w:sz w:val="56"/>
          <w:szCs w:val="56"/>
        </w:rPr>
      </w:pPr>
    </w:p>
    <w:p w14:paraId="734DF30A" w14:textId="1071C08B" w:rsidR="00617880" w:rsidRDefault="00617880" w:rsidP="003A71A1">
      <w:pPr>
        <w:jc w:val="center"/>
        <w:rPr>
          <w:rFonts w:ascii="Times New Roman" w:hAnsi="Times New Roman" w:cs="Times New Roman"/>
          <w:b/>
          <w:bCs/>
          <w:sz w:val="56"/>
          <w:szCs w:val="56"/>
        </w:rPr>
      </w:pPr>
    </w:p>
    <w:p w14:paraId="76F45C59" w14:textId="1787C9F4" w:rsidR="00617880" w:rsidRDefault="00617880" w:rsidP="003A71A1">
      <w:pPr>
        <w:jc w:val="center"/>
        <w:rPr>
          <w:rFonts w:ascii="Times New Roman" w:hAnsi="Times New Roman" w:cs="Times New Roman"/>
          <w:b/>
          <w:bCs/>
          <w:sz w:val="56"/>
          <w:szCs w:val="56"/>
        </w:rPr>
      </w:pPr>
    </w:p>
    <w:p w14:paraId="4F5B66CA" w14:textId="0083225D" w:rsidR="00617880" w:rsidRDefault="00617880" w:rsidP="003A71A1">
      <w:pPr>
        <w:jc w:val="center"/>
        <w:rPr>
          <w:rFonts w:ascii="Times New Roman" w:hAnsi="Times New Roman" w:cs="Times New Roman"/>
          <w:b/>
          <w:bCs/>
          <w:sz w:val="56"/>
          <w:szCs w:val="56"/>
        </w:rPr>
      </w:pPr>
    </w:p>
    <w:p w14:paraId="0435565E" w14:textId="0D3F0CB9" w:rsidR="00617880" w:rsidRDefault="00617880" w:rsidP="00557AE0">
      <w:pPr>
        <w:rPr>
          <w:rFonts w:ascii="Times New Roman" w:hAnsi="Times New Roman" w:cs="Times New Roman"/>
          <w:b/>
          <w:bCs/>
          <w:sz w:val="56"/>
          <w:szCs w:val="56"/>
        </w:rPr>
      </w:pPr>
    </w:p>
    <w:p w14:paraId="51DAB694" w14:textId="744F75B7" w:rsidR="00617880" w:rsidRPr="000253D3" w:rsidRDefault="00617880" w:rsidP="00617880">
      <w:pPr>
        <w:jc w:val="center"/>
        <w:rPr>
          <w:rFonts w:ascii="Arial" w:hAnsi="Arial" w:cs="Arial"/>
          <w:sz w:val="56"/>
          <w:szCs w:val="56"/>
        </w:rPr>
      </w:pPr>
      <w:r w:rsidRPr="000253D3">
        <w:rPr>
          <w:rFonts w:ascii="Arial" w:hAnsi="Arial" w:cs="Arial"/>
          <w:sz w:val="56"/>
          <w:szCs w:val="56"/>
        </w:rPr>
        <w:lastRenderedPageBreak/>
        <w:t>Introduction</w:t>
      </w:r>
    </w:p>
    <w:p w14:paraId="281F1DDF" w14:textId="0DB4F39A" w:rsidR="006C4032" w:rsidRPr="009267C1" w:rsidRDefault="009F277C" w:rsidP="006C4032">
      <w:pPr>
        <w:jc w:val="both"/>
        <w:rPr>
          <w:rFonts w:ascii="Arial" w:hAnsi="Arial" w:cs="Arial"/>
        </w:rPr>
      </w:pPr>
      <w:r w:rsidRPr="009267C1">
        <w:rPr>
          <w:rFonts w:ascii="Arial" w:hAnsi="Arial" w:cs="Arial"/>
        </w:rPr>
        <w:t xml:space="preserve">In this analysis, I will evaluate the use of economic statistics as a tool for international, national, and organisational policymaking. It will apply diverse economic concepts to management decision-making in businesses (supply and demand, price elasticity, cost analysis). It will examine the influence of government policy on markets and how it influences management choices. Economic study seeks to comprehend how markets function, how prices vary, what variables impact corporate expenses, and how profitability is affected. </w:t>
      </w:r>
      <w:r w:rsidR="006C4032" w:rsidRPr="009267C1">
        <w:rPr>
          <w:rFonts w:ascii="Arial" w:hAnsi="Arial" w:cs="Arial"/>
        </w:rPr>
        <w:t>(</w:t>
      </w:r>
      <w:proofErr w:type="spellStart"/>
      <w:r w:rsidR="006C4032" w:rsidRPr="009267C1">
        <w:rPr>
          <w:rFonts w:ascii="Arial" w:hAnsi="Arial" w:cs="Arial"/>
        </w:rPr>
        <w:t>Begg</w:t>
      </w:r>
      <w:proofErr w:type="spellEnd"/>
      <w:r w:rsidR="006C4032" w:rsidRPr="009267C1">
        <w:rPr>
          <w:rFonts w:ascii="Arial" w:hAnsi="Arial" w:cs="Arial"/>
        </w:rPr>
        <w:t>, and Ward 2013)</w:t>
      </w:r>
    </w:p>
    <w:p w14:paraId="4CC9BF9D" w14:textId="39C990D7" w:rsidR="006C4032" w:rsidRPr="009267C1" w:rsidRDefault="006C4032" w:rsidP="006C4032">
      <w:pPr>
        <w:jc w:val="both"/>
        <w:rPr>
          <w:rFonts w:ascii="Arial" w:hAnsi="Arial" w:cs="Arial"/>
        </w:rPr>
      </w:pPr>
      <w:r w:rsidRPr="009267C1">
        <w:rPr>
          <w:rFonts w:ascii="Arial" w:hAnsi="Arial" w:cs="Arial"/>
        </w:rPr>
        <w:t xml:space="preserve">According to </w:t>
      </w:r>
      <w:proofErr w:type="spellStart"/>
      <w:r w:rsidRPr="009267C1">
        <w:rPr>
          <w:rFonts w:ascii="Arial" w:hAnsi="Arial" w:cs="Arial"/>
        </w:rPr>
        <w:t>Sloman</w:t>
      </w:r>
      <w:proofErr w:type="spellEnd"/>
      <w:r w:rsidRPr="009267C1">
        <w:rPr>
          <w:rFonts w:ascii="Arial" w:hAnsi="Arial" w:cs="Arial"/>
        </w:rPr>
        <w:t>, J. (2019)</w:t>
      </w:r>
      <w:r w:rsidR="00F177C2" w:rsidRPr="009267C1">
        <w:rPr>
          <w:rFonts w:ascii="Arial" w:hAnsi="Arial" w:cs="Arial"/>
        </w:rPr>
        <w:t xml:space="preserve"> </w:t>
      </w:r>
      <w:r w:rsidR="009F277C" w:rsidRPr="009267C1">
        <w:rPr>
          <w:rFonts w:ascii="Arial" w:hAnsi="Arial" w:cs="Arial"/>
        </w:rPr>
        <w:t xml:space="preserve">Despite their differences, all companies are engaged in the creation of products and services. They employ inputs that cost money to achieve a lucrative outcome. Profit is the difference between income earned and expenses incurred. Although businesses may pursue </w:t>
      </w:r>
      <w:proofErr w:type="gramStart"/>
      <w:r w:rsidR="009F277C" w:rsidRPr="009267C1">
        <w:rPr>
          <w:rFonts w:ascii="Arial" w:hAnsi="Arial" w:cs="Arial"/>
        </w:rPr>
        <w:t>a number of</w:t>
      </w:r>
      <w:proofErr w:type="gramEnd"/>
      <w:r w:rsidR="009F277C" w:rsidRPr="009267C1">
        <w:rPr>
          <w:rFonts w:ascii="Arial" w:hAnsi="Arial" w:cs="Arial"/>
        </w:rPr>
        <w:t xml:space="preserve"> objectives, we assume that the majority will want to maximise profits or, at the very least, prevent a decline in earnings. Managers will need to make effective choices in order to meet these objectives: what to manufacture, how much to create, and at what price; what production techniques to exploit, how many people to hire and of what kind, what suppliers to utilise for raw materials, equipment, and so on. These possibilities are investigated by business economists, and we shall study pharmaceutical products.</w:t>
      </w:r>
    </w:p>
    <w:p w14:paraId="251AD007" w14:textId="5A71AB67" w:rsidR="00EA30EE" w:rsidRPr="006249C2" w:rsidRDefault="009F277C" w:rsidP="00EA30EE">
      <w:pPr>
        <w:pStyle w:val="NormalWeb"/>
        <w:spacing w:line="276" w:lineRule="auto"/>
        <w:jc w:val="both"/>
        <w:rPr>
          <w:rFonts w:ascii="Arial" w:hAnsi="Arial" w:cs="Arial"/>
          <w:sz w:val="22"/>
          <w:szCs w:val="22"/>
        </w:rPr>
      </w:pPr>
      <w:r w:rsidRPr="009F277C">
        <w:rPr>
          <w:rFonts w:ascii="Arial" w:hAnsi="Arial" w:cs="Arial"/>
          <w:color w:val="000000"/>
          <w:sz w:val="22"/>
          <w:szCs w:val="22"/>
        </w:rPr>
        <w:t>This study focuses on demand, market equilibrium analysis, and factors that might affect the firm's product demand. Also studied are the possible advantages of cost management and resource allocation. In addition, the market structure and financial performance are investigated. The government and trade policies are external factors. It announced positive top-line results from a Phase 3 study (B7471026) that evaluated the safety and immunogenicity of PREVNAR 20TM (Pneumococcal 20-valent Conjugate Vaccine) in 570 adults 65 years of age or older in the United States who received the vaccine concurrently with the Pfizer-BioNTech COVID-19 Vaccine.</w:t>
      </w:r>
      <w:r w:rsidR="00454936">
        <w:rPr>
          <w:rFonts w:ascii="Arial" w:hAnsi="Arial" w:cs="Arial"/>
          <w:color w:val="000000"/>
          <w:sz w:val="22"/>
          <w:szCs w:val="22"/>
        </w:rPr>
        <w:t xml:space="preserve"> </w:t>
      </w:r>
      <w:r w:rsidR="00EA30EE">
        <w:rPr>
          <w:rFonts w:ascii="Arial" w:hAnsi="Arial" w:cs="Arial"/>
          <w:sz w:val="22"/>
          <w:szCs w:val="22"/>
        </w:rPr>
        <w:t xml:space="preserve">(Pfizer press release,2022) </w:t>
      </w:r>
    </w:p>
    <w:p w14:paraId="09A98329" w14:textId="0C590577" w:rsidR="00AD6062" w:rsidRDefault="00AD6062" w:rsidP="008D3315">
      <w:pPr>
        <w:pStyle w:val="NormalWeb"/>
        <w:spacing w:line="276" w:lineRule="auto"/>
        <w:rPr>
          <w:rFonts w:ascii="Arial" w:hAnsi="Arial" w:cs="Arial"/>
          <w:color w:val="000000"/>
          <w:sz w:val="22"/>
          <w:szCs w:val="22"/>
        </w:rPr>
      </w:pPr>
    </w:p>
    <w:p w14:paraId="4E334CBE" w14:textId="57FD17DB" w:rsidR="000348D0" w:rsidRDefault="000348D0" w:rsidP="000348D0">
      <w:pPr>
        <w:pStyle w:val="NormalWeb"/>
        <w:spacing w:line="276" w:lineRule="auto"/>
        <w:jc w:val="center"/>
        <w:rPr>
          <w:rFonts w:ascii="Arial" w:hAnsi="Arial" w:cs="Arial"/>
          <w:sz w:val="56"/>
          <w:szCs w:val="56"/>
        </w:rPr>
      </w:pPr>
      <w:r w:rsidRPr="00CB415A">
        <w:rPr>
          <w:rFonts w:ascii="Arial" w:hAnsi="Arial" w:cs="Arial"/>
          <w:sz w:val="56"/>
          <w:szCs w:val="56"/>
        </w:rPr>
        <w:t>About</w:t>
      </w:r>
      <w:r>
        <w:rPr>
          <w:rFonts w:ascii="Arial" w:hAnsi="Arial" w:cs="Arial"/>
          <w:sz w:val="56"/>
          <w:szCs w:val="56"/>
        </w:rPr>
        <w:t xml:space="preserve"> Pfizer</w:t>
      </w:r>
      <w:r w:rsidR="00FD4ED1">
        <w:rPr>
          <w:rFonts w:ascii="Arial" w:hAnsi="Arial" w:cs="Arial"/>
          <w:sz w:val="56"/>
          <w:szCs w:val="56"/>
        </w:rPr>
        <w:t xml:space="preserve"> Inc</w:t>
      </w:r>
    </w:p>
    <w:p w14:paraId="7F630341" w14:textId="77777777" w:rsidR="009F277C" w:rsidRDefault="009F277C" w:rsidP="00907590">
      <w:pPr>
        <w:pStyle w:val="NormalWeb"/>
        <w:spacing w:line="276" w:lineRule="auto"/>
        <w:jc w:val="both"/>
        <w:rPr>
          <w:rFonts w:ascii="Arial" w:hAnsi="Arial" w:cs="Arial"/>
          <w:sz w:val="22"/>
          <w:szCs w:val="22"/>
        </w:rPr>
      </w:pPr>
      <w:r w:rsidRPr="009F277C">
        <w:rPr>
          <w:rFonts w:ascii="Arial" w:hAnsi="Arial" w:cs="Arial"/>
          <w:sz w:val="22"/>
          <w:szCs w:val="22"/>
        </w:rPr>
        <w:t xml:space="preserve">Pfizer Inc. is a multinational pharmaceutical and biotechnology company situated on 42nd Street in Manhattan. Charles Pfizer and his cousin Charles </w:t>
      </w:r>
      <w:proofErr w:type="spellStart"/>
      <w:r w:rsidRPr="009F277C">
        <w:rPr>
          <w:rFonts w:ascii="Arial" w:hAnsi="Arial" w:cs="Arial"/>
          <w:sz w:val="22"/>
          <w:szCs w:val="22"/>
        </w:rPr>
        <w:t>Erhart</w:t>
      </w:r>
      <w:proofErr w:type="spellEnd"/>
      <w:r w:rsidRPr="009F277C">
        <w:rPr>
          <w:rFonts w:ascii="Arial" w:hAnsi="Arial" w:cs="Arial"/>
          <w:sz w:val="22"/>
          <w:szCs w:val="22"/>
        </w:rPr>
        <w:t xml:space="preserve">, two German entrepreneurs, formed the company in New York in 1849. Pfizer develops and produces medications and vaccines for immunology, cancer, cardiology, endocrinology, and neurology. The company has many blockbuster pharmaceuticals or treatments that generate annual sales in excess of $1 billion. In 2020, the United States generated 52% of the company's sales, while China and Japan generated 6% and 36% of the company's revenue, respectively. (Pfizer Annual Report, 2021) Pfizer is committed to providing shareholders, prospective investors, and the general public with a transparent depiction of our efforts to </w:t>
      </w:r>
      <w:proofErr w:type="spellStart"/>
      <w:r w:rsidRPr="009F277C">
        <w:rPr>
          <w:rFonts w:ascii="Arial" w:hAnsi="Arial" w:cs="Arial"/>
          <w:sz w:val="22"/>
          <w:szCs w:val="22"/>
        </w:rPr>
        <w:t>realise</w:t>
      </w:r>
      <w:proofErr w:type="spellEnd"/>
      <w:r w:rsidRPr="009F277C">
        <w:rPr>
          <w:rFonts w:ascii="Arial" w:hAnsi="Arial" w:cs="Arial"/>
          <w:sz w:val="22"/>
          <w:szCs w:val="22"/>
        </w:rPr>
        <w:t xml:space="preserve"> our mission: life-improving advances for patients. Immunizations are their most popular product since the Covid pandemic.</w:t>
      </w:r>
    </w:p>
    <w:p w14:paraId="223B828B" w14:textId="7AF96F69" w:rsidR="00F659E5" w:rsidRDefault="00C5736F" w:rsidP="00907590">
      <w:pPr>
        <w:pStyle w:val="NormalWeb"/>
        <w:spacing w:line="276" w:lineRule="auto"/>
        <w:jc w:val="both"/>
        <w:rPr>
          <w:rFonts w:ascii="Arial" w:hAnsi="Arial" w:cs="Arial"/>
          <w:sz w:val="22"/>
          <w:szCs w:val="22"/>
        </w:rPr>
      </w:pPr>
      <w:r w:rsidRPr="00C5736F">
        <w:rPr>
          <w:rFonts w:ascii="Arial" w:hAnsi="Arial" w:cs="Arial"/>
          <w:sz w:val="22"/>
          <w:szCs w:val="22"/>
        </w:rPr>
        <w:t xml:space="preserve">Pfizer uses research and worldwide resources to produce medications that greatly extend and enhance patients' lives. They aim to set the benchmark for quality, safety, and value in the research, development, and manufacturing of health-care goods such as novel medicines and </w:t>
      </w:r>
      <w:r w:rsidRPr="00C5736F">
        <w:rPr>
          <w:rFonts w:ascii="Arial" w:hAnsi="Arial" w:cs="Arial"/>
          <w:sz w:val="22"/>
          <w:szCs w:val="22"/>
        </w:rPr>
        <w:lastRenderedPageBreak/>
        <w:t>vaccines. They work in both existing and emerging markets to promote health, prevention, treatment, and cures for today's most dreaded illnesses. As one of the most innovative biopharmaceutical companies in the world, they collaborate with health care professionals, governments, and local communities throughout the world to promote and expand access to dependable, affordable health care.</w:t>
      </w:r>
      <w:r w:rsidR="002C6A47">
        <w:rPr>
          <w:rFonts w:ascii="Arial" w:hAnsi="Arial" w:cs="Arial"/>
          <w:sz w:val="22"/>
          <w:szCs w:val="22"/>
        </w:rPr>
        <w:t xml:space="preserve"> </w:t>
      </w:r>
      <w:r w:rsidR="009F277C" w:rsidRPr="009F277C">
        <w:rPr>
          <w:rFonts w:ascii="Arial" w:hAnsi="Arial" w:cs="Arial"/>
          <w:sz w:val="22"/>
          <w:szCs w:val="22"/>
        </w:rPr>
        <w:t>Since over 170 years ago, we have endeavored to make a difference for everyone.</w:t>
      </w:r>
      <w:r w:rsidR="00953A8F" w:rsidRPr="00953A8F">
        <w:rPr>
          <w:rFonts w:ascii="Arial" w:hAnsi="Arial" w:cs="Arial"/>
          <w:sz w:val="22"/>
          <w:szCs w:val="22"/>
        </w:rPr>
        <w:t xml:space="preserve"> </w:t>
      </w:r>
      <w:r w:rsidR="00D44107">
        <w:rPr>
          <w:rFonts w:ascii="Arial" w:hAnsi="Arial" w:cs="Arial"/>
          <w:sz w:val="22"/>
          <w:szCs w:val="22"/>
        </w:rPr>
        <w:t>(Pfizer</w:t>
      </w:r>
      <w:r w:rsidR="001D07D5">
        <w:rPr>
          <w:rFonts w:ascii="Arial" w:hAnsi="Arial" w:cs="Arial"/>
          <w:sz w:val="22"/>
          <w:szCs w:val="22"/>
        </w:rPr>
        <w:t xml:space="preserve"> press release,</w:t>
      </w:r>
      <w:r w:rsidR="00DA2D7B">
        <w:rPr>
          <w:rFonts w:ascii="Arial" w:hAnsi="Arial" w:cs="Arial"/>
          <w:sz w:val="22"/>
          <w:szCs w:val="22"/>
        </w:rPr>
        <w:t>2022)</w:t>
      </w:r>
      <w:r w:rsidR="001D07D5">
        <w:rPr>
          <w:rFonts w:ascii="Arial" w:hAnsi="Arial" w:cs="Arial"/>
          <w:sz w:val="22"/>
          <w:szCs w:val="22"/>
        </w:rPr>
        <w:t xml:space="preserve"> </w:t>
      </w:r>
    </w:p>
    <w:p w14:paraId="73636236" w14:textId="49ACFD09" w:rsidR="000348D0" w:rsidRPr="00953A8F" w:rsidRDefault="009F277C" w:rsidP="00953A8F">
      <w:pPr>
        <w:pStyle w:val="NormalWeb"/>
        <w:spacing w:line="276" w:lineRule="auto"/>
        <w:jc w:val="both"/>
        <w:rPr>
          <w:rFonts w:ascii="Arial" w:hAnsi="Arial" w:cs="Arial"/>
          <w:sz w:val="22"/>
          <w:szCs w:val="22"/>
        </w:rPr>
      </w:pPr>
      <w:r w:rsidRPr="009F277C">
        <w:rPr>
          <w:rFonts w:ascii="Arial" w:hAnsi="Arial" w:cs="Arial"/>
          <w:sz w:val="22"/>
          <w:szCs w:val="22"/>
        </w:rPr>
        <w:t xml:space="preserve">Presently, investors are truly concerned that money be invested in a company that not only has a solid financial position for the foreseeable future, but also has excellent social and environmental policies. All businesses seek to achieve environmental and economic sustainability via various techniques. We will debate arguments for and against the publishing of such information and conduct a critical analysis of the economic, social, and environmental statistics provided by Pfizer, examining </w:t>
      </w:r>
      <w:proofErr w:type="gramStart"/>
      <w:r w:rsidRPr="009F277C">
        <w:rPr>
          <w:rFonts w:ascii="Arial" w:hAnsi="Arial" w:cs="Arial"/>
          <w:sz w:val="22"/>
          <w:szCs w:val="22"/>
        </w:rPr>
        <w:t>particular concerns</w:t>
      </w:r>
      <w:proofErr w:type="gramEnd"/>
      <w:r w:rsidRPr="009F277C">
        <w:rPr>
          <w:rFonts w:ascii="Arial" w:hAnsi="Arial" w:cs="Arial"/>
          <w:sz w:val="22"/>
          <w:szCs w:val="22"/>
        </w:rPr>
        <w:t xml:space="preserve"> pertaining to the firm and pharmaceutical industry. This information might be beneficial for making investment recommendations for or against the entity.</w:t>
      </w:r>
    </w:p>
    <w:p w14:paraId="4F843113" w14:textId="5BEF8E09" w:rsidR="001D40A0" w:rsidRPr="006D4096" w:rsidRDefault="001D40A0" w:rsidP="00CE767E">
      <w:pPr>
        <w:pStyle w:val="NormalWeb"/>
        <w:jc w:val="center"/>
        <w:rPr>
          <w:rFonts w:ascii="Arial" w:hAnsi="Arial" w:cs="Arial"/>
          <w:color w:val="000000"/>
          <w:sz w:val="56"/>
          <w:szCs w:val="56"/>
        </w:rPr>
      </w:pPr>
      <w:r w:rsidRPr="006D4096">
        <w:rPr>
          <w:rFonts w:ascii="Arial" w:hAnsi="Arial" w:cs="Arial"/>
          <w:color w:val="000000"/>
          <w:sz w:val="56"/>
          <w:szCs w:val="56"/>
        </w:rPr>
        <w:t>Findings</w:t>
      </w:r>
    </w:p>
    <w:p w14:paraId="6125BF16" w14:textId="480FD465" w:rsidR="005D0751" w:rsidRPr="00023687" w:rsidRDefault="001D40A0" w:rsidP="005D0751">
      <w:pPr>
        <w:jc w:val="center"/>
        <w:rPr>
          <w:rFonts w:ascii="Arial" w:hAnsi="Arial" w:cs="Arial"/>
          <w:color w:val="000000"/>
          <w:sz w:val="48"/>
          <w:szCs w:val="48"/>
        </w:rPr>
      </w:pPr>
      <w:r w:rsidRPr="00023687">
        <w:rPr>
          <w:rFonts w:ascii="Arial" w:hAnsi="Arial" w:cs="Arial"/>
          <w:color w:val="000000"/>
          <w:sz w:val="48"/>
          <w:szCs w:val="48"/>
        </w:rPr>
        <w:t>Demand and Market Equilibrium</w:t>
      </w:r>
    </w:p>
    <w:p w14:paraId="3A11E79F" w14:textId="6C44C1AB" w:rsidR="00CE767E" w:rsidRPr="000253D3" w:rsidRDefault="00D36150" w:rsidP="005D0751">
      <w:pPr>
        <w:jc w:val="both"/>
        <w:rPr>
          <w:rFonts w:ascii="Arial" w:hAnsi="Arial" w:cs="Arial"/>
        </w:rPr>
      </w:pPr>
      <w:r w:rsidRPr="00D36150">
        <w:rPr>
          <w:rFonts w:ascii="Arial" w:hAnsi="Arial" w:cs="Arial"/>
        </w:rPr>
        <w:t xml:space="preserve">The Covid pandemic increased demand for pharmaceutical products and trustworthy vaccines developed by a company with a stellar international reputation. The National Health Service is developing, as are the needs of Pfizer's partners and the patients they serve. The company argues that by partnering and sharing expertise, information, and resources, they can work together to deliver better patient care, with the unifying purpose of placing patients at the core of our health-care system. Pfizer has worked in the United Kingdom for 69 years. During this time, we developed and manufactured pharmaceuticals that have improved and saved the lives of millions of people in the United Kingdom and across the globe. We are dedicated to working with our partners from across the NHS, as well as academia and other healthcare institutions, to better healthcare delivery and achieve the greatest health outcomes for people in the UK, in addition to being a significant supplier of medicines to the NHS. </w:t>
      </w:r>
      <w:r w:rsidR="009E297C">
        <w:rPr>
          <w:rFonts w:ascii="Arial" w:hAnsi="Arial" w:cs="Arial"/>
        </w:rPr>
        <w:t>(</w:t>
      </w:r>
      <w:r w:rsidR="002316BF">
        <w:rPr>
          <w:rFonts w:ascii="Arial" w:hAnsi="Arial" w:cs="Arial"/>
        </w:rPr>
        <w:t xml:space="preserve">Pfizer, </w:t>
      </w:r>
      <w:r w:rsidR="004E1E26">
        <w:rPr>
          <w:rFonts w:ascii="Arial" w:hAnsi="Arial" w:cs="Arial"/>
        </w:rPr>
        <w:t>NHS</w:t>
      </w:r>
      <w:r w:rsidR="00C97544">
        <w:rPr>
          <w:rFonts w:ascii="Arial" w:hAnsi="Arial" w:cs="Arial"/>
        </w:rPr>
        <w:t xml:space="preserve"> 2021)</w:t>
      </w:r>
    </w:p>
    <w:p w14:paraId="5EAD6AD0" w14:textId="39EE3BEA" w:rsidR="003551F2" w:rsidRDefault="000B5682" w:rsidP="00CD261C">
      <w:pPr>
        <w:spacing w:after="0" w:line="276" w:lineRule="auto"/>
        <w:jc w:val="both"/>
        <w:rPr>
          <w:rFonts w:ascii="Arial" w:eastAsia="Calibri" w:hAnsi="Arial" w:cs="Arial"/>
        </w:rPr>
      </w:pPr>
      <w:proofErr w:type="spellStart"/>
      <w:r w:rsidRPr="009E1617">
        <w:rPr>
          <w:rFonts w:ascii="Arial" w:eastAsia="Calibri" w:hAnsi="Arial" w:cs="Arial"/>
        </w:rPr>
        <w:t>Forgang</w:t>
      </w:r>
      <w:proofErr w:type="spellEnd"/>
      <w:r w:rsidRPr="009E1617">
        <w:rPr>
          <w:rFonts w:ascii="Arial" w:eastAsia="Calibri" w:hAnsi="Arial" w:cs="Arial"/>
        </w:rPr>
        <w:t xml:space="preserve">, W. and </w:t>
      </w:r>
      <w:proofErr w:type="spellStart"/>
      <w:r w:rsidRPr="009E1617">
        <w:rPr>
          <w:rFonts w:ascii="Arial" w:eastAsia="Calibri" w:hAnsi="Arial" w:cs="Arial"/>
        </w:rPr>
        <w:t>Einolf</w:t>
      </w:r>
      <w:proofErr w:type="spellEnd"/>
      <w:r w:rsidRPr="009E1617">
        <w:rPr>
          <w:rFonts w:ascii="Arial" w:eastAsia="Calibri" w:hAnsi="Arial" w:cs="Arial"/>
        </w:rPr>
        <w:t>,</w:t>
      </w:r>
      <w:r w:rsidR="00CF437B" w:rsidRPr="009E1617">
        <w:rPr>
          <w:rFonts w:ascii="Arial" w:eastAsia="Calibri" w:hAnsi="Arial" w:cs="Arial"/>
        </w:rPr>
        <w:t xml:space="preserve"> </w:t>
      </w:r>
      <w:r w:rsidRPr="009E1617">
        <w:rPr>
          <w:rFonts w:ascii="Arial" w:eastAsia="Calibri" w:hAnsi="Arial" w:cs="Arial"/>
        </w:rPr>
        <w:t>W. (20</w:t>
      </w:r>
      <w:r w:rsidR="00AC6671">
        <w:rPr>
          <w:rFonts w:ascii="Arial" w:eastAsia="Calibri" w:hAnsi="Arial" w:cs="Arial"/>
        </w:rPr>
        <w:t>15</w:t>
      </w:r>
      <w:r w:rsidR="00CF437B" w:rsidRPr="009E1617">
        <w:rPr>
          <w:rFonts w:ascii="Arial" w:eastAsia="Calibri" w:hAnsi="Arial" w:cs="Arial"/>
        </w:rPr>
        <w:t xml:space="preserve">, </w:t>
      </w:r>
      <w:r w:rsidR="008E1C3D" w:rsidRPr="009E1617">
        <w:rPr>
          <w:rFonts w:ascii="Arial" w:eastAsia="Calibri" w:hAnsi="Arial" w:cs="Arial"/>
        </w:rPr>
        <w:t>p12</w:t>
      </w:r>
      <w:r w:rsidRPr="009E1617">
        <w:rPr>
          <w:rFonts w:ascii="Arial" w:eastAsia="Calibri" w:hAnsi="Arial" w:cs="Arial"/>
        </w:rPr>
        <w:t>)</w:t>
      </w:r>
      <w:r w:rsidR="002F50E9">
        <w:rPr>
          <w:rFonts w:ascii="Arial" w:eastAsia="Calibri" w:hAnsi="Arial" w:cs="Arial"/>
        </w:rPr>
        <w:t xml:space="preserve"> </w:t>
      </w:r>
      <w:r w:rsidR="00D36150" w:rsidRPr="00D36150">
        <w:rPr>
          <w:rFonts w:ascii="Arial" w:eastAsia="Calibri" w:hAnsi="Arial" w:cs="Arial"/>
        </w:rPr>
        <w:t>Assess the Effectiveness of Fiscal Policy. In the quantitative estimation of fiscal policy's effects, two factors are omitted. First, fiscal policy is implemented via the federal political process. Congress influences fiscal and tax decisions. Voters support expansionary fiscal policies (more spending and fewer taxation). Budget cutbacks and tax increases are unpopular. Therefore, fiscal policy is more likely to be used to stimulate the economy than to regulate it. Second, it takes time for fiscal policy to affect the economy. In the real world, there is a recognition lag, an action lag, and an operational lag: unemployment must be recognised prior to the presentation, approval, and implementation of a spending or tax policy. The delayed effect of fiscal policy poses complications. Policymakers must anticipate future economic situations and execute policies before macroeconomic crises materialise. Once policy measures are enacted, it takes time for the macroeconomy to feel their effects.</w:t>
      </w:r>
    </w:p>
    <w:p w14:paraId="037D6072" w14:textId="77777777" w:rsidR="00030A56" w:rsidRPr="00CD261C" w:rsidRDefault="00030A56" w:rsidP="00CD261C">
      <w:pPr>
        <w:spacing w:after="0" w:line="276" w:lineRule="auto"/>
        <w:jc w:val="both"/>
        <w:rPr>
          <w:rFonts w:ascii="Arial" w:hAnsi="Arial" w:cs="Arial"/>
        </w:rPr>
      </w:pPr>
    </w:p>
    <w:p w14:paraId="30E95169" w14:textId="6C44DF5C" w:rsidR="00196ABD" w:rsidRPr="00433066" w:rsidRDefault="00196ABD" w:rsidP="00433066">
      <w:pPr>
        <w:jc w:val="center"/>
        <w:rPr>
          <w:rFonts w:ascii="Arial" w:hAnsi="Arial" w:cs="Arial"/>
          <w:color w:val="000000"/>
          <w:sz w:val="48"/>
          <w:szCs w:val="48"/>
        </w:rPr>
      </w:pPr>
      <w:r w:rsidRPr="00BB76E4">
        <w:rPr>
          <w:rFonts w:ascii="Arial" w:hAnsi="Arial" w:cs="Arial"/>
          <w:color w:val="000000"/>
          <w:sz w:val="48"/>
          <w:szCs w:val="48"/>
        </w:rPr>
        <w:lastRenderedPageBreak/>
        <w:t>Factors that may affects demand</w:t>
      </w:r>
    </w:p>
    <w:p w14:paraId="08DC13DA" w14:textId="20191291" w:rsidR="00A97F4D" w:rsidRDefault="00414665" w:rsidP="00F045AA">
      <w:pPr>
        <w:jc w:val="both"/>
        <w:rPr>
          <w:rFonts w:ascii="Arial" w:hAnsi="Arial" w:cs="Arial"/>
        </w:rPr>
      </w:pPr>
      <w:r w:rsidRPr="00414665">
        <w:rPr>
          <w:rFonts w:ascii="Arial" w:hAnsi="Arial" w:cs="Arial"/>
        </w:rPr>
        <w:t xml:space="preserve">Several variables may affect the required amount. Introductions of competitive products may lower future sales of our products, both present and in development, or lead to unanticipated product obsolescence. Such releases are still occurring, and competitor products are in different stages of development. We are unable to predict the timing or effect of competing treatments that treat comparable diseases and conditions as </w:t>
      </w:r>
      <w:r w:rsidR="00027760">
        <w:rPr>
          <w:rFonts w:ascii="Arial" w:hAnsi="Arial" w:cs="Arial"/>
        </w:rPr>
        <w:t xml:space="preserve">their </w:t>
      </w:r>
      <w:r w:rsidRPr="00414665">
        <w:rPr>
          <w:rFonts w:ascii="Arial" w:hAnsi="Arial" w:cs="Arial"/>
        </w:rPr>
        <w:t>in-line products</w:t>
      </w:r>
      <w:r w:rsidR="00027760">
        <w:rPr>
          <w:rFonts w:ascii="Arial" w:hAnsi="Arial" w:cs="Arial"/>
        </w:rPr>
        <w:t xml:space="preserve">. </w:t>
      </w:r>
      <w:r w:rsidRPr="00414665">
        <w:rPr>
          <w:rFonts w:ascii="Arial" w:hAnsi="Arial" w:cs="Arial"/>
        </w:rPr>
        <w:t>In addition,</w:t>
      </w:r>
      <w:r w:rsidR="00520C01" w:rsidRPr="00520C01">
        <w:t xml:space="preserve"> </w:t>
      </w:r>
      <w:r w:rsidR="00520C01" w:rsidRPr="00520C01">
        <w:rPr>
          <w:rFonts w:ascii="Arial" w:hAnsi="Arial" w:cs="Arial"/>
        </w:rPr>
        <w:t>Competition from generic pharmaceutical companies, particularly generic copies of rivals' branded medicines that lose market exclusivity, is a serious concern</w:t>
      </w:r>
      <w:r w:rsidRPr="00414665">
        <w:rPr>
          <w:rFonts w:ascii="Arial" w:hAnsi="Arial" w:cs="Arial"/>
        </w:rPr>
        <w:t>.</w:t>
      </w:r>
      <w:r w:rsidR="000C636D" w:rsidRPr="000C636D">
        <w:rPr>
          <w:rFonts w:ascii="Arial" w:hAnsi="Arial" w:cs="Arial"/>
        </w:rPr>
        <w:t xml:space="preserve"> </w:t>
      </w:r>
      <w:r w:rsidR="00733F42">
        <w:rPr>
          <w:rFonts w:ascii="Arial" w:hAnsi="Arial" w:cs="Arial"/>
        </w:rPr>
        <w:t>(Pfizer annual report, 2021)</w:t>
      </w:r>
    </w:p>
    <w:p w14:paraId="44519B32" w14:textId="11FB39D3" w:rsidR="000B5682" w:rsidRDefault="00414665" w:rsidP="006C4032">
      <w:pPr>
        <w:jc w:val="both"/>
        <w:rPr>
          <w:rFonts w:ascii="Cambria Math" w:hAnsi="Cambria Math" w:cs="Cambria Math"/>
        </w:rPr>
      </w:pPr>
      <w:r w:rsidRPr="00414665">
        <w:rPr>
          <w:rFonts w:ascii="Arial" w:hAnsi="Arial" w:cs="Arial"/>
        </w:rPr>
        <w:t xml:space="preserve">Regulatory actions, shutdowns, </w:t>
      </w:r>
      <w:r w:rsidR="00FC4967" w:rsidRPr="00FC4967">
        <w:rPr>
          <w:rFonts w:ascii="Arial" w:hAnsi="Arial" w:cs="Arial"/>
        </w:rPr>
        <w:t>Work interruptions or strikes, approval delays, withdrawals, recalls, penalties, supply disruptions, shortages, or stock-outs at facilities or third-party facilities on which they rely, reputational harm, and the impact of health pandemics on our facilities may result in difficulties or delays in the supply chain, product manufacturing and distribution networks, as well as sales or marketing.</w:t>
      </w:r>
      <w:r w:rsidR="00FC4967">
        <w:rPr>
          <w:rFonts w:ascii="Arial" w:hAnsi="Arial" w:cs="Arial"/>
        </w:rPr>
        <w:t xml:space="preserve"> </w:t>
      </w:r>
      <w:r w:rsidR="00131A3E" w:rsidRPr="00131A3E">
        <w:rPr>
          <w:rFonts w:ascii="Arial" w:hAnsi="Arial" w:cs="Arial"/>
        </w:rPr>
        <w:t xml:space="preserve">The degree of elasticity of demand can be estimated by the following equation: </w:t>
      </w:r>
      <w:r w:rsidR="00131A3E" w:rsidRPr="00131A3E">
        <w:rPr>
          <w:rFonts w:ascii="Cambria Math" w:hAnsi="Cambria Math" w:cs="Cambria Math"/>
        </w:rPr>
        <w:t>𝑬𝒑</w:t>
      </w:r>
      <w:r w:rsidR="00131A3E" w:rsidRPr="00131A3E">
        <w:rPr>
          <w:rFonts w:ascii="Arial" w:hAnsi="Arial" w:cs="Arial"/>
        </w:rPr>
        <w:t>=%∆</w:t>
      </w:r>
      <w:r w:rsidR="00131A3E" w:rsidRPr="00131A3E">
        <w:rPr>
          <w:rFonts w:ascii="Cambria Math" w:hAnsi="Cambria Math" w:cs="Cambria Math"/>
        </w:rPr>
        <w:t>𝑸𝒖𝒂𝒏𝒕𝒊𝒕𝒚</w:t>
      </w:r>
      <w:r w:rsidR="00131A3E" w:rsidRPr="00131A3E">
        <w:rPr>
          <w:rFonts w:ascii="Arial" w:hAnsi="Arial" w:cs="Arial"/>
        </w:rPr>
        <w:t xml:space="preserve"> ÷ %∆</w:t>
      </w:r>
      <w:r w:rsidR="00131A3E" w:rsidRPr="00131A3E">
        <w:rPr>
          <w:rFonts w:ascii="Cambria Math" w:hAnsi="Cambria Math" w:cs="Cambria Math"/>
        </w:rPr>
        <w:t>𝑷𝒓𝒊𝒄𝒆</w:t>
      </w:r>
    </w:p>
    <w:p w14:paraId="1A23DA42" w14:textId="3A68BD0F" w:rsidR="00CE20EB" w:rsidRDefault="00EF6E4E" w:rsidP="00CE20EB">
      <w:pPr>
        <w:jc w:val="both"/>
        <w:rPr>
          <w:rFonts w:ascii="Arial" w:hAnsi="Arial" w:cs="Arial"/>
          <w:color w:val="333333"/>
          <w:shd w:val="clear" w:color="auto" w:fill="FFFFFF"/>
        </w:rPr>
      </w:pPr>
      <w:r>
        <w:rPr>
          <w:rFonts w:ascii="Arial" w:hAnsi="Arial" w:cs="Arial"/>
          <w:color w:val="333333"/>
          <w:shd w:val="clear" w:color="auto" w:fill="FFFFFF"/>
        </w:rPr>
        <w:t xml:space="preserve">According to </w:t>
      </w:r>
      <w:r w:rsidRPr="002C560A">
        <w:rPr>
          <w:rFonts w:ascii="Arial" w:hAnsi="Arial" w:cs="Arial"/>
        </w:rPr>
        <w:t>Mohamed, Amr (</w:t>
      </w:r>
      <w:r w:rsidR="001F69EE">
        <w:rPr>
          <w:rFonts w:ascii="Arial" w:hAnsi="Arial" w:cs="Arial"/>
        </w:rPr>
        <w:t xml:space="preserve">Article, </w:t>
      </w:r>
      <w:r w:rsidRPr="002C560A">
        <w:rPr>
          <w:rFonts w:ascii="Arial" w:hAnsi="Arial" w:cs="Arial"/>
        </w:rPr>
        <w:t xml:space="preserve">2022) </w:t>
      </w:r>
      <w:r w:rsidR="00C60941" w:rsidRPr="00C60941">
        <w:rPr>
          <w:rFonts w:ascii="Arial" w:hAnsi="Arial" w:cs="Arial"/>
        </w:rPr>
        <w:t xml:space="preserve">The COVID-19 vaccine developed by </w:t>
      </w:r>
      <w:proofErr w:type="gramStart"/>
      <w:r w:rsidR="00C60941" w:rsidRPr="00C60941">
        <w:rPr>
          <w:rFonts w:ascii="Arial" w:hAnsi="Arial" w:cs="Arial"/>
        </w:rPr>
        <w:t>BioNTech</w:t>
      </w:r>
      <w:proofErr w:type="gramEnd"/>
      <w:r w:rsidR="00C60941" w:rsidRPr="00C60941">
        <w:rPr>
          <w:rFonts w:ascii="Arial" w:hAnsi="Arial" w:cs="Arial"/>
        </w:rPr>
        <w:t xml:space="preserve"> and Pfizer has proven instrumental in the worldwide battle against the coronavirus pandemic. We evaluated the demand and supply elasticity of the Comirnaty vaccine, as well as its strategic analysis, which included a SWOT and PESTEL analysis. Several elements influence the demand for Comirnaty, including the worldwide distribution pattern of COVID-19, the vaccine's effectiveness, and the selection of alternative immunisations. The availability of Comirnaty is affected by manufacturing capacity and the introduction of new vaccines. The demand for Comirnaty is very elastic, with a substantial increase at lower prices and a decline at higher prices. Overall, the Comirnaty market is complex and dynamic, with demand and supply being influenced by several variables. We foresee a substantial change in market dynamics after the announced direct-to-consumer launch of Comirnaty in the United States.</w:t>
      </w:r>
    </w:p>
    <w:p w14:paraId="3D239BFC" w14:textId="7FAFF1BE" w:rsidR="00CE20EB" w:rsidRDefault="00CE20EB" w:rsidP="006C4032">
      <w:pPr>
        <w:jc w:val="both"/>
        <w:rPr>
          <w:rFonts w:ascii="Arial" w:hAnsi="Arial" w:cs="Arial"/>
        </w:rPr>
      </w:pPr>
      <w:r>
        <w:rPr>
          <w:noProof/>
        </w:rPr>
        <w:drawing>
          <wp:inline distT="0" distB="0" distL="0" distR="0" wp14:anchorId="2D9B692C" wp14:editId="4DB5B918">
            <wp:extent cx="5683585" cy="2743200"/>
            <wp:effectExtent l="0" t="0" r="0" b="0"/>
            <wp:docPr id="13" name="Picture 13"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catter chart&#10;&#10;Description automatically generated"/>
                    <pic:cNvPicPr/>
                  </pic:nvPicPr>
                  <pic:blipFill>
                    <a:blip r:embed="rId7"/>
                    <a:stretch>
                      <a:fillRect/>
                    </a:stretch>
                  </pic:blipFill>
                  <pic:spPr>
                    <a:xfrm>
                      <a:off x="0" y="0"/>
                      <a:ext cx="5706863" cy="2754435"/>
                    </a:xfrm>
                    <a:prstGeom prst="rect">
                      <a:avLst/>
                    </a:prstGeom>
                  </pic:spPr>
                </pic:pic>
              </a:graphicData>
            </a:graphic>
          </wp:inline>
        </w:drawing>
      </w:r>
    </w:p>
    <w:p w14:paraId="0EB4C1D9" w14:textId="4EFE415D" w:rsidR="001C6397" w:rsidRPr="00CE20EB" w:rsidRDefault="001C6397" w:rsidP="006C4032">
      <w:pPr>
        <w:jc w:val="both"/>
        <w:rPr>
          <w:rFonts w:ascii="Arial" w:hAnsi="Arial" w:cs="Arial"/>
        </w:rPr>
      </w:pPr>
      <w:r w:rsidRPr="002C560A">
        <w:rPr>
          <w:rFonts w:ascii="Arial" w:hAnsi="Arial" w:cs="Arial"/>
        </w:rPr>
        <w:t xml:space="preserve">Mohamed, Amr (2022) </w:t>
      </w:r>
      <w:r w:rsidRPr="002C560A">
        <w:rPr>
          <w:rFonts w:ascii="Arial" w:hAnsi="Arial" w:cs="Arial"/>
          <w:i/>
          <w:iCs/>
        </w:rPr>
        <w:t xml:space="preserve">Driving Market Forces For COVID-19 Vaccines Industry: The Case </w:t>
      </w:r>
      <w:proofErr w:type="gramStart"/>
      <w:r w:rsidRPr="002C560A">
        <w:rPr>
          <w:rFonts w:ascii="Arial" w:hAnsi="Arial" w:cs="Arial"/>
          <w:i/>
          <w:iCs/>
        </w:rPr>
        <w:t>Of</w:t>
      </w:r>
      <w:proofErr w:type="gramEnd"/>
      <w:r w:rsidRPr="002C560A">
        <w:rPr>
          <w:rFonts w:ascii="Arial" w:hAnsi="Arial" w:cs="Arial"/>
          <w:i/>
          <w:iCs/>
        </w:rPr>
        <w:t xml:space="preserve"> The COMIRNATY Vaccine</w:t>
      </w:r>
      <w:r w:rsidRPr="002C560A">
        <w:rPr>
          <w:rFonts w:ascii="Arial" w:hAnsi="Arial" w:cs="Arial"/>
        </w:rPr>
        <w:t xml:space="preserve"> article</w:t>
      </w:r>
    </w:p>
    <w:p w14:paraId="4D3CE534" w14:textId="77777777" w:rsidR="00DA26D6" w:rsidRPr="00DA26D6" w:rsidRDefault="00DA26D6" w:rsidP="00DA26D6">
      <w:pPr>
        <w:spacing w:after="0"/>
        <w:jc w:val="both"/>
        <w:rPr>
          <w:rFonts w:ascii="Arial" w:hAnsi="Arial" w:cs="Arial"/>
        </w:rPr>
      </w:pPr>
      <w:r w:rsidRPr="00DA26D6">
        <w:rPr>
          <w:rFonts w:ascii="Arial" w:hAnsi="Arial" w:cs="Arial"/>
        </w:rPr>
        <w:t xml:space="preserve">How sensitive are customers to a change in product pricing, everything else being equal? A price change leads purchasers to modify the quantity wanted, and their response to the price </w:t>
      </w:r>
      <w:r w:rsidRPr="00DA26D6">
        <w:rPr>
          <w:rFonts w:ascii="Arial" w:hAnsi="Arial" w:cs="Arial"/>
        </w:rPr>
        <w:lastRenderedPageBreak/>
        <w:t>change is represented in their movement along the demand curve. When a consumer makes $100,000 annually, he purchases 100 units.</w:t>
      </w:r>
    </w:p>
    <w:p w14:paraId="1E85D6A8" w14:textId="3431D61B" w:rsidR="00233646" w:rsidRDefault="00DA26D6" w:rsidP="00DA26D6">
      <w:pPr>
        <w:spacing w:after="0"/>
        <w:jc w:val="both"/>
        <w:rPr>
          <w:rFonts w:ascii="Arial" w:hAnsi="Arial" w:cs="Arial"/>
        </w:rPr>
      </w:pPr>
      <w:r w:rsidRPr="00DA26D6">
        <w:rPr>
          <w:rFonts w:ascii="Arial" w:hAnsi="Arial" w:cs="Arial"/>
        </w:rPr>
        <w:t>Otherwise, same. The buyer's desire for these items is income elastic (1.5% x 33%). The proportional change in units bought surpasses the proportional change in income. The calculation produced a number greater than one. In general, the desire for luxury and expensive things is more responsive to income than the demand for needs and regular purchases. Typically, buyer demand for regular and necessary purchases is income inelastic.</w:t>
      </w:r>
      <w:r w:rsidR="00E67D72" w:rsidRPr="00E67D72">
        <w:rPr>
          <w:rFonts w:ascii="Arial" w:hAnsi="Arial" w:cs="Arial"/>
        </w:rPr>
        <w:t xml:space="preserve"> </w:t>
      </w:r>
      <w:r w:rsidR="00046F72" w:rsidRPr="009E6F7F">
        <w:rPr>
          <w:rFonts w:ascii="Arial" w:hAnsi="Arial" w:cs="Arial"/>
        </w:rPr>
        <w:t>(</w:t>
      </w:r>
      <w:proofErr w:type="spellStart"/>
      <w:r w:rsidR="00046F72" w:rsidRPr="009E6F7F">
        <w:rPr>
          <w:rFonts w:ascii="Arial" w:eastAsia="Calibri" w:hAnsi="Arial" w:cs="Arial"/>
        </w:rPr>
        <w:t>Forgang</w:t>
      </w:r>
      <w:proofErr w:type="spellEnd"/>
      <w:r w:rsidR="00046F72" w:rsidRPr="009E6F7F">
        <w:rPr>
          <w:rFonts w:ascii="Arial" w:eastAsia="Calibri" w:hAnsi="Arial" w:cs="Arial"/>
        </w:rPr>
        <w:t xml:space="preserve">, W. and </w:t>
      </w:r>
      <w:proofErr w:type="spellStart"/>
      <w:r w:rsidR="00046F72" w:rsidRPr="009E6F7F">
        <w:rPr>
          <w:rFonts w:ascii="Arial" w:eastAsia="Calibri" w:hAnsi="Arial" w:cs="Arial"/>
        </w:rPr>
        <w:t>Einolf</w:t>
      </w:r>
      <w:proofErr w:type="spellEnd"/>
      <w:r w:rsidR="00046F72" w:rsidRPr="009E6F7F">
        <w:rPr>
          <w:rFonts w:ascii="Arial" w:eastAsia="Calibri" w:hAnsi="Arial" w:cs="Arial"/>
        </w:rPr>
        <w:t>, K. 2015)</w:t>
      </w:r>
    </w:p>
    <w:p w14:paraId="42B262F7" w14:textId="77777777" w:rsidR="00936CDF" w:rsidRPr="00936CDF" w:rsidRDefault="00936CDF" w:rsidP="00046F72">
      <w:pPr>
        <w:spacing w:after="0"/>
        <w:jc w:val="both"/>
        <w:rPr>
          <w:rFonts w:ascii="Arial" w:hAnsi="Arial" w:cs="Arial"/>
        </w:rPr>
      </w:pPr>
    </w:p>
    <w:p w14:paraId="2677CDC8" w14:textId="4888DEDE" w:rsidR="003A2F24" w:rsidRDefault="00697CA3" w:rsidP="00DC1C20">
      <w:pPr>
        <w:jc w:val="both"/>
        <w:rPr>
          <w:rFonts w:ascii="Arial" w:hAnsi="Arial" w:cs="Arial"/>
        </w:rPr>
      </w:pPr>
      <w:r w:rsidRPr="00697CA3">
        <w:rPr>
          <w:rFonts w:ascii="Arial" w:hAnsi="Arial" w:cs="Arial"/>
        </w:rPr>
        <w:t xml:space="preserve"> </w:t>
      </w:r>
      <w:r w:rsidR="008A6F6D" w:rsidRPr="008A6F6D">
        <w:rPr>
          <w:rFonts w:ascii="Arial" w:hAnsi="Arial" w:cs="Arial"/>
        </w:rPr>
        <w:t>The Public Health Service Act and other</w:t>
      </w:r>
      <w:r w:rsidR="00924ACE">
        <w:rPr>
          <w:rFonts w:ascii="Arial" w:hAnsi="Arial" w:cs="Arial"/>
        </w:rPr>
        <w:t xml:space="preserve"> f</w:t>
      </w:r>
      <w:r w:rsidR="00924ACE" w:rsidRPr="00924ACE">
        <w:rPr>
          <w:rFonts w:ascii="Arial" w:hAnsi="Arial" w:cs="Arial"/>
        </w:rPr>
        <w:t>ederal rules and regulations control our biopharmaceutical drugs' pre- and post-marketing operations in considerable detail. Medication and vaccine safety and efficacy, clinical trials, advertising and promotion, quality control, production, labelling, distribution, post-marketing safety monitoring and reporting, and recordkeeping are all covered by the rules. Other federal agencies in the United States, such as the Drug Enforcement Administration, regulate certain things and behaviours (DEA). Before a biopharmaceutical company may sell a medicine or biologic product, including vaccines, in the United States, the FDA must assess if it is safe and effective for the intended purpose.</w:t>
      </w:r>
      <w:r w:rsidR="00924ACE" w:rsidRPr="008A6F6D">
        <w:rPr>
          <w:rFonts w:ascii="Arial" w:hAnsi="Arial" w:cs="Arial"/>
        </w:rPr>
        <w:t xml:space="preserve"> </w:t>
      </w:r>
      <w:r w:rsidR="00440271" w:rsidRPr="00440271">
        <w:rPr>
          <w:rFonts w:ascii="Arial" w:hAnsi="Arial" w:cs="Arial"/>
        </w:rPr>
        <w:t xml:space="preserve">Post marketing commitments, which are studies or clinical trials that the product sponsor commits to do, or post marketing requirements, which are studies or clinical trials that are needed as a condition of approval, may apply to a pharmaceutical or biologic. Furthermore, they are required to record adverse occurrences and creates rules for product traceability, wholesale distributors, repackages, and dispensers. </w:t>
      </w:r>
      <w:r w:rsidR="00DB125A">
        <w:rPr>
          <w:rFonts w:ascii="Arial" w:hAnsi="Arial" w:cs="Arial"/>
        </w:rPr>
        <w:t>(Pfizer annual report, 2021)</w:t>
      </w:r>
    </w:p>
    <w:p w14:paraId="53012B3C" w14:textId="77777777" w:rsidR="00DC1C20" w:rsidRPr="00DC1C20" w:rsidRDefault="00DC1C20" w:rsidP="00DC1C20">
      <w:pPr>
        <w:jc w:val="both"/>
        <w:rPr>
          <w:rFonts w:ascii="Arial" w:hAnsi="Arial" w:cs="Arial"/>
        </w:rPr>
      </w:pPr>
    </w:p>
    <w:p w14:paraId="0F3A4249" w14:textId="175705E5" w:rsidR="00196ABD" w:rsidRPr="00BB76E4" w:rsidRDefault="00196ABD" w:rsidP="00196ABD">
      <w:pPr>
        <w:jc w:val="center"/>
        <w:rPr>
          <w:rFonts w:ascii="Arial" w:hAnsi="Arial" w:cs="Arial"/>
          <w:color w:val="000000"/>
          <w:sz w:val="48"/>
          <w:szCs w:val="48"/>
        </w:rPr>
      </w:pPr>
      <w:r w:rsidRPr="00BB76E4">
        <w:rPr>
          <w:rFonts w:ascii="Arial" w:hAnsi="Arial" w:cs="Arial"/>
          <w:color w:val="000000"/>
          <w:sz w:val="48"/>
          <w:szCs w:val="48"/>
        </w:rPr>
        <w:t>Cost management</w:t>
      </w:r>
    </w:p>
    <w:p w14:paraId="0089E6C1" w14:textId="4566354E" w:rsidR="00196ABD" w:rsidRDefault="00196ABD" w:rsidP="00196ABD">
      <w:pPr>
        <w:jc w:val="center"/>
        <w:rPr>
          <w:rFonts w:ascii="Arial" w:hAnsi="Arial" w:cs="Arial"/>
          <w:color w:val="000000"/>
          <w:sz w:val="28"/>
          <w:szCs w:val="28"/>
        </w:rPr>
      </w:pPr>
    </w:p>
    <w:p w14:paraId="71F6FEFA" w14:textId="46298A6A" w:rsidR="00514517" w:rsidRPr="00514517" w:rsidRDefault="00A8003A" w:rsidP="00BA0689">
      <w:pPr>
        <w:pStyle w:val="NormalWeb"/>
        <w:spacing w:before="0" w:beforeAutospacing="0" w:after="0" w:afterAutospacing="0" w:line="276" w:lineRule="auto"/>
        <w:jc w:val="both"/>
        <w:rPr>
          <w:rFonts w:ascii="Arial" w:hAnsi="Arial" w:cs="Arial"/>
          <w:color w:val="000000"/>
          <w:sz w:val="22"/>
          <w:szCs w:val="22"/>
        </w:rPr>
      </w:pPr>
      <w:r w:rsidRPr="00A8003A">
        <w:rPr>
          <w:rFonts w:ascii="Arial" w:hAnsi="Arial" w:cs="Arial"/>
          <w:color w:val="000000"/>
          <w:sz w:val="22"/>
          <w:szCs w:val="22"/>
        </w:rPr>
        <w:t>The degree of operational leverage (DOL) is determined to evaluate the firm's economies of scale since this multiple reveals the relationship between operating income and sales.</w:t>
      </w:r>
      <w:r w:rsidR="00514517" w:rsidRPr="00514517">
        <w:rPr>
          <w:rFonts w:ascii="Arial" w:hAnsi="Arial" w:cs="Arial"/>
          <w:color w:val="000000"/>
          <w:sz w:val="22"/>
          <w:szCs w:val="22"/>
        </w:rPr>
        <w:t xml:space="preserve"> (Kenton, 2018). The calculation is</w:t>
      </w:r>
    </w:p>
    <w:p w14:paraId="2BA0A8F2" w14:textId="5998CBBF" w:rsidR="00514517" w:rsidRDefault="00514517" w:rsidP="00C850CE">
      <w:pPr>
        <w:pStyle w:val="NormalWeb"/>
        <w:spacing w:before="0" w:beforeAutospacing="0" w:after="0" w:afterAutospacing="0" w:line="276" w:lineRule="auto"/>
        <w:jc w:val="center"/>
        <w:rPr>
          <w:rFonts w:ascii="Cambria Math" w:hAnsi="Cambria Math" w:cs="Cambria Math"/>
          <w:color w:val="000000"/>
          <w:sz w:val="22"/>
          <w:szCs w:val="22"/>
        </w:rPr>
      </w:pPr>
      <w:r w:rsidRPr="00514517">
        <w:rPr>
          <w:rFonts w:ascii="Cambria Math" w:hAnsi="Cambria Math" w:cs="Cambria Math"/>
          <w:color w:val="000000"/>
          <w:sz w:val="22"/>
          <w:szCs w:val="22"/>
        </w:rPr>
        <w:t>𝑫𝑶𝑳</w:t>
      </w:r>
      <w:r w:rsidRPr="00514517">
        <w:rPr>
          <w:rFonts w:ascii="Arial" w:hAnsi="Arial" w:cs="Arial"/>
          <w:color w:val="000000"/>
          <w:sz w:val="22"/>
          <w:szCs w:val="22"/>
        </w:rPr>
        <w:t xml:space="preserve">= % </w:t>
      </w:r>
      <w:r w:rsidRPr="00514517">
        <w:rPr>
          <w:rFonts w:ascii="Cambria Math" w:hAnsi="Cambria Math" w:cs="Cambria Math"/>
          <w:color w:val="000000"/>
          <w:sz w:val="22"/>
          <w:szCs w:val="22"/>
        </w:rPr>
        <w:t>𝒄𝒉𝒂𝒏𝒈𝒆</w:t>
      </w:r>
      <w:r w:rsidRPr="00514517">
        <w:rPr>
          <w:rFonts w:ascii="Arial" w:hAnsi="Arial" w:cs="Arial"/>
          <w:color w:val="000000"/>
          <w:sz w:val="22"/>
          <w:szCs w:val="22"/>
        </w:rPr>
        <w:t xml:space="preserve"> </w:t>
      </w:r>
      <w:r w:rsidRPr="00514517">
        <w:rPr>
          <w:rFonts w:ascii="Cambria Math" w:hAnsi="Cambria Math" w:cs="Cambria Math"/>
          <w:color w:val="000000"/>
          <w:sz w:val="22"/>
          <w:szCs w:val="22"/>
        </w:rPr>
        <w:t>𝒊𝒏</w:t>
      </w:r>
      <w:r w:rsidRPr="00514517">
        <w:rPr>
          <w:rFonts w:ascii="Arial" w:hAnsi="Arial" w:cs="Arial"/>
          <w:color w:val="000000"/>
          <w:sz w:val="22"/>
          <w:szCs w:val="22"/>
        </w:rPr>
        <w:t xml:space="preserve"> </w:t>
      </w:r>
      <w:r w:rsidRPr="00514517">
        <w:rPr>
          <w:rFonts w:ascii="Cambria Math" w:hAnsi="Cambria Math" w:cs="Cambria Math"/>
          <w:color w:val="000000"/>
          <w:sz w:val="22"/>
          <w:szCs w:val="22"/>
        </w:rPr>
        <w:t>𝒐𝒑𝒆𝒓𝒂𝒕𝒊𝒏𝒈</w:t>
      </w:r>
      <w:r w:rsidRPr="00514517">
        <w:rPr>
          <w:rFonts w:ascii="Arial" w:hAnsi="Arial" w:cs="Arial"/>
          <w:color w:val="000000"/>
          <w:sz w:val="22"/>
          <w:szCs w:val="22"/>
        </w:rPr>
        <w:t xml:space="preserve"> </w:t>
      </w:r>
      <w:r w:rsidRPr="00514517">
        <w:rPr>
          <w:rFonts w:ascii="Cambria Math" w:hAnsi="Cambria Math" w:cs="Cambria Math"/>
          <w:color w:val="000000"/>
          <w:sz w:val="22"/>
          <w:szCs w:val="22"/>
        </w:rPr>
        <w:t>𝒊𝒏𝒄𝒐𝒎𝒆</w:t>
      </w:r>
      <w:r w:rsidRPr="00514517">
        <w:rPr>
          <w:rFonts w:ascii="Arial" w:hAnsi="Arial" w:cs="Arial"/>
          <w:color w:val="000000"/>
          <w:sz w:val="22"/>
          <w:szCs w:val="22"/>
        </w:rPr>
        <w:t xml:space="preserve"> ÷ % </w:t>
      </w:r>
      <w:r w:rsidRPr="00514517">
        <w:rPr>
          <w:rFonts w:ascii="Cambria Math" w:hAnsi="Cambria Math" w:cs="Cambria Math"/>
          <w:color w:val="000000"/>
          <w:sz w:val="22"/>
          <w:szCs w:val="22"/>
        </w:rPr>
        <w:t>𝒄𝒉𝒂𝒏𝒈𝒆</w:t>
      </w:r>
      <w:r w:rsidRPr="00514517">
        <w:rPr>
          <w:rFonts w:ascii="Arial" w:hAnsi="Arial" w:cs="Arial"/>
          <w:color w:val="000000"/>
          <w:sz w:val="22"/>
          <w:szCs w:val="22"/>
        </w:rPr>
        <w:t xml:space="preserve"> </w:t>
      </w:r>
      <w:r w:rsidRPr="00514517">
        <w:rPr>
          <w:rFonts w:ascii="Cambria Math" w:hAnsi="Cambria Math" w:cs="Cambria Math"/>
          <w:color w:val="000000"/>
          <w:sz w:val="22"/>
          <w:szCs w:val="22"/>
        </w:rPr>
        <w:t>𝒊𝒏</w:t>
      </w:r>
      <w:r w:rsidRPr="00514517">
        <w:rPr>
          <w:rFonts w:ascii="Arial" w:hAnsi="Arial" w:cs="Arial"/>
          <w:color w:val="000000"/>
          <w:sz w:val="22"/>
          <w:szCs w:val="22"/>
        </w:rPr>
        <w:t xml:space="preserve"> </w:t>
      </w:r>
      <w:r w:rsidRPr="00514517">
        <w:rPr>
          <w:rFonts w:ascii="Cambria Math" w:hAnsi="Cambria Math" w:cs="Cambria Math"/>
          <w:color w:val="000000"/>
          <w:sz w:val="22"/>
          <w:szCs w:val="22"/>
        </w:rPr>
        <w:t>𝒔𝒂𝒍𝒆𝒔</w:t>
      </w:r>
    </w:p>
    <w:p w14:paraId="55CD5632" w14:textId="4D979AC3" w:rsidR="00306B0F" w:rsidRDefault="00420B6C" w:rsidP="00420B6C">
      <w:pPr>
        <w:pStyle w:val="NormalWeb"/>
        <w:spacing w:before="0" w:beforeAutospacing="0" w:after="0" w:afterAutospacing="0" w:line="276" w:lineRule="auto"/>
        <w:jc w:val="both"/>
        <w:rPr>
          <w:rFonts w:ascii="Cambria Math" w:hAnsi="Cambria Math" w:cs="Cambria Math"/>
          <w:color w:val="000000"/>
          <w:sz w:val="22"/>
          <w:szCs w:val="22"/>
        </w:rPr>
      </w:pPr>
      <w:r>
        <w:rPr>
          <w:rFonts w:ascii="Cambria Math" w:hAnsi="Cambria Math" w:cs="Cambria Math"/>
          <w:color w:val="000000"/>
          <w:sz w:val="22"/>
          <w:szCs w:val="22"/>
        </w:rPr>
        <w:t>The Degree of operating leverage</w:t>
      </w:r>
      <w:r w:rsidR="00484104">
        <w:rPr>
          <w:rFonts w:ascii="Cambria Math" w:hAnsi="Cambria Math" w:cs="Cambria Math"/>
          <w:color w:val="000000"/>
          <w:sz w:val="22"/>
          <w:szCs w:val="22"/>
        </w:rPr>
        <w:t xml:space="preserve"> </w:t>
      </w:r>
      <w:r w:rsidR="00D81EF2">
        <w:rPr>
          <w:rFonts w:ascii="Cambria Math" w:hAnsi="Cambria Math" w:cs="Cambria Math"/>
          <w:color w:val="000000"/>
          <w:sz w:val="22"/>
          <w:szCs w:val="22"/>
        </w:rPr>
        <w:t xml:space="preserve">= </w:t>
      </w:r>
      <w:r w:rsidR="007B69A3">
        <w:rPr>
          <w:rFonts w:ascii="Cambria Math" w:hAnsi="Cambria Math" w:cs="Cambria Math"/>
          <w:color w:val="000000"/>
          <w:sz w:val="22"/>
          <w:szCs w:val="22"/>
        </w:rPr>
        <w:t xml:space="preserve">42% / </w:t>
      </w:r>
      <w:r w:rsidR="00346B2E">
        <w:rPr>
          <w:rFonts w:ascii="Cambria Math" w:hAnsi="Cambria Math" w:cs="Cambria Math"/>
          <w:color w:val="000000"/>
          <w:sz w:val="22"/>
          <w:szCs w:val="22"/>
        </w:rPr>
        <w:t>51</w:t>
      </w:r>
      <w:r w:rsidR="00C13D4F">
        <w:rPr>
          <w:rFonts w:ascii="Cambria Math" w:hAnsi="Cambria Math" w:cs="Cambria Math"/>
          <w:color w:val="000000"/>
          <w:sz w:val="22"/>
          <w:szCs w:val="22"/>
        </w:rPr>
        <w:t>%</w:t>
      </w:r>
      <w:r w:rsidR="00F55AC1">
        <w:rPr>
          <w:rFonts w:ascii="Cambria Math" w:hAnsi="Cambria Math" w:cs="Cambria Math"/>
          <w:color w:val="000000"/>
          <w:sz w:val="22"/>
          <w:szCs w:val="22"/>
        </w:rPr>
        <w:t>=</w:t>
      </w:r>
      <w:r w:rsidR="005C65AC">
        <w:rPr>
          <w:rFonts w:ascii="Cambria Math" w:hAnsi="Cambria Math" w:cs="Cambria Math"/>
          <w:color w:val="000000"/>
          <w:sz w:val="22"/>
          <w:szCs w:val="22"/>
        </w:rPr>
        <w:t xml:space="preserve"> </w:t>
      </w:r>
      <w:r w:rsidR="00F55AC1">
        <w:rPr>
          <w:rFonts w:ascii="Cambria Math" w:hAnsi="Cambria Math" w:cs="Cambria Math"/>
          <w:color w:val="000000"/>
          <w:sz w:val="22"/>
          <w:szCs w:val="22"/>
        </w:rPr>
        <w:t>82</w:t>
      </w:r>
      <w:r w:rsidR="005C65AC">
        <w:rPr>
          <w:rFonts w:ascii="Cambria Math" w:hAnsi="Cambria Math" w:cs="Cambria Math"/>
          <w:color w:val="000000"/>
          <w:sz w:val="22"/>
          <w:szCs w:val="22"/>
        </w:rPr>
        <w:t>%</w:t>
      </w:r>
    </w:p>
    <w:p w14:paraId="0E01209C" w14:textId="66BFDF90" w:rsidR="00755B05" w:rsidRDefault="00755B05" w:rsidP="00755B05">
      <w:pPr>
        <w:pStyle w:val="NormalWeb"/>
        <w:spacing w:before="0" w:beforeAutospacing="0" w:after="0" w:afterAutospacing="0" w:line="276" w:lineRule="auto"/>
        <w:jc w:val="both"/>
        <w:rPr>
          <w:rFonts w:ascii="Cambria Math" w:hAnsi="Cambria Math" w:cs="Cambria Math"/>
          <w:color w:val="000000"/>
          <w:sz w:val="22"/>
          <w:szCs w:val="22"/>
        </w:rPr>
      </w:pPr>
    </w:p>
    <w:p w14:paraId="0B56476E" w14:textId="77777777" w:rsidR="00662F2D" w:rsidRDefault="00D24036" w:rsidP="005254BF">
      <w:pPr>
        <w:spacing w:after="0"/>
        <w:jc w:val="both"/>
      </w:pPr>
      <w:r w:rsidRPr="00D24036">
        <w:rPr>
          <w:rFonts w:ascii="Arial" w:hAnsi="Arial" w:cs="Arial"/>
          <w:color w:val="333333"/>
          <w:shd w:val="clear" w:color="auto" w:fill="FFFFFF"/>
        </w:rPr>
        <w:t>Continued imposition of higher tariffs on vaccine-related inputs raises the ultimate price. For instance, the average worldwide tariff on vaccine components such as preservatives, adjuvants, stabilisers, and antibiotics varies between 2.6% and 9.4%. Tariffs on vaccine administration goods, including syringes and needles, are between 4.4% and 4.5%. Major packaging or distribution products (such as cold boxes, freezers, and dry ice) are vulnerable to tariff rises of up to 12.7%.</w:t>
      </w:r>
      <w:r w:rsidR="006977FB" w:rsidRPr="006977FB">
        <w:rPr>
          <w:rFonts w:ascii="Arial" w:hAnsi="Arial" w:cs="Arial"/>
          <w:color w:val="333333"/>
          <w:shd w:val="clear" w:color="auto" w:fill="FFFFFF"/>
        </w:rPr>
        <w:t xml:space="preserve"> </w:t>
      </w:r>
      <w:r w:rsidR="005254BF">
        <w:rPr>
          <w:rFonts w:ascii="Arial" w:hAnsi="Arial" w:cs="Arial"/>
          <w:color w:val="333333"/>
          <w:shd w:val="clear" w:color="auto" w:fill="FFFFFF"/>
        </w:rPr>
        <w:t>(OECD, 2021)</w:t>
      </w:r>
      <w:r w:rsidR="00662F2D" w:rsidRPr="00662F2D">
        <w:t xml:space="preserve"> </w:t>
      </w:r>
    </w:p>
    <w:p w14:paraId="4CB822B9" w14:textId="727EF3A7" w:rsidR="005254BF" w:rsidRPr="00CF53F8" w:rsidRDefault="00662F2D" w:rsidP="005254BF">
      <w:pPr>
        <w:spacing w:after="0"/>
        <w:jc w:val="both"/>
        <w:rPr>
          <w:rFonts w:ascii="Arial" w:hAnsi="Arial" w:cs="Arial"/>
        </w:rPr>
      </w:pPr>
      <w:r w:rsidRPr="00662F2D">
        <w:rPr>
          <w:rFonts w:ascii="Arial" w:hAnsi="Arial" w:cs="Arial"/>
          <w:color w:val="333333"/>
          <w:shd w:val="clear" w:color="auto" w:fill="FFFFFF"/>
        </w:rPr>
        <w:t>The comparison of Pfizer's annual financial statements over the last six years reveals a significant increase in sales and profits from $33167 million in 2020 to $50485 million in 2021. During the Covid pandemic, the increasing demand for pharmaceutical products and the expanding market for Covid-19 immunisations led to an increase in global sales and profits.</w:t>
      </w:r>
    </w:p>
    <w:p w14:paraId="69F08F58" w14:textId="77777777" w:rsidR="005254BF" w:rsidRPr="00514517" w:rsidRDefault="005254BF" w:rsidP="00755B05">
      <w:pPr>
        <w:pStyle w:val="NormalWeb"/>
        <w:spacing w:before="0" w:beforeAutospacing="0" w:after="0" w:afterAutospacing="0" w:line="276" w:lineRule="auto"/>
        <w:jc w:val="both"/>
        <w:rPr>
          <w:rFonts w:ascii="Arial" w:hAnsi="Arial" w:cs="Arial"/>
          <w:color w:val="000000"/>
          <w:sz w:val="22"/>
          <w:szCs w:val="22"/>
        </w:rPr>
      </w:pPr>
    </w:p>
    <w:p w14:paraId="0A8D5A39" w14:textId="77777777" w:rsidR="00EE3FB2" w:rsidRDefault="00EE3FB2" w:rsidP="00EE3FB2">
      <w:pPr>
        <w:spacing w:after="0" w:line="276" w:lineRule="auto"/>
        <w:jc w:val="both"/>
        <w:rPr>
          <w:rFonts w:ascii="Arial" w:hAnsi="Arial" w:cs="Arial"/>
        </w:rPr>
      </w:pPr>
      <w:r>
        <w:rPr>
          <w:noProof/>
        </w:rPr>
        <w:lastRenderedPageBreak/>
        <w:drawing>
          <wp:inline distT="0" distB="0" distL="0" distR="0" wp14:anchorId="65F3CFA5" wp14:editId="5571E640">
            <wp:extent cx="5731510" cy="3425825"/>
            <wp:effectExtent l="0" t="0" r="2540" b="317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stretch>
                      <a:fillRect/>
                    </a:stretch>
                  </pic:blipFill>
                  <pic:spPr>
                    <a:xfrm>
                      <a:off x="0" y="0"/>
                      <a:ext cx="5731510" cy="3425825"/>
                    </a:xfrm>
                    <a:prstGeom prst="rect">
                      <a:avLst/>
                    </a:prstGeom>
                  </pic:spPr>
                </pic:pic>
              </a:graphicData>
            </a:graphic>
          </wp:inline>
        </w:drawing>
      </w:r>
    </w:p>
    <w:p w14:paraId="6BCB010A" w14:textId="77777777" w:rsidR="00EE3FB2" w:rsidRDefault="00EE3FB2" w:rsidP="00EE3FB2">
      <w:pPr>
        <w:spacing w:after="0" w:line="276" w:lineRule="auto"/>
        <w:jc w:val="both"/>
        <w:rPr>
          <w:rFonts w:ascii="Arial" w:hAnsi="Arial" w:cs="Arial"/>
        </w:rPr>
      </w:pPr>
      <w:r>
        <w:rPr>
          <w:rFonts w:ascii="Arial" w:hAnsi="Arial" w:cs="Arial"/>
        </w:rPr>
        <w:t>Annual Financial Statement 2021</w:t>
      </w:r>
    </w:p>
    <w:p w14:paraId="7D17DE34" w14:textId="1AE7217A" w:rsidR="00196ABD" w:rsidRDefault="00196ABD" w:rsidP="00196ABD">
      <w:pPr>
        <w:jc w:val="center"/>
        <w:rPr>
          <w:rFonts w:ascii="Arial" w:hAnsi="Arial" w:cs="Arial"/>
          <w:sz w:val="56"/>
          <w:szCs w:val="56"/>
        </w:rPr>
      </w:pPr>
    </w:p>
    <w:p w14:paraId="2FFBFA85" w14:textId="2E4FB952" w:rsidR="008529BF" w:rsidRDefault="002803DC" w:rsidP="00196ABD">
      <w:pPr>
        <w:jc w:val="center"/>
        <w:rPr>
          <w:rFonts w:ascii="Arial" w:hAnsi="Arial" w:cs="Arial"/>
          <w:color w:val="000000"/>
          <w:sz w:val="48"/>
          <w:szCs w:val="48"/>
        </w:rPr>
      </w:pPr>
      <w:r w:rsidRPr="00BA3B0B">
        <w:rPr>
          <w:rFonts w:ascii="Arial" w:hAnsi="Arial" w:cs="Arial"/>
          <w:color w:val="000000"/>
          <w:sz w:val="48"/>
          <w:szCs w:val="48"/>
        </w:rPr>
        <w:t>Market structure</w:t>
      </w:r>
    </w:p>
    <w:p w14:paraId="19BE351D" w14:textId="24784D88" w:rsidR="00847B41" w:rsidRDefault="00847B41" w:rsidP="00847B41">
      <w:pPr>
        <w:spacing w:after="0"/>
        <w:jc w:val="both"/>
        <w:rPr>
          <w:rFonts w:ascii="Arial" w:hAnsi="Arial" w:cs="Arial"/>
        </w:rPr>
      </w:pPr>
      <w:r w:rsidRPr="00CF53F8">
        <w:rPr>
          <w:rFonts w:ascii="Arial" w:hAnsi="Arial" w:cs="Arial"/>
        </w:rPr>
        <w:t xml:space="preserve">Consistent with </w:t>
      </w:r>
      <w:proofErr w:type="spellStart"/>
      <w:r w:rsidRPr="00CF53F8">
        <w:rPr>
          <w:rFonts w:ascii="Arial" w:hAnsi="Arial" w:cs="Arial"/>
        </w:rPr>
        <w:t>Sloman</w:t>
      </w:r>
      <w:proofErr w:type="spellEnd"/>
      <w:r w:rsidRPr="00CF53F8">
        <w:rPr>
          <w:rFonts w:ascii="Arial" w:hAnsi="Arial" w:cs="Arial"/>
        </w:rPr>
        <w:t xml:space="preserve">, J. (2019) </w:t>
      </w:r>
      <w:r w:rsidR="001F26D3" w:rsidRPr="001F26D3">
        <w:rPr>
          <w:rFonts w:ascii="Arial" w:hAnsi="Arial" w:cs="Arial"/>
        </w:rPr>
        <w:t xml:space="preserve">The market dictates the operations of a business. The more competitive the market, the less ability a corporation </w:t>
      </w:r>
      <w:proofErr w:type="gramStart"/>
      <w:r w:rsidR="001F26D3" w:rsidRPr="001F26D3">
        <w:rPr>
          <w:rFonts w:ascii="Arial" w:hAnsi="Arial" w:cs="Arial"/>
        </w:rPr>
        <w:t>has to</w:t>
      </w:r>
      <w:proofErr w:type="gramEnd"/>
      <w:r w:rsidR="001F26D3" w:rsidRPr="001F26D3">
        <w:rPr>
          <w:rFonts w:ascii="Arial" w:hAnsi="Arial" w:cs="Arial"/>
        </w:rPr>
        <w:t xml:space="preserve"> change its efforts to increase market share. If it cannot sell its products, all of its sales will be lost to rivals. They must accept the market-determined pricing. If they attempt to sell over the market price, there will be no buyers.</w:t>
      </w:r>
    </w:p>
    <w:p w14:paraId="46258CF0" w14:textId="299CAC0E" w:rsidR="00F574DB" w:rsidRDefault="00F574DB" w:rsidP="00847B41">
      <w:pPr>
        <w:spacing w:after="0"/>
        <w:jc w:val="both"/>
        <w:rPr>
          <w:rFonts w:ascii="Arial" w:hAnsi="Arial" w:cs="Arial"/>
          <w:color w:val="333333"/>
          <w:shd w:val="clear" w:color="auto" w:fill="FFFFFF"/>
        </w:rPr>
      </w:pPr>
    </w:p>
    <w:p w14:paraId="7A8158E5" w14:textId="6BAEBE54" w:rsidR="00F574DB" w:rsidRDefault="00D6455B" w:rsidP="00847B41">
      <w:pPr>
        <w:spacing w:after="0"/>
        <w:jc w:val="both"/>
        <w:rPr>
          <w:rFonts w:ascii="Arial" w:hAnsi="Arial" w:cs="Arial"/>
          <w:color w:val="333333"/>
          <w:shd w:val="clear" w:color="auto" w:fill="FFFFFF"/>
        </w:rPr>
      </w:pPr>
      <w:r w:rsidRPr="00D6455B">
        <w:rPr>
          <w:rFonts w:ascii="Arial" w:hAnsi="Arial" w:cs="Arial"/>
        </w:rPr>
        <w:t xml:space="preserve">To reach worldwide COVID-19 immunisation targets, manufacturing capacity would require the conveyance of raw materials into factories and completed items to their final destination. Existing data on manufacturing capacity is insufficient, especially given the uncertainty surrounding the vaccine(s) that will be most widely utilised. Trade policies should be used to facilitate the production and dissemination of COVID-19 vaccinations. Tariffs are unlikely to stymie vaccination efforts: the basic average global tariff on vaccines is 0.76 percent, or one-tenth of the average tariff imposed on all commerce. </w:t>
      </w:r>
      <w:r w:rsidR="001F26D3" w:rsidRPr="001F26D3">
        <w:rPr>
          <w:rFonts w:ascii="Arial" w:hAnsi="Arial" w:cs="Arial"/>
        </w:rPr>
        <w:t xml:space="preserve">(7.1%). Four-fifths of the 183 countries have no taxes. This still leaves one-fifth of countries with vaccine tariffs, with eight percent having charges of at least five percent. Although tariffs are unlikely to be a significant problem, more efforts should be made to ensure that immunisations are duty-free in all nations. </w:t>
      </w:r>
      <w:r w:rsidR="0000033F">
        <w:rPr>
          <w:rFonts w:ascii="Arial" w:hAnsi="Arial" w:cs="Arial"/>
          <w:color w:val="333333"/>
          <w:shd w:val="clear" w:color="auto" w:fill="FFFFFF"/>
        </w:rPr>
        <w:t>(OECD, 2021)</w:t>
      </w:r>
    </w:p>
    <w:p w14:paraId="3E680A17" w14:textId="77777777" w:rsidR="00D412E7" w:rsidRDefault="00D412E7" w:rsidP="00847B41">
      <w:pPr>
        <w:spacing w:after="0"/>
        <w:jc w:val="both"/>
        <w:rPr>
          <w:rFonts w:ascii="Arial" w:hAnsi="Arial" w:cs="Arial"/>
          <w:color w:val="333333"/>
          <w:shd w:val="clear" w:color="auto" w:fill="FFFFFF"/>
        </w:rPr>
      </w:pPr>
    </w:p>
    <w:p w14:paraId="3AF91781" w14:textId="3E862795" w:rsidR="00D412E7" w:rsidRDefault="00166E1C" w:rsidP="00D412E7">
      <w:pPr>
        <w:spacing w:after="0"/>
        <w:jc w:val="both"/>
        <w:rPr>
          <w:sz w:val="24"/>
          <w:szCs w:val="24"/>
        </w:rPr>
      </w:pPr>
      <w:r w:rsidRPr="00166E1C">
        <w:rPr>
          <w:rFonts w:ascii="Arial" w:hAnsi="Arial" w:cs="Arial"/>
        </w:rPr>
        <w:t xml:space="preserve"> </w:t>
      </w:r>
      <w:r w:rsidR="001D0C95" w:rsidRPr="001D0C95">
        <w:rPr>
          <w:rFonts w:ascii="Arial" w:hAnsi="Arial" w:cs="Arial"/>
        </w:rPr>
        <w:t xml:space="preserve">Pfizer works globally, selling goods in more than 125 countries. </w:t>
      </w:r>
      <w:r w:rsidR="001A0935" w:rsidRPr="001A0935">
        <w:rPr>
          <w:rFonts w:ascii="Arial" w:hAnsi="Arial" w:cs="Arial"/>
        </w:rPr>
        <w:t>Emerging markets are an important aspect of their global leadership strategy, and their commercial structure acknowledges that the demographics and expanding economic strength of the fastest-growing emerging markets are becoming convergent with those of developed countries.</w:t>
      </w:r>
      <w:r w:rsidR="001A0935">
        <w:rPr>
          <w:rFonts w:ascii="Arial" w:hAnsi="Arial" w:cs="Arial"/>
        </w:rPr>
        <w:t xml:space="preserve"> </w:t>
      </w:r>
      <w:r w:rsidR="001D0C95" w:rsidRPr="001D0C95">
        <w:rPr>
          <w:rFonts w:ascii="Arial" w:hAnsi="Arial" w:cs="Arial"/>
        </w:rPr>
        <w:t xml:space="preserve">Urbanization and the increase of the middle class in developing nations create growth opportunities for our goods. In 2021, sales from operations outside the United States accounted for 63% of overall </w:t>
      </w:r>
      <w:r w:rsidR="001D0C95" w:rsidRPr="001D0C95">
        <w:rPr>
          <w:rFonts w:ascii="Arial" w:hAnsi="Arial" w:cs="Arial"/>
        </w:rPr>
        <w:lastRenderedPageBreak/>
        <w:t xml:space="preserve">sales, </w:t>
      </w:r>
      <w:proofErr w:type="spellStart"/>
      <w:r w:rsidR="001D0C95" w:rsidRPr="001D0C95">
        <w:rPr>
          <w:rFonts w:ascii="Arial" w:hAnsi="Arial" w:cs="Arial"/>
        </w:rPr>
        <w:t>totaling</w:t>
      </w:r>
      <w:proofErr w:type="spellEnd"/>
      <w:r w:rsidR="001D0C95" w:rsidRPr="001D0C95">
        <w:rPr>
          <w:rFonts w:ascii="Arial" w:hAnsi="Arial" w:cs="Arial"/>
        </w:rPr>
        <w:t xml:space="preserve"> $51.5 billion. In 2021, 2020, and 2019, sales exceeded $500 million in each of 21, 8, and 10 countries outside the United States, with Comirnaty and vaccines primarily driving the increase in 2021. Japan will be their biggest national market outside the United States in terms of total sales in 2021. See the section entitled Analysis of the Consolidated Income Statements—Revenues by Geography for a geographical breakdown of revenues. </w:t>
      </w:r>
      <w:r w:rsidR="00D412E7">
        <w:rPr>
          <w:rFonts w:ascii="Arial" w:hAnsi="Arial" w:cs="Arial"/>
        </w:rPr>
        <w:t>(Pfizer annual report, 2021)</w:t>
      </w:r>
    </w:p>
    <w:p w14:paraId="01079625" w14:textId="39BBBDA0" w:rsidR="00D412E7" w:rsidRDefault="00D412E7" w:rsidP="00D412E7">
      <w:pPr>
        <w:jc w:val="both"/>
        <w:rPr>
          <w:sz w:val="24"/>
          <w:szCs w:val="24"/>
        </w:rPr>
      </w:pPr>
      <w:r>
        <w:rPr>
          <w:noProof/>
        </w:rPr>
        <w:drawing>
          <wp:inline distT="0" distB="0" distL="0" distR="0" wp14:anchorId="1B17BA99" wp14:editId="785E390D">
            <wp:extent cx="4562475" cy="2076450"/>
            <wp:effectExtent l="0" t="0" r="9525" b="0"/>
            <wp:docPr id="21" name="Picture 2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9"/>
                    <a:stretch>
                      <a:fillRect/>
                    </a:stretch>
                  </pic:blipFill>
                  <pic:spPr>
                    <a:xfrm>
                      <a:off x="0" y="0"/>
                      <a:ext cx="4562475" cy="2076450"/>
                    </a:xfrm>
                    <a:prstGeom prst="rect">
                      <a:avLst/>
                    </a:prstGeom>
                  </pic:spPr>
                </pic:pic>
              </a:graphicData>
            </a:graphic>
          </wp:inline>
        </w:drawing>
      </w:r>
    </w:p>
    <w:p w14:paraId="607EA548" w14:textId="7FA99784" w:rsidR="00FF23CD" w:rsidRDefault="0046600D" w:rsidP="00FF23CD">
      <w:pPr>
        <w:spacing w:after="0"/>
        <w:jc w:val="both"/>
        <w:rPr>
          <w:rFonts w:ascii="Arial" w:hAnsi="Arial" w:cs="Arial"/>
          <w:color w:val="333333"/>
          <w:shd w:val="clear" w:color="auto" w:fill="FFFFFF"/>
        </w:rPr>
      </w:pPr>
      <w:r w:rsidRPr="0046600D">
        <w:rPr>
          <w:rFonts w:ascii="Arial" w:hAnsi="Arial" w:cs="Arial"/>
          <w:color w:val="333333"/>
          <w:shd w:val="clear" w:color="auto" w:fill="FFFFFF"/>
        </w:rPr>
        <w:t>Vaccines are essential in all nations, yet not all are capable of producing them</w:t>
      </w:r>
      <w:r w:rsidR="00932C8C">
        <w:rPr>
          <w:rFonts w:ascii="Arial" w:hAnsi="Arial" w:cs="Arial"/>
          <w:color w:val="333333"/>
          <w:shd w:val="clear" w:color="auto" w:fill="FFFFFF"/>
        </w:rPr>
        <w:t xml:space="preserve">. </w:t>
      </w:r>
      <w:r w:rsidR="00932C8C" w:rsidRPr="00932C8C">
        <w:rPr>
          <w:rFonts w:ascii="Arial" w:hAnsi="Arial" w:cs="Arial"/>
          <w:color w:val="333333"/>
          <w:shd w:val="clear" w:color="auto" w:fill="FFFFFF"/>
        </w:rPr>
        <w:t>Because vaccine manufacture is highly specialised, subject to comparative advantages, and concentrated in a few countries, commerce is critical for universal immunisation deployment. Maintaining market access by lowering tariffs, expediting trade-related procedures at and beyond the border, and improving logistical coordination will be critical to ensure that everyone receives immunisations on time.</w:t>
      </w:r>
      <w:r w:rsidRPr="0046600D">
        <w:rPr>
          <w:rFonts w:ascii="Arial" w:hAnsi="Arial" w:cs="Arial"/>
          <w:color w:val="333333"/>
          <w:shd w:val="clear" w:color="auto" w:fill="FFFFFF"/>
        </w:rPr>
        <w:t xml:space="preserve"> This study investigates the trade and trade policy considerations behind access to the final and intermediate commodities necessary for the efficient production, distribution, and administration of COVID-19 vaccines. It focuses on the international components of the vaccine supply chain, such as procurement, production, and distribution, as well as the requirement to expedite international border crossing and shipment.</w:t>
      </w:r>
      <w:r w:rsidR="00FF23CD">
        <w:rPr>
          <w:rFonts w:ascii="Arial" w:hAnsi="Arial" w:cs="Arial"/>
          <w:color w:val="333333"/>
          <w:shd w:val="clear" w:color="auto" w:fill="FFFFFF"/>
        </w:rPr>
        <w:t xml:space="preserve"> (OECD, 2021)</w:t>
      </w:r>
    </w:p>
    <w:p w14:paraId="43853BC8" w14:textId="098D9C23" w:rsidR="00BA3B0B" w:rsidRDefault="00BA3B0B" w:rsidP="00FF23CD">
      <w:pPr>
        <w:rPr>
          <w:rFonts w:ascii="Arial" w:hAnsi="Arial" w:cs="Arial"/>
          <w:color w:val="000000"/>
          <w:sz w:val="48"/>
          <w:szCs w:val="48"/>
        </w:rPr>
      </w:pPr>
    </w:p>
    <w:p w14:paraId="0BF48310" w14:textId="77777777" w:rsidR="00D204C9" w:rsidRPr="00D204C9" w:rsidRDefault="00D204C9" w:rsidP="00D204C9">
      <w:pPr>
        <w:jc w:val="center"/>
        <w:rPr>
          <w:rFonts w:ascii="Arial" w:hAnsi="Arial" w:cs="Arial"/>
          <w:color w:val="000000"/>
          <w:sz w:val="48"/>
          <w:szCs w:val="48"/>
        </w:rPr>
      </w:pPr>
      <w:r w:rsidRPr="00D204C9">
        <w:rPr>
          <w:rFonts w:ascii="Arial" w:hAnsi="Arial" w:cs="Arial"/>
          <w:color w:val="000000"/>
          <w:sz w:val="48"/>
          <w:szCs w:val="48"/>
        </w:rPr>
        <w:t>Regulation and Policies</w:t>
      </w:r>
    </w:p>
    <w:p w14:paraId="6355CB23" w14:textId="4AFB28C5" w:rsidR="00D24E71" w:rsidRDefault="00903BF2" w:rsidP="004D597E">
      <w:pPr>
        <w:jc w:val="both"/>
        <w:rPr>
          <w:rFonts w:ascii="Arial" w:hAnsi="Arial" w:cs="Arial"/>
        </w:rPr>
      </w:pPr>
      <w:r w:rsidRPr="00903BF2">
        <w:rPr>
          <w:rFonts w:ascii="Arial" w:hAnsi="Arial" w:cs="Arial"/>
        </w:rPr>
        <w:t xml:space="preserve">All pharmaceuticals, vaccines, and medical equipment must be strictly regulated by the government before they reach consumers, and their safety must be maintained after they are widely used. Compliance with these laws and regulations may be expensive, requiring a high level of technical expertise and financial investment. </w:t>
      </w:r>
      <w:r w:rsidR="00855759" w:rsidRPr="00855759">
        <w:rPr>
          <w:rFonts w:ascii="Arial" w:hAnsi="Arial" w:cs="Arial"/>
        </w:rPr>
        <w:t>Although capital expenditures and operating expenses for government regulatory compliance cannot be forecasted with precision, should not expect them to have a major impact on the capital expenditures or competitive position at this time.</w:t>
      </w:r>
      <w:r w:rsidR="00E154A3">
        <w:rPr>
          <w:rFonts w:ascii="Arial" w:hAnsi="Arial" w:cs="Arial"/>
        </w:rPr>
        <w:t xml:space="preserve"> </w:t>
      </w:r>
      <w:r w:rsidRPr="00903BF2">
        <w:rPr>
          <w:rFonts w:ascii="Arial" w:hAnsi="Arial" w:cs="Arial"/>
        </w:rPr>
        <w:t xml:space="preserve">The Medicines and Healthcare Products Regulatory Agency (MHRA) is responsible for ensuring that medicines, vaccines, and medical devices meet safety, quality, and effectiveness standards. It assesses all new pharmaceuticals before allowing them to be marketed in the United Kingdom and continues to monitor the safety of medicines after they are approved. Receiving regulatory approval for a medicine is a safety evaluation, but it is not the final safety benchmark. Clinical trials undertaken before to approval cannot identify every possible side effect, and more may arise when the therapy is administered. The company is required by law and ethics to collect and evaluate adverse event reports. Within defined deadlines, regulatory bodies get the relevant reports. All Pfizer </w:t>
      </w:r>
      <w:r w:rsidRPr="00903BF2">
        <w:rPr>
          <w:rFonts w:ascii="Arial" w:hAnsi="Arial" w:cs="Arial"/>
        </w:rPr>
        <w:lastRenderedPageBreak/>
        <w:t>employees are appropriately educated to identify and report adverse events and play a vital role in fulfilling these responsibilities.</w:t>
      </w:r>
      <w:r w:rsidR="00143675" w:rsidRPr="00143675">
        <w:rPr>
          <w:rFonts w:ascii="Arial" w:hAnsi="Arial" w:cs="Arial"/>
        </w:rPr>
        <w:t xml:space="preserve"> </w:t>
      </w:r>
      <w:r w:rsidR="00E70832">
        <w:rPr>
          <w:rFonts w:ascii="Arial" w:hAnsi="Arial" w:cs="Arial"/>
        </w:rPr>
        <w:t xml:space="preserve">(Pfizer, </w:t>
      </w:r>
      <w:r w:rsidR="00172724">
        <w:rPr>
          <w:rFonts w:ascii="Arial" w:hAnsi="Arial" w:cs="Arial"/>
        </w:rPr>
        <w:t>Medicines regulation</w:t>
      </w:r>
      <w:r w:rsidR="00BE3196">
        <w:rPr>
          <w:rFonts w:ascii="Arial" w:hAnsi="Arial" w:cs="Arial"/>
        </w:rPr>
        <w:t>, 2021)</w:t>
      </w:r>
    </w:p>
    <w:p w14:paraId="59CADB01" w14:textId="316A4DCB" w:rsidR="00241B17" w:rsidRDefault="00FB6137" w:rsidP="00BB29D9">
      <w:pPr>
        <w:jc w:val="both"/>
      </w:pPr>
      <w:r w:rsidRPr="00FB6137">
        <w:rPr>
          <w:rFonts w:ascii="Arial" w:hAnsi="Arial" w:cs="Arial"/>
        </w:rPr>
        <w:t xml:space="preserve"> </w:t>
      </w:r>
      <w:r w:rsidR="005A52DB" w:rsidRPr="005A52DB">
        <w:rPr>
          <w:rFonts w:ascii="Arial" w:hAnsi="Arial" w:cs="Arial"/>
        </w:rPr>
        <w:t xml:space="preserve">The effort Accounting for Sustainability has developed a Connected Reporting Framework to give internal and external users with data that is more transparent, consistent, and comparative. It displays how all areas of organisational performance may be presented in a coherent way, in accordance with the organization's strategy and management style. </w:t>
      </w:r>
      <w:r w:rsidRPr="00FB6137">
        <w:rPr>
          <w:rFonts w:ascii="Arial" w:hAnsi="Arial" w:cs="Arial"/>
        </w:rPr>
        <w:t xml:space="preserve">(Elliott, 2009). </w:t>
      </w:r>
      <w:r w:rsidR="00DC6422" w:rsidRPr="00DC6422">
        <w:rPr>
          <w:rFonts w:ascii="Arial" w:hAnsi="Arial" w:cs="Arial"/>
        </w:rPr>
        <w:t xml:space="preserve">Since societal pressure has intensified, the Companies Act of 2006 stipulates that the business appraisal in the Directors' Report must include information regarding the company's people and social and community problems. Despite growing efforts from numerous stakeholder groups, including government agencies, to address environmental issues, a number of studies have revealed that corporate environmental disclosure remains relatively low. Liability statements are a relatively recent phenomena, notwithstanding the substantial potential financial exposure introduced by superfund legislation in the United States for chemical and similar firms. (Milne and Patten, 2002). Some international organisations have developed environmental programmes to promote and assist firms with environmental reporting. This paper examines a variety of these efforts, which have been proposed by various organisations in an effort to facilitate the development of social and environmental disclosures. The purpose of this research is to determine if these activities assist firms in overcoming the constraints that hinder them from producing more complete environmental reports. </w:t>
      </w:r>
      <w:r w:rsidR="00BB29D9" w:rsidRPr="00131660">
        <w:rPr>
          <w:rFonts w:ascii="Arial" w:hAnsi="Arial" w:cs="Arial"/>
        </w:rPr>
        <w:t>(Dixon et al, 2005).</w:t>
      </w:r>
      <w:r w:rsidR="00241B17" w:rsidRPr="00241B17">
        <w:t xml:space="preserve"> </w:t>
      </w:r>
    </w:p>
    <w:p w14:paraId="56372E66" w14:textId="2B3049B6" w:rsidR="00394CC5" w:rsidRPr="00BF44F2" w:rsidRDefault="00394CC5" w:rsidP="00BB29D9">
      <w:pPr>
        <w:jc w:val="both"/>
        <w:rPr>
          <w:rFonts w:ascii="Arial" w:hAnsi="Arial" w:cs="Arial"/>
        </w:rPr>
      </w:pPr>
      <w:r w:rsidRPr="00BF44F2">
        <w:rPr>
          <w:rFonts w:ascii="Arial" w:hAnsi="Arial" w:cs="Arial"/>
        </w:rPr>
        <w:t>Social and environmental reporting activities include employee reporting, social auditing, the silent social report, and ethical investing. The organisation may only disclose a subset of the information to the public. Peer pressure organisations (such as Greenpeace and Friends of the Earth) are pursuing more transparency with respect to green funds and contingent liabilities invested by businesses.</w:t>
      </w:r>
    </w:p>
    <w:p w14:paraId="18ABA563" w14:textId="77777777" w:rsidR="00D204C9" w:rsidRPr="00BA3B0B" w:rsidRDefault="00D204C9" w:rsidP="001B3EA4">
      <w:pPr>
        <w:rPr>
          <w:rFonts w:ascii="Arial" w:hAnsi="Arial" w:cs="Arial"/>
          <w:color w:val="000000"/>
          <w:sz w:val="48"/>
          <w:szCs w:val="48"/>
        </w:rPr>
      </w:pPr>
    </w:p>
    <w:p w14:paraId="2AFEBF87" w14:textId="31D29594" w:rsidR="00BA3B0B" w:rsidRPr="007814EE" w:rsidRDefault="007814EE" w:rsidP="00196ABD">
      <w:pPr>
        <w:jc w:val="center"/>
        <w:rPr>
          <w:rFonts w:ascii="Arial" w:hAnsi="Arial" w:cs="Arial"/>
          <w:color w:val="000000"/>
          <w:sz w:val="48"/>
          <w:szCs w:val="48"/>
        </w:rPr>
      </w:pPr>
      <w:r w:rsidRPr="007814EE">
        <w:rPr>
          <w:rFonts w:ascii="Arial" w:hAnsi="Arial" w:cs="Arial"/>
          <w:color w:val="000000"/>
          <w:sz w:val="48"/>
          <w:szCs w:val="48"/>
        </w:rPr>
        <w:t>Conclusion and Recommendation</w:t>
      </w:r>
    </w:p>
    <w:p w14:paraId="79BA19E1" w14:textId="7D5082A3" w:rsidR="00FD021C" w:rsidRDefault="003D75B4" w:rsidP="000F39AF">
      <w:pPr>
        <w:spacing w:after="0"/>
        <w:jc w:val="both"/>
        <w:rPr>
          <w:rFonts w:ascii="Arial" w:eastAsia="Calibri" w:hAnsi="Arial" w:cs="Arial"/>
        </w:rPr>
      </w:pPr>
      <w:r w:rsidRPr="003D75B4">
        <w:rPr>
          <w:rFonts w:ascii="Arial" w:eastAsia="Calibri" w:hAnsi="Arial" w:cs="Arial"/>
        </w:rPr>
        <w:t>If I were to choose an ideal company to invest in, I would ensure its integrity and compliance with all existing laws and regulations. The appearance of the Covid 19 outbreak took everyone off surprise. It rapidly spread over the globe. The government and medical professionals had to move swiftly to limit the outbreak and save the lives of several people.</w:t>
      </w:r>
    </w:p>
    <w:p w14:paraId="14B09237" w14:textId="77777777" w:rsidR="003D75B4" w:rsidRPr="008B11AC" w:rsidRDefault="003D75B4" w:rsidP="000F39AF">
      <w:pPr>
        <w:spacing w:after="0"/>
        <w:jc w:val="both"/>
        <w:rPr>
          <w:rFonts w:ascii="Arial" w:eastAsia="Calibri" w:hAnsi="Arial" w:cs="Arial"/>
        </w:rPr>
      </w:pPr>
    </w:p>
    <w:p w14:paraId="7873BBBD" w14:textId="3852AC95" w:rsidR="00FD021C" w:rsidRDefault="003D75B4" w:rsidP="000F39AF">
      <w:pPr>
        <w:spacing w:after="0"/>
        <w:jc w:val="both"/>
        <w:rPr>
          <w:rFonts w:ascii="Arial" w:eastAsia="Calibri" w:hAnsi="Arial" w:cs="Arial"/>
        </w:rPr>
      </w:pPr>
      <w:r w:rsidRPr="003D75B4">
        <w:rPr>
          <w:rFonts w:ascii="Arial" w:eastAsia="Calibri" w:hAnsi="Arial" w:cs="Arial"/>
        </w:rPr>
        <w:t xml:space="preserve">Vaccines were produced as a result of several human studies and trials in order to limit the spread of the virus and reduce the population's mortality rate. It is one of the deadliest pandemics in the world. Thanks to the efforts of various well-known companies, effective immunisations for population survival have been produced. </w:t>
      </w:r>
      <w:proofErr w:type="gramStart"/>
      <w:r w:rsidRPr="003D75B4">
        <w:rPr>
          <w:rFonts w:ascii="Arial" w:eastAsia="Calibri" w:hAnsi="Arial" w:cs="Arial"/>
        </w:rPr>
        <w:t>As a consequence of</w:t>
      </w:r>
      <w:proofErr w:type="gramEnd"/>
      <w:r w:rsidRPr="003D75B4">
        <w:rPr>
          <w:rFonts w:ascii="Arial" w:eastAsia="Calibri" w:hAnsi="Arial" w:cs="Arial"/>
        </w:rPr>
        <w:t xml:space="preserve"> government action and the execution of several measures to manage them, the number of cases and fatalities decreased drastically.</w:t>
      </w:r>
    </w:p>
    <w:p w14:paraId="56B3B176" w14:textId="77777777" w:rsidR="001A521A" w:rsidRPr="008B11AC" w:rsidRDefault="001A521A" w:rsidP="000F39AF">
      <w:pPr>
        <w:spacing w:after="0"/>
        <w:jc w:val="both"/>
        <w:rPr>
          <w:rFonts w:ascii="Arial" w:eastAsia="Calibri" w:hAnsi="Arial" w:cs="Arial"/>
        </w:rPr>
      </w:pPr>
    </w:p>
    <w:p w14:paraId="3CB12E0B" w14:textId="52FC68F0" w:rsidR="00FD021C" w:rsidRDefault="003D75B4" w:rsidP="000F39AF">
      <w:pPr>
        <w:spacing w:after="0"/>
        <w:jc w:val="both"/>
        <w:rPr>
          <w:rFonts w:ascii="Arial" w:eastAsia="Calibri" w:hAnsi="Arial" w:cs="Arial"/>
        </w:rPr>
      </w:pPr>
      <w:r w:rsidRPr="003D75B4">
        <w:rPr>
          <w:rFonts w:ascii="Arial" w:eastAsia="Calibri" w:hAnsi="Arial" w:cs="Arial"/>
        </w:rPr>
        <w:t xml:space="preserve">The most important component of these tactics is vaccinations. Multiple multinational firms launched and produced vaccines rapidly and efficiently. They were a strategy for combating the disease. These firms made a fortune as a result of the large number of immunisations supplied in a short time frame. They were in high demand and required to meet market expectations promptly and on time. In a short amount of time, sales were </w:t>
      </w:r>
      <w:r w:rsidR="001A521A" w:rsidRPr="003D75B4">
        <w:rPr>
          <w:rFonts w:ascii="Arial" w:eastAsia="Calibri" w:hAnsi="Arial" w:cs="Arial"/>
        </w:rPr>
        <w:t>robust</w:t>
      </w:r>
      <w:r w:rsidRPr="003D75B4">
        <w:rPr>
          <w:rFonts w:ascii="Arial" w:eastAsia="Calibri" w:hAnsi="Arial" w:cs="Arial"/>
        </w:rPr>
        <w:t>.</w:t>
      </w:r>
    </w:p>
    <w:p w14:paraId="0FF1AF18" w14:textId="77777777" w:rsidR="003D75B4" w:rsidRDefault="003D75B4" w:rsidP="000F39AF">
      <w:pPr>
        <w:spacing w:after="0"/>
        <w:jc w:val="both"/>
        <w:rPr>
          <w:rFonts w:ascii="Arial" w:eastAsia="Calibri" w:hAnsi="Arial" w:cs="Arial"/>
        </w:rPr>
      </w:pPr>
    </w:p>
    <w:p w14:paraId="602375AD" w14:textId="3E1B0811" w:rsidR="00FD021C" w:rsidRDefault="003D75B4" w:rsidP="000F39AF">
      <w:pPr>
        <w:spacing w:after="0"/>
        <w:jc w:val="both"/>
        <w:rPr>
          <w:rFonts w:ascii="Arial" w:eastAsia="Calibri" w:hAnsi="Arial" w:cs="Arial"/>
        </w:rPr>
      </w:pPr>
      <w:r w:rsidRPr="003D75B4">
        <w:rPr>
          <w:rFonts w:ascii="Arial" w:eastAsia="Calibri" w:hAnsi="Arial" w:cs="Arial"/>
        </w:rPr>
        <w:lastRenderedPageBreak/>
        <w:t xml:space="preserve">Following vaccination, there were some issues and side effects, but these were managed. The pharmaceutical giant Pfizer is based in the United States. Her percentage of immunisation sales was significant. It was one of the early companies to produce immunisations. They are </w:t>
      </w:r>
      <w:r w:rsidR="000F39AF" w:rsidRPr="003D75B4">
        <w:rPr>
          <w:rFonts w:ascii="Arial" w:eastAsia="Calibri" w:hAnsi="Arial" w:cs="Arial"/>
        </w:rPr>
        <w:t>efficient</w:t>
      </w:r>
      <w:r w:rsidRPr="003D75B4">
        <w:rPr>
          <w:rFonts w:ascii="Arial" w:eastAsia="Calibri" w:hAnsi="Arial" w:cs="Arial"/>
        </w:rPr>
        <w:t>. This explains why it entered the market so quickly. It has one of the highest sales share percentages. It is the market leader in the production of vaccines. As the disease's prevalence decreased and people resumed their normal activities, the necessity for immunisations declined substantially. Currently, sales are on the decline.</w:t>
      </w:r>
    </w:p>
    <w:p w14:paraId="1F59C7A6" w14:textId="77777777" w:rsidR="003D75B4" w:rsidRPr="008B11AC" w:rsidRDefault="003D75B4" w:rsidP="000F39AF">
      <w:pPr>
        <w:spacing w:after="0"/>
        <w:jc w:val="both"/>
        <w:rPr>
          <w:rFonts w:ascii="Arial" w:eastAsia="Calibri" w:hAnsi="Arial" w:cs="Arial"/>
        </w:rPr>
      </w:pPr>
    </w:p>
    <w:p w14:paraId="35241283" w14:textId="73B703E2" w:rsidR="008B11AC" w:rsidRPr="008B11AC" w:rsidRDefault="00597D1F" w:rsidP="000F39AF">
      <w:pPr>
        <w:jc w:val="both"/>
        <w:rPr>
          <w:rFonts w:ascii="Arial" w:eastAsia="Calibri" w:hAnsi="Arial" w:cs="Arial"/>
        </w:rPr>
      </w:pPr>
      <w:r w:rsidRPr="00597D1F">
        <w:rPr>
          <w:rFonts w:ascii="Arial" w:eastAsia="Calibri" w:hAnsi="Arial" w:cs="Arial"/>
        </w:rPr>
        <w:t>With a new viral mutation, the company must invest in new research and enhance existing vaccines. Then there will be a considerable surge in demand. Pfizer will continue to be one of the leading vaccine manufacturers in the endeavour to prevent or halt the epidemic's progress. As suggestions, the company should continue testing, improve products, and monitor the effects of immunisations on people. To eliminate as many defects as possible from their products.</w:t>
      </w:r>
    </w:p>
    <w:p w14:paraId="43E701D5" w14:textId="77777777" w:rsidR="008B11AC" w:rsidRPr="008B11AC" w:rsidRDefault="008B11AC" w:rsidP="008B11AC">
      <w:pPr>
        <w:rPr>
          <w:rFonts w:ascii="Arial" w:eastAsia="Calibri" w:hAnsi="Arial" w:cs="Arial"/>
        </w:rPr>
      </w:pPr>
    </w:p>
    <w:p w14:paraId="103E24D8" w14:textId="77777777" w:rsidR="008B11AC" w:rsidRPr="008B11AC" w:rsidRDefault="008B11AC" w:rsidP="008B11AC">
      <w:pPr>
        <w:rPr>
          <w:rFonts w:ascii="Arial" w:eastAsia="Calibri" w:hAnsi="Arial" w:cs="Arial"/>
        </w:rPr>
      </w:pPr>
    </w:p>
    <w:p w14:paraId="6650D2FB" w14:textId="4771DB52" w:rsidR="000A5346" w:rsidRDefault="000A5346" w:rsidP="00CE7704">
      <w:pPr>
        <w:rPr>
          <w:rFonts w:ascii="Arial" w:eastAsia="Calibri" w:hAnsi="Arial" w:cs="Arial"/>
          <w:sz w:val="48"/>
          <w:szCs w:val="48"/>
          <w:lang w:val="bg-BG"/>
        </w:rPr>
      </w:pPr>
    </w:p>
    <w:p w14:paraId="75F7B120" w14:textId="3A531EBF" w:rsidR="005B7376" w:rsidRDefault="005B7376" w:rsidP="00CE7704">
      <w:pPr>
        <w:rPr>
          <w:rFonts w:ascii="Arial" w:eastAsia="Calibri" w:hAnsi="Arial" w:cs="Arial"/>
          <w:sz w:val="48"/>
          <w:szCs w:val="48"/>
          <w:lang w:val="bg-BG"/>
        </w:rPr>
      </w:pPr>
    </w:p>
    <w:p w14:paraId="21CF649F" w14:textId="2C53FC6F" w:rsidR="005B7376" w:rsidRDefault="005B7376" w:rsidP="00CE7704">
      <w:pPr>
        <w:rPr>
          <w:rFonts w:ascii="Arial" w:eastAsia="Calibri" w:hAnsi="Arial" w:cs="Arial"/>
          <w:sz w:val="48"/>
          <w:szCs w:val="48"/>
          <w:lang w:val="bg-BG"/>
        </w:rPr>
      </w:pPr>
    </w:p>
    <w:p w14:paraId="2D07EB8B" w14:textId="23E3F656" w:rsidR="005B7376" w:rsidRDefault="005B7376" w:rsidP="00CE7704">
      <w:pPr>
        <w:rPr>
          <w:rFonts w:ascii="Arial" w:eastAsia="Calibri" w:hAnsi="Arial" w:cs="Arial"/>
          <w:sz w:val="48"/>
          <w:szCs w:val="48"/>
          <w:lang w:val="bg-BG"/>
        </w:rPr>
      </w:pPr>
    </w:p>
    <w:p w14:paraId="7B6DF59D" w14:textId="447486F7" w:rsidR="005B7376" w:rsidRDefault="005B7376" w:rsidP="00CE7704">
      <w:pPr>
        <w:rPr>
          <w:rFonts w:ascii="Arial" w:eastAsia="Calibri" w:hAnsi="Arial" w:cs="Arial"/>
          <w:sz w:val="48"/>
          <w:szCs w:val="48"/>
          <w:lang w:val="bg-BG"/>
        </w:rPr>
      </w:pPr>
    </w:p>
    <w:p w14:paraId="456A802E" w14:textId="21C4455F" w:rsidR="005B7376" w:rsidRDefault="005B7376" w:rsidP="00CE7704">
      <w:pPr>
        <w:rPr>
          <w:rFonts w:ascii="Arial" w:eastAsia="Calibri" w:hAnsi="Arial" w:cs="Arial"/>
          <w:sz w:val="48"/>
          <w:szCs w:val="48"/>
          <w:lang w:val="bg-BG"/>
        </w:rPr>
      </w:pPr>
    </w:p>
    <w:p w14:paraId="01A60D21" w14:textId="5A5266A1" w:rsidR="005B7376" w:rsidRDefault="005B7376" w:rsidP="00CE7704">
      <w:pPr>
        <w:rPr>
          <w:rFonts w:ascii="Arial" w:eastAsia="Calibri" w:hAnsi="Arial" w:cs="Arial"/>
          <w:sz w:val="48"/>
          <w:szCs w:val="48"/>
          <w:lang w:val="bg-BG"/>
        </w:rPr>
      </w:pPr>
    </w:p>
    <w:p w14:paraId="26381ECF" w14:textId="5202B4DA" w:rsidR="005B7376" w:rsidRDefault="005B7376" w:rsidP="00CE7704">
      <w:pPr>
        <w:rPr>
          <w:rFonts w:ascii="Arial" w:eastAsia="Calibri" w:hAnsi="Arial" w:cs="Arial"/>
          <w:sz w:val="48"/>
          <w:szCs w:val="48"/>
          <w:lang w:val="bg-BG"/>
        </w:rPr>
      </w:pPr>
    </w:p>
    <w:p w14:paraId="4CE0FE3D" w14:textId="6E864B57" w:rsidR="005B7376" w:rsidRDefault="005B7376" w:rsidP="00CE7704">
      <w:pPr>
        <w:rPr>
          <w:rFonts w:ascii="Arial" w:eastAsia="Calibri" w:hAnsi="Arial" w:cs="Arial"/>
          <w:sz w:val="48"/>
          <w:szCs w:val="48"/>
          <w:lang w:val="bg-BG"/>
        </w:rPr>
      </w:pPr>
    </w:p>
    <w:p w14:paraId="33234379" w14:textId="629B2783" w:rsidR="005B7376" w:rsidRDefault="005B7376" w:rsidP="00CE7704">
      <w:pPr>
        <w:rPr>
          <w:rFonts w:ascii="Arial" w:eastAsia="Calibri" w:hAnsi="Arial" w:cs="Arial"/>
          <w:sz w:val="48"/>
          <w:szCs w:val="48"/>
          <w:lang w:val="bg-BG"/>
        </w:rPr>
      </w:pPr>
    </w:p>
    <w:p w14:paraId="7547C419" w14:textId="5D3AE86B" w:rsidR="00403A25" w:rsidRDefault="00403A25" w:rsidP="00CE7704">
      <w:pPr>
        <w:rPr>
          <w:rFonts w:ascii="Arial" w:eastAsia="Calibri" w:hAnsi="Arial" w:cs="Arial"/>
          <w:sz w:val="48"/>
          <w:szCs w:val="48"/>
          <w:lang w:val="bg-BG"/>
        </w:rPr>
      </w:pPr>
    </w:p>
    <w:p w14:paraId="37F33C18" w14:textId="77777777" w:rsidR="00403A25" w:rsidRDefault="00403A25" w:rsidP="00CE7704">
      <w:pPr>
        <w:rPr>
          <w:rFonts w:ascii="Arial" w:eastAsia="Calibri" w:hAnsi="Arial" w:cs="Arial"/>
          <w:sz w:val="48"/>
          <w:szCs w:val="48"/>
          <w:lang w:val="bg-BG"/>
        </w:rPr>
      </w:pPr>
    </w:p>
    <w:p w14:paraId="45BAE271" w14:textId="77777777" w:rsidR="000A5346" w:rsidRDefault="000A5346" w:rsidP="000A5346">
      <w:pPr>
        <w:jc w:val="center"/>
        <w:rPr>
          <w:rFonts w:ascii="Arial" w:eastAsia="Calibri" w:hAnsi="Arial" w:cs="Arial"/>
          <w:sz w:val="44"/>
          <w:szCs w:val="44"/>
        </w:rPr>
      </w:pPr>
      <w:r w:rsidRPr="005D74BB">
        <w:rPr>
          <w:rFonts w:ascii="Arial" w:eastAsia="Calibri" w:hAnsi="Arial" w:cs="Arial"/>
          <w:sz w:val="44"/>
          <w:szCs w:val="44"/>
        </w:rPr>
        <w:lastRenderedPageBreak/>
        <w:t>Reference lis</w:t>
      </w:r>
      <w:r>
        <w:rPr>
          <w:rFonts w:ascii="Arial" w:eastAsia="Calibri" w:hAnsi="Arial" w:cs="Arial"/>
          <w:sz w:val="44"/>
          <w:szCs w:val="44"/>
        </w:rPr>
        <w:t>t:</w:t>
      </w:r>
    </w:p>
    <w:p w14:paraId="2D8DDB2C" w14:textId="77777777" w:rsidR="000A5346" w:rsidRDefault="000A5346" w:rsidP="000A5346">
      <w:pPr>
        <w:jc w:val="center"/>
      </w:pPr>
    </w:p>
    <w:p w14:paraId="361E03D2" w14:textId="77777777" w:rsidR="000A5346" w:rsidRPr="00836A8A" w:rsidRDefault="000A5346" w:rsidP="000A5346">
      <w:pPr>
        <w:pStyle w:val="ListParagraph"/>
        <w:numPr>
          <w:ilvl w:val="0"/>
          <w:numId w:val="3"/>
        </w:numPr>
        <w:jc w:val="both"/>
        <w:rPr>
          <w:rFonts w:ascii="Arial" w:eastAsia="Calibri" w:hAnsi="Arial" w:cs="Arial"/>
          <w:sz w:val="24"/>
          <w:szCs w:val="24"/>
        </w:rPr>
      </w:pPr>
      <w:proofErr w:type="spellStart"/>
      <w:r w:rsidRPr="00836A8A">
        <w:rPr>
          <w:rFonts w:ascii="Arial" w:eastAsia="Calibri" w:hAnsi="Arial" w:cs="Arial"/>
          <w:sz w:val="24"/>
          <w:szCs w:val="24"/>
        </w:rPr>
        <w:t>Sloman</w:t>
      </w:r>
      <w:proofErr w:type="spellEnd"/>
      <w:r w:rsidRPr="00836A8A">
        <w:rPr>
          <w:rFonts w:ascii="Arial" w:eastAsia="Calibri" w:hAnsi="Arial" w:cs="Arial"/>
          <w:sz w:val="24"/>
          <w:szCs w:val="24"/>
        </w:rPr>
        <w:t xml:space="preserve">, John; Jones Elisabeth (2020) </w:t>
      </w:r>
      <w:r w:rsidRPr="00B17C90">
        <w:rPr>
          <w:rFonts w:ascii="Arial" w:eastAsia="Calibri" w:hAnsi="Arial" w:cs="Arial"/>
          <w:i/>
          <w:iCs/>
          <w:sz w:val="24"/>
          <w:szCs w:val="24"/>
        </w:rPr>
        <w:t>Essential economics for business</w:t>
      </w:r>
      <w:r w:rsidRPr="00836A8A">
        <w:rPr>
          <w:rFonts w:ascii="Arial" w:eastAsia="Calibri" w:hAnsi="Arial" w:cs="Arial"/>
          <w:sz w:val="24"/>
          <w:szCs w:val="24"/>
        </w:rPr>
        <w:t>; sixth edition; England; Harlow</w:t>
      </w:r>
    </w:p>
    <w:p w14:paraId="38856B27" w14:textId="77777777" w:rsidR="000A5346" w:rsidRPr="00836A8A" w:rsidRDefault="000A5346" w:rsidP="000A5346">
      <w:pPr>
        <w:pStyle w:val="ListParagraph"/>
        <w:numPr>
          <w:ilvl w:val="0"/>
          <w:numId w:val="3"/>
        </w:numPr>
        <w:jc w:val="both"/>
        <w:rPr>
          <w:rFonts w:ascii="Arial" w:eastAsia="Calibri" w:hAnsi="Arial" w:cs="Arial"/>
          <w:sz w:val="24"/>
          <w:szCs w:val="24"/>
        </w:rPr>
      </w:pPr>
      <w:proofErr w:type="spellStart"/>
      <w:r w:rsidRPr="00836A8A">
        <w:rPr>
          <w:rFonts w:ascii="Arial" w:eastAsia="Calibri" w:hAnsi="Arial" w:cs="Arial"/>
          <w:sz w:val="24"/>
          <w:szCs w:val="24"/>
        </w:rPr>
        <w:t>Sloman</w:t>
      </w:r>
      <w:proofErr w:type="spellEnd"/>
      <w:r w:rsidRPr="00836A8A">
        <w:rPr>
          <w:rFonts w:ascii="Arial" w:eastAsia="Calibri" w:hAnsi="Arial" w:cs="Arial"/>
          <w:sz w:val="24"/>
          <w:szCs w:val="24"/>
        </w:rPr>
        <w:t xml:space="preserve"> John; (2019) </w:t>
      </w:r>
      <w:r w:rsidRPr="00B17C90">
        <w:rPr>
          <w:rFonts w:ascii="Arial" w:eastAsia="Calibri" w:hAnsi="Arial" w:cs="Arial"/>
          <w:i/>
          <w:iCs/>
          <w:sz w:val="24"/>
          <w:szCs w:val="24"/>
        </w:rPr>
        <w:t>Economics for business</w:t>
      </w:r>
      <w:r w:rsidRPr="00836A8A">
        <w:rPr>
          <w:rFonts w:ascii="Arial" w:eastAsia="Calibri" w:hAnsi="Arial" w:cs="Arial"/>
          <w:sz w:val="24"/>
          <w:szCs w:val="24"/>
        </w:rPr>
        <w:t xml:space="preserve"> [electronic resource]; eight </w:t>
      </w:r>
      <w:proofErr w:type="gramStart"/>
      <w:r w:rsidRPr="00836A8A">
        <w:rPr>
          <w:rFonts w:ascii="Arial" w:eastAsia="Calibri" w:hAnsi="Arial" w:cs="Arial"/>
          <w:sz w:val="24"/>
          <w:szCs w:val="24"/>
        </w:rPr>
        <w:t>edition</w:t>
      </w:r>
      <w:proofErr w:type="gramEnd"/>
      <w:r w:rsidRPr="00836A8A">
        <w:rPr>
          <w:rFonts w:ascii="Arial" w:eastAsia="Calibri" w:hAnsi="Arial" w:cs="Arial"/>
          <w:sz w:val="24"/>
          <w:szCs w:val="24"/>
        </w:rPr>
        <w:t xml:space="preserve">; Harlow England; Pearson </w:t>
      </w:r>
    </w:p>
    <w:p w14:paraId="716C852A" w14:textId="77777777" w:rsidR="000A5346" w:rsidRPr="00836A8A" w:rsidRDefault="000A5346" w:rsidP="000A5346">
      <w:pPr>
        <w:pStyle w:val="ListParagraph"/>
        <w:numPr>
          <w:ilvl w:val="0"/>
          <w:numId w:val="3"/>
        </w:numPr>
        <w:jc w:val="both"/>
        <w:rPr>
          <w:rFonts w:ascii="Arial" w:eastAsia="Calibri" w:hAnsi="Arial" w:cs="Arial"/>
          <w:sz w:val="24"/>
          <w:szCs w:val="24"/>
        </w:rPr>
      </w:pPr>
      <w:proofErr w:type="spellStart"/>
      <w:r w:rsidRPr="00836A8A">
        <w:rPr>
          <w:rFonts w:ascii="Arial" w:eastAsia="Calibri" w:hAnsi="Arial" w:cs="Arial"/>
          <w:sz w:val="24"/>
          <w:szCs w:val="24"/>
        </w:rPr>
        <w:t>Sloman</w:t>
      </w:r>
      <w:proofErr w:type="spellEnd"/>
      <w:r w:rsidRPr="00836A8A">
        <w:rPr>
          <w:rFonts w:ascii="Arial" w:eastAsia="Calibri" w:hAnsi="Arial" w:cs="Arial"/>
          <w:sz w:val="24"/>
          <w:szCs w:val="24"/>
        </w:rPr>
        <w:t xml:space="preserve"> John; Garratt Dean; Guest Jon; John Elizabeth (2019) </w:t>
      </w:r>
      <w:r w:rsidRPr="00B17C90">
        <w:rPr>
          <w:rFonts w:ascii="Arial" w:eastAsia="Calibri" w:hAnsi="Arial" w:cs="Arial"/>
          <w:i/>
          <w:iCs/>
          <w:sz w:val="24"/>
          <w:szCs w:val="24"/>
        </w:rPr>
        <w:t>Economic for business</w:t>
      </w:r>
      <w:r w:rsidRPr="00836A8A">
        <w:rPr>
          <w:rFonts w:ascii="Arial" w:eastAsia="Calibri" w:hAnsi="Arial" w:cs="Arial"/>
          <w:sz w:val="24"/>
          <w:szCs w:val="24"/>
        </w:rPr>
        <w:t>; Eight edition; Pearson; Harlow England</w:t>
      </w:r>
    </w:p>
    <w:p w14:paraId="6B3D9FD4" w14:textId="77777777" w:rsidR="000A5346" w:rsidRPr="00836A8A" w:rsidRDefault="000A5346" w:rsidP="000A5346">
      <w:pPr>
        <w:pStyle w:val="ListParagraph"/>
        <w:numPr>
          <w:ilvl w:val="0"/>
          <w:numId w:val="3"/>
        </w:numPr>
        <w:jc w:val="both"/>
        <w:rPr>
          <w:rFonts w:ascii="Arial" w:eastAsia="Calibri" w:hAnsi="Arial" w:cs="Arial"/>
          <w:sz w:val="24"/>
          <w:szCs w:val="24"/>
        </w:rPr>
      </w:pPr>
      <w:r w:rsidRPr="00836A8A">
        <w:rPr>
          <w:rFonts w:ascii="Arial" w:eastAsia="Calibri" w:hAnsi="Arial" w:cs="Arial"/>
          <w:sz w:val="24"/>
          <w:szCs w:val="24"/>
        </w:rPr>
        <w:t xml:space="preserve">Samuelson; William E (2015) </w:t>
      </w:r>
      <w:r w:rsidRPr="00B17C90">
        <w:rPr>
          <w:rFonts w:ascii="Arial" w:eastAsia="Calibri" w:hAnsi="Arial" w:cs="Arial"/>
          <w:i/>
          <w:iCs/>
          <w:sz w:val="24"/>
          <w:szCs w:val="24"/>
        </w:rPr>
        <w:t>Managerial economics</w:t>
      </w:r>
      <w:r w:rsidRPr="00836A8A">
        <w:rPr>
          <w:rFonts w:ascii="Arial" w:eastAsia="Calibri" w:hAnsi="Arial" w:cs="Arial"/>
          <w:sz w:val="24"/>
          <w:szCs w:val="24"/>
        </w:rPr>
        <w:t>; Eighth edition; Wiley; Hoboken New Jersey (NJ)</w:t>
      </w:r>
    </w:p>
    <w:p w14:paraId="362986B8" w14:textId="77777777" w:rsidR="000A5346" w:rsidRDefault="000A5346" w:rsidP="000A5346">
      <w:pPr>
        <w:pStyle w:val="ListParagraph"/>
        <w:numPr>
          <w:ilvl w:val="0"/>
          <w:numId w:val="3"/>
        </w:numPr>
        <w:spacing w:after="0"/>
        <w:jc w:val="both"/>
        <w:rPr>
          <w:rFonts w:ascii="Arial" w:eastAsia="Calibri" w:hAnsi="Arial" w:cs="Arial"/>
          <w:sz w:val="24"/>
          <w:szCs w:val="24"/>
        </w:rPr>
      </w:pPr>
      <w:r w:rsidRPr="00836A8A">
        <w:rPr>
          <w:rFonts w:ascii="Arial" w:eastAsia="Calibri" w:hAnsi="Arial" w:cs="Arial"/>
          <w:sz w:val="24"/>
          <w:szCs w:val="24"/>
        </w:rPr>
        <w:t>Aigner-</w:t>
      </w:r>
      <w:proofErr w:type="spellStart"/>
      <w:r w:rsidRPr="00836A8A">
        <w:rPr>
          <w:rFonts w:ascii="Arial" w:eastAsia="Calibri" w:hAnsi="Arial" w:cs="Arial"/>
          <w:sz w:val="24"/>
          <w:szCs w:val="24"/>
        </w:rPr>
        <w:t>Walder</w:t>
      </w:r>
      <w:proofErr w:type="spellEnd"/>
      <w:r w:rsidRPr="00836A8A">
        <w:rPr>
          <w:rFonts w:ascii="Arial" w:eastAsia="Calibri" w:hAnsi="Arial" w:cs="Arial"/>
          <w:sz w:val="24"/>
          <w:szCs w:val="24"/>
        </w:rPr>
        <w:t xml:space="preserve">, B. (2015) </w:t>
      </w:r>
      <w:r w:rsidRPr="00B17C90">
        <w:rPr>
          <w:rFonts w:ascii="Arial" w:eastAsia="Calibri" w:hAnsi="Arial" w:cs="Arial"/>
          <w:i/>
          <w:iCs/>
          <w:sz w:val="24"/>
          <w:szCs w:val="24"/>
        </w:rPr>
        <w:t>Effects of the Demographic Changes on Private Consumption: An Almost Ideal Demand System Analysis for Austria</w:t>
      </w:r>
      <w:r w:rsidRPr="00836A8A">
        <w:rPr>
          <w:rFonts w:ascii="Arial" w:eastAsia="Calibri" w:hAnsi="Arial" w:cs="Arial"/>
          <w:sz w:val="24"/>
          <w:szCs w:val="24"/>
        </w:rPr>
        <w:t>. Journal of Economic and Social Studies</w:t>
      </w:r>
    </w:p>
    <w:p w14:paraId="722220AD" w14:textId="77777777" w:rsidR="000A5346" w:rsidRPr="00EA6408" w:rsidRDefault="000A5346" w:rsidP="000A5346">
      <w:pPr>
        <w:pStyle w:val="ListParagraph"/>
        <w:numPr>
          <w:ilvl w:val="0"/>
          <w:numId w:val="3"/>
        </w:numPr>
        <w:spacing w:after="0"/>
        <w:jc w:val="both"/>
        <w:rPr>
          <w:rFonts w:ascii="Arial" w:eastAsia="Calibri" w:hAnsi="Arial" w:cs="Arial"/>
          <w:sz w:val="24"/>
          <w:szCs w:val="24"/>
        </w:rPr>
      </w:pPr>
      <w:r w:rsidRPr="00EA6408">
        <w:rPr>
          <w:rFonts w:ascii="Arial" w:eastAsia="Calibri" w:hAnsi="Arial" w:cs="Arial"/>
          <w:sz w:val="24"/>
          <w:szCs w:val="24"/>
        </w:rPr>
        <w:t xml:space="preserve">Elliott, B., Elliott, J (2009) </w:t>
      </w:r>
      <w:r w:rsidRPr="00B17C90">
        <w:rPr>
          <w:rFonts w:ascii="Arial" w:eastAsia="Calibri" w:hAnsi="Arial" w:cs="Arial"/>
          <w:i/>
          <w:iCs/>
          <w:sz w:val="24"/>
          <w:szCs w:val="24"/>
        </w:rPr>
        <w:t>Financial accounting</w:t>
      </w:r>
      <w:r w:rsidRPr="00EA6408">
        <w:rPr>
          <w:rFonts w:ascii="Arial" w:eastAsia="Calibri" w:hAnsi="Arial" w:cs="Arial"/>
          <w:sz w:val="24"/>
          <w:szCs w:val="24"/>
        </w:rPr>
        <w:t xml:space="preserve">, reporting and analysis., 13ed </w:t>
      </w:r>
      <w:proofErr w:type="spellStart"/>
      <w:r w:rsidRPr="00EA6408">
        <w:rPr>
          <w:rFonts w:ascii="Arial" w:eastAsia="Calibri" w:hAnsi="Arial" w:cs="Arial"/>
          <w:sz w:val="24"/>
          <w:szCs w:val="24"/>
        </w:rPr>
        <w:t>Finanical</w:t>
      </w:r>
      <w:proofErr w:type="spellEnd"/>
      <w:r w:rsidRPr="00EA6408">
        <w:rPr>
          <w:rFonts w:ascii="Arial" w:eastAsia="Calibri" w:hAnsi="Arial" w:cs="Arial"/>
          <w:sz w:val="24"/>
          <w:szCs w:val="24"/>
        </w:rPr>
        <w:t xml:space="preserve"> Times/Prentice Hall, New York</w:t>
      </w:r>
    </w:p>
    <w:p w14:paraId="224C72E7" w14:textId="77777777" w:rsidR="000A5346" w:rsidRPr="00836A8A" w:rsidRDefault="000A5346" w:rsidP="000A5346">
      <w:pPr>
        <w:pStyle w:val="ListParagraph"/>
        <w:numPr>
          <w:ilvl w:val="0"/>
          <w:numId w:val="3"/>
        </w:numPr>
        <w:spacing w:after="0"/>
        <w:jc w:val="both"/>
        <w:rPr>
          <w:rFonts w:ascii="Arial" w:eastAsia="Calibri" w:hAnsi="Arial" w:cs="Arial"/>
          <w:sz w:val="24"/>
          <w:szCs w:val="24"/>
        </w:rPr>
      </w:pPr>
      <w:r w:rsidRPr="00836A8A">
        <w:rPr>
          <w:rFonts w:ascii="Arial" w:eastAsia="Calibri" w:hAnsi="Arial" w:cs="Arial"/>
          <w:sz w:val="24"/>
          <w:szCs w:val="24"/>
        </w:rPr>
        <w:t xml:space="preserve">Andreyeva, T., Long, M. and Brownell, K. (2010) </w:t>
      </w:r>
      <w:r w:rsidRPr="00D07A1E">
        <w:rPr>
          <w:rFonts w:ascii="Arial" w:eastAsia="Calibri" w:hAnsi="Arial" w:cs="Arial"/>
          <w:i/>
          <w:iCs/>
          <w:sz w:val="24"/>
          <w:szCs w:val="24"/>
        </w:rPr>
        <w:t>The Impact of Food Prices on Consumption</w:t>
      </w:r>
      <w:r w:rsidRPr="00836A8A">
        <w:rPr>
          <w:rFonts w:ascii="Arial" w:eastAsia="Calibri" w:hAnsi="Arial" w:cs="Arial"/>
          <w:sz w:val="24"/>
          <w:szCs w:val="24"/>
        </w:rPr>
        <w:t xml:space="preserve">: </w:t>
      </w:r>
      <w:proofErr w:type="gramStart"/>
      <w:r w:rsidRPr="00836A8A">
        <w:rPr>
          <w:rFonts w:ascii="Arial" w:eastAsia="Calibri" w:hAnsi="Arial" w:cs="Arial"/>
          <w:sz w:val="24"/>
          <w:szCs w:val="24"/>
        </w:rPr>
        <w:t>A Systematic</w:t>
      </w:r>
      <w:proofErr w:type="gramEnd"/>
    </w:p>
    <w:p w14:paraId="69E0CAAD" w14:textId="77777777" w:rsidR="000A5346" w:rsidRPr="00372200" w:rsidRDefault="000A5346" w:rsidP="000A5346">
      <w:pPr>
        <w:pStyle w:val="ListParagraph"/>
        <w:numPr>
          <w:ilvl w:val="0"/>
          <w:numId w:val="3"/>
        </w:numPr>
        <w:spacing w:after="0"/>
        <w:jc w:val="both"/>
        <w:rPr>
          <w:rFonts w:ascii="Arial" w:eastAsia="Calibri" w:hAnsi="Arial" w:cs="Arial"/>
          <w:sz w:val="24"/>
          <w:szCs w:val="24"/>
        </w:rPr>
      </w:pPr>
      <w:r w:rsidRPr="00B17C90">
        <w:rPr>
          <w:rFonts w:ascii="Arial" w:eastAsia="Calibri" w:hAnsi="Arial" w:cs="Arial"/>
          <w:i/>
          <w:iCs/>
          <w:sz w:val="24"/>
          <w:szCs w:val="24"/>
        </w:rPr>
        <w:t>Review of Research on the Price Elasticity of Demand for Food</w:t>
      </w:r>
      <w:r w:rsidRPr="00836A8A">
        <w:rPr>
          <w:rFonts w:ascii="Arial" w:eastAsia="Calibri" w:hAnsi="Arial" w:cs="Arial"/>
          <w:sz w:val="24"/>
          <w:szCs w:val="24"/>
        </w:rPr>
        <w:t>. American Journal of Public Health, 100</w:t>
      </w:r>
    </w:p>
    <w:p w14:paraId="6FCC48FA" w14:textId="77777777" w:rsidR="000A5346" w:rsidRDefault="000A5346" w:rsidP="000A5346">
      <w:pPr>
        <w:pStyle w:val="ListParagraph"/>
        <w:numPr>
          <w:ilvl w:val="0"/>
          <w:numId w:val="3"/>
        </w:numPr>
        <w:spacing w:after="0"/>
        <w:jc w:val="both"/>
        <w:rPr>
          <w:rFonts w:ascii="Arial" w:eastAsia="Calibri" w:hAnsi="Arial" w:cs="Arial"/>
          <w:sz w:val="24"/>
          <w:szCs w:val="24"/>
        </w:rPr>
      </w:pPr>
      <w:r w:rsidRPr="00836A8A">
        <w:rPr>
          <w:rFonts w:ascii="Arial" w:eastAsia="Calibri" w:hAnsi="Arial" w:cs="Arial"/>
          <w:sz w:val="24"/>
          <w:szCs w:val="24"/>
        </w:rPr>
        <w:t xml:space="preserve">Griffith, G. (2003) </w:t>
      </w:r>
      <w:r w:rsidRPr="00B17C90">
        <w:rPr>
          <w:rFonts w:ascii="Arial" w:eastAsia="Calibri" w:hAnsi="Arial" w:cs="Arial"/>
          <w:i/>
          <w:iCs/>
          <w:sz w:val="24"/>
          <w:szCs w:val="24"/>
        </w:rPr>
        <w:t>The Impact of Supermarkets on Farm Suppliers</w:t>
      </w:r>
      <w:r w:rsidRPr="00836A8A">
        <w:rPr>
          <w:rFonts w:ascii="Arial" w:eastAsia="Calibri" w:hAnsi="Arial" w:cs="Arial"/>
          <w:sz w:val="24"/>
          <w:szCs w:val="24"/>
        </w:rPr>
        <w:t>. The Australian Economic Review, 37</w:t>
      </w:r>
    </w:p>
    <w:p w14:paraId="0B18A1E0" w14:textId="521A567C" w:rsidR="000A5346" w:rsidRPr="00213B88" w:rsidRDefault="000A5346" w:rsidP="000A5346">
      <w:pPr>
        <w:pStyle w:val="ListParagraph"/>
        <w:numPr>
          <w:ilvl w:val="0"/>
          <w:numId w:val="3"/>
        </w:numPr>
        <w:spacing w:after="0"/>
        <w:jc w:val="both"/>
        <w:rPr>
          <w:rFonts w:ascii="Arial" w:eastAsia="Calibri" w:hAnsi="Arial" w:cs="Arial"/>
          <w:sz w:val="24"/>
          <w:szCs w:val="24"/>
        </w:rPr>
      </w:pPr>
      <w:proofErr w:type="spellStart"/>
      <w:r w:rsidRPr="001B577A">
        <w:rPr>
          <w:rFonts w:ascii="Arial" w:eastAsia="Calibri" w:hAnsi="Arial" w:cs="Arial"/>
          <w:sz w:val="24"/>
          <w:szCs w:val="24"/>
        </w:rPr>
        <w:t>Forgang</w:t>
      </w:r>
      <w:proofErr w:type="spellEnd"/>
      <w:r>
        <w:rPr>
          <w:rFonts w:ascii="Arial" w:eastAsia="Calibri" w:hAnsi="Arial" w:cs="Arial"/>
          <w:sz w:val="24"/>
          <w:szCs w:val="24"/>
        </w:rPr>
        <w:t>,</w:t>
      </w:r>
      <w:r w:rsidRPr="001B577A">
        <w:rPr>
          <w:rFonts w:ascii="Arial" w:eastAsia="Calibri" w:hAnsi="Arial" w:cs="Arial"/>
          <w:sz w:val="24"/>
          <w:szCs w:val="24"/>
        </w:rPr>
        <w:t xml:space="preserve"> William G. and </w:t>
      </w:r>
      <w:proofErr w:type="spellStart"/>
      <w:r w:rsidRPr="001B577A">
        <w:rPr>
          <w:rFonts w:ascii="Arial" w:eastAsia="Calibri" w:hAnsi="Arial" w:cs="Arial"/>
          <w:sz w:val="24"/>
          <w:szCs w:val="24"/>
        </w:rPr>
        <w:t>Einolf</w:t>
      </w:r>
      <w:proofErr w:type="spellEnd"/>
      <w:r>
        <w:rPr>
          <w:rFonts w:ascii="Arial" w:eastAsia="Calibri" w:hAnsi="Arial" w:cs="Arial"/>
          <w:sz w:val="24"/>
          <w:szCs w:val="24"/>
        </w:rPr>
        <w:t xml:space="preserve">, </w:t>
      </w:r>
      <w:r w:rsidRPr="001B577A">
        <w:rPr>
          <w:rFonts w:ascii="Arial" w:eastAsia="Calibri" w:hAnsi="Arial" w:cs="Arial"/>
          <w:sz w:val="24"/>
          <w:szCs w:val="24"/>
        </w:rPr>
        <w:t xml:space="preserve">Karl W. </w:t>
      </w:r>
      <w:r>
        <w:rPr>
          <w:rFonts w:ascii="Arial" w:eastAsia="Calibri" w:hAnsi="Arial" w:cs="Arial"/>
          <w:sz w:val="24"/>
          <w:szCs w:val="24"/>
        </w:rPr>
        <w:t>(20</w:t>
      </w:r>
      <w:r w:rsidR="002B6D0F">
        <w:rPr>
          <w:rFonts w:ascii="Arial" w:eastAsia="Calibri" w:hAnsi="Arial" w:cs="Arial"/>
          <w:sz w:val="24"/>
          <w:szCs w:val="24"/>
        </w:rPr>
        <w:t>15</w:t>
      </w:r>
      <w:r>
        <w:rPr>
          <w:rFonts w:ascii="Arial" w:eastAsia="Calibri" w:hAnsi="Arial" w:cs="Arial"/>
          <w:sz w:val="24"/>
          <w:szCs w:val="24"/>
        </w:rPr>
        <w:t>)</w:t>
      </w:r>
      <w:r w:rsidRPr="001B577A">
        <w:rPr>
          <w:rFonts w:ascii="Arial" w:eastAsia="Calibri" w:hAnsi="Arial" w:cs="Arial"/>
          <w:sz w:val="24"/>
          <w:szCs w:val="24"/>
        </w:rPr>
        <w:t xml:space="preserve"> </w:t>
      </w:r>
      <w:r w:rsidRPr="00B17C90">
        <w:rPr>
          <w:rFonts w:ascii="Arial" w:eastAsia="Calibri" w:hAnsi="Arial" w:cs="Arial"/>
          <w:i/>
          <w:iCs/>
          <w:sz w:val="24"/>
          <w:szCs w:val="24"/>
        </w:rPr>
        <w:t>Management Economics an Accelerated Approach</w:t>
      </w:r>
      <w:r>
        <w:rPr>
          <w:rFonts w:ascii="Arial" w:eastAsia="Calibri" w:hAnsi="Arial" w:cs="Arial"/>
          <w:sz w:val="24"/>
          <w:szCs w:val="24"/>
        </w:rPr>
        <w:t xml:space="preserve">, </w:t>
      </w:r>
      <w:r w:rsidRPr="00E85206">
        <w:rPr>
          <w:rFonts w:ascii="Arial" w:eastAsia="Calibri" w:hAnsi="Arial" w:cs="Arial"/>
          <w:sz w:val="24"/>
          <w:szCs w:val="24"/>
        </w:rPr>
        <w:t>Routledge LONDON AND NEW YORK</w:t>
      </w:r>
    </w:p>
    <w:p w14:paraId="4B06B603" w14:textId="77777777" w:rsidR="000A5346" w:rsidRPr="00836A8A" w:rsidRDefault="000A5346" w:rsidP="000A5346">
      <w:pPr>
        <w:pStyle w:val="ListParagraph"/>
        <w:numPr>
          <w:ilvl w:val="0"/>
          <w:numId w:val="3"/>
        </w:numPr>
        <w:spacing w:after="0"/>
        <w:jc w:val="both"/>
        <w:rPr>
          <w:rFonts w:ascii="Arial" w:eastAsia="Calibri" w:hAnsi="Arial" w:cs="Arial"/>
          <w:sz w:val="24"/>
          <w:szCs w:val="24"/>
        </w:rPr>
      </w:pPr>
      <w:r w:rsidRPr="00836A8A">
        <w:rPr>
          <w:rFonts w:ascii="Arial" w:eastAsia="Calibri" w:hAnsi="Arial" w:cs="Arial"/>
          <w:sz w:val="24"/>
          <w:szCs w:val="24"/>
        </w:rPr>
        <w:t>OECD (2015) GENERAL ASSESSMENT OF THE MACROECONOMIC SITUATION. OECD Economic Outlook Volume 2015/1</w:t>
      </w:r>
    </w:p>
    <w:p w14:paraId="5B816E4D" w14:textId="77777777" w:rsidR="000A5346" w:rsidRPr="00CA74C8" w:rsidRDefault="000A5346" w:rsidP="000A5346">
      <w:pPr>
        <w:spacing w:after="0"/>
        <w:jc w:val="both"/>
        <w:rPr>
          <w:rFonts w:ascii="Arial" w:eastAsia="Calibri" w:hAnsi="Arial" w:cs="Arial"/>
          <w:sz w:val="24"/>
          <w:szCs w:val="24"/>
        </w:rPr>
      </w:pPr>
    </w:p>
    <w:p w14:paraId="0F715851" w14:textId="77777777" w:rsidR="000A5346" w:rsidRPr="00836A8A" w:rsidRDefault="000A5346" w:rsidP="000A5346">
      <w:pPr>
        <w:pStyle w:val="ListParagraph"/>
        <w:numPr>
          <w:ilvl w:val="0"/>
          <w:numId w:val="3"/>
        </w:numPr>
        <w:spacing w:after="0"/>
        <w:jc w:val="both"/>
        <w:rPr>
          <w:rFonts w:ascii="Arial" w:eastAsia="Calibri" w:hAnsi="Arial" w:cs="Arial"/>
          <w:sz w:val="24"/>
          <w:szCs w:val="24"/>
          <w:lang w:val="bg-BG"/>
        </w:rPr>
      </w:pPr>
      <w:r w:rsidRPr="00836A8A">
        <w:rPr>
          <w:rFonts w:ascii="Arial" w:eastAsia="Calibri" w:hAnsi="Arial" w:cs="Arial"/>
          <w:sz w:val="24"/>
          <w:szCs w:val="24"/>
          <w:lang w:val="bg-BG"/>
        </w:rPr>
        <w:t>https://www.warc.com/ContentandPartners/EuromonitorInternational.info      04/09/2022 15:30</w:t>
      </w:r>
    </w:p>
    <w:p w14:paraId="0A55D4D3" w14:textId="77777777" w:rsidR="000A5346" w:rsidRPr="00CA74C8" w:rsidRDefault="000A5346" w:rsidP="000A5346">
      <w:pPr>
        <w:spacing w:after="0"/>
        <w:jc w:val="both"/>
        <w:rPr>
          <w:rFonts w:ascii="Arial" w:eastAsia="Calibri" w:hAnsi="Arial" w:cs="Arial"/>
          <w:sz w:val="24"/>
          <w:szCs w:val="24"/>
          <w:lang w:val="bg-BG"/>
        </w:rPr>
      </w:pPr>
    </w:p>
    <w:p w14:paraId="19D25B60" w14:textId="77777777" w:rsidR="000A5346" w:rsidRPr="00836A8A" w:rsidRDefault="000A5346" w:rsidP="000A5346">
      <w:pPr>
        <w:pStyle w:val="ListParagraph"/>
        <w:numPr>
          <w:ilvl w:val="0"/>
          <w:numId w:val="3"/>
        </w:numPr>
        <w:spacing w:after="0"/>
        <w:jc w:val="both"/>
        <w:rPr>
          <w:rFonts w:ascii="Arial" w:eastAsia="Calibri" w:hAnsi="Arial" w:cs="Arial"/>
          <w:sz w:val="24"/>
          <w:szCs w:val="24"/>
          <w:lang w:val="bg-BG"/>
        </w:rPr>
      </w:pPr>
      <w:r w:rsidRPr="00836A8A">
        <w:rPr>
          <w:rFonts w:ascii="Arial" w:eastAsia="Calibri" w:hAnsi="Arial" w:cs="Arial"/>
          <w:sz w:val="24"/>
          <w:szCs w:val="24"/>
          <w:lang w:val="bg-BG"/>
        </w:rPr>
        <w:t>https://fred.stlouisfed.org/ - data on macroeconomic indicators          04/09/2022  15:50</w:t>
      </w:r>
    </w:p>
    <w:p w14:paraId="3608389C" w14:textId="77777777" w:rsidR="000A5346" w:rsidRPr="00CA74C8" w:rsidRDefault="000A5346" w:rsidP="000A5346">
      <w:pPr>
        <w:spacing w:after="0"/>
        <w:jc w:val="both"/>
        <w:rPr>
          <w:rFonts w:ascii="Arial" w:eastAsia="Calibri" w:hAnsi="Arial" w:cs="Arial"/>
          <w:sz w:val="24"/>
          <w:szCs w:val="24"/>
          <w:lang w:val="bg-BG"/>
        </w:rPr>
      </w:pPr>
    </w:p>
    <w:p w14:paraId="74707E21" w14:textId="77777777" w:rsidR="000A5346" w:rsidRPr="00836A8A" w:rsidRDefault="000A5346" w:rsidP="000A5346">
      <w:pPr>
        <w:pStyle w:val="ListParagraph"/>
        <w:numPr>
          <w:ilvl w:val="0"/>
          <w:numId w:val="3"/>
        </w:numPr>
        <w:spacing w:after="0"/>
        <w:jc w:val="both"/>
        <w:rPr>
          <w:rFonts w:ascii="Arial" w:eastAsia="Calibri" w:hAnsi="Arial" w:cs="Arial"/>
          <w:sz w:val="24"/>
          <w:szCs w:val="24"/>
          <w:lang w:val="bg-BG"/>
        </w:rPr>
      </w:pPr>
      <w:r w:rsidRPr="00836A8A">
        <w:rPr>
          <w:rFonts w:ascii="Arial" w:hAnsi="Arial" w:cs="Arial"/>
        </w:rPr>
        <w:t xml:space="preserve"> </w:t>
      </w:r>
      <w:r w:rsidRPr="00836A8A">
        <w:rPr>
          <w:rFonts w:ascii="Arial" w:eastAsia="Calibri" w:hAnsi="Arial" w:cs="Arial"/>
          <w:sz w:val="24"/>
          <w:szCs w:val="24"/>
          <w:lang w:val="bg-BG"/>
        </w:rPr>
        <w:t>https://www.ons.gov.uk/ - data on UK businesses            04/09/2022  16:00</w:t>
      </w:r>
    </w:p>
    <w:p w14:paraId="1AA3A071" w14:textId="77777777" w:rsidR="000A5346" w:rsidRPr="00CA74C8" w:rsidRDefault="000A5346" w:rsidP="000A5346">
      <w:pPr>
        <w:spacing w:after="0"/>
        <w:jc w:val="both"/>
        <w:rPr>
          <w:rFonts w:ascii="Arial" w:eastAsia="Calibri" w:hAnsi="Arial" w:cs="Arial"/>
          <w:sz w:val="24"/>
          <w:szCs w:val="24"/>
          <w:lang w:val="bg-BG"/>
        </w:rPr>
      </w:pPr>
    </w:p>
    <w:p w14:paraId="124ECA9F" w14:textId="77777777" w:rsidR="000A5346" w:rsidRPr="00836A8A" w:rsidRDefault="000A5346" w:rsidP="000A5346">
      <w:pPr>
        <w:pStyle w:val="ListParagraph"/>
        <w:numPr>
          <w:ilvl w:val="0"/>
          <w:numId w:val="3"/>
        </w:numPr>
        <w:spacing w:after="0"/>
        <w:jc w:val="both"/>
        <w:rPr>
          <w:rFonts w:ascii="Arial" w:eastAsia="Calibri" w:hAnsi="Arial" w:cs="Arial"/>
          <w:sz w:val="24"/>
          <w:szCs w:val="24"/>
          <w:lang w:val="bg-BG"/>
        </w:rPr>
      </w:pPr>
      <w:r w:rsidRPr="00836A8A">
        <w:rPr>
          <w:rFonts w:ascii="Arial" w:eastAsia="Calibri" w:hAnsi="Arial" w:cs="Arial"/>
          <w:sz w:val="24"/>
          <w:szCs w:val="24"/>
          <w:lang w:val="bg-BG"/>
        </w:rPr>
        <w:t>http://www.statista.com/ - data on various indicators for various countries  04/09/2022  16:15</w:t>
      </w:r>
    </w:p>
    <w:p w14:paraId="73BFF8BF" w14:textId="77777777" w:rsidR="000A5346" w:rsidRPr="00CA74C8" w:rsidRDefault="000A5346" w:rsidP="000A5346">
      <w:pPr>
        <w:spacing w:after="0"/>
        <w:jc w:val="both"/>
        <w:rPr>
          <w:rFonts w:ascii="Arial" w:eastAsia="Calibri" w:hAnsi="Arial" w:cs="Arial"/>
          <w:sz w:val="24"/>
          <w:szCs w:val="24"/>
          <w:lang w:val="bg-BG"/>
        </w:rPr>
      </w:pPr>
    </w:p>
    <w:p w14:paraId="26B6A010" w14:textId="77777777" w:rsidR="000A5346" w:rsidRDefault="000A5346" w:rsidP="000A5346">
      <w:pPr>
        <w:pStyle w:val="ListParagraph"/>
        <w:numPr>
          <w:ilvl w:val="0"/>
          <w:numId w:val="3"/>
        </w:numPr>
        <w:spacing w:after="0"/>
        <w:jc w:val="both"/>
        <w:rPr>
          <w:rFonts w:ascii="Arial" w:eastAsia="Calibri" w:hAnsi="Arial" w:cs="Arial"/>
          <w:sz w:val="24"/>
          <w:szCs w:val="24"/>
          <w:lang w:val="bg-BG"/>
        </w:rPr>
      </w:pPr>
      <w:r w:rsidRPr="00836A8A">
        <w:rPr>
          <w:rFonts w:ascii="Arial" w:eastAsia="Calibri" w:hAnsi="Arial" w:cs="Arial"/>
          <w:sz w:val="24"/>
          <w:szCs w:val="24"/>
          <w:lang w:val="bg-BG"/>
        </w:rPr>
        <w:t>http://stats.oecd.org/ - data on social and economic indicators, OECD countries  04/09/2022 16:30</w:t>
      </w:r>
    </w:p>
    <w:p w14:paraId="47275636" w14:textId="77777777" w:rsidR="000A5346" w:rsidRPr="00D31D2D" w:rsidRDefault="000A5346" w:rsidP="000A5346">
      <w:pPr>
        <w:pStyle w:val="ListParagraph"/>
        <w:rPr>
          <w:rFonts w:ascii="Arial" w:eastAsia="Calibri" w:hAnsi="Arial" w:cs="Arial"/>
          <w:sz w:val="24"/>
          <w:szCs w:val="24"/>
          <w:lang w:val="bg-BG"/>
        </w:rPr>
      </w:pPr>
    </w:p>
    <w:p w14:paraId="4B232BA2" w14:textId="6E085296" w:rsidR="000A5346" w:rsidRPr="009E6AA6" w:rsidRDefault="00000000" w:rsidP="000A5346">
      <w:pPr>
        <w:pStyle w:val="ListParagraph"/>
        <w:numPr>
          <w:ilvl w:val="0"/>
          <w:numId w:val="3"/>
        </w:numPr>
        <w:spacing w:after="0"/>
        <w:jc w:val="both"/>
        <w:rPr>
          <w:rFonts w:ascii="Arial" w:eastAsia="Calibri" w:hAnsi="Arial" w:cs="Arial"/>
          <w:sz w:val="24"/>
          <w:szCs w:val="24"/>
          <w:lang w:val="bg-BG"/>
        </w:rPr>
      </w:pPr>
      <w:hyperlink r:id="rId10" w:history="1">
        <w:r w:rsidR="000A5346" w:rsidRPr="00D31D2D">
          <w:rPr>
            <w:rStyle w:val="Hyperlink"/>
            <w:rFonts w:ascii="Arial" w:eastAsia="Calibri" w:hAnsi="Arial" w:cs="Arial"/>
            <w:sz w:val="24"/>
            <w:szCs w:val="24"/>
            <w:lang w:val="bg-BG"/>
          </w:rPr>
          <w:t>https://www.pfizer.com/stories/articles</w:t>
        </w:r>
      </w:hyperlink>
      <w:r w:rsidR="000A5346" w:rsidRPr="00D31D2D">
        <w:rPr>
          <w:rFonts w:ascii="Arial" w:eastAsia="Calibri" w:hAnsi="Arial" w:cs="Arial"/>
          <w:sz w:val="24"/>
          <w:szCs w:val="24"/>
        </w:rPr>
        <w:t xml:space="preserve"> </w:t>
      </w:r>
      <w:r w:rsidR="000A5346" w:rsidRPr="00D31D2D">
        <w:rPr>
          <w:rFonts w:ascii="Arial" w:hAnsi="Arial" w:cs="Arial"/>
          <w:color w:val="353B3E"/>
          <w:sz w:val="24"/>
          <w:szCs w:val="24"/>
          <w:shd w:val="clear" w:color="auto" w:fill="FFFFFF"/>
        </w:rPr>
        <w:t>Programs &amp; Initiatives, Three Pfizer Partnerships to Get the COVID-19 Vaccine into African Countries and Vaccinations into Arms</w:t>
      </w:r>
      <w:r w:rsidR="00FC1D29">
        <w:rPr>
          <w:rFonts w:ascii="Arial" w:hAnsi="Arial" w:cs="Arial"/>
          <w:color w:val="353B3E"/>
          <w:sz w:val="24"/>
          <w:szCs w:val="24"/>
          <w:shd w:val="clear" w:color="auto" w:fill="FFFFFF"/>
        </w:rPr>
        <w:t xml:space="preserve"> </w:t>
      </w:r>
      <w:r w:rsidR="00FC1D29">
        <w:rPr>
          <w:rFonts w:ascii="Arial" w:eastAsia="Calibri" w:hAnsi="Arial" w:cs="Arial"/>
          <w:sz w:val="24"/>
          <w:szCs w:val="24"/>
        </w:rPr>
        <w:t>[Accessed on 12/12/2022 10:50]</w:t>
      </w:r>
    </w:p>
    <w:p w14:paraId="3154D048" w14:textId="77777777" w:rsidR="009E6AA6" w:rsidRPr="009E6AA6" w:rsidRDefault="009E6AA6" w:rsidP="009E6AA6">
      <w:pPr>
        <w:pStyle w:val="ListParagraph"/>
        <w:rPr>
          <w:rFonts w:ascii="Arial" w:eastAsia="Calibri" w:hAnsi="Arial" w:cs="Arial"/>
          <w:sz w:val="24"/>
          <w:szCs w:val="24"/>
          <w:lang w:val="bg-BG"/>
        </w:rPr>
      </w:pPr>
    </w:p>
    <w:p w14:paraId="1C9593D3" w14:textId="142093F1" w:rsidR="009E6AA6" w:rsidRPr="008100F5" w:rsidRDefault="00000000" w:rsidP="000A5346">
      <w:pPr>
        <w:pStyle w:val="ListParagraph"/>
        <w:numPr>
          <w:ilvl w:val="0"/>
          <w:numId w:val="3"/>
        </w:numPr>
        <w:spacing w:after="0"/>
        <w:jc w:val="both"/>
        <w:rPr>
          <w:rFonts w:ascii="Arial" w:eastAsia="Calibri" w:hAnsi="Arial" w:cs="Arial"/>
          <w:sz w:val="24"/>
          <w:szCs w:val="24"/>
          <w:lang w:val="bg-BG"/>
        </w:rPr>
      </w:pPr>
      <w:hyperlink r:id="rId11" w:history="1">
        <w:r w:rsidR="00037BAB" w:rsidRPr="00353CB5">
          <w:rPr>
            <w:rStyle w:val="Hyperlink"/>
            <w:rFonts w:ascii="Arial" w:eastAsia="Calibri" w:hAnsi="Arial" w:cs="Arial"/>
            <w:sz w:val="24"/>
            <w:szCs w:val="24"/>
            <w:lang w:val="bg-BG"/>
          </w:rPr>
          <w:t>https://www.pfizer.com/about/history</w:t>
        </w:r>
      </w:hyperlink>
      <w:r w:rsidR="00037BAB">
        <w:rPr>
          <w:rFonts w:ascii="Arial" w:eastAsia="Calibri" w:hAnsi="Arial" w:cs="Arial"/>
          <w:sz w:val="24"/>
          <w:szCs w:val="24"/>
        </w:rPr>
        <w:t xml:space="preserve"> </w:t>
      </w:r>
      <w:r w:rsidR="00C87A91" w:rsidRPr="00B26A54">
        <w:rPr>
          <w:rFonts w:ascii="Arial" w:eastAsia="Calibri" w:hAnsi="Arial" w:cs="Arial"/>
          <w:i/>
          <w:iCs/>
          <w:sz w:val="24"/>
          <w:szCs w:val="24"/>
        </w:rPr>
        <w:t>Company Timeline: a Legacy of Innovation</w:t>
      </w:r>
      <w:r w:rsidR="00B26A54">
        <w:rPr>
          <w:rFonts w:ascii="Arial" w:eastAsia="Calibri" w:hAnsi="Arial" w:cs="Arial"/>
          <w:sz w:val="24"/>
          <w:szCs w:val="24"/>
        </w:rPr>
        <w:t xml:space="preserve">, </w:t>
      </w:r>
      <w:r w:rsidR="0019189A">
        <w:rPr>
          <w:rFonts w:ascii="Arial" w:eastAsia="Calibri" w:hAnsi="Arial" w:cs="Arial"/>
          <w:sz w:val="24"/>
          <w:szCs w:val="24"/>
        </w:rPr>
        <w:t xml:space="preserve">USA, </w:t>
      </w:r>
      <w:r w:rsidR="00381927" w:rsidRPr="00381927">
        <w:rPr>
          <w:rFonts w:ascii="Arial" w:eastAsia="Calibri" w:hAnsi="Arial" w:cs="Arial"/>
          <w:sz w:val="24"/>
          <w:szCs w:val="24"/>
        </w:rPr>
        <w:t>2023 Pfizer Inc.</w:t>
      </w:r>
      <w:r w:rsidR="00B26A54">
        <w:rPr>
          <w:rFonts w:ascii="Arial" w:eastAsia="Calibri" w:hAnsi="Arial" w:cs="Arial"/>
          <w:sz w:val="24"/>
          <w:szCs w:val="24"/>
        </w:rPr>
        <w:t xml:space="preserve"> </w:t>
      </w:r>
      <w:r w:rsidR="00A5587C">
        <w:rPr>
          <w:rFonts w:ascii="Arial" w:eastAsia="Calibri" w:hAnsi="Arial" w:cs="Arial"/>
          <w:sz w:val="24"/>
          <w:szCs w:val="24"/>
        </w:rPr>
        <w:t>[</w:t>
      </w:r>
      <w:r w:rsidR="00B26A54">
        <w:rPr>
          <w:rFonts w:ascii="Arial" w:eastAsia="Calibri" w:hAnsi="Arial" w:cs="Arial"/>
          <w:sz w:val="24"/>
          <w:szCs w:val="24"/>
        </w:rPr>
        <w:t>Accesse</w:t>
      </w:r>
      <w:r w:rsidR="001E6FA9">
        <w:rPr>
          <w:rFonts w:ascii="Arial" w:eastAsia="Calibri" w:hAnsi="Arial" w:cs="Arial"/>
          <w:sz w:val="24"/>
          <w:szCs w:val="24"/>
        </w:rPr>
        <w:t>d on 12/12/2022 1</w:t>
      </w:r>
      <w:r w:rsidR="008C1F6D">
        <w:rPr>
          <w:rFonts w:ascii="Arial" w:eastAsia="Calibri" w:hAnsi="Arial" w:cs="Arial"/>
          <w:sz w:val="24"/>
          <w:szCs w:val="24"/>
        </w:rPr>
        <w:t>0:50</w:t>
      </w:r>
      <w:r w:rsidR="00A5587C">
        <w:rPr>
          <w:rFonts w:ascii="Arial" w:eastAsia="Calibri" w:hAnsi="Arial" w:cs="Arial"/>
          <w:sz w:val="24"/>
          <w:szCs w:val="24"/>
        </w:rPr>
        <w:t>]</w:t>
      </w:r>
      <w:r w:rsidR="008100F5">
        <w:rPr>
          <w:rFonts w:ascii="Arial" w:eastAsia="Calibri" w:hAnsi="Arial" w:cs="Arial"/>
          <w:sz w:val="24"/>
          <w:szCs w:val="24"/>
        </w:rPr>
        <w:t xml:space="preserve"> </w:t>
      </w:r>
    </w:p>
    <w:p w14:paraId="443A5B93" w14:textId="77777777" w:rsidR="008100F5" w:rsidRPr="008100F5" w:rsidRDefault="008100F5" w:rsidP="008100F5">
      <w:pPr>
        <w:pStyle w:val="ListParagraph"/>
        <w:rPr>
          <w:rFonts w:ascii="Arial" w:eastAsia="Calibri" w:hAnsi="Arial" w:cs="Arial"/>
          <w:sz w:val="24"/>
          <w:szCs w:val="24"/>
          <w:lang w:val="bg-BG"/>
        </w:rPr>
      </w:pPr>
    </w:p>
    <w:p w14:paraId="40D84776" w14:textId="360593F3" w:rsidR="008100F5" w:rsidRPr="00824476" w:rsidRDefault="005F3799" w:rsidP="000A5346">
      <w:pPr>
        <w:pStyle w:val="ListParagraph"/>
        <w:numPr>
          <w:ilvl w:val="0"/>
          <w:numId w:val="3"/>
        </w:numPr>
        <w:spacing w:after="0"/>
        <w:jc w:val="both"/>
        <w:rPr>
          <w:rFonts w:ascii="Arial" w:eastAsia="Calibri" w:hAnsi="Arial" w:cs="Arial"/>
          <w:sz w:val="24"/>
          <w:szCs w:val="24"/>
          <w:lang w:val="bg-BG"/>
        </w:rPr>
      </w:pPr>
      <w:r w:rsidRPr="005F3799">
        <w:rPr>
          <w:rFonts w:ascii="Arial" w:hAnsi="Arial" w:cs="Arial"/>
        </w:rPr>
        <w:t xml:space="preserve">Pfizer Annual Report </w:t>
      </w:r>
      <w:r w:rsidR="00303EA3" w:rsidRPr="005F3799">
        <w:rPr>
          <w:rFonts w:ascii="Arial" w:hAnsi="Arial" w:cs="Arial"/>
        </w:rPr>
        <w:t>For the fiscal year ended December 31, 2021</w:t>
      </w:r>
      <w:r w:rsidR="00392F40">
        <w:rPr>
          <w:rFonts w:ascii="Arial" w:hAnsi="Arial" w:cs="Arial"/>
        </w:rPr>
        <w:t xml:space="preserve"> </w:t>
      </w:r>
      <w:hyperlink r:id="rId12" w:history="1">
        <w:r w:rsidR="00C67887">
          <w:rPr>
            <w:rStyle w:val="Hyperlink"/>
          </w:rPr>
          <w:t>PFE - 12/31/2021 - 10K (q4cdn.com)</w:t>
        </w:r>
      </w:hyperlink>
      <w:r w:rsidR="00E23C85">
        <w:t xml:space="preserve"> </w:t>
      </w:r>
    </w:p>
    <w:p w14:paraId="7F21E4A6" w14:textId="77777777" w:rsidR="00824476" w:rsidRPr="00824476" w:rsidRDefault="00824476" w:rsidP="00824476">
      <w:pPr>
        <w:pStyle w:val="ListParagraph"/>
        <w:rPr>
          <w:rFonts w:ascii="Arial" w:eastAsia="Calibri" w:hAnsi="Arial" w:cs="Arial"/>
          <w:sz w:val="24"/>
          <w:szCs w:val="24"/>
          <w:lang w:val="bg-BG"/>
        </w:rPr>
      </w:pPr>
    </w:p>
    <w:p w14:paraId="3D518218" w14:textId="42179698" w:rsidR="0077511D" w:rsidRPr="0077511D" w:rsidRDefault="00000000" w:rsidP="0077511D">
      <w:pPr>
        <w:pStyle w:val="ListParagraph"/>
        <w:numPr>
          <w:ilvl w:val="0"/>
          <w:numId w:val="3"/>
        </w:numPr>
        <w:jc w:val="both"/>
        <w:rPr>
          <w:sz w:val="24"/>
          <w:szCs w:val="24"/>
        </w:rPr>
      </w:pPr>
      <w:hyperlink r:id="rId13" w:history="1">
        <w:r w:rsidR="0077511D" w:rsidRPr="0077511D">
          <w:rPr>
            <w:rStyle w:val="Hyperlink"/>
            <w:sz w:val="24"/>
            <w:szCs w:val="24"/>
          </w:rPr>
          <w:t>https://www.pfizer.co.uk/products/safety-of-medicines/medicines-regulation</w:t>
        </w:r>
      </w:hyperlink>
      <w:r w:rsidR="00E64F7B">
        <w:rPr>
          <w:rStyle w:val="Hyperlink"/>
          <w:sz w:val="24"/>
          <w:szCs w:val="24"/>
        </w:rPr>
        <w:t xml:space="preserve"> </w:t>
      </w:r>
      <w:r w:rsidR="00E64F7B" w:rsidRPr="00E64F7B">
        <w:rPr>
          <w:rStyle w:val="Hyperlink"/>
          <w:sz w:val="24"/>
          <w:szCs w:val="24"/>
        </w:rPr>
        <w:t>PP-PFE-GBR-4008 / October 2021</w:t>
      </w:r>
    </w:p>
    <w:p w14:paraId="4899FEB7" w14:textId="0B0802B0" w:rsidR="00FC5108" w:rsidRPr="003D7B34" w:rsidRDefault="00C32B08" w:rsidP="003D7B34">
      <w:pPr>
        <w:pStyle w:val="ListParagraph"/>
        <w:jc w:val="both"/>
        <w:rPr>
          <w:sz w:val="24"/>
          <w:szCs w:val="24"/>
        </w:rPr>
      </w:pPr>
      <w:r>
        <w:rPr>
          <w:sz w:val="24"/>
          <w:szCs w:val="24"/>
        </w:rPr>
        <w:t xml:space="preserve">[Accessed on </w:t>
      </w:r>
      <w:r w:rsidR="0077511D" w:rsidRPr="0077511D">
        <w:rPr>
          <w:sz w:val="24"/>
          <w:szCs w:val="24"/>
        </w:rPr>
        <w:t>26/12/2022 15:50 pm</w:t>
      </w:r>
      <w:r>
        <w:rPr>
          <w:sz w:val="24"/>
          <w:szCs w:val="24"/>
        </w:rPr>
        <w:t>]</w:t>
      </w:r>
    </w:p>
    <w:p w14:paraId="3819F0AE" w14:textId="109039AB" w:rsidR="003D7B34" w:rsidRDefault="00000000" w:rsidP="003D7B34">
      <w:pPr>
        <w:pStyle w:val="ListParagraph"/>
        <w:numPr>
          <w:ilvl w:val="0"/>
          <w:numId w:val="3"/>
        </w:numPr>
        <w:jc w:val="both"/>
        <w:rPr>
          <w:sz w:val="24"/>
          <w:szCs w:val="24"/>
        </w:rPr>
      </w:pPr>
      <w:hyperlink r:id="rId14" w:history="1">
        <w:r w:rsidR="003D7B34" w:rsidRPr="00353CB5">
          <w:rPr>
            <w:rStyle w:val="Hyperlink"/>
            <w:sz w:val="24"/>
            <w:szCs w:val="24"/>
          </w:rPr>
          <w:t>https://www.pfizer.co.uk/uk-health-system/working-with-nhs-and-other-healthcare-organisations</w:t>
        </w:r>
      </w:hyperlink>
      <w:r w:rsidR="003D7B34" w:rsidRPr="003D7B34">
        <w:rPr>
          <w:sz w:val="24"/>
          <w:szCs w:val="24"/>
        </w:rPr>
        <w:t xml:space="preserve">  </w:t>
      </w:r>
      <w:r w:rsidR="003D7B34">
        <w:rPr>
          <w:sz w:val="24"/>
          <w:szCs w:val="24"/>
        </w:rPr>
        <w:t>[Accessed</w:t>
      </w:r>
      <w:r w:rsidR="003D7B34" w:rsidRPr="003D7B34">
        <w:rPr>
          <w:sz w:val="24"/>
          <w:szCs w:val="24"/>
        </w:rPr>
        <w:t xml:space="preserve"> 26/12/</w:t>
      </w:r>
      <w:proofErr w:type="gramStart"/>
      <w:r w:rsidR="003D7B34" w:rsidRPr="003D7B34">
        <w:rPr>
          <w:sz w:val="24"/>
          <w:szCs w:val="24"/>
        </w:rPr>
        <w:t>2022  4:00</w:t>
      </w:r>
      <w:proofErr w:type="gramEnd"/>
      <w:r w:rsidR="003D7B34" w:rsidRPr="003D7B34">
        <w:rPr>
          <w:sz w:val="24"/>
          <w:szCs w:val="24"/>
        </w:rPr>
        <w:t xml:space="preserve"> pm</w:t>
      </w:r>
      <w:r w:rsidR="003D7B34">
        <w:rPr>
          <w:sz w:val="24"/>
          <w:szCs w:val="24"/>
        </w:rPr>
        <w:t>]</w:t>
      </w:r>
    </w:p>
    <w:p w14:paraId="58642358" w14:textId="2626F303" w:rsidR="003D7B34" w:rsidRDefault="00000000" w:rsidP="003D7B34">
      <w:pPr>
        <w:pStyle w:val="ListParagraph"/>
        <w:numPr>
          <w:ilvl w:val="0"/>
          <w:numId w:val="3"/>
        </w:numPr>
        <w:jc w:val="both"/>
        <w:rPr>
          <w:sz w:val="24"/>
          <w:szCs w:val="24"/>
        </w:rPr>
      </w:pPr>
      <w:hyperlink r:id="rId15" w:history="1">
        <w:r w:rsidR="00625A70" w:rsidRPr="00353CB5">
          <w:rPr>
            <w:rStyle w:val="Hyperlink"/>
            <w:sz w:val="24"/>
            <w:szCs w:val="24"/>
          </w:rPr>
          <w:t>https://www.oecd.org/coronavirus/policy-responses/using-trade-to-fight-covid-19-manufacturing-and-distributing-vaccines-dc0d37fc/</w:t>
        </w:r>
      </w:hyperlink>
      <w:r w:rsidR="00625A70">
        <w:rPr>
          <w:sz w:val="24"/>
          <w:szCs w:val="24"/>
        </w:rPr>
        <w:t xml:space="preserve"> </w:t>
      </w:r>
      <w:r w:rsidR="00D318FB" w:rsidRPr="00D318FB">
        <w:rPr>
          <w:sz w:val="24"/>
          <w:szCs w:val="24"/>
        </w:rPr>
        <w:t>OECD Policy Responses to Coronavirus (COVID-19)</w:t>
      </w:r>
      <w:r w:rsidR="00EC2DC6">
        <w:rPr>
          <w:sz w:val="24"/>
          <w:szCs w:val="24"/>
        </w:rPr>
        <w:t xml:space="preserve"> </w:t>
      </w:r>
      <w:r w:rsidR="00615268" w:rsidRPr="00615268">
        <w:rPr>
          <w:sz w:val="24"/>
          <w:szCs w:val="24"/>
        </w:rPr>
        <w:t>Using trade to fight COVID-19: Manufacturing and distributing vaccines</w:t>
      </w:r>
      <w:r w:rsidR="005A7796">
        <w:rPr>
          <w:sz w:val="24"/>
          <w:szCs w:val="24"/>
        </w:rPr>
        <w:t xml:space="preserve">, </w:t>
      </w:r>
      <w:r w:rsidR="00091506" w:rsidRPr="00091506">
        <w:rPr>
          <w:sz w:val="24"/>
          <w:szCs w:val="24"/>
        </w:rPr>
        <w:t>11 February 2021</w:t>
      </w:r>
      <w:r w:rsidR="009056FE">
        <w:rPr>
          <w:sz w:val="24"/>
          <w:szCs w:val="24"/>
        </w:rPr>
        <w:t xml:space="preserve"> [Accessed 02/01/2023]</w:t>
      </w:r>
    </w:p>
    <w:p w14:paraId="6A600D9B" w14:textId="79AF3A61" w:rsidR="00940E6F" w:rsidRPr="00E76507" w:rsidRDefault="00000000" w:rsidP="00940E6F">
      <w:pPr>
        <w:pStyle w:val="ListParagraph"/>
        <w:numPr>
          <w:ilvl w:val="0"/>
          <w:numId w:val="3"/>
        </w:numPr>
        <w:jc w:val="both"/>
        <w:rPr>
          <w:rStyle w:val="Hyperlink"/>
          <w:color w:val="auto"/>
          <w:sz w:val="24"/>
          <w:szCs w:val="24"/>
          <w:u w:val="none"/>
        </w:rPr>
      </w:pPr>
      <w:hyperlink r:id="rId16" w:history="1">
        <w:r w:rsidR="00940E6F" w:rsidRPr="00940E6F">
          <w:rPr>
            <w:rStyle w:val="Hyperlink"/>
            <w:sz w:val="24"/>
            <w:szCs w:val="24"/>
          </w:rPr>
          <w:t>https://www.macrotrends.net/stocks/charts/PFE/pfizer/financial-statements</w:t>
        </w:r>
      </w:hyperlink>
    </w:p>
    <w:p w14:paraId="525F9020" w14:textId="0B1964CB" w:rsidR="00E76507" w:rsidRPr="00374D51" w:rsidRDefault="00000000" w:rsidP="00940E6F">
      <w:pPr>
        <w:pStyle w:val="ListParagraph"/>
        <w:numPr>
          <w:ilvl w:val="0"/>
          <w:numId w:val="3"/>
        </w:numPr>
        <w:jc w:val="both"/>
        <w:rPr>
          <w:sz w:val="24"/>
          <w:szCs w:val="24"/>
        </w:rPr>
      </w:pPr>
      <w:hyperlink r:id="rId17" w:history="1">
        <w:r w:rsidR="00E76507" w:rsidRPr="00353CB5">
          <w:rPr>
            <w:rStyle w:val="Hyperlink"/>
            <w:sz w:val="24"/>
            <w:szCs w:val="24"/>
          </w:rPr>
          <w:t>https://s28.q4cdn.com/781576035/files/doc_financials/2021/sr/Pfizer-Proxy-2022.pdf</w:t>
        </w:r>
      </w:hyperlink>
      <w:r w:rsidR="00E76507">
        <w:rPr>
          <w:sz w:val="24"/>
          <w:szCs w:val="24"/>
        </w:rPr>
        <w:t xml:space="preserve"> </w:t>
      </w:r>
      <w:r w:rsidR="007B3BE5">
        <w:t xml:space="preserve">2021 </w:t>
      </w:r>
      <w:r w:rsidR="00DB009C">
        <w:t xml:space="preserve">Pfizer </w:t>
      </w:r>
      <w:r w:rsidR="007B3BE5">
        <w:t>Annual Report</w:t>
      </w:r>
    </w:p>
    <w:p w14:paraId="0E5EA837" w14:textId="7204717C" w:rsidR="002210D5" w:rsidRPr="007C5508" w:rsidRDefault="00000000" w:rsidP="007C5508">
      <w:pPr>
        <w:pStyle w:val="ListParagraph"/>
        <w:numPr>
          <w:ilvl w:val="0"/>
          <w:numId w:val="3"/>
        </w:numPr>
        <w:jc w:val="both"/>
        <w:rPr>
          <w:b/>
          <w:bCs/>
          <w:sz w:val="24"/>
          <w:szCs w:val="24"/>
          <w:u w:val="single"/>
        </w:rPr>
      </w:pPr>
      <w:hyperlink r:id="rId18" w:history="1">
        <w:r w:rsidR="00374D51" w:rsidRPr="00374D51">
          <w:rPr>
            <w:rStyle w:val="Hyperlink"/>
            <w:sz w:val="24"/>
            <w:szCs w:val="24"/>
          </w:rPr>
          <w:t xml:space="preserve">https://s28.q4cdn.com/781576035/files/doc_financials/2021/ar/PFE-2021-Form-10K-FINAL.pdf    </w:t>
        </w:r>
      </w:hyperlink>
      <w:r w:rsidR="00374D51" w:rsidRPr="00374D51">
        <w:rPr>
          <w:sz w:val="24"/>
          <w:szCs w:val="24"/>
        </w:rPr>
        <w:t xml:space="preserve">      </w:t>
      </w:r>
      <w:r w:rsidR="00771293" w:rsidRPr="00374D51">
        <w:rPr>
          <w:b/>
          <w:bCs/>
          <w:sz w:val="24"/>
          <w:szCs w:val="24"/>
          <w:u w:val="single"/>
        </w:rPr>
        <w:t>Annual Report Pfizer 2021</w:t>
      </w:r>
      <w:r w:rsidR="007164E2">
        <w:rPr>
          <w:b/>
          <w:bCs/>
          <w:sz w:val="24"/>
          <w:szCs w:val="24"/>
          <w:u w:val="single"/>
        </w:rPr>
        <w:t xml:space="preserve"> [</w:t>
      </w:r>
      <w:r w:rsidR="00374D51" w:rsidRPr="007164E2">
        <w:rPr>
          <w:sz w:val="24"/>
          <w:szCs w:val="24"/>
        </w:rPr>
        <w:t>26.12.2022 9:00 pm</w:t>
      </w:r>
      <w:r w:rsidR="007C5508">
        <w:rPr>
          <w:sz w:val="24"/>
          <w:szCs w:val="24"/>
        </w:rPr>
        <w:t>]</w:t>
      </w:r>
    </w:p>
    <w:p w14:paraId="69AE29F8" w14:textId="77777777" w:rsidR="00DD2428" w:rsidRPr="00DD2428" w:rsidRDefault="00DD2428" w:rsidP="00DD2428">
      <w:pPr>
        <w:pStyle w:val="ListParagraph"/>
        <w:numPr>
          <w:ilvl w:val="0"/>
          <w:numId w:val="3"/>
        </w:numPr>
        <w:jc w:val="both"/>
        <w:rPr>
          <w:rFonts w:ascii="Arial" w:hAnsi="Arial" w:cs="Arial"/>
          <w:i/>
          <w:iCs/>
        </w:rPr>
      </w:pPr>
      <w:r w:rsidRPr="00DD2428">
        <w:rPr>
          <w:rFonts w:ascii="Arial" w:hAnsi="Arial" w:cs="Arial"/>
        </w:rPr>
        <w:t xml:space="preserve">Mohamed, Amr (2022) </w:t>
      </w:r>
      <w:r w:rsidRPr="00DD2428">
        <w:rPr>
          <w:rFonts w:ascii="Arial" w:hAnsi="Arial" w:cs="Arial"/>
          <w:i/>
          <w:iCs/>
        </w:rPr>
        <w:t>Driving Market Forces For COVID-19 Vaccines Industry: The Case Of The COMIRNATY Vaccine</w:t>
      </w:r>
      <w:r w:rsidRPr="00DD2428">
        <w:rPr>
          <w:rFonts w:ascii="Arial" w:hAnsi="Arial" w:cs="Arial"/>
        </w:rPr>
        <w:t xml:space="preserve"> article August 2022 </w:t>
      </w:r>
      <w:hyperlink r:id="rId19" w:history="1">
        <w:r w:rsidRPr="00DD2428">
          <w:rPr>
            <w:rStyle w:val="Hyperlink"/>
            <w:rFonts w:ascii="Arial" w:hAnsi="Arial" w:cs="Arial"/>
          </w:rPr>
          <w:t>https://www.researchgate.net/publication/366643338_Driving_Market_Forces_For_COVID-19_Vaccines_Industry_The_Case_Of_The_COMIRNATY_Vaccine</w:t>
        </w:r>
      </w:hyperlink>
      <w:r w:rsidRPr="00DD2428">
        <w:rPr>
          <w:rFonts w:ascii="Arial" w:hAnsi="Arial" w:cs="Arial"/>
        </w:rPr>
        <w:t xml:space="preserve"> [Accessed 05/01/2023]</w:t>
      </w:r>
    </w:p>
    <w:p w14:paraId="171B0453" w14:textId="77777777" w:rsidR="007C5508" w:rsidRPr="007C5508" w:rsidRDefault="007C5508" w:rsidP="00DD2428">
      <w:pPr>
        <w:pStyle w:val="ListParagraph"/>
        <w:jc w:val="both"/>
        <w:rPr>
          <w:b/>
          <w:bCs/>
          <w:sz w:val="24"/>
          <w:szCs w:val="24"/>
          <w:u w:val="single"/>
        </w:rPr>
      </w:pPr>
    </w:p>
    <w:p w14:paraId="4B31539D" w14:textId="77777777" w:rsidR="00EF7816" w:rsidRDefault="00EF7816" w:rsidP="009F77AD">
      <w:pPr>
        <w:jc w:val="center"/>
        <w:rPr>
          <w:rFonts w:ascii="Arial" w:eastAsia="Calibri" w:hAnsi="Arial" w:cs="Arial"/>
          <w:sz w:val="40"/>
          <w:szCs w:val="40"/>
        </w:rPr>
      </w:pPr>
    </w:p>
    <w:p w14:paraId="3E5311CC" w14:textId="77777777" w:rsidR="00EF7816" w:rsidRDefault="00EF7816" w:rsidP="009F77AD">
      <w:pPr>
        <w:jc w:val="center"/>
        <w:rPr>
          <w:rFonts w:ascii="Arial" w:eastAsia="Calibri" w:hAnsi="Arial" w:cs="Arial"/>
          <w:sz w:val="40"/>
          <w:szCs w:val="40"/>
        </w:rPr>
      </w:pPr>
    </w:p>
    <w:p w14:paraId="5E36CD18" w14:textId="77777777" w:rsidR="00EF7816" w:rsidRDefault="00EF7816" w:rsidP="009F77AD">
      <w:pPr>
        <w:jc w:val="center"/>
        <w:rPr>
          <w:rFonts w:ascii="Arial" w:eastAsia="Calibri" w:hAnsi="Arial" w:cs="Arial"/>
          <w:sz w:val="40"/>
          <w:szCs w:val="40"/>
        </w:rPr>
      </w:pPr>
    </w:p>
    <w:p w14:paraId="4419AB18" w14:textId="77777777" w:rsidR="00EF7816" w:rsidRDefault="00EF7816" w:rsidP="009F77AD">
      <w:pPr>
        <w:jc w:val="center"/>
        <w:rPr>
          <w:rFonts w:ascii="Arial" w:eastAsia="Calibri" w:hAnsi="Arial" w:cs="Arial"/>
          <w:sz w:val="40"/>
          <w:szCs w:val="40"/>
        </w:rPr>
      </w:pPr>
    </w:p>
    <w:p w14:paraId="601ABBE1" w14:textId="77777777" w:rsidR="00EF7816" w:rsidRDefault="00EF7816" w:rsidP="009F77AD">
      <w:pPr>
        <w:jc w:val="center"/>
        <w:rPr>
          <w:rFonts w:ascii="Arial" w:eastAsia="Calibri" w:hAnsi="Arial" w:cs="Arial"/>
          <w:sz w:val="40"/>
          <w:szCs w:val="40"/>
        </w:rPr>
      </w:pPr>
    </w:p>
    <w:p w14:paraId="1E70D378" w14:textId="77777777" w:rsidR="00EF7816" w:rsidRDefault="00EF7816" w:rsidP="009F77AD">
      <w:pPr>
        <w:jc w:val="center"/>
        <w:rPr>
          <w:rFonts w:ascii="Arial" w:eastAsia="Calibri" w:hAnsi="Arial" w:cs="Arial"/>
          <w:sz w:val="40"/>
          <w:szCs w:val="40"/>
        </w:rPr>
      </w:pPr>
    </w:p>
    <w:p w14:paraId="253DA32D" w14:textId="77777777" w:rsidR="00EF7816" w:rsidRDefault="00EF7816" w:rsidP="009F77AD">
      <w:pPr>
        <w:jc w:val="center"/>
        <w:rPr>
          <w:rFonts w:ascii="Arial" w:eastAsia="Calibri" w:hAnsi="Arial" w:cs="Arial"/>
          <w:sz w:val="40"/>
          <w:szCs w:val="40"/>
        </w:rPr>
      </w:pPr>
    </w:p>
    <w:p w14:paraId="30EF2A9E" w14:textId="77777777" w:rsidR="00EF7816" w:rsidRDefault="00EF7816" w:rsidP="009F77AD">
      <w:pPr>
        <w:jc w:val="center"/>
        <w:rPr>
          <w:rFonts w:ascii="Arial" w:eastAsia="Calibri" w:hAnsi="Arial" w:cs="Arial"/>
          <w:sz w:val="40"/>
          <w:szCs w:val="40"/>
        </w:rPr>
      </w:pPr>
    </w:p>
    <w:p w14:paraId="5A4DE8C6" w14:textId="77777777" w:rsidR="00EF7816" w:rsidRDefault="00EF7816" w:rsidP="009F77AD">
      <w:pPr>
        <w:jc w:val="center"/>
        <w:rPr>
          <w:rFonts w:ascii="Arial" w:eastAsia="Calibri" w:hAnsi="Arial" w:cs="Arial"/>
          <w:sz w:val="40"/>
          <w:szCs w:val="40"/>
        </w:rPr>
      </w:pPr>
    </w:p>
    <w:p w14:paraId="4563548A" w14:textId="5F9460AE" w:rsidR="009F77AD" w:rsidRDefault="009F77AD" w:rsidP="009F77AD">
      <w:pPr>
        <w:jc w:val="center"/>
        <w:rPr>
          <w:rFonts w:ascii="Arial" w:eastAsia="Calibri" w:hAnsi="Arial" w:cs="Arial"/>
          <w:sz w:val="40"/>
          <w:szCs w:val="40"/>
        </w:rPr>
      </w:pPr>
      <w:r w:rsidRPr="005F2205">
        <w:rPr>
          <w:rFonts w:ascii="Arial" w:eastAsia="Calibri" w:hAnsi="Arial" w:cs="Arial"/>
          <w:sz w:val="40"/>
          <w:szCs w:val="40"/>
        </w:rPr>
        <w:lastRenderedPageBreak/>
        <w:t>Appendices:</w:t>
      </w:r>
    </w:p>
    <w:p w14:paraId="66FA8DD6" w14:textId="35203717" w:rsidR="000F143E" w:rsidRDefault="000F143E" w:rsidP="00DA2357">
      <w:pPr>
        <w:spacing w:after="0"/>
        <w:jc w:val="both"/>
        <w:rPr>
          <w:rFonts w:ascii="Arial" w:eastAsia="Calibri" w:hAnsi="Arial" w:cs="Arial"/>
          <w:sz w:val="24"/>
          <w:szCs w:val="24"/>
        </w:rPr>
      </w:pPr>
    </w:p>
    <w:p w14:paraId="2D72DC4D" w14:textId="2D2FFFF5" w:rsidR="000F143E" w:rsidRDefault="000F143E" w:rsidP="000F143E">
      <w:pPr>
        <w:spacing w:after="0"/>
        <w:jc w:val="both"/>
        <w:rPr>
          <w:rFonts w:ascii="Arial" w:eastAsia="Calibri" w:hAnsi="Arial" w:cs="Arial"/>
          <w:sz w:val="24"/>
          <w:szCs w:val="24"/>
        </w:rPr>
      </w:pPr>
      <w:proofErr w:type="spellStart"/>
      <w:r w:rsidRPr="00836A8A">
        <w:rPr>
          <w:rFonts w:ascii="Arial" w:eastAsia="Calibri" w:hAnsi="Arial" w:cs="Arial"/>
          <w:sz w:val="24"/>
          <w:szCs w:val="24"/>
        </w:rPr>
        <w:t>Sloman</w:t>
      </w:r>
      <w:proofErr w:type="spellEnd"/>
      <w:r w:rsidRPr="00836A8A">
        <w:rPr>
          <w:rFonts w:ascii="Arial" w:eastAsia="Calibri" w:hAnsi="Arial" w:cs="Arial"/>
          <w:sz w:val="24"/>
          <w:szCs w:val="24"/>
        </w:rPr>
        <w:t xml:space="preserve">, John; Jones Elisabeth (2020) </w:t>
      </w:r>
      <w:r w:rsidRPr="00B17C90">
        <w:rPr>
          <w:rFonts w:ascii="Arial" w:eastAsia="Calibri" w:hAnsi="Arial" w:cs="Arial"/>
          <w:i/>
          <w:iCs/>
          <w:sz w:val="24"/>
          <w:szCs w:val="24"/>
        </w:rPr>
        <w:t>Essential economics for business</w:t>
      </w:r>
      <w:r w:rsidRPr="00836A8A">
        <w:rPr>
          <w:rFonts w:ascii="Arial" w:eastAsia="Calibri" w:hAnsi="Arial" w:cs="Arial"/>
          <w:sz w:val="24"/>
          <w:szCs w:val="24"/>
        </w:rPr>
        <w:t>; sixth edition; England; Harlow</w:t>
      </w:r>
      <w:r w:rsidRPr="000F143E">
        <w:rPr>
          <w:rFonts w:ascii="Arial" w:eastAsia="Calibri" w:hAnsi="Arial" w:cs="Arial"/>
          <w:sz w:val="24"/>
          <w:szCs w:val="24"/>
        </w:rPr>
        <w:t xml:space="preserve"> </w:t>
      </w:r>
      <w:r w:rsidRPr="00CA74C8">
        <w:rPr>
          <w:rFonts w:ascii="Arial" w:eastAsia="Calibri" w:hAnsi="Arial" w:cs="Arial"/>
          <w:sz w:val="24"/>
          <w:szCs w:val="24"/>
        </w:rPr>
        <w:t>Page 66 fig. 5.3</w:t>
      </w:r>
    </w:p>
    <w:p w14:paraId="2FEE39DC" w14:textId="77777777" w:rsidR="000F143E" w:rsidRPr="00CA74C8" w:rsidRDefault="000F143E" w:rsidP="00DA2357">
      <w:pPr>
        <w:spacing w:after="0"/>
        <w:jc w:val="both"/>
        <w:rPr>
          <w:rFonts w:ascii="Arial" w:eastAsia="Calibri" w:hAnsi="Arial" w:cs="Arial"/>
          <w:sz w:val="24"/>
          <w:szCs w:val="24"/>
        </w:rPr>
      </w:pPr>
    </w:p>
    <w:p w14:paraId="15260F46" w14:textId="77777777" w:rsidR="00DA2357" w:rsidRPr="00CA74C8" w:rsidRDefault="00DA2357" w:rsidP="00DA2357">
      <w:pPr>
        <w:jc w:val="center"/>
        <w:rPr>
          <w:rFonts w:ascii="Arial" w:eastAsia="Calibri" w:hAnsi="Arial" w:cs="Arial"/>
          <w:sz w:val="40"/>
          <w:szCs w:val="40"/>
        </w:rPr>
      </w:pPr>
      <w:r w:rsidRPr="00CA74C8">
        <w:rPr>
          <w:rFonts w:ascii="Arial" w:hAnsi="Arial" w:cs="Arial"/>
          <w:noProof/>
        </w:rPr>
        <w:drawing>
          <wp:inline distT="0" distB="0" distL="0" distR="0" wp14:anchorId="7024BA4E" wp14:editId="4C0C4649">
            <wp:extent cx="2695575" cy="2428875"/>
            <wp:effectExtent l="0" t="0" r="9525" b="9525"/>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20"/>
                    <a:stretch>
                      <a:fillRect/>
                    </a:stretch>
                  </pic:blipFill>
                  <pic:spPr>
                    <a:xfrm>
                      <a:off x="0" y="0"/>
                      <a:ext cx="2695575" cy="2428875"/>
                    </a:xfrm>
                    <a:prstGeom prst="rect">
                      <a:avLst/>
                    </a:prstGeom>
                  </pic:spPr>
                </pic:pic>
              </a:graphicData>
            </a:graphic>
          </wp:inline>
        </w:drawing>
      </w:r>
    </w:p>
    <w:p w14:paraId="4D72C4C9" w14:textId="77777777" w:rsidR="00E01AF8" w:rsidRDefault="00E01AF8" w:rsidP="009F77AD">
      <w:pPr>
        <w:jc w:val="center"/>
        <w:rPr>
          <w:rFonts w:ascii="Arial" w:eastAsia="Calibri" w:hAnsi="Arial" w:cs="Arial"/>
          <w:sz w:val="40"/>
          <w:szCs w:val="40"/>
        </w:rPr>
      </w:pPr>
    </w:p>
    <w:p w14:paraId="71F48FA8" w14:textId="77777777" w:rsidR="002210D5" w:rsidRDefault="002210D5" w:rsidP="00D37A85">
      <w:pPr>
        <w:jc w:val="both"/>
      </w:pPr>
    </w:p>
    <w:p w14:paraId="6468848C" w14:textId="7B5B2056" w:rsidR="00617880" w:rsidRDefault="0075287C" w:rsidP="00D37A85">
      <w:pPr>
        <w:jc w:val="both"/>
      </w:pPr>
      <w:r>
        <w:t>Page 14:</w:t>
      </w:r>
    </w:p>
    <w:p w14:paraId="306EEC40" w14:textId="1F2632CD" w:rsidR="0075287C" w:rsidRDefault="0075287C" w:rsidP="00D37A85">
      <w:pPr>
        <w:jc w:val="both"/>
      </w:pPr>
      <w:r>
        <w:rPr>
          <w:noProof/>
        </w:rPr>
        <w:drawing>
          <wp:inline distT="0" distB="0" distL="0" distR="0" wp14:anchorId="5F376EB1" wp14:editId="6C9E72AF">
            <wp:extent cx="4200525" cy="1609725"/>
            <wp:effectExtent l="0" t="0" r="9525" b="952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21"/>
                    <a:stretch>
                      <a:fillRect/>
                    </a:stretch>
                  </pic:blipFill>
                  <pic:spPr>
                    <a:xfrm>
                      <a:off x="0" y="0"/>
                      <a:ext cx="4200525" cy="1609725"/>
                    </a:xfrm>
                    <a:prstGeom prst="rect">
                      <a:avLst/>
                    </a:prstGeom>
                  </pic:spPr>
                </pic:pic>
              </a:graphicData>
            </a:graphic>
          </wp:inline>
        </w:drawing>
      </w:r>
    </w:p>
    <w:p w14:paraId="1777A16A" w14:textId="03B43931" w:rsidR="0075287C" w:rsidRDefault="00E234C5" w:rsidP="00D37A85">
      <w:pPr>
        <w:jc w:val="both"/>
      </w:pPr>
      <w:r w:rsidRPr="00E234C5">
        <w:rPr>
          <w:noProof/>
        </w:rPr>
        <w:drawing>
          <wp:inline distT="0" distB="0" distL="0" distR="0" wp14:anchorId="3402B4E3" wp14:editId="2A5BFE22">
            <wp:extent cx="3105150" cy="1828800"/>
            <wp:effectExtent l="0" t="0" r="0" b="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22"/>
                    <a:stretch>
                      <a:fillRect/>
                    </a:stretch>
                  </pic:blipFill>
                  <pic:spPr>
                    <a:xfrm>
                      <a:off x="0" y="0"/>
                      <a:ext cx="3105150" cy="1828800"/>
                    </a:xfrm>
                    <a:prstGeom prst="rect">
                      <a:avLst/>
                    </a:prstGeom>
                  </pic:spPr>
                </pic:pic>
              </a:graphicData>
            </a:graphic>
          </wp:inline>
        </w:drawing>
      </w:r>
    </w:p>
    <w:p w14:paraId="786A4151" w14:textId="3BAF3862" w:rsidR="00617880" w:rsidRDefault="00C53CDC" w:rsidP="00055668">
      <w:pPr>
        <w:jc w:val="both"/>
      </w:pPr>
      <w:r w:rsidRPr="00C53CDC">
        <w:rPr>
          <w:noProof/>
        </w:rPr>
        <w:lastRenderedPageBreak/>
        <w:drawing>
          <wp:inline distT="0" distB="0" distL="0" distR="0" wp14:anchorId="09DAE372" wp14:editId="1754AC0C">
            <wp:extent cx="2085975" cy="1362075"/>
            <wp:effectExtent l="0" t="0" r="9525" b="9525"/>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23"/>
                    <a:stretch>
                      <a:fillRect/>
                    </a:stretch>
                  </pic:blipFill>
                  <pic:spPr>
                    <a:xfrm>
                      <a:off x="0" y="0"/>
                      <a:ext cx="2085975" cy="1362075"/>
                    </a:xfrm>
                    <a:prstGeom prst="rect">
                      <a:avLst/>
                    </a:prstGeom>
                  </pic:spPr>
                </pic:pic>
              </a:graphicData>
            </a:graphic>
          </wp:inline>
        </w:drawing>
      </w:r>
    </w:p>
    <w:p w14:paraId="4C12D41A" w14:textId="77777777" w:rsidR="00C53CDC" w:rsidRDefault="00C53CDC" w:rsidP="003A71A1">
      <w:pPr>
        <w:jc w:val="center"/>
      </w:pPr>
    </w:p>
    <w:p w14:paraId="28369104" w14:textId="62A1E3BF" w:rsidR="00617880" w:rsidRDefault="00FE469E" w:rsidP="00FE469E">
      <w:pPr>
        <w:jc w:val="both"/>
      </w:pPr>
      <w:r>
        <w:rPr>
          <w:noProof/>
        </w:rPr>
        <w:drawing>
          <wp:inline distT="0" distB="0" distL="0" distR="0" wp14:anchorId="77AAF9E3" wp14:editId="7541820E">
            <wp:extent cx="2581275" cy="1857375"/>
            <wp:effectExtent l="0" t="0" r="9525" b="9525"/>
            <wp:docPr id="5" name="Picture 5"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ox and whisker chart&#10;&#10;Description automatically generated"/>
                    <pic:cNvPicPr/>
                  </pic:nvPicPr>
                  <pic:blipFill>
                    <a:blip r:embed="rId24"/>
                    <a:stretch>
                      <a:fillRect/>
                    </a:stretch>
                  </pic:blipFill>
                  <pic:spPr>
                    <a:xfrm>
                      <a:off x="0" y="0"/>
                      <a:ext cx="2581275" cy="1857375"/>
                    </a:xfrm>
                    <a:prstGeom prst="rect">
                      <a:avLst/>
                    </a:prstGeom>
                  </pic:spPr>
                </pic:pic>
              </a:graphicData>
            </a:graphic>
          </wp:inline>
        </w:drawing>
      </w:r>
    </w:p>
    <w:p w14:paraId="776DA060" w14:textId="70C395C6" w:rsidR="00617880" w:rsidRDefault="00617880" w:rsidP="003A71A1">
      <w:pPr>
        <w:jc w:val="center"/>
      </w:pPr>
    </w:p>
    <w:p w14:paraId="1A55D288" w14:textId="68B7DF69" w:rsidR="005E7F8C" w:rsidRDefault="005E7F8C" w:rsidP="005E7F8C">
      <w:pPr>
        <w:jc w:val="both"/>
      </w:pPr>
      <w:r>
        <w:rPr>
          <w:noProof/>
        </w:rPr>
        <w:drawing>
          <wp:inline distT="0" distB="0" distL="0" distR="0" wp14:anchorId="3C14ED1C" wp14:editId="09D90EC3">
            <wp:extent cx="3648075" cy="2066925"/>
            <wp:effectExtent l="0" t="0" r="9525" b="952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5"/>
                    <a:stretch>
                      <a:fillRect/>
                    </a:stretch>
                  </pic:blipFill>
                  <pic:spPr>
                    <a:xfrm>
                      <a:off x="0" y="0"/>
                      <a:ext cx="3648075" cy="2066925"/>
                    </a:xfrm>
                    <a:prstGeom prst="rect">
                      <a:avLst/>
                    </a:prstGeom>
                  </pic:spPr>
                </pic:pic>
              </a:graphicData>
            </a:graphic>
          </wp:inline>
        </w:drawing>
      </w:r>
    </w:p>
    <w:p w14:paraId="7102B155" w14:textId="22075C66" w:rsidR="001B50E7" w:rsidRDefault="001B50E7" w:rsidP="005E7F8C">
      <w:pPr>
        <w:jc w:val="both"/>
      </w:pPr>
      <w:r>
        <w:rPr>
          <w:noProof/>
        </w:rPr>
        <w:drawing>
          <wp:inline distT="0" distB="0" distL="0" distR="0" wp14:anchorId="483D9543" wp14:editId="7D93F55E">
            <wp:extent cx="4419600" cy="17811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19600" cy="1781175"/>
                    </a:xfrm>
                    <a:prstGeom prst="rect">
                      <a:avLst/>
                    </a:prstGeom>
                  </pic:spPr>
                </pic:pic>
              </a:graphicData>
            </a:graphic>
          </wp:inline>
        </w:drawing>
      </w:r>
    </w:p>
    <w:p w14:paraId="0F708C93" w14:textId="0D625072" w:rsidR="001B50E7" w:rsidRDefault="002210D5" w:rsidP="005E7F8C">
      <w:pPr>
        <w:jc w:val="both"/>
      </w:pPr>
      <w:r w:rsidRPr="002210D5">
        <w:rPr>
          <w:noProof/>
        </w:rPr>
        <w:lastRenderedPageBreak/>
        <w:drawing>
          <wp:inline distT="0" distB="0" distL="0" distR="0" wp14:anchorId="15928974" wp14:editId="31AFD3A6">
            <wp:extent cx="3514725" cy="1962150"/>
            <wp:effectExtent l="0" t="0" r="9525" b="0"/>
            <wp:docPr id="9" name="Picture 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pic:nvPicPr>
                  <pic:blipFill>
                    <a:blip r:embed="rId27"/>
                    <a:stretch>
                      <a:fillRect/>
                    </a:stretch>
                  </pic:blipFill>
                  <pic:spPr>
                    <a:xfrm>
                      <a:off x="0" y="0"/>
                      <a:ext cx="3514725" cy="1962150"/>
                    </a:xfrm>
                    <a:prstGeom prst="rect">
                      <a:avLst/>
                    </a:prstGeom>
                  </pic:spPr>
                </pic:pic>
              </a:graphicData>
            </a:graphic>
          </wp:inline>
        </w:drawing>
      </w:r>
    </w:p>
    <w:p w14:paraId="0FB4DFA3" w14:textId="7F9E84D8" w:rsidR="004A3421" w:rsidRDefault="004A3421" w:rsidP="005E7F8C">
      <w:pPr>
        <w:jc w:val="both"/>
      </w:pPr>
      <w:r w:rsidRPr="004A3421">
        <w:rPr>
          <w:noProof/>
        </w:rPr>
        <w:drawing>
          <wp:inline distT="0" distB="0" distL="0" distR="0" wp14:anchorId="2A91613C" wp14:editId="264C0D4B">
            <wp:extent cx="2990850" cy="2409825"/>
            <wp:effectExtent l="0" t="0" r="0" b="9525"/>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pic:nvPicPr>
                  <pic:blipFill>
                    <a:blip r:embed="rId28"/>
                    <a:stretch>
                      <a:fillRect/>
                    </a:stretch>
                  </pic:blipFill>
                  <pic:spPr>
                    <a:xfrm>
                      <a:off x="0" y="0"/>
                      <a:ext cx="2990850" cy="2409825"/>
                    </a:xfrm>
                    <a:prstGeom prst="rect">
                      <a:avLst/>
                    </a:prstGeom>
                  </pic:spPr>
                </pic:pic>
              </a:graphicData>
            </a:graphic>
          </wp:inline>
        </w:drawing>
      </w:r>
    </w:p>
    <w:p w14:paraId="7F5B427C" w14:textId="5D76B2D7" w:rsidR="00A04043" w:rsidRDefault="00A04043" w:rsidP="005E7F8C">
      <w:pPr>
        <w:jc w:val="both"/>
      </w:pPr>
      <w:r>
        <w:rPr>
          <w:noProof/>
        </w:rPr>
        <w:drawing>
          <wp:inline distT="0" distB="0" distL="0" distR="0" wp14:anchorId="2DB7D113" wp14:editId="7FDCA01D">
            <wp:extent cx="2676525" cy="1714500"/>
            <wp:effectExtent l="0" t="0" r="9525" b="0"/>
            <wp:docPr id="11" name="Picture 11" descr="A picture containing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line chart&#10;&#10;Description automatically generated"/>
                    <pic:cNvPicPr/>
                  </pic:nvPicPr>
                  <pic:blipFill>
                    <a:blip r:embed="rId29"/>
                    <a:stretch>
                      <a:fillRect/>
                    </a:stretch>
                  </pic:blipFill>
                  <pic:spPr>
                    <a:xfrm>
                      <a:off x="0" y="0"/>
                      <a:ext cx="2676525" cy="1714500"/>
                    </a:xfrm>
                    <a:prstGeom prst="rect">
                      <a:avLst/>
                    </a:prstGeom>
                  </pic:spPr>
                </pic:pic>
              </a:graphicData>
            </a:graphic>
          </wp:inline>
        </w:drawing>
      </w:r>
    </w:p>
    <w:p w14:paraId="6EE24D6C" w14:textId="22EE9540" w:rsidR="00617880" w:rsidRDefault="009600F5" w:rsidP="002448C0">
      <w:pPr>
        <w:jc w:val="both"/>
      </w:pPr>
      <w:r>
        <w:rPr>
          <w:noProof/>
        </w:rPr>
        <w:drawing>
          <wp:inline distT="0" distB="0" distL="0" distR="0" wp14:anchorId="161831BA" wp14:editId="39387913">
            <wp:extent cx="2257425" cy="1981200"/>
            <wp:effectExtent l="0" t="0" r="9525" b="0"/>
            <wp:docPr id="12" name="Picture 1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line chart&#10;&#10;Description automatically generated"/>
                    <pic:cNvPicPr/>
                  </pic:nvPicPr>
                  <pic:blipFill>
                    <a:blip r:embed="rId30"/>
                    <a:stretch>
                      <a:fillRect/>
                    </a:stretch>
                  </pic:blipFill>
                  <pic:spPr>
                    <a:xfrm>
                      <a:off x="0" y="0"/>
                      <a:ext cx="2257425" cy="1981200"/>
                    </a:xfrm>
                    <a:prstGeom prst="rect">
                      <a:avLst/>
                    </a:prstGeom>
                  </pic:spPr>
                </pic:pic>
              </a:graphicData>
            </a:graphic>
          </wp:inline>
        </w:drawing>
      </w:r>
    </w:p>
    <w:p w14:paraId="5EA688F4" w14:textId="35E0E477" w:rsidR="00617880" w:rsidRDefault="00617880" w:rsidP="003A71A1">
      <w:pPr>
        <w:jc w:val="center"/>
      </w:pPr>
    </w:p>
    <w:p w14:paraId="0FA96B52" w14:textId="7186E434" w:rsidR="00617880" w:rsidRDefault="00617880" w:rsidP="003A71A1">
      <w:pPr>
        <w:jc w:val="center"/>
      </w:pPr>
    </w:p>
    <w:p w14:paraId="5EEDA0AA" w14:textId="5D398AAC" w:rsidR="00617880" w:rsidRDefault="00617880" w:rsidP="003A71A1">
      <w:pPr>
        <w:jc w:val="center"/>
      </w:pPr>
    </w:p>
    <w:p w14:paraId="0389DE6D" w14:textId="5B26AB53" w:rsidR="00617880" w:rsidRDefault="00617880" w:rsidP="003A71A1">
      <w:pPr>
        <w:jc w:val="center"/>
      </w:pPr>
    </w:p>
    <w:p w14:paraId="7587840A" w14:textId="6AE15B42" w:rsidR="00617880" w:rsidRDefault="00617880" w:rsidP="003A71A1">
      <w:pPr>
        <w:jc w:val="center"/>
      </w:pPr>
    </w:p>
    <w:p w14:paraId="6276D4E8" w14:textId="03D2B1B6" w:rsidR="00617880" w:rsidRDefault="00617880" w:rsidP="003A71A1">
      <w:pPr>
        <w:jc w:val="center"/>
      </w:pPr>
    </w:p>
    <w:p w14:paraId="44F83609" w14:textId="013DC37A" w:rsidR="00617880" w:rsidRDefault="00617880" w:rsidP="003A71A1">
      <w:pPr>
        <w:jc w:val="center"/>
      </w:pPr>
    </w:p>
    <w:p w14:paraId="3980C862" w14:textId="1C941FC3" w:rsidR="00617880" w:rsidRDefault="00617880" w:rsidP="003A71A1">
      <w:pPr>
        <w:jc w:val="center"/>
      </w:pPr>
    </w:p>
    <w:p w14:paraId="799337B4" w14:textId="1FCCF99E" w:rsidR="00617880" w:rsidRDefault="00617880" w:rsidP="003A71A1">
      <w:pPr>
        <w:jc w:val="center"/>
      </w:pPr>
    </w:p>
    <w:p w14:paraId="1590D461" w14:textId="703046A1" w:rsidR="00617880" w:rsidRDefault="00617880" w:rsidP="003A71A1">
      <w:pPr>
        <w:jc w:val="center"/>
      </w:pPr>
    </w:p>
    <w:p w14:paraId="071293F0" w14:textId="6EC224FE" w:rsidR="00617880" w:rsidRDefault="00617880" w:rsidP="003A71A1">
      <w:pPr>
        <w:jc w:val="center"/>
      </w:pPr>
    </w:p>
    <w:p w14:paraId="29121711" w14:textId="360BA524" w:rsidR="00617880" w:rsidRDefault="00617880" w:rsidP="003A71A1">
      <w:pPr>
        <w:jc w:val="center"/>
      </w:pPr>
    </w:p>
    <w:p w14:paraId="77CB383B" w14:textId="4A392DB0" w:rsidR="00617880" w:rsidRDefault="00617880" w:rsidP="003A71A1">
      <w:pPr>
        <w:jc w:val="center"/>
      </w:pPr>
    </w:p>
    <w:p w14:paraId="0E9A9554" w14:textId="5B5F6991" w:rsidR="00617880" w:rsidRDefault="00617880" w:rsidP="003A71A1">
      <w:pPr>
        <w:jc w:val="center"/>
      </w:pPr>
    </w:p>
    <w:p w14:paraId="7661C666" w14:textId="20053862" w:rsidR="00617880" w:rsidRDefault="00617880" w:rsidP="003A71A1">
      <w:pPr>
        <w:jc w:val="center"/>
      </w:pPr>
    </w:p>
    <w:p w14:paraId="7652A7BC" w14:textId="5BF9D241" w:rsidR="00617880" w:rsidRDefault="00617880" w:rsidP="003A71A1">
      <w:pPr>
        <w:jc w:val="center"/>
      </w:pPr>
    </w:p>
    <w:sectPr w:rsidR="0061788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DECA4" w14:textId="77777777" w:rsidR="00397B2A" w:rsidRDefault="00397B2A" w:rsidP="000F7DC2">
      <w:pPr>
        <w:spacing w:after="0" w:line="240" w:lineRule="auto"/>
      </w:pPr>
      <w:r>
        <w:separator/>
      </w:r>
    </w:p>
  </w:endnote>
  <w:endnote w:type="continuationSeparator" w:id="0">
    <w:p w14:paraId="3D0ABEB7" w14:textId="77777777" w:rsidR="00397B2A" w:rsidRDefault="00397B2A" w:rsidP="000F7D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241730"/>
      <w:docPartObj>
        <w:docPartGallery w:val="Page Numbers (Bottom of Page)"/>
        <w:docPartUnique/>
      </w:docPartObj>
    </w:sdtPr>
    <w:sdtEndPr>
      <w:rPr>
        <w:noProof/>
      </w:rPr>
    </w:sdtEndPr>
    <w:sdtContent>
      <w:p w14:paraId="0B7B1C9B" w14:textId="17E338F2" w:rsidR="00D400FE" w:rsidRDefault="00D400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C23DB9" w14:textId="77777777" w:rsidR="00D400FE" w:rsidRDefault="00D400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43504" w14:textId="77777777" w:rsidR="00397B2A" w:rsidRDefault="00397B2A" w:rsidP="000F7DC2">
      <w:pPr>
        <w:spacing w:after="0" w:line="240" w:lineRule="auto"/>
      </w:pPr>
      <w:r>
        <w:separator/>
      </w:r>
    </w:p>
  </w:footnote>
  <w:footnote w:type="continuationSeparator" w:id="0">
    <w:p w14:paraId="6FB59211" w14:textId="77777777" w:rsidR="00397B2A" w:rsidRDefault="00397B2A" w:rsidP="000F7D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22223"/>
    <w:multiLevelType w:val="hybridMultilevel"/>
    <w:tmpl w:val="C80ACD1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701A65BD"/>
    <w:multiLevelType w:val="hybridMultilevel"/>
    <w:tmpl w:val="72D4B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7B08E8"/>
    <w:multiLevelType w:val="hybridMultilevel"/>
    <w:tmpl w:val="3AA2E320"/>
    <w:lvl w:ilvl="0" w:tplc="047C633C">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1605869">
    <w:abstractNumId w:val="1"/>
  </w:num>
  <w:num w:numId="2" w16cid:durableId="55864727">
    <w:abstractNumId w:val="0"/>
  </w:num>
  <w:num w:numId="3" w16cid:durableId="14818433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9A3"/>
    <w:rsid w:val="0000033F"/>
    <w:rsid w:val="0000793A"/>
    <w:rsid w:val="00010858"/>
    <w:rsid w:val="0001364A"/>
    <w:rsid w:val="00014C08"/>
    <w:rsid w:val="00023687"/>
    <w:rsid w:val="000253D3"/>
    <w:rsid w:val="00027760"/>
    <w:rsid w:val="00030A56"/>
    <w:rsid w:val="000319E9"/>
    <w:rsid w:val="000348D0"/>
    <w:rsid w:val="00037BAB"/>
    <w:rsid w:val="00040415"/>
    <w:rsid w:val="00046F72"/>
    <w:rsid w:val="000471F4"/>
    <w:rsid w:val="00055668"/>
    <w:rsid w:val="000571FA"/>
    <w:rsid w:val="00057943"/>
    <w:rsid w:val="00060DE2"/>
    <w:rsid w:val="000632BF"/>
    <w:rsid w:val="00067179"/>
    <w:rsid w:val="000749A3"/>
    <w:rsid w:val="000771B1"/>
    <w:rsid w:val="00091506"/>
    <w:rsid w:val="000A420D"/>
    <w:rsid w:val="000A4ABE"/>
    <w:rsid w:val="000A5346"/>
    <w:rsid w:val="000A7A0D"/>
    <w:rsid w:val="000B5682"/>
    <w:rsid w:val="000C636D"/>
    <w:rsid w:val="000D6FD4"/>
    <w:rsid w:val="000E6CFC"/>
    <w:rsid w:val="000F143E"/>
    <w:rsid w:val="000F193A"/>
    <w:rsid w:val="000F39AF"/>
    <w:rsid w:val="000F7A41"/>
    <w:rsid w:val="000F7DC2"/>
    <w:rsid w:val="001020D4"/>
    <w:rsid w:val="00102E0D"/>
    <w:rsid w:val="001205BD"/>
    <w:rsid w:val="001254D2"/>
    <w:rsid w:val="0012596D"/>
    <w:rsid w:val="00131A3E"/>
    <w:rsid w:val="00132455"/>
    <w:rsid w:val="00137E5B"/>
    <w:rsid w:val="00140012"/>
    <w:rsid w:val="00143675"/>
    <w:rsid w:val="001510CE"/>
    <w:rsid w:val="001577CB"/>
    <w:rsid w:val="001608FE"/>
    <w:rsid w:val="00161965"/>
    <w:rsid w:val="00166E1C"/>
    <w:rsid w:val="001713CB"/>
    <w:rsid w:val="00172724"/>
    <w:rsid w:val="001758AD"/>
    <w:rsid w:val="00177A83"/>
    <w:rsid w:val="0019189A"/>
    <w:rsid w:val="00196ABD"/>
    <w:rsid w:val="001A0935"/>
    <w:rsid w:val="001A0AA3"/>
    <w:rsid w:val="001A2BD0"/>
    <w:rsid w:val="001A521A"/>
    <w:rsid w:val="001A7F7E"/>
    <w:rsid w:val="001B17A5"/>
    <w:rsid w:val="001B3EA4"/>
    <w:rsid w:val="001B50E7"/>
    <w:rsid w:val="001B577A"/>
    <w:rsid w:val="001B67E7"/>
    <w:rsid w:val="001C0A9F"/>
    <w:rsid w:val="001C2775"/>
    <w:rsid w:val="001C6397"/>
    <w:rsid w:val="001D02C7"/>
    <w:rsid w:val="001D07D5"/>
    <w:rsid w:val="001D0C95"/>
    <w:rsid w:val="001D22D7"/>
    <w:rsid w:val="001D40A0"/>
    <w:rsid w:val="001E2198"/>
    <w:rsid w:val="001E6FA9"/>
    <w:rsid w:val="001F0645"/>
    <w:rsid w:val="001F0D70"/>
    <w:rsid w:val="001F26D3"/>
    <w:rsid w:val="001F62C1"/>
    <w:rsid w:val="001F69EE"/>
    <w:rsid w:val="00200E2F"/>
    <w:rsid w:val="00200F86"/>
    <w:rsid w:val="002071C1"/>
    <w:rsid w:val="00211ECF"/>
    <w:rsid w:val="00213B88"/>
    <w:rsid w:val="002208E6"/>
    <w:rsid w:val="002210D5"/>
    <w:rsid w:val="002316BF"/>
    <w:rsid w:val="00233646"/>
    <w:rsid w:val="00237F01"/>
    <w:rsid w:val="00241B17"/>
    <w:rsid w:val="00242ED1"/>
    <w:rsid w:val="002448C0"/>
    <w:rsid w:val="00244EF4"/>
    <w:rsid w:val="002528A4"/>
    <w:rsid w:val="0025392F"/>
    <w:rsid w:val="00254414"/>
    <w:rsid w:val="0026663E"/>
    <w:rsid w:val="00267A0B"/>
    <w:rsid w:val="00272BDD"/>
    <w:rsid w:val="002748EB"/>
    <w:rsid w:val="002769D1"/>
    <w:rsid w:val="002803DC"/>
    <w:rsid w:val="002859E7"/>
    <w:rsid w:val="00293583"/>
    <w:rsid w:val="002A1439"/>
    <w:rsid w:val="002A5293"/>
    <w:rsid w:val="002A56AB"/>
    <w:rsid w:val="002A7BCE"/>
    <w:rsid w:val="002B6385"/>
    <w:rsid w:val="002B6D0F"/>
    <w:rsid w:val="002C3F39"/>
    <w:rsid w:val="002C4C8E"/>
    <w:rsid w:val="002C6A47"/>
    <w:rsid w:val="002E4F5A"/>
    <w:rsid w:val="002F16D7"/>
    <w:rsid w:val="002F2229"/>
    <w:rsid w:val="002F46C1"/>
    <w:rsid w:val="002F50E9"/>
    <w:rsid w:val="002F51FF"/>
    <w:rsid w:val="00303EA3"/>
    <w:rsid w:val="0030452B"/>
    <w:rsid w:val="00304DE9"/>
    <w:rsid w:val="00306B0F"/>
    <w:rsid w:val="00310F3D"/>
    <w:rsid w:val="00314884"/>
    <w:rsid w:val="00322EF6"/>
    <w:rsid w:val="00325581"/>
    <w:rsid w:val="0032647B"/>
    <w:rsid w:val="00331E2A"/>
    <w:rsid w:val="00346B2E"/>
    <w:rsid w:val="00351747"/>
    <w:rsid w:val="003535D7"/>
    <w:rsid w:val="003551F2"/>
    <w:rsid w:val="00372200"/>
    <w:rsid w:val="00374D51"/>
    <w:rsid w:val="003763D7"/>
    <w:rsid w:val="00381927"/>
    <w:rsid w:val="00384CC5"/>
    <w:rsid w:val="00392F40"/>
    <w:rsid w:val="00394CC5"/>
    <w:rsid w:val="00395752"/>
    <w:rsid w:val="00397B2A"/>
    <w:rsid w:val="003A2F24"/>
    <w:rsid w:val="003A71A1"/>
    <w:rsid w:val="003B26FB"/>
    <w:rsid w:val="003B2E56"/>
    <w:rsid w:val="003C6B3B"/>
    <w:rsid w:val="003C6ED8"/>
    <w:rsid w:val="003D75B4"/>
    <w:rsid w:val="003D7B34"/>
    <w:rsid w:val="003E19BE"/>
    <w:rsid w:val="003E298A"/>
    <w:rsid w:val="003F412C"/>
    <w:rsid w:val="00400368"/>
    <w:rsid w:val="004025E3"/>
    <w:rsid w:val="0040389E"/>
    <w:rsid w:val="00403A25"/>
    <w:rsid w:val="00407E29"/>
    <w:rsid w:val="004111E3"/>
    <w:rsid w:val="00414665"/>
    <w:rsid w:val="00415D2B"/>
    <w:rsid w:val="00420B6C"/>
    <w:rsid w:val="00423F32"/>
    <w:rsid w:val="00425220"/>
    <w:rsid w:val="00427223"/>
    <w:rsid w:val="00433066"/>
    <w:rsid w:val="0043325A"/>
    <w:rsid w:val="00440271"/>
    <w:rsid w:val="00444160"/>
    <w:rsid w:val="004467B8"/>
    <w:rsid w:val="004518E2"/>
    <w:rsid w:val="00454177"/>
    <w:rsid w:val="00454936"/>
    <w:rsid w:val="0046023D"/>
    <w:rsid w:val="0046600D"/>
    <w:rsid w:val="00466DDF"/>
    <w:rsid w:val="00467B56"/>
    <w:rsid w:val="00476380"/>
    <w:rsid w:val="00484104"/>
    <w:rsid w:val="004900BE"/>
    <w:rsid w:val="004971E8"/>
    <w:rsid w:val="004979D0"/>
    <w:rsid w:val="00497E2D"/>
    <w:rsid w:val="004A3421"/>
    <w:rsid w:val="004B556A"/>
    <w:rsid w:val="004C0A8E"/>
    <w:rsid w:val="004C1E59"/>
    <w:rsid w:val="004C4E3A"/>
    <w:rsid w:val="004C5AD1"/>
    <w:rsid w:val="004D05A9"/>
    <w:rsid w:val="004D4214"/>
    <w:rsid w:val="004D546A"/>
    <w:rsid w:val="004D597E"/>
    <w:rsid w:val="004D7447"/>
    <w:rsid w:val="004E0FE3"/>
    <w:rsid w:val="004E1E26"/>
    <w:rsid w:val="004E3D6E"/>
    <w:rsid w:val="004E4722"/>
    <w:rsid w:val="004F331F"/>
    <w:rsid w:val="004F65B1"/>
    <w:rsid w:val="00514517"/>
    <w:rsid w:val="005150C8"/>
    <w:rsid w:val="00520C01"/>
    <w:rsid w:val="005254BF"/>
    <w:rsid w:val="005270E4"/>
    <w:rsid w:val="00530947"/>
    <w:rsid w:val="00541A5A"/>
    <w:rsid w:val="00547683"/>
    <w:rsid w:val="005527EB"/>
    <w:rsid w:val="00557AE0"/>
    <w:rsid w:val="00562F50"/>
    <w:rsid w:val="005653DD"/>
    <w:rsid w:val="005714BB"/>
    <w:rsid w:val="00574E6F"/>
    <w:rsid w:val="005765C0"/>
    <w:rsid w:val="00577003"/>
    <w:rsid w:val="00577F5A"/>
    <w:rsid w:val="00580205"/>
    <w:rsid w:val="00581CB1"/>
    <w:rsid w:val="00591F91"/>
    <w:rsid w:val="00597D1F"/>
    <w:rsid w:val="005A198A"/>
    <w:rsid w:val="005A52DB"/>
    <w:rsid w:val="005A6304"/>
    <w:rsid w:val="005A7796"/>
    <w:rsid w:val="005B13B0"/>
    <w:rsid w:val="005B7376"/>
    <w:rsid w:val="005C2A5C"/>
    <w:rsid w:val="005C3A03"/>
    <w:rsid w:val="005C65AC"/>
    <w:rsid w:val="005C667A"/>
    <w:rsid w:val="005C7B8B"/>
    <w:rsid w:val="005D066A"/>
    <w:rsid w:val="005D0751"/>
    <w:rsid w:val="005D47FE"/>
    <w:rsid w:val="005E7F8C"/>
    <w:rsid w:val="005F3799"/>
    <w:rsid w:val="005F417C"/>
    <w:rsid w:val="005F43CB"/>
    <w:rsid w:val="00601A84"/>
    <w:rsid w:val="00615268"/>
    <w:rsid w:val="00617880"/>
    <w:rsid w:val="0062099A"/>
    <w:rsid w:val="006249C2"/>
    <w:rsid w:val="00625A25"/>
    <w:rsid w:val="00625A70"/>
    <w:rsid w:val="00631326"/>
    <w:rsid w:val="006327D0"/>
    <w:rsid w:val="0063617F"/>
    <w:rsid w:val="00643B90"/>
    <w:rsid w:val="0064453D"/>
    <w:rsid w:val="00645AE0"/>
    <w:rsid w:val="006465EE"/>
    <w:rsid w:val="006509F3"/>
    <w:rsid w:val="006522FB"/>
    <w:rsid w:val="00655061"/>
    <w:rsid w:val="0066291E"/>
    <w:rsid w:val="00662F2D"/>
    <w:rsid w:val="006670AC"/>
    <w:rsid w:val="00671B44"/>
    <w:rsid w:val="006806EA"/>
    <w:rsid w:val="006977FB"/>
    <w:rsid w:val="00697CA3"/>
    <w:rsid w:val="006A27F6"/>
    <w:rsid w:val="006B1C1C"/>
    <w:rsid w:val="006B4019"/>
    <w:rsid w:val="006C16CA"/>
    <w:rsid w:val="006C4032"/>
    <w:rsid w:val="006C5EDC"/>
    <w:rsid w:val="006D4096"/>
    <w:rsid w:val="006E0377"/>
    <w:rsid w:val="006E55E3"/>
    <w:rsid w:val="006F0F7F"/>
    <w:rsid w:val="007009E9"/>
    <w:rsid w:val="0070405F"/>
    <w:rsid w:val="007139E2"/>
    <w:rsid w:val="007164E2"/>
    <w:rsid w:val="00721058"/>
    <w:rsid w:val="00725AA2"/>
    <w:rsid w:val="00733F42"/>
    <w:rsid w:val="00736C66"/>
    <w:rsid w:val="00751B2F"/>
    <w:rsid w:val="0075287C"/>
    <w:rsid w:val="00752D84"/>
    <w:rsid w:val="00753068"/>
    <w:rsid w:val="00754E01"/>
    <w:rsid w:val="00755B05"/>
    <w:rsid w:val="00756DCD"/>
    <w:rsid w:val="00771293"/>
    <w:rsid w:val="00771ABC"/>
    <w:rsid w:val="007743E4"/>
    <w:rsid w:val="0077511D"/>
    <w:rsid w:val="007765E1"/>
    <w:rsid w:val="007770D3"/>
    <w:rsid w:val="007814C0"/>
    <w:rsid w:val="007814EE"/>
    <w:rsid w:val="0078232E"/>
    <w:rsid w:val="0079592F"/>
    <w:rsid w:val="00795FA9"/>
    <w:rsid w:val="0079628C"/>
    <w:rsid w:val="007A061D"/>
    <w:rsid w:val="007A4883"/>
    <w:rsid w:val="007B1A54"/>
    <w:rsid w:val="007B2A62"/>
    <w:rsid w:val="007B3BE5"/>
    <w:rsid w:val="007B400A"/>
    <w:rsid w:val="007B5940"/>
    <w:rsid w:val="007B69A3"/>
    <w:rsid w:val="007C1764"/>
    <w:rsid w:val="007C187D"/>
    <w:rsid w:val="007C5508"/>
    <w:rsid w:val="007D5A67"/>
    <w:rsid w:val="007E5B7F"/>
    <w:rsid w:val="007F00D4"/>
    <w:rsid w:val="007F6E2B"/>
    <w:rsid w:val="007F73C6"/>
    <w:rsid w:val="008100F5"/>
    <w:rsid w:val="00816316"/>
    <w:rsid w:val="0082435E"/>
    <w:rsid w:val="00824476"/>
    <w:rsid w:val="00824B1E"/>
    <w:rsid w:val="008306EE"/>
    <w:rsid w:val="008318C6"/>
    <w:rsid w:val="00834493"/>
    <w:rsid w:val="00835B9C"/>
    <w:rsid w:val="00840C8C"/>
    <w:rsid w:val="0084280E"/>
    <w:rsid w:val="00846198"/>
    <w:rsid w:val="00847B41"/>
    <w:rsid w:val="008509F1"/>
    <w:rsid w:val="008529BF"/>
    <w:rsid w:val="00855759"/>
    <w:rsid w:val="008572D1"/>
    <w:rsid w:val="00876829"/>
    <w:rsid w:val="00877965"/>
    <w:rsid w:val="00886A09"/>
    <w:rsid w:val="00894420"/>
    <w:rsid w:val="008A0385"/>
    <w:rsid w:val="008A0554"/>
    <w:rsid w:val="008A5FD4"/>
    <w:rsid w:val="008A6F6D"/>
    <w:rsid w:val="008B11AC"/>
    <w:rsid w:val="008C1F6D"/>
    <w:rsid w:val="008D3315"/>
    <w:rsid w:val="008D6471"/>
    <w:rsid w:val="008E1C3D"/>
    <w:rsid w:val="008E242A"/>
    <w:rsid w:val="008F0F9B"/>
    <w:rsid w:val="008F3F97"/>
    <w:rsid w:val="008F48D6"/>
    <w:rsid w:val="008F5F7E"/>
    <w:rsid w:val="008F6001"/>
    <w:rsid w:val="00903BF2"/>
    <w:rsid w:val="009056FE"/>
    <w:rsid w:val="00905DBA"/>
    <w:rsid w:val="0090694D"/>
    <w:rsid w:val="00907590"/>
    <w:rsid w:val="009219B2"/>
    <w:rsid w:val="00924ACE"/>
    <w:rsid w:val="009267C1"/>
    <w:rsid w:val="00926EAF"/>
    <w:rsid w:val="00932C8C"/>
    <w:rsid w:val="009338CD"/>
    <w:rsid w:val="00936CDF"/>
    <w:rsid w:val="00940D1B"/>
    <w:rsid w:val="00940E6F"/>
    <w:rsid w:val="0094175E"/>
    <w:rsid w:val="00942755"/>
    <w:rsid w:val="009439B8"/>
    <w:rsid w:val="00947FC9"/>
    <w:rsid w:val="009530C0"/>
    <w:rsid w:val="00953A8F"/>
    <w:rsid w:val="009600F5"/>
    <w:rsid w:val="009631C0"/>
    <w:rsid w:val="0096555A"/>
    <w:rsid w:val="009659DC"/>
    <w:rsid w:val="00971F4F"/>
    <w:rsid w:val="0097337E"/>
    <w:rsid w:val="00977BB3"/>
    <w:rsid w:val="00977EBB"/>
    <w:rsid w:val="00985A7C"/>
    <w:rsid w:val="009908D8"/>
    <w:rsid w:val="009914FA"/>
    <w:rsid w:val="009A0E61"/>
    <w:rsid w:val="009A2795"/>
    <w:rsid w:val="009A3309"/>
    <w:rsid w:val="009A4445"/>
    <w:rsid w:val="009B0205"/>
    <w:rsid w:val="009B4DA5"/>
    <w:rsid w:val="009B68A1"/>
    <w:rsid w:val="009C5C1D"/>
    <w:rsid w:val="009D17BD"/>
    <w:rsid w:val="009D4F44"/>
    <w:rsid w:val="009E1617"/>
    <w:rsid w:val="009E297C"/>
    <w:rsid w:val="009E2AE5"/>
    <w:rsid w:val="009E6AA6"/>
    <w:rsid w:val="009E6F7F"/>
    <w:rsid w:val="009F277C"/>
    <w:rsid w:val="009F2C15"/>
    <w:rsid w:val="009F6217"/>
    <w:rsid w:val="009F77AD"/>
    <w:rsid w:val="00A04043"/>
    <w:rsid w:val="00A04EE3"/>
    <w:rsid w:val="00A13074"/>
    <w:rsid w:val="00A13E6A"/>
    <w:rsid w:val="00A141FF"/>
    <w:rsid w:val="00A21326"/>
    <w:rsid w:val="00A36929"/>
    <w:rsid w:val="00A46C9A"/>
    <w:rsid w:val="00A5587C"/>
    <w:rsid w:val="00A633D6"/>
    <w:rsid w:val="00A64150"/>
    <w:rsid w:val="00A679BA"/>
    <w:rsid w:val="00A7032D"/>
    <w:rsid w:val="00A7719B"/>
    <w:rsid w:val="00A8003A"/>
    <w:rsid w:val="00A92346"/>
    <w:rsid w:val="00A94638"/>
    <w:rsid w:val="00A96600"/>
    <w:rsid w:val="00A97F4D"/>
    <w:rsid w:val="00AA0876"/>
    <w:rsid w:val="00AA43A9"/>
    <w:rsid w:val="00AA74D4"/>
    <w:rsid w:val="00AB4270"/>
    <w:rsid w:val="00AC6671"/>
    <w:rsid w:val="00AC6674"/>
    <w:rsid w:val="00AC7540"/>
    <w:rsid w:val="00AD0EEB"/>
    <w:rsid w:val="00AD4904"/>
    <w:rsid w:val="00AD6062"/>
    <w:rsid w:val="00AE1010"/>
    <w:rsid w:val="00AE1B1C"/>
    <w:rsid w:val="00AF0929"/>
    <w:rsid w:val="00AF1D4C"/>
    <w:rsid w:val="00B1584C"/>
    <w:rsid w:val="00B16447"/>
    <w:rsid w:val="00B17C90"/>
    <w:rsid w:val="00B26154"/>
    <w:rsid w:val="00B26A54"/>
    <w:rsid w:val="00B2738E"/>
    <w:rsid w:val="00B3349B"/>
    <w:rsid w:val="00B55125"/>
    <w:rsid w:val="00B55C07"/>
    <w:rsid w:val="00B63914"/>
    <w:rsid w:val="00B708CA"/>
    <w:rsid w:val="00B748CF"/>
    <w:rsid w:val="00B75F19"/>
    <w:rsid w:val="00B770A2"/>
    <w:rsid w:val="00B77F85"/>
    <w:rsid w:val="00B827AD"/>
    <w:rsid w:val="00B837FF"/>
    <w:rsid w:val="00B9100B"/>
    <w:rsid w:val="00B91B70"/>
    <w:rsid w:val="00B95875"/>
    <w:rsid w:val="00BA0689"/>
    <w:rsid w:val="00BA3AB9"/>
    <w:rsid w:val="00BA3B0B"/>
    <w:rsid w:val="00BB29D9"/>
    <w:rsid w:val="00BB4E51"/>
    <w:rsid w:val="00BB6FE9"/>
    <w:rsid w:val="00BB76E4"/>
    <w:rsid w:val="00BC5850"/>
    <w:rsid w:val="00BC6662"/>
    <w:rsid w:val="00BC6F9C"/>
    <w:rsid w:val="00BC7A6C"/>
    <w:rsid w:val="00BD0776"/>
    <w:rsid w:val="00BD369D"/>
    <w:rsid w:val="00BD3B12"/>
    <w:rsid w:val="00BD77D4"/>
    <w:rsid w:val="00BE3196"/>
    <w:rsid w:val="00BE3A01"/>
    <w:rsid w:val="00BE5200"/>
    <w:rsid w:val="00BE632A"/>
    <w:rsid w:val="00BE6809"/>
    <w:rsid w:val="00BF08A7"/>
    <w:rsid w:val="00BF4367"/>
    <w:rsid w:val="00BF44F2"/>
    <w:rsid w:val="00C13D4F"/>
    <w:rsid w:val="00C21B61"/>
    <w:rsid w:val="00C32B08"/>
    <w:rsid w:val="00C52465"/>
    <w:rsid w:val="00C53A49"/>
    <w:rsid w:val="00C53CDC"/>
    <w:rsid w:val="00C5412B"/>
    <w:rsid w:val="00C5736F"/>
    <w:rsid w:val="00C60941"/>
    <w:rsid w:val="00C67887"/>
    <w:rsid w:val="00C67BB8"/>
    <w:rsid w:val="00C850CE"/>
    <w:rsid w:val="00C873A6"/>
    <w:rsid w:val="00C87A91"/>
    <w:rsid w:val="00C93B1D"/>
    <w:rsid w:val="00C97544"/>
    <w:rsid w:val="00CB6914"/>
    <w:rsid w:val="00CC0F17"/>
    <w:rsid w:val="00CC64FE"/>
    <w:rsid w:val="00CD23AB"/>
    <w:rsid w:val="00CD261C"/>
    <w:rsid w:val="00CD61EB"/>
    <w:rsid w:val="00CE20EB"/>
    <w:rsid w:val="00CE67D1"/>
    <w:rsid w:val="00CE767E"/>
    <w:rsid w:val="00CE7704"/>
    <w:rsid w:val="00CF437B"/>
    <w:rsid w:val="00D0049F"/>
    <w:rsid w:val="00D07A1E"/>
    <w:rsid w:val="00D106A4"/>
    <w:rsid w:val="00D204C9"/>
    <w:rsid w:val="00D2231E"/>
    <w:rsid w:val="00D24036"/>
    <w:rsid w:val="00D24E71"/>
    <w:rsid w:val="00D30CEC"/>
    <w:rsid w:val="00D318FB"/>
    <w:rsid w:val="00D31D2D"/>
    <w:rsid w:val="00D36150"/>
    <w:rsid w:val="00D37A85"/>
    <w:rsid w:val="00D400FE"/>
    <w:rsid w:val="00D412E7"/>
    <w:rsid w:val="00D44107"/>
    <w:rsid w:val="00D5440F"/>
    <w:rsid w:val="00D55637"/>
    <w:rsid w:val="00D63B93"/>
    <w:rsid w:val="00D6455B"/>
    <w:rsid w:val="00D71838"/>
    <w:rsid w:val="00D74C86"/>
    <w:rsid w:val="00D75D9D"/>
    <w:rsid w:val="00D81EF2"/>
    <w:rsid w:val="00DA1133"/>
    <w:rsid w:val="00DA14ED"/>
    <w:rsid w:val="00DA2357"/>
    <w:rsid w:val="00DA26D6"/>
    <w:rsid w:val="00DA2D7B"/>
    <w:rsid w:val="00DA53EC"/>
    <w:rsid w:val="00DB009C"/>
    <w:rsid w:val="00DB125A"/>
    <w:rsid w:val="00DC0312"/>
    <w:rsid w:val="00DC1C20"/>
    <w:rsid w:val="00DC357F"/>
    <w:rsid w:val="00DC5588"/>
    <w:rsid w:val="00DC6422"/>
    <w:rsid w:val="00DD2428"/>
    <w:rsid w:val="00DE6A3F"/>
    <w:rsid w:val="00DF0F50"/>
    <w:rsid w:val="00DF2AF4"/>
    <w:rsid w:val="00E01AF8"/>
    <w:rsid w:val="00E07300"/>
    <w:rsid w:val="00E07638"/>
    <w:rsid w:val="00E07FF0"/>
    <w:rsid w:val="00E154A3"/>
    <w:rsid w:val="00E226AD"/>
    <w:rsid w:val="00E234C5"/>
    <w:rsid w:val="00E23C85"/>
    <w:rsid w:val="00E24FD8"/>
    <w:rsid w:val="00E32B42"/>
    <w:rsid w:val="00E44575"/>
    <w:rsid w:val="00E5549D"/>
    <w:rsid w:val="00E64F7B"/>
    <w:rsid w:val="00E67D72"/>
    <w:rsid w:val="00E702B1"/>
    <w:rsid w:val="00E70832"/>
    <w:rsid w:val="00E76507"/>
    <w:rsid w:val="00E769F7"/>
    <w:rsid w:val="00E83F96"/>
    <w:rsid w:val="00E85206"/>
    <w:rsid w:val="00E87ACF"/>
    <w:rsid w:val="00E90BA6"/>
    <w:rsid w:val="00E93E56"/>
    <w:rsid w:val="00EA30EE"/>
    <w:rsid w:val="00EA5C07"/>
    <w:rsid w:val="00EA6A56"/>
    <w:rsid w:val="00EA7BF2"/>
    <w:rsid w:val="00EB1340"/>
    <w:rsid w:val="00EC2DC6"/>
    <w:rsid w:val="00EC3FA1"/>
    <w:rsid w:val="00EC74A7"/>
    <w:rsid w:val="00ED6E8B"/>
    <w:rsid w:val="00ED79EF"/>
    <w:rsid w:val="00EE3FB2"/>
    <w:rsid w:val="00EF6E4E"/>
    <w:rsid w:val="00EF7816"/>
    <w:rsid w:val="00F045AA"/>
    <w:rsid w:val="00F15F7F"/>
    <w:rsid w:val="00F177C2"/>
    <w:rsid w:val="00F2790E"/>
    <w:rsid w:val="00F30438"/>
    <w:rsid w:val="00F35C43"/>
    <w:rsid w:val="00F36ED2"/>
    <w:rsid w:val="00F4287D"/>
    <w:rsid w:val="00F52CAC"/>
    <w:rsid w:val="00F54411"/>
    <w:rsid w:val="00F55AC1"/>
    <w:rsid w:val="00F574DB"/>
    <w:rsid w:val="00F659E5"/>
    <w:rsid w:val="00F76195"/>
    <w:rsid w:val="00F80211"/>
    <w:rsid w:val="00F840BC"/>
    <w:rsid w:val="00F8433F"/>
    <w:rsid w:val="00F85CC3"/>
    <w:rsid w:val="00F87D44"/>
    <w:rsid w:val="00F93DB3"/>
    <w:rsid w:val="00F96637"/>
    <w:rsid w:val="00FA1640"/>
    <w:rsid w:val="00FA1E58"/>
    <w:rsid w:val="00FA4203"/>
    <w:rsid w:val="00FB022C"/>
    <w:rsid w:val="00FB1B87"/>
    <w:rsid w:val="00FB4A18"/>
    <w:rsid w:val="00FB4B76"/>
    <w:rsid w:val="00FB6137"/>
    <w:rsid w:val="00FC1D29"/>
    <w:rsid w:val="00FC4967"/>
    <w:rsid w:val="00FC5108"/>
    <w:rsid w:val="00FD021C"/>
    <w:rsid w:val="00FD4ED1"/>
    <w:rsid w:val="00FD76EB"/>
    <w:rsid w:val="00FE469E"/>
    <w:rsid w:val="00FF23CD"/>
    <w:rsid w:val="00FF2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C297B"/>
  <w15:chartTrackingRefBased/>
  <w15:docId w15:val="{4DF2CDBE-B785-4AF1-B3D8-15FF912A5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49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AE5"/>
    <w:pPr>
      <w:ind w:left="720"/>
      <w:contextualSpacing/>
    </w:pPr>
  </w:style>
  <w:style w:type="paragraph" w:styleId="NormalWeb">
    <w:name w:val="Normal (Web)"/>
    <w:basedOn w:val="Normal"/>
    <w:uiPriority w:val="99"/>
    <w:semiHidden/>
    <w:unhideWhenUsed/>
    <w:rsid w:val="008F48D6"/>
    <w:pPr>
      <w:spacing w:before="100" w:beforeAutospacing="1" w:after="100" w:afterAutospacing="1" w:line="240" w:lineRule="auto"/>
    </w:pPr>
    <w:rPr>
      <w:rFonts w:ascii="Tahoma" w:eastAsia="Times New Roman" w:hAnsi="Tahoma" w:cs="Tahoma"/>
      <w:sz w:val="24"/>
      <w:szCs w:val="24"/>
      <w:lang w:val="en-US" w:bidi="th-TH"/>
    </w:rPr>
  </w:style>
  <w:style w:type="character" w:styleId="Hyperlink">
    <w:name w:val="Hyperlink"/>
    <w:basedOn w:val="DefaultParagraphFont"/>
    <w:uiPriority w:val="99"/>
    <w:unhideWhenUsed/>
    <w:rsid w:val="005653DD"/>
    <w:rPr>
      <w:color w:val="0563C1" w:themeColor="hyperlink"/>
      <w:u w:val="single"/>
    </w:rPr>
  </w:style>
  <w:style w:type="character" w:styleId="UnresolvedMention">
    <w:name w:val="Unresolved Mention"/>
    <w:basedOn w:val="DefaultParagraphFont"/>
    <w:uiPriority w:val="99"/>
    <w:semiHidden/>
    <w:unhideWhenUsed/>
    <w:rsid w:val="005653DD"/>
    <w:rPr>
      <w:color w:val="605E5C"/>
      <w:shd w:val="clear" w:color="auto" w:fill="E1DFDD"/>
    </w:rPr>
  </w:style>
  <w:style w:type="paragraph" w:styleId="Header">
    <w:name w:val="header"/>
    <w:basedOn w:val="Normal"/>
    <w:link w:val="HeaderChar"/>
    <w:uiPriority w:val="99"/>
    <w:unhideWhenUsed/>
    <w:rsid w:val="000F7D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7DC2"/>
  </w:style>
  <w:style w:type="paragraph" w:styleId="Footer">
    <w:name w:val="footer"/>
    <w:basedOn w:val="Normal"/>
    <w:link w:val="FooterChar"/>
    <w:uiPriority w:val="99"/>
    <w:unhideWhenUsed/>
    <w:rsid w:val="000F7D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D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064582">
      <w:bodyDiv w:val="1"/>
      <w:marLeft w:val="0"/>
      <w:marRight w:val="0"/>
      <w:marTop w:val="0"/>
      <w:marBottom w:val="0"/>
      <w:divBdr>
        <w:top w:val="none" w:sz="0" w:space="0" w:color="auto"/>
        <w:left w:val="none" w:sz="0" w:space="0" w:color="auto"/>
        <w:bottom w:val="none" w:sz="0" w:space="0" w:color="auto"/>
        <w:right w:val="none" w:sz="0" w:space="0" w:color="auto"/>
      </w:divBdr>
    </w:div>
    <w:div w:id="730082261">
      <w:bodyDiv w:val="1"/>
      <w:marLeft w:val="0"/>
      <w:marRight w:val="0"/>
      <w:marTop w:val="0"/>
      <w:marBottom w:val="0"/>
      <w:divBdr>
        <w:top w:val="none" w:sz="0" w:space="0" w:color="auto"/>
        <w:left w:val="none" w:sz="0" w:space="0" w:color="auto"/>
        <w:bottom w:val="none" w:sz="0" w:space="0" w:color="auto"/>
        <w:right w:val="none" w:sz="0" w:space="0" w:color="auto"/>
      </w:divBdr>
    </w:div>
    <w:div w:id="1272517979">
      <w:bodyDiv w:val="1"/>
      <w:marLeft w:val="0"/>
      <w:marRight w:val="0"/>
      <w:marTop w:val="0"/>
      <w:marBottom w:val="0"/>
      <w:divBdr>
        <w:top w:val="none" w:sz="0" w:space="0" w:color="auto"/>
        <w:left w:val="none" w:sz="0" w:space="0" w:color="auto"/>
        <w:bottom w:val="none" w:sz="0" w:space="0" w:color="auto"/>
        <w:right w:val="none" w:sz="0" w:space="0" w:color="auto"/>
      </w:divBdr>
      <w:divsChild>
        <w:div w:id="240413317">
          <w:marLeft w:val="0"/>
          <w:marRight w:val="0"/>
          <w:marTop w:val="0"/>
          <w:marBottom w:val="0"/>
          <w:divBdr>
            <w:top w:val="none" w:sz="0" w:space="0" w:color="auto"/>
            <w:left w:val="none" w:sz="0" w:space="0" w:color="auto"/>
            <w:bottom w:val="none" w:sz="0" w:space="0" w:color="auto"/>
            <w:right w:val="none" w:sz="0" w:space="0" w:color="auto"/>
          </w:divBdr>
          <w:divsChild>
            <w:div w:id="522406504">
              <w:marLeft w:val="0"/>
              <w:marRight w:val="0"/>
              <w:marTop w:val="0"/>
              <w:marBottom w:val="0"/>
              <w:divBdr>
                <w:top w:val="none" w:sz="0" w:space="0" w:color="auto"/>
                <w:left w:val="none" w:sz="0" w:space="0" w:color="auto"/>
                <w:bottom w:val="none" w:sz="0" w:space="0" w:color="auto"/>
                <w:right w:val="none" w:sz="0" w:space="0" w:color="auto"/>
              </w:divBdr>
              <w:divsChild>
                <w:div w:id="2119908867">
                  <w:marLeft w:val="0"/>
                  <w:marRight w:val="0"/>
                  <w:marTop w:val="0"/>
                  <w:marBottom w:val="0"/>
                  <w:divBdr>
                    <w:top w:val="none" w:sz="0" w:space="0" w:color="auto"/>
                    <w:left w:val="none" w:sz="0" w:space="0" w:color="auto"/>
                    <w:bottom w:val="none" w:sz="0" w:space="0" w:color="auto"/>
                    <w:right w:val="none" w:sz="0" w:space="0" w:color="auto"/>
                  </w:divBdr>
                  <w:divsChild>
                    <w:div w:id="392238258">
                      <w:marLeft w:val="0"/>
                      <w:marRight w:val="0"/>
                      <w:marTop w:val="0"/>
                      <w:marBottom w:val="0"/>
                      <w:divBdr>
                        <w:top w:val="none" w:sz="0" w:space="0" w:color="auto"/>
                        <w:left w:val="none" w:sz="0" w:space="0" w:color="auto"/>
                        <w:bottom w:val="none" w:sz="0" w:space="0" w:color="auto"/>
                        <w:right w:val="none" w:sz="0" w:space="0" w:color="auto"/>
                      </w:divBdr>
                      <w:divsChild>
                        <w:div w:id="476069603">
                          <w:marLeft w:val="0"/>
                          <w:marRight w:val="0"/>
                          <w:marTop w:val="0"/>
                          <w:marBottom w:val="0"/>
                          <w:divBdr>
                            <w:top w:val="none" w:sz="0" w:space="0" w:color="auto"/>
                            <w:left w:val="none" w:sz="0" w:space="0" w:color="auto"/>
                            <w:bottom w:val="none" w:sz="0" w:space="0" w:color="auto"/>
                            <w:right w:val="none" w:sz="0" w:space="0" w:color="auto"/>
                          </w:divBdr>
                          <w:divsChild>
                            <w:div w:id="149464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1198452">
          <w:marLeft w:val="-120"/>
          <w:marRight w:val="-300"/>
          <w:marTop w:val="0"/>
          <w:marBottom w:val="0"/>
          <w:divBdr>
            <w:top w:val="none" w:sz="0" w:space="0" w:color="auto"/>
            <w:left w:val="none" w:sz="0" w:space="0" w:color="auto"/>
            <w:bottom w:val="none" w:sz="0" w:space="0" w:color="auto"/>
            <w:right w:val="none" w:sz="0" w:space="0" w:color="auto"/>
          </w:divBdr>
          <w:divsChild>
            <w:div w:id="1103107300">
              <w:marLeft w:val="0"/>
              <w:marRight w:val="0"/>
              <w:marTop w:val="0"/>
              <w:marBottom w:val="0"/>
              <w:divBdr>
                <w:top w:val="none" w:sz="0" w:space="0" w:color="auto"/>
                <w:left w:val="none" w:sz="0" w:space="0" w:color="auto"/>
                <w:bottom w:val="none" w:sz="0" w:space="0" w:color="auto"/>
                <w:right w:val="none" w:sz="0" w:space="0" w:color="auto"/>
              </w:divBdr>
              <w:divsChild>
                <w:div w:id="784275232">
                  <w:marLeft w:val="0"/>
                  <w:marRight w:val="0"/>
                  <w:marTop w:val="0"/>
                  <w:marBottom w:val="0"/>
                  <w:divBdr>
                    <w:top w:val="single" w:sz="6" w:space="4" w:color="E0E4E9"/>
                    <w:left w:val="single" w:sz="6" w:space="3" w:color="E0E4E9"/>
                    <w:bottom w:val="single" w:sz="6" w:space="4" w:color="E0E4E9"/>
                    <w:right w:val="single" w:sz="6" w:space="3" w:color="E0E4E9"/>
                  </w:divBdr>
                </w:div>
              </w:divsChild>
            </w:div>
          </w:divsChild>
        </w:div>
      </w:divsChild>
    </w:div>
    <w:div w:id="1394888047">
      <w:bodyDiv w:val="1"/>
      <w:marLeft w:val="0"/>
      <w:marRight w:val="0"/>
      <w:marTop w:val="0"/>
      <w:marBottom w:val="0"/>
      <w:divBdr>
        <w:top w:val="none" w:sz="0" w:space="0" w:color="auto"/>
        <w:left w:val="none" w:sz="0" w:space="0" w:color="auto"/>
        <w:bottom w:val="none" w:sz="0" w:space="0" w:color="auto"/>
        <w:right w:val="none" w:sz="0" w:space="0" w:color="auto"/>
      </w:divBdr>
    </w:div>
    <w:div w:id="1662001384">
      <w:bodyDiv w:val="1"/>
      <w:marLeft w:val="0"/>
      <w:marRight w:val="0"/>
      <w:marTop w:val="0"/>
      <w:marBottom w:val="0"/>
      <w:divBdr>
        <w:top w:val="none" w:sz="0" w:space="0" w:color="auto"/>
        <w:left w:val="none" w:sz="0" w:space="0" w:color="auto"/>
        <w:bottom w:val="none" w:sz="0" w:space="0" w:color="auto"/>
        <w:right w:val="none" w:sz="0" w:space="0" w:color="auto"/>
      </w:divBdr>
    </w:div>
    <w:div w:id="2140144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fizer.co.uk/products/safety-of-medicines/medicines-regulation" TargetMode="External"/><Relationship Id="rId18" Type="http://schemas.openxmlformats.org/officeDocument/2006/relationships/hyperlink" Target="https://s28.q4cdn.com/781576035/files/doc_financials/2021/ar/PFE-2021-Form-10K-FINAL.pdf%20%20%20%202" TargetMode="External"/><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png"/><Relationship Id="rId12" Type="http://schemas.openxmlformats.org/officeDocument/2006/relationships/hyperlink" Target="https://s28.q4cdn.com/781576035/files/doc_financials/2021/ar/PFE-2021-Form-10K-FINAL.pdf" TargetMode="External"/><Relationship Id="rId17" Type="http://schemas.openxmlformats.org/officeDocument/2006/relationships/hyperlink" Target="https://s28.q4cdn.com/781576035/files/doc_financials/2021/sr/Pfizer-Proxy-2022.pdf" TargetMode="External"/><Relationship Id="rId25" Type="http://schemas.openxmlformats.org/officeDocument/2006/relationships/image" Target="media/image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acrotrends.net/stocks/charts/PFE/pfizer/financial-statements" TargetMode="Externa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fizer.com/about/history" TargetMode="External"/><Relationship Id="rId24" Type="http://schemas.openxmlformats.org/officeDocument/2006/relationships/image" Target="media/image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oecd.org/coronavirus/policy-responses/using-trade-to-fight-covid-19-manufacturing-and-distributing-vaccines-dc0d37fc/"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hyperlink" Target="https://www.pfizer.com/stories/articles" TargetMode="External"/><Relationship Id="rId19" Type="http://schemas.openxmlformats.org/officeDocument/2006/relationships/hyperlink" Target="https://www.researchgate.net/publication/366643338_Driving_Market_Forces_For_COVID-19_Vaccines_Industry_The_Case_Of_The_COMIRNATY_Vaccin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fizer.co.uk/uk-health-system/working-with-nhs-and-other-healthcare-organisations"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3949</Words>
  <Characters>22515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 (2022711)</dc:creator>
  <cp:keywords/>
  <dc:description/>
  <cp:lastModifiedBy>Galina Gancheva (2022711)</cp:lastModifiedBy>
  <cp:revision>2</cp:revision>
  <dcterms:created xsi:type="dcterms:W3CDTF">2023-01-06T23:13:00Z</dcterms:created>
  <dcterms:modified xsi:type="dcterms:W3CDTF">2023-01-06T23:13:00Z</dcterms:modified>
</cp:coreProperties>
</file>