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BMBM4009 - Contemporary Challenges: Making a Difference</w:t>
      </w:r>
    </w:p>
    <w:p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Assignment 2: Group Presentation and Supporting Material 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 group leader should</w:t>
      </w:r>
      <w:r>
        <w:rPr>
          <w:rFonts w:ascii="Arial" w:hAnsi="Arial" w:cs="Arial"/>
          <w:b/>
          <w:bCs/>
        </w:rPr>
        <w:t xml:space="preserve"> submit a link to your group presentation AND a full copy of your group’s supporting materials.</w:t>
      </w:r>
      <w:r>
        <w:rPr>
          <w:rFonts w:ascii="Arial" w:hAnsi="Arial" w:cs="Arial"/>
        </w:rPr>
        <w:t xml:space="preserve"> </w:t>
      </w:r>
    </w:p>
    <w:p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Each member of the group should</w:t>
      </w:r>
      <w:r>
        <w:rPr>
          <w:rFonts w:ascii="Arial" w:hAnsi="Arial" w:cs="Arial"/>
          <w:b/>
          <w:bCs/>
        </w:rPr>
        <w:t xml:space="preserve"> submit an individual statement of contribution to Turnitin</w:t>
      </w:r>
      <w:r>
        <w:rPr>
          <w:rFonts w:ascii="Arial" w:hAnsi="Arial" w:cs="Arial"/>
        </w:rPr>
        <w:t>.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provide the </w:t>
      </w:r>
      <w:r>
        <w:rPr>
          <w:rFonts w:ascii="Arial" w:hAnsi="Arial" w:cs="Arial"/>
          <w:b/>
          <w:bCs/>
        </w:rPr>
        <w:t>link to your Video Presentation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object>
          <v:shape id="_x0000_i1026" o:spt="75" type="#_x0000_t75" style="height:0.05pt;width:0.05pt;" o:ole="t" filled="f" stroked="f" coordsize="21600,21600">
            <v:fill on="f" focussize="0,0"/>
            <v:stroke on="f"/>
            <v:imagedata o:title=""/>
            <o:lock v:ext="edit" aspectratio="t"/>
            <w10:wrap type="none"/>
            <w10:anchorlock/>
          </v:shape>
          <o:OLEObject Type="Embed" ProgID="" ShapeID="_x0000_i1026" DrawAspect="Content" ObjectID="_1468075725" r:id="rId6">
            <o:LockedField>false</o:LockedField>
          </o:OLEObject>
        </w:object>
      </w:r>
      <w:r>
        <w:rPr>
          <w:rFonts w:ascii="Arial" w:hAnsi="Arial" w:cs="Arial"/>
        </w:rPr>
        <w:t>in the box below: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c>
          <w:tcPr>
            <w:tcW w:w="9016" w:type="dxa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lang w:val="en-US" w:eastAsia="zh-CN" w:bidi="ar"/>
              </w:rPr>
              <w:t>https://uowtsd-my.sharepoint.com/:v:/g/personal/2220398_student_uwtsd_ac_uk/EQ7UFwuUWCdJgCf7zK6ebUcBVhJJYUbLYtTWkRsrbhhH7g?e=buYW3m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hint="default" w:ascii="Arial" w:hAnsi="Arial" w:cs="Arial"/>
                <w:lang w:val="en-US"/>
              </w:rPr>
            </w:pPr>
            <w:r>
              <w:rPr>
                <w:rFonts w:hint="default" w:ascii="Arial" w:hAnsi="Arial" w:cs="Arial"/>
                <w:lang w:val="en-US"/>
              </w:rPr>
              <w:object>
                <v:shape id="_x0000_i1025" o:spt="75" type="#_x0000_t75" style="height:0.05pt;width:0.05pt;" o:ole="t" filled="f" stroked="f" coordsize="21600,21600">
                  <v:fill on="f" focussize="0,0"/>
                  <v:stroke on="f"/>
                  <v:imagedata o:title=""/>
                  <o:lock v:ext="edit" aspectratio="t"/>
                  <w10:wrap type="none"/>
                  <w10:anchorlock/>
                </v:shape>
                <o:OLEObject Type="Embed" ProgID="" ShapeID="_x0000_i1025" DrawAspect="Content" ObjectID="_1468075726" r:id="rId7">
                  <o:LockedField>false</o:LockedField>
                </o:OLEObject>
              </w:objec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provide the </w:t>
      </w:r>
      <w:r>
        <w:rPr>
          <w:rFonts w:ascii="Arial" w:hAnsi="Arial" w:cs="Arial"/>
          <w:b/>
          <w:bCs/>
        </w:rPr>
        <w:t>names of the members of your group</w:t>
      </w:r>
      <w:r>
        <w:rPr>
          <w:rFonts w:ascii="Arial" w:hAnsi="Arial" w:cs="Arial"/>
        </w:rPr>
        <w:t xml:space="preserve"> below: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c>
          <w:tcPr>
            <w:tcW w:w="9016" w:type="dxa"/>
          </w:tcPr>
          <w:p>
            <w:pPr>
              <w:spacing w:after="0" w:line="360" w:lineRule="auto"/>
              <w:rPr>
                <w:rFonts w:hint="default" w:ascii="Arial" w:hAnsi="Arial" w:cs="Arial"/>
                <w:lang w:val="en-US"/>
              </w:rPr>
            </w:pPr>
            <w:r>
              <w:rPr>
                <w:rFonts w:hint="default" w:ascii="Arial" w:hAnsi="Arial" w:cs="Arial"/>
                <w:lang w:val="en-US"/>
              </w:rPr>
              <w:t>Mukul Bakkolla 2220398</w:t>
            </w:r>
          </w:p>
          <w:p>
            <w:pPr>
              <w:spacing w:after="0" w:line="360" w:lineRule="auto"/>
              <w:rPr>
                <w:rFonts w:hint="default" w:ascii="Arial" w:hAnsi="Arial" w:cs="Arial"/>
                <w:lang w:val="en-US"/>
              </w:rPr>
            </w:pPr>
            <w:r>
              <w:rPr>
                <w:rFonts w:hint="default" w:ascii="Arial" w:hAnsi="Arial" w:cs="Arial"/>
                <w:lang w:val="en-US"/>
              </w:rPr>
              <w:t>Zaid Pathan Kahn 2220021</w:t>
            </w:r>
          </w:p>
          <w:p>
            <w:pPr>
              <w:spacing w:after="0" w:line="360" w:lineRule="auto"/>
              <w:rPr>
                <w:rFonts w:hint="default" w:ascii="Arial" w:hAnsi="Arial" w:cs="Arial"/>
                <w:lang w:val="en-US"/>
              </w:rPr>
            </w:pPr>
            <w:r>
              <w:rPr>
                <w:rFonts w:hint="default" w:ascii="Arial" w:hAnsi="Arial" w:cs="Arial"/>
                <w:lang w:val="en-US"/>
              </w:rPr>
              <w:t>Vimal Maddichetti 2207918</w:t>
            </w:r>
          </w:p>
          <w:p>
            <w:pPr>
              <w:spacing w:after="0" w:line="360" w:lineRule="auto"/>
              <w:rPr>
                <w:rFonts w:ascii="Arial" w:hAnsi="Arial" w:cs="Arial"/>
              </w:rPr>
            </w:pPr>
          </w:p>
          <w:p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Please complete your statement of contribution below: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 details of your contribution to the presentation AND supporting materials: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hint="default" w:ascii="Arial" w:hAnsi="Arial" w:cs="Arial"/>
                <w:lang w:val="en-US"/>
              </w:rPr>
            </w:pPr>
            <w:r>
              <w:rPr>
                <w:rFonts w:hint="default" w:ascii="Arial" w:hAnsi="Arial" w:cs="Arial"/>
                <w:lang w:val="en-US"/>
              </w:rPr>
              <w:t>My Contribution Was About Prototype and Test.</w:t>
            </w:r>
            <w:bookmarkStart w:id="0" w:name="_GoBack"/>
            <w:bookmarkEnd w:id="0"/>
          </w:p>
          <w:p>
            <w:pPr>
              <w:spacing w:after="0" w:line="240" w:lineRule="auto"/>
              <w:rPr>
                <w:rFonts w:hint="default" w:ascii="Arial" w:hAnsi="Arial" w:cs="Arial"/>
                <w:lang w:val="en-US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To improve recycling and regulate the price of waste disposal at the UWTSD SA1 waterfront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Campus: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 complete awareness campaign should be started to remind instructors, staff and students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about the value of recycling and secure garbage disposal. This will increase their knowledge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and education. In this campaign its important to stress upon the advantages of environment,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economic savings and the role of each person in changing the world. Using plenty of platforms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such as emails, workshops, signs and signage, posters and social media to successfully deliver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the message.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With regards to DRS (Deposit Return system) create a team or committee that will oversee the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implementation of the deposit return method. Create the system's logistics, infrastructure, and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resources, including the collection locations, staff, storage facilities, and accounting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programmes. It is mandatory to upgrade the recycling infrastructure examine the current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facilities and investigate the areas that needs repair. On campus, there should be more recycling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bins, in areas where there is a lot of foot traffic. We should make sure the recycling bins can be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easily differentiated from the garbage bins and have labels that can be read. Consider putting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much recycling bins in strategic locations like beside offices, common areas, and schools.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Assign personnel to supervise the places for collecting items and the return process. Employees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require training on how to accept returns, inspect bottles, and give refunds. Organize clear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processes for handling diverse bottle types and ensuring a consistent refund process. Orderly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monitor the effectiveness and usability of the deposit return system. Obtain data on the quantity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of bottles returned, the rate of recycling, and any issues experienced. Make the required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changes to the system after assessing the data to identify any areas that might require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improvement (Ziouzios and Dasygenis, 2019).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To guarantee effective and successful recycling processes, develop partnerships with nearby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recycling facilities. Occupy the recycling facilities in your area. Initiated regular drop-off or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pickup places for recycling and seek for procedures to make money by selling recycled goods.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We should also make sure that we are creating separate places apart from the regular ones for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items like batteries, electronic garbage and ink cartridges that needs special disposal also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provide collecting stations for these products in conjunction with local or municipal recycling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facilities (Kang &amp; Schoenung, 2005).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Join student organisations and clubs and work with them to create a community that will last.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Encourage students to plan activities, training sessions, and contests that strongly emphasise waste reduction, recycling, and upcycling. Appreciate and acknowledge their efforts to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encourage greater engagement.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Waste Reduction is an important part of the university's waste management strategy. It involves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source reduction, education and awareness, inventory management, donation and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redistribution, reuse, and creative reuse. Source reduction involves reducing packaging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materials, purchasing in bulk, and encouraging digital documents instead of paper. Education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and awareness include raising awareness among staff, students, and the community about the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importance of waste reduction (Hotta &amp; Aoki-Suzuki, 2014). Inventory management involves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monitoring and rotating stock to ensure products are used before their expiration dates (BOSE,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2006).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In the UK, a Process called the On-Pack Recycling Label (OPRL) is frequently used to educate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customers about the recyclable nature of packaging. The purpose of recycling symbols on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packaging is not exactly understood. Students will learn more about the various kinds of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packaging materials and how they must be disposed of by learning about these symbols. The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symbols on these labels denote the ideal way to dispose of the packing material. Students who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understand the symbols will know to dispose packaging waste. By avoiding recyclables from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ending up in landfills and ensuring that they are handled properly, greater recycling practises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may be encouraged. Recycling reduces pollution brought on by the production and disposal of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packaging while preserving resources and energy. If recycling signals are misinterpreted or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disregarded, recycling streams may get polluted. Using non-recyclable components in a batch,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for instance, might contaminate the whole batch and make recycling more challenging.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Education of students about the symbols can reduce contamination by promoting proper sorting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and disposal methods (Benson, 2020).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Recognising things that can be recycled and those cannot, organising events and promoting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awareness of other waste types and how they are bifurcated these awareness campaigns can be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carried out via universities' social media platforms, through the campus information monitors,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as well as having a group of people go into each class and educate the detrimental effects of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waste contamination and raise awareness of the students' wrongdoing, ask them to check the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symbols before disposing of the waste so that they know what kind that is, and place signs in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proper place.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CONCLUSIONA key component of the university's environmental initiatives is waste reduction. Source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reduction, awareness-raising, inventory management, giving and sharing, reusing, and creative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reusing are all part of it. Reducing packaging, buying in bulk, and promoting digital documents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over paper are all examples of source reduction. Raising understanding of the value of waste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reduction among employees, students, and the community is part of education and awareness.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Monitoring and stock rotation are part of inventory management, which makes sure that goods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are used prior to their expiration dates (Hotta &amp; Aoki-Suzuki, 2014).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Donation and redistribution include setting up plans to provide extra or unneeded products to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nearby charities, non-profits, or other university departments. Reuse include promoting the use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of reusable things, providing employees and students with reusable choices, and establishing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reuse centres on campuses (Abdul-Rahman, 2014).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Creative reuse is the process of planning workshops or events to motivate people to upcycle or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repurpose waste materials into new goods. Universities should use waste reduction, reuse, and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recycling techniques to lessen their impact on the environment, save money, and promote a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sustainability culture. These methods may include creative initiatives, do-it-yourself seminars,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or a designated area for producing repurposed things. Create a thorough recycling programme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with criteria outlining what may and cannot be recycled. Recycling of electronic waste: To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ensure safe and ethical disposal, work with certified e-waste recycling firms. Composting of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organic waste: Introduce a composting programme for garbage produced on campuses. Raising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public awareness of recycling Run frequent awareness efforts to inform students about the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value of recycling and correct sorting methods. Participating in recycling partnerships.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Establish partnerships with local recycling facilities or companies to ensure proper disposal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and processing of recyclable materials (Abdul-Rahman, 2014).References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Abdul-Rahman, F. (2014). </w:t>
            </w:r>
            <w:r>
              <w:rPr>
                <w:rFonts w:ascii="TimesNewRomanPS-ItalicMT" w:hAnsi="TimesNewRomanPS-ItalicMT" w:eastAsia="TimesNewRomanPS-ItalicMT" w:cs="TimesNewRomanPS-ItalicMT"/>
                <w:i/>
                <w:i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Reduce, Reuse, Recycle: Alternatives for Waste Management Guide G-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NewRomanPS-ItalicMT" w:hAnsi="TimesNewRomanPS-ItalicMT" w:eastAsia="TimesNewRomanPS-ItalicMT" w:cs="TimesNewRomanPS-ItalicMT"/>
                <w:i/>
                <w:iCs/>
                <w:color w:val="000000"/>
                <w:kern w:val="0"/>
                <w:sz w:val="24"/>
                <w:szCs w:val="24"/>
                <w:lang w:val="en-US" w:eastAsia="zh-CN" w:bidi="ar"/>
              </w:rPr>
              <w:t>314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 xml:space="preserve">https://pubs.nmsu.edu/_g/G314.pdf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Benson, I. (2020). </w:t>
            </w:r>
            <w:r>
              <w:rPr>
                <w:rFonts w:hint="default" w:ascii="TimesNewRomanPS-ItalicMT" w:hAnsi="TimesNewRomanPS-ItalicMT" w:eastAsia="TimesNewRomanPS-ItalicMT" w:cs="TimesNewRomanPS-ItalicMT"/>
                <w:i/>
                <w:iCs/>
                <w:color w:val="000000"/>
                <w:kern w:val="0"/>
                <w:sz w:val="24"/>
                <w:szCs w:val="24"/>
                <w:lang w:val="en-US" w:eastAsia="zh-CN" w:bidi="ar"/>
              </w:rPr>
              <w:t>OPRL launches new labelling rules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. Resource.co. </w:t>
            </w: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>https://resource.co/article/oprl</w:t>
            </w: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 xml:space="preserve">launches-new-labelling-rules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BOSE, D. C. (2006). INVENTORY MANAGEMENT. In </w:t>
            </w:r>
            <w:r>
              <w:rPr>
                <w:rFonts w:hint="default" w:ascii="TimesNewRomanPS-ItalicMT" w:hAnsi="TimesNewRomanPS-ItalicMT" w:eastAsia="TimesNewRomanPS-ItalicMT" w:cs="TimesNewRomanPS-ItalicMT"/>
                <w:i/>
                <w:iCs/>
                <w:color w:val="000000"/>
                <w:kern w:val="0"/>
                <w:sz w:val="24"/>
                <w:szCs w:val="24"/>
                <w:lang w:val="en-US" w:eastAsia="zh-CN" w:bidi="ar"/>
              </w:rPr>
              <w:t>Google Books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. PHI Learning Pvt. Ltd.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>https://books.google.co.uk/books?hl=en&amp;lr=&amp;id=9E146G0f6agC&amp;oi=fnd&amp;pg=PP9&amp;dq=in</w:t>
            </w: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>ventory+management&amp;ots=b8ms7D7_RP&amp;sig=Jm9_MJrOmBEfn7uRMkLwt41m0tY&amp;re</w:t>
            </w: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 xml:space="preserve">dir_esc=y#v=onepage&amp;q=inventory%20management&amp;f=false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Hotta, Y., &amp; Aoki-Suzuki, C. (2014). Waste reduction and recycling initiatives in Japanese cities: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Lessons from Yokohama and Kamakura. </w:t>
            </w:r>
            <w:r>
              <w:rPr>
                <w:rFonts w:hint="default" w:ascii="TimesNewRomanPS-ItalicMT" w:hAnsi="TimesNewRomanPS-ItalicMT" w:eastAsia="TimesNewRomanPS-ItalicMT" w:cs="TimesNewRomanPS-ItalicMT"/>
                <w:i/>
                <w:iCs/>
                <w:color w:val="000000"/>
                <w:kern w:val="0"/>
                <w:sz w:val="24"/>
                <w:szCs w:val="24"/>
                <w:lang w:val="en-US" w:eastAsia="zh-CN" w:bidi="ar"/>
              </w:rPr>
              <w:t>Waste Management &amp; Research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NewRomanPS-ItalicMT" w:hAnsi="TimesNewRomanPS-ItalicMT" w:eastAsia="TimesNewRomanPS-ItalicMT" w:cs="TimesNewRomanPS-ItalicMT"/>
                <w:i/>
                <w:iCs/>
                <w:color w:val="000000"/>
                <w:kern w:val="0"/>
                <w:sz w:val="24"/>
                <w:szCs w:val="24"/>
                <w:lang w:val="en-US" w:eastAsia="zh-CN" w:bidi="ar"/>
              </w:rPr>
              <w:t>32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(9), 857–866.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 xml:space="preserve">https://doi.org/10.1177/0734242x14539721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Kang, H.-Y., &amp; Schoenung, J. M. (2005). Electronic waste recycling: A review of U.S. infrastructure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and technology options. </w:t>
            </w:r>
            <w:r>
              <w:rPr>
                <w:rFonts w:hint="default" w:ascii="TimesNewRomanPS-ItalicMT" w:hAnsi="TimesNewRomanPS-ItalicMT" w:eastAsia="TimesNewRomanPS-ItalicMT" w:cs="TimesNewRomanPS-ItalicMT"/>
                <w:i/>
                <w:iCs/>
                <w:color w:val="000000"/>
                <w:kern w:val="0"/>
                <w:sz w:val="24"/>
                <w:szCs w:val="24"/>
                <w:lang w:val="en-US" w:eastAsia="zh-CN" w:bidi="ar"/>
              </w:rPr>
              <w:t>Resources, Conservation and Recycling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, </w:t>
            </w:r>
            <w:r>
              <w:rPr>
                <w:rFonts w:hint="default" w:ascii="TimesNewRomanPS-ItalicMT" w:hAnsi="TimesNewRomanPS-ItalicMT" w:eastAsia="TimesNewRomanPS-ItalicMT" w:cs="TimesNewRomanPS-ItalicMT"/>
                <w:i/>
                <w:iCs/>
                <w:color w:val="000000"/>
                <w:kern w:val="0"/>
                <w:sz w:val="24"/>
                <w:szCs w:val="24"/>
                <w:lang w:val="en-US" w:eastAsia="zh-CN" w:bidi="ar"/>
              </w:rPr>
              <w:t>45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(4), 368–400.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 xml:space="preserve">https://doi.org/10.1016/j.resconrec.2005.06.001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Ziouzios, D., &amp; Dasygenis, M. (2019, November 1). </w:t>
            </w:r>
            <w:r>
              <w:rPr>
                <w:rFonts w:hint="default" w:ascii="TimesNewRomanPS-ItalicMT" w:hAnsi="TimesNewRomanPS-ItalicMT" w:eastAsia="TimesNewRomanPS-ItalicMT" w:cs="TimesNewRomanPS-ItalicMT"/>
                <w:i/>
                <w:iCs/>
                <w:color w:val="000000"/>
                <w:kern w:val="0"/>
                <w:sz w:val="24"/>
                <w:szCs w:val="24"/>
                <w:lang w:val="en-US" w:eastAsia="zh-CN" w:bidi="ar"/>
              </w:rPr>
              <w:t>A Smart Recycling Bin for Waste Classification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.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IEEE Xplore. </w:t>
            </w:r>
            <w:r>
              <w:rPr>
                <w:rFonts w:hint="default" w:ascii="Times New Roman" w:hAnsi="Times New Roman" w:eastAsia="SimSun" w:cs="Times New Roman"/>
                <w:color w:val="0563C1"/>
                <w:kern w:val="0"/>
                <w:sz w:val="24"/>
                <w:szCs w:val="24"/>
                <w:lang w:val="en-US" w:eastAsia="zh-CN" w:bidi="ar"/>
              </w:rPr>
              <w:t>https://doi.org/10.1109/PACET48583.2019.895</w:t>
            </w:r>
          </w:p>
          <w:p>
            <w:pPr>
              <w:spacing w:after="0" w:line="240" w:lineRule="auto"/>
              <w:rPr>
                <w:rFonts w:hint="default" w:ascii="Arial" w:hAnsi="Arial" w:cs="Arial"/>
                <w:lang w:val="en-US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黑体-简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0"/>
    <w:family w:val="modern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Hiragino Sans GB">
    <w:panose1 w:val="020B0300000000000000"/>
    <w:charset w:val="86"/>
    <w:family w:val="auto"/>
    <w:pitch w:val="default"/>
    <w:sig w:usb0="00000000" w:usb1="00000000" w:usb2="00000000" w:usb3="00000000" w:csb0="0016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28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A0"/>
    <w:rsid w:val="000F7EA5"/>
    <w:rsid w:val="0012734F"/>
    <w:rsid w:val="001C0030"/>
    <w:rsid w:val="001C11D4"/>
    <w:rsid w:val="001F65C6"/>
    <w:rsid w:val="00384652"/>
    <w:rsid w:val="005304A0"/>
    <w:rsid w:val="0067449B"/>
    <w:rsid w:val="00800375"/>
    <w:rsid w:val="008A24D9"/>
    <w:rsid w:val="00B2035D"/>
    <w:rsid w:val="00EB100B"/>
    <w:rsid w:val="7FF90115"/>
    <w:rsid w:val="F7FF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oleObject" Target="embeddings/oleObject2.bin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94</Words>
  <Characters>540</Characters>
  <Lines>4</Lines>
  <Paragraphs>1</Paragraphs>
  <TotalTime>13</TotalTime>
  <ScaleCrop>false</ScaleCrop>
  <LinksUpToDate>false</LinksUpToDate>
  <CharactersWithSpaces>633</CharactersWithSpaces>
  <Application>WPS Office_5.1.0.7912_F1E327BC-269C-435d-A152-05C5408002CA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2023-05-09T13:48:00Z</dcterms:created>
  <dc:creator>Davina Evans</dc:creator>
  <cp:lastModifiedBy>vimalmadishetty</cp:lastModifiedBy>
  <dcterms:modified xsi:type="dcterms:W3CDTF">2023-05-19T23:02:20Z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1033-5.1.0.7912</vt:lpwstr>
  </property>
</Properties>
</file>