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DDECE" w14:textId="03F13489" w:rsidR="00667C59" w:rsidRPr="00667C59" w:rsidRDefault="00667C59" w:rsidP="00667C59">
      <w:pPr>
        <w:jc w:val="center"/>
      </w:pPr>
      <w:r w:rsidRPr="00667C59">
        <w:rPr>
          <w:noProof/>
        </w:rPr>
        <w:drawing>
          <wp:inline distT="0" distB="0" distL="0" distR="0" wp14:anchorId="68140208" wp14:editId="3A986897">
            <wp:extent cx="1619326" cy="640080"/>
            <wp:effectExtent l="0" t="0" r="0" b="7620"/>
            <wp:docPr id="1336559396" name="Picture 1">
              <a:extLst xmlns:a="http://schemas.openxmlformats.org/drawingml/2006/main">
                <a:ext uri="{FF2B5EF4-FFF2-40B4-BE49-F238E27FC236}">
                  <a16:creationId xmlns:a16="http://schemas.microsoft.com/office/drawing/2014/main" id="{1EC31613-7246-4322-8135-D622C7EBD2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19326" cy="640080"/>
                    </a:xfrm>
                    <a:prstGeom prst="rect">
                      <a:avLst/>
                    </a:prstGeom>
                    <a:noFill/>
                    <a:ln>
                      <a:noFill/>
                    </a:ln>
                  </pic:spPr>
                </pic:pic>
              </a:graphicData>
            </a:graphic>
          </wp:inline>
        </w:drawing>
      </w:r>
    </w:p>
    <w:p w14:paraId="4D063BF6" w14:textId="3CE3A0F5" w:rsidR="00667C59" w:rsidRPr="00667C59" w:rsidRDefault="00667C59" w:rsidP="00667C59">
      <w:pPr>
        <w:jc w:val="center"/>
        <w:rPr>
          <w:b/>
          <w:bCs/>
        </w:rPr>
      </w:pPr>
      <w:r w:rsidRPr="00667C59">
        <w:rPr>
          <w:b/>
          <w:bCs/>
        </w:rPr>
        <w:t>Programme: BSc (Hons) Health and Social Care</w:t>
      </w:r>
    </w:p>
    <w:p w14:paraId="44BAE288" w14:textId="77777777" w:rsidR="00667C59" w:rsidRDefault="00667C59" w:rsidP="00667C59">
      <w:pPr>
        <w:jc w:val="center"/>
        <w:rPr>
          <w:b/>
          <w:bCs/>
        </w:rPr>
      </w:pPr>
      <w:r w:rsidRPr="00667C59">
        <w:rPr>
          <w:b/>
          <w:bCs/>
        </w:rPr>
        <w:t>Module: Principles of Health and Social Care Practice</w:t>
      </w:r>
    </w:p>
    <w:p w14:paraId="50915060" w14:textId="078F9B30" w:rsidR="00667C59" w:rsidRPr="00667C59" w:rsidRDefault="00667C59" w:rsidP="00667C59">
      <w:pPr>
        <w:jc w:val="center"/>
        <w:rPr>
          <w:b/>
          <w:bCs/>
        </w:rPr>
      </w:pPr>
      <w:r w:rsidRPr="00667C59">
        <w:rPr>
          <w:b/>
          <w:bCs/>
        </w:rPr>
        <w:t>Student name:</w:t>
      </w:r>
      <w:r w:rsidR="003E1F12">
        <w:rPr>
          <w:b/>
          <w:bCs/>
        </w:rPr>
        <w:t xml:space="preserve"> Teresita Badua Reyes</w:t>
      </w:r>
    </w:p>
    <w:p w14:paraId="71C54BF6" w14:textId="771A2B85" w:rsidR="00667C59" w:rsidRDefault="00667C59" w:rsidP="00667C59">
      <w:pPr>
        <w:jc w:val="center"/>
      </w:pPr>
      <w:r w:rsidRPr="3E5490E7">
        <w:rPr>
          <w:b/>
          <w:bCs/>
        </w:rPr>
        <w:t>Student ID number:</w:t>
      </w:r>
      <w:r w:rsidR="003E1F12" w:rsidRPr="3E5490E7">
        <w:rPr>
          <w:b/>
          <w:bCs/>
        </w:rPr>
        <w:t xml:space="preserve"> 2414276</w:t>
      </w:r>
    </w:p>
    <w:p w14:paraId="060B8D2B" w14:textId="0FA75628" w:rsidR="042AEF22" w:rsidRDefault="042AEF22" w:rsidP="3E5490E7">
      <w:pPr>
        <w:jc w:val="center"/>
      </w:pPr>
      <w:r w:rsidRPr="3E5490E7">
        <w:rPr>
          <w:b/>
          <w:bCs/>
        </w:rPr>
        <w:t>Lecturer: Mark Kane</w:t>
      </w:r>
    </w:p>
    <w:p w14:paraId="5F51274B" w14:textId="77777777" w:rsidR="00667C59" w:rsidRDefault="00667C59" w:rsidP="00667C59">
      <w:pPr>
        <w:jc w:val="center"/>
        <w:rPr>
          <w:b/>
          <w:bCs/>
        </w:rPr>
      </w:pPr>
    </w:p>
    <w:p w14:paraId="64A25F47" w14:textId="77777777" w:rsidR="00667C59" w:rsidRPr="00667C59" w:rsidRDefault="00667C59" w:rsidP="00667C59">
      <w:pPr>
        <w:jc w:val="center"/>
        <w:rPr>
          <w:b/>
          <w:bCs/>
        </w:rPr>
      </w:pPr>
    </w:p>
    <w:p w14:paraId="0D018671" w14:textId="32D58778" w:rsidR="00731EBE" w:rsidRDefault="00731EBE" w:rsidP="00667C59">
      <w:pPr>
        <w:jc w:val="center"/>
      </w:pPr>
      <w:r>
        <w:br w:type="page"/>
      </w:r>
    </w:p>
    <w:p w14:paraId="722294DE" w14:textId="77777777" w:rsidR="00731EBE" w:rsidRPr="00731EBE" w:rsidRDefault="00731EBE" w:rsidP="00731EBE">
      <w:pPr>
        <w:jc w:val="center"/>
        <w:rPr>
          <w:b/>
          <w:bCs/>
          <w:sz w:val="32"/>
          <w:szCs w:val="28"/>
          <w:lang w:val="en-GB"/>
        </w:rPr>
      </w:pPr>
      <w:r w:rsidRPr="00731EBE">
        <w:rPr>
          <w:b/>
          <w:bCs/>
          <w:sz w:val="32"/>
          <w:szCs w:val="28"/>
          <w:lang w:val="en-GB"/>
        </w:rPr>
        <w:t>The Social Model of Disability: Implications for Person-Centred Care in Health and Social Care Policy and Practice</w:t>
      </w:r>
    </w:p>
    <w:p w14:paraId="736D91DC" w14:textId="77777777" w:rsidR="00731EBE" w:rsidRDefault="00731EBE" w:rsidP="00731EBE">
      <w:pPr>
        <w:rPr>
          <w:b/>
          <w:bCs/>
          <w:lang w:val="en-GB"/>
        </w:rPr>
      </w:pPr>
    </w:p>
    <w:p w14:paraId="2576768D" w14:textId="3900433C" w:rsidR="00731EBE" w:rsidRPr="00731EBE" w:rsidRDefault="00731EBE" w:rsidP="00731EBE">
      <w:pPr>
        <w:rPr>
          <w:b/>
          <w:bCs/>
          <w:lang w:val="en-GB"/>
        </w:rPr>
      </w:pPr>
      <w:r w:rsidRPr="00731EBE">
        <w:rPr>
          <w:b/>
          <w:bCs/>
          <w:lang w:val="en-GB"/>
        </w:rPr>
        <w:t xml:space="preserve"> Introduction</w:t>
      </w:r>
      <w:r>
        <w:rPr>
          <w:b/>
          <w:bCs/>
          <w:lang w:val="en-GB"/>
        </w:rPr>
        <w:t xml:space="preserve">: </w:t>
      </w:r>
      <w:r w:rsidRPr="00731EBE">
        <w:rPr>
          <w:lang w:val="en-GB"/>
        </w:rPr>
        <w:t>The idea of the social model of disability is a concept model that changes the way disability is perceived as a medical or personal deficit issue to focus on the societal obstacles and inequalities as the leading disabling agents (Shakespeare, 2017). This model, which emerged in the 1970s because of the activism of the disability rights movement in the United Kingdom, was an opposition to the mainstream medical model which perceived disability as a given impairment which needed to be treated or cured (Oliver, 1990). The social model holds that what causes people to be impaired are structures, physical environments, policies, and attitudes that do not support the diversity in abilities, but not their impairments (Barnes &amp; Mercer, 2010).</w:t>
      </w:r>
    </w:p>
    <w:p w14:paraId="69881AF7" w14:textId="4E179921" w:rsidR="00731EBE" w:rsidRPr="00731EBE" w:rsidRDefault="00731EBE" w:rsidP="00731EBE">
      <w:pPr>
        <w:rPr>
          <w:lang w:val="en-GB"/>
        </w:rPr>
      </w:pPr>
      <w:r w:rsidRPr="00731EBE">
        <w:rPr>
          <w:lang w:val="en-GB"/>
        </w:rPr>
        <w:t xml:space="preserve">The advent of the social model was also inextricably linked with the political activism of the disabled persons in the demand of equality and inclusion, in favor of autonomy, empowerment, and civil rights (Shakespeare, 2013). It has also impacted on legislation, including the Equality Act 2010 in the UK, which requires reasonable accommodations to eliminate obstacles in education, employment, and the services offered to the public (UK Government, 2010). Nonetheless, regardless of its impact, the model has received criticism over its reductionist nature in the light it casts on societal barriers and downplayed effect of individual impairment on the everyday life (Thomas, 2007). Opponents note that it does not take into account the subjective experience of suffering, exhaustion or disability, which are not always addressed through social change (Crow, </w:t>
      </w:r>
      <w:r w:rsidR="00667C59">
        <w:rPr>
          <w:lang w:val="en-GB"/>
        </w:rPr>
        <w:t>2010</w:t>
      </w:r>
      <w:r w:rsidRPr="00731EBE">
        <w:rPr>
          <w:lang w:val="en-GB"/>
        </w:rPr>
        <w:t>). To counter this, other scholars believe in a more integrated method of using both the social and medical standpoint, what is commonly known as the biopsychosocial model (World Health Organization, 2001).</w:t>
      </w:r>
    </w:p>
    <w:p w14:paraId="66A69612" w14:textId="77777777" w:rsidR="00D5161F" w:rsidRPr="00D5161F" w:rsidRDefault="00731EBE" w:rsidP="00D5161F">
      <w:pPr>
        <w:rPr>
          <w:lang w:val="en-GB"/>
        </w:rPr>
      </w:pPr>
      <w:r w:rsidRPr="00D5161F">
        <w:rPr>
          <w:b/>
          <w:bCs/>
          <w:lang w:val="en-GB"/>
        </w:rPr>
        <w:t>Critiques and Development of the Social Model of Disability.:</w:t>
      </w:r>
      <w:r>
        <w:rPr>
          <w:lang w:val="en-GB"/>
        </w:rPr>
        <w:t xml:space="preserve"> </w:t>
      </w:r>
      <w:r w:rsidR="00D5161F" w:rsidRPr="00D5161F">
        <w:rPr>
          <w:lang w:val="en-GB"/>
        </w:rPr>
        <w:t>The social model of disability has been undergoing various decades as a paradigm shift model, which has re-defined disability as a product of the constraints within the society and not the inability of a person. Its origin can be traced back to the activism of the disabled people in United Kingdom in the 1970s, with the disabled people and the advocacy groups trying to solve the exclusionary social practices and policies. The initial attempts, particularly those of Oliver (1990) distinguished the difference between the physical, sensory or cognitive status of an individual that he referred to as impartment and disability that he referred to as the social disadvantage or impairment brought about by the environmental, institutional and attitudinal barriers. This divergence became the centre of the discussion about inclusion, equality and human rights, which influenced policy and became the foundation of the person-centred practice in health and social care (Shakespeare, 2013).</w:t>
      </w:r>
    </w:p>
    <w:p w14:paraId="1FD80D61" w14:textId="77777777" w:rsidR="00D5161F" w:rsidRPr="00D5161F" w:rsidRDefault="00D5161F" w:rsidP="00D5161F">
      <w:pPr>
        <w:rPr>
          <w:lang w:val="en-GB"/>
        </w:rPr>
      </w:pPr>
      <w:r w:rsidRPr="00D5161F">
        <w:rPr>
          <w:lang w:val="en-GB"/>
        </w:rPr>
        <w:t>This social model evolved with time to have more socio-cultural aspects. Recent studies underlined the notion of incorporating intersectional approach and disability is likely to co-exist with other forms of social inequalities, e.g. gender, ethnicity, socioeconomic status and age that amplify marginalisation and marginalisation (Priestley, 2003). This movement highlighted that the issue of disability is not only a study that should examine the physical barriers but the power structures in the society and cultural orientations that continue to cause inequality. The model was also used to change the individual pathology to a model that focused on systemic change by promoting empowerment, advocacy, and inclusion of disability as a societal problem.</w:t>
      </w:r>
    </w:p>
    <w:p w14:paraId="3E85F7BD" w14:textId="77777777" w:rsidR="00D5161F" w:rsidRPr="00D5161F" w:rsidRDefault="00D5161F" w:rsidP="00D5161F">
      <w:pPr>
        <w:rPr>
          <w:lang w:val="en-GB"/>
        </w:rPr>
      </w:pPr>
      <w:r w:rsidRPr="00D5161F">
        <w:rPr>
          <w:lang w:val="en-GB"/>
        </w:rPr>
        <w:t>Despite its strength, the social model has also had its fair share of criticism. Its social construction interest, Thomas (2007) asserts can make shortchange of the lived experiences of persons with chronic illness, pain or progressive situations in which impairment plays a significant role in everyday life and that social change alone is insufficient to change the lived experiences of such persons. Another point made by Crow (2010) is that the model has a risk of solely considering disabled people as victims of oppression and this model may not recognize their agency, coping strategies, and life experiences. Researchers have responded with a push of social relational model, a combination of appreciation of impairment-related experiences and social hindrances. It is an approach that focuses on the relational, contextual and dynamism of the disability which balances between individual realities and structural criticism (Shakespeare and Watson, 2002).</w:t>
      </w:r>
    </w:p>
    <w:p w14:paraId="26737FD4" w14:textId="347DDBA9" w:rsidR="00D5161F" w:rsidRPr="00D5161F" w:rsidRDefault="00D5161F" w:rsidP="00D5161F">
      <w:pPr>
        <w:rPr>
          <w:lang w:val="en-GB"/>
        </w:rPr>
      </w:pPr>
      <w:r w:rsidRPr="00D5161F">
        <w:rPr>
          <w:lang w:val="en-GB"/>
        </w:rPr>
        <w:t>Regarding the history of the social model, it is flexible and could be applied to the contemporary health and social care. The responses to critique and integration of intersectional analysis and the introduction of impairment and social barriers has made the model a strong and complex model towards disability. It provides support to the policy discourse of equality, educates the inclusive service and person-centred care practices, where disability support programs must be both environmental and person-centred in order to be effective.</w:t>
      </w:r>
    </w:p>
    <w:p w14:paraId="5EF2F98B" w14:textId="47457A01" w:rsidR="00731EBE" w:rsidRPr="00731EBE" w:rsidRDefault="00731EBE" w:rsidP="00731EBE">
      <w:pPr>
        <w:rPr>
          <w:b/>
          <w:bCs/>
          <w:lang w:val="en-GB"/>
        </w:rPr>
      </w:pPr>
      <w:r w:rsidRPr="00731EBE">
        <w:rPr>
          <w:b/>
          <w:bCs/>
          <w:lang w:val="en-GB"/>
        </w:rPr>
        <w:t>Application to Health and Social Care Policy and Practice</w:t>
      </w:r>
      <w:r>
        <w:rPr>
          <w:b/>
          <w:bCs/>
          <w:lang w:val="en-GB"/>
        </w:rPr>
        <w:t xml:space="preserve">: </w:t>
      </w:r>
      <w:r w:rsidRPr="00731EBE">
        <w:rPr>
          <w:lang w:val="en-GB"/>
        </w:rPr>
        <w:t>The social model of disability has influenced the health and social care policy and practice significantly, especially in enhancing inclusion, accessibility, and person-centred practice. It is also reflected in policy-making, including the Care Act 2014 in the United Kingdom, which focuses on the individual choice, involvement, and elimination of obstacles to service access (Department of Health &amp; Social Care, 2014). The social model-based policies can help organisations to ensure that they not only focus on the clinical needs of the disabled people but also on the environmental, institutional and societal factors that limit participation. This change of paradigm has resulted in some real-life projects, including affordable housing programs, integrated education programs, assisted employment programs, and community-based interventions aimed to empower disabled individuals and facilitate their independence.</w:t>
      </w:r>
    </w:p>
    <w:p w14:paraId="2A5C401C" w14:textId="693AFC1C" w:rsidR="00731EBE" w:rsidRPr="00731EBE" w:rsidRDefault="00731EBE" w:rsidP="00731EBE">
      <w:pPr>
        <w:rPr>
          <w:lang w:val="en-GB"/>
        </w:rPr>
      </w:pPr>
      <w:r w:rsidRPr="00731EBE">
        <w:rPr>
          <w:lang w:val="en-GB"/>
        </w:rPr>
        <w:t>Practically, health and social care services are adopting the social model to a greater extent using person centred approaches. Care planning has been increasingly putting accessibility, communication support, and preferences of the service users at the forefront of care planning rather than purely at the medical or deficit-related interventions (Glasby, 201</w:t>
      </w:r>
      <w:r w:rsidR="00667C59">
        <w:rPr>
          <w:lang w:val="en-GB"/>
        </w:rPr>
        <w:t>2</w:t>
      </w:r>
      <w:r w:rsidRPr="00731EBE">
        <w:rPr>
          <w:lang w:val="en-GB"/>
        </w:rPr>
        <w:t>). As an example, it is recommended that practitioners should recognize individual needs and modify service delivery, making sure that disabled individuals can take an active part in the process of making the decisions related to their care. These methods acknowledge the significance of lived experience, and the views of service users are considered to be the experts of their own lives (Care Quality Commission, 2022).</w:t>
      </w:r>
    </w:p>
    <w:p w14:paraId="30143A41" w14:textId="77777777" w:rsidR="00731EBE" w:rsidRPr="00731EBE" w:rsidRDefault="00731EBE" w:rsidP="00731EBE">
      <w:pPr>
        <w:rPr>
          <w:lang w:val="en-GB"/>
        </w:rPr>
      </w:pPr>
      <w:r w:rsidRPr="00731EBE">
        <w:rPr>
          <w:lang w:val="en-GB"/>
        </w:rPr>
        <w:t>In spite of all these developments, there are still issues regarding the transformation of social model principles into practice. There are still obstacles in areas of funding, training of workforce and institutional professionalism that is likely to revert to medicalised versions of disability, handling impairment over decent social contact (Shakespeare, 2017). The difficulty of weighing of the needs of an individual and the available resources in the society may also limit implementation to the extent of severe or complex impairment where the support needs are high (Oliver and Barnes, 2012). Also, the intersectional influences, such as poverty, racial disparagement or cultural marginalisation can work together to enhance the exclusion, which creates the necessity of context-sensitive action that would consider the presence of multiple disadvantages (Priestley, 2003).</w:t>
      </w:r>
    </w:p>
    <w:p w14:paraId="3FEF6A24" w14:textId="4471C531" w:rsidR="00731EBE" w:rsidRPr="00731EBE" w:rsidRDefault="00731EBE" w:rsidP="00731EBE">
      <w:pPr>
        <w:rPr>
          <w:lang w:val="en-GB"/>
        </w:rPr>
      </w:pPr>
      <w:r w:rsidRPr="00731EBE">
        <w:rPr>
          <w:lang w:val="en-GB"/>
        </w:rPr>
        <w:t>In general, the focus on the social model as a tool of the health and social care practice shows the potential of the model to transform and its drawbacks. Although it has been effective in setting the direction on policy reforms and inclusive practices, the ultimate implementation demands continuous professional education, allocation of resources and systematic efforts to curb the barriers that recur. The application of the social model principles and the awareness of the needs and impairments peculiarities are needed to provide the equitable and person-oriented care that may empower disabled individuals properly.</w:t>
      </w:r>
    </w:p>
    <w:p w14:paraId="2B6E578F" w14:textId="7D7B17E9" w:rsidR="00D5161F" w:rsidRPr="00D5161F" w:rsidRDefault="00731EBE" w:rsidP="00D5161F">
      <w:pPr>
        <w:rPr>
          <w:lang w:val="en-GB"/>
        </w:rPr>
      </w:pPr>
      <w:r w:rsidRPr="00731EBE">
        <w:rPr>
          <w:b/>
          <w:bCs/>
          <w:lang w:val="en-GB"/>
        </w:rPr>
        <w:t>Policy and practice Recommendations.:</w:t>
      </w:r>
      <w:r w:rsidR="00D5161F">
        <w:rPr>
          <w:lang w:val="en-GB"/>
        </w:rPr>
        <w:t xml:space="preserve"> </w:t>
      </w:r>
      <w:r w:rsidR="00D5161F" w:rsidRPr="00D5161F">
        <w:rPr>
          <w:lang w:val="en-GB"/>
        </w:rPr>
        <w:t>It is possible to adopt a number of interconnected and strategic recommendations that will make the social model of disability more practical in health and social care. First, every health and social care practitioner must be ready to prioritize the provision of integrated interprofessional training. The professionals are to receive constant training regarding the principles of the social model, along with the application of the principles to impairments by individuals. The provided training should be aimed at erasing the barriers created socially as well as the recognition of the experiences of the disabled themselves. Developing awareness of structural, individual challenges, professionals will be capable of developing empathy, professional competence, and even the ability to deliver genuinely personal and inclusive care (Shakespeare, 2017). Second, it should have strong systems of monitoring and evaluation to ensure that policies pledges are made to come into actuality. Governments and organisations should be proactive in monitoring the implementation of the disability-inclusive laws including the accessibility standards and reasonable adjustments to expose the barriers in the system at the early stage and ensure compliance. By having this continuous tracking, policy intention and action would have no gaps and resources and support systems are placed in the right place (Barnes &amp; Mercer, 1996).</w:t>
      </w:r>
    </w:p>
    <w:p w14:paraId="4321E27D" w14:textId="77777777" w:rsidR="00D5161F" w:rsidRPr="00D5161F" w:rsidRDefault="00D5161F" w:rsidP="00D5161F">
      <w:pPr>
        <w:rPr>
          <w:lang w:val="en-GB"/>
        </w:rPr>
      </w:pPr>
      <w:r w:rsidRPr="00D5161F">
        <w:rPr>
          <w:lang w:val="en-GB"/>
        </w:rPr>
        <w:t>Third, it should aim at shared-designing health and social care with disabled individuals. Being involved in the planning, evaluation and decision-making processes enhance the relevance of interventions and enhance their efficacy and empowerment. This engagement strategy recognizes disabled people as the experts in their lives and ensures that the services can be distinguished to accommodate the numerous needs, preferences and aspirations of the population (Glasby, 2012). Fourth, a holistic care model will be introduced through the incorporation of such models as the social-relational or the biopsychosocial model. The interventions that help cross the boundary between the limitations of society and the limitation of an individual provide a versatile and context-dependent care, which considers the structural constraints and the personal experiences and needs. This is achievable to have a more holistic approach to disability in such a way that the services are able to accommodate the environmental constraints as well as the reality of the individual (World Health Organization, 2001; Shakespeare and Watson, 2002).</w:t>
      </w:r>
    </w:p>
    <w:p w14:paraId="29A375A7" w14:textId="05FAB193" w:rsidR="00D5161F" w:rsidRPr="00731EBE" w:rsidRDefault="00D5161F" w:rsidP="00D5161F">
      <w:pPr>
        <w:rPr>
          <w:lang w:val="en-GB"/>
        </w:rPr>
      </w:pPr>
      <w:r w:rsidRPr="00D5161F">
        <w:rPr>
          <w:lang w:val="en-GB"/>
        </w:rPr>
        <w:t>Finally, the policy development must be based on intersectional view, because it is often a known fact that disability usually overlaps other forms of social disadvantage (e.g. gender, ethnicity, and socioeconomic status). These overlapping inequalities can be resolved by the policymakers with the aim of reducing the institutionalized exclusion via health and social care policies that provide a fair access to the services by all individuals (Priestley, 2003). The use of the social model can be further enhanced with the combination of these recommendations and, therefore, with the help of integrated professional training, stringent attention to policy, participatory service design, holistic frameworks, and intersectional policy development, the health and social care services can become more inclusive and people-centred and sensitive to the realities of the lives of the disabled people.</w:t>
      </w:r>
    </w:p>
    <w:p w14:paraId="57E7D2D4" w14:textId="639F2483" w:rsidR="00731EBE" w:rsidRPr="00731EBE" w:rsidRDefault="00731EBE" w:rsidP="00731EBE">
      <w:pPr>
        <w:rPr>
          <w:lang w:val="en-GB"/>
        </w:rPr>
      </w:pPr>
      <w:r w:rsidRPr="00731EBE">
        <w:rPr>
          <w:b/>
          <w:bCs/>
          <w:lang w:val="en-GB"/>
        </w:rPr>
        <w:t>Conclusion</w:t>
      </w:r>
      <w:r>
        <w:rPr>
          <w:lang w:val="en-GB"/>
        </w:rPr>
        <w:t xml:space="preserve">: </w:t>
      </w:r>
      <w:r w:rsidRPr="00731EBE">
        <w:rPr>
          <w:lang w:val="en-GB"/>
        </w:rPr>
        <w:t>The social model of disability has had significant impacts within health and social care as it has redefined disability as a socially constructed event and not individual deficit. Person-centred care is based on its focus on eliminating the barriers in society, advancing self-control, and encouraging inclusion. Although critical, the necessity to acknowledge that impairment-related experiences is a problem that needs to be addressed is evident, though more subtle approaches, including the social relational approach, exist. To be implemented effectively, the health and social care policy and practice should combine the tenets of the social model with the understanding of individual needs, promote a participatory service design, and respond to intersectional inequities. These strategies will make care system more equitable, inclusive and empowering of the disabled.</w:t>
      </w:r>
    </w:p>
    <w:p w14:paraId="20A60C1F" w14:textId="77777777" w:rsidR="00731EBE" w:rsidRDefault="00731EBE">
      <w:pPr>
        <w:widowControl/>
        <w:autoSpaceDE/>
        <w:autoSpaceDN/>
        <w:spacing w:line="360" w:lineRule="auto"/>
        <w:ind w:left="14" w:hanging="14"/>
        <w:jc w:val="center"/>
        <w:rPr>
          <w:b/>
          <w:bCs/>
          <w:lang w:val="en-GB"/>
        </w:rPr>
      </w:pPr>
      <w:r>
        <w:rPr>
          <w:b/>
          <w:bCs/>
          <w:lang w:val="en-GB"/>
        </w:rPr>
        <w:br w:type="page"/>
      </w:r>
    </w:p>
    <w:p w14:paraId="738FF7B0" w14:textId="34D9BFF6" w:rsidR="00731EBE" w:rsidRPr="00090F86" w:rsidRDefault="00731EBE" w:rsidP="00090F86">
      <w:pPr>
        <w:pStyle w:val="Heading1"/>
        <w:jc w:val="center"/>
        <w:rPr>
          <w:b/>
          <w:bCs/>
          <w:lang w:val="en-GB"/>
        </w:rPr>
      </w:pPr>
      <w:r w:rsidRPr="00090F86">
        <w:rPr>
          <w:b/>
          <w:bCs/>
          <w:lang w:val="en-GB"/>
        </w:rPr>
        <w:t>References</w:t>
      </w:r>
    </w:p>
    <w:p w14:paraId="219D7C68" w14:textId="0DC0FC81" w:rsidR="00090F86" w:rsidRPr="00090F86" w:rsidRDefault="00090F86" w:rsidP="00090F86">
      <w:pPr>
        <w:rPr>
          <w:lang w:val="en-GB"/>
        </w:rPr>
      </w:pPr>
      <w:r w:rsidRPr="00090F86">
        <w:rPr>
          <w:lang w:val="en-GB"/>
        </w:rPr>
        <w:t xml:space="preserve">Barnes, C. and Mercer, G. (1996). </w:t>
      </w:r>
      <w:r w:rsidRPr="00090F86">
        <w:rPr>
          <w:i/>
          <w:iCs/>
          <w:lang w:val="en-GB"/>
        </w:rPr>
        <w:t>Exploring the Divide: Illness and Disability Edited by</w:t>
      </w:r>
      <w:r w:rsidRPr="00090F86">
        <w:rPr>
          <w:lang w:val="en-GB"/>
        </w:rPr>
        <w:t xml:space="preserve">. [online] Available at: </w:t>
      </w:r>
      <w:hyperlink r:id="rId6" w:history="1">
        <w:r w:rsidRPr="00090F86">
          <w:rPr>
            <w:rStyle w:val="Hyperlink"/>
            <w:lang w:val="en-GB"/>
          </w:rPr>
          <w:t>https://disability-studies.leeds.ac.uk/wp-content/uploads/sites/40/library/Barnes-exp-the-divide-CONTENTS.pdf</w:t>
        </w:r>
      </w:hyperlink>
      <w:r>
        <w:rPr>
          <w:lang w:val="en-GB"/>
        </w:rPr>
        <w:t xml:space="preserve"> </w:t>
      </w:r>
      <w:r w:rsidRPr="00090F86">
        <w:rPr>
          <w:lang w:val="en-GB"/>
        </w:rPr>
        <w:t xml:space="preserve"> [Accessed 28 Mar. 2026].</w:t>
      </w:r>
    </w:p>
    <w:p w14:paraId="31BA733B" w14:textId="15228B6F" w:rsidR="00090F86" w:rsidRPr="00090F86" w:rsidRDefault="00090F86" w:rsidP="00090F86">
      <w:pPr>
        <w:rPr>
          <w:lang w:val="en-GB"/>
        </w:rPr>
      </w:pPr>
      <w:r w:rsidRPr="00090F86">
        <w:rPr>
          <w:lang w:val="en-GB"/>
        </w:rPr>
        <w:t xml:space="preserve">Barnes, C. and Mercer, G. (2010). </w:t>
      </w:r>
      <w:r w:rsidRPr="00090F86">
        <w:rPr>
          <w:i/>
          <w:iCs/>
          <w:lang w:val="en-GB"/>
        </w:rPr>
        <w:t>Exploring disability : a sociological introduction</w:t>
      </w:r>
      <w:r w:rsidRPr="00090F86">
        <w:rPr>
          <w:lang w:val="en-GB"/>
        </w:rPr>
        <w:t xml:space="preserve">. 2nd ed. [online] Cambridge, Uk ; Malden, Ma: Polity Press. Available at: </w:t>
      </w:r>
      <w:hyperlink r:id="rId7" w:history="1">
        <w:r w:rsidRPr="00090F86">
          <w:rPr>
            <w:rStyle w:val="Hyperlink"/>
            <w:lang w:val="en-GB"/>
          </w:rPr>
          <w:t>https://www.politybooks.com/bookdetail?book_slug=exploring-disability-2nd-edition--9780745634852</w:t>
        </w:r>
      </w:hyperlink>
      <w:r>
        <w:rPr>
          <w:lang w:val="en-GB"/>
        </w:rPr>
        <w:t xml:space="preserve"> </w:t>
      </w:r>
      <w:r w:rsidRPr="00090F86">
        <w:rPr>
          <w:lang w:val="en-GB"/>
        </w:rPr>
        <w:t xml:space="preserve"> [Accessed 28 Mar. 2026].</w:t>
      </w:r>
    </w:p>
    <w:p w14:paraId="58E362EB" w14:textId="506B55CE" w:rsidR="00090F86" w:rsidRPr="00090F86" w:rsidRDefault="00090F86" w:rsidP="00090F86">
      <w:pPr>
        <w:rPr>
          <w:lang w:val="en-GB"/>
        </w:rPr>
      </w:pPr>
      <w:r w:rsidRPr="00090F86">
        <w:rPr>
          <w:lang w:val="en-GB"/>
        </w:rPr>
        <w:t xml:space="preserve">Care Quality Commission (2022). </w:t>
      </w:r>
      <w:r w:rsidRPr="00090F86">
        <w:rPr>
          <w:i/>
          <w:iCs/>
          <w:lang w:val="en-GB"/>
        </w:rPr>
        <w:t>Person-centred care - Care Quality Commission</w:t>
      </w:r>
      <w:r w:rsidRPr="00090F86">
        <w:rPr>
          <w:lang w:val="en-GB"/>
        </w:rPr>
        <w:t xml:space="preserve">. [online] www.cqc.org.uk. Available at: </w:t>
      </w:r>
      <w:hyperlink r:id="rId8" w:history="1">
        <w:r w:rsidRPr="00090F86">
          <w:rPr>
            <w:rStyle w:val="Hyperlink"/>
            <w:lang w:val="en-GB"/>
          </w:rPr>
          <w:t>https://www.cqc.org.uk/guidance-providers/adult-social-care/person-centred-care</w:t>
        </w:r>
      </w:hyperlink>
      <w:r>
        <w:rPr>
          <w:lang w:val="en-GB"/>
        </w:rPr>
        <w:t xml:space="preserve"> </w:t>
      </w:r>
      <w:r w:rsidRPr="00090F86">
        <w:rPr>
          <w:lang w:val="en-GB"/>
        </w:rPr>
        <w:t xml:space="preserve"> [Accessed 28 Mar. 2026].</w:t>
      </w:r>
    </w:p>
    <w:p w14:paraId="2656ABF6" w14:textId="7E8B8891" w:rsidR="00090F86" w:rsidRPr="00090F86" w:rsidRDefault="00090F86" w:rsidP="00090F86">
      <w:pPr>
        <w:rPr>
          <w:lang w:val="en-GB"/>
        </w:rPr>
      </w:pPr>
      <w:r w:rsidRPr="00090F86">
        <w:rPr>
          <w:lang w:val="en-GB"/>
        </w:rPr>
        <w:t>Crow, L. (2010). Including all of our lives: Renewing the social model of disability. pp.136–152. doi:</w:t>
      </w:r>
      <w:r>
        <w:rPr>
          <w:lang w:val="en-GB"/>
        </w:rPr>
        <w:t xml:space="preserve"> </w:t>
      </w:r>
      <w:hyperlink r:id="rId9" w:history="1">
        <w:r w:rsidRPr="00090F86">
          <w:rPr>
            <w:rStyle w:val="Hyperlink"/>
            <w:lang w:val="en-GB"/>
          </w:rPr>
          <w:t>https://doi.org/10.4324/9780203839782-15</w:t>
        </w:r>
      </w:hyperlink>
      <w:r>
        <w:rPr>
          <w:lang w:val="en-GB"/>
        </w:rPr>
        <w:t xml:space="preserve"> </w:t>
      </w:r>
      <w:r w:rsidRPr="00090F86">
        <w:rPr>
          <w:lang w:val="en-GB"/>
        </w:rPr>
        <w:t>.</w:t>
      </w:r>
    </w:p>
    <w:p w14:paraId="660FC6FE" w14:textId="31FD8B0B" w:rsidR="00090F86" w:rsidRPr="00090F86" w:rsidRDefault="00090F86" w:rsidP="00090F86">
      <w:pPr>
        <w:rPr>
          <w:lang w:val="en-GB"/>
        </w:rPr>
      </w:pPr>
      <w:r w:rsidRPr="00090F86">
        <w:rPr>
          <w:lang w:val="en-GB"/>
        </w:rPr>
        <w:t xml:space="preserve">Department of Health and Social Care (2014). </w:t>
      </w:r>
      <w:r w:rsidRPr="00090F86">
        <w:rPr>
          <w:i/>
          <w:iCs/>
          <w:lang w:val="en-GB"/>
        </w:rPr>
        <w:t>Care Act 2014: supporting implementation</w:t>
      </w:r>
      <w:r w:rsidRPr="00090F86">
        <w:rPr>
          <w:lang w:val="en-GB"/>
        </w:rPr>
        <w:t xml:space="preserve">. [online] GOV.UK. Available at: </w:t>
      </w:r>
      <w:hyperlink r:id="rId10" w:history="1">
        <w:r w:rsidRPr="00090F86">
          <w:rPr>
            <w:rStyle w:val="Hyperlink"/>
            <w:lang w:val="en-GB"/>
          </w:rPr>
          <w:t>https://www.gov.uk/government/publications/care-act-statutory-guidance</w:t>
        </w:r>
      </w:hyperlink>
      <w:r>
        <w:rPr>
          <w:lang w:val="en-GB"/>
        </w:rPr>
        <w:t xml:space="preserve"> </w:t>
      </w:r>
      <w:r w:rsidRPr="00090F86">
        <w:rPr>
          <w:lang w:val="en-GB"/>
        </w:rPr>
        <w:t xml:space="preserve"> [Accessed 28 Mar. 2026].</w:t>
      </w:r>
    </w:p>
    <w:p w14:paraId="0651FB2F" w14:textId="1E27F735" w:rsidR="00090F86" w:rsidRPr="00090F86" w:rsidRDefault="00090F86" w:rsidP="00090F86">
      <w:pPr>
        <w:rPr>
          <w:lang w:val="en-GB"/>
        </w:rPr>
      </w:pPr>
      <w:r w:rsidRPr="00090F86">
        <w:rPr>
          <w:lang w:val="en-GB"/>
        </w:rPr>
        <w:t xml:space="preserve">Glasby, J. (2012). </w:t>
      </w:r>
      <w:r w:rsidRPr="00090F86">
        <w:rPr>
          <w:i/>
          <w:iCs/>
          <w:lang w:val="en-GB"/>
        </w:rPr>
        <w:t>UNDERSTANDING HEALTH AND SOCIAL CARE Second Edition 2</w:t>
      </w:r>
      <w:r w:rsidRPr="00090F86">
        <w:rPr>
          <w:lang w:val="en-GB"/>
        </w:rPr>
        <w:t xml:space="preserve">. [online] Available at: </w:t>
      </w:r>
      <w:hyperlink r:id="rId11" w:history="1">
        <w:r w:rsidRPr="00090F86">
          <w:rPr>
            <w:rStyle w:val="Hyperlink"/>
            <w:lang w:val="en-GB"/>
          </w:rPr>
          <w:t>https://cmls.org.uk/online/wp-content/uploads/2019/07/Understanding-health-and-social-care.pdf</w:t>
        </w:r>
      </w:hyperlink>
      <w:r>
        <w:rPr>
          <w:lang w:val="en-GB"/>
        </w:rPr>
        <w:t xml:space="preserve"> </w:t>
      </w:r>
      <w:r w:rsidRPr="00090F86">
        <w:rPr>
          <w:lang w:val="en-GB"/>
        </w:rPr>
        <w:t xml:space="preserve"> [Accessed 28 Mar. 2026].</w:t>
      </w:r>
    </w:p>
    <w:p w14:paraId="121DE5B0" w14:textId="321E7C0C" w:rsidR="00090F86" w:rsidRPr="00090F86" w:rsidRDefault="00090F86" w:rsidP="00090F86">
      <w:pPr>
        <w:rPr>
          <w:lang w:val="en-GB"/>
        </w:rPr>
      </w:pPr>
      <w:r w:rsidRPr="00090F86">
        <w:rPr>
          <w:lang w:val="en-GB"/>
        </w:rPr>
        <w:t xml:space="preserve">Oliver, M. (1990). </w:t>
      </w:r>
      <w:r w:rsidRPr="00090F86">
        <w:rPr>
          <w:i/>
          <w:iCs/>
          <w:lang w:val="en-GB"/>
        </w:rPr>
        <w:t>The Politics of Disablement</w:t>
      </w:r>
      <w:r w:rsidRPr="00090F86">
        <w:rPr>
          <w:lang w:val="en-GB"/>
        </w:rPr>
        <w:t>. [online] London: Macmillan Education UK. doi:</w:t>
      </w:r>
      <w:r>
        <w:rPr>
          <w:lang w:val="en-GB"/>
        </w:rPr>
        <w:t xml:space="preserve"> </w:t>
      </w:r>
      <w:hyperlink r:id="rId12" w:history="1">
        <w:r w:rsidRPr="00090F86">
          <w:rPr>
            <w:rStyle w:val="Hyperlink"/>
            <w:lang w:val="en-GB"/>
          </w:rPr>
          <w:t>https://doi.org/10.1007/978-1-349-20895-1</w:t>
        </w:r>
      </w:hyperlink>
      <w:r>
        <w:rPr>
          <w:lang w:val="en-GB"/>
        </w:rPr>
        <w:t xml:space="preserve"> </w:t>
      </w:r>
      <w:r w:rsidRPr="00090F86">
        <w:rPr>
          <w:lang w:val="en-GB"/>
        </w:rPr>
        <w:t>.</w:t>
      </w:r>
    </w:p>
    <w:p w14:paraId="2001397A" w14:textId="5E341F81" w:rsidR="00090F86" w:rsidRPr="00090F86" w:rsidRDefault="00090F86" w:rsidP="00090F86">
      <w:pPr>
        <w:rPr>
          <w:lang w:val="en-GB"/>
        </w:rPr>
      </w:pPr>
      <w:r w:rsidRPr="00090F86">
        <w:rPr>
          <w:lang w:val="en-GB"/>
        </w:rPr>
        <w:t xml:space="preserve">Oliver, M. and Barnes, C. (2012). </w:t>
      </w:r>
      <w:r w:rsidRPr="00090F86">
        <w:rPr>
          <w:i/>
          <w:iCs/>
          <w:lang w:val="en-GB"/>
        </w:rPr>
        <w:t>The new politics of disablement</w:t>
      </w:r>
      <w:r w:rsidRPr="00090F86">
        <w:rPr>
          <w:lang w:val="en-GB"/>
        </w:rPr>
        <w:t xml:space="preserve">. [online] Houndmills, Uk: Palgrave Macmillan. Available at: </w:t>
      </w:r>
      <w:hyperlink r:id="rId13" w:history="1">
        <w:r w:rsidRPr="00090F86">
          <w:rPr>
            <w:rStyle w:val="Hyperlink"/>
            <w:lang w:val="en-GB"/>
          </w:rPr>
          <w:t>https://www.bloomsbury.com/uk/new-politics-of-disablement-9780333945674/</w:t>
        </w:r>
      </w:hyperlink>
      <w:r>
        <w:rPr>
          <w:lang w:val="en-GB"/>
        </w:rPr>
        <w:t xml:space="preserve"> </w:t>
      </w:r>
      <w:r w:rsidRPr="00090F86">
        <w:rPr>
          <w:lang w:val="en-GB"/>
        </w:rPr>
        <w:t xml:space="preserve"> [Accessed 28 Mar. 2026].</w:t>
      </w:r>
    </w:p>
    <w:p w14:paraId="6A06BB0F" w14:textId="28D55C25" w:rsidR="00090F86" w:rsidRPr="00090F86" w:rsidRDefault="00090F86" w:rsidP="00090F86">
      <w:pPr>
        <w:rPr>
          <w:lang w:val="en-GB"/>
        </w:rPr>
      </w:pPr>
      <w:r w:rsidRPr="00090F86">
        <w:rPr>
          <w:lang w:val="en-GB"/>
        </w:rPr>
        <w:t xml:space="preserve">Priestley, M. (2003). </w:t>
      </w:r>
      <w:r w:rsidRPr="00090F86">
        <w:rPr>
          <w:i/>
          <w:iCs/>
          <w:lang w:val="en-GB"/>
        </w:rPr>
        <w:t>Disability : a life course approach</w:t>
      </w:r>
      <w:r w:rsidRPr="00090F86">
        <w:rPr>
          <w:lang w:val="en-GB"/>
        </w:rPr>
        <w:t xml:space="preserve">. [online] Cambridge: Polity Pr. Available at: </w:t>
      </w:r>
      <w:hyperlink r:id="rId14" w:history="1">
        <w:r w:rsidRPr="00090F86">
          <w:rPr>
            <w:rStyle w:val="Hyperlink"/>
            <w:lang w:val="en-GB"/>
          </w:rPr>
          <w:t>https://www.wiley.com/en-us/Disability%3A+A+Life+Course+Approach-p-9780745625133</w:t>
        </w:r>
      </w:hyperlink>
      <w:r>
        <w:rPr>
          <w:lang w:val="en-GB"/>
        </w:rPr>
        <w:t xml:space="preserve"> </w:t>
      </w:r>
      <w:r w:rsidRPr="00090F86">
        <w:rPr>
          <w:lang w:val="en-GB"/>
        </w:rPr>
        <w:t xml:space="preserve"> [Accessed 28 Mar. 2026].</w:t>
      </w:r>
    </w:p>
    <w:p w14:paraId="1F432211" w14:textId="4CE6DD7D" w:rsidR="00090F86" w:rsidRPr="00090F86" w:rsidRDefault="00090F86" w:rsidP="00090F86">
      <w:pPr>
        <w:rPr>
          <w:lang w:val="en-GB"/>
        </w:rPr>
      </w:pPr>
      <w:r w:rsidRPr="00090F86">
        <w:rPr>
          <w:lang w:val="en-GB"/>
        </w:rPr>
        <w:t xml:space="preserve">Shakespeare, T. (2013). </w:t>
      </w:r>
      <w:r w:rsidRPr="00090F86">
        <w:rPr>
          <w:i/>
          <w:iCs/>
          <w:lang w:val="en-GB"/>
        </w:rPr>
        <w:t>Disability Rights and Wrongs Revisited</w:t>
      </w:r>
      <w:r w:rsidRPr="00090F86">
        <w:rPr>
          <w:lang w:val="en-GB"/>
        </w:rPr>
        <w:t>. [online] Routledge. doi:</w:t>
      </w:r>
      <w:r>
        <w:rPr>
          <w:lang w:val="en-GB"/>
        </w:rPr>
        <w:t xml:space="preserve"> </w:t>
      </w:r>
      <w:hyperlink r:id="rId15" w:history="1">
        <w:r w:rsidRPr="00090F86">
          <w:rPr>
            <w:rStyle w:val="Hyperlink"/>
            <w:lang w:val="en-GB"/>
          </w:rPr>
          <w:t>https://doi.org/10.4324/9781315887456</w:t>
        </w:r>
      </w:hyperlink>
      <w:r>
        <w:rPr>
          <w:lang w:val="en-GB"/>
        </w:rPr>
        <w:t xml:space="preserve"> </w:t>
      </w:r>
      <w:r w:rsidRPr="00090F86">
        <w:rPr>
          <w:lang w:val="en-GB"/>
        </w:rPr>
        <w:t>.</w:t>
      </w:r>
    </w:p>
    <w:p w14:paraId="6D7EA410" w14:textId="19AF1314" w:rsidR="00090F86" w:rsidRPr="00090F86" w:rsidRDefault="00090F86" w:rsidP="00090F86">
      <w:pPr>
        <w:rPr>
          <w:lang w:val="en-GB"/>
        </w:rPr>
      </w:pPr>
      <w:r w:rsidRPr="00090F86">
        <w:rPr>
          <w:lang w:val="en-GB"/>
        </w:rPr>
        <w:t xml:space="preserve">Shakespeare, T. (2017). Disability. </w:t>
      </w:r>
      <w:r w:rsidRPr="00090F86">
        <w:rPr>
          <w:i/>
          <w:iCs/>
          <w:lang w:val="en-GB"/>
        </w:rPr>
        <w:t>Disability: The Basics</w:t>
      </w:r>
      <w:r w:rsidRPr="00090F86">
        <w:rPr>
          <w:lang w:val="en-GB"/>
        </w:rPr>
        <w:t>. doi:</w:t>
      </w:r>
      <w:r>
        <w:rPr>
          <w:lang w:val="en-GB"/>
        </w:rPr>
        <w:t xml:space="preserve"> </w:t>
      </w:r>
      <w:hyperlink r:id="rId16" w:history="1">
        <w:r w:rsidRPr="00090F86">
          <w:rPr>
            <w:rStyle w:val="Hyperlink"/>
            <w:lang w:val="en-GB"/>
          </w:rPr>
          <w:t>https://doi.org/10.4324/9781315624839</w:t>
        </w:r>
      </w:hyperlink>
      <w:r>
        <w:rPr>
          <w:lang w:val="en-GB"/>
        </w:rPr>
        <w:t xml:space="preserve"> </w:t>
      </w:r>
      <w:r w:rsidRPr="00090F86">
        <w:rPr>
          <w:lang w:val="en-GB"/>
        </w:rPr>
        <w:t>.</w:t>
      </w:r>
    </w:p>
    <w:p w14:paraId="2E68FB5D" w14:textId="113D5D0E" w:rsidR="00090F86" w:rsidRPr="00090F86" w:rsidRDefault="00090F86" w:rsidP="00090F86">
      <w:pPr>
        <w:rPr>
          <w:lang w:val="en-GB"/>
        </w:rPr>
      </w:pPr>
      <w:r w:rsidRPr="00090F86">
        <w:rPr>
          <w:lang w:val="en-GB"/>
        </w:rPr>
        <w:t xml:space="preserve">Shakespeare, T. and Watson, N. (2002). The social model of disability: an outdated ideology? </w:t>
      </w:r>
      <w:r w:rsidRPr="00090F86">
        <w:rPr>
          <w:i/>
          <w:iCs/>
          <w:lang w:val="en-GB"/>
        </w:rPr>
        <w:t>Journal 'Research in Social Science and Disability</w:t>
      </w:r>
      <w:r w:rsidRPr="00090F86">
        <w:rPr>
          <w:lang w:val="en-GB"/>
        </w:rPr>
        <w:t xml:space="preserve">, [online] 2, pp.9–28. Available at: </w:t>
      </w:r>
      <w:hyperlink r:id="rId17" w:history="1">
        <w:r w:rsidRPr="00090F86">
          <w:rPr>
            <w:rStyle w:val="Hyperlink"/>
            <w:lang w:val="en-GB"/>
          </w:rPr>
          <w:t>https://disability-studies.leeds.ac.uk/wp-content/uploads/sites/40/library/Shakespeare-social-model-of-disability.pdf</w:t>
        </w:r>
      </w:hyperlink>
      <w:r>
        <w:rPr>
          <w:lang w:val="en-GB"/>
        </w:rPr>
        <w:t xml:space="preserve"> </w:t>
      </w:r>
      <w:r w:rsidRPr="00090F86">
        <w:rPr>
          <w:lang w:val="en-GB"/>
        </w:rPr>
        <w:t xml:space="preserve"> [Accessed 28 Mar. 2026].</w:t>
      </w:r>
    </w:p>
    <w:p w14:paraId="0C7FFAE0" w14:textId="4349141E" w:rsidR="00090F86" w:rsidRPr="00090F86" w:rsidRDefault="00090F86" w:rsidP="00090F86">
      <w:pPr>
        <w:rPr>
          <w:lang w:val="en-GB"/>
        </w:rPr>
      </w:pPr>
      <w:r w:rsidRPr="00090F86">
        <w:rPr>
          <w:lang w:val="en-GB"/>
        </w:rPr>
        <w:t xml:space="preserve">Thomas, C. (2017). </w:t>
      </w:r>
      <w:r w:rsidRPr="00090F86">
        <w:rPr>
          <w:i/>
          <w:iCs/>
          <w:lang w:val="en-GB"/>
        </w:rPr>
        <w:t>Sociologies of Disability and Illness</w:t>
      </w:r>
      <w:r w:rsidRPr="00090F86">
        <w:rPr>
          <w:lang w:val="en-GB"/>
        </w:rPr>
        <w:t xml:space="preserve">. [online] Google Books. Available at: </w:t>
      </w:r>
      <w:hyperlink r:id="rId18" w:history="1">
        <w:r w:rsidRPr="00090F86">
          <w:rPr>
            <w:rStyle w:val="Hyperlink"/>
            <w:lang w:val="en-GB"/>
          </w:rPr>
          <w:t>https://books.google.com/books/about/Sociologies_of_Disability_and_Illness.html?id=RCBHEAAAQBAJ</w:t>
        </w:r>
      </w:hyperlink>
      <w:r>
        <w:rPr>
          <w:lang w:val="en-GB"/>
        </w:rPr>
        <w:t xml:space="preserve"> </w:t>
      </w:r>
      <w:r w:rsidRPr="00090F86">
        <w:rPr>
          <w:lang w:val="en-GB"/>
        </w:rPr>
        <w:t xml:space="preserve"> [Accessed 28 Mar. 2026].</w:t>
      </w:r>
    </w:p>
    <w:p w14:paraId="24C81FEB" w14:textId="30D2B633" w:rsidR="00090F86" w:rsidRPr="00090F86" w:rsidRDefault="00090F86" w:rsidP="00090F86">
      <w:pPr>
        <w:rPr>
          <w:lang w:val="en-GB"/>
        </w:rPr>
      </w:pPr>
      <w:r w:rsidRPr="00090F86">
        <w:rPr>
          <w:lang w:val="en-GB"/>
        </w:rPr>
        <w:t xml:space="preserve">UK Government (2010). </w:t>
      </w:r>
      <w:r w:rsidRPr="00090F86">
        <w:rPr>
          <w:i/>
          <w:iCs/>
          <w:lang w:val="en-GB"/>
        </w:rPr>
        <w:t>Equality Act 2010</w:t>
      </w:r>
      <w:r w:rsidRPr="00090F86">
        <w:rPr>
          <w:lang w:val="en-GB"/>
        </w:rPr>
        <w:t xml:space="preserve">. [online] Legislation.gov.uk. Available at: </w:t>
      </w:r>
      <w:hyperlink r:id="rId19" w:history="1">
        <w:r w:rsidRPr="00090F86">
          <w:rPr>
            <w:rStyle w:val="Hyperlink"/>
            <w:lang w:val="en-GB"/>
          </w:rPr>
          <w:t>https://www.legislation.gov.uk/ukpga/2010/15/contents</w:t>
        </w:r>
      </w:hyperlink>
      <w:r>
        <w:rPr>
          <w:lang w:val="en-GB"/>
        </w:rPr>
        <w:t xml:space="preserve"> </w:t>
      </w:r>
      <w:r w:rsidRPr="00090F86">
        <w:rPr>
          <w:lang w:val="en-GB"/>
        </w:rPr>
        <w:t xml:space="preserve"> [Accessed 28 Mar. 2026].</w:t>
      </w:r>
    </w:p>
    <w:p w14:paraId="2C7D4B38" w14:textId="6307ACBF" w:rsidR="00090F86" w:rsidRPr="00090F86" w:rsidRDefault="00090F86" w:rsidP="00090F86">
      <w:pPr>
        <w:rPr>
          <w:lang w:val="en-GB"/>
        </w:rPr>
      </w:pPr>
      <w:r w:rsidRPr="00090F86">
        <w:rPr>
          <w:lang w:val="en-GB"/>
        </w:rPr>
        <w:t xml:space="preserve">World Health Organisation (2001). </w:t>
      </w:r>
      <w:r w:rsidRPr="00090F86">
        <w:rPr>
          <w:i/>
          <w:iCs/>
          <w:lang w:val="en-GB"/>
        </w:rPr>
        <w:t>International classification of functioning, disability and health (ICF)</w:t>
      </w:r>
      <w:r w:rsidRPr="00090F86">
        <w:rPr>
          <w:lang w:val="en-GB"/>
        </w:rPr>
        <w:t xml:space="preserve">. [online] World Health Organisation. Available at: </w:t>
      </w:r>
      <w:hyperlink r:id="rId20" w:history="1">
        <w:r w:rsidRPr="00090F86">
          <w:rPr>
            <w:rStyle w:val="Hyperlink"/>
            <w:lang w:val="en-GB"/>
          </w:rPr>
          <w:t>https://www.who.int/standards/classifications/international-classification-of-functioning-disability-and-health</w:t>
        </w:r>
      </w:hyperlink>
      <w:r>
        <w:rPr>
          <w:lang w:val="en-GB"/>
        </w:rPr>
        <w:t xml:space="preserve"> </w:t>
      </w:r>
      <w:r w:rsidRPr="00090F86">
        <w:rPr>
          <w:lang w:val="en-GB"/>
        </w:rPr>
        <w:t xml:space="preserve"> [Accessed 28 Mar. 2026].</w:t>
      </w:r>
    </w:p>
    <w:p w14:paraId="31D8CA72" w14:textId="6C9ACAD7" w:rsidR="006F6E41" w:rsidRDefault="006F6E41" w:rsidP="00731EBE"/>
    <w:sectPr w:rsidR="006F6E41" w:rsidSect="00271A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93AD2"/>
    <w:multiLevelType w:val="multilevel"/>
    <w:tmpl w:val="7DA6D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2577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EBE"/>
    <w:rsid w:val="000719D8"/>
    <w:rsid w:val="00090F86"/>
    <w:rsid w:val="000F5BF2"/>
    <w:rsid w:val="00157B81"/>
    <w:rsid w:val="00173AAD"/>
    <w:rsid w:val="001C692C"/>
    <w:rsid w:val="001E3176"/>
    <w:rsid w:val="001E3F18"/>
    <w:rsid w:val="00214B11"/>
    <w:rsid w:val="00242585"/>
    <w:rsid w:val="00271A72"/>
    <w:rsid w:val="002B02CA"/>
    <w:rsid w:val="002C7AB9"/>
    <w:rsid w:val="0032198C"/>
    <w:rsid w:val="00335600"/>
    <w:rsid w:val="003E1F12"/>
    <w:rsid w:val="004041E3"/>
    <w:rsid w:val="004043C4"/>
    <w:rsid w:val="00504EA4"/>
    <w:rsid w:val="0055783E"/>
    <w:rsid w:val="005E6A88"/>
    <w:rsid w:val="00630F8E"/>
    <w:rsid w:val="00667C59"/>
    <w:rsid w:val="006F6E41"/>
    <w:rsid w:val="00731EBE"/>
    <w:rsid w:val="00760F25"/>
    <w:rsid w:val="00835A51"/>
    <w:rsid w:val="0085688C"/>
    <w:rsid w:val="008D1C20"/>
    <w:rsid w:val="00984BF4"/>
    <w:rsid w:val="00B03063"/>
    <w:rsid w:val="00C53162"/>
    <w:rsid w:val="00D5161F"/>
    <w:rsid w:val="00D70591"/>
    <w:rsid w:val="00DD3C9C"/>
    <w:rsid w:val="00DF63CD"/>
    <w:rsid w:val="00E17025"/>
    <w:rsid w:val="00ED3859"/>
    <w:rsid w:val="00F37D0F"/>
    <w:rsid w:val="00F92E9A"/>
    <w:rsid w:val="00FF0365"/>
    <w:rsid w:val="042AEF22"/>
    <w:rsid w:val="0853414F"/>
    <w:rsid w:val="3E5490E7"/>
    <w:rsid w:val="5C29381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CCF808F"/>
  <w15:chartTrackingRefBased/>
  <w15:docId w15:val="{D6F14AEE-0279-4743-AEBC-6DBC24724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8"/>
        <w:lang w:val="en-GB" w:eastAsia="en-GB" w:bidi="bn-IN"/>
        <w14:ligatures w14:val="standardContextual"/>
      </w:rPr>
    </w:rPrDefault>
    <w:pPrDefault>
      <w:pPr>
        <w:spacing w:line="360" w:lineRule="auto"/>
        <w:ind w:left="14" w:hanging="14"/>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BF4"/>
    <w:pPr>
      <w:widowControl w:val="0"/>
      <w:autoSpaceDE w:val="0"/>
      <w:autoSpaceDN w:val="0"/>
      <w:spacing w:line="480" w:lineRule="auto"/>
      <w:ind w:left="0" w:firstLine="0"/>
      <w:jc w:val="both"/>
    </w:pPr>
    <w:rPr>
      <w:rFonts w:ascii="Arial" w:hAnsi="Arial" w:cs="Arial"/>
      <w:sz w:val="24"/>
      <w:szCs w:val="22"/>
      <w:lang w:val="en-US" w:eastAsia="en-US" w:bidi="en-US"/>
      <w14:ligatures w14:val="none"/>
    </w:rPr>
  </w:style>
  <w:style w:type="paragraph" w:styleId="Heading1">
    <w:name w:val="heading 1"/>
    <w:basedOn w:val="Normal"/>
    <w:next w:val="Normal"/>
    <w:link w:val="Heading1Char"/>
    <w:uiPriority w:val="9"/>
    <w:qFormat/>
    <w:rsid w:val="00DD3C9C"/>
    <w:pPr>
      <w:keepNext/>
      <w:keepLines/>
      <w:spacing w:before="24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0F5BF2"/>
    <w:pPr>
      <w:keepNext/>
      <w:keepLines/>
      <w:spacing w:before="40"/>
      <w:outlineLvl w:val="1"/>
    </w:pPr>
    <w:rPr>
      <w:rFonts w:eastAsiaTheme="majorEastAsia" w:cstheme="majorBidi"/>
      <w:color w:val="0F4761" w:themeColor="accent1" w:themeShade="BF"/>
      <w:sz w:val="28"/>
      <w:szCs w:val="26"/>
    </w:rPr>
  </w:style>
  <w:style w:type="paragraph" w:styleId="Heading3">
    <w:name w:val="heading 3"/>
    <w:basedOn w:val="Normal"/>
    <w:next w:val="Normal"/>
    <w:link w:val="Heading3Char"/>
    <w:uiPriority w:val="9"/>
    <w:unhideWhenUsed/>
    <w:qFormat/>
    <w:rsid w:val="00760F25"/>
    <w:pPr>
      <w:keepNext/>
      <w:keepLines/>
      <w:spacing w:before="160" w:after="80" w:line="360" w:lineRule="auto"/>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731EB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31EB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31EB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31EB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31EB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31EB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C9C"/>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0F5BF2"/>
    <w:rPr>
      <w:rFonts w:ascii="Arial" w:eastAsiaTheme="majorEastAsia" w:hAnsi="Arial" w:cstheme="majorBidi"/>
      <w:color w:val="0F4761" w:themeColor="accent1" w:themeShade="BF"/>
      <w:sz w:val="28"/>
      <w:szCs w:val="26"/>
    </w:rPr>
  </w:style>
  <w:style w:type="character" w:customStyle="1" w:styleId="Heading3Char">
    <w:name w:val="Heading 3 Char"/>
    <w:basedOn w:val="DefaultParagraphFont"/>
    <w:link w:val="Heading3"/>
    <w:uiPriority w:val="9"/>
    <w:rsid w:val="00760F25"/>
    <w:rPr>
      <w:rFonts w:ascii="Arial" w:eastAsiaTheme="majorEastAsia" w:hAnsi="Arial" w:cstheme="majorBidi"/>
      <w:color w:val="0F4761" w:themeColor="accent1" w:themeShade="BF"/>
      <w:sz w:val="24"/>
      <w:lang w:val="en-US" w:eastAsia="en-US" w:bidi="en-US"/>
      <w14:ligatures w14:val="none"/>
    </w:rPr>
  </w:style>
  <w:style w:type="character" w:customStyle="1" w:styleId="Heading4Char">
    <w:name w:val="Heading 4 Char"/>
    <w:basedOn w:val="DefaultParagraphFont"/>
    <w:link w:val="Heading4"/>
    <w:uiPriority w:val="9"/>
    <w:semiHidden/>
    <w:rsid w:val="00731EBE"/>
    <w:rPr>
      <w:rFonts w:eastAsiaTheme="majorEastAsia" w:cstheme="majorBidi"/>
      <w:i/>
      <w:iCs/>
      <w:color w:val="0F4761" w:themeColor="accent1" w:themeShade="BF"/>
      <w:sz w:val="24"/>
      <w:szCs w:val="22"/>
      <w:lang w:val="en-US" w:eastAsia="en-US" w:bidi="en-US"/>
      <w14:ligatures w14:val="none"/>
    </w:rPr>
  </w:style>
  <w:style w:type="character" w:customStyle="1" w:styleId="Heading5Char">
    <w:name w:val="Heading 5 Char"/>
    <w:basedOn w:val="DefaultParagraphFont"/>
    <w:link w:val="Heading5"/>
    <w:uiPriority w:val="9"/>
    <w:semiHidden/>
    <w:rsid w:val="00731EBE"/>
    <w:rPr>
      <w:rFonts w:eastAsiaTheme="majorEastAsia" w:cstheme="majorBidi"/>
      <w:color w:val="0F4761" w:themeColor="accent1" w:themeShade="BF"/>
      <w:sz w:val="24"/>
      <w:szCs w:val="22"/>
      <w:lang w:val="en-US" w:eastAsia="en-US" w:bidi="en-US"/>
      <w14:ligatures w14:val="none"/>
    </w:rPr>
  </w:style>
  <w:style w:type="character" w:customStyle="1" w:styleId="Heading6Char">
    <w:name w:val="Heading 6 Char"/>
    <w:basedOn w:val="DefaultParagraphFont"/>
    <w:link w:val="Heading6"/>
    <w:uiPriority w:val="9"/>
    <w:semiHidden/>
    <w:rsid w:val="00731EBE"/>
    <w:rPr>
      <w:rFonts w:eastAsiaTheme="majorEastAsia" w:cstheme="majorBidi"/>
      <w:i/>
      <w:iCs/>
      <w:color w:val="595959" w:themeColor="text1" w:themeTint="A6"/>
      <w:sz w:val="24"/>
      <w:szCs w:val="22"/>
      <w:lang w:val="en-US" w:eastAsia="en-US" w:bidi="en-US"/>
      <w14:ligatures w14:val="none"/>
    </w:rPr>
  </w:style>
  <w:style w:type="character" w:customStyle="1" w:styleId="Heading7Char">
    <w:name w:val="Heading 7 Char"/>
    <w:basedOn w:val="DefaultParagraphFont"/>
    <w:link w:val="Heading7"/>
    <w:uiPriority w:val="9"/>
    <w:semiHidden/>
    <w:rsid w:val="00731EBE"/>
    <w:rPr>
      <w:rFonts w:eastAsiaTheme="majorEastAsia" w:cstheme="majorBidi"/>
      <w:color w:val="595959" w:themeColor="text1" w:themeTint="A6"/>
      <w:sz w:val="24"/>
      <w:szCs w:val="22"/>
      <w:lang w:val="en-US" w:eastAsia="en-US" w:bidi="en-US"/>
      <w14:ligatures w14:val="none"/>
    </w:rPr>
  </w:style>
  <w:style w:type="character" w:customStyle="1" w:styleId="Heading8Char">
    <w:name w:val="Heading 8 Char"/>
    <w:basedOn w:val="DefaultParagraphFont"/>
    <w:link w:val="Heading8"/>
    <w:uiPriority w:val="9"/>
    <w:semiHidden/>
    <w:rsid w:val="00731EBE"/>
    <w:rPr>
      <w:rFonts w:eastAsiaTheme="majorEastAsia" w:cstheme="majorBidi"/>
      <w:i/>
      <w:iCs/>
      <w:color w:val="272727" w:themeColor="text1" w:themeTint="D8"/>
      <w:sz w:val="24"/>
      <w:szCs w:val="22"/>
      <w:lang w:val="en-US" w:eastAsia="en-US" w:bidi="en-US"/>
      <w14:ligatures w14:val="none"/>
    </w:rPr>
  </w:style>
  <w:style w:type="character" w:customStyle="1" w:styleId="Heading9Char">
    <w:name w:val="Heading 9 Char"/>
    <w:basedOn w:val="DefaultParagraphFont"/>
    <w:link w:val="Heading9"/>
    <w:uiPriority w:val="9"/>
    <w:semiHidden/>
    <w:rsid w:val="00731EBE"/>
    <w:rPr>
      <w:rFonts w:eastAsiaTheme="majorEastAsia" w:cstheme="majorBidi"/>
      <w:color w:val="272727" w:themeColor="text1" w:themeTint="D8"/>
      <w:sz w:val="24"/>
      <w:szCs w:val="22"/>
      <w:lang w:val="en-US" w:eastAsia="en-US" w:bidi="en-US"/>
      <w14:ligatures w14:val="none"/>
    </w:rPr>
  </w:style>
  <w:style w:type="paragraph" w:styleId="Title">
    <w:name w:val="Title"/>
    <w:basedOn w:val="Normal"/>
    <w:next w:val="Normal"/>
    <w:link w:val="TitleChar"/>
    <w:uiPriority w:val="10"/>
    <w:qFormat/>
    <w:rsid w:val="00731E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EBE"/>
    <w:rPr>
      <w:rFonts w:asciiTheme="majorHAnsi" w:eastAsiaTheme="majorEastAsia" w:hAnsiTheme="majorHAnsi" w:cstheme="majorBidi"/>
      <w:spacing w:val="-10"/>
      <w:kern w:val="28"/>
      <w:sz w:val="56"/>
      <w:szCs w:val="56"/>
      <w:lang w:val="en-US" w:eastAsia="en-US" w:bidi="en-US"/>
      <w14:ligatures w14:val="none"/>
    </w:rPr>
  </w:style>
  <w:style w:type="paragraph" w:styleId="Subtitle">
    <w:name w:val="Subtitle"/>
    <w:basedOn w:val="Normal"/>
    <w:next w:val="Normal"/>
    <w:link w:val="SubtitleChar"/>
    <w:uiPriority w:val="11"/>
    <w:qFormat/>
    <w:rsid w:val="00731EB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EBE"/>
    <w:rPr>
      <w:rFonts w:eastAsiaTheme="majorEastAsia" w:cstheme="majorBidi"/>
      <w:color w:val="595959" w:themeColor="text1" w:themeTint="A6"/>
      <w:spacing w:val="15"/>
      <w:sz w:val="28"/>
      <w:lang w:val="en-US" w:eastAsia="en-US" w:bidi="en-US"/>
      <w14:ligatures w14:val="none"/>
    </w:rPr>
  </w:style>
  <w:style w:type="paragraph" w:styleId="Quote">
    <w:name w:val="Quote"/>
    <w:basedOn w:val="Normal"/>
    <w:next w:val="Normal"/>
    <w:link w:val="QuoteChar"/>
    <w:uiPriority w:val="29"/>
    <w:qFormat/>
    <w:rsid w:val="00731EB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1EBE"/>
    <w:rPr>
      <w:rFonts w:ascii="Arial" w:hAnsi="Arial" w:cs="Arial"/>
      <w:i/>
      <w:iCs/>
      <w:color w:val="404040" w:themeColor="text1" w:themeTint="BF"/>
      <w:sz w:val="24"/>
      <w:szCs w:val="22"/>
      <w:lang w:val="en-US" w:eastAsia="en-US" w:bidi="en-US"/>
      <w14:ligatures w14:val="none"/>
    </w:rPr>
  </w:style>
  <w:style w:type="paragraph" w:styleId="ListParagraph">
    <w:name w:val="List Paragraph"/>
    <w:basedOn w:val="Normal"/>
    <w:uiPriority w:val="34"/>
    <w:qFormat/>
    <w:rsid w:val="00731EBE"/>
    <w:pPr>
      <w:ind w:left="720"/>
      <w:contextualSpacing/>
    </w:pPr>
  </w:style>
  <w:style w:type="character" w:styleId="IntenseEmphasis">
    <w:name w:val="Intense Emphasis"/>
    <w:basedOn w:val="DefaultParagraphFont"/>
    <w:uiPriority w:val="21"/>
    <w:qFormat/>
    <w:rsid w:val="00731EBE"/>
    <w:rPr>
      <w:i/>
      <w:iCs/>
      <w:color w:val="0F4761" w:themeColor="accent1" w:themeShade="BF"/>
    </w:rPr>
  </w:style>
  <w:style w:type="paragraph" w:styleId="IntenseQuote">
    <w:name w:val="Intense Quote"/>
    <w:basedOn w:val="Normal"/>
    <w:next w:val="Normal"/>
    <w:link w:val="IntenseQuoteChar"/>
    <w:uiPriority w:val="30"/>
    <w:qFormat/>
    <w:rsid w:val="00731E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EBE"/>
    <w:rPr>
      <w:rFonts w:ascii="Arial" w:hAnsi="Arial" w:cs="Arial"/>
      <w:i/>
      <w:iCs/>
      <w:color w:val="0F4761" w:themeColor="accent1" w:themeShade="BF"/>
      <w:sz w:val="24"/>
      <w:szCs w:val="22"/>
      <w:lang w:val="en-US" w:eastAsia="en-US" w:bidi="en-US"/>
      <w14:ligatures w14:val="none"/>
    </w:rPr>
  </w:style>
  <w:style w:type="character" w:styleId="IntenseReference">
    <w:name w:val="Intense Reference"/>
    <w:basedOn w:val="DefaultParagraphFont"/>
    <w:uiPriority w:val="32"/>
    <w:qFormat/>
    <w:rsid w:val="00731EBE"/>
    <w:rPr>
      <w:b/>
      <w:bCs/>
      <w:smallCaps/>
      <w:color w:val="0F4761" w:themeColor="accent1" w:themeShade="BF"/>
      <w:spacing w:val="5"/>
    </w:rPr>
  </w:style>
  <w:style w:type="character" w:styleId="Hyperlink">
    <w:name w:val="Hyperlink"/>
    <w:basedOn w:val="DefaultParagraphFont"/>
    <w:uiPriority w:val="99"/>
    <w:unhideWhenUsed/>
    <w:rsid w:val="00090F86"/>
    <w:rPr>
      <w:color w:val="467886" w:themeColor="hyperlink"/>
      <w:u w:val="single"/>
    </w:rPr>
  </w:style>
  <w:style w:type="character" w:styleId="UnresolvedMention">
    <w:name w:val="Unresolved Mention"/>
    <w:basedOn w:val="DefaultParagraphFont"/>
    <w:uiPriority w:val="99"/>
    <w:semiHidden/>
    <w:unhideWhenUsed/>
    <w:rsid w:val="00090F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adult-social-care/person-centred-care" TargetMode="External"/><Relationship Id="rId13" Type="http://schemas.openxmlformats.org/officeDocument/2006/relationships/hyperlink" Target="https://www.bloomsbury.com/uk/new-politics-of-disablement-9780333945674/" TargetMode="External"/><Relationship Id="rId18" Type="http://schemas.openxmlformats.org/officeDocument/2006/relationships/hyperlink" Target="https://books.google.com/books/about/Sociologies_of_Disability_and_Illness.html?id=RCBHEAAAQBAJ"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politybooks.com/bookdetail?book_slug=exploring-disability-2nd-edition--9780745634852" TargetMode="External"/><Relationship Id="rId12" Type="http://schemas.openxmlformats.org/officeDocument/2006/relationships/hyperlink" Target="https://doi.org/10.1007/978-1-349-20895-1" TargetMode="External"/><Relationship Id="rId17" Type="http://schemas.openxmlformats.org/officeDocument/2006/relationships/hyperlink" Target="https://disability-studies.leeds.ac.uk/wp-content/uploads/sites/40/library/Shakespeare-social-model-of-disability.pdf" TargetMode="External"/><Relationship Id="rId2" Type="http://schemas.openxmlformats.org/officeDocument/2006/relationships/styles" Target="styles.xml"/><Relationship Id="rId16" Type="http://schemas.openxmlformats.org/officeDocument/2006/relationships/hyperlink" Target="https://doi.org/10.4324/9781315624839" TargetMode="External"/><Relationship Id="rId20" Type="http://schemas.openxmlformats.org/officeDocument/2006/relationships/hyperlink" Target="https://www.who.int/standards/classifications/international-classification-of-functioning-disability-and-health" TargetMode="External"/><Relationship Id="rId1" Type="http://schemas.openxmlformats.org/officeDocument/2006/relationships/numbering" Target="numbering.xml"/><Relationship Id="rId6" Type="http://schemas.openxmlformats.org/officeDocument/2006/relationships/hyperlink" Target="https://disability-studies.leeds.ac.uk/wp-content/uploads/sites/40/library/Barnes-exp-the-divide-CONTENTS.pdf" TargetMode="External"/><Relationship Id="rId11" Type="http://schemas.openxmlformats.org/officeDocument/2006/relationships/hyperlink" Target="https://cmls.org.uk/online/wp-content/uploads/2019/07/Understanding-health-and-social-care.pdf" TargetMode="External"/><Relationship Id="rId5" Type="http://schemas.openxmlformats.org/officeDocument/2006/relationships/image" Target="media/image1.emf"/><Relationship Id="rId15" Type="http://schemas.openxmlformats.org/officeDocument/2006/relationships/hyperlink" Target="https://doi.org/10.4324/9781315887456" TargetMode="External"/><Relationship Id="rId10" Type="http://schemas.openxmlformats.org/officeDocument/2006/relationships/hyperlink" Target="https://www.gov.uk/government/publications/care-act-statutory-guidance" TargetMode="External"/><Relationship Id="rId19"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doi.org/10.4324/9780203839782-15" TargetMode="External"/><Relationship Id="rId14" Type="http://schemas.openxmlformats.org/officeDocument/2006/relationships/hyperlink" Target="https://www.wiley.com/en-us/Disability%3A+A+Life+Course+Approach-p-978074562513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Teresita Badua Reyes (2414276)</cp:lastModifiedBy>
  <cp:revision>3</cp:revision>
  <dcterms:created xsi:type="dcterms:W3CDTF">2026-04-08T18:56:00Z</dcterms:created>
  <dcterms:modified xsi:type="dcterms:W3CDTF">2026-04-12T10:14:00Z</dcterms:modified>
</cp:coreProperties>
</file>