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766F2" w14:textId="474C39D7" w:rsidR="00991A2F" w:rsidRPr="00464181" w:rsidRDefault="00000000" w:rsidP="00464181">
      <w:pPr>
        <w:jc w:val="center"/>
        <w:rPr>
          <w:sz w:val="32"/>
          <w:szCs w:val="32"/>
        </w:rPr>
      </w:pPr>
      <w:r w:rsidRPr="00464181">
        <w:rPr>
          <w:sz w:val="32"/>
          <w:szCs w:val="32"/>
        </w:rPr>
        <w:t>Response</w:t>
      </w:r>
      <w:r w:rsidR="00EE44E2" w:rsidRPr="00464181">
        <w:rPr>
          <w:sz w:val="32"/>
          <w:szCs w:val="32"/>
        </w:rPr>
        <w:t xml:space="preserve"> to Discussion paper by 2325315</w:t>
      </w:r>
    </w:p>
    <w:p w14:paraId="4A209813" w14:textId="2D193E9B" w:rsidR="00EE44E2" w:rsidRPr="00464181" w:rsidRDefault="00EE44E2" w:rsidP="00464181">
      <w:pPr>
        <w:pStyle w:val="FootnoteText"/>
        <w:jc w:val="center"/>
        <w:rPr>
          <w:sz w:val="24"/>
          <w:szCs w:val="24"/>
        </w:rPr>
      </w:pPr>
      <w:r w:rsidRPr="00464181">
        <w:rPr>
          <w:sz w:val="24"/>
          <w:szCs w:val="24"/>
        </w:rPr>
        <w:t xml:space="preserve">Is </w:t>
      </w:r>
      <w:r w:rsidRPr="000933A7">
        <w:rPr>
          <w:i/>
          <w:iCs/>
          <w:sz w:val="24"/>
          <w:szCs w:val="24"/>
        </w:rPr>
        <w:t>Heka</w:t>
      </w:r>
      <w:r w:rsidRPr="00464181">
        <w:rPr>
          <w:sz w:val="24"/>
          <w:szCs w:val="24"/>
        </w:rPr>
        <w:t xml:space="preserve"> the Conceptual Core of Ancient Egyptian Religion</w:t>
      </w:r>
    </w:p>
    <w:p w14:paraId="52E50983" w14:textId="77777777" w:rsidR="00991A2F" w:rsidRDefault="00991A2F"/>
    <w:p w14:paraId="37AAB7E3" w14:textId="631A62B2" w:rsidR="00991A2F" w:rsidRDefault="00000000">
      <w:r>
        <w:t xml:space="preserve">My </w:t>
      </w:r>
      <w:r w:rsidR="000933A7">
        <w:t xml:space="preserve">basic </w:t>
      </w:r>
      <w:r>
        <w:t>response is very simple: Yes!</w:t>
      </w:r>
    </w:p>
    <w:p w14:paraId="2B5D5C61" w14:textId="77777777" w:rsidR="00991A2F" w:rsidRDefault="00991A2F"/>
    <w:p w14:paraId="37ADB1B5" w14:textId="3E900888" w:rsidR="00991A2F" w:rsidRDefault="00000000">
      <w:r>
        <w:t xml:space="preserve">Ove my years of involvement with modern Paganism, I have encountered a great deal of talk about 'magic'. For the most part, I think this has been twaddle, on the lines of "Spells for Teenage Witches". What I think folk really are interested in, but do not have adequate words or concepts to deal with, is something like: not 'magic' but 'The Magic', </w:t>
      </w:r>
      <w:r w:rsidR="000933A7">
        <w:t>by which I mean</w:t>
      </w:r>
      <w:r>
        <w:t xml:space="preserve"> the immanent pattern or structure of the universe</w:t>
      </w:r>
      <w:r w:rsidR="000933A7">
        <w:t xml:space="preserve">. I see </w:t>
      </w:r>
      <w:r w:rsidR="000933A7" w:rsidRPr="000933A7">
        <w:rPr>
          <w:i/>
          <w:iCs/>
        </w:rPr>
        <w:t>Heka</w:t>
      </w:r>
      <w:r w:rsidR="000933A7">
        <w:t xml:space="preserve"> as </w:t>
      </w:r>
      <w:r>
        <w:t xml:space="preserve">one part </w:t>
      </w:r>
      <w:r w:rsidR="000933A7">
        <w:t>this.</w:t>
      </w:r>
      <w:r>
        <w:t xml:space="preserve"> So when we, for example, greet the sunrise at Solstice or any other day (in Wales of course, skies are so often grey that to witness that is a bit of a rarity!) we know perfectly well that the Earth's rotation has turned the </w:t>
      </w:r>
      <w:r w:rsidR="000933A7">
        <w:t xml:space="preserve">place </w:t>
      </w:r>
      <w:r>
        <w:t>where we stand into the light, but we actually honour the immanent patterns that make all this happen to us at that moment</w:t>
      </w:r>
    </w:p>
    <w:p w14:paraId="1D8736A3" w14:textId="77777777" w:rsidR="00991A2F" w:rsidRDefault="00991A2F"/>
    <w:p w14:paraId="6747C26F" w14:textId="77777777" w:rsidR="00991A2F" w:rsidRDefault="00000000">
      <w:r>
        <w:t>In the world today 'magic' is:</w:t>
      </w:r>
    </w:p>
    <w:p w14:paraId="46FB1782" w14:textId="77777777" w:rsidR="00991A2F" w:rsidRDefault="00000000">
      <w:pPr>
        <w:pStyle w:val="ListParagraph"/>
        <w:numPr>
          <w:ilvl w:val="0"/>
          <w:numId w:val="1"/>
        </w:numPr>
      </w:pPr>
      <w:r>
        <w:t>Conjuring tricks and illusions for entertainment</w:t>
      </w:r>
    </w:p>
    <w:p w14:paraId="29C1A162" w14:textId="17C45FB0" w:rsidR="00991A2F" w:rsidRDefault="00000000">
      <w:pPr>
        <w:pStyle w:val="ListParagraph"/>
        <w:numPr>
          <w:ilvl w:val="0"/>
          <w:numId w:val="1"/>
        </w:numPr>
      </w:pPr>
      <w:r>
        <w:t xml:space="preserve">Anathematised by Christianity and Abrahamic religion, often </w:t>
      </w:r>
      <w:r w:rsidR="00464181">
        <w:t xml:space="preserve">(at least in the past) </w:t>
      </w:r>
      <w:r>
        <w:t>fatally for the accused - only applied to other peoples' religions</w:t>
      </w:r>
    </w:p>
    <w:p w14:paraId="0458E733" w14:textId="77777777" w:rsidR="00991A2F" w:rsidRDefault="00000000">
      <w:pPr>
        <w:pStyle w:val="ListParagraph"/>
        <w:numPr>
          <w:ilvl w:val="0"/>
          <w:numId w:val="1"/>
        </w:numPr>
      </w:pPr>
      <w:r>
        <w:t>Derided by 'science' - the notion of 'spells' as a technology of misguided pseudo-science</w:t>
      </w:r>
    </w:p>
    <w:p w14:paraId="61AA44A6" w14:textId="77777777" w:rsidR="00991A2F" w:rsidRDefault="00000000">
      <w:pPr>
        <w:pStyle w:val="ListParagraph"/>
        <w:numPr>
          <w:ilvl w:val="0"/>
          <w:numId w:val="1"/>
        </w:numPr>
      </w:pPr>
      <w:r>
        <w:t>Deemed 'primitive' by anthropology - even when there is some sympathy and understanding, as with Evans-Pritchard among the Azande - 'we' still 'know better'.</w:t>
      </w:r>
    </w:p>
    <w:p w14:paraId="5C188C30" w14:textId="77777777" w:rsidR="00991A2F" w:rsidRDefault="00000000">
      <w:pPr>
        <w:pStyle w:val="ListParagraph"/>
        <w:numPr>
          <w:ilvl w:val="0"/>
          <w:numId w:val="1"/>
        </w:numPr>
      </w:pPr>
      <w:r>
        <w:t xml:space="preserve">Applicable, for marketing and political purposes, to absolutely everything from kicking a football, chocolate, cleaning products, Disneyworld, magic money trees… </w:t>
      </w:r>
      <w:r>
        <w:rPr>
          <w:i/>
          <w:iCs/>
        </w:rPr>
        <w:t>ad nauseam</w:t>
      </w:r>
      <w:r>
        <w:t>.</w:t>
      </w:r>
    </w:p>
    <w:p w14:paraId="34C6FF41" w14:textId="77777777" w:rsidR="00991A2F" w:rsidRDefault="00991A2F"/>
    <w:p w14:paraId="513B3714" w14:textId="77777777" w:rsidR="00991A2F" w:rsidRDefault="00000000">
      <w:r>
        <w:t xml:space="preserve">So I would suggest, 'magic' is the word used so as NOT to engage with the reality of </w:t>
      </w:r>
      <w:r>
        <w:rPr>
          <w:i/>
          <w:iCs/>
        </w:rPr>
        <w:t>heka</w:t>
      </w:r>
      <w:r>
        <w:t xml:space="preserve">. For me, 'magic' is a pseudo-concept that both gets in the way of understanding </w:t>
      </w:r>
      <w:r>
        <w:rPr>
          <w:i/>
          <w:iCs/>
        </w:rPr>
        <w:t>heka</w:t>
      </w:r>
      <w:r>
        <w:t xml:space="preserve"> and actively poisons our understanding. Consequently. scholarship related to 'magic-vs-religion', by accepting a validity to notions of 'magic', is mostly of very little value - to confirm this, consider whether those who engage in such discussion actually listen to each other and attempt to advance understanding (as one might expect in a scientific conference) or just present their papers and go home. (Much the same criticism can be applied to the not-unrelated notion of 'ritual' - a recent publication indeed described debate exactly as above.)</w:t>
      </w:r>
    </w:p>
    <w:p w14:paraId="67BCEBA1" w14:textId="77777777" w:rsidR="00991A2F" w:rsidRDefault="00991A2F"/>
    <w:p w14:paraId="55A878DF" w14:textId="56247D3F" w:rsidR="00991A2F" w:rsidRDefault="00000000">
      <w:r>
        <w:t xml:space="preserve">Hannah uses for </w:t>
      </w:r>
      <w:r>
        <w:rPr>
          <w:i/>
          <w:iCs/>
        </w:rPr>
        <w:t>heka</w:t>
      </w:r>
      <w:r>
        <w:t xml:space="preserve"> the metaphor of a thread binding diversity into coherence. I would go further, and to keep with a homely metaphor, suggest fabric, something that is woven of many threads, possibly tweakable. Beyond that, we have Deleuze's botanic metaphor of the rhizome, though to get genuine multiple-connectivity one needs a mycorrhizal network… Another non-snappy metaphor is general relativity, in which matter (us?) bends space </w:t>
      </w:r>
      <w:r>
        <w:lastRenderedPageBreak/>
        <w:t>(</w:t>
      </w:r>
      <w:r>
        <w:rPr>
          <w:i/>
          <w:iCs/>
        </w:rPr>
        <w:t>heka</w:t>
      </w:r>
      <w:r>
        <w:t>?) as a unity. The word 'energy', though commonplace, is I think, a 19th century mis-appropriation from physics - we need new words</w:t>
      </w:r>
      <w:r w:rsidR="000933A7">
        <w:t xml:space="preserve"> and concepts</w:t>
      </w:r>
      <w:r>
        <w:t>.</w:t>
      </w:r>
    </w:p>
    <w:p w14:paraId="3B31E6BE" w14:textId="77777777" w:rsidR="00991A2F" w:rsidRDefault="00991A2F"/>
    <w:p w14:paraId="046DD7CD" w14:textId="7EB84499" w:rsidR="00991A2F" w:rsidRDefault="00000000">
      <w:r>
        <w:t xml:space="preserve">Beyond this is an idea that Egyptians seem to have articulated, which remains almost completely unengaged with. James Allen, in his </w:t>
      </w:r>
      <w:r>
        <w:rPr>
          <w:i/>
          <w:iCs/>
        </w:rPr>
        <w:t>Genesis in Egypt</w:t>
      </w:r>
      <w:r>
        <w:t xml:space="preserve">, touched </w:t>
      </w:r>
      <w:r w:rsidR="000933A7">
        <w:t xml:space="preserve">upon </w:t>
      </w:r>
      <w:r>
        <w:t>it, but fails</w:t>
      </w:r>
      <w:r w:rsidR="000933A7">
        <w:t>, it sems to me,</w:t>
      </w:r>
      <w:r>
        <w:t xml:space="preserve"> to pursue it adequately. He says (p. 8) </w:t>
      </w:r>
    </w:p>
    <w:p w14:paraId="04FC7F9C" w14:textId="77777777" w:rsidR="00991A2F" w:rsidRDefault="00000000">
      <w:pPr>
        <w:pStyle w:val="FootnoteText"/>
        <w:ind w:left="720"/>
      </w:pPr>
      <w:r>
        <w:rPr>
          <w:sz w:val="24"/>
          <w:szCs w:val="24"/>
        </w:rPr>
        <w:t xml:space="preserve">The Egyptians lived in a universe composed not of </w:t>
      </w:r>
      <w:r>
        <w:rPr>
          <w:i/>
          <w:iCs/>
          <w:sz w:val="24"/>
          <w:szCs w:val="24"/>
        </w:rPr>
        <w:t>things</w:t>
      </w:r>
      <w:r>
        <w:rPr>
          <w:sz w:val="24"/>
          <w:szCs w:val="24"/>
        </w:rPr>
        <w:t xml:space="preserve"> but of </w:t>
      </w:r>
      <w:r>
        <w:rPr>
          <w:i/>
          <w:iCs/>
          <w:sz w:val="24"/>
          <w:szCs w:val="24"/>
        </w:rPr>
        <w:t>beings</w:t>
      </w:r>
      <w:r>
        <w:rPr>
          <w:sz w:val="24"/>
          <w:szCs w:val="24"/>
        </w:rPr>
        <w:t>. Each element is not merely a physical component, but a distinct individual with a unique personality and will.</w:t>
      </w:r>
    </w:p>
    <w:p w14:paraId="65B8369F" w14:textId="77777777" w:rsidR="00991A2F" w:rsidRDefault="00991A2F">
      <w:pPr>
        <w:pStyle w:val="FootnoteText"/>
        <w:rPr>
          <w:sz w:val="24"/>
          <w:szCs w:val="24"/>
        </w:rPr>
      </w:pPr>
    </w:p>
    <w:p w14:paraId="67145F61" w14:textId="77777777" w:rsidR="00991A2F" w:rsidRDefault="00000000">
      <w:pPr>
        <w:pStyle w:val="FootnoteText"/>
      </w:pPr>
      <w:r>
        <w:rPr>
          <w:sz w:val="24"/>
          <w:szCs w:val="24"/>
        </w:rPr>
        <w:t xml:space="preserve">I think Allen falls back into the notion of 'personification', describing Egyptian thought as 'speculation' - effectively no more than a massive game of "Let's pretend". By contrast, I take his statement as accurate, the Egyptians as 'getting it right' in this respect. So for this discussion, Heka as well as being 'The Magic' or 'The Pattern', something 'abstract', is rather a </w:t>
      </w:r>
      <w:r>
        <w:rPr>
          <w:i/>
          <w:iCs/>
          <w:sz w:val="24"/>
          <w:szCs w:val="24"/>
        </w:rPr>
        <w:t>being</w:t>
      </w:r>
      <w:r>
        <w:rPr>
          <w:sz w:val="24"/>
          <w:szCs w:val="24"/>
        </w:rPr>
        <w:t xml:space="preserve"> with identity, consciousness and agency, even personality. Since we are also conscious entities with identity, will, agency, etc., we are part of Heka's Weaving. </w:t>
      </w:r>
    </w:p>
    <w:sectPr w:rsidR="00991A2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E21BB" w14:textId="77777777" w:rsidR="006941D4" w:rsidRDefault="006941D4">
      <w:pPr>
        <w:spacing w:after="0"/>
      </w:pPr>
      <w:r>
        <w:separator/>
      </w:r>
    </w:p>
  </w:endnote>
  <w:endnote w:type="continuationSeparator" w:id="0">
    <w:p w14:paraId="52D2B638" w14:textId="77777777" w:rsidR="006941D4" w:rsidRDefault="006941D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w:charset w:val="00"/>
    <w:family w:val="roman"/>
    <w:pitch w:val="variable"/>
    <w:sig w:usb0="A00000AF" w:usb1="4000205B" w:usb2="00000000" w:usb3="00000000" w:csb0="00000093"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DE329" w14:textId="77777777" w:rsidR="006941D4" w:rsidRDefault="006941D4">
      <w:pPr>
        <w:spacing w:after="0"/>
      </w:pPr>
      <w:r>
        <w:rPr>
          <w:color w:val="000000"/>
        </w:rPr>
        <w:separator/>
      </w:r>
    </w:p>
  </w:footnote>
  <w:footnote w:type="continuationSeparator" w:id="0">
    <w:p w14:paraId="65EC41C1" w14:textId="77777777" w:rsidR="006941D4" w:rsidRDefault="006941D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422406"/>
    <w:multiLevelType w:val="multilevel"/>
    <w:tmpl w:val="642667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375928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91A2F"/>
    <w:rsid w:val="000933A7"/>
    <w:rsid w:val="00464181"/>
    <w:rsid w:val="006941D4"/>
    <w:rsid w:val="00737824"/>
    <w:rsid w:val="00991A2F"/>
    <w:rsid w:val="00E02849"/>
    <w:rsid w:val="00EE4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94400"/>
  <w15:docId w15:val="{F23BE5A1-0DFC-4671-9093-7BBB80D32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FootnoteText"/>
    <w:qFormat/>
    <w:pPr>
      <w:suppressAutoHyphens/>
      <w:spacing w:after="120" w:line="240" w:lineRule="auto"/>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s="Times New Roman"/>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s="Times New Roman"/>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s="Times New Roman"/>
      <w:i/>
      <w:iCs/>
      <w:color w:val="595959"/>
    </w:rPr>
  </w:style>
  <w:style w:type="paragraph" w:styleId="Heading7">
    <w:name w:val="heading 7"/>
    <w:basedOn w:val="Normal"/>
    <w:next w:val="Normal"/>
    <w:pPr>
      <w:keepNext/>
      <w:keepLines/>
      <w:spacing w:before="40" w:after="0"/>
      <w:outlineLvl w:val="6"/>
    </w:pPr>
    <w:rPr>
      <w:rFonts w:eastAsia="Times New Roman" w:cs="Times New Roman"/>
      <w:color w:val="595959"/>
    </w:rPr>
  </w:style>
  <w:style w:type="paragraph" w:styleId="Heading8">
    <w:name w:val="heading 8"/>
    <w:basedOn w:val="Normal"/>
    <w:next w:val="Normal"/>
    <w:pPr>
      <w:keepNext/>
      <w:keepLines/>
      <w:spacing w:after="0"/>
      <w:outlineLvl w:val="7"/>
    </w:pPr>
    <w:rPr>
      <w:rFonts w:eastAsia="Times New Roman" w:cs="Times New Roman"/>
      <w:i/>
      <w:iCs/>
      <w:color w:val="272727"/>
    </w:rPr>
  </w:style>
  <w:style w:type="paragraph" w:styleId="Heading9">
    <w:name w:val="heading 9"/>
    <w:basedOn w:val="Normal"/>
    <w:next w:val="Normal"/>
    <w:pPr>
      <w:keepNext/>
      <w:keepLines/>
      <w:spacing w:after="0"/>
      <w:outlineLvl w:val="8"/>
    </w:pPr>
    <w:rPr>
      <w:rFonts w:eastAsia="Times New Roma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rFonts w:ascii="Calibri" w:hAnsi="Calibri"/>
      <w:sz w:val="20"/>
      <w:szCs w:val="20"/>
    </w:rPr>
  </w:style>
  <w:style w:type="paragraph" w:customStyle="1" w:styleId="Doc-citations">
    <w:name w:val="Doc-citations"/>
    <w:basedOn w:val="FootnoteText"/>
    <w:pPr>
      <w:widowControl w:val="0"/>
      <w:ind w:left="720"/>
    </w:pPr>
    <w:rPr>
      <w:rFonts w:ascii="Amasis MT Pro" w:hAnsi="Amasis MT Pro"/>
      <w:sz w:val="22"/>
      <w:lang w:val="fr-FR"/>
    </w:rPr>
  </w:style>
  <w:style w:type="paragraph" w:customStyle="1" w:styleId="Doc-head">
    <w:name w:val="Doc-head"/>
    <w:basedOn w:val="Normal"/>
    <w:pPr>
      <w:keepNext/>
      <w:widowControl w:val="0"/>
      <w:spacing w:before="160" w:after="0" w:line="320" w:lineRule="atLeast"/>
    </w:pPr>
    <w:rPr>
      <w:rFonts w:ascii="Amasis MT Pro" w:hAnsi="Amasis MT Pro"/>
    </w:rPr>
  </w:style>
  <w:style w:type="paragraph" w:customStyle="1" w:styleId="Doc-note">
    <w:name w:val="Doc-note"/>
    <w:basedOn w:val="Doc-head"/>
    <w:pPr>
      <w:spacing w:before="0" w:line="200" w:lineRule="atLeast"/>
    </w:pPr>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Calibri Light" w:eastAsia="Times New Roman" w:hAnsi="Calibri Light" w:cs="Times New Roman"/>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pPr>
      <w:spacing w:after="160"/>
    </w:pPr>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rFonts w:ascii="Calibri" w:hAnsi="Calibri"/>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rFonts w:ascii="Calibri" w:hAnsi="Calibri"/>
      <w:i/>
      <w:iCs/>
      <w:color w:val="2F5496"/>
    </w:rPr>
  </w:style>
  <w:style w:type="character" w:styleId="IntenseReference">
    <w:name w:val="Intense Reference"/>
    <w:basedOn w:val="DefaultParagraphFont"/>
    <w:rPr>
      <w:b/>
      <w:bCs/>
      <w:smallCaps/>
      <w:color w:val="2F5496"/>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578</Words>
  <Characters>3300</Characters>
  <Application>Microsoft Office Word</Application>
  <DocSecurity>0</DocSecurity>
  <Lines>27</Lines>
  <Paragraphs>7</Paragraphs>
  <ScaleCrop>false</ScaleCrop>
  <Company/>
  <LinksUpToDate>false</LinksUpToDate>
  <CharactersWithSpaces>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Maychild (2310535)</dc:creator>
  <dc:description/>
  <cp:lastModifiedBy>Rufus Maychild (2310535)</cp:lastModifiedBy>
  <cp:revision>5</cp:revision>
  <dcterms:created xsi:type="dcterms:W3CDTF">2026-03-25T08:14:00Z</dcterms:created>
  <dcterms:modified xsi:type="dcterms:W3CDTF">2026-03-25T08:23:00Z</dcterms:modified>
</cp:coreProperties>
</file>