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A6FD0" w14:textId="5CF509A6" w:rsidR="002F07B1" w:rsidRDefault="00C25AD9">
      <w:r>
        <w:t>David Bonagura</w:t>
      </w:r>
    </w:p>
    <w:p w14:paraId="3F8005F6" w14:textId="576F56E1" w:rsidR="00C25AD9" w:rsidRDefault="00C25AD9">
      <w:r>
        <w:t>HPLA 7010: Petronius</w:t>
      </w:r>
    </w:p>
    <w:p w14:paraId="635ED196" w14:textId="258FE354" w:rsidR="00C25AD9" w:rsidRDefault="00C25AD9">
      <w:r>
        <w:t>Non-Assessed Assignment #1</w:t>
      </w:r>
    </w:p>
    <w:p w14:paraId="1C10CE42" w14:textId="5526C653" w:rsidR="00C25AD9" w:rsidRDefault="00C25AD9">
      <w:r>
        <w:t>October 6, 2019</w:t>
      </w:r>
    </w:p>
    <w:p w14:paraId="4B934374" w14:textId="6B8FA928" w:rsidR="00C25AD9" w:rsidRDefault="00C25AD9"/>
    <w:p w14:paraId="01595294" w14:textId="60ED5D47" w:rsidR="00C25AD9" w:rsidRDefault="00C25AD9">
      <w:r>
        <w:t xml:space="preserve">Translation: </w:t>
      </w:r>
      <w:proofErr w:type="spellStart"/>
      <w:r>
        <w:rPr>
          <w:i/>
          <w:iCs/>
        </w:rPr>
        <w:t>Satyricon</w:t>
      </w:r>
      <w:proofErr w:type="spellEnd"/>
      <w:r>
        <w:t xml:space="preserve"> 26</w:t>
      </w:r>
    </w:p>
    <w:p w14:paraId="0D2069DA" w14:textId="2F8989BE" w:rsidR="00C25AD9" w:rsidRDefault="00C25AD9"/>
    <w:p w14:paraId="4A7604AE" w14:textId="3E02BD07" w:rsidR="00C25AD9" w:rsidRDefault="00C25AD9" w:rsidP="00C25AD9">
      <w:pPr>
        <w:spacing w:line="480" w:lineRule="auto"/>
      </w:pPr>
      <w:r>
        <w:tab/>
        <w:t>The third day had now arrived, but, after we had been pierced by so many wounds, fl</w:t>
      </w:r>
      <w:r w:rsidR="00B332CF">
        <w:t>ig</w:t>
      </w:r>
      <w:r>
        <w:t>ht was more pleasing than rest. Therefore, when we were gloomily deliberating how [lit.</w:t>
      </w:r>
      <w:r w:rsidR="00DB0EDF">
        <w:t>:</w:t>
      </w:r>
      <w:r>
        <w:t xml:space="preserve"> in what way] we might avoid the present storm, one of Agamemnon’s slaves interrupted us as we were trembling and said, “What, do you know at whose house </w:t>
      </w:r>
      <w:r w:rsidR="00B332CF">
        <w:t>dinner</w:t>
      </w:r>
      <w:r w:rsidR="00DB0EDF">
        <w:t xml:space="preserve"> happens today? </w:t>
      </w:r>
      <w:proofErr w:type="spellStart"/>
      <w:r w:rsidR="00DB0EDF">
        <w:t>Trimalchio</w:t>
      </w:r>
      <w:proofErr w:type="spellEnd"/>
      <w:r w:rsidR="00DB0EDF">
        <w:t>, th</w:t>
      </w:r>
      <w:r w:rsidR="00B332CF">
        <w:t>at</w:t>
      </w:r>
      <w:r w:rsidR="00DB0EDF">
        <w:t xml:space="preserve"> most elegant man, has a sun dial and a </w:t>
      </w:r>
      <w:proofErr w:type="gramStart"/>
      <w:r w:rsidR="00DB0EDF">
        <w:t>dressed up</w:t>
      </w:r>
      <w:proofErr w:type="gramEnd"/>
      <w:r w:rsidR="00DB0EDF">
        <w:t xml:space="preserve"> trumpeter in his dining room so that it is known constantly how much life he has lost.” Therefore, we clothe ourselves carefully, having forgotten all our troubles, and we order </w:t>
      </w:r>
      <w:proofErr w:type="spellStart"/>
      <w:r w:rsidR="00DB0EDF">
        <w:t>Giton</w:t>
      </w:r>
      <w:proofErr w:type="spellEnd"/>
      <w:r w:rsidR="00DB0EDF">
        <w:t xml:space="preserve">, who was very gladly carrying out [lit.: guarding] his servile duty to follow us. </w:t>
      </w:r>
    </w:p>
    <w:p w14:paraId="0A1A903F" w14:textId="381C82D3" w:rsidR="00940CF7" w:rsidRDefault="00940CF7" w:rsidP="00C25AD9">
      <w:pPr>
        <w:spacing w:line="480" w:lineRule="auto"/>
      </w:pPr>
    </w:p>
    <w:p w14:paraId="38D3AC7F" w14:textId="20164C98" w:rsidR="00940CF7" w:rsidRDefault="00940CF7" w:rsidP="00C25AD9">
      <w:pPr>
        <w:spacing w:line="480" w:lineRule="auto"/>
      </w:pPr>
      <w:r>
        <w:t xml:space="preserve">Comment: </w:t>
      </w:r>
      <w:proofErr w:type="spellStart"/>
      <w:r>
        <w:rPr>
          <w:i/>
          <w:iCs/>
        </w:rPr>
        <w:t>Satyricon</w:t>
      </w:r>
      <w:proofErr w:type="spellEnd"/>
      <w:r>
        <w:rPr>
          <w:i/>
          <w:iCs/>
        </w:rPr>
        <w:t xml:space="preserve"> 29</w:t>
      </w:r>
    </w:p>
    <w:p w14:paraId="12852529" w14:textId="40A63B07" w:rsidR="00940CF7" w:rsidRPr="002235A0" w:rsidRDefault="00A97903" w:rsidP="00C25AD9">
      <w:pPr>
        <w:spacing w:line="480" w:lineRule="auto"/>
      </w:pPr>
      <w:proofErr w:type="spellStart"/>
      <w:r>
        <w:rPr>
          <w:i/>
          <w:iCs/>
        </w:rPr>
        <w:t>Ceterum</w:t>
      </w:r>
      <w:proofErr w:type="spellEnd"/>
      <w:r>
        <w:t xml:space="preserve">: Petronius uses this adverb </w:t>
      </w:r>
      <w:r w:rsidR="004D307F">
        <w:t xml:space="preserve">often </w:t>
      </w:r>
      <w:r>
        <w:t>to transition to a new event within his narrative, such as in sections 30 (</w:t>
      </w:r>
      <w:proofErr w:type="spellStart"/>
      <w:r w:rsidRPr="00A97903">
        <w:rPr>
          <w:i/>
          <w:iCs/>
          <w:shd w:val="clear" w:color="auto" w:fill="FFFFFF"/>
        </w:rPr>
        <w:t>Ceterum</w:t>
      </w:r>
      <w:proofErr w:type="spellEnd"/>
      <w:r w:rsidRPr="00A97903">
        <w:rPr>
          <w:i/>
          <w:iCs/>
          <w:shd w:val="clear" w:color="auto" w:fill="FFFFFF"/>
        </w:rPr>
        <w:t xml:space="preserve"> </w:t>
      </w:r>
      <w:proofErr w:type="spellStart"/>
      <w:r w:rsidRPr="00A97903">
        <w:rPr>
          <w:i/>
          <w:iCs/>
          <w:shd w:val="clear" w:color="auto" w:fill="FFFFFF"/>
        </w:rPr>
        <w:t>ut</w:t>
      </w:r>
      <w:proofErr w:type="spellEnd"/>
      <w:r w:rsidRPr="00A97903">
        <w:rPr>
          <w:i/>
          <w:iCs/>
          <w:shd w:val="clear" w:color="auto" w:fill="FFFFFF"/>
        </w:rPr>
        <w:t xml:space="preserve"> </w:t>
      </w:r>
      <w:proofErr w:type="spellStart"/>
      <w:r w:rsidRPr="00A97903">
        <w:rPr>
          <w:i/>
          <w:iCs/>
          <w:shd w:val="clear" w:color="auto" w:fill="FFFFFF"/>
        </w:rPr>
        <w:t>pariter</w:t>
      </w:r>
      <w:proofErr w:type="spellEnd"/>
      <w:r w:rsidRPr="00A97903">
        <w:rPr>
          <w:i/>
          <w:iCs/>
          <w:shd w:val="clear" w:color="auto" w:fill="FFFFFF"/>
        </w:rPr>
        <w:t xml:space="preserve"> </w:t>
      </w:r>
      <w:proofErr w:type="spellStart"/>
      <w:r w:rsidRPr="00A97903">
        <w:rPr>
          <w:i/>
          <w:iCs/>
          <w:shd w:val="clear" w:color="auto" w:fill="FFFFFF"/>
        </w:rPr>
        <w:t>movimus</w:t>
      </w:r>
      <w:proofErr w:type="spellEnd"/>
      <w:r w:rsidRPr="00A97903">
        <w:rPr>
          <w:i/>
          <w:iCs/>
          <w:shd w:val="clear" w:color="auto" w:fill="FFFFFF"/>
        </w:rPr>
        <w:t xml:space="preserve"> </w:t>
      </w:r>
      <w:proofErr w:type="spellStart"/>
      <w:r w:rsidRPr="00A97903">
        <w:rPr>
          <w:i/>
          <w:iCs/>
          <w:shd w:val="clear" w:color="auto" w:fill="FFFFFF"/>
        </w:rPr>
        <w:t>dextros</w:t>
      </w:r>
      <w:proofErr w:type="spellEnd"/>
      <w:r w:rsidRPr="00A97903">
        <w:rPr>
          <w:i/>
          <w:iCs/>
          <w:shd w:val="clear" w:color="auto" w:fill="FFFFFF"/>
        </w:rPr>
        <w:t xml:space="preserve"> </w:t>
      </w:r>
      <w:proofErr w:type="spellStart"/>
      <w:r w:rsidRPr="00A97903">
        <w:rPr>
          <w:i/>
          <w:iCs/>
          <w:shd w:val="clear" w:color="auto" w:fill="FFFFFF"/>
        </w:rPr>
        <w:t>gressus</w:t>
      </w:r>
      <w:proofErr w:type="spellEnd"/>
      <w:r>
        <w:rPr>
          <w:shd w:val="clear" w:color="auto" w:fill="FFFFFF"/>
        </w:rPr>
        <w:t>), 31 (</w:t>
      </w:r>
      <w:proofErr w:type="spellStart"/>
      <w:r w:rsidRPr="00535480">
        <w:rPr>
          <w:i/>
          <w:iCs/>
          <w:shd w:val="clear" w:color="auto" w:fill="FFFFFF"/>
        </w:rPr>
        <w:t>Ceterum</w:t>
      </w:r>
      <w:proofErr w:type="spellEnd"/>
      <w:r w:rsidRPr="00535480">
        <w:rPr>
          <w:i/>
          <w:iCs/>
          <w:shd w:val="clear" w:color="auto" w:fill="FFFFFF"/>
        </w:rPr>
        <w:t xml:space="preserve"> in </w:t>
      </w:r>
      <w:proofErr w:type="spellStart"/>
      <w:r w:rsidRPr="00535480">
        <w:rPr>
          <w:i/>
          <w:iCs/>
          <w:shd w:val="clear" w:color="auto" w:fill="FFFFFF"/>
        </w:rPr>
        <w:t>promulsidari</w:t>
      </w:r>
      <w:proofErr w:type="spellEnd"/>
      <w:r w:rsidRPr="00535480">
        <w:rPr>
          <w:i/>
          <w:iCs/>
          <w:shd w:val="clear" w:color="auto" w:fill="FFFFFF"/>
        </w:rPr>
        <w:t xml:space="preserve"> </w:t>
      </w:r>
      <w:proofErr w:type="spellStart"/>
      <w:r w:rsidRPr="00535480">
        <w:rPr>
          <w:i/>
          <w:iCs/>
          <w:shd w:val="clear" w:color="auto" w:fill="FFFFFF"/>
        </w:rPr>
        <w:t>asellus</w:t>
      </w:r>
      <w:proofErr w:type="spellEnd"/>
      <w:r w:rsidRPr="00535480">
        <w:rPr>
          <w:i/>
          <w:iCs/>
          <w:shd w:val="clear" w:color="auto" w:fill="FFFFFF"/>
        </w:rPr>
        <w:t xml:space="preserve"> </w:t>
      </w:r>
      <w:proofErr w:type="spellStart"/>
      <w:r w:rsidRPr="00535480">
        <w:rPr>
          <w:i/>
          <w:iCs/>
          <w:shd w:val="clear" w:color="auto" w:fill="FFFFFF"/>
        </w:rPr>
        <w:t>erat</w:t>
      </w:r>
      <w:proofErr w:type="spellEnd"/>
      <w:r w:rsidRPr="00535480">
        <w:rPr>
          <w:i/>
          <w:iCs/>
          <w:shd w:val="clear" w:color="auto" w:fill="FFFFFF"/>
        </w:rPr>
        <w:t xml:space="preserve"> </w:t>
      </w:r>
      <w:proofErr w:type="spellStart"/>
      <w:r w:rsidRPr="00535480">
        <w:rPr>
          <w:i/>
          <w:iCs/>
          <w:shd w:val="clear" w:color="auto" w:fill="FFFFFF"/>
        </w:rPr>
        <w:t>Corinthius</w:t>
      </w:r>
      <w:proofErr w:type="spellEnd"/>
      <w:r w:rsidR="00535480" w:rsidRPr="00535480">
        <w:rPr>
          <w:shd w:val="clear" w:color="auto" w:fill="FFFFFF"/>
        </w:rPr>
        <w:t>),</w:t>
      </w:r>
      <w:r w:rsidR="00535480">
        <w:rPr>
          <w:shd w:val="clear" w:color="auto" w:fill="FFFFFF"/>
        </w:rPr>
        <w:t xml:space="preserve"> and 34 (</w:t>
      </w:r>
      <w:proofErr w:type="spellStart"/>
      <w:r w:rsidR="00535480" w:rsidRPr="00535480">
        <w:rPr>
          <w:i/>
          <w:iCs/>
          <w:shd w:val="clear" w:color="auto" w:fill="FFFFFF"/>
        </w:rPr>
        <w:t>Ceterum</w:t>
      </w:r>
      <w:proofErr w:type="spellEnd"/>
      <w:r w:rsidR="00535480" w:rsidRPr="00535480">
        <w:rPr>
          <w:i/>
          <w:iCs/>
          <w:shd w:val="clear" w:color="auto" w:fill="FFFFFF"/>
        </w:rPr>
        <w:t xml:space="preserve"> inter </w:t>
      </w:r>
      <w:proofErr w:type="spellStart"/>
      <w:r w:rsidR="00535480" w:rsidRPr="00535480">
        <w:rPr>
          <w:i/>
          <w:iCs/>
          <w:shd w:val="clear" w:color="auto" w:fill="FFFFFF"/>
        </w:rPr>
        <w:t>tumultum</w:t>
      </w:r>
      <w:proofErr w:type="spellEnd"/>
      <w:r w:rsidR="00535480" w:rsidRPr="00535480">
        <w:rPr>
          <w:i/>
          <w:iCs/>
          <w:shd w:val="clear" w:color="auto" w:fill="FFFFFF"/>
        </w:rPr>
        <w:t xml:space="preserve"> cum forte </w:t>
      </w:r>
      <w:proofErr w:type="spellStart"/>
      <w:r w:rsidR="00535480" w:rsidRPr="00535480">
        <w:rPr>
          <w:i/>
          <w:iCs/>
          <w:shd w:val="clear" w:color="auto" w:fill="FFFFFF"/>
        </w:rPr>
        <w:t>paropsis</w:t>
      </w:r>
      <w:proofErr w:type="spellEnd"/>
      <w:r w:rsidR="00535480" w:rsidRPr="00535480">
        <w:rPr>
          <w:i/>
          <w:iCs/>
          <w:shd w:val="clear" w:color="auto" w:fill="FFFFFF"/>
        </w:rPr>
        <w:t xml:space="preserve"> </w:t>
      </w:r>
      <w:proofErr w:type="spellStart"/>
      <w:r w:rsidR="00535480" w:rsidRPr="00535480">
        <w:rPr>
          <w:i/>
          <w:iCs/>
          <w:shd w:val="clear" w:color="auto" w:fill="FFFFFF"/>
        </w:rPr>
        <w:t>excidisset</w:t>
      </w:r>
      <w:proofErr w:type="spellEnd"/>
      <w:r w:rsidR="00535480">
        <w:rPr>
          <w:shd w:val="clear" w:color="auto" w:fill="FFFFFF"/>
        </w:rPr>
        <w:t xml:space="preserve">). </w:t>
      </w:r>
      <w:proofErr w:type="spellStart"/>
      <w:r w:rsidR="00535480">
        <w:rPr>
          <w:i/>
          <w:iCs/>
          <w:shd w:val="clear" w:color="auto" w:fill="FFFFFF"/>
        </w:rPr>
        <w:t>dum</w:t>
      </w:r>
      <w:proofErr w:type="spellEnd"/>
      <w:r w:rsidR="00535480">
        <w:rPr>
          <w:i/>
          <w:iCs/>
          <w:shd w:val="clear" w:color="auto" w:fill="FFFFFF"/>
        </w:rPr>
        <w:t>…</w:t>
      </w:r>
      <w:proofErr w:type="spellStart"/>
      <w:r w:rsidR="00535480">
        <w:rPr>
          <w:i/>
          <w:iCs/>
          <w:shd w:val="clear" w:color="auto" w:fill="FFFFFF"/>
        </w:rPr>
        <w:t>stupeo</w:t>
      </w:r>
      <w:proofErr w:type="spellEnd"/>
      <w:r w:rsidR="00535480">
        <w:rPr>
          <w:shd w:val="clear" w:color="auto" w:fill="FFFFFF"/>
        </w:rPr>
        <w:t>: The present indicative is used in a “</w:t>
      </w:r>
      <w:proofErr w:type="spellStart"/>
      <w:r w:rsidR="00535480">
        <w:rPr>
          <w:shd w:val="clear" w:color="auto" w:fill="FFFFFF"/>
        </w:rPr>
        <w:t>dum</w:t>
      </w:r>
      <w:proofErr w:type="spellEnd"/>
      <w:r w:rsidR="00535480">
        <w:rPr>
          <w:shd w:val="clear" w:color="auto" w:fill="FFFFFF"/>
        </w:rPr>
        <w:t xml:space="preserve"> clause” with a perfect tense main verb (</w:t>
      </w:r>
      <w:proofErr w:type="spellStart"/>
      <w:r w:rsidR="00535480">
        <w:rPr>
          <w:i/>
          <w:iCs/>
          <w:shd w:val="clear" w:color="auto" w:fill="FFFFFF"/>
        </w:rPr>
        <w:t>fregi</w:t>
      </w:r>
      <w:proofErr w:type="spellEnd"/>
      <w:r w:rsidR="00535480">
        <w:rPr>
          <w:shd w:val="clear" w:color="auto" w:fill="FFFFFF"/>
        </w:rPr>
        <w:t xml:space="preserve">) to indicate on-going </w:t>
      </w:r>
      <w:r w:rsidR="004D307F">
        <w:rPr>
          <w:shd w:val="clear" w:color="auto" w:fill="FFFFFF"/>
        </w:rPr>
        <w:t xml:space="preserve">past </w:t>
      </w:r>
      <w:r w:rsidR="00535480">
        <w:rPr>
          <w:shd w:val="clear" w:color="auto" w:fill="FFFFFF"/>
        </w:rPr>
        <w:t xml:space="preserve">action. </w:t>
      </w:r>
      <w:proofErr w:type="spellStart"/>
      <w:r w:rsidR="00535480">
        <w:rPr>
          <w:i/>
          <w:iCs/>
          <w:shd w:val="clear" w:color="auto" w:fill="FFFFFF"/>
        </w:rPr>
        <w:t>paene</w:t>
      </w:r>
      <w:proofErr w:type="spellEnd"/>
      <w:r w:rsidR="00535480">
        <w:rPr>
          <w:i/>
          <w:iCs/>
          <w:shd w:val="clear" w:color="auto" w:fill="FFFFFF"/>
        </w:rPr>
        <w:t xml:space="preserve"> </w:t>
      </w:r>
      <w:proofErr w:type="spellStart"/>
      <w:r w:rsidR="00535480">
        <w:rPr>
          <w:i/>
          <w:iCs/>
          <w:shd w:val="clear" w:color="auto" w:fill="FFFFFF"/>
        </w:rPr>
        <w:t>resupinatus</w:t>
      </w:r>
      <w:proofErr w:type="spellEnd"/>
      <w:r w:rsidR="00535480">
        <w:rPr>
          <w:i/>
          <w:iCs/>
          <w:shd w:val="clear" w:color="auto" w:fill="FFFFFF"/>
        </w:rPr>
        <w:t xml:space="preserve"> </w:t>
      </w:r>
      <w:proofErr w:type="spellStart"/>
      <w:r w:rsidR="00535480">
        <w:rPr>
          <w:i/>
          <w:iCs/>
          <w:shd w:val="clear" w:color="auto" w:fill="FFFFFF"/>
        </w:rPr>
        <w:t>crura</w:t>
      </w:r>
      <w:proofErr w:type="spellEnd"/>
      <w:r w:rsidR="00535480">
        <w:rPr>
          <w:i/>
          <w:iCs/>
          <w:shd w:val="clear" w:color="auto" w:fill="FFFFFF"/>
        </w:rPr>
        <w:t xml:space="preserve"> </w:t>
      </w:r>
      <w:proofErr w:type="spellStart"/>
      <w:r w:rsidR="00535480">
        <w:rPr>
          <w:i/>
          <w:iCs/>
          <w:shd w:val="clear" w:color="auto" w:fill="FFFFFF"/>
        </w:rPr>
        <w:t>mea</w:t>
      </w:r>
      <w:proofErr w:type="spellEnd"/>
      <w:r w:rsidR="00535480">
        <w:rPr>
          <w:i/>
          <w:iCs/>
          <w:shd w:val="clear" w:color="auto" w:fill="FFFFFF"/>
        </w:rPr>
        <w:t xml:space="preserve"> </w:t>
      </w:r>
      <w:proofErr w:type="spellStart"/>
      <w:r w:rsidR="00535480">
        <w:rPr>
          <w:i/>
          <w:iCs/>
          <w:shd w:val="clear" w:color="auto" w:fill="FFFFFF"/>
        </w:rPr>
        <w:t>fregi</w:t>
      </w:r>
      <w:proofErr w:type="spellEnd"/>
      <w:r w:rsidR="00535480">
        <w:rPr>
          <w:shd w:val="clear" w:color="auto" w:fill="FFFFFF"/>
        </w:rPr>
        <w:t xml:space="preserve">: </w:t>
      </w:r>
      <w:proofErr w:type="spellStart"/>
      <w:r w:rsidR="00535480">
        <w:rPr>
          <w:shd w:val="clear" w:color="auto" w:fill="FFFFFF"/>
        </w:rPr>
        <w:t>Lawall</w:t>
      </w:r>
      <w:proofErr w:type="spellEnd"/>
      <w:r w:rsidR="00535480">
        <w:rPr>
          <w:shd w:val="clear" w:color="auto" w:fill="FFFFFF"/>
        </w:rPr>
        <w:t xml:space="preserve"> (2011) reads </w:t>
      </w:r>
      <w:proofErr w:type="spellStart"/>
      <w:r w:rsidR="00535480">
        <w:rPr>
          <w:i/>
          <w:iCs/>
          <w:shd w:val="clear" w:color="auto" w:fill="FFFFFF"/>
        </w:rPr>
        <w:t>paene</w:t>
      </w:r>
      <w:proofErr w:type="spellEnd"/>
      <w:r w:rsidR="00535480">
        <w:rPr>
          <w:shd w:val="clear" w:color="auto" w:fill="FFFFFF"/>
        </w:rPr>
        <w:t xml:space="preserve"> with both the participle and the verb, while Sedgwick (1964) restricts </w:t>
      </w:r>
      <w:proofErr w:type="spellStart"/>
      <w:r w:rsidR="00535480">
        <w:rPr>
          <w:shd w:val="clear" w:color="auto" w:fill="FFFFFF"/>
        </w:rPr>
        <w:t>paene</w:t>
      </w:r>
      <w:proofErr w:type="spellEnd"/>
      <w:r w:rsidR="00535480">
        <w:rPr>
          <w:shd w:val="clear" w:color="auto" w:fill="FFFFFF"/>
        </w:rPr>
        <w:t xml:space="preserve"> to the verb only.</w:t>
      </w:r>
      <w:r w:rsidR="004B764E">
        <w:rPr>
          <w:rStyle w:val="FootnoteReference"/>
          <w:shd w:val="clear" w:color="auto" w:fill="FFFFFF"/>
        </w:rPr>
        <w:footnoteReference w:id="1"/>
      </w:r>
      <w:r w:rsidR="004B764E">
        <w:rPr>
          <w:shd w:val="clear" w:color="auto" w:fill="FFFFFF"/>
        </w:rPr>
        <w:t xml:space="preserve"> </w:t>
      </w:r>
      <w:r w:rsidR="00B264F8">
        <w:rPr>
          <w:shd w:val="clear" w:color="auto" w:fill="FFFFFF"/>
        </w:rPr>
        <w:t xml:space="preserve">The differing emphases come from differing readings of </w:t>
      </w:r>
      <w:proofErr w:type="spellStart"/>
      <w:r w:rsidR="00B264F8">
        <w:rPr>
          <w:i/>
          <w:iCs/>
          <w:shd w:val="clear" w:color="auto" w:fill="FFFFFF"/>
        </w:rPr>
        <w:t>resupinatus</w:t>
      </w:r>
      <w:proofErr w:type="spellEnd"/>
      <w:r w:rsidR="00B264F8">
        <w:rPr>
          <w:shd w:val="clear" w:color="auto" w:fill="FFFFFF"/>
        </w:rPr>
        <w:t xml:space="preserve">: “fallen on one’s back” for </w:t>
      </w:r>
      <w:proofErr w:type="spellStart"/>
      <w:r w:rsidR="00B264F8">
        <w:rPr>
          <w:shd w:val="clear" w:color="auto" w:fill="FFFFFF"/>
        </w:rPr>
        <w:t>Lawall</w:t>
      </w:r>
      <w:proofErr w:type="spellEnd"/>
      <w:r w:rsidR="00B264F8">
        <w:rPr>
          <w:shd w:val="clear" w:color="auto" w:fill="FFFFFF"/>
        </w:rPr>
        <w:t xml:space="preserve"> and “twisted around” for Sedgwick; </w:t>
      </w:r>
      <w:proofErr w:type="spellStart"/>
      <w:r w:rsidR="00B264F8">
        <w:rPr>
          <w:shd w:val="clear" w:color="auto" w:fill="FFFFFF"/>
        </w:rPr>
        <w:t>Lawall’s</w:t>
      </w:r>
      <w:proofErr w:type="spellEnd"/>
      <w:r w:rsidR="00B264F8">
        <w:rPr>
          <w:shd w:val="clear" w:color="auto" w:fill="FFFFFF"/>
        </w:rPr>
        <w:t xml:space="preserve"> reading requires the adverb, as it is clear </w:t>
      </w:r>
      <w:proofErr w:type="spellStart"/>
      <w:r w:rsidR="00B264F8">
        <w:rPr>
          <w:shd w:val="clear" w:color="auto" w:fill="FFFFFF"/>
        </w:rPr>
        <w:t>Encolpius</w:t>
      </w:r>
      <w:proofErr w:type="spellEnd"/>
      <w:r w:rsidR="00B264F8">
        <w:rPr>
          <w:shd w:val="clear" w:color="auto" w:fill="FFFFFF"/>
        </w:rPr>
        <w:t xml:space="preserve"> did not fall down here. </w:t>
      </w:r>
      <w:proofErr w:type="spellStart"/>
      <w:r w:rsidR="00B264F8">
        <w:rPr>
          <w:i/>
          <w:iCs/>
          <w:shd w:val="clear" w:color="auto" w:fill="FFFFFF"/>
        </w:rPr>
        <w:t>canis</w:t>
      </w:r>
      <w:proofErr w:type="spellEnd"/>
      <w:r w:rsidR="00B264F8">
        <w:rPr>
          <w:i/>
          <w:iCs/>
          <w:shd w:val="clear" w:color="auto" w:fill="FFFFFF"/>
        </w:rPr>
        <w:t xml:space="preserve"> </w:t>
      </w:r>
      <w:proofErr w:type="spellStart"/>
      <w:r w:rsidR="00B264F8">
        <w:rPr>
          <w:i/>
          <w:iCs/>
          <w:shd w:val="clear" w:color="auto" w:fill="FFFFFF"/>
        </w:rPr>
        <w:t>ingens</w:t>
      </w:r>
      <w:proofErr w:type="spellEnd"/>
      <w:r w:rsidR="00B264F8">
        <w:rPr>
          <w:i/>
          <w:iCs/>
          <w:shd w:val="clear" w:color="auto" w:fill="FFFFFF"/>
        </w:rPr>
        <w:t xml:space="preserve">…in </w:t>
      </w:r>
      <w:proofErr w:type="spellStart"/>
      <w:r w:rsidR="00B264F8">
        <w:rPr>
          <w:i/>
          <w:iCs/>
          <w:shd w:val="clear" w:color="auto" w:fill="FFFFFF"/>
        </w:rPr>
        <w:t>pariete</w:t>
      </w:r>
      <w:proofErr w:type="spellEnd"/>
      <w:r w:rsidR="00B264F8">
        <w:rPr>
          <w:i/>
          <w:iCs/>
          <w:shd w:val="clear" w:color="auto" w:fill="FFFFFF"/>
        </w:rPr>
        <w:t xml:space="preserve"> </w:t>
      </w:r>
      <w:proofErr w:type="spellStart"/>
      <w:r w:rsidR="00B264F8">
        <w:rPr>
          <w:i/>
          <w:iCs/>
          <w:shd w:val="clear" w:color="auto" w:fill="FFFFFF"/>
        </w:rPr>
        <w:t>erat</w:t>
      </w:r>
      <w:proofErr w:type="spellEnd"/>
      <w:r w:rsidR="00B264F8">
        <w:rPr>
          <w:i/>
          <w:iCs/>
          <w:shd w:val="clear" w:color="auto" w:fill="FFFFFF"/>
        </w:rPr>
        <w:t xml:space="preserve"> </w:t>
      </w:r>
      <w:proofErr w:type="spellStart"/>
      <w:r w:rsidR="00B264F8">
        <w:rPr>
          <w:i/>
          <w:iCs/>
          <w:shd w:val="clear" w:color="auto" w:fill="FFFFFF"/>
        </w:rPr>
        <w:t>pictus</w:t>
      </w:r>
      <w:proofErr w:type="spellEnd"/>
      <w:r w:rsidR="00B264F8">
        <w:rPr>
          <w:shd w:val="clear" w:color="auto" w:fill="FFFFFF"/>
        </w:rPr>
        <w:t xml:space="preserve">: </w:t>
      </w:r>
      <w:proofErr w:type="spellStart"/>
      <w:r w:rsidR="00B264F8">
        <w:rPr>
          <w:shd w:val="clear" w:color="auto" w:fill="FFFFFF"/>
        </w:rPr>
        <w:t>Lawall</w:t>
      </w:r>
      <w:proofErr w:type="spellEnd"/>
      <w:r w:rsidR="00B264F8">
        <w:rPr>
          <w:shd w:val="clear" w:color="auto" w:fill="FFFFFF"/>
        </w:rPr>
        <w:t xml:space="preserve"> comments </w:t>
      </w:r>
      <w:r w:rsidR="00E36CB4">
        <w:rPr>
          <w:shd w:val="clear" w:color="auto" w:fill="FFFFFF"/>
        </w:rPr>
        <w:lastRenderedPageBreak/>
        <w:t>that canine images with the “</w:t>
      </w:r>
      <w:r w:rsidR="00E36CB4">
        <w:rPr>
          <w:i/>
          <w:iCs/>
          <w:shd w:val="clear" w:color="auto" w:fill="FFFFFF"/>
        </w:rPr>
        <w:t xml:space="preserve">cave </w:t>
      </w:r>
      <w:proofErr w:type="spellStart"/>
      <w:r w:rsidR="00E36CB4">
        <w:rPr>
          <w:i/>
          <w:iCs/>
          <w:shd w:val="clear" w:color="auto" w:fill="FFFFFF"/>
        </w:rPr>
        <w:t>canem</w:t>
      </w:r>
      <w:proofErr w:type="spellEnd"/>
      <w:r w:rsidR="00E36CB4">
        <w:rPr>
          <w:shd w:val="clear" w:color="auto" w:fill="FFFFFF"/>
        </w:rPr>
        <w:t>” warning “were frequent” among the Romans, such as in the house of the tragic poet in Pompeii.</w:t>
      </w:r>
      <w:r w:rsidR="00E36CB4">
        <w:rPr>
          <w:rStyle w:val="FootnoteReference"/>
          <w:shd w:val="clear" w:color="auto" w:fill="FFFFFF"/>
        </w:rPr>
        <w:footnoteReference w:id="2"/>
      </w:r>
      <w:r w:rsidR="00E36CB4">
        <w:rPr>
          <w:shd w:val="clear" w:color="auto" w:fill="FFFFFF"/>
        </w:rPr>
        <w:t xml:space="preserve"> </w:t>
      </w:r>
      <w:proofErr w:type="spellStart"/>
      <w:r w:rsidR="00E36CB4">
        <w:rPr>
          <w:i/>
          <w:iCs/>
          <w:shd w:val="clear" w:color="auto" w:fill="FFFFFF"/>
        </w:rPr>
        <w:t>collecto</w:t>
      </w:r>
      <w:proofErr w:type="spellEnd"/>
      <w:r w:rsidR="00E36CB4">
        <w:rPr>
          <w:i/>
          <w:iCs/>
          <w:shd w:val="clear" w:color="auto" w:fill="FFFFFF"/>
        </w:rPr>
        <w:t xml:space="preserve"> </w:t>
      </w:r>
      <w:proofErr w:type="spellStart"/>
      <w:r w:rsidR="00E36CB4">
        <w:rPr>
          <w:i/>
          <w:iCs/>
          <w:shd w:val="clear" w:color="auto" w:fill="FFFFFF"/>
        </w:rPr>
        <w:t>spiritu</w:t>
      </w:r>
      <w:proofErr w:type="spellEnd"/>
      <w:r w:rsidR="00E36CB4">
        <w:rPr>
          <w:shd w:val="clear" w:color="auto" w:fill="FFFFFF"/>
        </w:rPr>
        <w:t xml:space="preserve">: An ablative absolute in the perfect tense give the impression that </w:t>
      </w:r>
      <w:proofErr w:type="spellStart"/>
      <w:r w:rsidR="00E36CB4">
        <w:rPr>
          <w:shd w:val="clear" w:color="auto" w:fill="FFFFFF"/>
        </w:rPr>
        <w:t>Encolpius</w:t>
      </w:r>
      <w:proofErr w:type="spellEnd"/>
      <w:r w:rsidR="00E36CB4">
        <w:rPr>
          <w:shd w:val="clear" w:color="auto" w:fill="FFFFFF"/>
        </w:rPr>
        <w:t xml:space="preserve"> composed himself fully before continuing his inspection of the wall, </w:t>
      </w:r>
      <w:r w:rsidR="004D307F">
        <w:rPr>
          <w:shd w:val="clear" w:color="auto" w:fill="FFFFFF"/>
        </w:rPr>
        <w:t xml:space="preserve">viz., </w:t>
      </w:r>
      <w:r w:rsidR="00E36CB4">
        <w:rPr>
          <w:shd w:val="clear" w:color="auto" w:fill="FFFFFF"/>
        </w:rPr>
        <w:t xml:space="preserve">“after I had composed myself.” </w:t>
      </w:r>
      <w:proofErr w:type="spellStart"/>
      <w:r w:rsidR="002476D2">
        <w:rPr>
          <w:i/>
          <w:iCs/>
          <w:shd w:val="clear" w:color="auto" w:fill="FFFFFF"/>
        </w:rPr>
        <w:t>caduceum</w:t>
      </w:r>
      <w:proofErr w:type="spellEnd"/>
      <w:r w:rsidR="002476D2">
        <w:rPr>
          <w:i/>
          <w:iCs/>
          <w:shd w:val="clear" w:color="auto" w:fill="FFFFFF"/>
        </w:rPr>
        <w:t xml:space="preserve"> </w:t>
      </w:r>
      <w:proofErr w:type="spellStart"/>
      <w:r w:rsidR="002476D2">
        <w:rPr>
          <w:i/>
          <w:iCs/>
          <w:shd w:val="clear" w:color="auto" w:fill="FFFFFF"/>
        </w:rPr>
        <w:t>tenebat</w:t>
      </w:r>
      <w:proofErr w:type="spellEnd"/>
      <w:r w:rsidR="002476D2">
        <w:rPr>
          <w:i/>
          <w:iCs/>
          <w:shd w:val="clear" w:color="auto" w:fill="FFFFFF"/>
        </w:rPr>
        <w:t xml:space="preserve"> </w:t>
      </w:r>
      <w:proofErr w:type="spellStart"/>
      <w:r w:rsidR="002476D2">
        <w:rPr>
          <w:i/>
          <w:iCs/>
          <w:shd w:val="clear" w:color="auto" w:fill="FFFFFF"/>
        </w:rPr>
        <w:t>Minervaque</w:t>
      </w:r>
      <w:proofErr w:type="spellEnd"/>
      <w:r w:rsidR="002476D2">
        <w:rPr>
          <w:i/>
          <w:iCs/>
          <w:shd w:val="clear" w:color="auto" w:fill="FFFFFF"/>
        </w:rPr>
        <w:t xml:space="preserve"> </w:t>
      </w:r>
      <w:proofErr w:type="spellStart"/>
      <w:r w:rsidR="002476D2">
        <w:rPr>
          <w:i/>
          <w:iCs/>
          <w:shd w:val="clear" w:color="auto" w:fill="FFFFFF"/>
        </w:rPr>
        <w:t>ducente</w:t>
      </w:r>
      <w:proofErr w:type="spellEnd"/>
      <w:r w:rsidR="002476D2">
        <w:rPr>
          <w:shd w:val="clear" w:color="auto" w:fill="FFFFFF"/>
        </w:rPr>
        <w:t xml:space="preserve">: </w:t>
      </w:r>
      <w:proofErr w:type="spellStart"/>
      <w:r w:rsidR="002476D2">
        <w:rPr>
          <w:shd w:val="clear" w:color="auto" w:fill="FFFFFF"/>
        </w:rPr>
        <w:t>Lawall</w:t>
      </w:r>
      <w:proofErr w:type="spellEnd"/>
      <w:r w:rsidR="002476D2">
        <w:rPr>
          <w:shd w:val="clear" w:color="auto" w:fill="FFFFFF"/>
        </w:rPr>
        <w:t xml:space="preserve"> comments that this wall painting, by portraying </w:t>
      </w:r>
      <w:proofErr w:type="spellStart"/>
      <w:r w:rsidR="002476D2">
        <w:rPr>
          <w:shd w:val="clear" w:color="auto" w:fill="FFFFFF"/>
        </w:rPr>
        <w:t>Trimalchio</w:t>
      </w:r>
      <w:proofErr w:type="spellEnd"/>
      <w:r w:rsidR="002476D2">
        <w:rPr>
          <w:shd w:val="clear" w:color="auto" w:fill="FFFFFF"/>
        </w:rPr>
        <w:t xml:space="preserve"> in the likeness of Mercury with his caduceus, “alludes to </w:t>
      </w:r>
      <w:proofErr w:type="spellStart"/>
      <w:r w:rsidR="002476D2">
        <w:rPr>
          <w:shd w:val="clear" w:color="auto" w:fill="FFFFFF"/>
        </w:rPr>
        <w:t>Trimalchio’s</w:t>
      </w:r>
      <w:proofErr w:type="spellEnd"/>
      <w:r w:rsidR="002476D2">
        <w:rPr>
          <w:shd w:val="clear" w:color="auto" w:fill="FFFFFF"/>
        </w:rPr>
        <w:t xml:space="preserve"> success as a skillful businessman.”</w:t>
      </w:r>
      <w:r w:rsidR="002476D2">
        <w:rPr>
          <w:rStyle w:val="FootnoteReference"/>
          <w:shd w:val="clear" w:color="auto" w:fill="FFFFFF"/>
        </w:rPr>
        <w:footnoteReference w:id="3"/>
      </w:r>
      <w:r w:rsidR="000007C4">
        <w:rPr>
          <w:shd w:val="clear" w:color="auto" w:fill="FFFFFF"/>
        </w:rPr>
        <w:t xml:space="preserve"> Sedgwick adds that “</w:t>
      </w:r>
      <w:proofErr w:type="spellStart"/>
      <w:r w:rsidR="000007C4">
        <w:rPr>
          <w:i/>
          <w:iCs/>
          <w:shd w:val="clear" w:color="auto" w:fill="FFFFFF"/>
        </w:rPr>
        <w:t>capillatus</w:t>
      </w:r>
      <w:proofErr w:type="spellEnd"/>
      <w:r w:rsidR="000007C4">
        <w:rPr>
          <w:shd w:val="clear" w:color="auto" w:fill="FFFFFF"/>
        </w:rPr>
        <w:t xml:space="preserve">” indicates that </w:t>
      </w:r>
      <w:proofErr w:type="spellStart"/>
      <w:r w:rsidR="000007C4">
        <w:rPr>
          <w:shd w:val="clear" w:color="auto" w:fill="FFFFFF"/>
        </w:rPr>
        <w:t>Trimalchio</w:t>
      </w:r>
      <w:proofErr w:type="spellEnd"/>
      <w:r w:rsidR="000007C4">
        <w:rPr>
          <w:shd w:val="clear" w:color="auto" w:fill="FFFFFF"/>
        </w:rPr>
        <w:t xml:space="preserve"> was then young and handsome.</w:t>
      </w:r>
      <w:r w:rsidR="000007C4">
        <w:rPr>
          <w:rStyle w:val="FootnoteReference"/>
          <w:shd w:val="clear" w:color="auto" w:fill="FFFFFF"/>
        </w:rPr>
        <w:footnoteReference w:id="4"/>
      </w:r>
      <w:r w:rsidR="000007C4">
        <w:rPr>
          <w:shd w:val="clear" w:color="auto" w:fill="FFFFFF"/>
        </w:rPr>
        <w:t xml:space="preserve"> </w:t>
      </w:r>
      <w:proofErr w:type="spellStart"/>
      <w:r w:rsidR="000007C4">
        <w:rPr>
          <w:i/>
          <w:iCs/>
          <w:shd w:val="clear" w:color="auto" w:fill="FFFFFF"/>
        </w:rPr>
        <w:t>quemadmodum</w:t>
      </w:r>
      <w:proofErr w:type="spellEnd"/>
      <w:r w:rsidR="000007C4">
        <w:rPr>
          <w:i/>
          <w:iCs/>
          <w:shd w:val="clear" w:color="auto" w:fill="FFFFFF"/>
        </w:rPr>
        <w:t>…</w:t>
      </w:r>
      <w:proofErr w:type="spellStart"/>
      <w:r w:rsidR="000007C4">
        <w:rPr>
          <w:i/>
          <w:iCs/>
          <w:shd w:val="clear" w:color="auto" w:fill="FFFFFF"/>
        </w:rPr>
        <w:t>didicisset</w:t>
      </w:r>
      <w:proofErr w:type="spellEnd"/>
      <w:r w:rsidR="000007C4">
        <w:rPr>
          <w:i/>
          <w:iCs/>
          <w:shd w:val="clear" w:color="auto" w:fill="FFFFFF"/>
        </w:rPr>
        <w:t>…</w:t>
      </w:r>
      <w:proofErr w:type="spellStart"/>
      <w:r w:rsidR="000007C4">
        <w:rPr>
          <w:i/>
          <w:iCs/>
          <w:shd w:val="clear" w:color="auto" w:fill="FFFFFF"/>
        </w:rPr>
        <w:t>factus</w:t>
      </w:r>
      <w:proofErr w:type="spellEnd"/>
      <w:r w:rsidR="000007C4">
        <w:rPr>
          <w:i/>
          <w:iCs/>
          <w:shd w:val="clear" w:color="auto" w:fill="FFFFFF"/>
        </w:rPr>
        <w:t xml:space="preserve"> </w:t>
      </w:r>
      <w:proofErr w:type="spellStart"/>
      <w:r w:rsidR="000007C4">
        <w:rPr>
          <w:i/>
          <w:iCs/>
          <w:shd w:val="clear" w:color="auto" w:fill="FFFFFF"/>
        </w:rPr>
        <w:t>esset</w:t>
      </w:r>
      <w:proofErr w:type="spellEnd"/>
      <w:r w:rsidR="000007C4">
        <w:rPr>
          <w:shd w:val="clear" w:color="auto" w:fill="FFFFFF"/>
        </w:rPr>
        <w:t xml:space="preserve">: The pluperfect subjunctive is used here in an indirect question clause. </w:t>
      </w:r>
      <w:r w:rsidR="000007C4">
        <w:rPr>
          <w:i/>
          <w:iCs/>
          <w:shd w:val="clear" w:color="auto" w:fill="FFFFFF"/>
        </w:rPr>
        <w:t xml:space="preserve">tribunal </w:t>
      </w:r>
      <w:proofErr w:type="spellStart"/>
      <w:r w:rsidR="000007C4">
        <w:rPr>
          <w:i/>
          <w:iCs/>
          <w:shd w:val="clear" w:color="auto" w:fill="FFFFFF"/>
        </w:rPr>
        <w:t>excelsum</w:t>
      </w:r>
      <w:proofErr w:type="spellEnd"/>
      <w:r w:rsidR="000007C4">
        <w:rPr>
          <w:shd w:val="clear" w:color="auto" w:fill="FFFFFF"/>
        </w:rPr>
        <w:t xml:space="preserve">: </w:t>
      </w:r>
      <w:proofErr w:type="spellStart"/>
      <w:r w:rsidR="000007C4">
        <w:rPr>
          <w:shd w:val="clear" w:color="auto" w:fill="FFFFFF"/>
        </w:rPr>
        <w:t>Lawall</w:t>
      </w:r>
      <w:proofErr w:type="spellEnd"/>
      <w:r w:rsidR="000007C4">
        <w:rPr>
          <w:shd w:val="clear" w:color="auto" w:fill="FFFFFF"/>
        </w:rPr>
        <w:t xml:space="preserve"> notes that this is “the raised platform with magistrate’s seat where </w:t>
      </w:r>
      <w:proofErr w:type="spellStart"/>
      <w:r w:rsidR="000007C4">
        <w:rPr>
          <w:shd w:val="clear" w:color="auto" w:fill="FFFFFF"/>
        </w:rPr>
        <w:t>Trimalchio</w:t>
      </w:r>
      <w:proofErr w:type="spellEnd"/>
      <w:r w:rsidR="000007C4">
        <w:rPr>
          <w:shd w:val="clear" w:color="auto" w:fill="FFFFFF"/>
        </w:rPr>
        <w:t xml:space="preserve"> sat in his office of </w:t>
      </w:r>
      <w:proofErr w:type="spellStart"/>
      <w:r w:rsidR="000007C4">
        <w:rPr>
          <w:shd w:val="clear" w:color="auto" w:fill="FFFFFF"/>
        </w:rPr>
        <w:t>sevir</w:t>
      </w:r>
      <w:proofErr w:type="spellEnd"/>
      <w:r w:rsidR="000007C4">
        <w:rPr>
          <w:shd w:val="clear" w:color="auto" w:fill="FFFFFF"/>
        </w:rPr>
        <w:t xml:space="preserve"> </w:t>
      </w:r>
      <w:proofErr w:type="spellStart"/>
      <w:r w:rsidR="000007C4">
        <w:rPr>
          <w:shd w:val="clear" w:color="auto" w:fill="FFFFFF"/>
        </w:rPr>
        <w:t>Augustalis</w:t>
      </w:r>
      <w:proofErr w:type="spellEnd"/>
      <w:r w:rsidR="000007C4">
        <w:rPr>
          <w:shd w:val="clear" w:color="auto" w:fill="FFFFFF"/>
        </w:rPr>
        <w:t>.”</w:t>
      </w:r>
      <w:r w:rsidR="000007C4">
        <w:rPr>
          <w:rStyle w:val="FootnoteReference"/>
          <w:shd w:val="clear" w:color="auto" w:fill="FFFFFF"/>
        </w:rPr>
        <w:footnoteReference w:id="5"/>
      </w:r>
      <w:r w:rsidR="000007C4">
        <w:rPr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tres</w:t>
      </w:r>
      <w:proofErr w:type="spellEnd"/>
      <w:r w:rsidR="000F4564">
        <w:rPr>
          <w:i/>
          <w:iCs/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Parcae</w:t>
      </w:r>
      <w:proofErr w:type="spellEnd"/>
      <w:r w:rsidR="000F4564">
        <w:rPr>
          <w:i/>
          <w:iCs/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aurea</w:t>
      </w:r>
      <w:proofErr w:type="spellEnd"/>
      <w:r w:rsidR="000F4564">
        <w:rPr>
          <w:i/>
          <w:iCs/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pensa</w:t>
      </w:r>
      <w:proofErr w:type="spellEnd"/>
      <w:r w:rsidR="000F4564">
        <w:rPr>
          <w:i/>
          <w:iCs/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torquentes</w:t>
      </w:r>
      <w:proofErr w:type="spellEnd"/>
      <w:r w:rsidR="000F4564">
        <w:rPr>
          <w:shd w:val="clear" w:color="auto" w:fill="FFFFFF"/>
        </w:rPr>
        <w:t xml:space="preserve">: The </w:t>
      </w:r>
      <w:proofErr w:type="spellStart"/>
      <w:r w:rsidR="000F4564">
        <w:rPr>
          <w:shd w:val="clear" w:color="auto" w:fill="FFFFFF"/>
        </w:rPr>
        <w:t>Parcae</w:t>
      </w:r>
      <w:proofErr w:type="spellEnd"/>
      <w:r w:rsidR="000F4564">
        <w:rPr>
          <w:shd w:val="clear" w:color="auto" w:fill="FFFFFF"/>
        </w:rPr>
        <w:t xml:space="preserve"> were goddesses who </w:t>
      </w:r>
      <w:r w:rsidR="004D307F">
        <w:rPr>
          <w:shd w:val="clear" w:color="auto" w:fill="FFFFFF"/>
        </w:rPr>
        <w:t>“wove”</w:t>
      </w:r>
      <w:r w:rsidR="000F4564">
        <w:rPr>
          <w:shd w:val="clear" w:color="auto" w:fill="FFFFFF"/>
        </w:rPr>
        <w:t xml:space="preserve"> the life span of human beings, represented by a string being cut, as in </w:t>
      </w:r>
      <w:r w:rsidR="000F4564">
        <w:rPr>
          <w:i/>
          <w:iCs/>
          <w:shd w:val="clear" w:color="auto" w:fill="FFFFFF"/>
        </w:rPr>
        <w:t>Aeneid</w:t>
      </w:r>
      <w:r w:rsidR="000F4564">
        <w:rPr>
          <w:shd w:val="clear" w:color="auto" w:fill="FFFFFF"/>
        </w:rPr>
        <w:t xml:space="preserve"> I.22 (</w:t>
      </w:r>
      <w:r w:rsidR="000F4564">
        <w:rPr>
          <w:i/>
          <w:iCs/>
          <w:shd w:val="clear" w:color="auto" w:fill="FFFFFF"/>
        </w:rPr>
        <w:t xml:space="preserve">sic </w:t>
      </w:r>
      <w:proofErr w:type="spellStart"/>
      <w:r w:rsidR="000F4564">
        <w:rPr>
          <w:i/>
          <w:iCs/>
          <w:shd w:val="clear" w:color="auto" w:fill="FFFFFF"/>
        </w:rPr>
        <w:t>volvere</w:t>
      </w:r>
      <w:proofErr w:type="spellEnd"/>
      <w:r w:rsidR="000F4564">
        <w:rPr>
          <w:i/>
          <w:iCs/>
          <w:shd w:val="clear" w:color="auto" w:fill="FFFFFF"/>
        </w:rPr>
        <w:t xml:space="preserve"> </w:t>
      </w:r>
      <w:proofErr w:type="spellStart"/>
      <w:r w:rsidR="000F4564">
        <w:rPr>
          <w:i/>
          <w:iCs/>
          <w:shd w:val="clear" w:color="auto" w:fill="FFFFFF"/>
        </w:rPr>
        <w:t>Parcas</w:t>
      </w:r>
      <w:proofErr w:type="spellEnd"/>
      <w:r w:rsidR="000F4564">
        <w:rPr>
          <w:shd w:val="clear" w:color="auto" w:fill="FFFFFF"/>
        </w:rPr>
        <w:t xml:space="preserve">). The fact that the thread is golden, comments </w:t>
      </w:r>
      <w:proofErr w:type="spellStart"/>
      <w:r w:rsidR="000F4564">
        <w:rPr>
          <w:shd w:val="clear" w:color="auto" w:fill="FFFFFF"/>
        </w:rPr>
        <w:t>Lawall</w:t>
      </w:r>
      <w:proofErr w:type="spellEnd"/>
      <w:r w:rsidR="000F4564">
        <w:rPr>
          <w:shd w:val="clear" w:color="auto" w:fill="FFFFFF"/>
        </w:rPr>
        <w:t xml:space="preserve">, signifies </w:t>
      </w:r>
      <w:proofErr w:type="spellStart"/>
      <w:r w:rsidR="000F4564">
        <w:rPr>
          <w:shd w:val="clear" w:color="auto" w:fill="FFFFFF"/>
        </w:rPr>
        <w:t>Trimalchio’s</w:t>
      </w:r>
      <w:proofErr w:type="spellEnd"/>
      <w:r w:rsidR="000F4564">
        <w:rPr>
          <w:shd w:val="clear" w:color="auto" w:fill="FFFFFF"/>
        </w:rPr>
        <w:t xml:space="preserve"> wealth.</w:t>
      </w:r>
      <w:r w:rsidR="000F4564">
        <w:rPr>
          <w:rStyle w:val="FootnoteReference"/>
          <w:shd w:val="clear" w:color="auto" w:fill="FFFFFF"/>
        </w:rPr>
        <w:footnoteReference w:id="6"/>
      </w:r>
      <w:r w:rsidR="000F4564">
        <w:rPr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erant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Lares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argentei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positi</w:t>
      </w:r>
      <w:proofErr w:type="spellEnd"/>
      <w:r w:rsidR="002235A0">
        <w:rPr>
          <w:shd w:val="clear" w:color="auto" w:fill="FFFFFF"/>
        </w:rPr>
        <w:t xml:space="preserve">: A shrine to the household gods was common in Roman homes. </w:t>
      </w:r>
      <w:proofErr w:type="spellStart"/>
      <w:r w:rsidR="002235A0">
        <w:rPr>
          <w:shd w:val="clear" w:color="auto" w:fill="FFFFFF"/>
        </w:rPr>
        <w:t>Trimalchio</w:t>
      </w:r>
      <w:proofErr w:type="spellEnd"/>
      <w:r w:rsidR="002235A0">
        <w:rPr>
          <w:shd w:val="clear" w:color="auto" w:fill="FFFFFF"/>
        </w:rPr>
        <w:t xml:space="preserve">, for all his eccentricities, still follows typical Roman protocol in how he lived. </w:t>
      </w:r>
      <w:r w:rsidR="002235A0">
        <w:rPr>
          <w:i/>
          <w:iCs/>
          <w:shd w:val="clear" w:color="auto" w:fill="FFFFFF"/>
        </w:rPr>
        <w:t xml:space="preserve">pyxis </w:t>
      </w:r>
      <w:proofErr w:type="spellStart"/>
      <w:r w:rsidR="002235A0">
        <w:rPr>
          <w:i/>
          <w:iCs/>
          <w:shd w:val="clear" w:color="auto" w:fill="FFFFFF"/>
        </w:rPr>
        <w:t>aurea</w:t>
      </w:r>
      <w:proofErr w:type="spellEnd"/>
      <w:r w:rsidR="002235A0">
        <w:rPr>
          <w:i/>
          <w:iCs/>
          <w:shd w:val="clear" w:color="auto" w:fill="FFFFFF"/>
        </w:rPr>
        <w:t xml:space="preserve"> non </w:t>
      </w:r>
      <w:proofErr w:type="spellStart"/>
      <w:r w:rsidR="002235A0">
        <w:rPr>
          <w:i/>
          <w:iCs/>
          <w:shd w:val="clear" w:color="auto" w:fill="FFFFFF"/>
        </w:rPr>
        <w:t>pusilla</w:t>
      </w:r>
      <w:proofErr w:type="spellEnd"/>
      <w:r w:rsidR="002235A0">
        <w:rPr>
          <w:i/>
          <w:iCs/>
          <w:shd w:val="clear" w:color="auto" w:fill="FFFFFF"/>
        </w:rPr>
        <w:t xml:space="preserve">, in qua </w:t>
      </w:r>
      <w:proofErr w:type="spellStart"/>
      <w:r w:rsidR="002235A0">
        <w:rPr>
          <w:i/>
          <w:iCs/>
          <w:shd w:val="clear" w:color="auto" w:fill="FFFFFF"/>
        </w:rPr>
        <w:t>barbam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ipsius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conditam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esse</w:t>
      </w:r>
      <w:proofErr w:type="spellEnd"/>
      <w:r w:rsidR="002235A0">
        <w:rPr>
          <w:i/>
          <w:iCs/>
          <w:shd w:val="clear" w:color="auto" w:fill="FFFFFF"/>
        </w:rPr>
        <w:t xml:space="preserve"> </w:t>
      </w:r>
      <w:proofErr w:type="spellStart"/>
      <w:r w:rsidR="002235A0">
        <w:rPr>
          <w:i/>
          <w:iCs/>
          <w:shd w:val="clear" w:color="auto" w:fill="FFFFFF"/>
        </w:rPr>
        <w:t>dicebant</w:t>
      </w:r>
      <w:proofErr w:type="spellEnd"/>
      <w:r w:rsidR="002235A0">
        <w:rPr>
          <w:shd w:val="clear" w:color="auto" w:fill="FFFFFF"/>
        </w:rPr>
        <w:t xml:space="preserve">: Both </w:t>
      </w:r>
      <w:proofErr w:type="spellStart"/>
      <w:r w:rsidR="002235A0">
        <w:rPr>
          <w:shd w:val="clear" w:color="auto" w:fill="FFFFFF"/>
        </w:rPr>
        <w:t>Lawall</w:t>
      </w:r>
      <w:proofErr w:type="spellEnd"/>
      <w:r w:rsidR="002235A0">
        <w:rPr>
          <w:shd w:val="clear" w:color="auto" w:fill="FFFFFF"/>
        </w:rPr>
        <w:t xml:space="preserve"> and Sedgwick note that Romans were accustomed to retain the hair from a boy’s first save and dedicate it to a god, and both note that Nero did this, as recorded by Suetonius.</w:t>
      </w:r>
      <w:r w:rsidR="002235A0">
        <w:rPr>
          <w:rStyle w:val="FootnoteReference"/>
          <w:shd w:val="clear" w:color="auto" w:fill="FFFFFF"/>
        </w:rPr>
        <w:footnoteReference w:id="7"/>
      </w:r>
      <w:r w:rsidR="002235A0">
        <w:rPr>
          <w:shd w:val="clear" w:color="auto" w:fill="FFFFFF"/>
        </w:rPr>
        <w:t xml:space="preserve"> </w:t>
      </w:r>
      <w:r w:rsidR="00F64FDB">
        <w:rPr>
          <w:shd w:val="clear" w:color="auto" w:fill="FFFFFF"/>
        </w:rPr>
        <w:t xml:space="preserve">It is noteworthy that Petronius here identifies </w:t>
      </w:r>
      <w:proofErr w:type="spellStart"/>
      <w:r w:rsidR="00F64FDB">
        <w:rPr>
          <w:shd w:val="clear" w:color="auto" w:fill="FFFFFF"/>
        </w:rPr>
        <w:t>Trimalchio</w:t>
      </w:r>
      <w:proofErr w:type="spellEnd"/>
      <w:r w:rsidR="00F64FDB">
        <w:rPr>
          <w:shd w:val="clear" w:color="auto" w:fill="FFFFFF"/>
        </w:rPr>
        <w:t xml:space="preserve"> with the emperor</w:t>
      </w:r>
      <w:r w:rsidR="008062BE">
        <w:rPr>
          <w:shd w:val="clear" w:color="auto" w:fill="FFFFFF"/>
        </w:rPr>
        <w:t>; it is impossible to know his motivation for doing so</w:t>
      </w:r>
      <w:r w:rsidR="00F64FDB">
        <w:rPr>
          <w:shd w:val="clear" w:color="auto" w:fill="FFFFFF"/>
        </w:rPr>
        <w:t xml:space="preserve">. </w:t>
      </w:r>
    </w:p>
    <w:p w14:paraId="5D9D1094" w14:textId="373200EB" w:rsidR="004A45A0" w:rsidRDefault="004A45A0" w:rsidP="00C25AD9">
      <w:pPr>
        <w:spacing w:line="480" w:lineRule="auto"/>
      </w:pPr>
    </w:p>
    <w:p w14:paraId="2A8C0587" w14:textId="0F0312A1" w:rsidR="008062BE" w:rsidRDefault="008062BE" w:rsidP="008062BE">
      <w:pPr>
        <w:spacing w:line="480" w:lineRule="auto"/>
        <w:jc w:val="center"/>
      </w:pPr>
      <w:r>
        <w:lastRenderedPageBreak/>
        <w:t>Bibliography</w:t>
      </w:r>
    </w:p>
    <w:p w14:paraId="150BBF99" w14:textId="77777777" w:rsidR="008062BE" w:rsidRDefault="008062BE" w:rsidP="008062BE">
      <w:proofErr w:type="spellStart"/>
      <w:r>
        <w:t>Lawall</w:t>
      </w:r>
      <w:proofErr w:type="spellEnd"/>
      <w:r>
        <w:t xml:space="preserve">, G. 2011. </w:t>
      </w:r>
      <w:r>
        <w:rPr>
          <w:i/>
          <w:iCs/>
        </w:rPr>
        <w:t xml:space="preserve">Petronius: Selections from the </w:t>
      </w:r>
      <w:proofErr w:type="spellStart"/>
      <w:r>
        <w:rPr>
          <w:i/>
          <w:iCs/>
        </w:rPr>
        <w:t>Satyricon</w:t>
      </w:r>
      <w:proofErr w:type="spellEnd"/>
      <w:r>
        <w:t xml:space="preserve">. Mundelein, Illinois: </w:t>
      </w:r>
      <w:proofErr w:type="spellStart"/>
      <w:r>
        <w:t>Bolchazy</w:t>
      </w:r>
      <w:proofErr w:type="spellEnd"/>
      <w:r>
        <w:t>-</w:t>
      </w:r>
    </w:p>
    <w:p w14:paraId="03EE5A26" w14:textId="0F2EE4CA" w:rsidR="008062BE" w:rsidRDefault="008062BE" w:rsidP="008062BE">
      <w:pPr>
        <w:ind w:firstLine="720"/>
      </w:pPr>
      <w:r>
        <w:t>Carducci Publishers, Inc.</w:t>
      </w:r>
    </w:p>
    <w:p w14:paraId="4595641F" w14:textId="77777777" w:rsidR="008062BE" w:rsidRDefault="008062BE" w:rsidP="008062BE"/>
    <w:p w14:paraId="50E90536" w14:textId="6DF2640B" w:rsidR="008062BE" w:rsidRPr="008062BE" w:rsidRDefault="008062BE" w:rsidP="008062BE">
      <w:pPr>
        <w:spacing w:line="480" w:lineRule="auto"/>
      </w:pPr>
      <w:r>
        <w:t xml:space="preserve">Sedgwick, W.B. 1964. </w:t>
      </w:r>
      <w:r>
        <w:rPr>
          <w:i/>
          <w:iCs/>
        </w:rPr>
        <w:t xml:space="preserve">The Cena </w:t>
      </w:r>
      <w:proofErr w:type="spellStart"/>
      <w:r>
        <w:rPr>
          <w:i/>
          <w:iCs/>
        </w:rPr>
        <w:t>Trimalchionis</w:t>
      </w:r>
      <w:proofErr w:type="spellEnd"/>
      <w:r>
        <w:rPr>
          <w:i/>
          <w:iCs/>
        </w:rPr>
        <w:t xml:space="preserve"> of Petronius</w:t>
      </w:r>
      <w:r>
        <w:t>. Oxford: The Clarendon Press.</w:t>
      </w:r>
    </w:p>
    <w:p w14:paraId="1398327A" w14:textId="48FCEBE8" w:rsidR="004A45A0" w:rsidRPr="004A45A0" w:rsidRDefault="004A45A0" w:rsidP="00C25AD9">
      <w:pPr>
        <w:spacing w:line="480" w:lineRule="auto"/>
      </w:pPr>
    </w:p>
    <w:sectPr w:rsidR="004A45A0" w:rsidRPr="004A45A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78C491" w14:textId="77777777" w:rsidR="004B764E" w:rsidRDefault="004B764E" w:rsidP="004B764E">
      <w:r>
        <w:separator/>
      </w:r>
    </w:p>
  </w:endnote>
  <w:endnote w:type="continuationSeparator" w:id="0">
    <w:p w14:paraId="59EA4EF6" w14:textId="77777777" w:rsidR="004B764E" w:rsidRDefault="004B764E" w:rsidP="004B7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FB636C" w14:textId="77777777" w:rsidR="004B764E" w:rsidRDefault="004B764E" w:rsidP="004B764E">
      <w:r>
        <w:separator/>
      </w:r>
    </w:p>
  </w:footnote>
  <w:footnote w:type="continuationSeparator" w:id="0">
    <w:p w14:paraId="63AA888A" w14:textId="77777777" w:rsidR="004B764E" w:rsidRDefault="004B764E" w:rsidP="004B764E">
      <w:r>
        <w:continuationSeparator/>
      </w:r>
    </w:p>
  </w:footnote>
  <w:footnote w:id="1">
    <w:p w14:paraId="0C2C6855" w14:textId="2B3927C9" w:rsidR="004B764E" w:rsidRDefault="004B76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 xml:space="preserve"> (2011): 35; Sedgwick (1964): 89.</w:t>
      </w:r>
    </w:p>
  </w:footnote>
  <w:footnote w:id="2">
    <w:p w14:paraId="57661239" w14:textId="3FE4D645" w:rsidR="00E36CB4" w:rsidRDefault="00E36C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 xml:space="preserve"> (2011): 35. </w:t>
      </w:r>
    </w:p>
  </w:footnote>
  <w:footnote w:id="3">
    <w:p w14:paraId="49CEC150" w14:textId="7FB0BD4F" w:rsidR="002476D2" w:rsidRDefault="002476D2">
      <w:pPr>
        <w:pStyle w:val="FootnoteText"/>
      </w:pPr>
      <w:r>
        <w:rPr>
          <w:rStyle w:val="FootnoteReference"/>
        </w:rPr>
        <w:footnoteRef/>
      </w:r>
      <w:r>
        <w:t xml:space="preserve"> Ibid., 37.</w:t>
      </w:r>
    </w:p>
  </w:footnote>
  <w:footnote w:id="4">
    <w:p w14:paraId="60AF667C" w14:textId="6D670208" w:rsidR="000007C4" w:rsidRDefault="000007C4">
      <w:pPr>
        <w:pStyle w:val="FootnoteText"/>
      </w:pPr>
      <w:r>
        <w:rPr>
          <w:rStyle w:val="FootnoteReference"/>
        </w:rPr>
        <w:footnoteRef/>
      </w:r>
      <w:r>
        <w:t xml:space="preserve"> Sedgwick (1964): 89.</w:t>
      </w:r>
      <w:bookmarkStart w:id="0" w:name="_GoBack"/>
      <w:bookmarkEnd w:id="0"/>
    </w:p>
  </w:footnote>
  <w:footnote w:id="5">
    <w:p w14:paraId="1023D307" w14:textId="489F53D9" w:rsidR="000007C4" w:rsidRDefault="000007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 xml:space="preserve"> (2011): 37.</w:t>
      </w:r>
    </w:p>
  </w:footnote>
  <w:footnote w:id="6">
    <w:p w14:paraId="68DE0E0F" w14:textId="6AB635E3" w:rsidR="000F4564" w:rsidRDefault="000F4564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7">
    <w:p w14:paraId="407992F5" w14:textId="0A7BDA90" w:rsidR="002235A0" w:rsidRDefault="002235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 xml:space="preserve"> (2011): 39; Sedgwick (1964): 90.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AD9"/>
    <w:rsid w:val="000007C4"/>
    <w:rsid w:val="000F4564"/>
    <w:rsid w:val="002235A0"/>
    <w:rsid w:val="002476D2"/>
    <w:rsid w:val="002F07B1"/>
    <w:rsid w:val="004A45A0"/>
    <w:rsid w:val="004B764E"/>
    <w:rsid w:val="004D307F"/>
    <w:rsid w:val="00535480"/>
    <w:rsid w:val="008062BE"/>
    <w:rsid w:val="00940CF7"/>
    <w:rsid w:val="00A97903"/>
    <w:rsid w:val="00B264F8"/>
    <w:rsid w:val="00B332CF"/>
    <w:rsid w:val="00C25AD9"/>
    <w:rsid w:val="00DB0EDF"/>
    <w:rsid w:val="00E36CB4"/>
    <w:rsid w:val="00F64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F4B3D"/>
  <w15:chartTrackingRefBased/>
  <w15:docId w15:val="{140D7B35-C099-46E5-AFB7-507A636F8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B764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B764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B764E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476D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476D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476D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TURABIAN.XSL" StyleName="Turabian" Version="6"/>
</file>

<file path=customXml/itemProps1.xml><?xml version="1.0" encoding="utf-8"?>
<ds:datastoreItem xmlns:ds="http://schemas.openxmlformats.org/officeDocument/2006/customXml" ds:itemID="{D0B8DFBE-1361-4E3D-A4E5-9089C248DA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405</TotalTime>
  <Pages>3</Pages>
  <Words>538</Words>
  <Characters>3069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9</cp:revision>
  <dcterms:created xsi:type="dcterms:W3CDTF">2019-10-07T00:27:00Z</dcterms:created>
  <dcterms:modified xsi:type="dcterms:W3CDTF">2019-10-20T12:57:00Z</dcterms:modified>
</cp:coreProperties>
</file>