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78C88B" w14:textId="77777777" w:rsidR="00763A33" w:rsidRPr="000011DB" w:rsidRDefault="00763A33" w:rsidP="00763A33">
      <w:pPr>
        <w:rPr>
          <w:sz w:val="32"/>
          <w:szCs w:val="36"/>
          <w:lang w:val="en-US"/>
        </w:rPr>
      </w:pPr>
      <w:r w:rsidRPr="00A406E5">
        <w:rPr>
          <w:rFonts w:ascii="Arial" w:hAnsi="Arial" w:cs="Arial"/>
          <w:noProof/>
        </w:rPr>
        <w:drawing>
          <wp:anchor distT="0" distB="0" distL="114300" distR="114300" simplePos="0" relativeHeight="251659264" behindDoc="0" locked="0" layoutInCell="1" allowOverlap="1" wp14:anchorId="2417D48F" wp14:editId="4142499E">
            <wp:simplePos x="0" y="0"/>
            <wp:positionH relativeFrom="column">
              <wp:posOffset>0</wp:posOffset>
            </wp:positionH>
            <wp:positionV relativeFrom="paragraph">
              <wp:posOffset>382270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margin">
              <wp14:pctWidth>0</wp14:pctWidth>
            </wp14:sizeRelH>
          </wp:anchor>
        </w:drawing>
      </w:r>
    </w:p>
    <w:p w14:paraId="2BB2573C" w14:textId="77777777" w:rsidR="00763A33" w:rsidRDefault="00763A33" w:rsidP="00763A33">
      <w:pPr>
        <w:rPr>
          <w:sz w:val="32"/>
          <w:szCs w:val="36"/>
          <w:lang w:val="en-US"/>
        </w:rPr>
      </w:pPr>
    </w:p>
    <w:p w14:paraId="73C9715C" w14:textId="77777777" w:rsidR="00763A33" w:rsidRDefault="00763A33" w:rsidP="00763A33">
      <w:pPr>
        <w:rPr>
          <w:sz w:val="32"/>
          <w:szCs w:val="36"/>
          <w:lang w:val="en-US"/>
        </w:rPr>
      </w:pPr>
    </w:p>
    <w:p w14:paraId="120ECB17" w14:textId="77777777" w:rsidR="00763A33" w:rsidRDefault="00763A33" w:rsidP="00763A33">
      <w:pPr>
        <w:rPr>
          <w:sz w:val="32"/>
          <w:szCs w:val="36"/>
          <w:lang w:val="en-US"/>
        </w:rPr>
      </w:pPr>
    </w:p>
    <w:tbl>
      <w:tblPr>
        <w:tblStyle w:val="TableGrid"/>
        <w:tblW w:w="9922" w:type="dxa"/>
        <w:tblLayout w:type="fixed"/>
        <w:tblLook w:val="0000" w:firstRow="0" w:lastRow="0" w:firstColumn="0" w:lastColumn="0" w:noHBand="0" w:noVBand="0"/>
      </w:tblPr>
      <w:tblGrid>
        <w:gridCol w:w="2093"/>
        <w:gridCol w:w="3293"/>
        <w:gridCol w:w="2268"/>
        <w:gridCol w:w="2268"/>
      </w:tblGrid>
      <w:tr w:rsidR="009041A2" w:rsidRPr="00756F4C" w14:paraId="7492BEE7" w14:textId="77777777" w:rsidTr="009041A2">
        <w:tc>
          <w:tcPr>
            <w:tcW w:w="2093" w:type="dxa"/>
          </w:tcPr>
          <w:p w14:paraId="5C91DDC9" w14:textId="0FBD4B58" w:rsidR="009041A2" w:rsidRPr="009041A2" w:rsidRDefault="009041A2" w:rsidP="009041A2">
            <w:pPr>
              <w:spacing w:before="120" w:after="120"/>
              <w:rPr>
                <w:rFonts w:cs="Times New Roman"/>
                <w:b/>
                <w:bCs/>
                <w:szCs w:val="24"/>
              </w:rPr>
            </w:pPr>
            <w:r w:rsidRPr="009041A2">
              <w:rPr>
                <w:b/>
                <w:bCs/>
              </w:rPr>
              <w:t>Student name:</w:t>
            </w:r>
          </w:p>
        </w:tc>
        <w:tc>
          <w:tcPr>
            <w:tcW w:w="3293" w:type="dxa"/>
          </w:tcPr>
          <w:p w14:paraId="62F65D35" w14:textId="30273D0B" w:rsidR="009041A2" w:rsidRPr="009041A2" w:rsidRDefault="009041A2" w:rsidP="009041A2">
            <w:pPr>
              <w:spacing w:before="120" w:after="120"/>
              <w:rPr>
                <w:rFonts w:cs="Times New Roman"/>
                <w:b/>
                <w:bCs/>
                <w:szCs w:val="24"/>
              </w:rPr>
            </w:pPr>
            <w:r w:rsidRPr="009041A2">
              <w:rPr>
                <w:b/>
                <w:bCs/>
              </w:rPr>
              <w:t>MOHAMMOD EMAD UDDIN</w:t>
            </w:r>
          </w:p>
        </w:tc>
        <w:tc>
          <w:tcPr>
            <w:tcW w:w="2268" w:type="dxa"/>
          </w:tcPr>
          <w:p w14:paraId="20629764" w14:textId="11CCD4B2" w:rsidR="009041A2" w:rsidRPr="009041A2" w:rsidRDefault="009041A2" w:rsidP="009041A2">
            <w:pPr>
              <w:spacing w:before="120" w:after="120"/>
              <w:rPr>
                <w:rFonts w:cs="Times New Roman"/>
                <w:b/>
                <w:bCs/>
                <w:szCs w:val="24"/>
              </w:rPr>
            </w:pPr>
            <w:r w:rsidRPr="009041A2">
              <w:rPr>
                <w:b/>
                <w:bCs/>
              </w:rPr>
              <w:t>Student ID number:</w:t>
            </w:r>
          </w:p>
        </w:tc>
        <w:tc>
          <w:tcPr>
            <w:tcW w:w="2268" w:type="dxa"/>
          </w:tcPr>
          <w:p w14:paraId="0156A8B4" w14:textId="7A086C14" w:rsidR="009041A2" w:rsidRPr="009041A2" w:rsidRDefault="009041A2" w:rsidP="009041A2">
            <w:pPr>
              <w:spacing w:before="120" w:after="120"/>
              <w:rPr>
                <w:rFonts w:cs="Times New Roman"/>
                <w:b/>
                <w:bCs/>
                <w:szCs w:val="24"/>
              </w:rPr>
            </w:pPr>
            <w:r w:rsidRPr="009041A2">
              <w:rPr>
                <w:b/>
                <w:bCs/>
              </w:rPr>
              <w:t>2503788</w:t>
            </w:r>
          </w:p>
        </w:tc>
      </w:tr>
      <w:tr w:rsidR="00763A33" w:rsidRPr="00756F4C" w14:paraId="70FEDB30" w14:textId="77777777" w:rsidTr="009041A2">
        <w:tc>
          <w:tcPr>
            <w:tcW w:w="2093" w:type="dxa"/>
          </w:tcPr>
          <w:p w14:paraId="3CB2A8FE" w14:textId="77777777" w:rsidR="00763A33" w:rsidRPr="00756F4C" w:rsidRDefault="00763A33" w:rsidP="00766FC8">
            <w:pPr>
              <w:spacing w:before="120" w:after="120"/>
              <w:rPr>
                <w:rFonts w:cs="Times New Roman"/>
                <w:b/>
                <w:szCs w:val="24"/>
              </w:rPr>
            </w:pPr>
            <w:r w:rsidRPr="00756F4C">
              <w:rPr>
                <w:rFonts w:cs="Times New Roman"/>
                <w:b/>
                <w:szCs w:val="24"/>
              </w:rPr>
              <w:t>Programme:</w:t>
            </w:r>
          </w:p>
        </w:tc>
        <w:tc>
          <w:tcPr>
            <w:tcW w:w="7829" w:type="dxa"/>
            <w:gridSpan w:val="3"/>
          </w:tcPr>
          <w:p w14:paraId="2D09EE11" w14:textId="77777777" w:rsidR="00763A33" w:rsidRPr="00756F4C" w:rsidRDefault="00763A33" w:rsidP="00766FC8">
            <w:pPr>
              <w:spacing w:before="120" w:after="120"/>
              <w:rPr>
                <w:rFonts w:cs="Times New Roman"/>
                <w:b/>
                <w:szCs w:val="24"/>
              </w:rPr>
            </w:pPr>
            <w:r w:rsidRPr="00756F4C">
              <w:rPr>
                <w:rFonts w:cs="Times New Roman"/>
                <w:szCs w:val="24"/>
              </w:rPr>
              <w:t>MBA</w:t>
            </w:r>
          </w:p>
        </w:tc>
      </w:tr>
      <w:tr w:rsidR="00763A33" w:rsidRPr="00756F4C" w14:paraId="0A121566" w14:textId="77777777" w:rsidTr="009041A2">
        <w:tc>
          <w:tcPr>
            <w:tcW w:w="2093" w:type="dxa"/>
          </w:tcPr>
          <w:p w14:paraId="7C2BB88B" w14:textId="77777777" w:rsidR="00763A33" w:rsidRPr="00756F4C" w:rsidRDefault="00763A33" w:rsidP="00766FC8">
            <w:pPr>
              <w:spacing w:before="120" w:after="120"/>
              <w:rPr>
                <w:rFonts w:cs="Times New Roman"/>
                <w:b/>
                <w:szCs w:val="24"/>
              </w:rPr>
            </w:pPr>
            <w:r w:rsidRPr="00756F4C">
              <w:rPr>
                <w:rFonts w:cs="Times New Roman"/>
                <w:b/>
                <w:szCs w:val="24"/>
              </w:rPr>
              <w:t>Module:</w:t>
            </w:r>
          </w:p>
        </w:tc>
        <w:tc>
          <w:tcPr>
            <w:tcW w:w="7829" w:type="dxa"/>
            <w:gridSpan w:val="3"/>
          </w:tcPr>
          <w:p w14:paraId="3453B34B" w14:textId="77777777" w:rsidR="00763A33" w:rsidRPr="00756F4C" w:rsidRDefault="00763A33" w:rsidP="00766FC8">
            <w:pPr>
              <w:spacing w:before="120" w:after="120"/>
              <w:rPr>
                <w:rFonts w:cs="Times New Roman"/>
                <w:b/>
                <w:szCs w:val="24"/>
              </w:rPr>
            </w:pPr>
            <w:r w:rsidRPr="00756F4C">
              <w:rPr>
                <w:rFonts w:cs="Times New Roman"/>
                <w:szCs w:val="24"/>
              </w:rPr>
              <w:t>Finance for Business Managers</w:t>
            </w:r>
          </w:p>
        </w:tc>
      </w:tr>
      <w:tr w:rsidR="00763A33" w:rsidRPr="00756F4C" w14:paraId="271E101E" w14:textId="77777777" w:rsidTr="009041A2">
        <w:tc>
          <w:tcPr>
            <w:tcW w:w="2093" w:type="dxa"/>
          </w:tcPr>
          <w:p w14:paraId="72CB92AA" w14:textId="77777777" w:rsidR="00763A33" w:rsidRPr="00756F4C" w:rsidRDefault="00763A33" w:rsidP="00766FC8">
            <w:pPr>
              <w:spacing w:before="120" w:after="120"/>
              <w:rPr>
                <w:rFonts w:cs="Times New Roman"/>
                <w:b/>
                <w:szCs w:val="24"/>
              </w:rPr>
            </w:pPr>
            <w:r w:rsidRPr="00756F4C">
              <w:rPr>
                <w:rFonts w:cs="Times New Roman"/>
                <w:b/>
                <w:szCs w:val="24"/>
              </w:rPr>
              <w:t>Module code:</w:t>
            </w:r>
          </w:p>
        </w:tc>
        <w:tc>
          <w:tcPr>
            <w:tcW w:w="3293" w:type="dxa"/>
          </w:tcPr>
          <w:p w14:paraId="06C66ED6" w14:textId="77777777" w:rsidR="00763A33" w:rsidRPr="00756F4C" w:rsidRDefault="00763A33" w:rsidP="00766FC8">
            <w:pPr>
              <w:spacing w:before="120" w:after="120"/>
              <w:rPr>
                <w:rFonts w:cs="Times New Roman"/>
                <w:b/>
                <w:szCs w:val="24"/>
              </w:rPr>
            </w:pPr>
            <w:r w:rsidRPr="00756F4C">
              <w:rPr>
                <w:rFonts w:cs="Times New Roman"/>
                <w:bCs/>
                <w:szCs w:val="24"/>
              </w:rPr>
              <w:t>BMMB7005D</w:t>
            </w:r>
          </w:p>
        </w:tc>
        <w:tc>
          <w:tcPr>
            <w:tcW w:w="2268" w:type="dxa"/>
          </w:tcPr>
          <w:p w14:paraId="0596AA96" w14:textId="77777777" w:rsidR="00763A33" w:rsidRPr="00756F4C" w:rsidRDefault="00763A33" w:rsidP="00766FC8">
            <w:pPr>
              <w:pStyle w:val="Heading2"/>
              <w:outlineLvl w:val="1"/>
              <w:rPr>
                <w:rFonts w:ascii="Times New Roman" w:hAnsi="Times New Roman" w:cs="Times New Roman"/>
                <w:color w:val="auto"/>
                <w:sz w:val="24"/>
                <w:szCs w:val="24"/>
              </w:rPr>
            </w:pPr>
            <w:r w:rsidRPr="00756F4C">
              <w:rPr>
                <w:rFonts w:ascii="Times New Roman" w:hAnsi="Times New Roman" w:cs="Times New Roman"/>
                <w:color w:val="auto"/>
                <w:sz w:val="24"/>
                <w:szCs w:val="24"/>
              </w:rPr>
              <w:t>Contribution to Overall Module Assessment (%):</w:t>
            </w:r>
          </w:p>
        </w:tc>
        <w:tc>
          <w:tcPr>
            <w:tcW w:w="2268" w:type="dxa"/>
          </w:tcPr>
          <w:p w14:paraId="001B01BB" w14:textId="77777777" w:rsidR="00763A33" w:rsidRPr="00756F4C" w:rsidRDefault="00763A33" w:rsidP="00766FC8">
            <w:pPr>
              <w:spacing w:before="120" w:after="120"/>
              <w:rPr>
                <w:rFonts w:cs="Times New Roman"/>
                <w:b/>
                <w:szCs w:val="24"/>
              </w:rPr>
            </w:pPr>
            <w:r w:rsidRPr="00756F4C">
              <w:rPr>
                <w:rFonts w:cs="Times New Roman"/>
                <w:szCs w:val="24"/>
              </w:rPr>
              <w:t>100%</w:t>
            </w:r>
          </w:p>
        </w:tc>
      </w:tr>
      <w:tr w:rsidR="00763A33" w:rsidRPr="00756F4C" w14:paraId="48B80314" w14:textId="77777777" w:rsidTr="009041A2">
        <w:tc>
          <w:tcPr>
            <w:tcW w:w="2093" w:type="dxa"/>
          </w:tcPr>
          <w:p w14:paraId="475D16AE" w14:textId="77777777" w:rsidR="00763A33" w:rsidRPr="00756F4C" w:rsidRDefault="00763A33" w:rsidP="00766FC8">
            <w:pPr>
              <w:spacing w:before="120" w:after="120"/>
              <w:rPr>
                <w:rFonts w:cs="Times New Roman"/>
                <w:b/>
                <w:szCs w:val="24"/>
              </w:rPr>
            </w:pPr>
            <w:r w:rsidRPr="00756F4C">
              <w:rPr>
                <w:rFonts w:cs="Times New Roman"/>
                <w:b/>
                <w:szCs w:val="24"/>
              </w:rPr>
              <w:t>Lecturer:</w:t>
            </w:r>
          </w:p>
        </w:tc>
        <w:tc>
          <w:tcPr>
            <w:tcW w:w="3293" w:type="dxa"/>
          </w:tcPr>
          <w:p w14:paraId="593BF9E2" w14:textId="77777777" w:rsidR="00763A33" w:rsidRPr="00756F4C" w:rsidRDefault="00763A33" w:rsidP="00766FC8">
            <w:pPr>
              <w:spacing w:before="120" w:after="120"/>
              <w:rPr>
                <w:rFonts w:cs="Times New Roman"/>
                <w:b/>
                <w:szCs w:val="24"/>
              </w:rPr>
            </w:pPr>
            <w:r w:rsidRPr="00756F4C">
              <w:rPr>
                <w:rFonts w:cs="Times New Roman"/>
                <w:szCs w:val="24"/>
              </w:rPr>
              <w:t>Marie Pitson</w:t>
            </w:r>
          </w:p>
        </w:tc>
        <w:tc>
          <w:tcPr>
            <w:tcW w:w="2268" w:type="dxa"/>
          </w:tcPr>
          <w:p w14:paraId="6CEE49C9" w14:textId="77777777" w:rsidR="00763A33" w:rsidRPr="00756F4C" w:rsidRDefault="00763A33" w:rsidP="00766FC8">
            <w:pPr>
              <w:spacing w:before="120" w:after="120"/>
              <w:rPr>
                <w:rFonts w:cs="Times New Roman"/>
                <w:b/>
                <w:szCs w:val="24"/>
              </w:rPr>
            </w:pPr>
            <w:r w:rsidRPr="00756F4C">
              <w:rPr>
                <w:rFonts w:cs="Times New Roman"/>
                <w:b/>
                <w:szCs w:val="24"/>
              </w:rPr>
              <w:t>Internal Verifier:</w:t>
            </w:r>
          </w:p>
        </w:tc>
        <w:tc>
          <w:tcPr>
            <w:tcW w:w="2268" w:type="dxa"/>
          </w:tcPr>
          <w:p w14:paraId="0C919970" w14:textId="77777777" w:rsidR="00763A33" w:rsidRPr="00756F4C" w:rsidRDefault="00763A33" w:rsidP="00766FC8">
            <w:pPr>
              <w:spacing w:before="120" w:after="120"/>
              <w:rPr>
                <w:rFonts w:cs="Times New Roman"/>
                <w:b/>
                <w:szCs w:val="24"/>
              </w:rPr>
            </w:pPr>
            <w:r w:rsidRPr="00756F4C">
              <w:rPr>
                <w:rFonts w:cs="Times New Roman"/>
                <w:szCs w:val="24"/>
              </w:rPr>
              <w:t>Badir Miftah</w:t>
            </w:r>
          </w:p>
        </w:tc>
      </w:tr>
      <w:tr w:rsidR="00763A33" w:rsidRPr="00756F4C" w14:paraId="05D18E7B" w14:textId="77777777" w:rsidTr="009041A2">
        <w:tc>
          <w:tcPr>
            <w:tcW w:w="2093" w:type="dxa"/>
          </w:tcPr>
          <w:p w14:paraId="565AE23E" w14:textId="77777777" w:rsidR="00763A33" w:rsidRPr="00756F4C" w:rsidRDefault="00763A33" w:rsidP="00766FC8">
            <w:pPr>
              <w:spacing w:before="120" w:after="120"/>
              <w:rPr>
                <w:rFonts w:cs="Times New Roman"/>
                <w:b/>
                <w:szCs w:val="24"/>
              </w:rPr>
            </w:pPr>
            <w:r w:rsidRPr="00756F4C">
              <w:rPr>
                <w:rFonts w:cs="Times New Roman"/>
                <w:b/>
                <w:szCs w:val="24"/>
              </w:rPr>
              <w:t>Assignment Title:</w:t>
            </w:r>
          </w:p>
        </w:tc>
        <w:tc>
          <w:tcPr>
            <w:tcW w:w="3293" w:type="dxa"/>
          </w:tcPr>
          <w:p w14:paraId="77A64567" w14:textId="01D2E714" w:rsidR="00763A33" w:rsidRPr="00756F4C" w:rsidRDefault="00763A33" w:rsidP="00766FC8">
            <w:pPr>
              <w:spacing w:before="120" w:after="120"/>
              <w:rPr>
                <w:rFonts w:cs="Times New Roman"/>
                <w:szCs w:val="24"/>
              </w:rPr>
            </w:pPr>
            <w:r>
              <w:rPr>
                <w:rFonts w:cs="Times New Roman"/>
                <w:szCs w:val="24"/>
              </w:rPr>
              <w:t>Finance Report for</w:t>
            </w:r>
            <w:r w:rsidR="00BD1D76" w:rsidRPr="00370CCC">
              <w:rPr>
                <w:lang w:val="en-IN"/>
              </w:rPr>
              <w:t xml:space="preserve"> Reckitt Benckiser Group</w:t>
            </w:r>
            <w:r>
              <w:rPr>
                <w:rFonts w:cs="Times New Roman"/>
                <w:szCs w:val="24"/>
              </w:rPr>
              <w:t xml:space="preserve"> Plc &amp; </w:t>
            </w:r>
            <w:r w:rsidRPr="00756F4C">
              <w:rPr>
                <w:rFonts w:cs="Times New Roman"/>
                <w:szCs w:val="24"/>
              </w:rPr>
              <w:t>Westward Plc</w:t>
            </w:r>
          </w:p>
        </w:tc>
        <w:tc>
          <w:tcPr>
            <w:tcW w:w="2268" w:type="dxa"/>
          </w:tcPr>
          <w:p w14:paraId="40C17B4D" w14:textId="77777777" w:rsidR="00763A33" w:rsidRPr="00756F4C" w:rsidRDefault="00763A33" w:rsidP="00766FC8">
            <w:pPr>
              <w:spacing w:before="120" w:after="120"/>
              <w:rPr>
                <w:rFonts w:cs="Times New Roman"/>
                <w:b/>
                <w:szCs w:val="24"/>
              </w:rPr>
            </w:pPr>
            <w:r w:rsidRPr="00756F4C">
              <w:rPr>
                <w:rFonts w:cs="Times New Roman"/>
                <w:b/>
                <w:szCs w:val="24"/>
              </w:rPr>
              <w:t>Word count (or equivalent):</w:t>
            </w:r>
          </w:p>
        </w:tc>
        <w:tc>
          <w:tcPr>
            <w:tcW w:w="2268" w:type="dxa"/>
          </w:tcPr>
          <w:p w14:paraId="59A40E9D" w14:textId="77777777" w:rsidR="00763A33" w:rsidRPr="00756F4C" w:rsidRDefault="00763A33" w:rsidP="00766FC8">
            <w:pPr>
              <w:spacing w:before="120" w:after="120"/>
              <w:rPr>
                <w:rFonts w:cs="Times New Roman"/>
                <w:b/>
                <w:szCs w:val="24"/>
              </w:rPr>
            </w:pPr>
            <w:r w:rsidRPr="00756F4C">
              <w:rPr>
                <w:rFonts w:cs="Times New Roman"/>
                <w:szCs w:val="24"/>
              </w:rPr>
              <w:t>5000 words</w:t>
            </w:r>
          </w:p>
        </w:tc>
      </w:tr>
      <w:tr w:rsidR="00763A33" w:rsidRPr="00756F4C" w14:paraId="55A7D5E8" w14:textId="77777777" w:rsidTr="009041A2">
        <w:tc>
          <w:tcPr>
            <w:tcW w:w="2093" w:type="dxa"/>
          </w:tcPr>
          <w:p w14:paraId="5353B84F" w14:textId="77777777" w:rsidR="00763A33" w:rsidRPr="00756F4C" w:rsidRDefault="00763A33" w:rsidP="00766FC8">
            <w:pPr>
              <w:spacing w:before="120" w:after="120"/>
              <w:rPr>
                <w:rFonts w:cs="Times New Roman"/>
                <w:b/>
                <w:szCs w:val="24"/>
              </w:rPr>
            </w:pPr>
            <w:r w:rsidRPr="00756F4C">
              <w:rPr>
                <w:rFonts w:cs="Times New Roman"/>
                <w:b/>
                <w:szCs w:val="24"/>
              </w:rPr>
              <w:t>Submission deadline:</w:t>
            </w:r>
          </w:p>
        </w:tc>
        <w:tc>
          <w:tcPr>
            <w:tcW w:w="3293" w:type="dxa"/>
          </w:tcPr>
          <w:p w14:paraId="4DD28E4F" w14:textId="77777777" w:rsidR="00763A33" w:rsidRPr="00756F4C" w:rsidRDefault="00763A33" w:rsidP="00766FC8">
            <w:pPr>
              <w:spacing w:before="120" w:after="120"/>
              <w:rPr>
                <w:rFonts w:cs="Times New Roman"/>
                <w:szCs w:val="24"/>
              </w:rPr>
            </w:pPr>
            <w:r w:rsidRPr="00756F4C">
              <w:rPr>
                <w:rFonts w:cs="Times New Roman"/>
                <w:szCs w:val="24"/>
              </w:rPr>
              <w:t>12</w:t>
            </w:r>
            <w:r w:rsidRPr="00756F4C">
              <w:rPr>
                <w:rFonts w:cs="Times New Roman"/>
                <w:szCs w:val="24"/>
                <w:vertAlign w:val="superscript"/>
              </w:rPr>
              <w:t>th</w:t>
            </w:r>
            <w:r w:rsidRPr="00756F4C">
              <w:rPr>
                <w:rFonts w:cs="Times New Roman"/>
                <w:szCs w:val="24"/>
              </w:rPr>
              <w:t xml:space="preserve"> January 2026</w:t>
            </w:r>
          </w:p>
        </w:tc>
        <w:tc>
          <w:tcPr>
            <w:tcW w:w="2268" w:type="dxa"/>
          </w:tcPr>
          <w:p w14:paraId="21AA3DD9" w14:textId="77777777" w:rsidR="00763A33" w:rsidRPr="00756F4C" w:rsidRDefault="00763A33" w:rsidP="00766FC8">
            <w:pPr>
              <w:spacing w:before="120" w:after="120"/>
              <w:rPr>
                <w:rFonts w:cs="Times New Roman"/>
                <w:b/>
                <w:szCs w:val="24"/>
              </w:rPr>
            </w:pPr>
          </w:p>
        </w:tc>
        <w:tc>
          <w:tcPr>
            <w:tcW w:w="2268" w:type="dxa"/>
          </w:tcPr>
          <w:p w14:paraId="1B137CCF" w14:textId="77777777" w:rsidR="00763A33" w:rsidRPr="00756F4C" w:rsidRDefault="00763A33" w:rsidP="00766FC8">
            <w:pPr>
              <w:spacing w:before="120" w:after="120"/>
              <w:rPr>
                <w:rFonts w:cs="Times New Roman"/>
                <w:szCs w:val="24"/>
              </w:rPr>
            </w:pPr>
          </w:p>
        </w:tc>
      </w:tr>
    </w:tbl>
    <w:p w14:paraId="22C614C7" w14:textId="77777777" w:rsidR="00763A33" w:rsidRDefault="00763A33" w:rsidP="00763A33">
      <w:pPr>
        <w:rPr>
          <w:sz w:val="32"/>
          <w:szCs w:val="36"/>
          <w:lang w:val="en-US"/>
        </w:rPr>
      </w:pPr>
    </w:p>
    <w:p w14:paraId="320AF535" w14:textId="696DAE92" w:rsidR="00763A33" w:rsidRDefault="00763A33" w:rsidP="00D50F6A">
      <w:pPr>
        <w:pStyle w:val="NoSpacing"/>
        <w:spacing w:before="480"/>
        <w:jc w:val="center"/>
        <w:rPr>
          <w:color w:val="156082" w:themeColor="accent1"/>
        </w:rPr>
      </w:pPr>
    </w:p>
    <w:p w14:paraId="2FCEF959" w14:textId="77777777" w:rsidR="00763A33" w:rsidRDefault="00763A33" w:rsidP="00D50F6A">
      <w:pPr>
        <w:pStyle w:val="NoSpacing"/>
        <w:spacing w:before="480"/>
        <w:jc w:val="center"/>
        <w:rPr>
          <w:color w:val="156082" w:themeColor="accent1"/>
        </w:rPr>
      </w:pPr>
    </w:p>
    <w:p w14:paraId="2B35791E" w14:textId="3386F58E" w:rsidR="00FD3076" w:rsidRPr="00577F2F" w:rsidRDefault="00FD3076">
      <w:pPr>
        <w:spacing w:line="259" w:lineRule="auto"/>
        <w:jc w:val="left"/>
        <w:rPr>
          <w:rFonts w:cs="Times New Roman"/>
        </w:rPr>
      </w:pPr>
      <w:r w:rsidRPr="00577F2F">
        <w:rPr>
          <w:rFonts w:cs="Times New Roman"/>
        </w:rPr>
        <w:br w:type="page"/>
      </w:r>
    </w:p>
    <w:p w14:paraId="10082FF5" w14:textId="77777777" w:rsidR="003A3D2B" w:rsidRPr="003A3D2B" w:rsidRDefault="003A3D2B" w:rsidP="003A3D2B">
      <w:pPr>
        <w:pStyle w:val="Heading1"/>
        <w:rPr>
          <w:lang w:val="en-IN"/>
        </w:rPr>
      </w:pPr>
      <w:bookmarkStart w:id="0" w:name="_Toc219014260"/>
      <w:r w:rsidRPr="003A3D2B">
        <w:rPr>
          <w:lang w:val="en-IN"/>
        </w:rPr>
        <w:lastRenderedPageBreak/>
        <w:t>Executive Summary</w:t>
      </w:r>
      <w:bookmarkEnd w:id="0"/>
    </w:p>
    <w:p w14:paraId="524F7B0C" w14:textId="62F63688" w:rsidR="00370CCC" w:rsidRPr="00370CCC" w:rsidRDefault="00370CCC" w:rsidP="00370CCC">
      <w:pPr>
        <w:rPr>
          <w:lang w:val="en-IN"/>
        </w:rPr>
      </w:pPr>
      <w:r w:rsidRPr="00370CCC">
        <w:rPr>
          <w:lang w:val="en-IN"/>
        </w:rPr>
        <w:t>The purpose of this report is to</w:t>
      </w:r>
      <w:r>
        <w:rPr>
          <w:lang w:val="en-IN"/>
        </w:rPr>
        <w:t xml:space="preserve"> conduct a</w:t>
      </w:r>
      <w:r w:rsidRPr="00370CCC">
        <w:rPr>
          <w:lang w:val="en-IN"/>
        </w:rPr>
        <w:t xml:space="preserve"> </w:t>
      </w:r>
      <w:r>
        <w:rPr>
          <w:lang w:val="en-IN"/>
        </w:rPr>
        <w:t xml:space="preserve">financial analysis </w:t>
      </w:r>
      <w:r w:rsidRPr="00370CCC">
        <w:rPr>
          <w:lang w:val="en-IN"/>
        </w:rPr>
        <w:t>of Reckitt Benckiser Group plc</w:t>
      </w:r>
      <w:r>
        <w:rPr>
          <w:lang w:val="en-IN"/>
        </w:rPr>
        <w:t>,</w:t>
      </w:r>
      <w:r w:rsidRPr="00370CCC">
        <w:rPr>
          <w:lang w:val="en-IN"/>
        </w:rPr>
        <w:t xml:space="preserve"> a</w:t>
      </w:r>
      <w:r>
        <w:rPr>
          <w:lang w:val="en-IN"/>
        </w:rPr>
        <w:t>n</w:t>
      </w:r>
      <w:r w:rsidRPr="00370CCC">
        <w:rPr>
          <w:lang w:val="en-IN"/>
        </w:rPr>
        <w:t xml:space="preserve"> FTSE 100 listed firm on the London Stock Exchange (using the latest annual reports it has published on the group covering the 2023 and 2024 financial years). The analysis will involve financial ratio analysis and investment appraisal value techniques in evaluating the financial performance of the company, its risk profile, and value creation, and a separate capital investment decision of Westward Plc.</w:t>
      </w:r>
      <w:r>
        <w:rPr>
          <w:lang w:val="en-IN"/>
        </w:rPr>
        <w:t xml:space="preserve"> </w:t>
      </w:r>
      <w:r w:rsidRPr="00370CCC">
        <w:rPr>
          <w:lang w:val="en-IN"/>
        </w:rPr>
        <w:t>The initial section of the report analy</w:t>
      </w:r>
      <w:r>
        <w:rPr>
          <w:lang w:val="en-IN"/>
        </w:rPr>
        <w:t>s</w:t>
      </w:r>
      <w:r w:rsidRPr="00370CCC">
        <w:rPr>
          <w:lang w:val="en-IN"/>
        </w:rPr>
        <w:t xml:space="preserve">es the strategic situation of Reckitt Benckiser and its financial status in the international consumer health and hygiene sector. It can be seen that the company is also in a fairly defensive industry where brand loyalty and stable demand exist, </w:t>
      </w:r>
      <w:r>
        <w:rPr>
          <w:lang w:val="en-IN"/>
        </w:rPr>
        <w:t xml:space="preserve">but </w:t>
      </w:r>
      <w:r w:rsidRPr="00370CCC">
        <w:rPr>
          <w:lang w:val="en-IN"/>
        </w:rPr>
        <w:t xml:space="preserve">the company is being pressured more by cost inflation, </w:t>
      </w:r>
      <w:r>
        <w:rPr>
          <w:lang w:val="en-IN"/>
        </w:rPr>
        <w:t xml:space="preserve">the </w:t>
      </w:r>
      <w:r w:rsidRPr="00370CCC">
        <w:rPr>
          <w:lang w:val="en-IN"/>
        </w:rPr>
        <w:t>restructuring process and also by the rise in interest rates. Analysis of financial ratios reveals an average performance. Gross margin profitability is strong with strong pricing power, whereas operating and net profit margin</w:t>
      </w:r>
      <w:r>
        <w:rPr>
          <w:lang w:val="en-IN"/>
        </w:rPr>
        <w:t>s</w:t>
      </w:r>
      <w:r w:rsidRPr="00370CCC">
        <w:rPr>
          <w:lang w:val="en-IN"/>
        </w:rPr>
        <w:t xml:space="preserve"> decreased because of </w:t>
      </w:r>
      <w:r>
        <w:rPr>
          <w:lang w:val="en-IN"/>
        </w:rPr>
        <w:t xml:space="preserve">an </w:t>
      </w:r>
      <w:r w:rsidRPr="00370CCC">
        <w:rPr>
          <w:lang w:val="en-IN"/>
        </w:rPr>
        <w:t>increase in operating and finance expenses. There was an improvement in returns on equity and capital employed</w:t>
      </w:r>
      <w:r>
        <w:rPr>
          <w:lang w:val="en-IN"/>
        </w:rPr>
        <w:t>,</w:t>
      </w:r>
      <w:r w:rsidRPr="00370CCC">
        <w:rPr>
          <w:lang w:val="en-IN"/>
        </w:rPr>
        <w:t xml:space="preserve"> and this was mainly because of the rise in leverage as opposed to the natural growth in profits.</w:t>
      </w:r>
      <w:r>
        <w:rPr>
          <w:lang w:val="en-IN"/>
        </w:rPr>
        <w:t xml:space="preserve"> </w:t>
      </w:r>
      <w:r w:rsidRPr="00370CCC">
        <w:rPr>
          <w:lang w:val="en-IN"/>
        </w:rPr>
        <w:t>Liquidity ratios deteriorated during the period, which means that it lacked financial flexibility in the short term</w:t>
      </w:r>
      <w:r>
        <w:rPr>
          <w:lang w:val="en-IN"/>
        </w:rPr>
        <w:t>,</w:t>
      </w:r>
      <w:r w:rsidRPr="00370CCC">
        <w:rPr>
          <w:lang w:val="en-IN"/>
        </w:rPr>
        <w:t xml:space="preserve"> and customers rel</w:t>
      </w:r>
      <w:r>
        <w:rPr>
          <w:lang w:val="en-IN"/>
        </w:rPr>
        <w:t>ied</w:t>
      </w:r>
      <w:r w:rsidRPr="00370CCC">
        <w:rPr>
          <w:lang w:val="en-IN"/>
        </w:rPr>
        <w:t xml:space="preserve"> more on cash inflows and credit </w:t>
      </w:r>
      <w:r>
        <w:rPr>
          <w:lang w:val="en-IN"/>
        </w:rPr>
        <w:t>from</w:t>
      </w:r>
      <w:r w:rsidRPr="00370CCC">
        <w:rPr>
          <w:lang w:val="en-IN"/>
        </w:rPr>
        <w:t xml:space="preserve"> suppliers. The gearing ratios went up, indicating </w:t>
      </w:r>
      <w:r>
        <w:rPr>
          <w:lang w:val="en-IN"/>
        </w:rPr>
        <w:t>a</w:t>
      </w:r>
      <w:r w:rsidRPr="00370CCC">
        <w:rPr>
          <w:lang w:val="en-IN"/>
        </w:rPr>
        <w:t xml:space="preserve"> more aggressive capital structure after major distributions of shares to shareholders, and the decrease </w:t>
      </w:r>
      <w:r>
        <w:rPr>
          <w:lang w:val="en-IN"/>
        </w:rPr>
        <w:t>in</w:t>
      </w:r>
      <w:r w:rsidRPr="00370CCC">
        <w:rPr>
          <w:lang w:val="en-IN"/>
        </w:rPr>
        <w:t xml:space="preserve"> interest cover, signifying the exposure to interest rate risk. The efficiency ratios indicated an improvement in the inventory and utilisation of assets, but the collection of receivables was slightly slow. The investment ratios showed a fall in the earnings per share, but a rapid increase in the price-earnings ratio</w:t>
      </w:r>
      <w:r>
        <w:rPr>
          <w:lang w:val="en-IN"/>
        </w:rPr>
        <w:t>,</w:t>
      </w:r>
      <w:r w:rsidRPr="00370CCC">
        <w:rPr>
          <w:lang w:val="en-IN"/>
        </w:rPr>
        <w:t xml:space="preserve"> indicating that the market has great confidence in the long-term strategy of the company despite the short-term pressures on earnings per share. In general, this analysis has determined that Reckitt Benckiser has good underlying operations but an increased financial risk which it needs to manage.</w:t>
      </w:r>
    </w:p>
    <w:p w14:paraId="5AF79FD0" w14:textId="49FBCF39" w:rsidR="003A3D2B" w:rsidRDefault="00370CCC" w:rsidP="00370CCC">
      <w:pPr>
        <w:rPr>
          <w:lang w:val="en-IN"/>
        </w:rPr>
      </w:pPr>
      <w:r w:rsidRPr="00370CCC">
        <w:rPr>
          <w:lang w:val="en-IN"/>
        </w:rPr>
        <w:t xml:space="preserve">The second section of the report analyses the three investment options available to Westward Plc by application of the discounted cash flow method. Processes In the Net Present Value (NPV) analysis, the most economically desirable project was found to be Option B (development of internet sales), and it produces the highest NPV at a cost of capital of 6% per annum. The cost of capital was considerably lower than the Internal Rate of Return (IRR), which supported the NPV choice. In the condition of capital rationing, the optimal investment policy was to take the full </w:t>
      </w:r>
      <w:r>
        <w:rPr>
          <w:lang w:val="en-IN"/>
        </w:rPr>
        <w:t xml:space="preserve">amount of Option A </w:t>
      </w:r>
      <w:r w:rsidRPr="00370CCC">
        <w:rPr>
          <w:lang w:val="en-IN"/>
        </w:rPr>
        <w:t xml:space="preserve">and a proportion of Option A and B and take a part of </w:t>
      </w:r>
      <w:r>
        <w:rPr>
          <w:lang w:val="en-IN"/>
        </w:rPr>
        <w:t>O</w:t>
      </w:r>
      <w:r w:rsidRPr="00370CCC">
        <w:rPr>
          <w:lang w:val="en-IN"/>
        </w:rPr>
        <w:t>ption C, which maximised the total value to the shareholders.</w:t>
      </w:r>
      <w:r>
        <w:rPr>
          <w:lang w:val="en-IN"/>
        </w:rPr>
        <w:t xml:space="preserve"> </w:t>
      </w:r>
      <w:r w:rsidRPr="00370CCC">
        <w:rPr>
          <w:lang w:val="en-IN"/>
        </w:rPr>
        <w:t xml:space="preserve">The report ends with a </w:t>
      </w:r>
      <w:r w:rsidRPr="00370CCC">
        <w:rPr>
          <w:lang w:val="en-IN"/>
        </w:rPr>
        <w:lastRenderedPageBreak/>
        <w:t>recommendation that investment decisions must be made</w:t>
      </w:r>
      <w:r>
        <w:rPr>
          <w:lang w:val="en-IN"/>
        </w:rPr>
        <w:t>,</w:t>
      </w:r>
      <w:r w:rsidRPr="00370CCC">
        <w:rPr>
          <w:lang w:val="en-IN"/>
        </w:rPr>
        <w:t xml:space="preserve"> emphasising value-based appraisal techniques like NPV as justification with strategic fit, risk, operational capability, and financing structure in consideration. The combination of debt and internal financing is recommended to achieve expansion and stability in finances and share prices</w:t>
      </w:r>
      <w:r w:rsidR="003A3D2B" w:rsidRPr="003A3D2B">
        <w:rPr>
          <w:lang w:val="en-IN"/>
        </w:rPr>
        <w:t>.</w:t>
      </w:r>
    </w:p>
    <w:p w14:paraId="0F651930" w14:textId="3483FC63" w:rsidR="003A3D2B" w:rsidRDefault="003A3D2B">
      <w:pPr>
        <w:spacing w:line="259" w:lineRule="auto"/>
        <w:jc w:val="left"/>
        <w:rPr>
          <w:lang w:val="en-IN"/>
        </w:rPr>
      </w:pPr>
      <w:r>
        <w:rPr>
          <w:lang w:val="en-IN"/>
        </w:rPr>
        <w:br w:type="page"/>
      </w:r>
    </w:p>
    <w:sdt>
      <w:sdtPr>
        <w:rPr>
          <w:rFonts w:ascii="Times New Roman" w:eastAsiaTheme="minorHAnsi" w:hAnsi="Times New Roman" w:cstheme="minorBidi"/>
          <w:color w:val="auto"/>
          <w:sz w:val="24"/>
          <w:szCs w:val="22"/>
          <w:lang w:val="en-GB"/>
        </w:rPr>
        <w:id w:val="41566325"/>
        <w:docPartObj>
          <w:docPartGallery w:val="Table of Contents"/>
          <w:docPartUnique/>
        </w:docPartObj>
      </w:sdtPr>
      <w:sdtEndPr>
        <w:rPr>
          <w:b/>
          <w:bCs/>
          <w:noProof/>
        </w:rPr>
      </w:sdtEndPr>
      <w:sdtContent>
        <w:p w14:paraId="3588BC82" w14:textId="7A1B37EB" w:rsidR="009B5E98" w:rsidRPr="009B5E98" w:rsidRDefault="009B5E98" w:rsidP="009B5E98">
          <w:pPr>
            <w:pStyle w:val="TOCHeading"/>
            <w:spacing w:line="360" w:lineRule="auto"/>
            <w:rPr>
              <w:b/>
              <w:bCs/>
            </w:rPr>
          </w:pPr>
          <w:r w:rsidRPr="009B5E98">
            <w:rPr>
              <w:b/>
              <w:bCs/>
            </w:rPr>
            <w:t>Contents</w:t>
          </w:r>
        </w:p>
        <w:p w14:paraId="16B6DBB3" w14:textId="17F05723" w:rsidR="009B5E98" w:rsidRDefault="009B5E98" w:rsidP="009B5E98">
          <w:pPr>
            <w:pStyle w:val="TOC1"/>
            <w:tabs>
              <w:tab w:val="right" w:leader="dot" w:pos="9016"/>
            </w:tabs>
            <w:rPr>
              <w:noProof/>
            </w:rPr>
          </w:pPr>
          <w:r>
            <w:fldChar w:fldCharType="begin"/>
          </w:r>
          <w:r>
            <w:instrText xml:space="preserve"> TOC \o "1-3" \h \z \u </w:instrText>
          </w:r>
          <w:r>
            <w:fldChar w:fldCharType="separate"/>
          </w:r>
          <w:hyperlink w:anchor="_Toc219014260" w:history="1">
            <w:r w:rsidRPr="007317C0">
              <w:rPr>
                <w:rStyle w:val="Hyperlink"/>
                <w:noProof/>
                <w:lang w:val="en-IN"/>
              </w:rPr>
              <w:t>Executive Summary</w:t>
            </w:r>
            <w:r>
              <w:rPr>
                <w:noProof/>
                <w:webHidden/>
              </w:rPr>
              <w:tab/>
            </w:r>
            <w:r>
              <w:rPr>
                <w:noProof/>
                <w:webHidden/>
              </w:rPr>
              <w:fldChar w:fldCharType="begin"/>
            </w:r>
            <w:r>
              <w:rPr>
                <w:noProof/>
                <w:webHidden/>
              </w:rPr>
              <w:instrText xml:space="preserve"> PAGEREF _Toc219014260 \h </w:instrText>
            </w:r>
            <w:r>
              <w:rPr>
                <w:noProof/>
                <w:webHidden/>
              </w:rPr>
            </w:r>
            <w:r>
              <w:rPr>
                <w:noProof/>
                <w:webHidden/>
              </w:rPr>
              <w:fldChar w:fldCharType="separate"/>
            </w:r>
            <w:r>
              <w:rPr>
                <w:noProof/>
                <w:webHidden/>
              </w:rPr>
              <w:t>2</w:t>
            </w:r>
            <w:r>
              <w:rPr>
                <w:noProof/>
                <w:webHidden/>
              </w:rPr>
              <w:fldChar w:fldCharType="end"/>
            </w:r>
          </w:hyperlink>
        </w:p>
        <w:p w14:paraId="00172CF6" w14:textId="43347747" w:rsidR="009B5E98" w:rsidRDefault="00706079" w:rsidP="009B5E98">
          <w:pPr>
            <w:pStyle w:val="TOC1"/>
            <w:tabs>
              <w:tab w:val="right" w:leader="dot" w:pos="9016"/>
            </w:tabs>
            <w:rPr>
              <w:noProof/>
            </w:rPr>
          </w:pPr>
          <w:hyperlink w:anchor="_Toc219014261" w:history="1">
            <w:r w:rsidR="009B5E98" w:rsidRPr="007317C0">
              <w:rPr>
                <w:rStyle w:val="Hyperlink"/>
                <w:noProof/>
              </w:rPr>
              <w:t>Part 01</w:t>
            </w:r>
            <w:r w:rsidR="009B5E98">
              <w:rPr>
                <w:noProof/>
                <w:webHidden/>
              </w:rPr>
              <w:tab/>
            </w:r>
            <w:r w:rsidR="009B5E98">
              <w:rPr>
                <w:noProof/>
                <w:webHidden/>
              </w:rPr>
              <w:fldChar w:fldCharType="begin"/>
            </w:r>
            <w:r w:rsidR="009B5E98">
              <w:rPr>
                <w:noProof/>
                <w:webHidden/>
              </w:rPr>
              <w:instrText xml:space="preserve"> PAGEREF _Toc219014261 \h </w:instrText>
            </w:r>
            <w:r w:rsidR="009B5E98">
              <w:rPr>
                <w:noProof/>
                <w:webHidden/>
              </w:rPr>
            </w:r>
            <w:r w:rsidR="009B5E98">
              <w:rPr>
                <w:noProof/>
                <w:webHidden/>
              </w:rPr>
              <w:fldChar w:fldCharType="separate"/>
            </w:r>
            <w:r w:rsidR="009B5E98">
              <w:rPr>
                <w:noProof/>
                <w:webHidden/>
              </w:rPr>
              <w:t>5</w:t>
            </w:r>
            <w:r w:rsidR="009B5E98">
              <w:rPr>
                <w:noProof/>
                <w:webHidden/>
              </w:rPr>
              <w:fldChar w:fldCharType="end"/>
            </w:r>
          </w:hyperlink>
        </w:p>
        <w:p w14:paraId="14247F0F" w14:textId="38E8E948" w:rsidR="009B5E98" w:rsidRDefault="00706079" w:rsidP="009B5E98">
          <w:pPr>
            <w:pStyle w:val="TOC1"/>
            <w:tabs>
              <w:tab w:val="left" w:pos="480"/>
              <w:tab w:val="right" w:leader="dot" w:pos="9016"/>
            </w:tabs>
            <w:rPr>
              <w:noProof/>
            </w:rPr>
          </w:pPr>
          <w:hyperlink w:anchor="_Toc219014262" w:history="1">
            <w:r w:rsidR="009B5E98" w:rsidRPr="007317C0">
              <w:rPr>
                <w:rStyle w:val="Hyperlink"/>
                <w:rFonts w:cs="Times New Roman"/>
                <w:noProof/>
              </w:rPr>
              <w:t>1.</w:t>
            </w:r>
            <w:r w:rsidR="009B5E98">
              <w:rPr>
                <w:noProof/>
              </w:rPr>
              <w:tab/>
            </w:r>
            <w:r w:rsidR="009B5E98" w:rsidRPr="007317C0">
              <w:rPr>
                <w:rStyle w:val="Hyperlink"/>
                <w:rFonts w:cs="Times New Roman"/>
                <w:noProof/>
              </w:rPr>
              <w:t>Introduction</w:t>
            </w:r>
            <w:r w:rsidR="009B5E98">
              <w:rPr>
                <w:noProof/>
                <w:webHidden/>
              </w:rPr>
              <w:tab/>
            </w:r>
            <w:r w:rsidR="009B5E98">
              <w:rPr>
                <w:noProof/>
                <w:webHidden/>
              </w:rPr>
              <w:fldChar w:fldCharType="begin"/>
            </w:r>
            <w:r w:rsidR="009B5E98">
              <w:rPr>
                <w:noProof/>
                <w:webHidden/>
              </w:rPr>
              <w:instrText xml:space="preserve"> PAGEREF _Toc219014262 \h </w:instrText>
            </w:r>
            <w:r w:rsidR="009B5E98">
              <w:rPr>
                <w:noProof/>
                <w:webHidden/>
              </w:rPr>
            </w:r>
            <w:r w:rsidR="009B5E98">
              <w:rPr>
                <w:noProof/>
                <w:webHidden/>
              </w:rPr>
              <w:fldChar w:fldCharType="separate"/>
            </w:r>
            <w:r w:rsidR="009B5E98">
              <w:rPr>
                <w:noProof/>
                <w:webHidden/>
              </w:rPr>
              <w:t>5</w:t>
            </w:r>
            <w:r w:rsidR="009B5E98">
              <w:rPr>
                <w:noProof/>
                <w:webHidden/>
              </w:rPr>
              <w:fldChar w:fldCharType="end"/>
            </w:r>
          </w:hyperlink>
        </w:p>
        <w:p w14:paraId="572B23F0" w14:textId="6EB6F21E" w:rsidR="009B5E98" w:rsidRDefault="00706079" w:rsidP="009B5E98">
          <w:pPr>
            <w:pStyle w:val="TOC2"/>
            <w:tabs>
              <w:tab w:val="right" w:leader="dot" w:pos="9016"/>
            </w:tabs>
            <w:rPr>
              <w:noProof/>
            </w:rPr>
          </w:pPr>
          <w:hyperlink w:anchor="_Toc219014263" w:history="1">
            <w:r w:rsidR="009B5E98" w:rsidRPr="007317C0">
              <w:rPr>
                <w:rStyle w:val="Hyperlink"/>
                <w:noProof/>
                <w:lang w:val="en-IN"/>
              </w:rPr>
              <w:t>2. Strategic Context and Financial Position of Reckitt Benckiser</w:t>
            </w:r>
            <w:r w:rsidR="009B5E98">
              <w:rPr>
                <w:noProof/>
                <w:webHidden/>
              </w:rPr>
              <w:tab/>
            </w:r>
            <w:r w:rsidR="009B5E98">
              <w:rPr>
                <w:noProof/>
                <w:webHidden/>
              </w:rPr>
              <w:fldChar w:fldCharType="begin"/>
            </w:r>
            <w:r w:rsidR="009B5E98">
              <w:rPr>
                <w:noProof/>
                <w:webHidden/>
              </w:rPr>
              <w:instrText xml:space="preserve"> PAGEREF _Toc219014263 \h </w:instrText>
            </w:r>
            <w:r w:rsidR="009B5E98">
              <w:rPr>
                <w:noProof/>
                <w:webHidden/>
              </w:rPr>
            </w:r>
            <w:r w:rsidR="009B5E98">
              <w:rPr>
                <w:noProof/>
                <w:webHidden/>
              </w:rPr>
              <w:fldChar w:fldCharType="separate"/>
            </w:r>
            <w:r w:rsidR="009B5E98">
              <w:rPr>
                <w:noProof/>
                <w:webHidden/>
              </w:rPr>
              <w:t>6</w:t>
            </w:r>
            <w:r w:rsidR="009B5E98">
              <w:rPr>
                <w:noProof/>
                <w:webHidden/>
              </w:rPr>
              <w:fldChar w:fldCharType="end"/>
            </w:r>
          </w:hyperlink>
        </w:p>
        <w:p w14:paraId="2D0E8C3E" w14:textId="12A87DD2" w:rsidR="009B5E98" w:rsidRDefault="00706079" w:rsidP="009B5E98">
          <w:pPr>
            <w:pStyle w:val="TOC2"/>
            <w:tabs>
              <w:tab w:val="right" w:leader="dot" w:pos="9016"/>
            </w:tabs>
            <w:rPr>
              <w:noProof/>
            </w:rPr>
          </w:pPr>
          <w:hyperlink w:anchor="_Toc219014264" w:history="1">
            <w:r w:rsidR="009B5E98" w:rsidRPr="007317C0">
              <w:rPr>
                <w:rStyle w:val="Hyperlink"/>
                <w:noProof/>
                <w:lang w:val="en-IN"/>
              </w:rPr>
              <w:t>3. Financial Ratio Analysis</w:t>
            </w:r>
            <w:r w:rsidR="009B5E98">
              <w:rPr>
                <w:noProof/>
                <w:webHidden/>
              </w:rPr>
              <w:tab/>
            </w:r>
            <w:r w:rsidR="009B5E98">
              <w:rPr>
                <w:noProof/>
                <w:webHidden/>
              </w:rPr>
              <w:fldChar w:fldCharType="begin"/>
            </w:r>
            <w:r w:rsidR="009B5E98">
              <w:rPr>
                <w:noProof/>
                <w:webHidden/>
              </w:rPr>
              <w:instrText xml:space="preserve"> PAGEREF _Toc219014264 \h </w:instrText>
            </w:r>
            <w:r w:rsidR="009B5E98">
              <w:rPr>
                <w:noProof/>
                <w:webHidden/>
              </w:rPr>
            </w:r>
            <w:r w:rsidR="009B5E98">
              <w:rPr>
                <w:noProof/>
                <w:webHidden/>
              </w:rPr>
              <w:fldChar w:fldCharType="separate"/>
            </w:r>
            <w:r w:rsidR="009B5E98">
              <w:rPr>
                <w:noProof/>
                <w:webHidden/>
              </w:rPr>
              <w:t>7</w:t>
            </w:r>
            <w:r w:rsidR="009B5E98">
              <w:rPr>
                <w:noProof/>
                <w:webHidden/>
              </w:rPr>
              <w:fldChar w:fldCharType="end"/>
            </w:r>
          </w:hyperlink>
        </w:p>
        <w:p w14:paraId="2226F6EC" w14:textId="56C06E26" w:rsidR="009B5E98" w:rsidRDefault="00706079" w:rsidP="009B5E98">
          <w:pPr>
            <w:pStyle w:val="TOC2"/>
            <w:tabs>
              <w:tab w:val="right" w:leader="dot" w:pos="9016"/>
            </w:tabs>
            <w:rPr>
              <w:noProof/>
            </w:rPr>
          </w:pPr>
          <w:hyperlink w:anchor="_Toc219014265" w:history="1">
            <w:r w:rsidR="009B5E98" w:rsidRPr="007317C0">
              <w:rPr>
                <w:rStyle w:val="Hyperlink"/>
                <w:rFonts w:cs="Times New Roman"/>
                <w:noProof/>
                <w:lang w:val="en-IN"/>
              </w:rPr>
              <w:t>4. Critical Evaluation of Financial Ratios</w:t>
            </w:r>
            <w:r w:rsidR="009B5E98">
              <w:rPr>
                <w:noProof/>
                <w:webHidden/>
              </w:rPr>
              <w:tab/>
            </w:r>
            <w:r w:rsidR="009B5E98">
              <w:rPr>
                <w:noProof/>
                <w:webHidden/>
              </w:rPr>
              <w:fldChar w:fldCharType="begin"/>
            </w:r>
            <w:r w:rsidR="009B5E98">
              <w:rPr>
                <w:noProof/>
                <w:webHidden/>
              </w:rPr>
              <w:instrText xml:space="preserve"> PAGEREF _Toc219014265 \h </w:instrText>
            </w:r>
            <w:r w:rsidR="009B5E98">
              <w:rPr>
                <w:noProof/>
                <w:webHidden/>
              </w:rPr>
            </w:r>
            <w:r w:rsidR="009B5E98">
              <w:rPr>
                <w:noProof/>
                <w:webHidden/>
              </w:rPr>
              <w:fldChar w:fldCharType="separate"/>
            </w:r>
            <w:r w:rsidR="009B5E98">
              <w:rPr>
                <w:noProof/>
                <w:webHidden/>
              </w:rPr>
              <w:t>14</w:t>
            </w:r>
            <w:r w:rsidR="009B5E98">
              <w:rPr>
                <w:noProof/>
                <w:webHidden/>
              </w:rPr>
              <w:fldChar w:fldCharType="end"/>
            </w:r>
          </w:hyperlink>
        </w:p>
        <w:p w14:paraId="4BDB91C0" w14:textId="74208DF8" w:rsidR="009B5E98" w:rsidRDefault="00706079" w:rsidP="009B5E98">
          <w:pPr>
            <w:pStyle w:val="TOC2"/>
            <w:tabs>
              <w:tab w:val="right" w:leader="dot" w:pos="9016"/>
            </w:tabs>
            <w:rPr>
              <w:noProof/>
            </w:rPr>
          </w:pPr>
          <w:hyperlink w:anchor="_Toc219014266" w:history="1">
            <w:r w:rsidR="009B5E98" w:rsidRPr="007317C0">
              <w:rPr>
                <w:rStyle w:val="Hyperlink"/>
                <w:rFonts w:cs="Times New Roman"/>
                <w:noProof/>
                <w:lang w:val="en-IN"/>
              </w:rPr>
              <w:t>5. Recommendations to Improve Financial Management</w:t>
            </w:r>
            <w:r w:rsidR="009B5E98">
              <w:rPr>
                <w:noProof/>
                <w:webHidden/>
              </w:rPr>
              <w:tab/>
            </w:r>
            <w:r w:rsidR="009B5E98">
              <w:rPr>
                <w:noProof/>
                <w:webHidden/>
              </w:rPr>
              <w:fldChar w:fldCharType="begin"/>
            </w:r>
            <w:r w:rsidR="009B5E98">
              <w:rPr>
                <w:noProof/>
                <w:webHidden/>
              </w:rPr>
              <w:instrText xml:space="preserve"> PAGEREF _Toc219014266 \h </w:instrText>
            </w:r>
            <w:r w:rsidR="009B5E98">
              <w:rPr>
                <w:noProof/>
                <w:webHidden/>
              </w:rPr>
            </w:r>
            <w:r w:rsidR="009B5E98">
              <w:rPr>
                <w:noProof/>
                <w:webHidden/>
              </w:rPr>
              <w:fldChar w:fldCharType="separate"/>
            </w:r>
            <w:r w:rsidR="009B5E98">
              <w:rPr>
                <w:noProof/>
                <w:webHidden/>
              </w:rPr>
              <w:t>15</w:t>
            </w:r>
            <w:r w:rsidR="009B5E98">
              <w:rPr>
                <w:noProof/>
                <w:webHidden/>
              </w:rPr>
              <w:fldChar w:fldCharType="end"/>
            </w:r>
          </w:hyperlink>
        </w:p>
        <w:p w14:paraId="417360AC" w14:textId="566635AB" w:rsidR="009B5E98" w:rsidRDefault="00706079" w:rsidP="009B5E98">
          <w:pPr>
            <w:pStyle w:val="TOC1"/>
            <w:tabs>
              <w:tab w:val="right" w:leader="dot" w:pos="9016"/>
            </w:tabs>
            <w:rPr>
              <w:noProof/>
            </w:rPr>
          </w:pPr>
          <w:hyperlink w:anchor="_Toc219014267" w:history="1">
            <w:r w:rsidR="009B5E98" w:rsidRPr="007317C0">
              <w:rPr>
                <w:rStyle w:val="Hyperlink"/>
                <w:rFonts w:cs="Times New Roman"/>
                <w:noProof/>
                <w:lang w:val="en-IN"/>
              </w:rPr>
              <w:t>Part 02</w:t>
            </w:r>
            <w:r w:rsidR="009B5E98">
              <w:rPr>
                <w:noProof/>
                <w:webHidden/>
              </w:rPr>
              <w:tab/>
            </w:r>
            <w:r w:rsidR="009B5E98">
              <w:rPr>
                <w:noProof/>
                <w:webHidden/>
              </w:rPr>
              <w:fldChar w:fldCharType="begin"/>
            </w:r>
            <w:r w:rsidR="009B5E98">
              <w:rPr>
                <w:noProof/>
                <w:webHidden/>
              </w:rPr>
              <w:instrText xml:space="preserve"> PAGEREF _Toc219014267 \h </w:instrText>
            </w:r>
            <w:r w:rsidR="009B5E98">
              <w:rPr>
                <w:noProof/>
                <w:webHidden/>
              </w:rPr>
            </w:r>
            <w:r w:rsidR="009B5E98">
              <w:rPr>
                <w:noProof/>
                <w:webHidden/>
              </w:rPr>
              <w:fldChar w:fldCharType="separate"/>
            </w:r>
            <w:r w:rsidR="009B5E98">
              <w:rPr>
                <w:noProof/>
                <w:webHidden/>
              </w:rPr>
              <w:t>17</w:t>
            </w:r>
            <w:r w:rsidR="009B5E98">
              <w:rPr>
                <w:noProof/>
                <w:webHidden/>
              </w:rPr>
              <w:fldChar w:fldCharType="end"/>
            </w:r>
          </w:hyperlink>
        </w:p>
        <w:p w14:paraId="02506BDF" w14:textId="03F56761" w:rsidR="009B5E98" w:rsidRDefault="00706079" w:rsidP="009B5E98">
          <w:pPr>
            <w:pStyle w:val="TOC2"/>
            <w:tabs>
              <w:tab w:val="left" w:pos="720"/>
              <w:tab w:val="right" w:leader="dot" w:pos="9016"/>
            </w:tabs>
            <w:rPr>
              <w:noProof/>
            </w:rPr>
          </w:pPr>
          <w:hyperlink w:anchor="_Toc219014268" w:history="1">
            <w:r w:rsidR="009B5E98" w:rsidRPr="007317C0">
              <w:rPr>
                <w:rStyle w:val="Hyperlink"/>
                <w:rFonts w:cs="Times New Roman"/>
                <w:noProof/>
              </w:rPr>
              <w:t>1.</w:t>
            </w:r>
            <w:r w:rsidR="009B5E98">
              <w:rPr>
                <w:noProof/>
              </w:rPr>
              <w:tab/>
            </w:r>
            <w:r w:rsidR="009B5E98" w:rsidRPr="007317C0">
              <w:rPr>
                <w:rStyle w:val="Hyperlink"/>
                <w:rFonts w:cs="Times New Roman"/>
                <w:noProof/>
              </w:rPr>
              <w:t>Investment Decision Context</w:t>
            </w:r>
            <w:r w:rsidR="009B5E98">
              <w:rPr>
                <w:noProof/>
                <w:webHidden/>
              </w:rPr>
              <w:tab/>
            </w:r>
            <w:r w:rsidR="009B5E98">
              <w:rPr>
                <w:noProof/>
                <w:webHidden/>
              </w:rPr>
              <w:fldChar w:fldCharType="begin"/>
            </w:r>
            <w:r w:rsidR="009B5E98">
              <w:rPr>
                <w:noProof/>
                <w:webHidden/>
              </w:rPr>
              <w:instrText xml:space="preserve"> PAGEREF _Toc219014268 \h </w:instrText>
            </w:r>
            <w:r w:rsidR="009B5E98">
              <w:rPr>
                <w:noProof/>
                <w:webHidden/>
              </w:rPr>
            </w:r>
            <w:r w:rsidR="009B5E98">
              <w:rPr>
                <w:noProof/>
                <w:webHidden/>
              </w:rPr>
              <w:fldChar w:fldCharType="separate"/>
            </w:r>
            <w:r w:rsidR="009B5E98">
              <w:rPr>
                <w:noProof/>
                <w:webHidden/>
              </w:rPr>
              <w:t>17</w:t>
            </w:r>
            <w:r w:rsidR="009B5E98">
              <w:rPr>
                <w:noProof/>
                <w:webHidden/>
              </w:rPr>
              <w:fldChar w:fldCharType="end"/>
            </w:r>
          </w:hyperlink>
        </w:p>
        <w:p w14:paraId="62470521" w14:textId="2220B879" w:rsidR="009B5E98" w:rsidRDefault="00706079" w:rsidP="009B5E98">
          <w:pPr>
            <w:pStyle w:val="TOC1"/>
            <w:tabs>
              <w:tab w:val="left" w:pos="480"/>
              <w:tab w:val="right" w:leader="dot" w:pos="9016"/>
            </w:tabs>
            <w:rPr>
              <w:noProof/>
            </w:rPr>
          </w:pPr>
          <w:hyperlink w:anchor="_Toc219014269" w:history="1">
            <w:r w:rsidR="009B5E98" w:rsidRPr="007317C0">
              <w:rPr>
                <w:rStyle w:val="Hyperlink"/>
                <w:noProof/>
                <w:lang w:val="en-IN"/>
              </w:rPr>
              <w:t>2.</w:t>
            </w:r>
            <w:r w:rsidR="009B5E98">
              <w:rPr>
                <w:noProof/>
              </w:rPr>
              <w:tab/>
            </w:r>
            <w:r w:rsidR="009B5E98" w:rsidRPr="007317C0">
              <w:rPr>
                <w:rStyle w:val="Hyperlink"/>
                <w:noProof/>
                <w:lang w:val="en-IN"/>
              </w:rPr>
              <w:t>Conclusion and Financing Recommendation</w:t>
            </w:r>
            <w:r w:rsidR="009B5E98">
              <w:rPr>
                <w:noProof/>
                <w:webHidden/>
              </w:rPr>
              <w:tab/>
            </w:r>
            <w:r w:rsidR="009B5E98">
              <w:rPr>
                <w:noProof/>
                <w:webHidden/>
              </w:rPr>
              <w:fldChar w:fldCharType="begin"/>
            </w:r>
            <w:r w:rsidR="009B5E98">
              <w:rPr>
                <w:noProof/>
                <w:webHidden/>
              </w:rPr>
              <w:instrText xml:space="preserve"> PAGEREF _Toc219014269 \h </w:instrText>
            </w:r>
            <w:r w:rsidR="009B5E98">
              <w:rPr>
                <w:noProof/>
                <w:webHidden/>
              </w:rPr>
            </w:r>
            <w:r w:rsidR="009B5E98">
              <w:rPr>
                <w:noProof/>
                <w:webHidden/>
              </w:rPr>
              <w:fldChar w:fldCharType="separate"/>
            </w:r>
            <w:r w:rsidR="009B5E98">
              <w:rPr>
                <w:noProof/>
                <w:webHidden/>
              </w:rPr>
              <w:t>24</w:t>
            </w:r>
            <w:r w:rsidR="009B5E98">
              <w:rPr>
                <w:noProof/>
                <w:webHidden/>
              </w:rPr>
              <w:fldChar w:fldCharType="end"/>
            </w:r>
          </w:hyperlink>
        </w:p>
        <w:p w14:paraId="599CA8E4" w14:textId="453AC434" w:rsidR="009B5E98" w:rsidRDefault="00706079" w:rsidP="009B5E98">
          <w:pPr>
            <w:pStyle w:val="TOC1"/>
            <w:tabs>
              <w:tab w:val="right" w:leader="dot" w:pos="9016"/>
            </w:tabs>
            <w:rPr>
              <w:noProof/>
            </w:rPr>
          </w:pPr>
          <w:hyperlink w:anchor="_Toc219014270" w:history="1">
            <w:r w:rsidR="009B5E98" w:rsidRPr="007317C0">
              <w:rPr>
                <w:rStyle w:val="Hyperlink"/>
                <w:noProof/>
                <w:lang w:val="en-IN"/>
              </w:rPr>
              <w:t>References</w:t>
            </w:r>
            <w:r w:rsidR="009B5E98">
              <w:rPr>
                <w:noProof/>
                <w:webHidden/>
              </w:rPr>
              <w:tab/>
            </w:r>
            <w:r w:rsidR="009B5E98">
              <w:rPr>
                <w:noProof/>
                <w:webHidden/>
              </w:rPr>
              <w:fldChar w:fldCharType="begin"/>
            </w:r>
            <w:r w:rsidR="009B5E98">
              <w:rPr>
                <w:noProof/>
                <w:webHidden/>
              </w:rPr>
              <w:instrText xml:space="preserve"> PAGEREF _Toc219014270 \h </w:instrText>
            </w:r>
            <w:r w:rsidR="009B5E98">
              <w:rPr>
                <w:noProof/>
                <w:webHidden/>
              </w:rPr>
            </w:r>
            <w:r w:rsidR="009B5E98">
              <w:rPr>
                <w:noProof/>
                <w:webHidden/>
              </w:rPr>
              <w:fldChar w:fldCharType="separate"/>
            </w:r>
            <w:r w:rsidR="009B5E98">
              <w:rPr>
                <w:noProof/>
                <w:webHidden/>
              </w:rPr>
              <w:t>26</w:t>
            </w:r>
            <w:r w:rsidR="009B5E98">
              <w:rPr>
                <w:noProof/>
                <w:webHidden/>
              </w:rPr>
              <w:fldChar w:fldCharType="end"/>
            </w:r>
          </w:hyperlink>
        </w:p>
        <w:p w14:paraId="6A0824DE" w14:textId="7A06A48E" w:rsidR="009B5E98" w:rsidRDefault="00706079" w:rsidP="009B5E98">
          <w:pPr>
            <w:pStyle w:val="TOC1"/>
            <w:tabs>
              <w:tab w:val="right" w:leader="dot" w:pos="9016"/>
            </w:tabs>
            <w:rPr>
              <w:noProof/>
            </w:rPr>
          </w:pPr>
          <w:hyperlink w:anchor="_Toc219014271" w:history="1">
            <w:r w:rsidR="009B5E98" w:rsidRPr="007317C0">
              <w:rPr>
                <w:rStyle w:val="Hyperlink"/>
                <w:rFonts w:cs="Times New Roman"/>
                <w:noProof/>
                <w:lang w:val="en-IN"/>
              </w:rPr>
              <w:t>Appendices</w:t>
            </w:r>
            <w:r w:rsidR="009B5E98">
              <w:rPr>
                <w:noProof/>
                <w:webHidden/>
              </w:rPr>
              <w:tab/>
            </w:r>
            <w:r w:rsidR="009B5E98">
              <w:rPr>
                <w:noProof/>
                <w:webHidden/>
              </w:rPr>
              <w:fldChar w:fldCharType="begin"/>
            </w:r>
            <w:r w:rsidR="009B5E98">
              <w:rPr>
                <w:noProof/>
                <w:webHidden/>
              </w:rPr>
              <w:instrText xml:space="preserve"> PAGEREF _Toc219014271 \h </w:instrText>
            </w:r>
            <w:r w:rsidR="009B5E98">
              <w:rPr>
                <w:noProof/>
                <w:webHidden/>
              </w:rPr>
            </w:r>
            <w:r w:rsidR="009B5E98">
              <w:rPr>
                <w:noProof/>
                <w:webHidden/>
              </w:rPr>
              <w:fldChar w:fldCharType="separate"/>
            </w:r>
            <w:r w:rsidR="009B5E98">
              <w:rPr>
                <w:noProof/>
                <w:webHidden/>
              </w:rPr>
              <w:t>32</w:t>
            </w:r>
            <w:r w:rsidR="009B5E98">
              <w:rPr>
                <w:noProof/>
                <w:webHidden/>
              </w:rPr>
              <w:fldChar w:fldCharType="end"/>
            </w:r>
          </w:hyperlink>
        </w:p>
        <w:p w14:paraId="557B4405" w14:textId="1BF2CE7B" w:rsidR="009B5E98" w:rsidRDefault="00706079" w:rsidP="009B5E98">
          <w:pPr>
            <w:pStyle w:val="TOC2"/>
            <w:tabs>
              <w:tab w:val="right" w:leader="dot" w:pos="9016"/>
            </w:tabs>
            <w:rPr>
              <w:noProof/>
            </w:rPr>
          </w:pPr>
          <w:hyperlink w:anchor="_Toc219014272" w:history="1">
            <w:r w:rsidR="009B5E98" w:rsidRPr="007317C0">
              <w:rPr>
                <w:rStyle w:val="Hyperlink"/>
                <w:noProof/>
                <w:lang w:val="en-IN"/>
              </w:rPr>
              <w:t>Appendix A: Income Statement</w:t>
            </w:r>
            <w:r w:rsidR="009B5E98">
              <w:rPr>
                <w:noProof/>
                <w:webHidden/>
              </w:rPr>
              <w:tab/>
            </w:r>
            <w:r w:rsidR="009B5E98">
              <w:rPr>
                <w:noProof/>
                <w:webHidden/>
              </w:rPr>
              <w:fldChar w:fldCharType="begin"/>
            </w:r>
            <w:r w:rsidR="009B5E98">
              <w:rPr>
                <w:noProof/>
                <w:webHidden/>
              </w:rPr>
              <w:instrText xml:space="preserve"> PAGEREF _Toc219014272 \h </w:instrText>
            </w:r>
            <w:r w:rsidR="009B5E98">
              <w:rPr>
                <w:noProof/>
                <w:webHidden/>
              </w:rPr>
            </w:r>
            <w:r w:rsidR="009B5E98">
              <w:rPr>
                <w:noProof/>
                <w:webHidden/>
              </w:rPr>
              <w:fldChar w:fldCharType="separate"/>
            </w:r>
            <w:r w:rsidR="009B5E98">
              <w:rPr>
                <w:noProof/>
                <w:webHidden/>
              </w:rPr>
              <w:t>32</w:t>
            </w:r>
            <w:r w:rsidR="009B5E98">
              <w:rPr>
                <w:noProof/>
                <w:webHidden/>
              </w:rPr>
              <w:fldChar w:fldCharType="end"/>
            </w:r>
          </w:hyperlink>
        </w:p>
        <w:p w14:paraId="74ED58D1" w14:textId="7E1BE10A" w:rsidR="009B5E98" w:rsidRDefault="00706079" w:rsidP="009B5E98">
          <w:pPr>
            <w:pStyle w:val="TOC2"/>
            <w:tabs>
              <w:tab w:val="right" w:leader="dot" w:pos="9016"/>
            </w:tabs>
            <w:rPr>
              <w:noProof/>
            </w:rPr>
          </w:pPr>
          <w:hyperlink w:anchor="_Toc219014273" w:history="1">
            <w:r w:rsidR="009B5E98" w:rsidRPr="007317C0">
              <w:rPr>
                <w:rStyle w:val="Hyperlink"/>
                <w:noProof/>
                <w:lang w:val="en-IN"/>
              </w:rPr>
              <w:t>Appendix B: Balance Sheet</w:t>
            </w:r>
            <w:r w:rsidR="009B5E98">
              <w:rPr>
                <w:noProof/>
                <w:webHidden/>
              </w:rPr>
              <w:tab/>
            </w:r>
            <w:r w:rsidR="009B5E98">
              <w:rPr>
                <w:noProof/>
                <w:webHidden/>
              </w:rPr>
              <w:fldChar w:fldCharType="begin"/>
            </w:r>
            <w:r w:rsidR="009B5E98">
              <w:rPr>
                <w:noProof/>
                <w:webHidden/>
              </w:rPr>
              <w:instrText xml:space="preserve"> PAGEREF _Toc219014273 \h </w:instrText>
            </w:r>
            <w:r w:rsidR="009B5E98">
              <w:rPr>
                <w:noProof/>
                <w:webHidden/>
              </w:rPr>
            </w:r>
            <w:r w:rsidR="009B5E98">
              <w:rPr>
                <w:noProof/>
                <w:webHidden/>
              </w:rPr>
              <w:fldChar w:fldCharType="separate"/>
            </w:r>
            <w:r w:rsidR="009B5E98">
              <w:rPr>
                <w:noProof/>
                <w:webHidden/>
              </w:rPr>
              <w:t>32</w:t>
            </w:r>
            <w:r w:rsidR="009B5E98">
              <w:rPr>
                <w:noProof/>
                <w:webHidden/>
              </w:rPr>
              <w:fldChar w:fldCharType="end"/>
            </w:r>
          </w:hyperlink>
        </w:p>
        <w:p w14:paraId="5075446F" w14:textId="0F4E63DA" w:rsidR="009B5E98" w:rsidRDefault="00706079" w:rsidP="009B5E98">
          <w:pPr>
            <w:pStyle w:val="TOC2"/>
            <w:tabs>
              <w:tab w:val="right" w:leader="dot" w:pos="9016"/>
            </w:tabs>
            <w:rPr>
              <w:noProof/>
            </w:rPr>
          </w:pPr>
          <w:hyperlink w:anchor="_Toc219014274" w:history="1">
            <w:r w:rsidR="009B5E98" w:rsidRPr="007317C0">
              <w:rPr>
                <w:rStyle w:val="Hyperlink"/>
                <w:rFonts w:cs="Times New Roman"/>
                <w:noProof/>
                <w:lang w:val="en-IN"/>
              </w:rPr>
              <w:t>Appendix C: Detailed Breakdown of Financial Ratio Calculation</w:t>
            </w:r>
            <w:r w:rsidR="009B5E98">
              <w:rPr>
                <w:noProof/>
                <w:webHidden/>
              </w:rPr>
              <w:tab/>
            </w:r>
            <w:r w:rsidR="009B5E98">
              <w:rPr>
                <w:noProof/>
                <w:webHidden/>
              </w:rPr>
              <w:fldChar w:fldCharType="begin"/>
            </w:r>
            <w:r w:rsidR="009B5E98">
              <w:rPr>
                <w:noProof/>
                <w:webHidden/>
              </w:rPr>
              <w:instrText xml:space="preserve"> PAGEREF _Toc219014274 \h </w:instrText>
            </w:r>
            <w:r w:rsidR="009B5E98">
              <w:rPr>
                <w:noProof/>
                <w:webHidden/>
              </w:rPr>
            </w:r>
            <w:r w:rsidR="009B5E98">
              <w:rPr>
                <w:noProof/>
                <w:webHidden/>
              </w:rPr>
              <w:fldChar w:fldCharType="separate"/>
            </w:r>
            <w:r w:rsidR="009B5E98">
              <w:rPr>
                <w:noProof/>
                <w:webHidden/>
              </w:rPr>
              <w:t>33</w:t>
            </w:r>
            <w:r w:rsidR="009B5E98">
              <w:rPr>
                <w:noProof/>
                <w:webHidden/>
              </w:rPr>
              <w:fldChar w:fldCharType="end"/>
            </w:r>
          </w:hyperlink>
        </w:p>
        <w:p w14:paraId="59B4A9E8" w14:textId="4D5968ED" w:rsidR="009B5E98" w:rsidRDefault="009B5E98" w:rsidP="009B5E98">
          <w:r>
            <w:rPr>
              <w:b/>
              <w:bCs/>
              <w:noProof/>
            </w:rPr>
            <w:fldChar w:fldCharType="end"/>
          </w:r>
        </w:p>
      </w:sdtContent>
    </w:sdt>
    <w:p w14:paraId="46763369" w14:textId="77777777" w:rsidR="003A3D2B" w:rsidRPr="003A3D2B" w:rsidRDefault="003A3D2B" w:rsidP="003A3D2B">
      <w:pPr>
        <w:rPr>
          <w:lang w:val="en-IN"/>
        </w:rPr>
      </w:pPr>
    </w:p>
    <w:p w14:paraId="5B871D8E" w14:textId="6985A9AC" w:rsidR="00FD3076" w:rsidRPr="00577F2F" w:rsidRDefault="00FD3076" w:rsidP="003A3D2B">
      <w:r w:rsidRPr="00577F2F">
        <w:br w:type="page"/>
      </w:r>
    </w:p>
    <w:p w14:paraId="49DD3731" w14:textId="1A732FB2" w:rsidR="008653A8" w:rsidRPr="008653A8" w:rsidRDefault="008653A8" w:rsidP="008653A8">
      <w:pPr>
        <w:pStyle w:val="Heading1"/>
      </w:pPr>
      <w:bookmarkStart w:id="1" w:name="_Toc219014261"/>
      <w:r>
        <w:lastRenderedPageBreak/>
        <w:t>Part 01</w:t>
      </w:r>
      <w:bookmarkEnd w:id="1"/>
    </w:p>
    <w:p w14:paraId="47CB2A90" w14:textId="6191CBC2" w:rsidR="002C7C05" w:rsidRDefault="002A146C" w:rsidP="008653A8">
      <w:pPr>
        <w:pStyle w:val="Heading1"/>
        <w:numPr>
          <w:ilvl w:val="0"/>
          <w:numId w:val="12"/>
        </w:numPr>
        <w:rPr>
          <w:rFonts w:ascii="Times New Roman" w:hAnsi="Times New Roman" w:cs="Times New Roman"/>
        </w:rPr>
      </w:pPr>
      <w:bookmarkStart w:id="2" w:name="_Toc219014262"/>
      <w:r w:rsidRPr="008653A8">
        <w:rPr>
          <w:rFonts w:ascii="Times New Roman" w:hAnsi="Times New Roman" w:cs="Times New Roman"/>
        </w:rPr>
        <w:t>Introduction</w:t>
      </w:r>
      <w:bookmarkEnd w:id="2"/>
      <w:r w:rsidRPr="008653A8">
        <w:rPr>
          <w:rFonts w:ascii="Times New Roman" w:hAnsi="Times New Roman" w:cs="Times New Roman"/>
        </w:rPr>
        <w:t xml:space="preserve"> </w:t>
      </w:r>
    </w:p>
    <w:p w14:paraId="451B60AF" w14:textId="45573C8A" w:rsidR="006B3BE8" w:rsidRPr="006B3BE8" w:rsidRDefault="003A3D2B" w:rsidP="006B3BE8">
      <w:r w:rsidRPr="003A3D2B">
        <w:t xml:space="preserve">Part 01 provides an analysis of the financial performance and financial decision-making environment of a large UK-listed corporation working in one of the most competitive industries globally (Damoah et al., 2020). The analysis is predetermined by the publicly available financial information and the tendency to interpret how financial data can help to determine the performance, risk, and value creation during the time span. Such analysis is critical in an environment that is defined by economic uncertainty, heightened cost pressure and an investor scrutiny that is on the rise, and which is able to make informed decisions. The case study that has been chosen </w:t>
      </w:r>
      <w:r w:rsidR="00370CCC">
        <w:t>for</w:t>
      </w:r>
      <w:r w:rsidRPr="003A3D2B">
        <w:t xml:space="preserve"> this paper is Reckitt Benckiser. Reckitt Benckiser Group plc is a public limited company that is listed on the London Stock Exchange (LSE) and a member of the FTSE 100 Index, which consists of the largest companies in the UK based on market capitalisation (London Stock Exchange, 2026). Being a FTSE 100 company, Reckitt has to comply with strong regulations and disclosure</w:t>
      </w:r>
      <w:r w:rsidR="00370CCC">
        <w:t>,</w:t>
      </w:r>
      <w:r w:rsidRPr="003A3D2B">
        <w:t xml:space="preserve"> and its financial reports are transparent, reliable and can be analy</w:t>
      </w:r>
      <w:r w:rsidR="00370CCC">
        <w:t>s</w:t>
      </w:r>
      <w:r w:rsidRPr="003A3D2B">
        <w:t>ed by any financial analyst in detail. Annual reports of the two previous financial years have been considered as the main source of data, hence the latest annual report. Reckitt Benckiser is a company in the industry of consumer health and hygiene globally, which is highly competitive in terms of brand, comparatively inelastic demand and facing growing pressure to maintain margins and capital efficiency (Abdullahi, umar and Muhammed, 2016). Businesses in this industry have to strike the right balance between investing in innovation, brand management</w:t>
      </w:r>
      <w:r w:rsidR="00370CCC">
        <w:t>,</w:t>
      </w:r>
      <w:r w:rsidRPr="003A3D2B">
        <w:t xml:space="preserve"> supply chain and sound financial management in order to maintain long-term performance. The choice of Reckitt Benckiser offers a topical and practical background to the analysis of financial statements and ratios because the company is associated with a large proportion of branded products with a high margin and a strong level of investment in intangible assets and international business operations. By analy</w:t>
      </w:r>
      <w:r w:rsidR="00370CCC">
        <w:t>s</w:t>
      </w:r>
      <w:r w:rsidRPr="003A3D2B">
        <w:t>ing its recent financial performance, one can gain a lot of value in discussing how financial information can be used to gain insight into the underlying business activity, strategic decisions, and market conditions in a real-world corporate environment</w:t>
      </w:r>
      <w:r w:rsidR="006B3BE8" w:rsidRPr="006B3BE8">
        <w:t>.</w:t>
      </w:r>
    </w:p>
    <w:p w14:paraId="32664AF0" w14:textId="77777777" w:rsidR="008653A8" w:rsidRPr="008653A8" w:rsidRDefault="008653A8" w:rsidP="008653A8"/>
    <w:p w14:paraId="7235126A" w14:textId="7910510F" w:rsidR="002A146C" w:rsidRPr="00577F2F" w:rsidRDefault="002A146C">
      <w:pPr>
        <w:spacing w:line="259" w:lineRule="auto"/>
        <w:jc w:val="left"/>
        <w:rPr>
          <w:rFonts w:cs="Times New Roman"/>
        </w:rPr>
      </w:pPr>
      <w:r w:rsidRPr="00577F2F">
        <w:rPr>
          <w:rFonts w:cs="Times New Roman"/>
        </w:rPr>
        <w:br w:type="page"/>
      </w:r>
    </w:p>
    <w:p w14:paraId="61D64D5D" w14:textId="6F81C20E" w:rsidR="002A146C" w:rsidRPr="00577F2F" w:rsidRDefault="0046472A" w:rsidP="008653A8">
      <w:pPr>
        <w:pStyle w:val="Heading2"/>
        <w:rPr>
          <w:lang w:val="en-IN"/>
        </w:rPr>
      </w:pPr>
      <w:bookmarkStart w:id="3" w:name="_Toc219014263"/>
      <w:r w:rsidRPr="00577F2F">
        <w:rPr>
          <w:lang w:val="en-IN"/>
        </w:rPr>
        <w:lastRenderedPageBreak/>
        <w:t xml:space="preserve">2. </w:t>
      </w:r>
      <w:r w:rsidR="002A146C" w:rsidRPr="00577F2F">
        <w:rPr>
          <w:lang w:val="en-IN"/>
        </w:rPr>
        <w:t>Strategic Context and Financial Position of Reckitt Benckiser</w:t>
      </w:r>
      <w:bookmarkEnd w:id="3"/>
    </w:p>
    <w:p w14:paraId="7B717456" w14:textId="19C9811D" w:rsidR="002A146C" w:rsidRPr="00577F2F" w:rsidRDefault="007F7EED" w:rsidP="002A146C">
      <w:pPr>
        <w:rPr>
          <w:rFonts w:cs="Times New Roman"/>
          <w:lang w:val="en-IN"/>
        </w:rPr>
      </w:pPr>
      <w:r w:rsidRPr="007F7EED">
        <w:rPr>
          <w:rFonts w:cs="Times New Roman"/>
        </w:rPr>
        <w:t>Reckitt Benckiser is a company in the consumer health and hygiene sector</w:t>
      </w:r>
      <w:r w:rsidR="00370CCC">
        <w:rPr>
          <w:rFonts w:cs="Times New Roman"/>
        </w:rPr>
        <w:t>,</w:t>
      </w:r>
      <w:r w:rsidRPr="007F7EED">
        <w:rPr>
          <w:rFonts w:cs="Times New Roman"/>
        </w:rPr>
        <w:t xml:space="preserve"> which is a defensive demand industry with high brand loyalty and cash flows which are relatively steady. The world consumer health market size is projected to be more than US$300 billion, and ageing populations, health awareness, and self-care and hygiene products are expected to increase this size in the long term (FESI, 2024). Nonetheless, the business has been experiencing temporary strains since </w:t>
      </w:r>
      <w:r w:rsidR="00370CCC">
        <w:rPr>
          <w:rFonts w:cs="Times New Roman"/>
        </w:rPr>
        <w:t xml:space="preserve">the </w:t>
      </w:r>
      <w:r w:rsidRPr="007F7EED">
        <w:rPr>
          <w:rFonts w:cs="Times New Roman"/>
        </w:rPr>
        <w:t>normalisation of post-pandemic demand, coupled with inflation of costs, increased regulatory focus, and increasing pressure in the form of alternative non-brand products. In such a competitive environment, scale, brand strength, and pricing power are the key success factors (Rua and Santos, 2022). The disposition of the strategic response of Reckitt in 2024 is the rationalisation of the portfolio and the disciplin</w:t>
      </w:r>
      <w:r w:rsidR="00370CCC">
        <w:rPr>
          <w:rFonts w:cs="Times New Roman"/>
        </w:rPr>
        <w:t>e</w:t>
      </w:r>
      <w:r w:rsidRPr="007F7EED">
        <w:rPr>
          <w:rFonts w:cs="Times New Roman"/>
        </w:rPr>
        <w:t xml:space="preserve"> of execution in line with the overall tendencies in the industry (Reckitt, 2024). The Group focused on resources on 11 Powerbrands, which contribute more than 80 per cent. </w:t>
      </w:r>
      <w:r w:rsidR="00370CCC">
        <w:rPr>
          <w:rFonts w:cs="Times New Roman"/>
        </w:rPr>
        <w:t>O</w:t>
      </w:r>
      <w:r w:rsidRPr="007F7EED">
        <w:rPr>
          <w:rFonts w:cs="Times New Roman"/>
        </w:rPr>
        <w:t xml:space="preserve">f core net revenue, as an industry-wide trend of fewer, stronger brands that can support the premium price and marginal resilience. Essential Home and Mead Johnson Nutrition (non-core activities) were also targeted to exit or be subjected to strategic analysis, which was in line with the move by competitors to focus on the consumer health areas that offered higher margins. Reckitt has a high-margin operating profile, which is in line with the most successful companies in the consumer health industry. Even though the net profit in the IFRS fell by 2024, the operating margins showed no significant trends, which showed the resilience of core trading performance amid inflationary pressure and restructuring expenses. This low capital gearing is reflected in the balance sheet of the Group, which has been partly contributed </w:t>
      </w:r>
      <w:r w:rsidR="00370CCC">
        <w:rPr>
          <w:rFonts w:cs="Times New Roman"/>
        </w:rPr>
        <w:t xml:space="preserve">to </w:t>
      </w:r>
      <w:r w:rsidRPr="007F7EED">
        <w:rPr>
          <w:rFonts w:cs="Times New Roman"/>
        </w:rPr>
        <w:t>by the high shareholder distributions. In the year, the Group pa</w:t>
      </w:r>
      <w:r w:rsidR="00370CCC">
        <w:rPr>
          <w:rFonts w:cs="Times New Roman"/>
        </w:rPr>
        <w:t>id out</w:t>
      </w:r>
      <w:r w:rsidRPr="007F7EED">
        <w:rPr>
          <w:rFonts w:cs="Times New Roman"/>
        </w:rPr>
        <w:t xml:space="preserve"> about 2.7 billion pounds to shareholders, and this reflects high cash-generating capacity compared to the industry standards (Reckitt, 2025</w:t>
      </w:r>
      <w:r w:rsidR="001E3052" w:rsidRPr="001E3052">
        <w:rPr>
          <w:rFonts w:cs="Times New Roman"/>
          <w:lang w:val="en-IN"/>
        </w:rPr>
        <w:t>)</w:t>
      </w:r>
      <w:r w:rsidR="002A146C" w:rsidRPr="00577F2F">
        <w:rPr>
          <w:rFonts w:cs="Times New Roman"/>
          <w:lang w:val="en-IN"/>
        </w:rPr>
        <w:t>.</w:t>
      </w:r>
    </w:p>
    <w:p w14:paraId="21D67C6C" w14:textId="77777777" w:rsidR="002A146C" w:rsidRPr="00577F2F" w:rsidRDefault="002A146C">
      <w:pPr>
        <w:spacing w:line="259" w:lineRule="auto"/>
        <w:jc w:val="left"/>
        <w:rPr>
          <w:rFonts w:cs="Times New Roman"/>
          <w:lang w:val="en-IN"/>
        </w:rPr>
      </w:pPr>
      <w:r w:rsidRPr="00577F2F">
        <w:rPr>
          <w:rFonts w:cs="Times New Roman"/>
          <w:lang w:val="en-IN"/>
        </w:rPr>
        <w:br w:type="page"/>
      </w:r>
    </w:p>
    <w:p w14:paraId="52853A96" w14:textId="2B868AA1" w:rsidR="002A146C" w:rsidRPr="00577F2F" w:rsidRDefault="0046472A" w:rsidP="008653A8">
      <w:pPr>
        <w:pStyle w:val="Heading2"/>
        <w:rPr>
          <w:lang w:val="en-IN"/>
        </w:rPr>
      </w:pPr>
      <w:bookmarkStart w:id="4" w:name="_Toc219014264"/>
      <w:r w:rsidRPr="00577F2F">
        <w:rPr>
          <w:lang w:val="en-IN"/>
        </w:rPr>
        <w:lastRenderedPageBreak/>
        <w:t xml:space="preserve">3. </w:t>
      </w:r>
      <w:r w:rsidR="002A146C" w:rsidRPr="00577F2F">
        <w:rPr>
          <w:lang w:val="en-IN"/>
        </w:rPr>
        <w:t>Financial Ratio Analysis</w:t>
      </w:r>
      <w:bookmarkEnd w:id="4"/>
      <w:r w:rsidR="002A146C" w:rsidRPr="00577F2F">
        <w:rPr>
          <w:lang w:val="en-IN"/>
        </w:rPr>
        <w:t xml:space="preserve"> </w:t>
      </w:r>
    </w:p>
    <w:p w14:paraId="4D4C7DF9" w14:textId="1BA91272" w:rsidR="002A146C" w:rsidRPr="00577F2F" w:rsidRDefault="007F7EED" w:rsidP="002A146C">
      <w:pPr>
        <w:rPr>
          <w:rFonts w:cs="Times New Roman"/>
          <w:lang w:val="en-IN"/>
        </w:rPr>
      </w:pPr>
      <w:r w:rsidRPr="007F7EED">
        <w:rPr>
          <w:rFonts w:cs="Times New Roman"/>
          <w:lang w:val="en-IN"/>
        </w:rPr>
        <w:t xml:space="preserve">Financial ratio analysis is a tool that helps to evaluate </w:t>
      </w:r>
      <w:r w:rsidR="00370CCC">
        <w:rPr>
          <w:rFonts w:cs="Times New Roman"/>
          <w:lang w:val="en-IN"/>
        </w:rPr>
        <w:t xml:space="preserve">the </w:t>
      </w:r>
      <w:r w:rsidRPr="007F7EED">
        <w:rPr>
          <w:rFonts w:cs="Times New Roman"/>
          <w:lang w:val="en-IN"/>
        </w:rPr>
        <w:t>financial performance, efficiency, and liquidity of a company, as well as its risk, based on the analys</w:t>
      </w:r>
      <w:r w:rsidR="00370CCC">
        <w:rPr>
          <w:rFonts w:cs="Times New Roman"/>
          <w:lang w:val="en-IN"/>
        </w:rPr>
        <w:t>i</w:t>
      </w:r>
      <w:r w:rsidRPr="007F7EED">
        <w:rPr>
          <w:rFonts w:cs="Times New Roman"/>
          <w:lang w:val="en-IN"/>
        </w:rPr>
        <w:t>s of relations in published financial statements (Bloementhal, 2025). In the case of Reckitt Benckiser, ratio analysis allows directors to have an objective assessment of profitability, capital structure, working capital management and shareholder returns. This is an analysis of the ratios between the 2023 and 2024 financial years to determine the performance trends and make informed strategic and financial decisions</w:t>
      </w:r>
      <w:r w:rsidR="002A146C" w:rsidRPr="00577F2F">
        <w:rPr>
          <w:rFonts w:cs="Times New Roman"/>
          <w:lang w:val="en-IN"/>
        </w:rPr>
        <w:t>.</w:t>
      </w:r>
    </w:p>
    <w:p w14:paraId="2B9FADFF" w14:textId="221DC5F9" w:rsidR="0046472A" w:rsidRPr="00577F2F" w:rsidRDefault="0046472A" w:rsidP="000647E1">
      <w:pPr>
        <w:pStyle w:val="ListParagraph"/>
        <w:numPr>
          <w:ilvl w:val="0"/>
          <w:numId w:val="1"/>
        </w:numPr>
        <w:rPr>
          <w:rFonts w:cs="Times New Roman"/>
          <w:b/>
          <w:bCs/>
          <w:lang w:val="en-IN"/>
        </w:rPr>
      </w:pPr>
      <w:r w:rsidRPr="00577F2F">
        <w:rPr>
          <w:rFonts w:cs="Times New Roman"/>
          <w:b/>
          <w:bCs/>
          <w:lang w:val="en-IN"/>
        </w:rPr>
        <w:t>Profitability Ratio Analysis</w:t>
      </w:r>
      <w:r w:rsidR="000647E1" w:rsidRPr="00577F2F">
        <w:rPr>
          <w:rFonts w:cs="Times New Roman"/>
          <w:b/>
          <w:bCs/>
          <w:lang w:val="en-IN"/>
        </w:rPr>
        <w:t xml:space="preserve"> (See Detailed Calculation in </w:t>
      </w:r>
      <w:hyperlink w:anchor="_Appendix_C:_Detailed" w:history="1">
        <w:r w:rsidR="000647E1" w:rsidRPr="00577F2F">
          <w:rPr>
            <w:rStyle w:val="Hyperlink"/>
            <w:rFonts w:cs="Times New Roman"/>
            <w:b/>
            <w:bCs/>
            <w:lang w:val="en-IN"/>
          </w:rPr>
          <w:t>Appendix C</w:t>
        </w:r>
      </w:hyperlink>
      <w:r w:rsidR="000647E1" w:rsidRPr="00577F2F">
        <w:rPr>
          <w:rFonts w:cs="Times New Roman"/>
          <w:b/>
          <w:bCs/>
          <w:lang w:val="en-IN"/>
        </w:rPr>
        <w:t>)</w:t>
      </w:r>
    </w:p>
    <w:p w14:paraId="27E2E5E2" w14:textId="05D65C07" w:rsidR="0046472A" w:rsidRPr="00577F2F" w:rsidRDefault="007F7EED" w:rsidP="0046472A">
      <w:pPr>
        <w:rPr>
          <w:rFonts w:cs="Times New Roman"/>
          <w:lang w:val="en-IN"/>
        </w:rPr>
      </w:pPr>
      <w:r w:rsidRPr="007F7EED">
        <w:rPr>
          <w:rFonts w:cs="Times New Roman"/>
          <w:lang w:val="en-IN"/>
        </w:rPr>
        <w:t>Profitability ratios indicate how well a company can earn its sales, assets, equity, and capital used and are some of the primary metrics of an efficient operation and creation of value to the shareholders (Ramdhan, Nur Afni Yulianti and Nurhana Dhea Parlina, 2025). In the case of Reckitt Benckiser, the ratios can give an idea of how the Group has utili</w:t>
      </w:r>
      <w:r w:rsidR="00370CCC">
        <w:rPr>
          <w:rFonts w:cs="Times New Roman"/>
          <w:lang w:val="en-IN"/>
        </w:rPr>
        <w:t>s</w:t>
      </w:r>
      <w:r w:rsidRPr="007F7EED">
        <w:rPr>
          <w:rFonts w:cs="Times New Roman"/>
          <w:lang w:val="en-IN"/>
        </w:rPr>
        <w:t>ed the period costs, prices and capital</w:t>
      </w:r>
      <w:r w:rsidR="0046472A" w:rsidRPr="0046472A">
        <w:rPr>
          <w:rFonts w:cs="Times New Roman"/>
          <w:lang w:val="en-IN"/>
        </w:rPr>
        <w:t>.</w:t>
      </w:r>
    </w:p>
    <w:p w14:paraId="7A11FD64" w14:textId="0788DFEA" w:rsidR="0046472A" w:rsidRPr="00577F2F" w:rsidRDefault="0046472A" w:rsidP="0046472A">
      <w:pPr>
        <w:pStyle w:val="Caption"/>
        <w:keepNext/>
        <w:rPr>
          <w:rFonts w:cs="Times New Roman"/>
        </w:rPr>
      </w:pPr>
      <w:r w:rsidRPr="00577F2F">
        <w:rPr>
          <w:rFonts w:cs="Times New Roman"/>
        </w:rPr>
        <w:t xml:space="preserve">Table </w:t>
      </w:r>
      <w:r w:rsidRPr="00577F2F">
        <w:rPr>
          <w:rFonts w:cs="Times New Roman"/>
        </w:rPr>
        <w:fldChar w:fldCharType="begin"/>
      </w:r>
      <w:r w:rsidRPr="00577F2F">
        <w:rPr>
          <w:rFonts w:cs="Times New Roman"/>
        </w:rPr>
        <w:instrText xml:space="preserve"> SEQ Table \* ARABIC </w:instrText>
      </w:r>
      <w:r w:rsidRPr="00577F2F">
        <w:rPr>
          <w:rFonts w:cs="Times New Roman"/>
        </w:rPr>
        <w:fldChar w:fldCharType="separate"/>
      </w:r>
      <w:r w:rsidR="00111A14" w:rsidRPr="00577F2F">
        <w:rPr>
          <w:rFonts w:cs="Times New Roman"/>
          <w:noProof/>
        </w:rPr>
        <w:t>1</w:t>
      </w:r>
      <w:r w:rsidRPr="00577F2F">
        <w:rPr>
          <w:rFonts w:cs="Times New Roman"/>
        </w:rPr>
        <w:fldChar w:fldCharType="end"/>
      </w:r>
      <w:r w:rsidRPr="00577F2F">
        <w:rPr>
          <w:rFonts w:cs="Times New Roman"/>
          <w:lang w:val="en-US"/>
        </w:rPr>
        <w:t>: Profitability Ratio Calculation</w:t>
      </w:r>
    </w:p>
    <w:tbl>
      <w:tblPr>
        <w:tblStyle w:val="TableGrid"/>
        <w:tblW w:w="0" w:type="auto"/>
        <w:tblLook w:val="04A0" w:firstRow="1" w:lastRow="0" w:firstColumn="1" w:lastColumn="0" w:noHBand="0" w:noVBand="1"/>
      </w:tblPr>
      <w:tblGrid>
        <w:gridCol w:w="4764"/>
        <w:gridCol w:w="986"/>
        <w:gridCol w:w="986"/>
        <w:gridCol w:w="1048"/>
        <w:gridCol w:w="857"/>
      </w:tblGrid>
      <w:tr w:rsidR="0046472A" w:rsidRPr="00577F2F" w14:paraId="44F87A69" w14:textId="77777777" w:rsidTr="0046472A">
        <w:trPr>
          <w:trHeight w:val="348"/>
        </w:trPr>
        <w:tc>
          <w:tcPr>
            <w:tcW w:w="8640" w:type="dxa"/>
            <w:gridSpan w:val="5"/>
            <w:noWrap/>
            <w:hideMark/>
          </w:tcPr>
          <w:p w14:paraId="2F860EF4" w14:textId="77777777" w:rsidR="0046472A" w:rsidRPr="00577F2F" w:rsidRDefault="0046472A" w:rsidP="0046472A">
            <w:pPr>
              <w:jc w:val="center"/>
              <w:rPr>
                <w:rFonts w:cs="Times New Roman"/>
                <w:b/>
                <w:bCs/>
                <w:lang w:val="en-IN"/>
              </w:rPr>
            </w:pPr>
            <w:r w:rsidRPr="00577F2F">
              <w:rPr>
                <w:rFonts w:cs="Times New Roman"/>
                <w:b/>
                <w:bCs/>
              </w:rPr>
              <w:t xml:space="preserve">Profitability Ratios </w:t>
            </w:r>
          </w:p>
        </w:tc>
      </w:tr>
      <w:tr w:rsidR="0046472A" w:rsidRPr="00577F2F" w14:paraId="22D7777D" w14:textId="77777777" w:rsidTr="0046472A">
        <w:trPr>
          <w:trHeight w:val="312"/>
        </w:trPr>
        <w:tc>
          <w:tcPr>
            <w:tcW w:w="4764" w:type="dxa"/>
            <w:noWrap/>
            <w:hideMark/>
          </w:tcPr>
          <w:p w14:paraId="0B7CEAD6" w14:textId="77777777" w:rsidR="0046472A" w:rsidRPr="00577F2F" w:rsidRDefault="0046472A">
            <w:pPr>
              <w:jc w:val="center"/>
              <w:rPr>
                <w:rFonts w:cs="Times New Roman"/>
                <w:b/>
                <w:bCs/>
              </w:rPr>
            </w:pPr>
            <w:r w:rsidRPr="00577F2F">
              <w:rPr>
                <w:rFonts w:cs="Times New Roman"/>
                <w:b/>
                <w:bCs/>
              </w:rPr>
              <w:t>Ratios</w:t>
            </w:r>
          </w:p>
        </w:tc>
        <w:tc>
          <w:tcPr>
            <w:tcW w:w="986" w:type="dxa"/>
            <w:noWrap/>
            <w:hideMark/>
          </w:tcPr>
          <w:p w14:paraId="5249BB4E" w14:textId="77777777" w:rsidR="0046472A" w:rsidRPr="00577F2F" w:rsidRDefault="0046472A">
            <w:pPr>
              <w:jc w:val="center"/>
              <w:rPr>
                <w:rFonts w:cs="Times New Roman"/>
                <w:b/>
                <w:bCs/>
              </w:rPr>
            </w:pPr>
            <w:r w:rsidRPr="00577F2F">
              <w:rPr>
                <w:rFonts w:cs="Times New Roman"/>
                <w:b/>
                <w:bCs/>
              </w:rPr>
              <w:t>2024</w:t>
            </w:r>
          </w:p>
        </w:tc>
        <w:tc>
          <w:tcPr>
            <w:tcW w:w="986" w:type="dxa"/>
            <w:noWrap/>
            <w:hideMark/>
          </w:tcPr>
          <w:p w14:paraId="71A37593" w14:textId="77777777" w:rsidR="0046472A" w:rsidRPr="00577F2F" w:rsidRDefault="0046472A">
            <w:pPr>
              <w:jc w:val="center"/>
              <w:rPr>
                <w:rFonts w:cs="Times New Roman"/>
                <w:b/>
                <w:bCs/>
              </w:rPr>
            </w:pPr>
            <w:r w:rsidRPr="00577F2F">
              <w:rPr>
                <w:rFonts w:cs="Times New Roman"/>
                <w:b/>
                <w:bCs/>
              </w:rPr>
              <w:t>2023</w:t>
            </w:r>
          </w:p>
        </w:tc>
        <w:tc>
          <w:tcPr>
            <w:tcW w:w="1048" w:type="dxa"/>
            <w:noWrap/>
            <w:hideMark/>
          </w:tcPr>
          <w:p w14:paraId="26E28B3B" w14:textId="77777777" w:rsidR="0046472A" w:rsidRPr="00577F2F" w:rsidRDefault="0046472A">
            <w:pPr>
              <w:jc w:val="center"/>
              <w:rPr>
                <w:rFonts w:cs="Times New Roman"/>
                <w:b/>
                <w:bCs/>
              </w:rPr>
            </w:pPr>
            <w:r w:rsidRPr="00577F2F">
              <w:rPr>
                <w:rFonts w:cs="Times New Roman"/>
                <w:b/>
                <w:bCs/>
              </w:rPr>
              <w:t>Change</w:t>
            </w:r>
          </w:p>
        </w:tc>
        <w:tc>
          <w:tcPr>
            <w:tcW w:w="856" w:type="dxa"/>
            <w:noWrap/>
            <w:hideMark/>
          </w:tcPr>
          <w:p w14:paraId="5C040F9A" w14:textId="77777777" w:rsidR="0046472A" w:rsidRPr="00577F2F" w:rsidRDefault="0046472A">
            <w:pPr>
              <w:jc w:val="center"/>
              <w:rPr>
                <w:rFonts w:cs="Times New Roman"/>
                <w:b/>
                <w:bCs/>
              </w:rPr>
            </w:pPr>
            <w:r w:rsidRPr="00577F2F">
              <w:rPr>
                <w:rFonts w:cs="Times New Roman"/>
                <w:b/>
                <w:bCs/>
              </w:rPr>
              <w:t>Trend</w:t>
            </w:r>
          </w:p>
        </w:tc>
      </w:tr>
      <w:tr w:rsidR="0046472A" w:rsidRPr="00577F2F" w14:paraId="337B3AAD" w14:textId="77777777" w:rsidTr="0046472A">
        <w:trPr>
          <w:trHeight w:val="312"/>
        </w:trPr>
        <w:tc>
          <w:tcPr>
            <w:tcW w:w="4764" w:type="dxa"/>
            <w:noWrap/>
            <w:hideMark/>
          </w:tcPr>
          <w:p w14:paraId="3F0FC982" w14:textId="77777777" w:rsidR="0046472A" w:rsidRPr="00577F2F" w:rsidRDefault="0046472A">
            <w:pPr>
              <w:jc w:val="center"/>
              <w:rPr>
                <w:rFonts w:cs="Times New Roman"/>
              </w:rPr>
            </w:pPr>
            <w:r w:rsidRPr="00577F2F">
              <w:rPr>
                <w:rFonts w:cs="Times New Roman"/>
              </w:rPr>
              <w:t xml:space="preserve">Gross Profit Margin </w:t>
            </w:r>
          </w:p>
        </w:tc>
        <w:tc>
          <w:tcPr>
            <w:tcW w:w="986" w:type="dxa"/>
            <w:noWrap/>
            <w:hideMark/>
          </w:tcPr>
          <w:p w14:paraId="5BB2448F" w14:textId="77777777" w:rsidR="0046472A" w:rsidRPr="00577F2F" w:rsidRDefault="0046472A">
            <w:pPr>
              <w:jc w:val="center"/>
              <w:rPr>
                <w:rFonts w:cs="Times New Roman"/>
              </w:rPr>
            </w:pPr>
            <w:r w:rsidRPr="00577F2F">
              <w:rPr>
                <w:rFonts w:cs="Times New Roman"/>
              </w:rPr>
              <w:t>60.66%</w:t>
            </w:r>
          </w:p>
        </w:tc>
        <w:tc>
          <w:tcPr>
            <w:tcW w:w="986" w:type="dxa"/>
            <w:noWrap/>
            <w:hideMark/>
          </w:tcPr>
          <w:p w14:paraId="60FD14F6" w14:textId="77777777" w:rsidR="0046472A" w:rsidRPr="00577F2F" w:rsidRDefault="0046472A">
            <w:pPr>
              <w:jc w:val="center"/>
              <w:rPr>
                <w:rFonts w:cs="Times New Roman"/>
              </w:rPr>
            </w:pPr>
            <w:r w:rsidRPr="00577F2F">
              <w:rPr>
                <w:rFonts w:cs="Times New Roman"/>
              </w:rPr>
              <w:t>59.97%</w:t>
            </w:r>
          </w:p>
        </w:tc>
        <w:tc>
          <w:tcPr>
            <w:tcW w:w="1048" w:type="dxa"/>
            <w:noWrap/>
            <w:hideMark/>
          </w:tcPr>
          <w:p w14:paraId="681A1A99" w14:textId="77777777" w:rsidR="0046472A" w:rsidRPr="00577F2F" w:rsidRDefault="0046472A">
            <w:pPr>
              <w:jc w:val="center"/>
              <w:rPr>
                <w:rFonts w:cs="Times New Roman"/>
              </w:rPr>
            </w:pPr>
            <w:r w:rsidRPr="00577F2F">
              <w:rPr>
                <w:rFonts w:cs="Times New Roman"/>
              </w:rPr>
              <w:t>0.69%</w:t>
            </w:r>
          </w:p>
        </w:tc>
        <w:tc>
          <w:tcPr>
            <w:tcW w:w="856" w:type="dxa"/>
            <w:noWrap/>
            <w:hideMark/>
          </w:tcPr>
          <w:p w14:paraId="4C7B5BBD" w14:textId="77777777" w:rsidR="0046472A" w:rsidRPr="00577F2F" w:rsidRDefault="0046472A">
            <w:pPr>
              <w:jc w:val="center"/>
              <w:rPr>
                <w:rFonts w:cs="Times New Roman"/>
              </w:rPr>
            </w:pPr>
            <w:r w:rsidRPr="00577F2F">
              <w:rPr>
                <w:rFonts w:cs="Times New Roman"/>
              </w:rPr>
              <w:t>↑</w:t>
            </w:r>
          </w:p>
        </w:tc>
      </w:tr>
      <w:tr w:rsidR="0046472A" w:rsidRPr="00577F2F" w14:paraId="72CF960B" w14:textId="77777777" w:rsidTr="0046472A">
        <w:trPr>
          <w:trHeight w:val="312"/>
        </w:trPr>
        <w:tc>
          <w:tcPr>
            <w:tcW w:w="4764" w:type="dxa"/>
            <w:noWrap/>
            <w:hideMark/>
          </w:tcPr>
          <w:p w14:paraId="1986D099" w14:textId="77777777" w:rsidR="0046472A" w:rsidRPr="00577F2F" w:rsidRDefault="0046472A">
            <w:pPr>
              <w:jc w:val="center"/>
              <w:rPr>
                <w:rFonts w:cs="Times New Roman"/>
              </w:rPr>
            </w:pPr>
            <w:r w:rsidRPr="00577F2F">
              <w:rPr>
                <w:rFonts w:cs="Times New Roman"/>
              </w:rPr>
              <w:t xml:space="preserve">Operating Profit Margin </w:t>
            </w:r>
          </w:p>
        </w:tc>
        <w:tc>
          <w:tcPr>
            <w:tcW w:w="986" w:type="dxa"/>
            <w:noWrap/>
            <w:hideMark/>
          </w:tcPr>
          <w:p w14:paraId="63FD3793" w14:textId="77777777" w:rsidR="0046472A" w:rsidRPr="00577F2F" w:rsidRDefault="0046472A">
            <w:pPr>
              <w:jc w:val="center"/>
              <w:rPr>
                <w:rFonts w:cs="Times New Roman"/>
              </w:rPr>
            </w:pPr>
            <w:r w:rsidRPr="00577F2F">
              <w:rPr>
                <w:rFonts w:cs="Times New Roman"/>
              </w:rPr>
              <w:t>17.11%</w:t>
            </w:r>
          </w:p>
        </w:tc>
        <w:tc>
          <w:tcPr>
            <w:tcW w:w="986" w:type="dxa"/>
            <w:noWrap/>
            <w:hideMark/>
          </w:tcPr>
          <w:p w14:paraId="0449F2E0" w14:textId="77777777" w:rsidR="0046472A" w:rsidRPr="00577F2F" w:rsidRDefault="0046472A">
            <w:pPr>
              <w:jc w:val="center"/>
              <w:rPr>
                <w:rFonts w:cs="Times New Roman"/>
              </w:rPr>
            </w:pPr>
            <w:r w:rsidRPr="00577F2F">
              <w:rPr>
                <w:rFonts w:cs="Times New Roman"/>
              </w:rPr>
              <w:t>17.33%</w:t>
            </w:r>
          </w:p>
        </w:tc>
        <w:tc>
          <w:tcPr>
            <w:tcW w:w="1048" w:type="dxa"/>
            <w:noWrap/>
            <w:hideMark/>
          </w:tcPr>
          <w:p w14:paraId="23F72124" w14:textId="77777777" w:rsidR="0046472A" w:rsidRPr="00577F2F" w:rsidRDefault="0046472A">
            <w:pPr>
              <w:jc w:val="center"/>
              <w:rPr>
                <w:rFonts w:cs="Times New Roman"/>
              </w:rPr>
            </w:pPr>
            <w:r w:rsidRPr="00577F2F">
              <w:rPr>
                <w:rFonts w:cs="Times New Roman"/>
              </w:rPr>
              <w:t>-0.21%</w:t>
            </w:r>
          </w:p>
        </w:tc>
        <w:tc>
          <w:tcPr>
            <w:tcW w:w="856" w:type="dxa"/>
            <w:noWrap/>
            <w:hideMark/>
          </w:tcPr>
          <w:p w14:paraId="5ABF2A88" w14:textId="77777777" w:rsidR="0046472A" w:rsidRPr="00577F2F" w:rsidRDefault="0046472A">
            <w:pPr>
              <w:jc w:val="center"/>
              <w:rPr>
                <w:rFonts w:cs="Times New Roman"/>
              </w:rPr>
            </w:pPr>
            <w:r w:rsidRPr="00577F2F">
              <w:rPr>
                <w:rFonts w:cs="Times New Roman"/>
              </w:rPr>
              <w:t>↓</w:t>
            </w:r>
          </w:p>
        </w:tc>
      </w:tr>
      <w:tr w:rsidR="0046472A" w:rsidRPr="00577F2F" w14:paraId="6809BDE4" w14:textId="77777777" w:rsidTr="0046472A">
        <w:trPr>
          <w:trHeight w:val="312"/>
        </w:trPr>
        <w:tc>
          <w:tcPr>
            <w:tcW w:w="4764" w:type="dxa"/>
            <w:noWrap/>
            <w:hideMark/>
          </w:tcPr>
          <w:p w14:paraId="20BC20C1" w14:textId="77777777" w:rsidR="0046472A" w:rsidRPr="00577F2F" w:rsidRDefault="0046472A">
            <w:pPr>
              <w:jc w:val="center"/>
              <w:rPr>
                <w:rFonts w:cs="Times New Roman"/>
              </w:rPr>
            </w:pPr>
            <w:r w:rsidRPr="00577F2F">
              <w:rPr>
                <w:rFonts w:cs="Times New Roman"/>
              </w:rPr>
              <w:t>Net Profit Margin</w:t>
            </w:r>
          </w:p>
        </w:tc>
        <w:tc>
          <w:tcPr>
            <w:tcW w:w="986" w:type="dxa"/>
            <w:noWrap/>
            <w:hideMark/>
          </w:tcPr>
          <w:p w14:paraId="6C415039" w14:textId="77777777" w:rsidR="0046472A" w:rsidRPr="00577F2F" w:rsidRDefault="0046472A">
            <w:pPr>
              <w:jc w:val="center"/>
              <w:rPr>
                <w:rFonts w:cs="Times New Roman"/>
              </w:rPr>
            </w:pPr>
            <w:r w:rsidRPr="00577F2F">
              <w:rPr>
                <w:rFonts w:cs="Times New Roman"/>
              </w:rPr>
              <w:t>10.08%</w:t>
            </w:r>
          </w:p>
        </w:tc>
        <w:tc>
          <w:tcPr>
            <w:tcW w:w="986" w:type="dxa"/>
            <w:noWrap/>
            <w:hideMark/>
          </w:tcPr>
          <w:p w14:paraId="20AF78D2" w14:textId="77777777" w:rsidR="0046472A" w:rsidRPr="00577F2F" w:rsidRDefault="0046472A">
            <w:pPr>
              <w:jc w:val="center"/>
              <w:rPr>
                <w:rFonts w:cs="Times New Roman"/>
              </w:rPr>
            </w:pPr>
            <w:r w:rsidRPr="00577F2F">
              <w:rPr>
                <w:rFonts w:cs="Times New Roman"/>
              </w:rPr>
              <w:t>11.34%</w:t>
            </w:r>
          </w:p>
        </w:tc>
        <w:tc>
          <w:tcPr>
            <w:tcW w:w="1048" w:type="dxa"/>
            <w:noWrap/>
            <w:hideMark/>
          </w:tcPr>
          <w:p w14:paraId="06BAC92A" w14:textId="77777777" w:rsidR="0046472A" w:rsidRPr="00577F2F" w:rsidRDefault="0046472A">
            <w:pPr>
              <w:jc w:val="center"/>
              <w:rPr>
                <w:rFonts w:cs="Times New Roman"/>
              </w:rPr>
            </w:pPr>
            <w:r w:rsidRPr="00577F2F">
              <w:rPr>
                <w:rFonts w:cs="Times New Roman"/>
              </w:rPr>
              <w:t>-1.27%</w:t>
            </w:r>
          </w:p>
        </w:tc>
        <w:tc>
          <w:tcPr>
            <w:tcW w:w="856" w:type="dxa"/>
            <w:noWrap/>
            <w:hideMark/>
          </w:tcPr>
          <w:p w14:paraId="46C3FE90" w14:textId="77777777" w:rsidR="0046472A" w:rsidRPr="00577F2F" w:rsidRDefault="0046472A">
            <w:pPr>
              <w:jc w:val="center"/>
              <w:rPr>
                <w:rFonts w:cs="Times New Roman"/>
              </w:rPr>
            </w:pPr>
            <w:r w:rsidRPr="00577F2F">
              <w:rPr>
                <w:rFonts w:cs="Times New Roman"/>
              </w:rPr>
              <w:t>↓</w:t>
            </w:r>
          </w:p>
        </w:tc>
      </w:tr>
      <w:tr w:rsidR="0046472A" w:rsidRPr="00577F2F" w14:paraId="63F4C401" w14:textId="77777777" w:rsidTr="0046472A">
        <w:trPr>
          <w:trHeight w:val="312"/>
        </w:trPr>
        <w:tc>
          <w:tcPr>
            <w:tcW w:w="4764" w:type="dxa"/>
            <w:noWrap/>
            <w:hideMark/>
          </w:tcPr>
          <w:p w14:paraId="58C6BD07" w14:textId="77777777" w:rsidR="0046472A" w:rsidRPr="00577F2F" w:rsidRDefault="0046472A">
            <w:pPr>
              <w:jc w:val="center"/>
              <w:rPr>
                <w:rFonts w:cs="Times New Roman"/>
              </w:rPr>
            </w:pPr>
            <w:r w:rsidRPr="00577F2F">
              <w:rPr>
                <w:rFonts w:cs="Times New Roman"/>
              </w:rPr>
              <w:t>Return on Asset (ROA)</w:t>
            </w:r>
          </w:p>
        </w:tc>
        <w:tc>
          <w:tcPr>
            <w:tcW w:w="986" w:type="dxa"/>
            <w:noWrap/>
            <w:hideMark/>
          </w:tcPr>
          <w:p w14:paraId="5B4E9048" w14:textId="77777777" w:rsidR="0046472A" w:rsidRPr="00577F2F" w:rsidRDefault="0046472A">
            <w:pPr>
              <w:jc w:val="center"/>
              <w:rPr>
                <w:rFonts w:cs="Times New Roman"/>
              </w:rPr>
            </w:pPr>
            <w:r w:rsidRPr="00577F2F">
              <w:rPr>
                <w:rFonts w:cs="Times New Roman"/>
              </w:rPr>
              <w:t>5.64%</w:t>
            </w:r>
          </w:p>
        </w:tc>
        <w:tc>
          <w:tcPr>
            <w:tcW w:w="986" w:type="dxa"/>
            <w:noWrap/>
            <w:hideMark/>
          </w:tcPr>
          <w:p w14:paraId="7001F2B8" w14:textId="77777777" w:rsidR="0046472A" w:rsidRPr="00577F2F" w:rsidRDefault="0046472A">
            <w:pPr>
              <w:jc w:val="center"/>
              <w:rPr>
                <w:rFonts w:cs="Times New Roman"/>
              </w:rPr>
            </w:pPr>
            <w:r w:rsidRPr="00577F2F">
              <w:rPr>
                <w:rFonts w:cs="Times New Roman"/>
              </w:rPr>
              <w:t>6.11%</w:t>
            </w:r>
          </w:p>
        </w:tc>
        <w:tc>
          <w:tcPr>
            <w:tcW w:w="1048" w:type="dxa"/>
            <w:noWrap/>
            <w:hideMark/>
          </w:tcPr>
          <w:p w14:paraId="15C97183" w14:textId="77777777" w:rsidR="0046472A" w:rsidRPr="00577F2F" w:rsidRDefault="0046472A">
            <w:pPr>
              <w:jc w:val="center"/>
              <w:rPr>
                <w:rFonts w:cs="Times New Roman"/>
              </w:rPr>
            </w:pPr>
            <w:r w:rsidRPr="00577F2F">
              <w:rPr>
                <w:rFonts w:cs="Times New Roman"/>
              </w:rPr>
              <w:t>-0.46%</w:t>
            </w:r>
          </w:p>
        </w:tc>
        <w:tc>
          <w:tcPr>
            <w:tcW w:w="856" w:type="dxa"/>
            <w:noWrap/>
            <w:hideMark/>
          </w:tcPr>
          <w:p w14:paraId="6C145B05" w14:textId="77777777" w:rsidR="0046472A" w:rsidRPr="00577F2F" w:rsidRDefault="0046472A">
            <w:pPr>
              <w:jc w:val="center"/>
              <w:rPr>
                <w:rFonts w:cs="Times New Roman"/>
              </w:rPr>
            </w:pPr>
            <w:r w:rsidRPr="00577F2F">
              <w:rPr>
                <w:rFonts w:cs="Times New Roman"/>
              </w:rPr>
              <w:t>↓</w:t>
            </w:r>
          </w:p>
        </w:tc>
      </w:tr>
      <w:tr w:rsidR="0046472A" w:rsidRPr="00577F2F" w14:paraId="339DF908" w14:textId="77777777" w:rsidTr="0046472A">
        <w:trPr>
          <w:trHeight w:val="312"/>
        </w:trPr>
        <w:tc>
          <w:tcPr>
            <w:tcW w:w="4764" w:type="dxa"/>
            <w:noWrap/>
            <w:hideMark/>
          </w:tcPr>
          <w:p w14:paraId="40103780" w14:textId="77777777" w:rsidR="0046472A" w:rsidRPr="00577F2F" w:rsidRDefault="0046472A">
            <w:pPr>
              <w:jc w:val="center"/>
              <w:rPr>
                <w:rFonts w:cs="Times New Roman"/>
              </w:rPr>
            </w:pPr>
            <w:r w:rsidRPr="00577F2F">
              <w:rPr>
                <w:rFonts w:cs="Times New Roman"/>
              </w:rPr>
              <w:t>Return on Equity (ROE)</w:t>
            </w:r>
          </w:p>
        </w:tc>
        <w:tc>
          <w:tcPr>
            <w:tcW w:w="986" w:type="dxa"/>
            <w:noWrap/>
            <w:hideMark/>
          </w:tcPr>
          <w:p w14:paraId="492DFADF" w14:textId="77777777" w:rsidR="0046472A" w:rsidRPr="00577F2F" w:rsidRDefault="0046472A">
            <w:pPr>
              <w:jc w:val="center"/>
              <w:rPr>
                <w:rFonts w:cs="Times New Roman"/>
              </w:rPr>
            </w:pPr>
            <w:r w:rsidRPr="00577F2F">
              <w:rPr>
                <w:rFonts w:cs="Times New Roman"/>
              </w:rPr>
              <w:t>21.22%</w:t>
            </w:r>
          </w:p>
        </w:tc>
        <w:tc>
          <w:tcPr>
            <w:tcW w:w="986" w:type="dxa"/>
            <w:noWrap/>
            <w:hideMark/>
          </w:tcPr>
          <w:p w14:paraId="03FE20E5" w14:textId="77777777" w:rsidR="0046472A" w:rsidRPr="00577F2F" w:rsidRDefault="0046472A">
            <w:pPr>
              <w:jc w:val="center"/>
              <w:rPr>
                <w:rFonts w:cs="Times New Roman"/>
              </w:rPr>
            </w:pPr>
            <w:r w:rsidRPr="00577F2F">
              <w:rPr>
                <w:rFonts w:cs="Times New Roman"/>
              </w:rPr>
              <w:t>19.40%</w:t>
            </w:r>
          </w:p>
        </w:tc>
        <w:tc>
          <w:tcPr>
            <w:tcW w:w="1048" w:type="dxa"/>
            <w:noWrap/>
            <w:hideMark/>
          </w:tcPr>
          <w:p w14:paraId="4740A98A" w14:textId="77777777" w:rsidR="0046472A" w:rsidRPr="00577F2F" w:rsidRDefault="0046472A">
            <w:pPr>
              <w:jc w:val="center"/>
              <w:rPr>
                <w:rFonts w:cs="Times New Roman"/>
              </w:rPr>
            </w:pPr>
            <w:r w:rsidRPr="00577F2F">
              <w:rPr>
                <w:rFonts w:cs="Times New Roman"/>
              </w:rPr>
              <w:t>1.82%</w:t>
            </w:r>
          </w:p>
        </w:tc>
        <w:tc>
          <w:tcPr>
            <w:tcW w:w="856" w:type="dxa"/>
            <w:noWrap/>
            <w:hideMark/>
          </w:tcPr>
          <w:p w14:paraId="16B4DD64" w14:textId="77777777" w:rsidR="0046472A" w:rsidRPr="00577F2F" w:rsidRDefault="0046472A">
            <w:pPr>
              <w:jc w:val="center"/>
              <w:rPr>
                <w:rFonts w:cs="Times New Roman"/>
              </w:rPr>
            </w:pPr>
            <w:r w:rsidRPr="00577F2F">
              <w:rPr>
                <w:rFonts w:cs="Times New Roman"/>
              </w:rPr>
              <w:t>↑</w:t>
            </w:r>
          </w:p>
        </w:tc>
      </w:tr>
      <w:tr w:rsidR="0046472A" w:rsidRPr="00577F2F" w14:paraId="5AF25EB7" w14:textId="77777777" w:rsidTr="0046472A">
        <w:trPr>
          <w:trHeight w:val="312"/>
        </w:trPr>
        <w:tc>
          <w:tcPr>
            <w:tcW w:w="4764" w:type="dxa"/>
            <w:noWrap/>
            <w:hideMark/>
          </w:tcPr>
          <w:p w14:paraId="4E67681F" w14:textId="77777777" w:rsidR="0046472A" w:rsidRPr="00577F2F" w:rsidRDefault="0046472A">
            <w:pPr>
              <w:jc w:val="center"/>
              <w:rPr>
                <w:rFonts w:cs="Times New Roman"/>
              </w:rPr>
            </w:pPr>
            <w:r w:rsidRPr="00577F2F">
              <w:rPr>
                <w:rFonts w:cs="Times New Roman"/>
              </w:rPr>
              <w:t>Return on Capital Employed (ROCE)</w:t>
            </w:r>
          </w:p>
        </w:tc>
        <w:tc>
          <w:tcPr>
            <w:tcW w:w="986" w:type="dxa"/>
            <w:noWrap/>
            <w:hideMark/>
          </w:tcPr>
          <w:p w14:paraId="70123A49" w14:textId="77777777" w:rsidR="0046472A" w:rsidRPr="00577F2F" w:rsidRDefault="0046472A">
            <w:pPr>
              <w:jc w:val="center"/>
              <w:rPr>
                <w:rFonts w:cs="Times New Roman"/>
              </w:rPr>
            </w:pPr>
            <w:r w:rsidRPr="00577F2F">
              <w:rPr>
                <w:rFonts w:cs="Times New Roman"/>
              </w:rPr>
              <w:t>17.38%</w:t>
            </w:r>
          </w:p>
        </w:tc>
        <w:tc>
          <w:tcPr>
            <w:tcW w:w="986" w:type="dxa"/>
            <w:noWrap/>
            <w:hideMark/>
          </w:tcPr>
          <w:p w14:paraId="0652F83C" w14:textId="77777777" w:rsidR="0046472A" w:rsidRPr="00577F2F" w:rsidRDefault="0046472A">
            <w:pPr>
              <w:jc w:val="center"/>
              <w:rPr>
                <w:rFonts w:cs="Times New Roman"/>
              </w:rPr>
            </w:pPr>
            <w:r w:rsidRPr="00577F2F">
              <w:rPr>
                <w:rFonts w:cs="Times New Roman"/>
              </w:rPr>
              <w:t>16.51%</w:t>
            </w:r>
          </w:p>
        </w:tc>
        <w:tc>
          <w:tcPr>
            <w:tcW w:w="1048" w:type="dxa"/>
            <w:noWrap/>
            <w:hideMark/>
          </w:tcPr>
          <w:p w14:paraId="3809D70F" w14:textId="77777777" w:rsidR="0046472A" w:rsidRPr="00577F2F" w:rsidRDefault="0046472A">
            <w:pPr>
              <w:jc w:val="center"/>
              <w:rPr>
                <w:rFonts w:cs="Times New Roman"/>
              </w:rPr>
            </w:pPr>
            <w:r w:rsidRPr="00577F2F">
              <w:rPr>
                <w:rFonts w:cs="Times New Roman"/>
              </w:rPr>
              <w:t>0.86%</w:t>
            </w:r>
          </w:p>
        </w:tc>
        <w:tc>
          <w:tcPr>
            <w:tcW w:w="856" w:type="dxa"/>
            <w:noWrap/>
            <w:hideMark/>
          </w:tcPr>
          <w:p w14:paraId="6C8C3C4E" w14:textId="77777777" w:rsidR="0046472A" w:rsidRPr="00577F2F" w:rsidRDefault="0046472A" w:rsidP="0046472A">
            <w:pPr>
              <w:keepNext/>
              <w:jc w:val="center"/>
              <w:rPr>
                <w:rFonts w:cs="Times New Roman"/>
              </w:rPr>
            </w:pPr>
            <w:r w:rsidRPr="00577F2F">
              <w:rPr>
                <w:rFonts w:cs="Times New Roman"/>
              </w:rPr>
              <w:t>↑</w:t>
            </w:r>
          </w:p>
        </w:tc>
      </w:tr>
    </w:tbl>
    <w:p w14:paraId="684CB732" w14:textId="77777777" w:rsidR="0046472A" w:rsidRPr="00577F2F" w:rsidRDefault="0046472A" w:rsidP="0046472A">
      <w:pPr>
        <w:rPr>
          <w:rFonts w:cs="Times New Roman"/>
          <w:lang w:val="en-IN"/>
        </w:rPr>
      </w:pPr>
    </w:p>
    <w:p w14:paraId="4699C533" w14:textId="244CD79A" w:rsidR="0046472A" w:rsidRPr="00577F2F" w:rsidRDefault="007F7EED" w:rsidP="0046472A">
      <w:pPr>
        <w:rPr>
          <w:rFonts w:cs="Times New Roman"/>
          <w:lang w:val="en-IN"/>
        </w:rPr>
      </w:pPr>
      <w:r w:rsidRPr="007F7EED">
        <w:rPr>
          <w:rFonts w:cs="Times New Roman"/>
          <w:lang w:val="en-IN"/>
        </w:rPr>
        <w:t>The analysis indicates both good and bad profitability between 2023 and 2024. The Gross profit margin had improved to 60.66</w:t>
      </w:r>
      <w:r>
        <w:rPr>
          <w:rFonts w:cs="Times New Roman"/>
          <w:lang w:val="en-IN"/>
        </w:rPr>
        <w:t>%</w:t>
      </w:r>
      <w:r w:rsidRPr="007F7EED">
        <w:rPr>
          <w:rFonts w:cs="Times New Roman"/>
          <w:lang w:val="en-IN"/>
        </w:rPr>
        <w:t>, which means they had the power to keep prices down</w:t>
      </w:r>
      <w:r>
        <w:rPr>
          <w:rFonts w:cs="Times New Roman"/>
          <w:lang w:val="en-IN"/>
        </w:rPr>
        <w:t>,</w:t>
      </w:r>
      <w:r w:rsidRPr="007F7EED">
        <w:rPr>
          <w:rFonts w:cs="Times New Roman"/>
          <w:lang w:val="en-IN"/>
        </w:rPr>
        <w:t xml:space="preserve"> and they had a strong brand portfolio that could absorb the inflation of the cost of inputs. Nonetheless, the decrease in the operating profit margin to 17.11</w:t>
      </w:r>
      <w:r>
        <w:rPr>
          <w:rFonts w:cs="Times New Roman"/>
          <w:lang w:val="en-IN"/>
        </w:rPr>
        <w:t>%</w:t>
      </w:r>
      <w:r w:rsidRPr="007F7EED">
        <w:rPr>
          <w:rFonts w:cs="Times New Roman"/>
          <w:lang w:val="en-IN"/>
        </w:rPr>
        <w:t xml:space="preserve"> was insignificant, and it was likely due to increased operating costs, </w:t>
      </w:r>
      <w:r>
        <w:rPr>
          <w:rFonts w:cs="Times New Roman"/>
          <w:lang w:val="en-IN"/>
        </w:rPr>
        <w:t>including</w:t>
      </w:r>
      <w:r w:rsidRPr="007F7EED">
        <w:rPr>
          <w:rFonts w:cs="Times New Roman"/>
          <w:lang w:val="en-IN"/>
        </w:rPr>
        <w:t xml:space="preserve"> restructuring and impairment charges, which did not significantly affect the increase at the gross level (Hayes, 2025). This strain becomes more pronounced in the net profit margin</w:t>
      </w:r>
      <w:r>
        <w:rPr>
          <w:rFonts w:cs="Times New Roman"/>
          <w:lang w:val="en-IN"/>
        </w:rPr>
        <w:t>,</w:t>
      </w:r>
      <w:r w:rsidRPr="007F7EED">
        <w:rPr>
          <w:rFonts w:cs="Times New Roman"/>
          <w:lang w:val="en-IN"/>
        </w:rPr>
        <w:t xml:space="preserve"> which has reduced to 10.08</w:t>
      </w:r>
      <w:r>
        <w:rPr>
          <w:rFonts w:cs="Times New Roman"/>
          <w:lang w:val="en-IN"/>
        </w:rPr>
        <w:t>,</w:t>
      </w:r>
      <w:r w:rsidRPr="007F7EED">
        <w:rPr>
          <w:rFonts w:cs="Times New Roman"/>
          <w:lang w:val="en-IN"/>
        </w:rPr>
        <w:t xml:space="preserve"> which is more </w:t>
      </w:r>
      <w:r w:rsidRPr="007F7EED">
        <w:rPr>
          <w:rFonts w:cs="Times New Roman"/>
          <w:lang w:val="en-IN"/>
        </w:rPr>
        <w:lastRenderedPageBreak/>
        <w:t>representative of the rise in the cost of finance and exceptional items than poor underlying trading</w:t>
      </w:r>
      <w:r w:rsidR="0046472A" w:rsidRPr="0046472A">
        <w:rPr>
          <w:rFonts w:cs="Times New Roman"/>
          <w:lang w:val="en-IN"/>
        </w:rPr>
        <w:t>.</w:t>
      </w:r>
    </w:p>
    <w:p w14:paraId="1A73F4A6" w14:textId="444FD0AB" w:rsidR="0046472A" w:rsidRPr="00577F2F" w:rsidRDefault="00EC7AAC" w:rsidP="0046472A">
      <w:pPr>
        <w:keepNext/>
        <w:jc w:val="center"/>
        <w:rPr>
          <w:rFonts w:cs="Times New Roman"/>
        </w:rPr>
      </w:pPr>
      <w:r w:rsidRPr="00577F2F">
        <w:rPr>
          <w:rFonts w:cs="Times New Roman"/>
          <w:noProof/>
          <w14:ligatures w14:val="standardContextual"/>
        </w:rPr>
        <w:drawing>
          <wp:inline distT="0" distB="0" distL="0" distR="0" wp14:anchorId="4504FD4C" wp14:editId="2774839E">
            <wp:extent cx="5265420" cy="3017520"/>
            <wp:effectExtent l="0" t="0" r="11430" b="11430"/>
            <wp:docPr id="2018539734" name="Chart 1">
              <a:extLst xmlns:a="http://schemas.openxmlformats.org/drawingml/2006/main">
                <a:ext uri="{FF2B5EF4-FFF2-40B4-BE49-F238E27FC236}">
                  <a16:creationId xmlns:a16="http://schemas.microsoft.com/office/drawing/2014/main" id="{FF976429-9680-F5EF-F78B-1D6A61BD5D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A1153CB" w14:textId="40DBC80B" w:rsidR="0046472A" w:rsidRPr="0046472A" w:rsidRDefault="0046472A" w:rsidP="0046472A">
      <w:pPr>
        <w:pStyle w:val="Caption"/>
        <w:jc w:val="center"/>
        <w:rPr>
          <w:rFonts w:cs="Times New Roman"/>
          <w:lang w:val="en-IN"/>
        </w:rPr>
      </w:pPr>
      <w:r w:rsidRPr="00577F2F">
        <w:rPr>
          <w:rFonts w:cs="Times New Roman"/>
        </w:rPr>
        <w:t xml:space="preserve">Figure </w:t>
      </w:r>
      <w:r w:rsidRPr="00577F2F">
        <w:rPr>
          <w:rFonts w:cs="Times New Roman"/>
        </w:rPr>
        <w:fldChar w:fldCharType="begin"/>
      </w:r>
      <w:r w:rsidRPr="00577F2F">
        <w:rPr>
          <w:rFonts w:cs="Times New Roman"/>
        </w:rPr>
        <w:instrText xml:space="preserve"> SEQ Figure \* ARABIC </w:instrText>
      </w:r>
      <w:r w:rsidRPr="00577F2F">
        <w:rPr>
          <w:rFonts w:cs="Times New Roman"/>
        </w:rPr>
        <w:fldChar w:fldCharType="separate"/>
      </w:r>
      <w:r w:rsidR="00034F33">
        <w:rPr>
          <w:rFonts w:cs="Times New Roman"/>
          <w:noProof/>
        </w:rPr>
        <w:t>1</w:t>
      </w:r>
      <w:r w:rsidRPr="00577F2F">
        <w:rPr>
          <w:rFonts w:cs="Times New Roman"/>
        </w:rPr>
        <w:fldChar w:fldCharType="end"/>
      </w:r>
      <w:r w:rsidRPr="00577F2F">
        <w:rPr>
          <w:rFonts w:cs="Times New Roman"/>
          <w:lang w:val="en-US"/>
        </w:rPr>
        <w:t>: Profitability Ratios Source: Self-designed</w:t>
      </w:r>
    </w:p>
    <w:p w14:paraId="142F14EA" w14:textId="5627CC2D" w:rsidR="0046472A" w:rsidRPr="00577F2F" w:rsidRDefault="007F7EED" w:rsidP="0046472A">
      <w:pPr>
        <w:rPr>
          <w:rFonts w:cs="Times New Roman"/>
          <w:lang w:val="en-IN"/>
        </w:rPr>
      </w:pPr>
      <w:r w:rsidRPr="007F7EED">
        <w:rPr>
          <w:rFonts w:cs="Times New Roman"/>
          <w:lang w:val="en-IN"/>
        </w:rPr>
        <w:t>The ratio of return on assets decreased to 5.64</w:t>
      </w:r>
      <w:r>
        <w:rPr>
          <w:rFonts w:cs="Times New Roman"/>
          <w:lang w:val="en-IN"/>
        </w:rPr>
        <w:t>%</w:t>
      </w:r>
      <w:r w:rsidRPr="007F7EED">
        <w:rPr>
          <w:rFonts w:cs="Times New Roman"/>
          <w:lang w:val="en-IN"/>
        </w:rPr>
        <w:t xml:space="preserve">, which serves as an indicator of </w:t>
      </w:r>
      <w:r>
        <w:rPr>
          <w:rFonts w:cs="Times New Roman"/>
          <w:lang w:val="en-IN"/>
        </w:rPr>
        <w:t>a decrease in</w:t>
      </w:r>
      <w:r w:rsidRPr="007F7EED">
        <w:rPr>
          <w:rFonts w:cs="Times New Roman"/>
          <w:lang w:val="en-IN"/>
        </w:rPr>
        <w:t xml:space="preserve"> the efficiency of profit generated using assets</w:t>
      </w:r>
      <w:r>
        <w:rPr>
          <w:rFonts w:cs="Times New Roman"/>
          <w:lang w:val="en-IN"/>
        </w:rPr>
        <w:t>,</w:t>
      </w:r>
      <w:r w:rsidRPr="007F7EED">
        <w:rPr>
          <w:rFonts w:cs="Times New Roman"/>
          <w:lang w:val="en-IN"/>
        </w:rPr>
        <w:t xml:space="preserve"> especially in a business with intensive intangible assets (Hargrave, 2025). On the other hand, the ROE went up to 21.22</w:t>
      </w:r>
      <w:r>
        <w:rPr>
          <w:rFonts w:cs="Times New Roman"/>
          <w:lang w:val="en-IN"/>
        </w:rPr>
        <w:t>%,</w:t>
      </w:r>
      <w:r w:rsidRPr="007F7EED">
        <w:rPr>
          <w:rFonts w:cs="Times New Roman"/>
          <w:lang w:val="en-IN"/>
        </w:rPr>
        <w:t xml:space="preserve"> which was boosted by the improved leverage and capital optimisation that benefited the shareholders. On the same note, the ROC</w:t>
      </w:r>
      <w:r>
        <w:rPr>
          <w:rFonts w:cs="Times New Roman"/>
          <w:lang w:val="en-IN"/>
        </w:rPr>
        <w:t>E</w:t>
      </w:r>
      <w:r w:rsidRPr="007F7EED">
        <w:rPr>
          <w:rFonts w:cs="Times New Roman"/>
          <w:lang w:val="en-IN"/>
        </w:rPr>
        <w:t xml:space="preserve"> increased to 17.38</w:t>
      </w:r>
      <w:r>
        <w:rPr>
          <w:rFonts w:cs="Times New Roman"/>
          <w:lang w:val="en-IN"/>
        </w:rPr>
        <w:t>%,</w:t>
      </w:r>
      <w:r w:rsidRPr="007F7EED">
        <w:rPr>
          <w:rFonts w:cs="Times New Roman"/>
          <w:lang w:val="en-IN"/>
        </w:rPr>
        <w:t xml:space="preserve"> showing increased efficiency when using </w:t>
      </w:r>
      <w:r>
        <w:rPr>
          <w:rFonts w:cs="Times New Roman"/>
          <w:lang w:val="en-IN"/>
        </w:rPr>
        <w:t>long-term</w:t>
      </w:r>
      <w:r w:rsidRPr="007F7EED">
        <w:rPr>
          <w:rFonts w:cs="Times New Roman"/>
          <w:lang w:val="en-IN"/>
        </w:rPr>
        <w:t xml:space="preserve"> capital even under the difficult cost environment.</w:t>
      </w:r>
    </w:p>
    <w:p w14:paraId="0EBCDC40" w14:textId="0BF6E153" w:rsidR="0046472A" w:rsidRPr="00577F2F" w:rsidRDefault="0046472A" w:rsidP="000647E1">
      <w:pPr>
        <w:pStyle w:val="ListParagraph"/>
        <w:numPr>
          <w:ilvl w:val="0"/>
          <w:numId w:val="1"/>
        </w:numPr>
        <w:rPr>
          <w:rFonts w:cs="Times New Roman"/>
          <w:b/>
          <w:bCs/>
          <w:lang w:val="en-IN"/>
        </w:rPr>
      </w:pPr>
      <w:r w:rsidRPr="00577F2F">
        <w:rPr>
          <w:rFonts w:cs="Times New Roman"/>
          <w:b/>
          <w:bCs/>
          <w:lang w:val="en-IN"/>
        </w:rPr>
        <w:t>Liquidity Ratio Analysis</w:t>
      </w:r>
      <w:r w:rsidR="000647E1" w:rsidRPr="00577F2F">
        <w:rPr>
          <w:rFonts w:cs="Times New Roman"/>
          <w:b/>
          <w:bCs/>
          <w:lang w:val="en-IN"/>
        </w:rPr>
        <w:t xml:space="preserve"> (See Detailed Calculation in </w:t>
      </w:r>
      <w:hyperlink w:anchor="_Appendix_C:_Detailed" w:history="1">
        <w:r w:rsidR="000647E1" w:rsidRPr="00577F2F">
          <w:rPr>
            <w:rStyle w:val="Hyperlink"/>
            <w:rFonts w:cs="Times New Roman"/>
            <w:b/>
            <w:bCs/>
            <w:lang w:val="en-IN"/>
          </w:rPr>
          <w:t>Appendix C</w:t>
        </w:r>
      </w:hyperlink>
      <w:r w:rsidR="000647E1" w:rsidRPr="00577F2F">
        <w:rPr>
          <w:rFonts w:cs="Times New Roman"/>
          <w:b/>
          <w:bCs/>
          <w:lang w:val="en-IN"/>
        </w:rPr>
        <w:t>)</w:t>
      </w:r>
    </w:p>
    <w:p w14:paraId="7E5A4722" w14:textId="32511065" w:rsidR="0046472A" w:rsidRPr="0046472A" w:rsidRDefault="007F7EED" w:rsidP="0046472A">
      <w:pPr>
        <w:rPr>
          <w:rFonts w:cs="Times New Roman"/>
          <w:lang w:val="en-IN"/>
        </w:rPr>
      </w:pPr>
      <w:r w:rsidRPr="007F7EED">
        <w:rPr>
          <w:rFonts w:cs="Times New Roman"/>
          <w:lang w:val="en-IN"/>
        </w:rPr>
        <w:t>Liquidity ratios evaluate the short-term position of a company in terms of its resources to cover the short-term commitments by comparing the current assets and the current liabilities (CFI, 2020). The current ratio is determined by the total current assets divided by the total current liabilities</w:t>
      </w:r>
      <w:r>
        <w:rPr>
          <w:rFonts w:cs="Times New Roman"/>
          <w:lang w:val="en-IN"/>
        </w:rPr>
        <w:t>,</w:t>
      </w:r>
      <w:r w:rsidRPr="007F7EED">
        <w:rPr>
          <w:rFonts w:cs="Times New Roman"/>
          <w:lang w:val="en-IN"/>
        </w:rPr>
        <w:t xml:space="preserve"> and the quick ratio is determined by dividing the total current assets by them without considering inventories to determine immediate liquidity (Seth, 2025). In the case of Reckitt Benckiser, these ratios can give information on the efficiency of the working capital</w:t>
      </w:r>
      <w:r w:rsidR="0046472A" w:rsidRPr="0046472A">
        <w:rPr>
          <w:rFonts w:cs="Times New Roman"/>
          <w:lang w:val="en-IN"/>
        </w:rPr>
        <w:t>.</w:t>
      </w:r>
    </w:p>
    <w:p w14:paraId="6772999E" w14:textId="6008265E" w:rsidR="0046472A" w:rsidRPr="00577F2F" w:rsidRDefault="0046472A" w:rsidP="0046472A">
      <w:pPr>
        <w:pStyle w:val="Caption"/>
        <w:keepNext/>
        <w:rPr>
          <w:rFonts w:cs="Times New Roman"/>
        </w:rPr>
      </w:pPr>
      <w:r w:rsidRPr="00577F2F">
        <w:rPr>
          <w:rFonts w:cs="Times New Roman"/>
        </w:rPr>
        <w:t xml:space="preserve">Table </w:t>
      </w:r>
      <w:r w:rsidRPr="00577F2F">
        <w:rPr>
          <w:rFonts w:cs="Times New Roman"/>
        </w:rPr>
        <w:fldChar w:fldCharType="begin"/>
      </w:r>
      <w:r w:rsidRPr="00577F2F">
        <w:rPr>
          <w:rFonts w:cs="Times New Roman"/>
        </w:rPr>
        <w:instrText xml:space="preserve"> SEQ Table \* ARABIC </w:instrText>
      </w:r>
      <w:r w:rsidRPr="00577F2F">
        <w:rPr>
          <w:rFonts w:cs="Times New Roman"/>
        </w:rPr>
        <w:fldChar w:fldCharType="separate"/>
      </w:r>
      <w:r w:rsidR="00111A14" w:rsidRPr="00577F2F">
        <w:rPr>
          <w:rFonts w:cs="Times New Roman"/>
          <w:noProof/>
        </w:rPr>
        <w:t>2</w:t>
      </w:r>
      <w:r w:rsidRPr="00577F2F">
        <w:rPr>
          <w:rFonts w:cs="Times New Roman"/>
        </w:rPr>
        <w:fldChar w:fldCharType="end"/>
      </w:r>
      <w:r w:rsidRPr="00577F2F">
        <w:rPr>
          <w:rFonts w:cs="Times New Roman"/>
          <w:lang w:val="en-US"/>
        </w:rPr>
        <w:t>: Liquidity Ratio Calculation</w:t>
      </w:r>
    </w:p>
    <w:tbl>
      <w:tblPr>
        <w:tblStyle w:val="TableGrid"/>
        <w:tblW w:w="0" w:type="auto"/>
        <w:jc w:val="center"/>
        <w:tblLook w:val="04A0" w:firstRow="1" w:lastRow="0" w:firstColumn="1" w:lastColumn="0" w:noHBand="0" w:noVBand="1"/>
      </w:tblPr>
      <w:tblGrid>
        <w:gridCol w:w="3015"/>
        <w:gridCol w:w="1144"/>
        <w:gridCol w:w="1144"/>
        <w:gridCol w:w="1833"/>
        <w:gridCol w:w="1505"/>
      </w:tblGrid>
      <w:tr w:rsidR="0046472A" w:rsidRPr="00577F2F" w14:paraId="0C533526" w14:textId="77777777" w:rsidTr="0046472A">
        <w:trPr>
          <w:trHeight w:val="348"/>
          <w:jc w:val="center"/>
        </w:trPr>
        <w:tc>
          <w:tcPr>
            <w:tcW w:w="8641" w:type="dxa"/>
            <w:gridSpan w:val="5"/>
            <w:noWrap/>
            <w:hideMark/>
          </w:tcPr>
          <w:p w14:paraId="167B1EA4" w14:textId="77777777" w:rsidR="0046472A" w:rsidRPr="00577F2F" w:rsidRDefault="0046472A" w:rsidP="0046472A">
            <w:pPr>
              <w:jc w:val="center"/>
              <w:rPr>
                <w:rFonts w:cs="Times New Roman"/>
                <w:b/>
                <w:bCs/>
                <w:lang w:val="en-IN"/>
              </w:rPr>
            </w:pPr>
            <w:r w:rsidRPr="00577F2F">
              <w:rPr>
                <w:rFonts w:cs="Times New Roman"/>
                <w:b/>
                <w:bCs/>
              </w:rPr>
              <w:t>Liquidity Ratios</w:t>
            </w:r>
          </w:p>
        </w:tc>
      </w:tr>
      <w:tr w:rsidR="0046472A" w:rsidRPr="00577F2F" w14:paraId="74E12F92" w14:textId="77777777" w:rsidTr="0046472A">
        <w:trPr>
          <w:trHeight w:val="312"/>
          <w:jc w:val="center"/>
        </w:trPr>
        <w:tc>
          <w:tcPr>
            <w:tcW w:w="3015" w:type="dxa"/>
            <w:noWrap/>
            <w:hideMark/>
          </w:tcPr>
          <w:p w14:paraId="6F2AB5CA" w14:textId="77777777" w:rsidR="0046472A" w:rsidRPr="00577F2F" w:rsidRDefault="0046472A" w:rsidP="0046472A">
            <w:pPr>
              <w:rPr>
                <w:rFonts w:cs="Times New Roman"/>
                <w:b/>
                <w:bCs/>
              </w:rPr>
            </w:pPr>
            <w:r w:rsidRPr="00577F2F">
              <w:rPr>
                <w:rFonts w:cs="Times New Roman"/>
                <w:b/>
                <w:bCs/>
              </w:rPr>
              <w:t>Ratios</w:t>
            </w:r>
          </w:p>
        </w:tc>
        <w:tc>
          <w:tcPr>
            <w:tcW w:w="1144" w:type="dxa"/>
            <w:noWrap/>
            <w:hideMark/>
          </w:tcPr>
          <w:p w14:paraId="548CEF0F" w14:textId="77777777" w:rsidR="0046472A" w:rsidRPr="00577F2F" w:rsidRDefault="0046472A" w:rsidP="0046472A">
            <w:pPr>
              <w:rPr>
                <w:rFonts w:cs="Times New Roman"/>
                <w:b/>
                <w:bCs/>
              </w:rPr>
            </w:pPr>
            <w:r w:rsidRPr="00577F2F">
              <w:rPr>
                <w:rFonts w:cs="Times New Roman"/>
                <w:b/>
                <w:bCs/>
              </w:rPr>
              <w:t>2024</w:t>
            </w:r>
          </w:p>
        </w:tc>
        <w:tc>
          <w:tcPr>
            <w:tcW w:w="1144" w:type="dxa"/>
            <w:noWrap/>
            <w:hideMark/>
          </w:tcPr>
          <w:p w14:paraId="3DBBE2D9" w14:textId="77777777" w:rsidR="0046472A" w:rsidRPr="00577F2F" w:rsidRDefault="0046472A" w:rsidP="0046472A">
            <w:pPr>
              <w:rPr>
                <w:rFonts w:cs="Times New Roman"/>
                <w:b/>
                <w:bCs/>
              </w:rPr>
            </w:pPr>
            <w:r w:rsidRPr="00577F2F">
              <w:rPr>
                <w:rFonts w:cs="Times New Roman"/>
                <w:b/>
                <w:bCs/>
              </w:rPr>
              <w:t>2023</w:t>
            </w:r>
          </w:p>
        </w:tc>
        <w:tc>
          <w:tcPr>
            <w:tcW w:w="1833" w:type="dxa"/>
            <w:noWrap/>
            <w:hideMark/>
          </w:tcPr>
          <w:p w14:paraId="6BFA74D9" w14:textId="77777777" w:rsidR="0046472A" w:rsidRPr="00577F2F" w:rsidRDefault="0046472A" w:rsidP="0046472A">
            <w:pPr>
              <w:rPr>
                <w:rFonts w:cs="Times New Roman"/>
                <w:b/>
                <w:bCs/>
              </w:rPr>
            </w:pPr>
            <w:r w:rsidRPr="00577F2F">
              <w:rPr>
                <w:rFonts w:cs="Times New Roman"/>
                <w:b/>
                <w:bCs/>
              </w:rPr>
              <w:t>Change</w:t>
            </w:r>
          </w:p>
        </w:tc>
        <w:tc>
          <w:tcPr>
            <w:tcW w:w="1505" w:type="dxa"/>
            <w:noWrap/>
            <w:hideMark/>
          </w:tcPr>
          <w:p w14:paraId="026196C2" w14:textId="77777777" w:rsidR="0046472A" w:rsidRPr="00577F2F" w:rsidRDefault="0046472A" w:rsidP="0046472A">
            <w:pPr>
              <w:rPr>
                <w:rFonts w:cs="Times New Roman"/>
                <w:b/>
                <w:bCs/>
              </w:rPr>
            </w:pPr>
            <w:r w:rsidRPr="00577F2F">
              <w:rPr>
                <w:rFonts w:cs="Times New Roman"/>
                <w:b/>
                <w:bCs/>
              </w:rPr>
              <w:t>Trend</w:t>
            </w:r>
          </w:p>
        </w:tc>
      </w:tr>
      <w:tr w:rsidR="0046472A" w:rsidRPr="00577F2F" w14:paraId="11902EEB" w14:textId="77777777" w:rsidTr="0046472A">
        <w:trPr>
          <w:trHeight w:val="312"/>
          <w:jc w:val="center"/>
        </w:trPr>
        <w:tc>
          <w:tcPr>
            <w:tcW w:w="3015" w:type="dxa"/>
            <w:noWrap/>
            <w:hideMark/>
          </w:tcPr>
          <w:p w14:paraId="7DEADC7D" w14:textId="77777777" w:rsidR="0046472A" w:rsidRPr="00577F2F" w:rsidRDefault="0046472A" w:rsidP="0046472A">
            <w:pPr>
              <w:rPr>
                <w:rFonts w:cs="Times New Roman"/>
              </w:rPr>
            </w:pPr>
            <w:r w:rsidRPr="00577F2F">
              <w:rPr>
                <w:rFonts w:cs="Times New Roman"/>
              </w:rPr>
              <w:lastRenderedPageBreak/>
              <w:t xml:space="preserve">Current Ratio </w:t>
            </w:r>
          </w:p>
        </w:tc>
        <w:tc>
          <w:tcPr>
            <w:tcW w:w="1144" w:type="dxa"/>
            <w:noWrap/>
            <w:hideMark/>
          </w:tcPr>
          <w:p w14:paraId="3619A045" w14:textId="77777777" w:rsidR="0046472A" w:rsidRPr="00577F2F" w:rsidRDefault="0046472A" w:rsidP="0046472A">
            <w:pPr>
              <w:rPr>
                <w:rFonts w:cs="Times New Roman"/>
              </w:rPr>
            </w:pPr>
            <w:r w:rsidRPr="00577F2F">
              <w:rPr>
                <w:rFonts w:cs="Times New Roman"/>
              </w:rPr>
              <w:t>0.58</w:t>
            </w:r>
          </w:p>
        </w:tc>
        <w:tc>
          <w:tcPr>
            <w:tcW w:w="1144" w:type="dxa"/>
            <w:noWrap/>
            <w:hideMark/>
          </w:tcPr>
          <w:p w14:paraId="10265076" w14:textId="77777777" w:rsidR="0046472A" w:rsidRPr="00577F2F" w:rsidRDefault="0046472A" w:rsidP="0046472A">
            <w:pPr>
              <w:rPr>
                <w:rFonts w:cs="Times New Roman"/>
              </w:rPr>
            </w:pPr>
            <w:r w:rsidRPr="00577F2F">
              <w:rPr>
                <w:rFonts w:cs="Times New Roman"/>
              </w:rPr>
              <w:t>0.64</w:t>
            </w:r>
          </w:p>
        </w:tc>
        <w:tc>
          <w:tcPr>
            <w:tcW w:w="1833" w:type="dxa"/>
            <w:noWrap/>
            <w:hideMark/>
          </w:tcPr>
          <w:p w14:paraId="28E966BB" w14:textId="77777777" w:rsidR="0046472A" w:rsidRPr="00577F2F" w:rsidRDefault="0046472A" w:rsidP="0046472A">
            <w:pPr>
              <w:rPr>
                <w:rFonts w:cs="Times New Roman"/>
              </w:rPr>
            </w:pPr>
            <w:r w:rsidRPr="00577F2F">
              <w:rPr>
                <w:rFonts w:cs="Times New Roman"/>
              </w:rPr>
              <w:t>-0.06</w:t>
            </w:r>
          </w:p>
        </w:tc>
        <w:tc>
          <w:tcPr>
            <w:tcW w:w="1505" w:type="dxa"/>
            <w:noWrap/>
            <w:hideMark/>
          </w:tcPr>
          <w:p w14:paraId="1D16DFB0" w14:textId="77777777" w:rsidR="0046472A" w:rsidRPr="00577F2F" w:rsidRDefault="0046472A" w:rsidP="0046472A">
            <w:pPr>
              <w:rPr>
                <w:rFonts w:cs="Times New Roman"/>
              </w:rPr>
            </w:pPr>
            <w:r w:rsidRPr="00577F2F">
              <w:rPr>
                <w:rFonts w:cs="Times New Roman"/>
              </w:rPr>
              <w:t>↓</w:t>
            </w:r>
          </w:p>
        </w:tc>
      </w:tr>
      <w:tr w:rsidR="0046472A" w:rsidRPr="00577F2F" w14:paraId="49AECB1B" w14:textId="77777777" w:rsidTr="0046472A">
        <w:trPr>
          <w:trHeight w:val="312"/>
          <w:jc w:val="center"/>
        </w:trPr>
        <w:tc>
          <w:tcPr>
            <w:tcW w:w="3015" w:type="dxa"/>
            <w:noWrap/>
            <w:hideMark/>
          </w:tcPr>
          <w:p w14:paraId="6364A7E3" w14:textId="77777777" w:rsidR="0046472A" w:rsidRPr="00577F2F" w:rsidRDefault="0046472A" w:rsidP="0046472A">
            <w:pPr>
              <w:rPr>
                <w:rFonts w:cs="Times New Roman"/>
              </w:rPr>
            </w:pPr>
            <w:r w:rsidRPr="00577F2F">
              <w:rPr>
                <w:rFonts w:cs="Times New Roman"/>
              </w:rPr>
              <w:t>Quick Ratio</w:t>
            </w:r>
          </w:p>
        </w:tc>
        <w:tc>
          <w:tcPr>
            <w:tcW w:w="1144" w:type="dxa"/>
            <w:noWrap/>
            <w:hideMark/>
          </w:tcPr>
          <w:p w14:paraId="2789AA59" w14:textId="77777777" w:rsidR="0046472A" w:rsidRPr="00577F2F" w:rsidRDefault="0046472A" w:rsidP="0046472A">
            <w:pPr>
              <w:rPr>
                <w:rFonts w:cs="Times New Roman"/>
              </w:rPr>
            </w:pPr>
            <w:r w:rsidRPr="00577F2F">
              <w:rPr>
                <w:rFonts w:cs="Times New Roman"/>
              </w:rPr>
              <w:t>0.39</w:t>
            </w:r>
          </w:p>
        </w:tc>
        <w:tc>
          <w:tcPr>
            <w:tcW w:w="1144" w:type="dxa"/>
            <w:noWrap/>
            <w:hideMark/>
          </w:tcPr>
          <w:p w14:paraId="6758EDF9" w14:textId="77777777" w:rsidR="0046472A" w:rsidRPr="00577F2F" w:rsidRDefault="0046472A" w:rsidP="0046472A">
            <w:pPr>
              <w:rPr>
                <w:rFonts w:cs="Times New Roman"/>
              </w:rPr>
            </w:pPr>
            <w:r w:rsidRPr="00577F2F">
              <w:rPr>
                <w:rFonts w:cs="Times New Roman"/>
              </w:rPr>
              <w:t>0.44</w:t>
            </w:r>
          </w:p>
        </w:tc>
        <w:tc>
          <w:tcPr>
            <w:tcW w:w="1833" w:type="dxa"/>
            <w:noWrap/>
            <w:hideMark/>
          </w:tcPr>
          <w:p w14:paraId="59AE5AE6" w14:textId="77777777" w:rsidR="0046472A" w:rsidRPr="00577F2F" w:rsidRDefault="0046472A" w:rsidP="0046472A">
            <w:pPr>
              <w:rPr>
                <w:rFonts w:cs="Times New Roman"/>
              </w:rPr>
            </w:pPr>
            <w:r w:rsidRPr="00577F2F">
              <w:rPr>
                <w:rFonts w:cs="Times New Roman"/>
              </w:rPr>
              <w:t>-0.05</w:t>
            </w:r>
          </w:p>
        </w:tc>
        <w:tc>
          <w:tcPr>
            <w:tcW w:w="1505" w:type="dxa"/>
            <w:noWrap/>
            <w:hideMark/>
          </w:tcPr>
          <w:p w14:paraId="10E2038C" w14:textId="77777777" w:rsidR="0046472A" w:rsidRPr="00577F2F" w:rsidRDefault="0046472A" w:rsidP="0046472A">
            <w:pPr>
              <w:rPr>
                <w:rFonts w:cs="Times New Roman"/>
              </w:rPr>
            </w:pPr>
            <w:r w:rsidRPr="00577F2F">
              <w:rPr>
                <w:rFonts w:cs="Times New Roman"/>
              </w:rPr>
              <w:t>↓</w:t>
            </w:r>
          </w:p>
        </w:tc>
      </w:tr>
    </w:tbl>
    <w:p w14:paraId="57CCB36F" w14:textId="77777777" w:rsidR="0046472A" w:rsidRPr="00577F2F" w:rsidRDefault="0046472A" w:rsidP="0046472A">
      <w:pPr>
        <w:rPr>
          <w:rFonts w:cs="Times New Roman"/>
          <w:lang w:val="en-IN"/>
        </w:rPr>
      </w:pPr>
    </w:p>
    <w:p w14:paraId="2100B20A" w14:textId="70637374" w:rsidR="0046472A" w:rsidRPr="00577F2F" w:rsidRDefault="007F7EED" w:rsidP="0046472A">
      <w:pPr>
        <w:rPr>
          <w:rFonts w:cs="Times New Roman"/>
          <w:lang w:val="en-IN"/>
        </w:rPr>
      </w:pPr>
      <w:r w:rsidRPr="007F7EED">
        <w:rPr>
          <w:rFonts w:cs="Times New Roman"/>
          <w:lang w:val="en-IN"/>
        </w:rPr>
        <w:t>These two measures of liquidity deteriorated in 2024. The current ratio has dropped to 0.58</w:t>
      </w:r>
      <w:r>
        <w:rPr>
          <w:rFonts w:cs="Times New Roman"/>
          <w:lang w:val="en-IN"/>
        </w:rPr>
        <w:t>,</w:t>
      </w:r>
      <w:r w:rsidRPr="007F7EED">
        <w:rPr>
          <w:rFonts w:cs="Times New Roman"/>
          <w:lang w:val="en-IN"/>
        </w:rPr>
        <w:t xml:space="preserve"> and the quick ratio dropped to 0.39</w:t>
      </w:r>
      <w:r>
        <w:rPr>
          <w:rFonts w:cs="Times New Roman"/>
          <w:lang w:val="en-IN"/>
        </w:rPr>
        <w:t>,</w:t>
      </w:r>
      <w:r w:rsidRPr="007F7EED">
        <w:rPr>
          <w:rFonts w:cs="Times New Roman"/>
          <w:lang w:val="en-IN"/>
        </w:rPr>
        <w:t xml:space="preserve"> meaning that there is less liquid resources to pay the short-term obligations. This degradation implies that the company might become more dependent on continuing cash flows and supplier credit to fund its day-to-day activities</w:t>
      </w:r>
      <w:r w:rsidR="0046472A" w:rsidRPr="0046472A">
        <w:rPr>
          <w:rFonts w:cs="Times New Roman"/>
          <w:lang w:val="en-IN"/>
        </w:rPr>
        <w:t>.</w:t>
      </w:r>
      <w:r w:rsidR="0046472A" w:rsidRPr="00577F2F">
        <w:rPr>
          <w:rFonts w:cs="Times New Roman"/>
          <w:lang w:val="en-IN"/>
        </w:rPr>
        <w:t xml:space="preserve"> </w:t>
      </w:r>
    </w:p>
    <w:p w14:paraId="4D1E8D0A" w14:textId="77777777" w:rsidR="0046472A" w:rsidRPr="00577F2F" w:rsidRDefault="0046472A" w:rsidP="0046472A">
      <w:pPr>
        <w:keepNext/>
        <w:jc w:val="center"/>
        <w:rPr>
          <w:rFonts w:cs="Times New Roman"/>
        </w:rPr>
      </w:pPr>
      <w:r w:rsidRPr="00577F2F">
        <w:rPr>
          <w:rFonts w:cs="Times New Roman"/>
          <w:noProof/>
          <w14:ligatures w14:val="standardContextual"/>
        </w:rPr>
        <w:drawing>
          <wp:inline distT="0" distB="0" distL="0" distR="0" wp14:anchorId="50F23D27" wp14:editId="69993B4D">
            <wp:extent cx="4572000" cy="2743200"/>
            <wp:effectExtent l="0" t="0" r="0" b="0"/>
            <wp:docPr id="1627698567" name="Chart 1">
              <a:extLst xmlns:a="http://schemas.openxmlformats.org/drawingml/2006/main">
                <a:ext uri="{FF2B5EF4-FFF2-40B4-BE49-F238E27FC236}">
                  <a16:creationId xmlns:a16="http://schemas.microsoft.com/office/drawing/2014/main" id="{42B8547C-7E25-ADCA-4E5E-338C578C43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6960346" w14:textId="4945975A" w:rsidR="0046472A" w:rsidRPr="00577F2F" w:rsidRDefault="0046472A" w:rsidP="0046472A">
      <w:pPr>
        <w:pStyle w:val="Caption"/>
        <w:jc w:val="center"/>
        <w:rPr>
          <w:rFonts w:cs="Times New Roman"/>
          <w:lang w:val="en-IN"/>
        </w:rPr>
      </w:pPr>
      <w:r w:rsidRPr="00577F2F">
        <w:rPr>
          <w:rFonts w:cs="Times New Roman"/>
        </w:rPr>
        <w:t xml:space="preserve">Figure </w:t>
      </w:r>
      <w:r w:rsidRPr="00577F2F">
        <w:rPr>
          <w:rFonts w:cs="Times New Roman"/>
        </w:rPr>
        <w:fldChar w:fldCharType="begin"/>
      </w:r>
      <w:r w:rsidRPr="00577F2F">
        <w:rPr>
          <w:rFonts w:cs="Times New Roman"/>
        </w:rPr>
        <w:instrText xml:space="preserve"> SEQ Figure \* ARABIC </w:instrText>
      </w:r>
      <w:r w:rsidRPr="00577F2F">
        <w:rPr>
          <w:rFonts w:cs="Times New Roman"/>
        </w:rPr>
        <w:fldChar w:fldCharType="separate"/>
      </w:r>
      <w:r w:rsidR="00034F33">
        <w:rPr>
          <w:rFonts w:cs="Times New Roman"/>
          <w:noProof/>
        </w:rPr>
        <w:t>2</w:t>
      </w:r>
      <w:r w:rsidRPr="00577F2F">
        <w:rPr>
          <w:rFonts w:cs="Times New Roman"/>
        </w:rPr>
        <w:fldChar w:fldCharType="end"/>
      </w:r>
      <w:r w:rsidRPr="00577F2F">
        <w:rPr>
          <w:rFonts w:cs="Times New Roman"/>
          <w:lang w:val="en-US"/>
        </w:rPr>
        <w:t>: Liquidity Ratio Source: Self-designed</w:t>
      </w:r>
    </w:p>
    <w:p w14:paraId="6E4B1982" w14:textId="1305FC38" w:rsidR="0046472A" w:rsidRPr="0046472A" w:rsidRDefault="007F7EED" w:rsidP="0046472A">
      <w:pPr>
        <w:rPr>
          <w:rFonts w:cs="Times New Roman"/>
          <w:lang w:val="en-IN"/>
        </w:rPr>
      </w:pPr>
      <w:r w:rsidRPr="007F7EED">
        <w:rPr>
          <w:rFonts w:cs="Times New Roman"/>
          <w:lang w:val="en-IN"/>
        </w:rPr>
        <w:t>The decreased liquidity can be indicative of decreased cash balances and increased working capital control throughout the years (Xuan, Thu and Nguyen, 2025). Given that the ratios of less than 1 would normally indicate the possibility of a liquidity risk, comparatively high ratios in the context of big consumer health and FMCG companies are normal because the cash will be generated predictably</w:t>
      </w:r>
      <w:r>
        <w:rPr>
          <w:rFonts w:cs="Times New Roman"/>
          <w:lang w:val="en-IN"/>
        </w:rPr>
        <w:t>,</w:t>
      </w:r>
      <w:r w:rsidRPr="007F7EED">
        <w:rPr>
          <w:rFonts w:cs="Times New Roman"/>
          <w:lang w:val="en-IN"/>
        </w:rPr>
        <w:t xml:space="preserve"> and the </w:t>
      </w:r>
      <w:r>
        <w:rPr>
          <w:rFonts w:cs="Times New Roman"/>
          <w:lang w:val="en-IN"/>
        </w:rPr>
        <w:t>supplier's</w:t>
      </w:r>
      <w:r w:rsidRPr="007F7EED">
        <w:rPr>
          <w:rFonts w:cs="Times New Roman"/>
          <w:lang w:val="en-IN"/>
        </w:rPr>
        <w:t xml:space="preserve"> power will be high. Yet, the negative movement decreases the short-term flexibility of the finances and creates vulnerability to unforeseen disturbances (Bancel and Mittoo, 2011). The management is thus advised to ensure that close observations are still made on the working capital components to ensure that the liquidity pressures do not have a negative impact on the operational stability or strategic investment</w:t>
      </w:r>
      <w:r w:rsidR="0046472A" w:rsidRPr="0046472A">
        <w:rPr>
          <w:rFonts w:cs="Times New Roman"/>
          <w:lang w:val="en-IN"/>
        </w:rPr>
        <w:t>.</w:t>
      </w:r>
    </w:p>
    <w:p w14:paraId="7BF9A76B" w14:textId="6FD2F4E9" w:rsidR="00EC7AAC" w:rsidRPr="00577F2F" w:rsidRDefault="00EC7AAC" w:rsidP="000647E1">
      <w:pPr>
        <w:pStyle w:val="ListParagraph"/>
        <w:numPr>
          <w:ilvl w:val="0"/>
          <w:numId w:val="1"/>
        </w:numPr>
        <w:rPr>
          <w:rFonts w:cs="Times New Roman"/>
          <w:b/>
          <w:bCs/>
          <w:lang w:val="en-IN"/>
        </w:rPr>
      </w:pPr>
      <w:r w:rsidRPr="00577F2F">
        <w:rPr>
          <w:rFonts w:cs="Times New Roman"/>
          <w:b/>
          <w:bCs/>
          <w:lang w:val="en-IN"/>
        </w:rPr>
        <w:t>Gearing Ratio Analysis</w:t>
      </w:r>
      <w:r w:rsidR="000647E1" w:rsidRPr="00577F2F">
        <w:rPr>
          <w:rFonts w:cs="Times New Roman"/>
          <w:b/>
          <w:bCs/>
          <w:lang w:val="en-IN"/>
        </w:rPr>
        <w:t xml:space="preserve"> (See Detailed Calculation in </w:t>
      </w:r>
      <w:hyperlink w:anchor="_Appendix_C:_Detailed" w:history="1">
        <w:r w:rsidR="000647E1" w:rsidRPr="00577F2F">
          <w:rPr>
            <w:rStyle w:val="Hyperlink"/>
            <w:rFonts w:cs="Times New Roman"/>
            <w:b/>
            <w:bCs/>
            <w:lang w:val="en-IN"/>
          </w:rPr>
          <w:t>Appendix C</w:t>
        </w:r>
      </w:hyperlink>
      <w:r w:rsidR="000647E1" w:rsidRPr="00577F2F">
        <w:rPr>
          <w:rFonts w:cs="Times New Roman"/>
          <w:b/>
          <w:bCs/>
          <w:lang w:val="en-IN"/>
        </w:rPr>
        <w:t>)</w:t>
      </w:r>
    </w:p>
    <w:p w14:paraId="3398BA72" w14:textId="5F02AB2E" w:rsidR="00EC7AAC" w:rsidRPr="00577F2F" w:rsidRDefault="007F7EED" w:rsidP="00EC7AAC">
      <w:pPr>
        <w:rPr>
          <w:rFonts w:cs="Times New Roman"/>
          <w:lang w:val="en-IN"/>
        </w:rPr>
      </w:pPr>
      <w:r w:rsidRPr="007F7EED">
        <w:rPr>
          <w:rFonts w:cs="Times New Roman"/>
          <w:lang w:val="en-IN"/>
        </w:rPr>
        <w:t>Gearing ratios determine how the company finances its operations using debt instead of equity and reflect the amount of financial risk caused by the capital structure used (Kenton, 2024). Increasing the gearing will raise the amount the shareholders can get</w:t>
      </w:r>
      <w:r w:rsidR="00370CCC">
        <w:rPr>
          <w:rFonts w:cs="Times New Roman"/>
          <w:lang w:val="en-IN"/>
        </w:rPr>
        <w:t>,</w:t>
      </w:r>
      <w:r w:rsidRPr="007F7EED">
        <w:rPr>
          <w:rFonts w:cs="Times New Roman"/>
          <w:lang w:val="en-IN"/>
        </w:rPr>
        <w:t xml:space="preserve"> but will increase the </w:t>
      </w:r>
      <w:r w:rsidRPr="007F7EED">
        <w:rPr>
          <w:rFonts w:cs="Times New Roman"/>
          <w:lang w:val="en-IN"/>
        </w:rPr>
        <w:lastRenderedPageBreak/>
        <w:t>sensitivity to interest rates and bankruptcy. In the case of Reckitt Benckiser, gearing ratios are also significant</w:t>
      </w:r>
      <w:r w:rsidR="00370CCC">
        <w:rPr>
          <w:rFonts w:cs="Times New Roman"/>
          <w:lang w:val="en-IN"/>
        </w:rPr>
        <w:t>,</w:t>
      </w:r>
      <w:r w:rsidRPr="007F7EED">
        <w:rPr>
          <w:rFonts w:cs="Times New Roman"/>
          <w:lang w:val="en-IN"/>
        </w:rPr>
        <w:t xml:space="preserve"> considering the active capital management and shareholder distribution policies of the Group</w:t>
      </w:r>
      <w:r w:rsidR="00EC7AAC" w:rsidRPr="00EC7AAC">
        <w:rPr>
          <w:rFonts w:cs="Times New Roman"/>
          <w:lang w:val="en-IN"/>
        </w:rPr>
        <w:t>.</w:t>
      </w:r>
    </w:p>
    <w:p w14:paraId="559646AF" w14:textId="52F235F2" w:rsidR="00EC7AAC" w:rsidRPr="00577F2F" w:rsidRDefault="00EC7AAC" w:rsidP="00EC7AAC">
      <w:pPr>
        <w:pStyle w:val="Caption"/>
        <w:keepNext/>
        <w:rPr>
          <w:rFonts w:cs="Times New Roman"/>
        </w:rPr>
      </w:pPr>
      <w:r w:rsidRPr="00577F2F">
        <w:rPr>
          <w:rFonts w:cs="Times New Roman"/>
        </w:rPr>
        <w:t xml:space="preserve">Table </w:t>
      </w:r>
      <w:r w:rsidRPr="00577F2F">
        <w:rPr>
          <w:rFonts w:cs="Times New Roman"/>
        </w:rPr>
        <w:fldChar w:fldCharType="begin"/>
      </w:r>
      <w:r w:rsidRPr="00577F2F">
        <w:rPr>
          <w:rFonts w:cs="Times New Roman"/>
        </w:rPr>
        <w:instrText xml:space="preserve"> SEQ Table \* ARABIC </w:instrText>
      </w:r>
      <w:r w:rsidRPr="00577F2F">
        <w:rPr>
          <w:rFonts w:cs="Times New Roman"/>
        </w:rPr>
        <w:fldChar w:fldCharType="separate"/>
      </w:r>
      <w:r w:rsidR="00111A14" w:rsidRPr="00577F2F">
        <w:rPr>
          <w:rFonts w:cs="Times New Roman"/>
          <w:noProof/>
        </w:rPr>
        <w:t>3</w:t>
      </w:r>
      <w:r w:rsidRPr="00577F2F">
        <w:rPr>
          <w:rFonts w:cs="Times New Roman"/>
        </w:rPr>
        <w:fldChar w:fldCharType="end"/>
      </w:r>
      <w:r w:rsidRPr="00577F2F">
        <w:rPr>
          <w:rFonts w:cs="Times New Roman"/>
          <w:lang w:val="en-US"/>
        </w:rPr>
        <w:t>: Gearing Ratio Calculation</w:t>
      </w:r>
    </w:p>
    <w:tbl>
      <w:tblPr>
        <w:tblStyle w:val="TableGrid"/>
        <w:tblW w:w="0" w:type="auto"/>
        <w:jc w:val="center"/>
        <w:tblLook w:val="04A0" w:firstRow="1" w:lastRow="0" w:firstColumn="1" w:lastColumn="0" w:noHBand="0" w:noVBand="1"/>
      </w:tblPr>
      <w:tblGrid>
        <w:gridCol w:w="4142"/>
        <w:gridCol w:w="915"/>
        <w:gridCol w:w="915"/>
        <w:gridCol w:w="1465"/>
        <w:gridCol w:w="1203"/>
      </w:tblGrid>
      <w:tr w:rsidR="00EC7AAC" w:rsidRPr="00577F2F" w14:paraId="53D717DA" w14:textId="77777777" w:rsidTr="00EC7AAC">
        <w:trPr>
          <w:trHeight w:val="348"/>
          <w:jc w:val="center"/>
        </w:trPr>
        <w:tc>
          <w:tcPr>
            <w:tcW w:w="8640" w:type="dxa"/>
            <w:gridSpan w:val="5"/>
            <w:noWrap/>
            <w:hideMark/>
          </w:tcPr>
          <w:p w14:paraId="6FDEDD27" w14:textId="77777777" w:rsidR="00EC7AAC" w:rsidRPr="00577F2F" w:rsidRDefault="00EC7AAC" w:rsidP="00EC7AAC">
            <w:pPr>
              <w:jc w:val="center"/>
              <w:rPr>
                <w:rFonts w:cs="Times New Roman"/>
                <w:b/>
                <w:bCs/>
                <w:lang w:val="en-IN"/>
              </w:rPr>
            </w:pPr>
            <w:r w:rsidRPr="00577F2F">
              <w:rPr>
                <w:rFonts w:cs="Times New Roman"/>
                <w:b/>
                <w:bCs/>
              </w:rPr>
              <w:t>Gearing Ratios</w:t>
            </w:r>
          </w:p>
        </w:tc>
      </w:tr>
      <w:tr w:rsidR="00EC7AAC" w:rsidRPr="00577F2F" w14:paraId="289AC750" w14:textId="77777777" w:rsidTr="00EC7AAC">
        <w:trPr>
          <w:trHeight w:val="312"/>
          <w:jc w:val="center"/>
        </w:trPr>
        <w:tc>
          <w:tcPr>
            <w:tcW w:w="4142" w:type="dxa"/>
            <w:noWrap/>
            <w:hideMark/>
          </w:tcPr>
          <w:p w14:paraId="7DBAFB9B" w14:textId="77777777" w:rsidR="00EC7AAC" w:rsidRPr="00577F2F" w:rsidRDefault="00EC7AAC" w:rsidP="00EC7AAC">
            <w:pPr>
              <w:rPr>
                <w:rFonts w:cs="Times New Roman"/>
                <w:b/>
                <w:bCs/>
              </w:rPr>
            </w:pPr>
            <w:r w:rsidRPr="00577F2F">
              <w:rPr>
                <w:rFonts w:cs="Times New Roman"/>
                <w:b/>
                <w:bCs/>
              </w:rPr>
              <w:t>Ratios</w:t>
            </w:r>
          </w:p>
        </w:tc>
        <w:tc>
          <w:tcPr>
            <w:tcW w:w="915" w:type="dxa"/>
            <w:noWrap/>
            <w:hideMark/>
          </w:tcPr>
          <w:p w14:paraId="09535B5A" w14:textId="77777777" w:rsidR="00EC7AAC" w:rsidRPr="00577F2F" w:rsidRDefault="00EC7AAC" w:rsidP="00EC7AAC">
            <w:pPr>
              <w:rPr>
                <w:rFonts w:cs="Times New Roman"/>
                <w:b/>
                <w:bCs/>
              </w:rPr>
            </w:pPr>
            <w:r w:rsidRPr="00577F2F">
              <w:rPr>
                <w:rFonts w:cs="Times New Roman"/>
                <w:b/>
                <w:bCs/>
              </w:rPr>
              <w:t>2024</w:t>
            </w:r>
          </w:p>
        </w:tc>
        <w:tc>
          <w:tcPr>
            <w:tcW w:w="915" w:type="dxa"/>
            <w:noWrap/>
            <w:hideMark/>
          </w:tcPr>
          <w:p w14:paraId="5DE450DA" w14:textId="77777777" w:rsidR="00EC7AAC" w:rsidRPr="00577F2F" w:rsidRDefault="00EC7AAC" w:rsidP="00EC7AAC">
            <w:pPr>
              <w:rPr>
                <w:rFonts w:cs="Times New Roman"/>
                <w:b/>
                <w:bCs/>
              </w:rPr>
            </w:pPr>
            <w:r w:rsidRPr="00577F2F">
              <w:rPr>
                <w:rFonts w:cs="Times New Roman"/>
                <w:b/>
                <w:bCs/>
              </w:rPr>
              <w:t>2023</w:t>
            </w:r>
          </w:p>
        </w:tc>
        <w:tc>
          <w:tcPr>
            <w:tcW w:w="1465" w:type="dxa"/>
            <w:noWrap/>
            <w:hideMark/>
          </w:tcPr>
          <w:p w14:paraId="1AFEAE23" w14:textId="77777777" w:rsidR="00EC7AAC" w:rsidRPr="00577F2F" w:rsidRDefault="00EC7AAC" w:rsidP="00EC7AAC">
            <w:pPr>
              <w:rPr>
                <w:rFonts w:cs="Times New Roman"/>
                <w:b/>
                <w:bCs/>
              </w:rPr>
            </w:pPr>
            <w:r w:rsidRPr="00577F2F">
              <w:rPr>
                <w:rFonts w:cs="Times New Roman"/>
                <w:b/>
                <w:bCs/>
              </w:rPr>
              <w:t>Change</w:t>
            </w:r>
          </w:p>
        </w:tc>
        <w:tc>
          <w:tcPr>
            <w:tcW w:w="1203" w:type="dxa"/>
            <w:noWrap/>
            <w:hideMark/>
          </w:tcPr>
          <w:p w14:paraId="376B409E" w14:textId="77777777" w:rsidR="00EC7AAC" w:rsidRPr="00577F2F" w:rsidRDefault="00EC7AAC" w:rsidP="00EC7AAC">
            <w:pPr>
              <w:rPr>
                <w:rFonts w:cs="Times New Roman"/>
                <w:b/>
                <w:bCs/>
              </w:rPr>
            </w:pPr>
            <w:r w:rsidRPr="00577F2F">
              <w:rPr>
                <w:rFonts w:cs="Times New Roman"/>
                <w:b/>
                <w:bCs/>
              </w:rPr>
              <w:t>Trend</w:t>
            </w:r>
          </w:p>
        </w:tc>
      </w:tr>
      <w:tr w:rsidR="00EC7AAC" w:rsidRPr="00577F2F" w14:paraId="7E97CD5B" w14:textId="77777777" w:rsidTr="00EC7AAC">
        <w:trPr>
          <w:trHeight w:val="312"/>
          <w:jc w:val="center"/>
        </w:trPr>
        <w:tc>
          <w:tcPr>
            <w:tcW w:w="4142" w:type="dxa"/>
            <w:noWrap/>
            <w:hideMark/>
          </w:tcPr>
          <w:p w14:paraId="54DD20B4" w14:textId="77777777" w:rsidR="00EC7AAC" w:rsidRPr="00577F2F" w:rsidRDefault="00EC7AAC" w:rsidP="00EC7AAC">
            <w:pPr>
              <w:rPr>
                <w:rFonts w:cs="Times New Roman"/>
              </w:rPr>
            </w:pPr>
            <w:r w:rsidRPr="00577F2F">
              <w:rPr>
                <w:rFonts w:cs="Times New Roman"/>
              </w:rPr>
              <w:t>Debt to Equity Ratio</w:t>
            </w:r>
          </w:p>
        </w:tc>
        <w:tc>
          <w:tcPr>
            <w:tcW w:w="915" w:type="dxa"/>
            <w:noWrap/>
            <w:hideMark/>
          </w:tcPr>
          <w:p w14:paraId="423C6EA9" w14:textId="77777777" w:rsidR="00EC7AAC" w:rsidRPr="00577F2F" w:rsidRDefault="00EC7AAC" w:rsidP="00EC7AAC">
            <w:pPr>
              <w:rPr>
                <w:rFonts w:cs="Times New Roman"/>
              </w:rPr>
            </w:pPr>
            <w:r w:rsidRPr="00577F2F">
              <w:rPr>
                <w:rFonts w:cs="Times New Roman"/>
              </w:rPr>
              <w:t>1.29</w:t>
            </w:r>
          </w:p>
        </w:tc>
        <w:tc>
          <w:tcPr>
            <w:tcW w:w="915" w:type="dxa"/>
            <w:noWrap/>
            <w:hideMark/>
          </w:tcPr>
          <w:p w14:paraId="236E17FF" w14:textId="77777777" w:rsidR="00EC7AAC" w:rsidRPr="00577F2F" w:rsidRDefault="00EC7AAC" w:rsidP="00EC7AAC">
            <w:pPr>
              <w:rPr>
                <w:rFonts w:cs="Times New Roman"/>
              </w:rPr>
            </w:pPr>
            <w:r w:rsidRPr="00577F2F">
              <w:rPr>
                <w:rFonts w:cs="Times New Roman"/>
              </w:rPr>
              <w:t>1.01</w:t>
            </w:r>
          </w:p>
        </w:tc>
        <w:tc>
          <w:tcPr>
            <w:tcW w:w="1465" w:type="dxa"/>
            <w:noWrap/>
            <w:hideMark/>
          </w:tcPr>
          <w:p w14:paraId="519B59DE" w14:textId="77777777" w:rsidR="00EC7AAC" w:rsidRPr="00577F2F" w:rsidRDefault="00EC7AAC" w:rsidP="00EC7AAC">
            <w:pPr>
              <w:rPr>
                <w:rFonts w:cs="Times New Roman"/>
              </w:rPr>
            </w:pPr>
            <w:r w:rsidRPr="00577F2F">
              <w:rPr>
                <w:rFonts w:cs="Times New Roman"/>
              </w:rPr>
              <w:t>0.28</w:t>
            </w:r>
          </w:p>
        </w:tc>
        <w:tc>
          <w:tcPr>
            <w:tcW w:w="1203" w:type="dxa"/>
            <w:noWrap/>
            <w:hideMark/>
          </w:tcPr>
          <w:p w14:paraId="4FD37762" w14:textId="77777777" w:rsidR="00EC7AAC" w:rsidRPr="00577F2F" w:rsidRDefault="00EC7AAC" w:rsidP="00EC7AAC">
            <w:pPr>
              <w:rPr>
                <w:rFonts w:cs="Times New Roman"/>
              </w:rPr>
            </w:pPr>
            <w:r w:rsidRPr="00577F2F">
              <w:rPr>
                <w:rFonts w:cs="Times New Roman"/>
              </w:rPr>
              <w:t>↑</w:t>
            </w:r>
          </w:p>
        </w:tc>
      </w:tr>
      <w:tr w:rsidR="00EC7AAC" w:rsidRPr="00577F2F" w14:paraId="303C312E" w14:textId="77777777" w:rsidTr="00EC7AAC">
        <w:trPr>
          <w:trHeight w:val="312"/>
          <w:jc w:val="center"/>
        </w:trPr>
        <w:tc>
          <w:tcPr>
            <w:tcW w:w="4142" w:type="dxa"/>
            <w:noWrap/>
            <w:hideMark/>
          </w:tcPr>
          <w:p w14:paraId="20AE0556" w14:textId="77777777" w:rsidR="00EC7AAC" w:rsidRPr="00577F2F" w:rsidRDefault="00EC7AAC" w:rsidP="00EC7AAC">
            <w:pPr>
              <w:rPr>
                <w:rFonts w:cs="Times New Roman"/>
              </w:rPr>
            </w:pPr>
            <w:r w:rsidRPr="00577F2F">
              <w:rPr>
                <w:rFonts w:cs="Times New Roman"/>
              </w:rPr>
              <w:t>Interest Coverage Ratio</w:t>
            </w:r>
          </w:p>
        </w:tc>
        <w:tc>
          <w:tcPr>
            <w:tcW w:w="915" w:type="dxa"/>
            <w:noWrap/>
            <w:hideMark/>
          </w:tcPr>
          <w:p w14:paraId="4F0F6FA9" w14:textId="77777777" w:rsidR="00EC7AAC" w:rsidRPr="00577F2F" w:rsidRDefault="00EC7AAC" w:rsidP="00EC7AAC">
            <w:pPr>
              <w:rPr>
                <w:rFonts w:cs="Times New Roman"/>
              </w:rPr>
            </w:pPr>
            <w:r w:rsidRPr="00577F2F">
              <w:rPr>
                <w:rFonts w:cs="Times New Roman"/>
              </w:rPr>
              <w:t>6.03</w:t>
            </w:r>
          </w:p>
        </w:tc>
        <w:tc>
          <w:tcPr>
            <w:tcW w:w="915" w:type="dxa"/>
            <w:noWrap/>
            <w:hideMark/>
          </w:tcPr>
          <w:p w14:paraId="1E3B81CF" w14:textId="77777777" w:rsidR="00EC7AAC" w:rsidRPr="00577F2F" w:rsidRDefault="00EC7AAC" w:rsidP="00EC7AAC">
            <w:pPr>
              <w:rPr>
                <w:rFonts w:cs="Times New Roman"/>
              </w:rPr>
            </w:pPr>
            <w:r w:rsidRPr="00577F2F">
              <w:rPr>
                <w:rFonts w:cs="Times New Roman"/>
              </w:rPr>
              <w:t>7.44</w:t>
            </w:r>
          </w:p>
        </w:tc>
        <w:tc>
          <w:tcPr>
            <w:tcW w:w="1465" w:type="dxa"/>
            <w:noWrap/>
            <w:hideMark/>
          </w:tcPr>
          <w:p w14:paraId="6BEFACC0" w14:textId="77777777" w:rsidR="00EC7AAC" w:rsidRPr="00577F2F" w:rsidRDefault="00EC7AAC" w:rsidP="00EC7AAC">
            <w:pPr>
              <w:rPr>
                <w:rFonts w:cs="Times New Roman"/>
              </w:rPr>
            </w:pPr>
            <w:r w:rsidRPr="00577F2F">
              <w:rPr>
                <w:rFonts w:cs="Times New Roman"/>
              </w:rPr>
              <w:t>-1.41</w:t>
            </w:r>
          </w:p>
        </w:tc>
        <w:tc>
          <w:tcPr>
            <w:tcW w:w="1203" w:type="dxa"/>
            <w:noWrap/>
            <w:hideMark/>
          </w:tcPr>
          <w:p w14:paraId="64C337AF" w14:textId="77777777" w:rsidR="00EC7AAC" w:rsidRPr="00577F2F" w:rsidRDefault="00EC7AAC" w:rsidP="00EC7AAC">
            <w:pPr>
              <w:rPr>
                <w:rFonts w:cs="Times New Roman"/>
              </w:rPr>
            </w:pPr>
            <w:r w:rsidRPr="00577F2F">
              <w:rPr>
                <w:rFonts w:cs="Times New Roman"/>
              </w:rPr>
              <w:t>↓</w:t>
            </w:r>
          </w:p>
        </w:tc>
      </w:tr>
      <w:tr w:rsidR="00EC7AAC" w:rsidRPr="00577F2F" w14:paraId="3814D844" w14:textId="77777777" w:rsidTr="00EC7AAC">
        <w:trPr>
          <w:trHeight w:val="312"/>
          <w:jc w:val="center"/>
        </w:trPr>
        <w:tc>
          <w:tcPr>
            <w:tcW w:w="4142" w:type="dxa"/>
            <w:noWrap/>
            <w:hideMark/>
          </w:tcPr>
          <w:p w14:paraId="10378E2D" w14:textId="77777777" w:rsidR="00EC7AAC" w:rsidRPr="00577F2F" w:rsidRDefault="00EC7AAC" w:rsidP="00EC7AAC">
            <w:pPr>
              <w:rPr>
                <w:rFonts w:cs="Times New Roman"/>
              </w:rPr>
            </w:pPr>
            <w:r w:rsidRPr="00577F2F">
              <w:rPr>
                <w:rFonts w:cs="Times New Roman"/>
              </w:rPr>
              <w:t>Debt Ratio</w:t>
            </w:r>
          </w:p>
        </w:tc>
        <w:tc>
          <w:tcPr>
            <w:tcW w:w="915" w:type="dxa"/>
            <w:noWrap/>
            <w:hideMark/>
          </w:tcPr>
          <w:p w14:paraId="3E560D5E" w14:textId="77777777" w:rsidR="00EC7AAC" w:rsidRPr="00577F2F" w:rsidRDefault="00EC7AAC" w:rsidP="00EC7AAC">
            <w:pPr>
              <w:rPr>
                <w:rFonts w:cs="Times New Roman"/>
              </w:rPr>
            </w:pPr>
            <w:r w:rsidRPr="00577F2F">
              <w:rPr>
                <w:rFonts w:cs="Times New Roman"/>
              </w:rPr>
              <w:t>0.34</w:t>
            </w:r>
          </w:p>
        </w:tc>
        <w:tc>
          <w:tcPr>
            <w:tcW w:w="915" w:type="dxa"/>
            <w:noWrap/>
            <w:hideMark/>
          </w:tcPr>
          <w:p w14:paraId="064BB1C2" w14:textId="77777777" w:rsidR="00EC7AAC" w:rsidRPr="00577F2F" w:rsidRDefault="00EC7AAC" w:rsidP="00EC7AAC">
            <w:pPr>
              <w:rPr>
                <w:rFonts w:cs="Times New Roman"/>
              </w:rPr>
            </w:pPr>
            <w:r w:rsidRPr="00577F2F">
              <w:rPr>
                <w:rFonts w:cs="Times New Roman"/>
              </w:rPr>
              <w:t>0.31</w:t>
            </w:r>
          </w:p>
        </w:tc>
        <w:tc>
          <w:tcPr>
            <w:tcW w:w="1465" w:type="dxa"/>
            <w:noWrap/>
            <w:hideMark/>
          </w:tcPr>
          <w:p w14:paraId="20EF1474" w14:textId="77777777" w:rsidR="00EC7AAC" w:rsidRPr="00577F2F" w:rsidRDefault="00EC7AAC" w:rsidP="00EC7AAC">
            <w:pPr>
              <w:rPr>
                <w:rFonts w:cs="Times New Roman"/>
              </w:rPr>
            </w:pPr>
            <w:r w:rsidRPr="00577F2F">
              <w:rPr>
                <w:rFonts w:cs="Times New Roman"/>
              </w:rPr>
              <w:t>0.03</w:t>
            </w:r>
          </w:p>
        </w:tc>
        <w:tc>
          <w:tcPr>
            <w:tcW w:w="1203" w:type="dxa"/>
            <w:noWrap/>
            <w:hideMark/>
          </w:tcPr>
          <w:p w14:paraId="0EF069BB" w14:textId="77777777" w:rsidR="00EC7AAC" w:rsidRPr="00577F2F" w:rsidRDefault="00EC7AAC" w:rsidP="00EC7AAC">
            <w:pPr>
              <w:rPr>
                <w:rFonts w:cs="Times New Roman"/>
              </w:rPr>
            </w:pPr>
            <w:r w:rsidRPr="00577F2F">
              <w:rPr>
                <w:rFonts w:cs="Times New Roman"/>
              </w:rPr>
              <w:t>↑</w:t>
            </w:r>
          </w:p>
        </w:tc>
      </w:tr>
    </w:tbl>
    <w:p w14:paraId="1AC28C74" w14:textId="77777777" w:rsidR="00EC7AAC" w:rsidRPr="00EC7AAC" w:rsidRDefault="00EC7AAC" w:rsidP="00EC7AAC">
      <w:pPr>
        <w:rPr>
          <w:rFonts w:cs="Times New Roman"/>
          <w:lang w:val="en-IN"/>
        </w:rPr>
      </w:pPr>
    </w:p>
    <w:p w14:paraId="05356396" w14:textId="7637721F" w:rsidR="00EC7AAC" w:rsidRPr="00577F2F" w:rsidRDefault="007F7EED" w:rsidP="00EC7AAC">
      <w:pPr>
        <w:rPr>
          <w:rFonts w:cs="Times New Roman"/>
          <w:lang w:val="en-IN"/>
        </w:rPr>
      </w:pPr>
      <w:r w:rsidRPr="007F7EED">
        <w:rPr>
          <w:rFonts w:cs="Times New Roman"/>
          <w:lang w:val="en-IN"/>
        </w:rPr>
        <w:t>The gearing ratios computed in the table above indicate that there is an evident rise in leverage in 2024, which is also illustrated in the graph provided above. There was an increase in the debt-to-equity ratio of 1.01 to 1.29 and the debt ratio of 0.31 to 0.34</w:t>
      </w:r>
      <w:r w:rsidR="00370CCC">
        <w:rPr>
          <w:rFonts w:cs="Times New Roman"/>
          <w:lang w:val="en-IN"/>
        </w:rPr>
        <w:t>,</w:t>
      </w:r>
      <w:r w:rsidRPr="007F7EED">
        <w:rPr>
          <w:rFonts w:cs="Times New Roman"/>
          <w:lang w:val="en-IN"/>
        </w:rPr>
        <w:t xml:space="preserve"> which implies that the company is heavily dependent on debt as compared to equity and total assets (Fernando, 2024). This growth can be credited to increased borrowing along with the decline in the equity, many of which were caused by the massive dividends and share buybacks made to shareholders throughout the year, as well as restructuring that was associated with strategic refocus</w:t>
      </w:r>
      <w:r w:rsidR="00EC7AAC" w:rsidRPr="00EC7AAC">
        <w:rPr>
          <w:rFonts w:cs="Times New Roman"/>
          <w:lang w:val="en-IN"/>
        </w:rPr>
        <w:t>.</w:t>
      </w:r>
    </w:p>
    <w:p w14:paraId="7E356297" w14:textId="77777777" w:rsidR="00EC7AAC" w:rsidRPr="00577F2F" w:rsidRDefault="00EC7AAC" w:rsidP="00EC7AAC">
      <w:pPr>
        <w:keepNext/>
        <w:jc w:val="center"/>
        <w:rPr>
          <w:rFonts w:cs="Times New Roman"/>
        </w:rPr>
      </w:pPr>
      <w:r w:rsidRPr="00577F2F">
        <w:rPr>
          <w:rFonts w:cs="Times New Roman"/>
          <w:noProof/>
          <w14:ligatures w14:val="standardContextual"/>
        </w:rPr>
        <w:drawing>
          <wp:inline distT="0" distB="0" distL="0" distR="0" wp14:anchorId="660F5522" wp14:editId="41A55687">
            <wp:extent cx="4572000" cy="2743200"/>
            <wp:effectExtent l="0" t="0" r="0" b="0"/>
            <wp:docPr id="268487529" name="Chart 1">
              <a:extLst xmlns:a="http://schemas.openxmlformats.org/drawingml/2006/main">
                <a:ext uri="{FF2B5EF4-FFF2-40B4-BE49-F238E27FC236}">
                  <a16:creationId xmlns:a16="http://schemas.microsoft.com/office/drawing/2014/main" id="{792B5D64-7978-E4BC-9DF5-BF84742691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B44C8B2" w14:textId="4D32E9A3" w:rsidR="00EC7AAC" w:rsidRPr="00EC7AAC" w:rsidRDefault="00EC7AAC" w:rsidP="00EC7AAC">
      <w:pPr>
        <w:pStyle w:val="Caption"/>
        <w:jc w:val="center"/>
        <w:rPr>
          <w:rFonts w:cs="Times New Roman"/>
          <w:lang w:val="en-IN"/>
        </w:rPr>
      </w:pPr>
      <w:r w:rsidRPr="00577F2F">
        <w:rPr>
          <w:rFonts w:cs="Times New Roman"/>
        </w:rPr>
        <w:t xml:space="preserve">Figure </w:t>
      </w:r>
      <w:r w:rsidRPr="00577F2F">
        <w:rPr>
          <w:rFonts w:cs="Times New Roman"/>
        </w:rPr>
        <w:fldChar w:fldCharType="begin"/>
      </w:r>
      <w:r w:rsidRPr="00577F2F">
        <w:rPr>
          <w:rFonts w:cs="Times New Roman"/>
        </w:rPr>
        <w:instrText xml:space="preserve"> SEQ Figure \* ARABIC </w:instrText>
      </w:r>
      <w:r w:rsidRPr="00577F2F">
        <w:rPr>
          <w:rFonts w:cs="Times New Roman"/>
        </w:rPr>
        <w:fldChar w:fldCharType="separate"/>
      </w:r>
      <w:r w:rsidR="00034F33">
        <w:rPr>
          <w:rFonts w:cs="Times New Roman"/>
          <w:noProof/>
        </w:rPr>
        <w:t>3</w:t>
      </w:r>
      <w:r w:rsidRPr="00577F2F">
        <w:rPr>
          <w:rFonts w:cs="Times New Roman"/>
        </w:rPr>
        <w:fldChar w:fldCharType="end"/>
      </w:r>
      <w:r w:rsidRPr="00577F2F">
        <w:rPr>
          <w:rFonts w:cs="Times New Roman"/>
          <w:lang w:val="en-US"/>
        </w:rPr>
        <w:t>: Gearing Ratio Analysis</w:t>
      </w:r>
    </w:p>
    <w:p w14:paraId="220B3272" w14:textId="4D1693F8" w:rsidR="00EC7AAC" w:rsidRPr="00577F2F" w:rsidRDefault="007F7EED" w:rsidP="00EC7AAC">
      <w:pPr>
        <w:rPr>
          <w:rFonts w:cs="Times New Roman"/>
          <w:lang w:val="en-IN"/>
        </w:rPr>
      </w:pPr>
      <w:r w:rsidRPr="007F7EED">
        <w:rPr>
          <w:rFonts w:cs="Times New Roman"/>
          <w:lang w:val="en-IN"/>
        </w:rPr>
        <w:t xml:space="preserve">Simultaneously, </w:t>
      </w:r>
      <w:r>
        <w:rPr>
          <w:rFonts w:cs="Times New Roman"/>
          <w:lang w:val="en-IN"/>
        </w:rPr>
        <w:t xml:space="preserve">the </w:t>
      </w:r>
      <w:r w:rsidRPr="007F7EED">
        <w:rPr>
          <w:rFonts w:cs="Times New Roman"/>
          <w:lang w:val="en-IN"/>
        </w:rPr>
        <w:t xml:space="preserve">interest coverage ratio dropped making 7.44 times to 6.03 times, which is the result of higher finance costs and a little bit less operating profit. </w:t>
      </w:r>
      <w:r>
        <w:rPr>
          <w:rFonts w:cs="Times New Roman"/>
          <w:lang w:val="en-IN"/>
        </w:rPr>
        <w:t>The i</w:t>
      </w:r>
      <w:r w:rsidRPr="007F7EED">
        <w:rPr>
          <w:rFonts w:cs="Times New Roman"/>
          <w:lang w:val="en-IN"/>
        </w:rPr>
        <w:t>nterest cover is still at a comfortable level</w:t>
      </w:r>
      <w:r w:rsidR="00370CCC">
        <w:rPr>
          <w:rFonts w:cs="Times New Roman"/>
          <w:lang w:val="en-IN"/>
        </w:rPr>
        <w:t>,</w:t>
      </w:r>
      <w:r>
        <w:rPr>
          <w:rFonts w:cs="Times New Roman"/>
          <w:lang w:val="en-IN"/>
        </w:rPr>
        <w:t xml:space="preserve"> and</w:t>
      </w:r>
      <w:r w:rsidRPr="007F7EED">
        <w:rPr>
          <w:rFonts w:cs="Times New Roman"/>
          <w:lang w:val="en-IN"/>
        </w:rPr>
        <w:t xml:space="preserve"> the negative trend indicates less ability to absorb the subsequent </w:t>
      </w:r>
      <w:r w:rsidRPr="007F7EED">
        <w:rPr>
          <w:rFonts w:cs="Times New Roman"/>
          <w:lang w:val="en-IN"/>
        </w:rPr>
        <w:lastRenderedPageBreak/>
        <w:t xml:space="preserve">growth in the cost of borrowing, especially in a </w:t>
      </w:r>
      <w:r>
        <w:rPr>
          <w:rFonts w:cs="Times New Roman"/>
          <w:lang w:val="en-IN"/>
        </w:rPr>
        <w:t>high-interest-rate</w:t>
      </w:r>
      <w:r w:rsidRPr="007F7EED">
        <w:rPr>
          <w:rFonts w:cs="Times New Roman"/>
          <w:lang w:val="en-IN"/>
        </w:rPr>
        <w:t xml:space="preserve"> environment (Hayes, 2020). On the whole, the gearing analysis suggests that Reckitt has been more aggressive in using capital structure to boost shareholder returns in 2024. Nonetheless, the leverage has been on the rise, which has increased the financial risk and decreased the margin of safety. The management should thus make sure that subsequent borrowing is consistent with the production of cash flow so as to keep the business afloat and flexible</w:t>
      </w:r>
      <w:r w:rsidR="00EC7AAC" w:rsidRPr="00577F2F">
        <w:rPr>
          <w:rFonts w:cs="Times New Roman"/>
          <w:lang w:val="en-IN"/>
        </w:rPr>
        <w:t>.</w:t>
      </w:r>
    </w:p>
    <w:p w14:paraId="3FB14EAF" w14:textId="2A1DB24F" w:rsidR="00EC7AAC" w:rsidRPr="00577F2F" w:rsidRDefault="00EC7AAC" w:rsidP="000647E1">
      <w:pPr>
        <w:pStyle w:val="ListParagraph"/>
        <w:numPr>
          <w:ilvl w:val="0"/>
          <w:numId w:val="1"/>
        </w:numPr>
        <w:rPr>
          <w:rFonts w:cs="Times New Roman"/>
          <w:lang w:val="en-IN"/>
        </w:rPr>
      </w:pPr>
      <w:r w:rsidRPr="00577F2F">
        <w:rPr>
          <w:rFonts w:cs="Times New Roman"/>
          <w:b/>
          <w:bCs/>
          <w:lang w:val="en-IN"/>
        </w:rPr>
        <w:t>Efficiency Ratio Analysis</w:t>
      </w:r>
      <w:r w:rsidR="000647E1" w:rsidRPr="00577F2F">
        <w:rPr>
          <w:rFonts w:cs="Times New Roman"/>
          <w:b/>
          <w:bCs/>
          <w:lang w:val="en-IN"/>
        </w:rPr>
        <w:t xml:space="preserve"> (See Detailed Calculation in </w:t>
      </w:r>
      <w:hyperlink w:anchor="_Appendix_C:_Detailed" w:history="1">
        <w:r w:rsidR="000647E1" w:rsidRPr="00577F2F">
          <w:rPr>
            <w:rStyle w:val="Hyperlink"/>
            <w:rFonts w:cs="Times New Roman"/>
            <w:b/>
            <w:bCs/>
            <w:lang w:val="en-IN"/>
          </w:rPr>
          <w:t>Appendix C</w:t>
        </w:r>
      </w:hyperlink>
      <w:r w:rsidR="000647E1" w:rsidRPr="00577F2F">
        <w:rPr>
          <w:rFonts w:cs="Times New Roman"/>
          <w:b/>
          <w:bCs/>
          <w:lang w:val="en-IN"/>
        </w:rPr>
        <w:t>)</w:t>
      </w:r>
    </w:p>
    <w:p w14:paraId="6D6D7CCF" w14:textId="3B948DF4" w:rsidR="00EC7AAC" w:rsidRPr="00577F2F" w:rsidRDefault="007F7EED" w:rsidP="00EC7AAC">
      <w:pPr>
        <w:rPr>
          <w:rFonts w:cs="Times New Roman"/>
          <w:lang w:val="en-IN"/>
        </w:rPr>
      </w:pPr>
      <w:r w:rsidRPr="007F7EED">
        <w:rPr>
          <w:rFonts w:cs="Times New Roman"/>
          <w:lang w:val="en-IN"/>
        </w:rPr>
        <w:t xml:space="preserve">Efficiency ratios evaluate the effectiveness </w:t>
      </w:r>
      <w:r w:rsidR="00370CCC">
        <w:rPr>
          <w:rFonts w:cs="Times New Roman"/>
          <w:lang w:val="en-IN"/>
        </w:rPr>
        <w:t>with</w:t>
      </w:r>
      <w:r w:rsidRPr="007F7EED">
        <w:rPr>
          <w:rFonts w:cs="Times New Roman"/>
          <w:lang w:val="en-IN"/>
        </w:rPr>
        <w:t xml:space="preserve"> which an organisation uses its assets and manages its working capital to generate revenue (Kenton, 2022). The ratios are concerned with how fast the inventories are sold, receivables are collected, payables are paid, </w:t>
      </w:r>
      <w:r w:rsidR="00370CCC">
        <w:rPr>
          <w:rFonts w:cs="Times New Roman"/>
          <w:lang w:val="en-IN"/>
        </w:rPr>
        <w:t xml:space="preserve">and </w:t>
      </w:r>
      <w:r w:rsidRPr="007F7EED">
        <w:rPr>
          <w:rFonts w:cs="Times New Roman"/>
          <w:lang w:val="en-IN"/>
        </w:rPr>
        <w:t>assets are utili</w:t>
      </w:r>
      <w:r w:rsidR="00370CCC">
        <w:rPr>
          <w:rFonts w:cs="Times New Roman"/>
          <w:lang w:val="en-IN"/>
        </w:rPr>
        <w:t>s</w:t>
      </w:r>
      <w:r w:rsidRPr="007F7EED">
        <w:rPr>
          <w:rFonts w:cs="Times New Roman"/>
          <w:lang w:val="en-IN"/>
        </w:rPr>
        <w:t>ed to support the operations. In the case of Reckitt Benckiser, efficiency ratios are of special significance considering the size of the Group, its global supply chain, and the dependence on efficient working capital management</w:t>
      </w:r>
      <w:r w:rsidR="00EC7AAC" w:rsidRPr="00EC7AAC">
        <w:rPr>
          <w:rFonts w:cs="Times New Roman"/>
          <w:lang w:val="en-IN"/>
        </w:rPr>
        <w:t>.</w:t>
      </w:r>
      <w:r w:rsidR="00EC7AAC" w:rsidRPr="00577F2F">
        <w:rPr>
          <w:rFonts w:cs="Times New Roman"/>
          <w:lang w:val="en-IN"/>
        </w:rPr>
        <w:t xml:space="preserve"> </w:t>
      </w:r>
    </w:p>
    <w:p w14:paraId="6E39BCC2" w14:textId="184DC452" w:rsidR="00EC7AAC" w:rsidRPr="00577F2F" w:rsidRDefault="00EC7AAC" w:rsidP="00EC7AAC">
      <w:pPr>
        <w:pStyle w:val="Caption"/>
        <w:keepNext/>
        <w:rPr>
          <w:rFonts w:cs="Times New Roman"/>
        </w:rPr>
      </w:pPr>
      <w:r w:rsidRPr="00577F2F">
        <w:rPr>
          <w:rFonts w:cs="Times New Roman"/>
        </w:rPr>
        <w:t xml:space="preserve">Table </w:t>
      </w:r>
      <w:r w:rsidRPr="00577F2F">
        <w:rPr>
          <w:rFonts w:cs="Times New Roman"/>
        </w:rPr>
        <w:fldChar w:fldCharType="begin"/>
      </w:r>
      <w:r w:rsidRPr="00577F2F">
        <w:rPr>
          <w:rFonts w:cs="Times New Roman"/>
        </w:rPr>
        <w:instrText xml:space="preserve"> SEQ Table \* ARABIC </w:instrText>
      </w:r>
      <w:r w:rsidRPr="00577F2F">
        <w:rPr>
          <w:rFonts w:cs="Times New Roman"/>
        </w:rPr>
        <w:fldChar w:fldCharType="separate"/>
      </w:r>
      <w:r w:rsidR="00111A14" w:rsidRPr="00577F2F">
        <w:rPr>
          <w:rFonts w:cs="Times New Roman"/>
          <w:noProof/>
        </w:rPr>
        <w:t>4</w:t>
      </w:r>
      <w:r w:rsidRPr="00577F2F">
        <w:rPr>
          <w:rFonts w:cs="Times New Roman"/>
        </w:rPr>
        <w:fldChar w:fldCharType="end"/>
      </w:r>
      <w:r w:rsidRPr="00577F2F">
        <w:rPr>
          <w:rFonts w:cs="Times New Roman"/>
          <w:lang w:val="en-US"/>
        </w:rPr>
        <w:t>: Efficiency Ratio Calculation</w:t>
      </w:r>
    </w:p>
    <w:tbl>
      <w:tblPr>
        <w:tblStyle w:val="TableGrid"/>
        <w:tblW w:w="0" w:type="auto"/>
        <w:tblLook w:val="04A0" w:firstRow="1" w:lastRow="0" w:firstColumn="1" w:lastColumn="0" w:noHBand="0" w:noVBand="1"/>
      </w:tblPr>
      <w:tblGrid>
        <w:gridCol w:w="4601"/>
        <w:gridCol w:w="821"/>
        <w:gridCol w:w="821"/>
        <w:gridCol w:w="1316"/>
        <w:gridCol w:w="1081"/>
      </w:tblGrid>
      <w:tr w:rsidR="00EC7AAC" w:rsidRPr="00577F2F" w14:paraId="0EFB06E7" w14:textId="77777777" w:rsidTr="00EC7AAC">
        <w:trPr>
          <w:trHeight w:val="348"/>
        </w:trPr>
        <w:tc>
          <w:tcPr>
            <w:tcW w:w="8640" w:type="dxa"/>
            <w:gridSpan w:val="5"/>
            <w:noWrap/>
            <w:hideMark/>
          </w:tcPr>
          <w:p w14:paraId="02C65D6E" w14:textId="77777777" w:rsidR="00EC7AAC" w:rsidRPr="00577F2F" w:rsidRDefault="00EC7AAC" w:rsidP="00EC7AAC">
            <w:pPr>
              <w:jc w:val="center"/>
              <w:rPr>
                <w:rFonts w:cs="Times New Roman"/>
                <w:b/>
                <w:bCs/>
                <w:lang w:val="en-IN"/>
              </w:rPr>
            </w:pPr>
            <w:r w:rsidRPr="00577F2F">
              <w:rPr>
                <w:rFonts w:cs="Times New Roman"/>
                <w:b/>
                <w:bCs/>
              </w:rPr>
              <w:t>Efficiency Ratios</w:t>
            </w:r>
          </w:p>
        </w:tc>
      </w:tr>
      <w:tr w:rsidR="00EC7AAC" w:rsidRPr="00577F2F" w14:paraId="1BE76F47" w14:textId="77777777" w:rsidTr="00EC7AAC">
        <w:trPr>
          <w:trHeight w:val="312"/>
        </w:trPr>
        <w:tc>
          <w:tcPr>
            <w:tcW w:w="4601" w:type="dxa"/>
            <w:noWrap/>
            <w:hideMark/>
          </w:tcPr>
          <w:p w14:paraId="4F447967" w14:textId="77777777" w:rsidR="00EC7AAC" w:rsidRPr="00577F2F" w:rsidRDefault="00EC7AAC" w:rsidP="00EC7AAC">
            <w:pPr>
              <w:rPr>
                <w:rFonts w:cs="Times New Roman"/>
                <w:b/>
                <w:bCs/>
              </w:rPr>
            </w:pPr>
            <w:r w:rsidRPr="00577F2F">
              <w:rPr>
                <w:rFonts w:cs="Times New Roman"/>
                <w:b/>
                <w:bCs/>
              </w:rPr>
              <w:t>Ratios</w:t>
            </w:r>
          </w:p>
        </w:tc>
        <w:tc>
          <w:tcPr>
            <w:tcW w:w="821" w:type="dxa"/>
            <w:noWrap/>
            <w:hideMark/>
          </w:tcPr>
          <w:p w14:paraId="10F238B7" w14:textId="77777777" w:rsidR="00EC7AAC" w:rsidRPr="00577F2F" w:rsidRDefault="00EC7AAC" w:rsidP="00EC7AAC">
            <w:pPr>
              <w:rPr>
                <w:rFonts w:cs="Times New Roman"/>
                <w:b/>
                <w:bCs/>
              </w:rPr>
            </w:pPr>
            <w:r w:rsidRPr="00577F2F">
              <w:rPr>
                <w:rFonts w:cs="Times New Roman"/>
                <w:b/>
                <w:bCs/>
              </w:rPr>
              <w:t>2024</w:t>
            </w:r>
          </w:p>
        </w:tc>
        <w:tc>
          <w:tcPr>
            <w:tcW w:w="821" w:type="dxa"/>
            <w:noWrap/>
            <w:hideMark/>
          </w:tcPr>
          <w:p w14:paraId="37768538" w14:textId="77777777" w:rsidR="00EC7AAC" w:rsidRPr="00577F2F" w:rsidRDefault="00EC7AAC" w:rsidP="00EC7AAC">
            <w:pPr>
              <w:rPr>
                <w:rFonts w:cs="Times New Roman"/>
                <w:b/>
                <w:bCs/>
              </w:rPr>
            </w:pPr>
            <w:r w:rsidRPr="00577F2F">
              <w:rPr>
                <w:rFonts w:cs="Times New Roman"/>
                <w:b/>
                <w:bCs/>
              </w:rPr>
              <w:t>2023</w:t>
            </w:r>
          </w:p>
        </w:tc>
        <w:tc>
          <w:tcPr>
            <w:tcW w:w="1316" w:type="dxa"/>
            <w:noWrap/>
            <w:hideMark/>
          </w:tcPr>
          <w:p w14:paraId="58E18CC9" w14:textId="77777777" w:rsidR="00EC7AAC" w:rsidRPr="00577F2F" w:rsidRDefault="00EC7AAC" w:rsidP="00EC7AAC">
            <w:pPr>
              <w:rPr>
                <w:rFonts w:cs="Times New Roman"/>
                <w:b/>
                <w:bCs/>
              </w:rPr>
            </w:pPr>
            <w:r w:rsidRPr="00577F2F">
              <w:rPr>
                <w:rFonts w:cs="Times New Roman"/>
                <w:b/>
                <w:bCs/>
              </w:rPr>
              <w:t>Change</w:t>
            </w:r>
          </w:p>
        </w:tc>
        <w:tc>
          <w:tcPr>
            <w:tcW w:w="1081" w:type="dxa"/>
            <w:noWrap/>
            <w:hideMark/>
          </w:tcPr>
          <w:p w14:paraId="5FE2D3E2" w14:textId="77777777" w:rsidR="00EC7AAC" w:rsidRPr="00577F2F" w:rsidRDefault="00EC7AAC" w:rsidP="00EC7AAC">
            <w:pPr>
              <w:rPr>
                <w:rFonts w:cs="Times New Roman"/>
                <w:b/>
                <w:bCs/>
              </w:rPr>
            </w:pPr>
            <w:r w:rsidRPr="00577F2F">
              <w:rPr>
                <w:rFonts w:cs="Times New Roman"/>
                <w:b/>
                <w:bCs/>
              </w:rPr>
              <w:t>Trend</w:t>
            </w:r>
          </w:p>
        </w:tc>
      </w:tr>
      <w:tr w:rsidR="00EC7AAC" w:rsidRPr="00577F2F" w14:paraId="14E237C1" w14:textId="77777777" w:rsidTr="00EC7AAC">
        <w:trPr>
          <w:trHeight w:val="312"/>
        </w:trPr>
        <w:tc>
          <w:tcPr>
            <w:tcW w:w="4601" w:type="dxa"/>
            <w:noWrap/>
            <w:hideMark/>
          </w:tcPr>
          <w:p w14:paraId="18A4B908" w14:textId="77777777" w:rsidR="00EC7AAC" w:rsidRPr="00577F2F" w:rsidRDefault="00EC7AAC" w:rsidP="00EC7AAC">
            <w:pPr>
              <w:rPr>
                <w:rFonts w:cs="Times New Roman"/>
              </w:rPr>
            </w:pPr>
            <w:r w:rsidRPr="00577F2F">
              <w:rPr>
                <w:rFonts w:cs="Times New Roman"/>
              </w:rPr>
              <w:t>Inventory Turnover (Days)</w:t>
            </w:r>
          </w:p>
        </w:tc>
        <w:tc>
          <w:tcPr>
            <w:tcW w:w="821" w:type="dxa"/>
            <w:noWrap/>
            <w:hideMark/>
          </w:tcPr>
          <w:p w14:paraId="025B3144" w14:textId="77777777" w:rsidR="00EC7AAC" w:rsidRPr="00577F2F" w:rsidRDefault="00EC7AAC" w:rsidP="00EC7AAC">
            <w:pPr>
              <w:rPr>
                <w:rFonts w:cs="Times New Roman"/>
              </w:rPr>
            </w:pPr>
            <w:r w:rsidRPr="00577F2F">
              <w:rPr>
                <w:rFonts w:cs="Times New Roman"/>
              </w:rPr>
              <w:t>99</w:t>
            </w:r>
          </w:p>
        </w:tc>
        <w:tc>
          <w:tcPr>
            <w:tcW w:w="821" w:type="dxa"/>
            <w:noWrap/>
            <w:hideMark/>
          </w:tcPr>
          <w:p w14:paraId="7F7DAA82" w14:textId="77777777" w:rsidR="00EC7AAC" w:rsidRPr="00577F2F" w:rsidRDefault="00EC7AAC" w:rsidP="00EC7AAC">
            <w:pPr>
              <w:rPr>
                <w:rFonts w:cs="Times New Roman"/>
              </w:rPr>
            </w:pPr>
            <w:r w:rsidRPr="00577F2F">
              <w:rPr>
                <w:rFonts w:cs="Times New Roman"/>
              </w:rPr>
              <w:t>102</w:t>
            </w:r>
          </w:p>
        </w:tc>
        <w:tc>
          <w:tcPr>
            <w:tcW w:w="1316" w:type="dxa"/>
            <w:noWrap/>
            <w:hideMark/>
          </w:tcPr>
          <w:p w14:paraId="13032EE6" w14:textId="77777777" w:rsidR="00EC7AAC" w:rsidRPr="00577F2F" w:rsidRDefault="00EC7AAC" w:rsidP="00EC7AAC">
            <w:pPr>
              <w:rPr>
                <w:rFonts w:cs="Times New Roman"/>
              </w:rPr>
            </w:pPr>
            <w:r w:rsidRPr="00577F2F">
              <w:rPr>
                <w:rFonts w:cs="Times New Roman"/>
              </w:rPr>
              <w:t>-2.85</w:t>
            </w:r>
          </w:p>
        </w:tc>
        <w:tc>
          <w:tcPr>
            <w:tcW w:w="1081" w:type="dxa"/>
            <w:noWrap/>
            <w:hideMark/>
          </w:tcPr>
          <w:p w14:paraId="7C2AE6B9" w14:textId="77777777" w:rsidR="00EC7AAC" w:rsidRPr="00577F2F" w:rsidRDefault="00EC7AAC" w:rsidP="00EC7AAC">
            <w:pPr>
              <w:rPr>
                <w:rFonts w:cs="Times New Roman"/>
              </w:rPr>
            </w:pPr>
            <w:r w:rsidRPr="00577F2F">
              <w:rPr>
                <w:rFonts w:cs="Times New Roman"/>
              </w:rPr>
              <w:t>↓</w:t>
            </w:r>
          </w:p>
        </w:tc>
      </w:tr>
      <w:tr w:rsidR="00EC7AAC" w:rsidRPr="00577F2F" w14:paraId="6A59F707" w14:textId="77777777" w:rsidTr="00EC7AAC">
        <w:trPr>
          <w:trHeight w:val="312"/>
        </w:trPr>
        <w:tc>
          <w:tcPr>
            <w:tcW w:w="4601" w:type="dxa"/>
            <w:noWrap/>
            <w:hideMark/>
          </w:tcPr>
          <w:p w14:paraId="458193FF" w14:textId="77777777" w:rsidR="00EC7AAC" w:rsidRPr="00577F2F" w:rsidRDefault="00EC7AAC" w:rsidP="00EC7AAC">
            <w:pPr>
              <w:rPr>
                <w:rFonts w:cs="Times New Roman"/>
              </w:rPr>
            </w:pPr>
            <w:r w:rsidRPr="00577F2F">
              <w:rPr>
                <w:rFonts w:cs="Times New Roman"/>
              </w:rPr>
              <w:t>Receivables Turnover (Days)</w:t>
            </w:r>
          </w:p>
        </w:tc>
        <w:tc>
          <w:tcPr>
            <w:tcW w:w="821" w:type="dxa"/>
            <w:noWrap/>
            <w:hideMark/>
          </w:tcPr>
          <w:p w14:paraId="17176FE9" w14:textId="77777777" w:rsidR="00EC7AAC" w:rsidRPr="00577F2F" w:rsidRDefault="00EC7AAC" w:rsidP="00EC7AAC">
            <w:pPr>
              <w:rPr>
                <w:rFonts w:cs="Times New Roman"/>
              </w:rPr>
            </w:pPr>
            <w:r w:rsidRPr="00577F2F">
              <w:rPr>
                <w:rFonts w:cs="Times New Roman"/>
              </w:rPr>
              <w:t>54</w:t>
            </w:r>
          </w:p>
        </w:tc>
        <w:tc>
          <w:tcPr>
            <w:tcW w:w="821" w:type="dxa"/>
            <w:noWrap/>
            <w:hideMark/>
          </w:tcPr>
          <w:p w14:paraId="792D020D" w14:textId="77777777" w:rsidR="00EC7AAC" w:rsidRPr="00577F2F" w:rsidRDefault="00EC7AAC" w:rsidP="00EC7AAC">
            <w:pPr>
              <w:rPr>
                <w:rFonts w:cs="Times New Roman"/>
              </w:rPr>
            </w:pPr>
            <w:r w:rsidRPr="00577F2F">
              <w:rPr>
                <w:rFonts w:cs="Times New Roman"/>
              </w:rPr>
              <w:t>52</w:t>
            </w:r>
          </w:p>
        </w:tc>
        <w:tc>
          <w:tcPr>
            <w:tcW w:w="1316" w:type="dxa"/>
            <w:noWrap/>
            <w:hideMark/>
          </w:tcPr>
          <w:p w14:paraId="4EB4A6B5" w14:textId="77777777" w:rsidR="00EC7AAC" w:rsidRPr="00577F2F" w:rsidRDefault="00EC7AAC" w:rsidP="00EC7AAC">
            <w:pPr>
              <w:rPr>
                <w:rFonts w:cs="Times New Roman"/>
              </w:rPr>
            </w:pPr>
            <w:r w:rsidRPr="00577F2F">
              <w:rPr>
                <w:rFonts w:cs="Times New Roman"/>
              </w:rPr>
              <w:t>2.34</w:t>
            </w:r>
          </w:p>
        </w:tc>
        <w:tc>
          <w:tcPr>
            <w:tcW w:w="1081" w:type="dxa"/>
            <w:noWrap/>
            <w:hideMark/>
          </w:tcPr>
          <w:p w14:paraId="036C3C82" w14:textId="77777777" w:rsidR="00EC7AAC" w:rsidRPr="00577F2F" w:rsidRDefault="00EC7AAC" w:rsidP="00EC7AAC">
            <w:pPr>
              <w:rPr>
                <w:rFonts w:cs="Times New Roman"/>
              </w:rPr>
            </w:pPr>
            <w:r w:rsidRPr="00577F2F">
              <w:rPr>
                <w:rFonts w:cs="Times New Roman"/>
              </w:rPr>
              <w:t>↑</w:t>
            </w:r>
          </w:p>
        </w:tc>
      </w:tr>
      <w:tr w:rsidR="00EC7AAC" w:rsidRPr="00577F2F" w14:paraId="4AD9FC54" w14:textId="77777777" w:rsidTr="00EC7AAC">
        <w:trPr>
          <w:trHeight w:val="312"/>
        </w:trPr>
        <w:tc>
          <w:tcPr>
            <w:tcW w:w="4601" w:type="dxa"/>
            <w:noWrap/>
            <w:hideMark/>
          </w:tcPr>
          <w:p w14:paraId="1866C367" w14:textId="77777777" w:rsidR="00EC7AAC" w:rsidRPr="00577F2F" w:rsidRDefault="00EC7AAC" w:rsidP="00EC7AAC">
            <w:pPr>
              <w:rPr>
                <w:rFonts w:cs="Times New Roman"/>
              </w:rPr>
            </w:pPr>
            <w:r w:rsidRPr="00577F2F">
              <w:rPr>
                <w:rFonts w:cs="Times New Roman"/>
              </w:rPr>
              <w:t>Payables Turnover (Days)</w:t>
            </w:r>
          </w:p>
        </w:tc>
        <w:tc>
          <w:tcPr>
            <w:tcW w:w="821" w:type="dxa"/>
            <w:noWrap/>
            <w:hideMark/>
          </w:tcPr>
          <w:p w14:paraId="3963038F" w14:textId="77777777" w:rsidR="00EC7AAC" w:rsidRPr="00577F2F" w:rsidRDefault="00EC7AAC" w:rsidP="00EC7AAC">
            <w:pPr>
              <w:rPr>
                <w:rFonts w:cs="Times New Roman"/>
              </w:rPr>
            </w:pPr>
            <w:r w:rsidRPr="00577F2F">
              <w:rPr>
                <w:rFonts w:cs="Times New Roman"/>
              </w:rPr>
              <w:t>346</w:t>
            </w:r>
          </w:p>
        </w:tc>
        <w:tc>
          <w:tcPr>
            <w:tcW w:w="821" w:type="dxa"/>
            <w:noWrap/>
            <w:hideMark/>
          </w:tcPr>
          <w:p w14:paraId="268C672F" w14:textId="77777777" w:rsidR="00EC7AAC" w:rsidRPr="00577F2F" w:rsidRDefault="00EC7AAC" w:rsidP="00EC7AAC">
            <w:pPr>
              <w:rPr>
                <w:rFonts w:cs="Times New Roman"/>
              </w:rPr>
            </w:pPr>
            <w:r w:rsidRPr="00577F2F">
              <w:rPr>
                <w:rFonts w:cs="Times New Roman"/>
              </w:rPr>
              <w:t>344</w:t>
            </w:r>
          </w:p>
        </w:tc>
        <w:tc>
          <w:tcPr>
            <w:tcW w:w="1316" w:type="dxa"/>
            <w:noWrap/>
            <w:hideMark/>
          </w:tcPr>
          <w:p w14:paraId="735F2E91" w14:textId="77777777" w:rsidR="00EC7AAC" w:rsidRPr="00577F2F" w:rsidRDefault="00EC7AAC" w:rsidP="00EC7AAC">
            <w:pPr>
              <w:rPr>
                <w:rFonts w:cs="Times New Roman"/>
              </w:rPr>
            </w:pPr>
            <w:r w:rsidRPr="00577F2F">
              <w:rPr>
                <w:rFonts w:cs="Times New Roman"/>
              </w:rPr>
              <w:t>2.76</w:t>
            </w:r>
          </w:p>
        </w:tc>
        <w:tc>
          <w:tcPr>
            <w:tcW w:w="1081" w:type="dxa"/>
            <w:noWrap/>
            <w:hideMark/>
          </w:tcPr>
          <w:p w14:paraId="258A6F3B" w14:textId="77777777" w:rsidR="00EC7AAC" w:rsidRPr="00577F2F" w:rsidRDefault="00EC7AAC" w:rsidP="00EC7AAC">
            <w:pPr>
              <w:rPr>
                <w:rFonts w:cs="Times New Roman"/>
              </w:rPr>
            </w:pPr>
            <w:r w:rsidRPr="00577F2F">
              <w:rPr>
                <w:rFonts w:cs="Times New Roman"/>
              </w:rPr>
              <w:t>↑</w:t>
            </w:r>
          </w:p>
        </w:tc>
      </w:tr>
      <w:tr w:rsidR="00EC7AAC" w:rsidRPr="00577F2F" w14:paraId="04E996A5" w14:textId="77777777" w:rsidTr="00EC7AAC">
        <w:trPr>
          <w:trHeight w:val="312"/>
        </w:trPr>
        <w:tc>
          <w:tcPr>
            <w:tcW w:w="4601" w:type="dxa"/>
            <w:noWrap/>
            <w:hideMark/>
          </w:tcPr>
          <w:p w14:paraId="27B210D0" w14:textId="77777777" w:rsidR="00EC7AAC" w:rsidRPr="00577F2F" w:rsidRDefault="00EC7AAC" w:rsidP="00EC7AAC">
            <w:pPr>
              <w:rPr>
                <w:rFonts w:cs="Times New Roman"/>
              </w:rPr>
            </w:pPr>
            <w:r w:rsidRPr="00577F2F">
              <w:rPr>
                <w:rFonts w:cs="Times New Roman"/>
              </w:rPr>
              <w:t>Asset Turnover</w:t>
            </w:r>
          </w:p>
        </w:tc>
        <w:tc>
          <w:tcPr>
            <w:tcW w:w="821" w:type="dxa"/>
            <w:noWrap/>
            <w:hideMark/>
          </w:tcPr>
          <w:p w14:paraId="753BBD6C" w14:textId="77777777" w:rsidR="00EC7AAC" w:rsidRPr="00577F2F" w:rsidRDefault="00EC7AAC" w:rsidP="00EC7AAC">
            <w:pPr>
              <w:rPr>
                <w:rFonts w:cs="Times New Roman"/>
              </w:rPr>
            </w:pPr>
            <w:r w:rsidRPr="00577F2F">
              <w:rPr>
                <w:rFonts w:cs="Times New Roman"/>
              </w:rPr>
              <w:t>0.56</w:t>
            </w:r>
          </w:p>
        </w:tc>
        <w:tc>
          <w:tcPr>
            <w:tcW w:w="821" w:type="dxa"/>
            <w:noWrap/>
            <w:hideMark/>
          </w:tcPr>
          <w:p w14:paraId="0FDECB7A" w14:textId="77777777" w:rsidR="00EC7AAC" w:rsidRPr="00577F2F" w:rsidRDefault="00EC7AAC" w:rsidP="00EC7AAC">
            <w:pPr>
              <w:rPr>
                <w:rFonts w:cs="Times New Roman"/>
              </w:rPr>
            </w:pPr>
            <w:r w:rsidRPr="00577F2F">
              <w:rPr>
                <w:rFonts w:cs="Times New Roman"/>
              </w:rPr>
              <w:t>0.54</w:t>
            </w:r>
          </w:p>
        </w:tc>
        <w:tc>
          <w:tcPr>
            <w:tcW w:w="1316" w:type="dxa"/>
            <w:noWrap/>
            <w:hideMark/>
          </w:tcPr>
          <w:p w14:paraId="7130C8E1" w14:textId="77777777" w:rsidR="00EC7AAC" w:rsidRPr="00577F2F" w:rsidRDefault="00EC7AAC" w:rsidP="00EC7AAC">
            <w:pPr>
              <w:rPr>
                <w:rFonts w:cs="Times New Roman"/>
              </w:rPr>
            </w:pPr>
            <w:r w:rsidRPr="00577F2F">
              <w:rPr>
                <w:rFonts w:cs="Times New Roman"/>
              </w:rPr>
              <w:t>0.02</w:t>
            </w:r>
          </w:p>
        </w:tc>
        <w:tc>
          <w:tcPr>
            <w:tcW w:w="1081" w:type="dxa"/>
            <w:noWrap/>
            <w:hideMark/>
          </w:tcPr>
          <w:p w14:paraId="77975D77" w14:textId="77777777" w:rsidR="00EC7AAC" w:rsidRPr="00577F2F" w:rsidRDefault="00EC7AAC" w:rsidP="00EC7AAC">
            <w:pPr>
              <w:rPr>
                <w:rFonts w:cs="Times New Roman"/>
              </w:rPr>
            </w:pPr>
            <w:r w:rsidRPr="00577F2F">
              <w:rPr>
                <w:rFonts w:cs="Times New Roman"/>
              </w:rPr>
              <w:t>↑</w:t>
            </w:r>
          </w:p>
        </w:tc>
      </w:tr>
      <w:tr w:rsidR="00EC7AAC" w:rsidRPr="00577F2F" w14:paraId="0300E3EF" w14:textId="77777777" w:rsidTr="00EC7AAC">
        <w:trPr>
          <w:trHeight w:val="312"/>
        </w:trPr>
        <w:tc>
          <w:tcPr>
            <w:tcW w:w="4601" w:type="dxa"/>
            <w:noWrap/>
            <w:hideMark/>
          </w:tcPr>
          <w:p w14:paraId="1044E786" w14:textId="77777777" w:rsidR="00EC7AAC" w:rsidRPr="00577F2F" w:rsidRDefault="00EC7AAC" w:rsidP="00EC7AAC">
            <w:pPr>
              <w:rPr>
                <w:rFonts w:cs="Times New Roman"/>
              </w:rPr>
            </w:pPr>
            <w:r w:rsidRPr="00577F2F">
              <w:rPr>
                <w:rFonts w:cs="Times New Roman"/>
              </w:rPr>
              <w:t>Fixed Asset Turnover</w:t>
            </w:r>
          </w:p>
        </w:tc>
        <w:tc>
          <w:tcPr>
            <w:tcW w:w="821" w:type="dxa"/>
            <w:noWrap/>
            <w:hideMark/>
          </w:tcPr>
          <w:p w14:paraId="3E72C045" w14:textId="77777777" w:rsidR="00EC7AAC" w:rsidRPr="00577F2F" w:rsidRDefault="00EC7AAC" w:rsidP="00EC7AAC">
            <w:pPr>
              <w:rPr>
                <w:rFonts w:cs="Times New Roman"/>
              </w:rPr>
            </w:pPr>
            <w:r w:rsidRPr="00577F2F">
              <w:rPr>
                <w:rFonts w:cs="Times New Roman"/>
              </w:rPr>
              <w:t>0.68</w:t>
            </w:r>
          </w:p>
        </w:tc>
        <w:tc>
          <w:tcPr>
            <w:tcW w:w="821" w:type="dxa"/>
            <w:noWrap/>
            <w:hideMark/>
          </w:tcPr>
          <w:p w14:paraId="5346E092" w14:textId="77777777" w:rsidR="00EC7AAC" w:rsidRPr="00577F2F" w:rsidRDefault="00EC7AAC" w:rsidP="00EC7AAC">
            <w:pPr>
              <w:rPr>
                <w:rFonts w:cs="Times New Roman"/>
              </w:rPr>
            </w:pPr>
            <w:r w:rsidRPr="00577F2F">
              <w:rPr>
                <w:rFonts w:cs="Times New Roman"/>
              </w:rPr>
              <w:t>0.67</w:t>
            </w:r>
          </w:p>
        </w:tc>
        <w:tc>
          <w:tcPr>
            <w:tcW w:w="1316" w:type="dxa"/>
            <w:noWrap/>
            <w:hideMark/>
          </w:tcPr>
          <w:p w14:paraId="61222225" w14:textId="77777777" w:rsidR="00EC7AAC" w:rsidRPr="00577F2F" w:rsidRDefault="00EC7AAC" w:rsidP="00EC7AAC">
            <w:pPr>
              <w:rPr>
                <w:rFonts w:cs="Times New Roman"/>
              </w:rPr>
            </w:pPr>
            <w:r w:rsidRPr="00577F2F">
              <w:rPr>
                <w:rFonts w:cs="Times New Roman"/>
              </w:rPr>
              <w:t>0.02</w:t>
            </w:r>
          </w:p>
        </w:tc>
        <w:tc>
          <w:tcPr>
            <w:tcW w:w="1081" w:type="dxa"/>
            <w:noWrap/>
            <w:hideMark/>
          </w:tcPr>
          <w:p w14:paraId="7584CEDD" w14:textId="77777777" w:rsidR="00EC7AAC" w:rsidRPr="00577F2F" w:rsidRDefault="00EC7AAC" w:rsidP="00EC7AAC">
            <w:pPr>
              <w:rPr>
                <w:rFonts w:cs="Times New Roman"/>
              </w:rPr>
            </w:pPr>
            <w:r w:rsidRPr="00577F2F">
              <w:rPr>
                <w:rFonts w:cs="Times New Roman"/>
              </w:rPr>
              <w:t>↑</w:t>
            </w:r>
          </w:p>
        </w:tc>
      </w:tr>
    </w:tbl>
    <w:p w14:paraId="429A595C" w14:textId="77777777" w:rsidR="00EC7AAC" w:rsidRPr="00577F2F" w:rsidRDefault="00EC7AAC" w:rsidP="00EC7AAC">
      <w:pPr>
        <w:rPr>
          <w:rFonts w:cs="Times New Roman"/>
          <w:lang w:val="en-IN"/>
        </w:rPr>
      </w:pPr>
    </w:p>
    <w:p w14:paraId="32AC5699" w14:textId="385F422E" w:rsidR="00EC7AAC" w:rsidRPr="00577F2F" w:rsidRDefault="007F7EED" w:rsidP="00EC7AAC">
      <w:pPr>
        <w:rPr>
          <w:rFonts w:cs="Times New Roman"/>
          <w:lang w:val="en-IN"/>
        </w:rPr>
      </w:pPr>
      <w:r w:rsidRPr="007F7EED">
        <w:rPr>
          <w:rFonts w:cs="Times New Roman"/>
          <w:lang w:val="en-IN"/>
        </w:rPr>
        <w:t xml:space="preserve">The results of the efficiency ratios used in the table provided above and plotted in the graph below reveal that there was an overall increase in operational efficiency in 2024, but there are certain areas that are emerging with pressure. It also saw </w:t>
      </w:r>
      <w:r w:rsidR="00370CCC">
        <w:rPr>
          <w:rFonts w:cs="Times New Roman"/>
          <w:lang w:val="en-IN"/>
        </w:rPr>
        <w:t>an</w:t>
      </w:r>
      <w:r w:rsidRPr="007F7EED">
        <w:rPr>
          <w:rFonts w:cs="Times New Roman"/>
          <w:lang w:val="en-IN"/>
        </w:rPr>
        <w:t xml:space="preserve"> improvement in inventory turnover, as the inventory days dropped to 99 days. This implies improved inventory management, which may result in </w:t>
      </w:r>
      <w:r w:rsidR="00370CCC">
        <w:rPr>
          <w:rFonts w:cs="Times New Roman"/>
          <w:lang w:val="en-IN"/>
        </w:rPr>
        <w:t>an</w:t>
      </w:r>
      <w:r w:rsidRPr="007F7EED">
        <w:rPr>
          <w:rFonts w:cs="Times New Roman"/>
          <w:lang w:val="en-IN"/>
        </w:rPr>
        <w:t xml:space="preserve"> increase in demand forecasting, supply chain optimisation, and </w:t>
      </w:r>
      <w:r w:rsidR="00370CCC">
        <w:rPr>
          <w:rFonts w:cs="Times New Roman"/>
          <w:lang w:val="en-IN"/>
        </w:rPr>
        <w:t xml:space="preserve">a </w:t>
      </w:r>
      <w:r w:rsidRPr="007F7EED">
        <w:rPr>
          <w:rFonts w:cs="Times New Roman"/>
          <w:lang w:val="en-IN"/>
        </w:rPr>
        <w:t xml:space="preserve">decrease in </w:t>
      </w:r>
      <w:r w:rsidR="003275E1">
        <w:rPr>
          <w:rFonts w:cs="Times New Roman"/>
          <w:lang w:val="en-IN"/>
        </w:rPr>
        <w:t xml:space="preserve">form </w:t>
      </w:r>
      <w:r w:rsidRPr="007F7EED">
        <w:rPr>
          <w:rFonts w:cs="Times New Roman"/>
          <w:lang w:val="en-IN"/>
        </w:rPr>
        <w:t xml:space="preserve">excess inventory after the normalisation post-pandemic (Rakholia et al., 2025). </w:t>
      </w:r>
      <w:r w:rsidR="003275E1">
        <w:rPr>
          <w:rFonts w:cs="Times New Roman"/>
          <w:lang w:val="en-IN"/>
        </w:rPr>
        <w:t>Better</w:t>
      </w:r>
      <w:r w:rsidRPr="007F7EED">
        <w:rPr>
          <w:rFonts w:cs="Times New Roman"/>
          <w:lang w:val="en-IN"/>
        </w:rPr>
        <w:t xml:space="preserve"> inventory management also helps in increasing the cash flow by lowering the amount of funds held as inventory. In comparison, the days outstanding receivables went to 54</w:t>
      </w:r>
      <w:r w:rsidR="003275E1">
        <w:rPr>
          <w:rFonts w:cs="Times New Roman"/>
          <w:lang w:val="en-IN"/>
        </w:rPr>
        <w:t xml:space="preserve"> from</w:t>
      </w:r>
      <w:r w:rsidRPr="007F7EED">
        <w:rPr>
          <w:rFonts w:cs="Times New Roman"/>
          <w:lang w:val="en-IN"/>
        </w:rPr>
        <w:t xml:space="preserve"> 52 days, which means that there was a minor decrease in the collection of the customers (Highradius, 2022). This can be an indication of more liberal credit facilities that may be provided to the </w:t>
      </w:r>
      <w:r w:rsidRPr="007F7EED">
        <w:rPr>
          <w:rFonts w:cs="Times New Roman"/>
          <w:lang w:val="en-IN"/>
        </w:rPr>
        <w:lastRenderedPageBreak/>
        <w:t>retailers or distributors in a competitive business climate, especially in the emerging markets where expansion continues to be a certain strategic focus. Although the improvement is not quite significant, it somewhat deteriorates the cash conversion efficiency and is to be observed attentively. The number of days to payables went up to 344 days and then 346 days</w:t>
      </w:r>
      <w:r w:rsidR="003275E1">
        <w:rPr>
          <w:rFonts w:cs="Times New Roman"/>
          <w:lang w:val="en-IN"/>
        </w:rPr>
        <w:t>,</w:t>
      </w:r>
      <w:r w:rsidRPr="007F7EED">
        <w:rPr>
          <w:rFonts w:cs="Times New Roman"/>
          <w:lang w:val="en-IN"/>
        </w:rPr>
        <w:t xml:space="preserve"> with the Group having more days to pay to suppliers. It is a better short-term liquidity strategy and also cash flow-enhancing, but it can also indicate increased bargaining power over suppliers because of the size and brand equity of Reckitt. Nevertheless, </w:t>
      </w:r>
      <w:r w:rsidR="003275E1">
        <w:rPr>
          <w:rFonts w:cs="Times New Roman"/>
          <w:lang w:val="en-IN"/>
        </w:rPr>
        <w:t>overdependence</w:t>
      </w:r>
      <w:r w:rsidRPr="007F7EED">
        <w:rPr>
          <w:rFonts w:cs="Times New Roman"/>
          <w:lang w:val="en-IN"/>
        </w:rPr>
        <w:t xml:space="preserve"> on supplier credit may worsen the relationship with suppliers in case of prolonged use (Zhang, Ji and Zhang, 2025</w:t>
      </w:r>
      <w:r w:rsidR="003323AC" w:rsidRPr="003323AC">
        <w:rPr>
          <w:rFonts w:cs="Times New Roman"/>
          <w:lang w:val="en-IN"/>
        </w:rPr>
        <w:t>)</w:t>
      </w:r>
      <w:r w:rsidR="00EC7AAC" w:rsidRPr="00EC7AAC">
        <w:rPr>
          <w:rFonts w:cs="Times New Roman"/>
          <w:lang w:val="en-IN"/>
        </w:rPr>
        <w:t>.</w:t>
      </w:r>
    </w:p>
    <w:p w14:paraId="3F9DD919" w14:textId="77777777" w:rsidR="00EC7AAC" w:rsidRPr="00577F2F" w:rsidRDefault="00EC7AAC" w:rsidP="00EC7AAC">
      <w:pPr>
        <w:keepNext/>
        <w:jc w:val="center"/>
        <w:rPr>
          <w:rFonts w:cs="Times New Roman"/>
        </w:rPr>
      </w:pPr>
      <w:r w:rsidRPr="00577F2F">
        <w:rPr>
          <w:rFonts w:cs="Times New Roman"/>
          <w:noProof/>
          <w14:ligatures w14:val="standardContextual"/>
        </w:rPr>
        <w:drawing>
          <wp:inline distT="0" distB="0" distL="0" distR="0" wp14:anchorId="22466872" wp14:editId="68DBED9E">
            <wp:extent cx="4572000" cy="2743200"/>
            <wp:effectExtent l="0" t="0" r="0" b="0"/>
            <wp:docPr id="670840656" name="Chart 1">
              <a:extLst xmlns:a="http://schemas.openxmlformats.org/drawingml/2006/main">
                <a:ext uri="{FF2B5EF4-FFF2-40B4-BE49-F238E27FC236}">
                  <a16:creationId xmlns:a16="http://schemas.microsoft.com/office/drawing/2014/main" id="{13DFD402-E9B6-6179-FBEF-000EC3F7FCA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C907937" w14:textId="71DAD8EC" w:rsidR="00EC7AAC" w:rsidRPr="00577F2F" w:rsidRDefault="00EC7AAC" w:rsidP="00EC7AAC">
      <w:pPr>
        <w:pStyle w:val="Caption"/>
        <w:jc w:val="center"/>
        <w:rPr>
          <w:rFonts w:cs="Times New Roman"/>
          <w:lang w:val="en-IN"/>
        </w:rPr>
      </w:pPr>
      <w:r w:rsidRPr="00577F2F">
        <w:rPr>
          <w:rFonts w:cs="Times New Roman"/>
        </w:rPr>
        <w:t xml:space="preserve">Figure </w:t>
      </w:r>
      <w:r w:rsidRPr="00577F2F">
        <w:rPr>
          <w:rFonts w:cs="Times New Roman"/>
        </w:rPr>
        <w:fldChar w:fldCharType="begin"/>
      </w:r>
      <w:r w:rsidRPr="00577F2F">
        <w:rPr>
          <w:rFonts w:cs="Times New Roman"/>
        </w:rPr>
        <w:instrText xml:space="preserve"> SEQ Figure \* ARABIC </w:instrText>
      </w:r>
      <w:r w:rsidRPr="00577F2F">
        <w:rPr>
          <w:rFonts w:cs="Times New Roman"/>
        </w:rPr>
        <w:fldChar w:fldCharType="separate"/>
      </w:r>
      <w:r w:rsidR="00034F33">
        <w:rPr>
          <w:rFonts w:cs="Times New Roman"/>
          <w:noProof/>
        </w:rPr>
        <w:t>4</w:t>
      </w:r>
      <w:r w:rsidRPr="00577F2F">
        <w:rPr>
          <w:rFonts w:cs="Times New Roman"/>
        </w:rPr>
        <w:fldChar w:fldCharType="end"/>
      </w:r>
      <w:r w:rsidRPr="00577F2F">
        <w:rPr>
          <w:rFonts w:cs="Times New Roman"/>
          <w:lang w:val="en-US"/>
        </w:rPr>
        <w:t>: Efficiency Ratio Analysis</w:t>
      </w:r>
    </w:p>
    <w:p w14:paraId="43C8BBAE" w14:textId="7A35B2F0" w:rsidR="00EC7AAC" w:rsidRPr="00577F2F" w:rsidRDefault="007F7EED" w:rsidP="00EC7AAC">
      <w:pPr>
        <w:rPr>
          <w:rFonts w:cs="Times New Roman"/>
          <w:lang w:val="en-IN"/>
        </w:rPr>
      </w:pPr>
      <w:r w:rsidRPr="007F7EED">
        <w:rPr>
          <w:rFonts w:cs="Times New Roman"/>
          <w:lang w:val="en-IN"/>
        </w:rPr>
        <w:t>In 2024, there was better utilisation of assets</w:t>
      </w:r>
      <w:r>
        <w:rPr>
          <w:rFonts w:cs="Times New Roman"/>
          <w:lang w:val="en-IN"/>
        </w:rPr>
        <w:t>,</w:t>
      </w:r>
      <w:r w:rsidRPr="007F7EED">
        <w:rPr>
          <w:rFonts w:cs="Times New Roman"/>
          <w:lang w:val="en-IN"/>
        </w:rPr>
        <w:t xml:space="preserve"> and the assets turnover turned to 0.54 to 0.56 times</w:t>
      </w:r>
      <w:r>
        <w:rPr>
          <w:rFonts w:cs="Times New Roman"/>
          <w:lang w:val="en-IN"/>
        </w:rPr>
        <w:t>,</w:t>
      </w:r>
      <w:r w:rsidRPr="007F7EED">
        <w:rPr>
          <w:rFonts w:cs="Times New Roman"/>
          <w:lang w:val="en-IN"/>
        </w:rPr>
        <w:t xml:space="preserve"> and the fixed assets turnover turned to 0.67 to 0.68 times. These advancements show that the Group had a higher revenue per pound invested in total assets and non-current assets</w:t>
      </w:r>
      <w:r>
        <w:rPr>
          <w:rFonts w:cs="Times New Roman"/>
          <w:lang w:val="en-IN"/>
        </w:rPr>
        <w:t xml:space="preserve"> </w:t>
      </w:r>
      <w:r w:rsidRPr="007F7EED">
        <w:rPr>
          <w:rFonts w:cs="Times New Roman"/>
          <w:lang w:val="en-IN"/>
        </w:rPr>
        <w:t xml:space="preserve">(Hayes, 2021). This indicates enhanced efficiency of </w:t>
      </w:r>
      <w:r>
        <w:rPr>
          <w:rFonts w:cs="Times New Roman"/>
          <w:lang w:val="en-IN"/>
        </w:rPr>
        <w:t xml:space="preserve">the </w:t>
      </w:r>
      <w:r w:rsidRPr="007F7EED">
        <w:rPr>
          <w:rFonts w:cs="Times New Roman"/>
          <w:lang w:val="en-IN"/>
        </w:rPr>
        <w:t xml:space="preserve">asset base, which may be indicative of gains </w:t>
      </w:r>
      <w:r>
        <w:rPr>
          <w:rFonts w:cs="Times New Roman"/>
          <w:lang w:val="en-IN"/>
        </w:rPr>
        <w:t>from</w:t>
      </w:r>
      <w:r w:rsidRPr="007F7EED">
        <w:rPr>
          <w:rFonts w:cs="Times New Roman"/>
          <w:lang w:val="en-IN"/>
        </w:rPr>
        <w:t xml:space="preserve"> new operational restructuring and more effective </w:t>
      </w:r>
      <w:r>
        <w:rPr>
          <w:rFonts w:cs="Times New Roman"/>
          <w:lang w:val="en-IN"/>
        </w:rPr>
        <w:t>utilisation</w:t>
      </w:r>
      <w:r w:rsidRPr="007F7EED">
        <w:rPr>
          <w:rFonts w:cs="Times New Roman"/>
          <w:lang w:val="en-IN"/>
        </w:rPr>
        <w:t xml:space="preserve"> of production facilities and intangible assets. In general, the efficiency ratios show that Reckitt has increased operational efficiency and working capital management in 2024 (Rahmiyati et al., 2024). Nonetheless, the inconsistency between the enhancement of the inventory and the slowness of the receivables collection implies the necessity to maintain the balance between the further growth strategies and the financial discipline to ensure the long-term financial effectiveness</w:t>
      </w:r>
      <w:r w:rsidR="00EC7AAC" w:rsidRPr="00577F2F">
        <w:rPr>
          <w:rFonts w:cs="Times New Roman"/>
          <w:lang w:val="en-IN"/>
        </w:rPr>
        <w:t>.</w:t>
      </w:r>
    </w:p>
    <w:p w14:paraId="29526B29" w14:textId="39B99BA0" w:rsidR="00111A14" w:rsidRPr="00577F2F" w:rsidRDefault="00111A14" w:rsidP="000647E1">
      <w:pPr>
        <w:pStyle w:val="ListParagraph"/>
        <w:numPr>
          <w:ilvl w:val="0"/>
          <w:numId w:val="1"/>
        </w:numPr>
        <w:rPr>
          <w:rFonts w:cs="Times New Roman"/>
          <w:b/>
          <w:bCs/>
          <w:lang w:val="en-IN"/>
        </w:rPr>
      </w:pPr>
      <w:r w:rsidRPr="00577F2F">
        <w:rPr>
          <w:rFonts w:cs="Times New Roman"/>
          <w:b/>
          <w:bCs/>
          <w:lang w:val="en-IN"/>
        </w:rPr>
        <w:t>Investment Ratio Analysis</w:t>
      </w:r>
      <w:r w:rsidR="000647E1" w:rsidRPr="00577F2F">
        <w:rPr>
          <w:rFonts w:cs="Times New Roman"/>
          <w:b/>
          <w:bCs/>
          <w:lang w:val="en-IN"/>
        </w:rPr>
        <w:t xml:space="preserve"> (See Detailed Calculation in </w:t>
      </w:r>
      <w:hyperlink w:anchor="_Appendix_C:_Detailed" w:history="1">
        <w:r w:rsidR="000647E1" w:rsidRPr="00577F2F">
          <w:rPr>
            <w:rStyle w:val="Hyperlink"/>
            <w:rFonts w:cs="Times New Roman"/>
            <w:b/>
            <w:bCs/>
            <w:lang w:val="en-IN"/>
          </w:rPr>
          <w:t>Appendix C</w:t>
        </w:r>
      </w:hyperlink>
      <w:r w:rsidR="000647E1" w:rsidRPr="00577F2F">
        <w:rPr>
          <w:rFonts w:cs="Times New Roman"/>
          <w:b/>
          <w:bCs/>
          <w:lang w:val="en-IN"/>
        </w:rPr>
        <w:t>)</w:t>
      </w:r>
    </w:p>
    <w:p w14:paraId="59E5C322" w14:textId="377F6885" w:rsidR="00111A14" w:rsidRPr="00577F2F" w:rsidRDefault="007F7EED" w:rsidP="00111A14">
      <w:pPr>
        <w:rPr>
          <w:rFonts w:cs="Times New Roman"/>
          <w:lang w:val="en-IN"/>
        </w:rPr>
      </w:pPr>
      <w:r w:rsidRPr="007F7EED">
        <w:rPr>
          <w:rFonts w:cs="Times New Roman"/>
          <w:lang w:val="en-IN"/>
        </w:rPr>
        <w:lastRenderedPageBreak/>
        <w:t xml:space="preserve">Investment ratios help to evaluate the appeal of a company by a shareholder and they measure earnings, market value and returns on income (Morris, 2011). These ratios are of special interest to the directors since the ratios indicate how </w:t>
      </w:r>
      <w:r w:rsidR="003275E1">
        <w:rPr>
          <w:rFonts w:cs="Times New Roman"/>
          <w:lang w:val="en-IN"/>
        </w:rPr>
        <w:t xml:space="preserve">the </w:t>
      </w:r>
      <w:r w:rsidRPr="007F7EED">
        <w:rPr>
          <w:rFonts w:cs="Times New Roman"/>
          <w:lang w:val="en-IN"/>
        </w:rPr>
        <w:t xml:space="preserve">market views the performance of the company, the growth opportunities and </w:t>
      </w:r>
      <w:r w:rsidR="003275E1">
        <w:rPr>
          <w:rFonts w:cs="Times New Roman"/>
          <w:lang w:val="en-IN"/>
        </w:rPr>
        <w:t xml:space="preserve">the </w:t>
      </w:r>
      <w:r w:rsidRPr="007F7EED">
        <w:rPr>
          <w:rFonts w:cs="Times New Roman"/>
          <w:lang w:val="en-IN"/>
        </w:rPr>
        <w:t>risk profile of the company. In the case of Reckitt Benckiser, the investment ratios help to understand the shareholder value creation in the period of strategic transition</w:t>
      </w:r>
      <w:r w:rsidR="00111A14" w:rsidRPr="00111A14">
        <w:rPr>
          <w:rFonts w:cs="Times New Roman"/>
          <w:lang w:val="en-IN"/>
        </w:rPr>
        <w:t>.</w:t>
      </w:r>
    </w:p>
    <w:p w14:paraId="3307DE01" w14:textId="704C7044" w:rsidR="00111A14" w:rsidRPr="00577F2F" w:rsidRDefault="00111A14" w:rsidP="00111A14">
      <w:pPr>
        <w:pStyle w:val="Caption"/>
        <w:keepNext/>
        <w:rPr>
          <w:rFonts w:cs="Times New Roman"/>
        </w:rPr>
      </w:pPr>
      <w:r w:rsidRPr="00577F2F">
        <w:rPr>
          <w:rFonts w:cs="Times New Roman"/>
        </w:rPr>
        <w:t xml:space="preserve">Table </w:t>
      </w:r>
      <w:r w:rsidRPr="00577F2F">
        <w:rPr>
          <w:rFonts w:cs="Times New Roman"/>
        </w:rPr>
        <w:fldChar w:fldCharType="begin"/>
      </w:r>
      <w:r w:rsidRPr="00577F2F">
        <w:rPr>
          <w:rFonts w:cs="Times New Roman"/>
        </w:rPr>
        <w:instrText xml:space="preserve"> SEQ Table \* ARABIC </w:instrText>
      </w:r>
      <w:r w:rsidRPr="00577F2F">
        <w:rPr>
          <w:rFonts w:cs="Times New Roman"/>
        </w:rPr>
        <w:fldChar w:fldCharType="separate"/>
      </w:r>
      <w:r w:rsidRPr="00577F2F">
        <w:rPr>
          <w:rFonts w:cs="Times New Roman"/>
          <w:noProof/>
        </w:rPr>
        <w:t>5</w:t>
      </w:r>
      <w:r w:rsidRPr="00577F2F">
        <w:rPr>
          <w:rFonts w:cs="Times New Roman"/>
        </w:rPr>
        <w:fldChar w:fldCharType="end"/>
      </w:r>
      <w:r w:rsidRPr="00577F2F">
        <w:rPr>
          <w:rFonts w:cs="Times New Roman"/>
          <w:lang w:val="en-US"/>
        </w:rPr>
        <w:t>: Investment Ratio Calculation</w:t>
      </w:r>
    </w:p>
    <w:tbl>
      <w:tblPr>
        <w:tblStyle w:val="TableGrid"/>
        <w:tblW w:w="0" w:type="auto"/>
        <w:jc w:val="center"/>
        <w:tblLook w:val="04A0" w:firstRow="1" w:lastRow="0" w:firstColumn="1" w:lastColumn="0" w:noHBand="0" w:noVBand="1"/>
      </w:tblPr>
      <w:tblGrid>
        <w:gridCol w:w="4888"/>
        <w:gridCol w:w="814"/>
        <w:gridCol w:w="814"/>
        <w:gridCol w:w="1167"/>
        <w:gridCol w:w="958"/>
      </w:tblGrid>
      <w:tr w:rsidR="00111A14" w:rsidRPr="00577F2F" w14:paraId="14B3C4D7" w14:textId="77777777" w:rsidTr="00111A14">
        <w:trPr>
          <w:trHeight w:val="348"/>
          <w:jc w:val="center"/>
        </w:trPr>
        <w:tc>
          <w:tcPr>
            <w:tcW w:w="8641" w:type="dxa"/>
            <w:gridSpan w:val="5"/>
            <w:noWrap/>
            <w:hideMark/>
          </w:tcPr>
          <w:p w14:paraId="1552632F" w14:textId="77777777" w:rsidR="00111A14" w:rsidRPr="00577F2F" w:rsidRDefault="00111A14" w:rsidP="00111A14">
            <w:pPr>
              <w:jc w:val="center"/>
              <w:rPr>
                <w:rFonts w:cs="Times New Roman"/>
                <w:b/>
                <w:bCs/>
                <w:lang w:val="en-IN"/>
              </w:rPr>
            </w:pPr>
            <w:r w:rsidRPr="00577F2F">
              <w:rPr>
                <w:rFonts w:cs="Times New Roman"/>
                <w:b/>
                <w:bCs/>
              </w:rPr>
              <w:t>Investment Ratios</w:t>
            </w:r>
          </w:p>
        </w:tc>
      </w:tr>
      <w:tr w:rsidR="00111A14" w:rsidRPr="00577F2F" w14:paraId="77AC7285" w14:textId="77777777" w:rsidTr="00111A14">
        <w:trPr>
          <w:trHeight w:val="312"/>
          <w:jc w:val="center"/>
        </w:trPr>
        <w:tc>
          <w:tcPr>
            <w:tcW w:w="4888" w:type="dxa"/>
            <w:noWrap/>
            <w:hideMark/>
          </w:tcPr>
          <w:p w14:paraId="4F931983" w14:textId="77777777" w:rsidR="00111A14" w:rsidRPr="00577F2F" w:rsidRDefault="00111A14" w:rsidP="00111A14">
            <w:pPr>
              <w:rPr>
                <w:rFonts w:cs="Times New Roman"/>
                <w:b/>
                <w:bCs/>
              </w:rPr>
            </w:pPr>
            <w:r w:rsidRPr="00577F2F">
              <w:rPr>
                <w:rFonts w:cs="Times New Roman"/>
                <w:b/>
                <w:bCs/>
              </w:rPr>
              <w:t>Ratios</w:t>
            </w:r>
          </w:p>
        </w:tc>
        <w:tc>
          <w:tcPr>
            <w:tcW w:w="814" w:type="dxa"/>
            <w:noWrap/>
            <w:hideMark/>
          </w:tcPr>
          <w:p w14:paraId="59469346" w14:textId="77777777" w:rsidR="00111A14" w:rsidRPr="00577F2F" w:rsidRDefault="00111A14" w:rsidP="00111A14">
            <w:pPr>
              <w:rPr>
                <w:rFonts w:cs="Times New Roman"/>
                <w:b/>
                <w:bCs/>
              </w:rPr>
            </w:pPr>
            <w:r w:rsidRPr="00577F2F">
              <w:rPr>
                <w:rFonts w:cs="Times New Roman"/>
                <w:b/>
                <w:bCs/>
              </w:rPr>
              <w:t>2024</w:t>
            </w:r>
          </w:p>
        </w:tc>
        <w:tc>
          <w:tcPr>
            <w:tcW w:w="814" w:type="dxa"/>
            <w:noWrap/>
            <w:hideMark/>
          </w:tcPr>
          <w:p w14:paraId="038CD8B9" w14:textId="77777777" w:rsidR="00111A14" w:rsidRPr="00577F2F" w:rsidRDefault="00111A14" w:rsidP="00111A14">
            <w:pPr>
              <w:rPr>
                <w:rFonts w:cs="Times New Roman"/>
                <w:b/>
                <w:bCs/>
              </w:rPr>
            </w:pPr>
            <w:r w:rsidRPr="00577F2F">
              <w:rPr>
                <w:rFonts w:cs="Times New Roman"/>
                <w:b/>
                <w:bCs/>
              </w:rPr>
              <w:t>2023</w:t>
            </w:r>
          </w:p>
        </w:tc>
        <w:tc>
          <w:tcPr>
            <w:tcW w:w="1167" w:type="dxa"/>
            <w:noWrap/>
            <w:hideMark/>
          </w:tcPr>
          <w:p w14:paraId="4D62E116" w14:textId="77777777" w:rsidR="00111A14" w:rsidRPr="00577F2F" w:rsidRDefault="00111A14" w:rsidP="00111A14">
            <w:pPr>
              <w:rPr>
                <w:rFonts w:cs="Times New Roman"/>
                <w:b/>
                <w:bCs/>
              </w:rPr>
            </w:pPr>
            <w:r w:rsidRPr="00577F2F">
              <w:rPr>
                <w:rFonts w:cs="Times New Roman"/>
                <w:b/>
                <w:bCs/>
              </w:rPr>
              <w:t>Change</w:t>
            </w:r>
          </w:p>
        </w:tc>
        <w:tc>
          <w:tcPr>
            <w:tcW w:w="958" w:type="dxa"/>
            <w:noWrap/>
            <w:hideMark/>
          </w:tcPr>
          <w:p w14:paraId="6561E574" w14:textId="77777777" w:rsidR="00111A14" w:rsidRPr="00577F2F" w:rsidRDefault="00111A14" w:rsidP="00111A14">
            <w:pPr>
              <w:rPr>
                <w:rFonts w:cs="Times New Roman"/>
                <w:b/>
                <w:bCs/>
              </w:rPr>
            </w:pPr>
            <w:r w:rsidRPr="00577F2F">
              <w:rPr>
                <w:rFonts w:cs="Times New Roman"/>
                <w:b/>
                <w:bCs/>
              </w:rPr>
              <w:t>Trend</w:t>
            </w:r>
          </w:p>
        </w:tc>
      </w:tr>
      <w:tr w:rsidR="00111A14" w:rsidRPr="00577F2F" w14:paraId="2A9F080F" w14:textId="77777777" w:rsidTr="00111A14">
        <w:trPr>
          <w:trHeight w:val="312"/>
          <w:jc w:val="center"/>
        </w:trPr>
        <w:tc>
          <w:tcPr>
            <w:tcW w:w="4888" w:type="dxa"/>
            <w:noWrap/>
            <w:hideMark/>
          </w:tcPr>
          <w:p w14:paraId="2DB26149" w14:textId="77777777" w:rsidR="00111A14" w:rsidRPr="00577F2F" w:rsidRDefault="00111A14" w:rsidP="00111A14">
            <w:pPr>
              <w:rPr>
                <w:rFonts w:cs="Times New Roman"/>
              </w:rPr>
            </w:pPr>
            <w:r w:rsidRPr="00577F2F">
              <w:rPr>
                <w:rFonts w:cs="Times New Roman"/>
              </w:rPr>
              <w:t>Earnings Per Share (EPS) -Basic</w:t>
            </w:r>
          </w:p>
        </w:tc>
        <w:tc>
          <w:tcPr>
            <w:tcW w:w="814" w:type="dxa"/>
            <w:noWrap/>
            <w:hideMark/>
          </w:tcPr>
          <w:p w14:paraId="2F4B08DC" w14:textId="77777777" w:rsidR="00111A14" w:rsidRPr="00577F2F" w:rsidRDefault="00111A14" w:rsidP="00111A14">
            <w:pPr>
              <w:rPr>
                <w:rFonts w:cs="Times New Roman"/>
              </w:rPr>
            </w:pPr>
            <w:r w:rsidRPr="00577F2F">
              <w:rPr>
                <w:rFonts w:cs="Times New Roman"/>
              </w:rPr>
              <w:t>203.6</w:t>
            </w:r>
          </w:p>
        </w:tc>
        <w:tc>
          <w:tcPr>
            <w:tcW w:w="814" w:type="dxa"/>
            <w:noWrap/>
            <w:hideMark/>
          </w:tcPr>
          <w:p w14:paraId="6C9FA381" w14:textId="77777777" w:rsidR="00111A14" w:rsidRPr="00577F2F" w:rsidRDefault="00111A14" w:rsidP="00111A14">
            <w:pPr>
              <w:rPr>
                <w:rFonts w:cs="Times New Roman"/>
              </w:rPr>
            </w:pPr>
            <w:r w:rsidRPr="00577F2F">
              <w:rPr>
                <w:rFonts w:cs="Times New Roman"/>
              </w:rPr>
              <w:t>229.2</w:t>
            </w:r>
          </w:p>
        </w:tc>
        <w:tc>
          <w:tcPr>
            <w:tcW w:w="1167" w:type="dxa"/>
            <w:noWrap/>
            <w:hideMark/>
          </w:tcPr>
          <w:p w14:paraId="435085EC" w14:textId="77777777" w:rsidR="00111A14" w:rsidRPr="00577F2F" w:rsidRDefault="00111A14" w:rsidP="00111A14">
            <w:pPr>
              <w:rPr>
                <w:rFonts w:cs="Times New Roman"/>
              </w:rPr>
            </w:pPr>
            <w:r w:rsidRPr="00577F2F">
              <w:rPr>
                <w:rFonts w:cs="Times New Roman"/>
              </w:rPr>
              <w:t>-25.60</w:t>
            </w:r>
          </w:p>
        </w:tc>
        <w:tc>
          <w:tcPr>
            <w:tcW w:w="958" w:type="dxa"/>
            <w:noWrap/>
            <w:hideMark/>
          </w:tcPr>
          <w:p w14:paraId="032E8488" w14:textId="77777777" w:rsidR="00111A14" w:rsidRPr="00577F2F" w:rsidRDefault="00111A14" w:rsidP="00111A14">
            <w:pPr>
              <w:rPr>
                <w:rFonts w:cs="Times New Roman"/>
              </w:rPr>
            </w:pPr>
            <w:r w:rsidRPr="00577F2F">
              <w:rPr>
                <w:rFonts w:cs="Times New Roman"/>
              </w:rPr>
              <w:t>↓</w:t>
            </w:r>
          </w:p>
        </w:tc>
      </w:tr>
      <w:tr w:rsidR="00111A14" w:rsidRPr="00577F2F" w14:paraId="6AFA8AE5" w14:textId="77777777" w:rsidTr="00111A14">
        <w:trPr>
          <w:trHeight w:val="312"/>
          <w:jc w:val="center"/>
        </w:trPr>
        <w:tc>
          <w:tcPr>
            <w:tcW w:w="4888" w:type="dxa"/>
            <w:noWrap/>
            <w:hideMark/>
          </w:tcPr>
          <w:p w14:paraId="3204F933" w14:textId="77777777" w:rsidR="00111A14" w:rsidRPr="00577F2F" w:rsidRDefault="00111A14" w:rsidP="00111A14">
            <w:pPr>
              <w:rPr>
                <w:rFonts w:cs="Times New Roman"/>
              </w:rPr>
            </w:pPr>
            <w:r w:rsidRPr="00577F2F">
              <w:rPr>
                <w:rFonts w:cs="Times New Roman"/>
              </w:rPr>
              <w:t>Earnings Per Share (EPS) - Diluted</w:t>
            </w:r>
          </w:p>
        </w:tc>
        <w:tc>
          <w:tcPr>
            <w:tcW w:w="814" w:type="dxa"/>
            <w:noWrap/>
            <w:hideMark/>
          </w:tcPr>
          <w:p w14:paraId="03D8EA87" w14:textId="77777777" w:rsidR="00111A14" w:rsidRPr="00577F2F" w:rsidRDefault="00111A14" w:rsidP="00111A14">
            <w:pPr>
              <w:rPr>
                <w:rFonts w:cs="Times New Roman"/>
              </w:rPr>
            </w:pPr>
            <w:r w:rsidRPr="00577F2F">
              <w:rPr>
                <w:rFonts w:cs="Times New Roman"/>
              </w:rPr>
              <w:t>203.2</w:t>
            </w:r>
          </w:p>
        </w:tc>
        <w:tc>
          <w:tcPr>
            <w:tcW w:w="814" w:type="dxa"/>
            <w:noWrap/>
            <w:hideMark/>
          </w:tcPr>
          <w:p w14:paraId="33A9FE15" w14:textId="77777777" w:rsidR="00111A14" w:rsidRPr="00577F2F" w:rsidRDefault="00111A14" w:rsidP="00111A14">
            <w:pPr>
              <w:rPr>
                <w:rFonts w:cs="Times New Roman"/>
              </w:rPr>
            </w:pPr>
            <w:r w:rsidRPr="00577F2F">
              <w:rPr>
                <w:rFonts w:cs="Times New Roman"/>
              </w:rPr>
              <w:t>228.7</w:t>
            </w:r>
          </w:p>
        </w:tc>
        <w:tc>
          <w:tcPr>
            <w:tcW w:w="1167" w:type="dxa"/>
            <w:noWrap/>
            <w:hideMark/>
          </w:tcPr>
          <w:p w14:paraId="1B853895" w14:textId="77777777" w:rsidR="00111A14" w:rsidRPr="00577F2F" w:rsidRDefault="00111A14" w:rsidP="00111A14">
            <w:pPr>
              <w:rPr>
                <w:rFonts w:cs="Times New Roman"/>
              </w:rPr>
            </w:pPr>
            <w:r w:rsidRPr="00577F2F">
              <w:rPr>
                <w:rFonts w:cs="Times New Roman"/>
              </w:rPr>
              <w:t>-25.50</w:t>
            </w:r>
          </w:p>
        </w:tc>
        <w:tc>
          <w:tcPr>
            <w:tcW w:w="958" w:type="dxa"/>
            <w:noWrap/>
            <w:hideMark/>
          </w:tcPr>
          <w:p w14:paraId="60D87482" w14:textId="77777777" w:rsidR="00111A14" w:rsidRPr="00577F2F" w:rsidRDefault="00111A14" w:rsidP="00111A14">
            <w:pPr>
              <w:rPr>
                <w:rFonts w:cs="Times New Roman"/>
              </w:rPr>
            </w:pPr>
            <w:r w:rsidRPr="00577F2F">
              <w:rPr>
                <w:rFonts w:cs="Times New Roman"/>
              </w:rPr>
              <w:t>↓</w:t>
            </w:r>
          </w:p>
        </w:tc>
      </w:tr>
      <w:tr w:rsidR="00111A14" w:rsidRPr="00577F2F" w14:paraId="5C532372" w14:textId="77777777" w:rsidTr="00111A14">
        <w:trPr>
          <w:trHeight w:val="312"/>
          <w:jc w:val="center"/>
        </w:trPr>
        <w:tc>
          <w:tcPr>
            <w:tcW w:w="4888" w:type="dxa"/>
            <w:noWrap/>
            <w:hideMark/>
          </w:tcPr>
          <w:p w14:paraId="28AF7412" w14:textId="77777777" w:rsidR="00111A14" w:rsidRPr="00577F2F" w:rsidRDefault="00111A14" w:rsidP="00111A14">
            <w:pPr>
              <w:rPr>
                <w:rFonts w:cs="Times New Roman"/>
              </w:rPr>
            </w:pPr>
            <w:r w:rsidRPr="00577F2F">
              <w:rPr>
                <w:rFonts w:cs="Times New Roman"/>
              </w:rPr>
              <w:t>Price per Earnings ratio (P/E)</w:t>
            </w:r>
          </w:p>
        </w:tc>
        <w:tc>
          <w:tcPr>
            <w:tcW w:w="814" w:type="dxa"/>
            <w:noWrap/>
            <w:hideMark/>
          </w:tcPr>
          <w:p w14:paraId="6E049A32" w14:textId="77777777" w:rsidR="00111A14" w:rsidRPr="00577F2F" w:rsidRDefault="00111A14" w:rsidP="00111A14">
            <w:pPr>
              <w:rPr>
                <w:rFonts w:cs="Times New Roman"/>
              </w:rPr>
            </w:pPr>
            <w:r w:rsidRPr="00577F2F">
              <w:rPr>
                <w:rFonts w:cs="Times New Roman"/>
              </w:rPr>
              <w:t>23.74</w:t>
            </w:r>
          </w:p>
        </w:tc>
        <w:tc>
          <w:tcPr>
            <w:tcW w:w="814" w:type="dxa"/>
            <w:noWrap/>
            <w:hideMark/>
          </w:tcPr>
          <w:p w14:paraId="419C7131" w14:textId="77777777" w:rsidR="00111A14" w:rsidRPr="00577F2F" w:rsidRDefault="00111A14" w:rsidP="00111A14">
            <w:pPr>
              <w:rPr>
                <w:rFonts w:cs="Times New Roman"/>
              </w:rPr>
            </w:pPr>
            <w:r w:rsidRPr="00577F2F">
              <w:rPr>
                <w:rFonts w:cs="Times New Roman"/>
              </w:rPr>
              <w:t>9.02</w:t>
            </w:r>
          </w:p>
        </w:tc>
        <w:tc>
          <w:tcPr>
            <w:tcW w:w="1167" w:type="dxa"/>
            <w:noWrap/>
            <w:hideMark/>
          </w:tcPr>
          <w:p w14:paraId="29AF368D" w14:textId="77777777" w:rsidR="00111A14" w:rsidRPr="00577F2F" w:rsidRDefault="00111A14" w:rsidP="00111A14">
            <w:pPr>
              <w:rPr>
                <w:rFonts w:cs="Times New Roman"/>
              </w:rPr>
            </w:pPr>
            <w:r w:rsidRPr="00577F2F">
              <w:rPr>
                <w:rFonts w:cs="Times New Roman"/>
              </w:rPr>
              <w:t>14.72</w:t>
            </w:r>
          </w:p>
        </w:tc>
        <w:tc>
          <w:tcPr>
            <w:tcW w:w="958" w:type="dxa"/>
            <w:noWrap/>
            <w:hideMark/>
          </w:tcPr>
          <w:p w14:paraId="41CC7938" w14:textId="77777777" w:rsidR="00111A14" w:rsidRPr="00577F2F" w:rsidRDefault="00111A14" w:rsidP="00111A14">
            <w:pPr>
              <w:rPr>
                <w:rFonts w:cs="Times New Roman"/>
              </w:rPr>
            </w:pPr>
            <w:r w:rsidRPr="00577F2F">
              <w:rPr>
                <w:rFonts w:cs="Times New Roman"/>
              </w:rPr>
              <w:t>↑</w:t>
            </w:r>
          </w:p>
        </w:tc>
      </w:tr>
      <w:tr w:rsidR="00111A14" w:rsidRPr="00577F2F" w14:paraId="613AE7AD" w14:textId="77777777" w:rsidTr="00111A14">
        <w:trPr>
          <w:trHeight w:val="312"/>
          <w:jc w:val="center"/>
        </w:trPr>
        <w:tc>
          <w:tcPr>
            <w:tcW w:w="4888" w:type="dxa"/>
            <w:noWrap/>
            <w:hideMark/>
          </w:tcPr>
          <w:p w14:paraId="7C83BEE7" w14:textId="77777777" w:rsidR="00111A14" w:rsidRPr="00577F2F" w:rsidRDefault="00111A14" w:rsidP="00111A14">
            <w:pPr>
              <w:rPr>
                <w:rFonts w:cs="Times New Roman"/>
              </w:rPr>
            </w:pPr>
            <w:r w:rsidRPr="00577F2F">
              <w:rPr>
                <w:rFonts w:cs="Times New Roman"/>
              </w:rPr>
              <w:t>Dividend Yield</w:t>
            </w:r>
          </w:p>
        </w:tc>
        <w:tc>
          <w:tcPr>
            <w:tcW w:w="814" w:type="dxa"/>
            <w:noWrap/>
            <w:hideMark/>
          </w:tcPr>
          <w:p w14:paraId="653F92BC" w14:textId="77777777" w:rsidR="00111A14" w:rsidRPr="00577F2F" w:rsidRDefault="00111A14" w:rsidP="00111A14">
            <w:pPr>
              <w:rPr>
                <w:rFonts w:cs="Times New Roman"/>
              </w:rPr>
            </w:pPr>
            <w:r w:rsidRPr="00577F2F">
              <w:rPr>
                <w:rFonts w:cs="Times New Roman"/>
              </w:rPr>
              <w:t>0.04</w:t>
            </w:r>
          </w:p>
        </w:tc>
        <w:tc>
          <w:tcPr>
            <w:tcW w:w="814" w:type="dxa"/>
            <w:noWrap/>
            <w:hideMark/>
          </w:tcPr>
          <w:p w14:paraId="52ED2903" w14:textId="77777777" w:rsidR="00111A14" w:rsidRPr="00577F2F" w:rsidRDefault="00111A14" w:rsidP="00111A14">
            <w:pPr>
              <w:rPr>
                <w:rFonts w:cs="Times New Roman"/>
              </w:rPr>
            </w:pPr>
            <w:r w:rsidRPr="00577F2F">
              <w:rPr>
                <w:rFonts w:cs="Times New Roman"/>
              </w:rPr>
              <w:t>0.04</w:t>
            </w:r>
          </w:p>
        </w:tc>
        <w:tc>
          <w:tcPr>
            <w:tcW w:w="1167" w:type="dxa"/>
            <w:noWrap/>
            <w:hideMark/>
          </w:tcPr>
          <w:p w14:paraId="6F4B3573" w14:textId="77777777" w:rsidR="00111A14" w:rsidRPr="00577F2F" w:rsidRDefault="00111A14" w:rsidP="00111A14">
            <w:pPr>
              <w:rPr>
                <w:rFonts w:cs="Times New Roman"/>
              </w:rPr>
            </w:pPr>
            <w:r w:rsidRPr="00577F2F">
              <w:rPr>
                <w:rFonts w:cs="Times New Roman"/>
              </w:rPr>
              <w:t>0.01</w:t>
            </w:r>
          </w:p>
        </w:tc>
        <w:tc>
          <w:tcPr>
            <w:tcW w:w="958" w:type="dxa"/>
            <w:noWrap/>
            <w:hideMark/>
          </w:tcPr>
          <w:p w14:paraId="334E630E" w14:textId="77777777" w:rsidR="00111A14" w:rsidRPr="00577F2F" w:rsidRDefault="00111A14" w:rsidP="00111A14">
            <w:pPr>
              <w:keepNext/>
              <w:rPr>
                <w:rFonts w:cs="Times New Roman"/>
              </w:rPr>
            </w:pPr>
            <w:r w:rsidRPr="00577F2F">
              <w:rPr>
                <w:rFonts w:cs="Times New Roman"/>
              </w:rPr>
              <w:t>↑</w:t>
            </w:r>
          </w:p>
        </w:tc>
      </w:tr>
    </w:tbl>
    <w:p w14:paraId="058F1AC1" w14:textId="77777777" w:rsidR="00111A14" w:rsidRPr="00577F2F" w:rsidRDefault="00111A14" w:rsidP="00111A14">
      <w:pPr>
        <w:rPr>
          <w:rFonts w:cs="Times New Roman"/>
          <w:lang w:val="en-IN"/>
        </w:rPr>
      </w:pPr>
    </w:p>
    <w:p w14:paraId="5E7BD4E1" w14:textId="52488C96" w:rsidR="00111A14" w:rsidRPr="00577F2F" w:rsidRDefault="009F7C16" w:rsidP="00111A14">
      <w:pPr>
        <w:rPr>
          <w:rFonts w:cs="Times New Roman"/>
          <w:lang w:val="en-IN"/>
        </w:rPr>
      </w:pPr>
      <w:r w:rsidRPr="009F7C16">
        <w:rPr>
          <w:rFonts w:cs="Times New Roman"/>
          <w:lang w:val="en-IN"/>
        </w:rPr>
        <w:t xml:space="preserve">As indicated </w:t>
      </w:r>
      <w:r w:rsidR="003275E1">
        <w:rPr>
          <w:rFonts w:cs="Times New Roman"/>
          <w:lang w:val="en-IN"/>
        </w:rPr>
        <w:t>in</w:t>
      </w:r>
      <w:r w:rsidRPr="009F7C16">
        <w:rPr>
          <w:rFonts w:cs="Times New Roman"/>
          <w:lang w:val="en-IN"/>
        </w:rPr>
        <w:t xml:space="preserve"> the table above, </w:t>
      </w:r>
      <w:r w:rsidR="003275E1">
        <w:rPr>
          <w:rFonts w:cs="Times New Roman"/>
          <w:lang w:val="en-IN"/>
        </w:rPr>
        <w:t>profit</w:t>
      </w:r>
      <w:r w:rsidRPr="009F7C16">
        <w:rPr>
          <w:rFonts w:cs="Times New Roman"/>
          <w:lang w:val="en-IN"/>
        </w:rPr>
        <w:t xml:space="preserve"> performance deteriorated in 2024. Basic earnings per share dropped to 203.6 pence as compared to 229.2 pence</w:t>
      </w:r>
      <w:r w:rsidR="003275E1">
        <w:rPr>
          <w:rFonts w:cs="Times New Roman"/>
          <w:lang w:val="en-IN"/>
        </w:rPr>
        <w:t>,</w:t>
      </w:r>
      <w:r w:rsidRPr="009F7C16">
        <w:rPr>
          <w:rFonts w:cs="Times New Roman"/>
          <w:lang w:val="en-IN"/>
        </w:rPr>
        <w:t xml:space="preserve"> and diluted EPS dropped to 203.2 pence compared to 228.7 pence. The decrease shows a decrease in net profit to shareholders, which is </w:t>
      </w:r>
      <w:r w:rsidR="003275E1">
        <w:rPr>
          <w:rFonts w:cs="Times New Roman"/>
          <w:lang w:val="en-IN"/>
        </w:rPr>
        <w:t>mainly</w:t>
      </w:r>
      <w:r w:rsidRPr="009F7C16">
        <w:rPr>
          <w:rFonts w:cs="Times New Roman"/>
          <w:lang w:val="en-IN"/>
        </w:rPr>
        <w:t xml:space="preserve"> caused by increased cost of finance, restructuring cost and impairment cost and not poor underlying operating performance. The decreasing EPS is an indicator of lower short-term profitability to the shareholders (Heliani Heliani, Herdina and Taofik Muhammad Gumelar, 2024</w:t>
      </w:r>
      <w:r w:rsidR="003323AC" w:rsidRPr="003323AC">
        <w:rPr>
          <w:rFonts w:cs="Times New Roman"/>
          <w:lang w:val="en-IN"/>
        </w:rPr>
        <w:t>)</w:t>
      </w:r>
      <w:r w:rsidR="00111A14" w:rsidRPr="00111A14">
        <w:rPr>
          <w:rFonts w:cs="Times New Roman"/>
          <w:lang w:val="en-IN"/>
        </w:rPr>
        <w:t>.</w:t>
      </w:r>
    </w:p>
    <w:p w14:paraId="7934DF61" w14:textId="77777777" w:rsidR="00111A14" w:rsidRPr="00577F2F" w:rsidRDefault="00111A14" w:rsidP="00111A14">
      <w:pPr>
        <w:keepNext/>
        <w:jc w:val="center"/>
        <w:rPr>
          <w:rFonts w:cs="Times New Roman"/>
        </w:rPr>
      </w:pPr>
      <w:r w:rsidRPr="00577F2F">
        <w:rPr>
          <w:rFonts w:cs="Times New Roman"/>
          <w:noProof/>
          <w14:ligatures w14:val="standardContextual"/>
        </w:rPr>
        <w:drawing>
          <wp:inline distT="0" distB="0" distL="0" distR="0" wp14:anchorId="3198DD11" wp14:editId="18AF2C3D">
            <wp:extent cx="4023360" cy="2430780"/>
            <wp:effectExtent l="0" t="0" r="15240" b="7620"/>
            <wp:docPr id="1320536441" name="Chart 1">
              <a:extLst xmlns:a="http://schemas.openxmlformats.org/drawingml/2006/main">
                <a:ext uri="{FF2B5EF4-FFF2-40B4-BE49-F238E27FC236}">
                  <a16:creationId xmlns:a16="http://schemas.microsoft.com/office/drawing/2014/main" id="{B3EDC088-AB9C-A73E-EB81-EB54607002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8894306" w14:textId="191990FD" w:rsidR="00111A14" w:rsidRPr="00111A14" w:rsidRDefault="00111A14" w:rsidP="00111A14">
      <w:pPr>
        <w:pStyle w:val="Caption"/>
        <w:jc w:val="center"/>
        <w:rPr>
          <w:rFonts w:cs="Times New Roman"/>
          <w:lang w:val="en-IN"/>
        </w:rPr>
      </w:pPr>
      <w:r w:rsidRPr="00577F2F">
        <w:rPr>
          <w:rFonts w:cs="Times New Roman"/>
        </w:rPr>
        <w:t xml:space="preserve">Figure </w:t>
      </w:r>
      <w:r w:rsidRPr="00577F2F">
        <w:rPr>
          <w:rFonts w:cs="Times New Roman"/>
        </w:rPr>
        <w:fldChar w:fldCharType="begin"/>
      </w:r>
      <w:r w:rsidRPr="00577F2F">
        <w:rPr>
          <w:rFonts w:cs="Times New Roman"/>
        </w:rPr>
        <w:instrText xml:space="preserve"> SEQ Figure \* ARABIC </w:instrText>
      </w:r>
      <w:r w:rsidRPr="00577F2F">
        <w:rPr>
          <w:rFonts w:cs="Times New Roman"/>
        </w:rPr>
        <w:fldChar w:fldCharType="separate"/>
      </w:r>
      <w:r w:rsidR="00034F33">
        <w:rPr>
          <w:rFonts w:cs="Times New Roman"/>
          <w:noProof/>
        </w:rPr>
        <w:t>5</w:t>
      </w:r>
      <w:r w:rsidRPr="00577F2F">
        <w:rPr>
          <w:rFonts w:cs="Times New Roman"/>
        </w:rPr>
        <w:fldChar w:fldCharType="end"/>
      </w:r>
      <w:r w:rsidRPr="00577F2F">
        <w:rPr>
          <w:rFonts w:cs="Times New Roman"/>
          <w:lang w:val="en-US"/>
        </w:rPr>
        <w:t>: Investment Ratio Source: Self-designed</w:t>
      </w:r>
    </w:p>
    <w:p w14:paraId="2C06384B" w14:textId="6068C86B" w:rsidR="00111A14" w:rsidRPr="00111A14" w:rsidRDefault="009F7C16" w:rsidP="00111A14">
      <w:pPr>
        <w:rPr>
          <w:rFonts w:cs="Times New Roman"/>
          <w:lang w:val="en-IN"/>
        </w:rPr>
      </w:pPr>
      <w:r w:rsidRPr="009F7C16">
        <w:rPr>
          <w:rFonts w:cs="Times New Roman"/>
          <w:lang w:val="en-IN"/>
        </w:rPr>
        <w:lastRenderedPageBreak/>
        <w:t xml:space="preserve">In spite of the drop in earnings, the price-to-earnings (P/E) ratio went </w:t>
      </w:r>
      <w:r>
        <w:rPr>
          <w:rFonts w:cs="Times New Roman"/>
          <w:lang w:val="en-IN"/>
        </w:rPr>
        <w:t>wild</w:t>
      </w:r>
      <w:r w:rsidRPr="009F7C16">
        <w:rPr>
          <w:rFonts w:cs="Times New Roman"/>
          <w:lang w:val="en-IN"/>
        </w:rPr>
        <w:t>, and the company</w:t>
      </w:r>
      <w:r>
        <w:rPr>
          <w:rFonts w:cs="Times New Roman"/>
          <w:lang w:val="en-IN"/>
        </w:rPr>
        <w:t>,</w:t>
      </w:r>
      <w:r w:rsidRPr="009F7C16">
        <w:rPr>
          <w:rFonts w:cs="Times New Roman"/>
          <w:lang w:val="en-IN"/>
        </w:rPr>
        <w:t xml:space="preserve"> which </w:t>
      </w:r>
      <w:r>
        <w:rPr>
          <w:rFonts w:cs="Times New Roman"/>
          <w:lang w:val="en-IN"/>
        </w:rPr>
        <w:t>had</w:t>
      </w:r>
      <w:r w:rsidRPr="009F7C16">
        <w:rPr>
          <w:rFonts w:cs="Times New Roman"/>
          <w:lang w:val="en-IN"/>
        </w:rPr>
        <w:t xml:space="preserve"> a P/E of 9.02 times in 2023, experienced </w:t>
      </w:r>
      <w:r w:rsidR="003275E1">
        <w:rPr>
          <w:rFonts w:cs="Times New Roman"/>
          <w:lang w:val="en-IN"/>
        </w:rPr>
        <w:t xml:space="preserve">a </w:t>
      </w:r>
      <w:r w:rsidRPr="009F7C16">
        <w:rPr>
          <w:rFonts w:cs="Times New Roman"/>
          <w:lang w:val="en-IN"/>
        </w:rPr>
        <w:t>23.74 times shift in 2024. This steep growth indicates that the market has re-rated the shares of Reckitt, and the confidence level of the investors in the long-term growth prospects and the strategic path of the Group has improved (Simply Wall St, 2025). The elevated P/E multiple can indicate prospects of recovering the lost earnings in the future, portfolio simplification and a better performance after restructuring the organisation. Nonetheless, the high valuation also comes with high sensitivity to disappointments in future earnings. The dividend yield did not change significantly as it was around 4</w:t>
      </w:r>
      <w:r>
        <w:rPr>
          <w:rFonts w:cs="Times New Roman"/>
          <w:lang w:val="en-IN"/>
        </w:rPr>
        <w:t>%</w:t>
      </w:r>
      <w:r w:rsidRPr="009F7C16">
        <w:rPr>
          <w:rFonts w:cs="Times New Roman"/>
          <w:lang w:val="en-IN"/>
        </w:rPr>
        <w:t>, and it means that the Group did not change its policy about dividends despite the decreased earnings (Stereńczak and Kubiak, 2022). Such stability indicates that Reckitt is a high cash-generating company and the management is dedicated to delivering returns to shareholders even in a time of strategic restructuring</w:t>
      </w:r>
      <w:r w:rsidR="00111A14" w:rsidRPr="00111A14">
        <w:rPr>
          <w:rFonts w:cs="Times New Roman"/>
          <w:lang w:val="en-IN"/>
        </w:rPr>
        <w:t>.</w:t>
      </w:r>
    </w:p>
    <w:p w14:paraId="19DCE99B" w14:textId="31D35BD4" w:rsidR="00F9034A" w:rsidRPr="00577F2F" w:rsidRDefault="00F9034A" w:rsidP="00F9034A">
      <w:pPr>
        <w:pStyle w:val="Heading2"/>
        <w:rPr>
          <w:rFonts w:ascii="Times New Roman" w:hAnsi="Times New Roman" w:cs="Times New Roman"/>
          <w:lang w:val="en-IN"/>
        </w:rPr>
      </w:pPr>
      <w:bookmarkStart w:id="5" w:name="_Toc219014265"/>
      <w:r w:rsidRPr="00577F2F">
        <w:rPr>
          <w:rFonts w:ascii="Times New Roman" w:hAnsi="Times New Roman" w:cs="Times New Roman"/>
          <w:lang w:val="en-IN"/>
        </w:rPr>
        <w:t>4. Critical Evaluation of Financial Ratios</w:t>
      </w:r>
      <w:bookmarkEnd w:id="5"/>
    </w:p>
    <w:p w14:paraId="32089CFD" w14:textId="44FC0C03" w:rsidR="009F7C16" w:rsidRPr="009F7C16" w:rsidRDefault="009F7C16" w:rsidP="009F7C16">
      <w:pPr>
        <w:rPr>
          <w:rFonts w:cs="Times New Roman"/>
          <w:lang w:val="en-IN"/>
        </w:rPr>
      </w:pPr>
      <w:r w:rsidRPr="009F7C16">
        <w:rPr>
          <w:rFonts w:cs="Times New Roman"/>
          <w:lang w:val="en-IN"/>
        </w:rPr>
        <w:t xml:space="preserve">The computed financial ratios of Reckitt Benckiser offer a systematic foundation on which the transformation of the performance, financial status, and investor view of the company can be assessed in 2023 and 2024. The general developments of ratios reflect a firm with strong operating values but rising financial risk </w:t>
      </w:r>
      <w:r>
        <w:rPr>
          <w:rFonts w:cs="Times New Roman"/>
          <w:lang w:val="en-IN"/>
        </w:rPr>
        <w:t>during</w:t>
      </w:r>
      <w:r w:rsidRPr="009F7C16">
        <w:rPr>
          <w:rFonts w:cs="Times New Roman"/>
          <w:lang w:val="en-IN"/>
        </w:rPr>
        <w:t xml:space="preserve"> strategic </w:t>
      </w:r>
      <w:r>
        <w:rPr>
          <w:rFonts w:cs="Times New Roman"/>
          <w:lang w:val="en-IN"/>
        </w:rPr>
        <w:t>reorganisation</w:t>
      </w:r>
      <w:r w:rsidRPr="009F7C16">
        <w:rPr>
          <w:rFonts w:cs="Times New Roman"/>
          <w:lang w:val="en-IN"/>
        </w:rPr>
        <w:t xml:space="preserve">. Profitability ratios indicate contradictory trends. The fact that the gross profit margin has increased </w:t>
      </w:r>
      <w:r>
        <w:rPr>
          <w:rFonts w:cs="Times New Roman"/>
          <w:lang w:val="en-IN"/>
        </w:rPr>
        <w:t>from</w:t>
      </w:r>
      <w:r w:rsidRPr="009F7C16">
        <w:rPr>
          <w:rFonts w:cs="Times New Roman"/>
          <w:lang w:val="en-IN"/>
        </w:rPr>
        <w:t xml:space="preserve"> 59.97 to 60.66 indicates that Reckitt was able to sustain pricing power and brand strength to counter the pressure of inflation in terms of increasing costs. But the decrease in operating profit margin (17.33% to 17.11%) and the more drastic decrease in net profit margin (11.34% to 10.08) show that an increase in operating expenses, restructuring expenses, and impairment expenses and </w:t>
      </w:r>
      <w:r>
        <w:rPr>
          <w:rFonts w:cs="Times New Roman"/>
          <w:lang w:val="en-IN"/>
        </w:rPr>
        <w:t xml:space="preserve">an </w:t>
      </w:r>
      <w:r w:rsidRPr="009F7C16">
        <w:rPr>
          <w:rFonts w:cs="Times New Roman"/>
          <w:lang w:val="en-IN"/>
        </w:rPr>
        <w:t xml:space="preserve">increase in finance costs impacted earnings. The fall in ROA indicates a lower efficiency in turning the </w:t>
      </w:r>
      <w:r>
        <w:rPr>
          <w:rFonts w:cs="Times New Roman"/>
          <w:lang w:val="en-IN"/>
        </w:rPr>
        <w:t>asset</w:t>
      </w:r>
      <w:r w:rsidRPr="009F7C16">
        <w:rPr>
          <w:rFonts w:cs="Times New Roman"/>
          <w:lang w:val="en-IN"/>
        </w:rPr>
        <w:t xml:space="preserve"> base into profits, especially when taking into account that the Group has large intangible assets (Qureshi and Siddiqui, 2021). On the other hand, the rise in ROE and ROCE indicates better returns to </w:t>
      </w:r>
      <w:r>
        <w:rPr>
          <w:rFonts w:cs="Times New Roman"/>
          <w:lang w:val="en-IN"/>
        </w:rPr>
        <w:t>shareholders</w:t>
      </w:r>
      <w:r w:rsidRPr="009F7C16">
        <w:rPr>
          <w:rFonts w:cs="Times New Roman"/>
          <w:lang w:val="en-IN"/>
        </w:rPr>
        <w:t xml:space="preserve"> and better </w:t>
      </w:r>
      <w:r>
        <w:rPr>
          <w:rFonts w:cs="Times New Roman"/>
          <w:lang w:val="en-IN"/>
        </w:rPr>
        <w:t>utilisation</w:t>
      </w:r>
      <w:r w:rsidRPr="009F7C16">
        <w:rPr>
          <w:rFonts w:cs="Times New Roman"/>
          <w:lang w:val="en-IN"/>
        </w:rPr>
        <w:t xml:space="preserve"> of long-term capital as much as it is because of higher leverage rather than better operating profitability. The liquidity ratios had worsened</w:t>
      </w:r>
      <w:r>
        <w:rPr>
          <w:rFonts w:cs="Times New Roman"/>
          <w:lang w:val="en-IN"/>
        </w:rPr>
        <w:t>,</w:t>
      </w:r>
      <w:r w:rsidRPr="009F7C16">
        <w:rPr>
          <w:rFonts w:cs="Times New Roman"/>
          <w:lang w:val="en-IN"/>
        </w:rPr>
        <w:t xml:space="preserve"> with </w:t>
      </w:r>
      <w:r>
        <w:rPr>
          <w:rFonts w:cs="Times New Roman"/>
          <w:lang w:val="en-IN"/>
        </w:rPr>
        <w:t xml:space="preserve">the </w:t>
      </w:r>
      <w:r w:rsidRPr="009F7C16">
        <w:rPr>
          <w:rFonts w:cs="Times New Roman"/>
          <w:lang w:val="en-IN"/>
        </w:rPr>
        <w:t xml:space="preserve">current ratio decreasing to 0.58 and the quick ratio decreasing to 0.39. This means that </w:t>
      </w:r>
      <w:r>
        <w:rPr>
          <w:rFonts w:cs="Times New Roman"/>
          <w:lang w:val="en-IN"/>
        </w:rPr>
        <w:t xml:space="preserve">the </w:t>
      </w:r>
      <w:r w:rsidRPr="009F7C16">
        <w:rPr>
          <w:rFonts w:cs="Times New Roman"/>
          <w:lang w:val="en-IN"/>
        </w:rPr>
        <w:t xml:space="preserve">liquidity buffer is reduced in the short term and is more dependent on continuous cash flow and supplier credit. Although these levels are typical of large consumer health companies with stable cash flows, the declining trend diminishes financial leeway and exposes them to the effects of short-term shocks (Dainelli, Bet and Fabrizi, 2024). There is an evident increase in financial risk that is indicated by gearing ratios. The rise in debt-to-equity ratio, </w:t>
      </w:r>
      <w:r w:rsidRPr="009F7C16">
        <w:rPr>
          <w:rFonts w:cs="Times New Roman"/>
          <w:lang w:val="en-IN"/>
        </w:rPr>
        <w:lastRenderedPageBreak/>
        <w:t xml:space="preserve">1.01 to 1.29, and debt ratio, 0.31 to 0.34, </w:t>
      </w:r>
      <w:r>
        <w:rPr>
          <w:rFonts w:cs="Times New Roman"/>
          <w:lang w:val="en-IN"/>
        </w:rPr>
        <w:t>indicates</w:t>
      </w:r>
      <w:r w:rsidRPr="009F7C16">
        <w:rPr>
          <w:rFonts w:cs="Times New Roman"/>
          <w:lang w:val="en-IN"/>
        </w:rPr>
        <w:t xml:space="preserve"> the increased reliance on debt financing, which is partially attributed to shareholder distributions and restructuring of the company. The decline in the interest coverage ratio of 7.44 times to 6.03 times shows influence of increased interest rates in the higher interest rate to the margin of safety. The efficiency ratios show a better picture with a better inventory turnover and asset utilisation</w:t>
      </w:r>
      <w:r>
        <w:rPr>
          <w:rFonts w:cs="Times New Roman"/>
          <w:lang w:val="en-IN"/>
        </w:rPr>
        <w:t>,</w:t>
      </w:r>
      <w:r w:rsidRPr="009F7C16">
        <w:rPr>
          <w:rFonts w:cs="Times New Roman"/>
          <w:lang w:val="en-IN"/>
        </w:rPr>
        <w:t xml:space="preserve"> reflecting a stronger </w:t>
      </w:r>
      <w:r>
        <w:rPr>
          <w:rFonts w:cs="Times New Roman"/>
          <w:lang w:val="en-IN"/>
        </w:rPr>
        <w:t>operational</w:t>
      </w:r>
      <w:r w:rsidRPr="009F7C16">
        <w:rPr>
          <w:rFonts w:cs="Times New Roman"/>
          <w:lang w:val="en-IN"/>
        </w:rPr>
        <w:t xml:space="preserve"> efficiency. Nevertheless, the sluggish speed of receivables collection and lengthy payables indicate that the company is becoming more and more reliant on the cash flow optimisation of working capital.</w:t>
      </w:r>
    </w:p>
    <w:p w14:paraId="7CA25770" w14:textId="18AF4BA4" w:rsidR="00F9034A" w:rsidRPr="00577F2F" w:rsidRDefault="009F7C16" w:rsidP="009F7C16">
      <w:pPr>
        <w:rPr>
          <w:rFonts w:cs="Times New Roman"/>
          <w:lang w:val="en-IN"/>
        </w:rPr>
      </w:pPr>
      <w:r w:rsidRPr="009F7C16">
        <w:rPr>
          <w:rFonts w:cs="Times New Roman"/>
          <w:lang w:val="en-IN"/>
        </w:rPr>
        <w:t xml:space="preserve">Ratio analysis is not without limitations in spite of its usefulness. Ratios are historical accounting-based, are prone to the influence of one-off items and accounting policies, and fail to reflect a qualitative aspect, such as brand strength, innovation, or regulatory risk (CFI Team, 2025). Therefore, the ratio analysis is to be understood with the help of strategic and market-based information to </w:t>
      </w:r>
      <w:r>
        <w:rPr>
          <w:rFonts w:cs="Times New Roman"/>
          <w:lang w:val="en-IN"/>
        </w:rPr>
        <w:t>make</w:t>
      </w:r>
      <w:r w:rsidRPr="009F7C16">
        <w:rPr>
          <w:rFonts w:cs="Times New Roman"/>
          <w:lang w:val="en-IN"/>
        </w:rPr>
        <w:t xml:space="preserve"> effective </w:t>
      </w:r>
      <w:r>
        <w:rPr>
          <w:rFonts w:cs="Times New Roman"/>
          <w:lang w:val="en-IN"/>
        </w:rPr>
        <w:t>decisions</w:t>
      </w:r>
      <w:r w:rsidR="00F9034A" w:rsidRPr="00577F2F">
        <w:rPr>
          <w:rFonts w:cs="Times New Roman"/>
          <w:lang w:val="en-IN"/>
        </w:rPr>
        <w:t>.</w:t>
      </w:r>
    </w:p>
    <w:p w14:paraId="609A5FE1" w14:textId="77777777" w:rsidR="00F9034A" w:rsidRPr="00577F2F" w:rsidRDefault="00F9034A" w:rsidP="00F9034A">
      <w:pPr>
        <w:pStyle w:val="Heading2"/>
        <w:rPr>
          <w:rFonts w:ascii="Times New Roman" w:eastAsiaTheme="minorHAnsi" w:hAnsi="Times New Roman" w:cs="Times New Roman"/>
          <w:lang w:val="en-IN"/>
        </w:rPr>
      </w:pPr>
      <w:bookmarkStart w:id="6" w:name="_Toc219014266"/>
      <w:r w:rsidRPr="00577F2F">
        <w:rPr>
          <w:rFonts w:ascii="Times New Roman" w:hAnsi="Times New Roman" w:cs="Times New Roman"/>
          <w:lang w:val="en-IN"/>
        </w:rPr>
        <w:t xml:space="preserve">5. </w:t>
      </w:r>
      <w:r w:rsidRPr="00577F2F">
        <w:rPr>
          <w:rFonts w:ascii="Times New Roman" w:eastAsiaTheme="minorHAnsi" w:hAnsi="Times New Roman" w:cs="Times New Roman"/>
          <w:lang w:val="en-IN"/>
        </w:rPr>
        <w:t>Recommendations to Improve Financial Management</w:t>
      </w:r>
      <w:bookmarkEnd w:id="6"/>
    </w:p>
    <w:p w14:paraId="1D5D1747" w14:textId="3A25A483" w:rsidR="00F9034A" w:rsidRPr="00577F2F" w:rsidRDefault="009F7C16" w:rsidP="00F9034A">
      <w:pPr>
        <w:rPr>
          <w:rFonts w:cs="Times New Roman"/>
          <w:lang w:val="en-IN"/>
        </w:rPr>
      </w:pPr>
      <w:r w:rsidRPr="009F7C16">
        <w:rPr>
          <w:rFonts w:cs="Times New Roman"/>
          <w:lang w:val="en-IN"/>
        </w:rPr>
        <w:t xml:space="preserve">According to the ratio analysis, the targeted measures that Reckitt Benckiser needs to implement to establish better financial management and </w:t>
      </w:r>
      <w:r>
        <w:rPr>
          <w:rFonts w:cs="Times New Roman"/>
          <w:lang w:val="en-IN"/>
        </w:rPr>
        <w:t>minimise</w:t>
      </w:r>
      <w:r w:rsidRPr="009F7C16">
        <w:rPr>
          <w:rFonts w:cs="Times New Roman"/>
          <w:lang w:val="en-IN"/>
        </w:rPr>
        <w:t xml:space="preserve"> the risk are</w:t>
      </w:r>
      <w:r w:rsidR="00F9034A" w:rsidRPr="00577F2F">
        <w:rPr>
          <w:rFonts w:cs="Times New Roman"/>
          <w:lang w:val="en-IN"/>
        </w:rPr>
        <w:t>:</w:t>
      </w:r>
    </w:p>
    <w:p w14:paraId="1752BEC9" w14:textId="33ED8C94" w:rsidR="00F9034A" w:rsidRPr="00577F2F" w:rsidRDefault="00F9034A" w:rsidP="00F9034A">
      <w:pPr>
        <w:pStyle w:val="ListParagraph"/>
        <w:numPr>
          <w:ilvl w:val="0"/>
          <w:numId w:val="3"/>
        </w:numPr>
        <w:rPr>
          <w:rFonts w:cs="Times New Roman"/>
          <w:lang w:val="en-IN"/>
        </w:rPr>
      </w:pPr>
      <w:r w:rsidRPr="00577F2F">
        <w:rPr>
          <w:rFonts w:cs="Times New Roman"/>
          <w:b/>
          <w:bCs/>
          <w:lang w:val="en-IN"/>
        </w:rPr>
        <w:t>Enhance net profitability:</w:t>
      </w:r>
      <w:r w:rsidRPr="00577F2F">
        <w:rPr>
          <w:rFonts w:cs="Times New Roman"/>
          <w:lang w:val="en-IN"/>
        </w:rPr>
        <w:t xml:space="preserve"> </w:t>
      </w:r>
      <w:r w:rsidR="009F7C16" w:rsidRPr="009F7C16">
        <w:rPr>
          <w:rFonts w:cs="Times New Roman"/>
          <w:lang w:val="en-IN"/>
        </w:rPr>
        <w:t xml:space="preserve">Although the gross margins are high, the falling operating profit margin and net profit margin suggest increasing operating and finance costs. To reinforce earnings conversion and preserve margins, the management should exercise tighter cost regulation, reduce unusual spending, and enhance </w:t>
      </w:r>
      <w:r w:rsidR="009F7C16">
        <w:rPr>
          <w:rFonts w:cs="Times New Roman"/>
          <w:lang w:val="en-IN"/>
        </w:rPr>
        <w:t xml:space="preserve">the </w:t>
      </w:r>
      <w:r w:rsidR="009F7C16" w:rsidRPr="009F7C16">
        <w:rPr>
          <w:rFonts w:cs="Times New Roman"/>
          <w:lang w:val="en-IN"/>
        </w:rPr>
        <w:t>efficiency of operations (Investopedia, 2021</w:t>
      </w:r>
      <w:r w:rsidR="003323AC" w:rsidRPr="003323AC">
        <w:rPr>
          <w:rFonts w:cs="Times New Roman"/>
          <w:lang w:val="en-IN"/>
        </w:rPr>
        <w:t>)</w:t>
      </w:r>
      <w:r w:rsidRPr="00577F2F">
        <w:rPr>
          <w:rFonts w:cs="Times New Roman"/>
          <w:lang w:val="en-IN"/>
        </w:rPr>
        <w:t>.</w:t>
      </w:r>
    </w:p>
    <w:p w14:paraId="5C6DDD24" w14:textId="24FE672B" w:rsidR="00F9034A" w:rsidRPr="00577F2F" w:rsidRDefault="00F9034A" w:rsidP="00F9034A">
      <w:pPr>
        <w:pStyle w:val="ListParagraph"/>
        <w:numPr>
          <w:ilvl w:val="0"/>
          <w:numId w:val="3"/>
        </w:numPr>
        <w:rPr>
          <w:rFonts w:cs="Times New Roman"/>
          <w:lang w:val="en-IN"/>
        </w:rPr>
      </w:pPr>
      <w:r w:rsidRPr="00577F2F">
        <w:rPr>
          <w:rFonts w:cs="Times New Roman"/>
          <w:b/>
          <w:bCs/>
          <w:lang w:val="en-IN"/>
        </w:rPr>
        <w:t>Improve short-term liquidity:</w:t>
      </w:r>
      <w:r w:rsidRPr="00577F2F">
        <w:rPr>
          <w:rFonts w:cs="Times New Roman"/>
          <w:lang w:val="en-IN"/>
        </w:rPr>
        <w:t xml:space="preserve"> </w:t>
      </w:r>
      <w:r w:rsidR="009F7C16" w:rsidRPr="009F7C16">
        <w:rPr>
          <w:rFonts w:cs="Times New Roman"/>
          <w:lang w:val="en-IN"/>
        </w:rPr>
        <w:t xml:space="preserve">Decreasing values of current and quick ratios imply smaller liquidity cushions (Barnabas and Oloyede, 2025). The company ought to enhance cash flow projection, speed up the rate of collection of its receivables and hold sufficient cash reserves that will </w:t>
      </w:r>
      <w:r w:rsidR="009F7C16">
        <w:rPr>
          <w:rFonts w:cs="Times New Roman"/>
          <w:lang w:val="en-IN"/>
        </w:rPr>
        <w:t>minimise</w:t>
      </w:r>
      <w:r w:rsidR="009F7C16" w:rsidRPr="009F7C16">
        <w:rPr>
          <w:rFonts w:cs="Times New Roman"/>
          <w:lang w:val="en-IN"/>
        </w:rPr>
        <w:t xml:space="preserve"> dependency on short-term financing and supplier credits</w:t>
      </w:r>
      <w:r w:rsidRPr="00577F2F">
        <w:rPr>
          <w:rFonts w:cs="Times New Roman"/>
          <w:lang w:val="en-IN"/>
        </w:rPr>
        <w:t>.</w:t>
      </w:r>
    </w:p>
    <w:p w14:paraId="7DC989C9" w14:textId="6E5CBE12" w:rsidR="00F9034A" w:rsidRPr="00577F2F" w:rsidRDefault="00F9034A" w:rsidP="00F9034A">
      <w:pPr>
        <w:pStyle w:val="ListParagraph"/>
        <w:numPr>
          <w:ilvl w:val="0"/>
          <w:numId w:val="3"/>
        </w:numPr>
        <w:rPr>
          <w:rFonts w:cs="Times New Roman"/>
          <w:lang w:val="en-IN"/>
        </w:rPr>
      </w:pPr>
      <w:r w:rsidRPr="00577F2F">
        <w:rPr>
          <w:rFonts w:cs="Times New Roman"/>
          <w:b/>
          <w:bCs/>
          <w:lang w:val="en-IN"/>
        </w:rPr>
        <w:t>Control financial leverage:</w:t>
      </w:r>
      <w:r w:rsidRPr="00577F2F">
        <w:rPr>
          <w:rFonts w:cs="Times New Roman"/>
          <w:lang w:val="en-IN"/>
        </w:rPr>
        <w:t xml:space="preserve"> </w:t>
      </w:r>
      <w:r w:rsidR="009F7C16" w:rsidRPr="009F7C16">
        <w:rPr>
          <w:rFonts w:cs="Times New Roman"/>
          <w:lang w:val="en-IN"/>
        </w:rPr>
        <w:t>Greater debt amounts have assisted in boosting ROE and ROCE</w:t>
      </w:r>
      <w:r w:rsidR="009F7C16">
        <w:rPr>
          <w:rFonts w:cs="Times New Roman"/>
          <w:lang w:val="en-IN"/>
        </w:rPr>
        <w:t>,</w:t>
      </w:r>
      <w:r w:rsidR="009F7C16" w:rsidRPr="009F7C16">
        <w:rPr>
          <w:rFonts w:cs="Times New Roman"/>
          <w:lang w:val="en-IN"/>
        </w:rPr>
        <w:t xml:space="preserve"> but decreased </w:t>
      </w:r>
      <w:r w:rsidR="009F7C16">
        <w:rPr>
          <w:rFonts w:cs="Times New Roman"/>
          <w:lang w:val="en-IN"/>
        </w:rPr>
        <w:t>coverage</w:t>
      </w:r>
      <w:r w:rsidR="009F7C16" w:rsidRPr="009F7C16">
        <w:rPr>
          <w:rFonts w:cs="Times New Roman"/>
          <w:lang w:val="en-IN"/>
        </w:rPr>
        <w:t xml:space="preserve"> of interest (Hayes, 2019). The management should focus on stabilising the debt levels, slow down the share buyback and see the possibility of financing </w:t>
      </w:r>
      <w:r w:rsidR="009F7C16">
        <w:rPr>
          <w:rFonts w:cs="Times New Roman"/>
          <w:lang w:val="en-IN"/>
        </w:rPr>
        <w:t xml:space="preserve">options </w:t>
      </w:r>
      <w:r w:rsidR="009F7C16" w:rsidRPr="009F7C16">
        <w:rPr>
          <w:rFonts w:cs="Times New Roman"/>
          <w:lang w:val="en-IN"/>
        </w:rPr>
        <w:t>to reduce the interest rate risk and enhance financial resilience</w:t>
      </w:r>
      <w:r w:rsidRPr="00577F2F">
        <w:rPr>
          <w:rFonts w:cs="Times New Roman"/>
          <w:lang w:val="en-IN"/>
        </w:rPr>
        <w:t>.</w:t>
      </w:r>
    </w:p>
    <w:p w14:paraId="37B7F0D0" w14:textId="30639E5C" w:rsidR="00F9034A" w:rsidRPr="00577F2F" w:rsidRDefault="00F9034A" w:rsidP="00F9034A">
      <w:pPr>
        <w:pStyle w:val="ListParagraph"/>
        <w:numPr>
          <w:ilvl w:val="0"/>
          <w:numId w:val="3"/>
        </w:numPr>
        <w:rPr>
          <w:rFonts w:cs="Times New Roman"/>
          <w:lang w:val="en-IN"/>
        </w:rPr>
      </w:pPr>
      <w:r w:rsidRPr="00577F2F">
        <w:rPr>
          <w:rFonts w:cs="Times New Roman"/>
          <w:b/>
          <w:bCs/>
          <w:lang w:val="en-IN"/>
        </w:rPr>
        <w:t>Optimise working capital efficiency:</w:t>
      </w:r>
      <w:r w:rsidRPr="00577F2F">
        <w:rPr>
          <w:rFonts w:cs="Times New Roman"/>
          <w:lang w:val="en-IN"/>
        </w:rPr>
        <w:t xml:space="preserve"> </w:t>
      </w:r>
      <w:r w:rsidR="009F7C16" w:rsidRPr="009F7C16">
        <w:rPr>
          <w:rFonts w:cs="Times New Roman"/>
          <w:lang w:val="en-IN"/>
        </w:rPr>
        <w:t xml:space="preserve">Investments in the inventory turnover must be maintained by means of enhanced demand planning (Mai, Ambashe and Ohueri, 2025). </w:t>
      </w:r>
      <w:r w:rsidR="009F7C16" w:rsidRPr="009F7C16">
        <w:rPr>
          <w:rFonts w:cs="Times New Roman"/>
          <w:lang w:val="en-IN"/>
        </w:rPr>
        <w:lastRenderedPageBreak/>
        <w:t>Nonetheless, the rise in receivables and payable days means that it is increasingly relying on sluggish cash flows. The management should strive to reduce the cash operating cycle without negatively impacting the relationship with suppliers and customers</w:t>
      </w:r>
      <w:r w:rsidRPr="00577F2F">
        <w:rPr>
          <w:rFonts w:cs="Times New Roman"/>
          <w:lang w:val="en-IN"/>
        </w:rPr>
        <w:t>.</w:t>
      </w:r>
    </w:p>
    <w:p w14:paraId="269E1ABB" w14:textId="37190219" w:rsidR="00F9034A" w:rsidRPr="00577F2F" w:rsidRDefault="00F9034A" w:rsidP="00F9034A">
      <w:pPr>
        <w:pStyle w:val="ListParagraph"/>
        <w:numPr>
          <w:ilvl w:val="0"/>
          <w:numId w:val="3"/>
        </w:numPr>
        <w:rPr>
          <w:rFonts w:cs="Times New Roman"/>
          <w:lang w:val="en-IN"/>
        </w:rPr>
      </w:pPr>
      <w:r w:rsidRPr="00577F2F">
        <w:rPr>
          <w:rFonts w:cs="Times New Roman"/>
          <w:b/>
          <w:bCs/>
          <w:lang w:val="en-IN"/>
        </w:rPr>
        <w:t>Align shareholder returns with earnings capacity:</w:t>
      </w:r>
      <w:r w:rsidRPr="00577F2F">
        <w:rPr>
          <w:rFonts w:cs="Times New Roman"/>
          <w:lang w:val="en-IN"/>
        </w:rPr>
        <w:t xml:space="preserve"> </w:t>
      </w:r>
      <w:r w:rsidR="009F7C16" w:rsidRPr="009F7C16">
        <w:rPr>
          <w:rFonts w:cs="Times New Roman"/>
          <w:lang w:val="en-IN"/>
        </w:rPr>
        <w:t xml:space="preserve">Although continuous dividend disbursement helps in keeping </w:t>
      </w:r>
      <w:r w:rsidR="009F7C16">
        <w:rPr>
          <w:rFonts w:cs="Times New Roman"/>
          <w:lang w:val="en-IN"/>
        </w:rPr>
        <w:t>investors'</w:t>
      </w:r>
      <w:r w:rsidR="009F7C16" w:rsidRPr="009F7C16">
        <w:rPr>
          <w:rFonts w:cs="Times New Roman"/>
          <w:lang w:val="en-IN"/>
        </w:rPr>
        <w:t xml:space="preserve"> confidence, future disbursements should be pegged at sustainable increases in earnings, so that it does not put a strain on liquidity and balance sheet strength (Rodgers Kimutai Maiyo, Josephat Cheboi and Limo, 2025</w:t>
      </w:r>
      <w:r w:rsidR="003323AC" w:rsidRPr="003323AC">
        <w:rPr>
          <w:rFonts w:cs="Times New Roman"/>
          <w:lang w:val="en-IN"/>
        </w:rPr>
        <w:t>)</w:t>
      </w:r>
      <w:r w:rsidRPr="00577F2F">
        <w:rPr>
          <w:rFonts w:cs="Times New Roman"/>
          <w:lang w:val="en-IN"/>
        </w:rPr>
        <w:t>.</w:t>
      </w:r>
    </w:p>
    <w:p w14:paraId="54584314" w14:textId="77777777" w:rsidR="00F9034A" w:rsidRPr="00577F2F" w:rsidRDefault="00F9034A">
      <w:pPr>
        <w:spacing w:line="259" w:lineRule="auto"/>
        <w:jc w:val="left"/>
        <w:rPr>
          <w:rFonts w:cs="Times New Roman"/>
          <w:lang w:val="en-IN"/>
        </w:rPr>
      </w:pPr>
      <w:r w:rsidRPr="00577F2F">
        <w:rPr>
          <w:rFonts w:cs="Times New Roman"/>
          <w:lang w:val="en-IN"/>
        </w:rPr>
        <w:br w:type="page"/>
      </w:r>
    </w:p>
    <w:p w14:paraId="3A27B447" w14:textId="77777777" w:rsidR="009E4BC0" w:rsidRPr="00577F2F" w:rsidRDefault="009E4BC0" w:rsidP="009E4BC0">
      <w:pPr>
        <w:pStyle w:val="Heading1"/>
        <w:rPr>
          <w:rFonts w:ascii="Times New Roman" w:hAnsi="Times New Roman" w:cs="Times New Roman"/>
          <w:lang w:val="en-IN"/>
        </w:rPr>
      </w:pPr>
      <w:bookmarkStart w:id="7" w:name="_Toc219014267"/>
      <w:r w:rsidRPr="00577F2F">
        <w:rPr>
          <w:rFonts w:ascii="Times New Roman" w:hAnsi="Times New Roman" w:cs="Times New Roman"/>
          <w:lang w:val="en-IN"/>
        </w:rPr>
        <w:lastRenderedPageBreak/>
        <w:t>Part 02</w:t>
      </w:r>
      <w:bookmarkEnd w:id="7"/>
    </w:p>
    <w:p w14:paraId="4E554C80" w14:textId="069496A1" w:rsidR="009E4BC0" w:rsidRPr="00577F2F" w:rsidRDefault="009E4BC0" w:rsidP="009E4BC0">
      <w:pPr>
        <w:pStyle w:val="Heading2"/>
        <w:numPr>
          <w:ilvl w:val="0"/>
          <w:numId w:val="4"/>
        </w:numPr>
        <w:rPr>
          <w:rFonts w:ascii="Times New Roman" w:hAnsi="Times New Roman" w:cs="Times New Roman"/>
        </w:rPr>
      </w:pPr>
      <w:bookmarkStart w:id="8" w:name="_Toc219014268"/>
      <w:r w:rsidRPr="00577F2F">
        <w:rPr>
          <w:rFonts w:ascii="Times New Roman" w:hAnsi="Times New Roman" w:cs="Times New Roman"/>
        </w:rPr>
        <w:t>Investment Decision Context</w:t>
      </w:r>
      <w:bookmarkEnd w:id="8"/>
    </w:p>
    <w:p w14:paraId="42235E27" w14:textId="63D49560" w:rsidR="009E4BC0" w:rsidRPr="00577F2F" w:rsidRDefault="009F7C16" w:rsidP="009E4BC0">
      <w:pPr>
        <w:rPr>
          <w:rFonts w:cs="Times New Roman"/>
        </w:rPr>
      </w:pPr>
      <w:r w:rsidRPr="009F7C16">
        <w:rPr>
          <w:rFonts w:cs="Times New Roman"/>
        </w:rPr>
        <w:t>Westward Plc is bearing in mind a strategic investment programme which is aimed at helping it to grow its business and also grow long term. The directors have revealed three other possible investment options</w:t>
      </w:r>
      <w:r w:rsidR="003275E1">
        <w:rPr>
          <w:rFonts w:cs="Times New Roman"/>
        </w:rPr>
        <w:t>,</w:t>
      </w:r>
      <w:r w:rsidRPr="009F7C16">
        <w:rPr>
          <w:rFonts w:cs="Times New Roman"/>
        </w:rPr>
        <w:t xml:space="preserve"> all of which have very high initial capital outlay, and have cash inflows after a </w:t>
      </w:r>
      <w:r w:rsidR="003275E1">
        <w:rPr>
          <w:rFonts w:cs="Times New Roman"/>
        </w:rPr>
        <w:t>four-year</w:t>
      </w:r>
      <w:r w:rsidRPr="009F7C16">
        <w:rPr>
          <w:rFonts w:cs="Times New Roman"/>
        </w:rPr>
        <w:t xml:space="preserve"> period. The suggested capital expenditures are as follows: in the case of Option A, it is 600, 000 pounds, in the case of Option B, it is 1, 000,000 pounds, and in the case of Option C, it is 1,600,000 pounds, which are the materially different undertakings of financial resources and exposure to risk. Considering the magnitude of such capital investments and the duration of the projects, there is a high necessity that the investment decisions must be buttressed by a strong and value-based appraisal method. Net Present Value (NPV) has thus been chosen as the main means of evaluation as it takes into account the time value of money, specifically takes note of taxation and capital allowances and directly quantifies the effects of any project on shareholder value (Corporate Finance Institute, 2025). The following analysis will be done to estimate whether each option will produce discounted cash inflows sufficient to warrant the initial outlay of the capital expended by the company</w:t>
      </w:r>
      <w:r w:rsidR="003275E1">
        <w:rPr>
          <w:rFonts w:cs="Times New Roman"/>
        </w:rPr>
        <w:t>,</w:t>
      </w:r>
      <w:r w:rsidRPr="009F7C16">
        <w:rPr>
          <w:rFonts w:cs="Times New Roman"/>
        </w:rPr>
        <w:t xml:space="preserve"> using a discount rate of 6</w:t>
      </w:r>
      <w:r w:rsidR="003275E1">
        <w:rPr>
          <w:rFonts w:cs="Times New Roman"/>
        </w:rPr>
        <w:t>,</w:t>
      </w:r>
      <w:r w:rsidRPr="009F7C16">
        <w:rPr>
          <w:rFonts w:cs="Times New Roman"/>
        </w:rPr>
        <w:t xml:space="preserve"> which represents the cost of funds to the company. An acceptable project is one that generates a positive NPV</w:t>
      </w:r>
      <w:r w:rsidR="003275E1">
        <w:rPr>
          <w:rFonts w:cs="Times New Roman"/>
        </w:rPr>
        <w:t>,</w:t>
      </w:r>
      <w:r w:rsidRPr="009F7C16">
        <w:rPr>
          <w:rFonts w:cs="Times New Roman"/>
        </w:rPr>
        <w:t xml:space="preserve"> and mutually exclusive projects should include the one whose NPV is the highest</w:t>
      </w:r>
      <w:r w:rsidR="003275E1">
        <w:rPr>
          <w:rFonts w:cs="Times New Roman"/>
        </w:rPr>
        <w:t>,</w:t>
      </w:r>
      <w:r w:rsidRPr="009F7C16">
        <w:rPr>
          <w:rFonts w:cs="Times New Roman"/>
        </w:rPr>
        <w:t xml:space="preserve"> as this is the one that maximises the wealth of shareholders</w:t>
      </w:r>
      <w:r w:rsidR="009E4BC0" w:rsidRPr="00577F2F">
        <w:rPr>
          <w:rFonts w:cs="Times New Roman"/>
        </w:rPr>
        <w:t>.</w:t>
      </w:r>
    </w:p>
    <w:p w14:paraId="5CD7235B" w14:textId="3DBEE0B0" w:rsidR="009E4BC0" w:rsidRPr="00577F2F" w:rsidRDefault="009E4BC0" w:rsidP="009E4BC0">
      <w:pPr>
        <w:pStyle w:val="ListParagraph"/>
        <w:numPr>
          <w:ilvl w:val="0"/>
          <w:numId w:val="5"/>
        </w:numPr>
        <w:rPr>
          <w:rFonts w:cs="Times New Roman"/>
        </w:rPr>
      </w:pPr>
      <w:r w:rsidRPr="00577F2F">
        <w:rPr>
          <w:rFonts w:cs="Times New Roman"/>
        </w:rPr>
        <w:t>Investment Appraisal Using NPV</w:t>
      </w:r>
    </w:p>
    <w:p w14:paraId="414C034B" w14:textId="31FEC4F0" w:rsidR="009E4BC0" w:rsidRPr="00577F2F" w:rsidRDefault="009E4BC0" w:rsidP="009E4BC0">
      <w:pPr>
        <w:rPr>
          <w:rFonts w:cs="Times New Roman"/>
          <w:b/>
          <w:bCs/>
        </w:rPr>
      </w:pPr>
      <w:r w:rsidRPr="00577F2F">
        <w:rPr>
          <w:rFonts w:cs="Times New Roman"/>
          <w:b/>
          <w:bCs/>
        </w:rPr>
        <w:t>Option A: Expand retail outlet</w:t>
      </w:r>
    </w:p>
    <w:p w14:paraId="42A7E311" w14:textId="3793EF31" w:rsidR="009E4BC0" w:rsidRPr="00577F2F" w:rsidRDefault="009E4BC0" w:rsidP="009E4BC0">
      <w:pPr>
        <w:rPr>
          <w:rFonts w:cs="Times New Roman"/>
        </w:rPr>
      </w:pPr>
      <w:r w:rsidRPr="00577F2F">
        <w:rPr>
          <w:rFonts w:cs="Times New Roman"/>
        </w:rPr>
        <w:t>Initial investment: £600,000</w:t>
      </w:r>
    </w:p>
    <w:p w14:paraId="16041A7F" w14:textId="66E32B86" w:rsidR="009E4BC0" w:rsidRPr="00577F2F" w:rsidRDefault="009E4BC0" w:rsidP="009E4BC0">
      <w:pPr>
        <w:rPr>
          <w:rFonts w:eastAsiaTheme="minorEastAsia" w:cs="Times New Roman"/>
        </w:rPr>
      </w:pPr>
      <w:r w:rsidRPr="00577F2F">
        <w:rPr>
          <w:rFonts w:cs="Times New Roman"/>
        </w:rPr>
        <w:t>Capital allowance per year = </w:t>
      </w:r>
      <m:oMath>
        <m:r>
          <w:rPr>
            <w:rFonts w:ascii="Cambria Math" w:hAnsi="Cambria Math" w:cs="Times New Roman"/>
          </w:rPr>
          <m:t>600,000×20</m:t>
        </m:r>
        <m:r>
          <m:rPr>
            <m:sty m:val="p"/>
          </m:rPr>
          <w:rPr>
            <w:rFonts w:ascii="Cambria Math" w:hAnsi="Cambria Math" w:cs="Times New Roman"/>
          </w:rPr>
          <m:t>%</m:t>
        </m:r>
        <m:r>
          <w:rPr>
            <w:rFonts w:ascii="Cambria Math" w:hAnsi="Cambria Math" w:cs="Times New Roman"/>
          </w:rPr>
          <m:t>=120,000</m:t>
        </m:r>
      </m:oMath>
    </w:p>
    <w:p w14:paraId="39BA7823" w14:textId="5E68C418" w:rsidR="009E4BC0" w:rsidRPr="00577F2F" w:rsidRDefault="009E4BC0" w:rsidP="009E4BC0">
      <w:pPr>
        <w:rPr>
          <w:rFonts w:eastAsiaTheme="minorEastAsia" w:cs="Times New Roman"/>
        </w:rPr>
      </w:pPr>
      <w:r w:rsidRPr="00577F2F">
        <w:rPr>
          <w:rFonts w:cs="Times New Roman"/>
        </w:rPr>
        <w:t>Tax saving per year = </w:t>
      </w:r>
      <m:oMath>
        <m:r>
          <w:rPr>
            <w:rFonts w:ascii="Cambria Math" w:hAnsi="Cambria Math" w:cs="Times New Roman"/>
          </w:rPr>
          <m:t>120,000×25</m:t>
        </m:r>
        <m:r>
          <m:rPr>
            <m:sty m:val="p"/>
          </m:rPr>
          <w:rPr>
            <w:rFonts w:ascii="Cambria Math" w:hAnsi="Cambria Math" w:cs="Times New Roman"/>
          </w:rPr>
          <m:t>%</m:t>
        </m:r>
        <m:r>
          <w:rPr>
            <w:rFonts w:ascii="Cambria Math" w:hAnsi="Cambria Math" w:cs="Times New Roman"/>
          </w:rPr>
          <m:t>=30,000</m:t>
        </m:r>
      </m:oMath>
    </w:p>
    <w:p w14:paraId="5FC63485" w14:textId="77777777" w:rsidR="009E4BC0" w:rsidRPr="00577F2F" w:rsidRDefault="009E4BC0" w:rsidP="009E4BC0">
      <w:pPr>
        <w:rPr>
          <w:rFonts w:eastAsiaTheme="minorEastAsia" w:cs="Times New Roman"/>
        </w:rPr>
      </w:pPr>
      <w:r w:rsidRPr="00577F2F">
        <w:rPr>
          <w:rFonts w:eastAsiaTheme="minorEastAsia" w:cs="Times New Roman"/>
        </w:rPr>
        <w:t>Discount Factor = 6%</w:t>
      </w:r>
    </w:p>
    <w:tbl>
      <w:tblPr>
        <w:tblStyle w:val="GridTable1Light"/>
        <w:tblW w:w="9574" w:type="dxa"/>
        <w:tblLook w:val="04A0" w:firstRow="1" w:lastRow="0" w:firstColumn="1" w:lastColumn="0" w:noHBand="0" w:noVBand="1"/>
      </w:tblPr>
      <w:tblGrid>
        <w:gridCol w:w="723"/>
        <w:gridCol w:w="993"/>
        <w:gridCol w:w="1342"/>
        <w:gridCol w:w="1629"/>
        <w:gridCol w:w="993"/>
        <w:gridCol w:w="1943"/>
        <w:gridCol w:w="1123"/>
        <w:gridCol w:w="1118"/>
      </w:tblGrid>
      <w:tr w:rsidR="009E4BC0" w:rsidRPr="00577F2F" w14:paraId="4BF502D5" w14:textId="77777777" w:rsidTr="009E4BC0">
        <w:trPr>
          <w:cnfStyle w:val="100000000000" w:firstRow="1" w:lastRow="0" w:firstColumn="0" w:lastColumn="0" w:oddVBand="0" w:evenVBand="0" w:oddHBand="0" w:evenHBand="0" w:firstRowFirstColumn="0" w:firstRowLastColumn="0" w:lastRowFirstColumn="0" w:lastRowLastColumn="0"/>
          <w:trHeight w:val="592"/>
        </w:trPr>
        <w:tc>
          <w:tcPr>
            <w:cnfStyle w:val="001000000000" w:firstRow="0" w:lastRow="0" w:firstColumn="1" w:lastColumn="0" w:oddVBand="0" w:evenVBand="0" w:oddHBand="0" w:evenHBand="0" w:firstRowFirstColumn="0" w:firstRowLastColumn="0" w:lastRowFirstColumn="0" w:lastRowLastColumn="0"/>
            <w:tcW w:w="438" w:type="dxa"/>
            <w:noWrap/>
            <w:hideMark/>
          </w:tcPr>
          <w:p w14:paraId="6583A8A1" w14:textId="77777777" w:rsidR="009E4BC0" w:rsidRPr="00577F2F" w:rsidRDefault="009E4BC0" w:rsidP="009E4BC0">
            <w:pPr>
              <w:rPr>
                <w:rFonts w:cs="Times New Roman"/>
                <w:lang w:val="en-IN"/>
              </w:rPr>
            </w:pPr>
            <w:r w:rsidRPr="00577F2F">
              <w:rPr>
                <w:rFonts w:cs="Times New Roman"/>
              </w:rPr>
              <w:t>Year</w:t>
            </w:r>
          </w:p>
        </w:tc>
        <w:tc>
          <w:tcPr>
            <w:tcW w:w="993" w:type="dxa"/>
            <w:noWrap/>
            <w:hideMark/>
          </w:tcPr>
          <w:p w14:paraId="06E91703" w14:textId="77777777" w:rsidR="009E4BC0" w:rsidRPr="00577F2F" w:rsidRDefault="009E4BC0">
            <w:pPr>
              <w:cnfStyle w:val="100000000000" w:firstRow="1" w:lastRow="0" w:firstColumn="0" w:lastColumn="0" w:oddVBand="0" w:evenVBand="0" w:oddHBand="0" w:evenHBand="0" w:firstRowFirstColumn="0" w:firstRowLastColumn="0" w:lastRowFirstColumn="0" w:lastRowLastColumn="0"/>
              <w:rPr>
                <w:rFonts w:cs="Times New Roman"/>
              </w:rPr>
            </w:pPr>
            <w:r w:rsidRPr="00577F2F">
              <w:rPr>
                <w:rFonts w:cs="Times New Roman"/>
              </w:rPr>
              <w:t>Cash Flow (£'000)</w:t>
            </w:r>
          </w:p>
        </w:tc>
        <w:tc>
          <w:tcPr>
            <w:tcW w:w="1342" w:type="dxa"/>
            <w:noWrap/>
            <w:hideMark/>
          </w:tcPr>
          <w:p w14:paraId="37247E7F" w14:textId="77777777" w:rsidR="009E4BC0" w:rsidRPr="00577F2F" w:rsidRDefault="009E4BC0">
            <w:pPr>
              <w:cnfStyle w:val="100000000000" w:firstRow="1" w:lastRow="0" w:firstColumn="0" w:lastColumn="0" w:oddVBand="0" w:evenVBand="0" w:oddHBand="0" w:evenHBand="0" w:firstRowFirstColumn="0" w:firstRowLastColumn="0" w:lastRowFirstColumn="0" w:lastRowLastColumn="0"/>
              <w:rPr>
                <w:rFonts w:cs="Times New Roman"/>
              </w:rPr>
            </w:pPr>
            <w:r w:rsidRPr="00577F2F">
              <w:rPr>
                <w:rFonts w:cs="Times New Roman"/>
              </w:rPr>
              <w:t>Capital Allowance (£'000)</w:t>
            </w:r>
          </w:p>
        </w:tc>
        <w:tc>
          <w:tcPr>
            <w:tcW w:w="1629" w:type="dxa"/>
            <w:noWrap/>
            <w:hideMark/>
          </w:tcPr>
          <w:p w14:paraId="0E158EA7" w14:textId="77777777" w:rsidR="009E4BC0" w:rsidRPr="00577F2F" w:rsidRDefault="009E4BC0">
            <w:pPr>
              <w:cnfStyle w:val="100000000000" w:firstRow="1" w:lastRow="0" w:firstColumn="0" w:lastColumn="0" w:oddVBand="0" w:evenVBand="0" w:oddHBand="0" w:evenHBand="0" w:firstRowFirstColumn="0" w:firstRowLastColumn="0" w:lastRowFirstColumn="0" w:lastRowLastColumn="0"/>
              <w:rPr>
                <w:rFonts w:cs="Times New Roman"/>
              </w:rPr>
            </w:pPr>
            <w:r w:rsidRPr="00577F2F">
              <w:rPr>
                <w:rFonts w:cs="Times New Roman"/>
              </w:rPr>
              <w:t>Taxable Profit (CF - CA) (£'000)</w:t>
            </w:r>
          </w:p>
        </w:tc>
        <w:tc>
          <w:tcPr>
            <w:tcW w:w="993" w:type="dxa"/>
            <w:noWrap/>
            <w:hideMark/>
          </w:tcPr>
          <w:p w14:paraId="6C0E5F34" w14:textId="77777777" w:rsidR="009E4BC0" w:rsidRPr="00577F2F" w:rsidRDefault="009E4BC0">
            <w:pPr>
              <w:cnfStyle w:val="100000000000" w:firstRow="1" w:lastRow="0" w:firstColumn="0" w:lastColumn="0" w:oddVBand="0" w:evenVBand="0" w:oddHBand="0" w:evenHBand="0" w:firstRowFirstColumn="0" w:firstRowLastColumn="0" w:lastRowFirstColumn="0" w:lastRowLastColumn="0"/>
              <w:rPr>
                <w:rFonts w:cs="Times New Roman"/>
              </w:rPr>
            </w:pPr>
            <w:r w:rsidRPr="00577F2F">
              <w:rPr>
                <w:rFonts w:cs="Times New Roman"/>
              </w:rPr>
              <w:t>Tax (25%) (£'000)</w:t>
            </w:r>
          </w:p>
        </w:tc>
        <w:tc>
          <w:tcPr>
            <w:tcW w:w="1943" w:type="dxa"/>
            <w:noWrap/>
            <w:hideMark/>
          </w:tcPr>
          <w:p w14:paraId="7E67331E" w14:textId="77777777" w:rsidR="009E4BC0" w:rsidRPr="00577F2F" w:rsidRDefault="009E4BC0">
            <w:pPr>
              <w:cnfStyle w:val="100000000000" w:firstRow="1" w:lastRow="0" w:firstColumn="0" w:lastColumn="0" w:oddVBand="0" w:evenVBand="0" w:oddHBand="0" w:evenHBand="0" w:firstRowFirstColumn="0" w:firstRowLastColumn="0" w:lastRowFirstColumn="0" w:lastRowLastColumn="0"/>
              <w:rPr>
                <w:rFonts w:cs="Times New Roman"/>
              </w:rPr>
            </w:pPr>
            <w:r w:rsidRPr="00577F2F">
              <w:rPr>
                <w:rFonts w:cs="Times New Roman"/>
              </w:rPr>
              <w:t>After-Tax Cash Flow (CF - Tax) (£'000)</w:t>
            </w:r>
          </w:p>
        </w:tc>
        <w:tc>
          <w:tcPr>
            <w:tcW w:w="1118" w:type="dxa"/>
            <w:noWrap/>
            <w:hideMark/>
          </w:tcPr>
          <w:p w14:paraId="5820EF06" w14:textId="77777777" w:rsidR="009E4BC0" w:rsidRPr="00577F2F" w:rsidRDefault="009E4BC0">
            <w:pPr>
              <w:cnfStyle w:val="100000000000" w:firstRow="1" w:lastRow="0" w:firstColumn="0" w:lastColumn="0" w:oddVBand="0" w:evenVBand="0" w:oddHBand="0" w:evenHBand="0" w:firstRowFirstColumn="0" w:firstRowLastColumn="0" w:lastRowFirstColumn="0" w:lastRowLastColumn="0"/>
              <w:rPr>
                <w:rFonts w:cs="Times New Roman"/>
              </w:rPr>
            </w:pPr>
            <w:r w:rsidRPr="00577F2F">
              <w:rPr>
                <w:rFonts w:cs="Times New Roman"/>
              </w:rPr>
              <w:t>Discount Factor (6%)</w:t>
            </w:r>
          </w:p>
        </w:tc>
        <w:tc>
          <w:tcPr>
            <w:tcW w:w="1118" w:type="dxa"/>
            <w:noWrap/>
            <w:hideMark/>
          </w:tcPr>
          <w:p w14:paraId="027E8D07" w14:textId="77777777" w:rsidR="009E4BC0" w:rsidRPr="00577F2F" w:rsidRDefault="009E4BC0">
            <w:pPr>
              <w:cnfStyle w:val="100000000000" w:firstRow="1" w:lastRow="0" w:firstColumn="0" w:lastColumn="0" w:oddVBand="0" w:evenVBand="0" w:oddHBand="0" w:evenHBand="0" w:firstRowFirstColumn="0" w:firstRowLastColumn="0" w:lastRowFirstColumn="0" w:lastRowLastColumn="0"/>
              <w:rPr>
                <w:rFonts w:cs="Times New Roman"/>
              </w:rPr>
            </w:pPr>
            <w:r w:rsidRPr="00577F2F">
              <w:rPr>
                <w:rFonts w:cs="Times New Roman"/>
              </w:rPr>
              <w:t>Present Value (£'000)</w:t>
            </w:r>
          </w:p>
        </w:tc>
      </w:tr>
      <w:tr w:rsidR="00577F2F" w:rsidRPr="00577F2F" w14:paraId="29D9A588" w14:textId="77777777" w:rsidTr="009E4BC0">
        <w:trPr>
          <w:trHeight w:val="592"/>
        </w:trPr>
        <w:tc>
          <w:tcPr>
            <w:cnfStyle w:val="001000000000" w:firstRow="0" w:lastRow="0" w:firstColumn="1" w:lastColumn="0" w:oddVBand="0" w:evenVBand="0" w:oddHBand="0" w:evenHBand="0" w:firstRowFirstColumn="0" w:firstRowLastColumn="0" w:lastRowFirstColumn="0" w:lastRowLastColumn="0"/>
            <w:tcW w:w="438" w:type="dxa"/>
            <w:noWrap/>
            <w:hideMark/>
          </w:tcPr>
          <w:p w14:paraId="117A958D" w14:textId="77777777" w:rsidR="009E4BC0" w:rsidRPr="00577F2F" w:rsidRDefault="009E4BC0" w:rsidP="009E4BC0">
            <w:pPr>
              <w:rPr>
                <w:rFonts w:cs="Times New Roman"/>
              </w:rPr>
            </w:pPr>
            <w:r w:rsidRPr="00577F2F">
              <w:rPr>
                <w:rFonts w:cs="Times New Roman"/>
              </w:rPr>
              <w:t>0</w:t>
            </w:r>
          </w:p>
        </w:tc>
        <w:tc>
          <w:tcPr>
            <w:tcW w:w="993" w:type="dxa"/>
            <w:noWrap/>
            <w:hideMark/>
          </w:tcPr>
          <w:p w14:paraId="26C8097B" w14:textId="77777777" w:rsidR="009E4BC0" w:rsidRPr="00577F2F" w:rsidRDefault="009E4BC0" w:rsidP="009E4BC0">
            <w:pPr>
              <w:cnfStyle w:val="000000000000" w:firstRow="0" w:lastRow="0" w:firstColumn="0" w:lastColumn="0" w:oddVBand="0" w:evenVBand="0" w:oddHBand="0" w:evenHBand="0" w:firstRowFirstColumn="0" w:firstRowLastColumn="0" w:lastRowFirstColumn="0" w:lastRowLastColumn="0"/>
              <w:rPr>
                <w:rFonts w:cs="Times New Roman"/>
              </w:rPr>
            </w:pPr>
            <w:r w:rsidRPr="00577F2F">
              <w:rPr>
                <w:rFonts w:cs="Times New Roman"/>
              </w:rPr>
              <w:t>-600</w:t>
            </w:r>
          </w:p>
        </w:tc>
        <w:tc>
          <w:tcPr>
            <w:tcW w:w="1342" w:type="dxa"/>
            <w:noWrap/>
            <w:hideMark/>
          </w:tcPr>
          <w:p w14:paraId="6320838E" w14:textId="77777777" w:rsidR="009E4BC0" w:rsidRPr="00577F2F" w:rsidRDefault="009E4BC0" w:rsidP="009E4BC0">
            <w:pPr>
              <w:cnfStyle w:val="000000000000" w:firstRow="0" w:lastRow="0" w:firstColumn="0" w:lastColumn="0" w:oddVBand="0" w:evenVBand="0" w:oddHBand="0" w:evenHBand="0" w:firstRowFirstColumn="0" w:firstRowLastColumn="0" w:lastRowFirstColumn="0" w:lastRowLastColumn="0"/>
              <w:rPr>
                <w:rFonts w:cs="Times New Roman"/>
              </w:rPr>
            </w:pPr>
          </w:p>
        </w:tc>
        <w:tc>
          <w:tcPr>
            <w:tcW w:w="1629" w:type="dxa"/>
            <w:noWrap/>
            <w:hideMark/>
          </w:tcPr>
          <w:p w14:paraId="7163D08D" w14:textId="77777777" w:rsidR="009E4BC0" w:rsidRPr="00577F2F" w:rsidRDefault="009E4BC0">
            <w:pPr>
              <w:cnfStyle w:val="000000000000" w:firstRow="0" w:lastRow="0" w:firstColumn="0" w:lastColumn="0" w:oddVBand="0" w:evenVBand="0" w:oddHBand="0" w:evenHBand="0" w:firstRowFirstColumn="0" w:firstRowLastColumn="0" w:lastRowFirstColumn="0" w:lastRowLastColumn="0"/>
              <w:rPr>
                <w:rFonts w:cs="Times New Roman"/>
              </w:rPr>
            </w:pPr>
          </w:p>
        </w:tc>
        <w:tc>
          <w:tcPr>
            <w:tcW w:w="993" w:type="dxa"/>
            <w:noWrap/>
            <w:hideMark/>
          </w:tcPr>
          <w:p w14:paraId="1D4495A1" w14:textId="77777777" w:rsidR="009E4BC0" w:rsidRPr="00577F2F" w:rsidRDefault="009E4BC0">
            <w:pPr>
              <w:cnfStyle w:val="000000000000" w:firstRow="0" w:lastRow="0" w:firstColumn="0" w:lastColumn="0" w:oddVBand="0" w:evenVBand="0" w:oddHBand="0" w:evenHBand="0" w:firstRowFirstColumn="0" w:firstRowLastColumn="0" w:lastRowFirstColumn="0" w:lastRowLastColumn="0"/>
              <w:rPr>
                <w:rFonts w:cs="Times New Roman"/>
              </w:rPr>
            </w:pPr>
          </w:p>
        </w:tc>
        <w:tc>
          <w:tcPr>
            <w:tcW w:w="1943" w:type="dxa"/>
            <w:noWrap/>
            <w:hideMark/>
          </w:tcPr>
          <w:p w14:paraId="6B2D043F" w14:textId="77777777" w:rsidR="009E4BC0" w:rsidRPr="00577F2F" w:rsidRDefault="009E4BC0">
            <w:pPr>
              <w:cnfStyle w:val="000000000000" w:firstRow="0" w:lastRow="0" w:firstColumn="0" w:lastColumn="0" w:oddVBand="0" w:evenVBand="0" w:oddHBand="0" w:evenHBand="0" w:firstRowFirstColumn="0" w:firstRowLastColumn="0" w:lastRowFirstColumn="0" w:lastRowLastColumn="0"/>
              <w:rPr>
                <w:rFonts w:cs="Times New Roman"/>
              </w:rPr>
            </w:pPr>
          </w:p>
        </w:tc>
        <w:tc>
          <w:tcPr>
            <w:tcW w:w="1118" w:type="dxa"/>
            <w:noWrap/>
            <w:hideMark/>
          </w:tcPr>
          <w:p w14:paraId="3908DF05" w14:textId="77777777" w:rsidR="009E4BC0" w:rsidRPr="00577F2F" w:rsidRDefault="009E4BC0">
            <w:pPr>
              <w:cnfStyle w:val="000000000000" w:firstRow="0" w:lastRow="0" w:firstColumn="0" w:lastColumn="0" w:oddVBand="0" w:evenVBand="0" w:oddHBand="0" w:evenHBand="0" w:firstRowFirstColumn="0" w:firstRowLastColumn="0" w:lastRowFirstColumn="0" w:lastRowLastColumn="0"/>
              <w:rPr>
                <w:rFonts w:cs="Times New Roman"/>
              </w:rPr>
            </w:pPr>
          </w:p>
        </w:tc>
        <w:tc>
          <w:tcPr>
            <w:tcW w:w="1118" w:type="dxa"/>
            <w:noWrap/>
            <w:hideMark/>
          </w:tcPr>
          <w:p w14:paraId="24609FA8" w14:textId="77777777" w:rsidR="009E4BC0" w:rsidRPr="00577F2F" w:rsidRDefault="009E4BC0" w:rsidP="009E4BC0">
            <w:pPr>
              <w:cnfStyle w:val="000000000000" w:firstRow="0" w:lastRow="0" w:firstColumn="0" w:lastColumn="0" w:oddVBand="0" w:evenVBand="0" w:oddHBand="0" w:evenHBand="0" w:firstRowFirstColumn="0" w:firstRowLastColumn="0" w:lastRowFirstColumn="0" w:lastRowLastColumn="0"/>
              <w:rPr>
                <w:rFonts w:cs="Times New Roman"/>
              </w:rPr>
            </w:pPr>
            <w:r w:rsidRPr="00577F2F">
              <w:rPr>
                <w:rFonts w:cs="Times New Roman"/>
              </w:rPr>
              <w:t>-600</w:t>
            </w:r>
          </w:p>
        </w:tc>
      </w:tr>
      <w:tr w:rsidR="00577F2F" w:rsidRPr="00577F2F" w14:paraId="3C093C44" w14:textId="77777777" w:rsidTr="009E4BC0">
        <w:trPr>
          <w:trHeight w:val="592"/>
        </w:trPr>
        <w:tc>
          <w:tcPr>
            <w:cnfStyle w:val="001000000000" w:firstRow="0" w:lastRow="0" w:firstColumn="1" w:lastColumn="0" w:oddVBand="0" w:evenVBand="0" w:oddHBand="0" w:evenHBand="0" w:firstRowFirstColumn="0" w:firstRowLastColumn="0" w:lastRowFirstColumn="0" w:lastRowLastColumn="0"/>
            <w:tcW w:w="438" w:type="dxa"/>
            <w:noWrap/>
            <w:hideMark/>
          </w:tcPr>
          <w:p w14:paraId="1DB02069" w14:textId="77777777" w:rsidR="009E4BC0" w:rsidRPr="00577F2F" w:rsidRDefault="009E4BC0" w:rsidP="009E4BC0">
            <w:pPr>
              <w:rPr>
                <w:rFonts w:cs="Times New Roman"/>
              </w:rPr>
            </w:pPr>
            <w:r w:rsidRPr="00577F2F">
              <w:rPr>
                <w:rFonts w:cs="Times New Roman"/>
              </w:rPr>
              <w:lastRenderedPageBreak/>
              <w:t>1</w:t>
            </w:r>
          </w:p>
        </w:tc>
        <w:tc>
          <w:tcPr>
            <w:tcW w:w="993" w:type="dxa"/>
            <w:noWrap/>
            <w:hideMark/>
          </w:tcPr>
          <w:p w14:paraId="08D812FF" w14:textId="77777777" w:rsidR="009E4BC0" w:rsidRPr="00577F2F" w:rsidRDefault="009E4BC0" w:rsidP="009E4BC0">
            <w:pPr>
              <w:cnfStyle w:val="000000000000" w:firstRow="0" w:lastRow="0" w:firstColumn="0" w:lastColumn="0" w:oddVBand="0" w:evenVBand="0" w:oddHBand="0" w:evenHBand="0" w:firstRowFirstColumn="0" w:firstRowLastColumn="0" w:lastRowFirstColumn="0" w:lastRowLastColumn="0"/>
              <w:rPr>
                <w:rFonts w:cs="Times New Roman"/>
              </w:rPr>
            </w:pPr>
            <w:r w:rsidRPr="00577F2F">
              <w:rPr>
                <w:rFonts w:cs="Times New Roman"/>
              </w:rPr>
              <w:t>200</w:t>
            </w:r>
          </w:p>
        </w:tc>
        <w:tc>
          <w:tcPr>
            <w:tcW w:w="1342" w:type="dxa"/>
            <w:noWrap/>
            <w:hideMark/>
          </w:tcPr>
          <w:p w14:paraId="645D729D" w14:textId="77777777" w:rsidR="009E4BC0" w:rsidRPr="00577F2F" w:rsidRDefault="009E4BC0" w:rsidP="009E4BC0">
            <w:pPr>
              <w:cnfStyle w:val="000000000000" w:firstRow="0" w:lastRow="0" w:firstColumn="0" w:lastColumn="0" w:oddVBand="0" w:evenVBand="0" w:oddHBand="0" w:evenHBand="0" w:firstRowFirstColumn="0" w:firstRowLastColumn="0" w:lastRowFirstColumn="0" w:lastRowLastColumn="0"/>
              <w:rPr>
                <w:rFonts w:cs="Times New Roman"/>
              </w:rPr>
            </w:pPr>
            <w:r w:rsidRPr="00577F2F">
              <w:rPr>
                <w:rFonts w:cs="Times New Roman"/>
              </w:rPr>
              <w:t>120</w:t>
            </w:r>
          </w:p>
        </w:tc>
        <w:tc>
          <w:tcPr>
            <w:tcW w:w="1629" w:type="dxa"/>
            <w:noWrap/>
            <w:hideMark/>
          </w:tcPr>
          <w:p w14:paraId="7002D0CA" w14:textId="77777777" w:rsidR="009E4BC0" w:rsidRPr="00577F2F" w:rsidRDefault="009E4BC0" w:rsidP="009E4BC0">
            <w:pPr>
              <w:cnfStyle w:val="000000000000" w:firstRow="0" w:lastRow="0" w:firstColumn="0" w:lastColumn="0" w:oddVBand="0" w:evenVBand="0" w:oddHBand="0" w:evenHBand="0" w:firstRowFirstColumn="0" w:firstRowLastColumn="0" w:lastRowFirstColumn="0" w:lastRowLastColumn="0"/>
              <w:rPr>
                <w:rFonts w:cs="Times New Roman"/>
              </w:rPr>
            </w:pPr>
            <w:r w:rsidRPr="00577F2F">
              <w:rPr>
                <w:rFonts w:cs="Times New Roman"/>
              </w:rPr>
              <w:t>80</w:t>
            </w:r>
          </w:p>
        </w:tc>
        <w:tc>
          <w:tcPr>
            <w:tcW w:w="993" w:type="dxa"/>
            <w:noWrap/>
            <w:hideMark/>
          </w:tcPr>
          <w:p w14:paraId="3710DAD5" w14:textId="77777777" w:rsidR="009E4BC0" w:rsidRPr="00577F2F" w:rsidRDefault="009E4BC0" w:rsidP="009E4BC0">
            <w:pPr>
              <w:cnfStyle w:val="000000000000" w:firstRow="0" w:lastRow="0" w:firstColumn="0" w:lastColumn="0" w:oddVBand="0" w:evenVBand="0" w:oddHBand="0" w:evenHBand="0" w:firstRowFirstColumn="0" w:firstRowLastColumn="0" w:lastRowFirstColumn="0" w:lastRowLastColumn="0"/>
              <w:rPr>
                <w:rFonts w:cs="Times New Roman"/>
              </w:rPr>
            </w:pPr>
            <w:r w:rsidRPr="00577F2F">
              <w:rPr>
                <w:rFonts w:cs="Times New Roman"/>
              </w:rPr>
              <w:t>20</w:t>
            </w:r>
          </w:p>
        </w:tc>
        <w:tc>
          <w:tcPr>
            <w:tcW w:w="1943" w:type="dxa"/>
            <w:noWrap/>
            <w:hideMark/>
          </w:tcPr>
          <w:p w14:paraId="1CA7E430" w14:textId="77777777" w:rsidR="009E4BC0" w:rsidRPr="00577F2F" w:rsidRDefault="009E4BC0" w:rsidP="009E4BC0">
            <w:pPr>
              <w:cnfStyle w:val="000000000000" w:firstRow="0" w:lastRow="0" w:firstColumn="0" w:lastColumn="0" w:oddVBand="0" w:evenVBand="0" w:oddHBand="0" w:evenHBand="0" w:firstRowFirstColumn="0" w:firstRowLastColumn="0" w:lastRowFirstColumn="0" w:lastRowLastColumn="0"/>
              <w:rPr>
                <w:rFonts w:cs="Times New Roman"/>
              </w:rPr>
            </w:pPr>
            <w:r w:rsidRPr="00577F2F">
              <w:rPr>
                <w:rFonts w:cs="Times New Roman"/>
              </w:rPr>
              <w:t>180</w:t>
            </w:r>
          </w:p>
        </w:tc>
        <w:tc>
          <w:tcPr>
            <w:tcW w:w="1118" w:type="dxa"/>
            <w:noWrap/>
            <w:hideMark/>
          </w:tcPr>
          <w:p w14:paraId="6FE9D1DD" w14:textId="77777777" w:rsidR="009E4BC0" w:rsidRPr="00577F2F" w:rsidRDefault="009E4BC0" w:rsidP="009E4BC0">
            <w:pPr>
              <w:cnfStyle w:val="000000000000" w:firstRow="0" w:lastRow="0" w:firstColumn="0" w:lastColumn="0" w:oddVBand="0" w:evenVBand="0" w:oddHBand="0" w:evenHBand="0" w:firstRowFirstColumn="0" w:firstRowLastColumn="0" w:lastRowFirstColumn="0" w:lastRowLastColumn="0"/>
              <w:rPr>
                <w:rFonts w:cs="Times New Roman"/>
              </w:rPr>
            </w:pPr>
            <w:r w:rsidRPr="00577F2F">
              <w:rPr>
                <w:rFonts w:cs="Times New Roman"/>
              </w:rPr>
              <w:t>0.94</w:t>
            </w:r>
          </w:p>
        </w:tc>
        <w:tc>
          <w:tcPr>
            <w:tcW w:w="1118" w:type="dxa"/>
            <w:noWrap/>
            <w:hideMark/>
          </w:tcPr>
          <w:p w14:paraId="7824EF9C" w14:textId="77777777" w:rsidR="009E4BC0" w:rsidRPr="00577F2F" w:rsidRDefault="009E4BC0" w:rsidP="009E4BC0">
            <w:pPr>
              <w:cnfStyle w:val="000000000000" w:firstRow="0" w:lastRow="0" w:firstColumn="0" w:lastColumn="0" w:oddVBand="0" w:evenVBand="0" w:oddHBand="0" w:evenHBand="0" w:firstRowFirstColumn="0" w:firstRowLastColumn="0" w:lastRowFirstColumn="0" w:lastRowLastColumn="0"/>
              <w:rPr>
                <w:rFonts w:cs="Times New Roman"/>
              </w:rPr>
            </w:pPr>
            <w:r w:rsidRPr="00577F2F">
              <w:rPr>
                <w:rFonts w:cs="Times New Roman"/>
              </w:rPr>
              <w:t>169.81</w:t>
            </w:r>
          </w:p>
        </w:tc>
      </w:tr>
      <w:tr w:rsidR="00577F2F" w:rsidRPr="00577F2F" w14:paraId="40900418" w14:textId="77777777" w:rsidTr="009E4BC0">
        <w:trPr>
          <w:trHeight w:val="592"/>
        </w:trPr>
        <w:tc>
          <w:tcPr>
            <w:cnfStyle w:val="001000000000" w:firstRow="0" w:lastRow="0" w:firstColumn="1" w:lastColumn="0" w:oddVBand="0" w:evenVBand="0" w:oddHBand="0" w:evenHBand="0" w:firstRowFirstColumn="0" w:firstRowLastColumn="0" w:lastRowFirstColumn="0" w:lastRowLastColumn="0"/>
            <w:tcW w:w="438" w:type="dxa"/>
            <w:noWrap/>
            <w:hideMark/>
          </w:tcPr>
          <w:p w14:paraId="4959DBA3" w14:textId="77777777" w:rsidR="009E4BC0" w:rsidRPr="00577F2F" w:rsidRDefault="009E4BC0" w:rsidP="009E4BC0">
            <w:pPr>
              <w:rPr>
                <w:rFonts w:cs="Times New Roman"/>
              </w:rPr>
            </w:pPr>
            <w:r w:rsidRPr="00577F2F">
              <w:rPr>
                <w:rFonts w:cs="Times New Roman"/>
              </w:rPr>
              <w:t>2</w:t>
            </w:r>
          </w:p>
        </w:tc>
        <w:tc>
          <w:tcPr>
            <w:tcW w:w="993" w:type="dxa"/>
            <w:noWrap/>
            <w:hideMark/>
          </w:tcPr>
          <w:p w14:paraId="174BDB60" w14:textId="77777777" w:rsidR="009E4BC0" w:rsidRPr="00577F2F" w:rsidRDefault="009E4BC0" w:rsidP="009E4BC0">
            <w:pPr>
              <w:cnfStyle w:val="000000000000" w:firstRow="0" w:lastRow="0" w:firstColumn="0" w:lastColumn="0" w:oddVBand="0" w:evenVBand="0" w:oddHBand="0" w:evenHBand="0" w:firstRowFirstColumn="0" w:firstRowLastColumn="0" w:lastRowFirstColumn="0" w:lastRowLastColumn="0"/>
              <w:rPr>
                <w:rFonts w:cs="Times New Roman"/>
              </w:rPr>
            </w:pPr>
            <w:r w:rsidRPr="00577F2F">
              <w:rPr>
                <w:rFonts w:cs="Times New Roman"/>
              </w:rPr>
              <w:t>400</w:t>
            </w:r>
          </w:p>
        </w:tc>
        <w:tc>
          <w:tcPr>
            <w:tcW w:w="1342" w:type="dxa"/>
            <w:noWrap/>
            <w:hideMark/>
          </w:tcPr>
          <w:p w14:paraId="542BBF93" w14:textId="77777777" w:rsidR="009E4BC0" w:rsidRPr="00577F2F" w:rsidRDefault="009E4BC0" w:rsidP="009E4BC0">
            <w:pPr>
              <w:cnfStyle w:val="000000000000" w:firstRow="0" w:lastRow="0" w:firstColumn="0" w:lastColumn="0" w:oddVBand="0" w:evenVBand="0" w:oddHBand="0" w:evenHBand="0" w:firstRowFirstColumn="0" w:firstRowLastColumn="0" w:lastRowFirstColumn="0" w:lastRowLastColumn="0"/>
              <w:rPr>
                <w:rFonts w:cs="Times New Roman"/>
              </w:rPr>
            </w:pPr>
            <w:r w:rsidRPr="00577F2F">
              <w:rPr>
                <w:rFonts w:cs="Times New Roman"/>
              </w:rPr>
              <w:t>120</w:t>
            </w:r>
          </w:p>
        </w:tc>
        <w:tc>
          <w:tcPr>
            <w:tcW w:w="1629" w:type="dxa"/>
            <w:noWrap/>
            <w:hideMark/>
          </w:tcPr>
          <w:p w14:paraId="2D61521B" w14:textId="77777777" w:rsidR="009E4BC0" w:rsidRPr="00577F2F" w:rsidRDefault="009E4BC0" w:rsidP="009E4BC0">
            <w:pPr>
              <w:cnfStyle w:val="000000000000" w:firstRow="0" w:lastRow="0" w:firstColumn="0" w:lastColumn="0" w:oddVBand="0" w:evenVBand="0" w:oddHBand="0" w:evenHBand="0" w:firstRowFirstColumn="0" w:firstRowLastColumn="0" w:lastRowFirstColumn="0" w:lastRowLastColumn="0"/>
              <w:rPr>
                <w:rFonts w:cs="Times New Roman"/>
              </w:rPr>
            </w:pPr>
            <w:r w:rsidRPr="00577F2F">
              <w:rPr>
                <w:rFonts w:cs="Times New Roman"/>
              </w:rPr>
              <w:t>280</w:t>
            </w:r>
          </w:p>
        </w:tc>
        <w:tc>
          <w:tcPr>
            <w:tcW w:w="993" w:type="dxa"/>
            <w:noWrap/>
            <w:hideMark/>
          </w:tcPr>
          <w:p w14:paraId="09979846" w14:textId="77777777" w:rsidR="009E4BC0" w:rsidRPr="00577F2F" w:rsidRDefault="009E4BC0" w:rsidP="009E4BC0">
            <w:pPr>
              <w:cnfStyle w:val="000000000000" w:firstRow="0" w:lastRow="0" w:firstColumn="0" w:lastColumn="0" w:oddVBand="0" w:evenVBand="0" w:oddHBand="0" w:evenHBand="0" w:firstRowFirstColumn="0" w:firstRowLastColumn="0" w:lastRowFirstColumn="0" w:lastRowLastColumn="0"/>
              <w:rPr>
                <w:rFonts w:cs="Times New Roman"/>
              </w:rPr>
            </w:pPr>
            <w:r w:rsidRPr="00577F2F">
              <w:rPr>
                <w:rFonts w:cs="Times New Roman"/>
              </w:rPr>
              <w:t>70</w:t>
            </w:r>
          </w:p>
        </w:tc>
        <w:tc>
          <w:tcPr>
            <w:tcW w:w="1943" w:type="dxa"/>
            <w:noWrap/>
            <w:hideMark/>
          </w:tcPr>
          <w:p w14:paraId="17B96D54" w14:textId="77777777" w:rsidR="009E4BC0" w:rsidRPr="00577F2F" w:rsidRDefault="009E4BC0" w:rsidP="009E4BC0">
            <w:pPr>
              <w:cnfStyle w:val="000000000000" w:firstRow="0" w:lastRow="0" w:firstColumn="0" w:lastColumn="0" w:oddVBand="0" w:evenVBand="0" w:oddHBand="0" w:evenHBand="0" w:firstRowFirstColumn="0" w:firstRowLastColumn="0" w:lastRowFirstColumn="0" w:lastRowLastColumn="0"/>
              <w:rPr>
                <w:rFonts w:cs="Times New Roman"/>
              </w:rPr>
            </w:pPr>
            <w:r w:rsidRPr="00577F2F">
              <w:rPr>
                <w:rFonts w:cs="Times New Roman"/>
              </w:rPr>
              <w:t>330</w:t>
            </w:r>
          </w:p>
        </w:tc>
        <w:tc>
          <w:tcPr>
            <w:tcW w:w="1118" w:type="dxa"/>
            <w:noWrap/>
            <w:hideMark/>
          </w:tcPr>
          <w:p w14:paraId="3FA3F653" w14:textId="77777777" w:rsidR="009E4BC0" w:rsidRPr="00577F2F" w:rsidRDefault="009E4BC0" w:rsidP="009E4BC0">
            <w:pPr>
              <w:cnfStyle w:val="000000000000" w:firstRow="0" w:lastRow="0" w:firstColumn="0" w:lastColumn="0" w:oddVBand="0" w:evenVBand="0" w:oddHBand="0" w:evenHBand="0" w:firstRowFirstColumn="0" w:firstRowLastColumn="0" w:lastRowFirstColumn="0" w:lastRowLastColumn="0"/>
              <w:rPr>
                <w:rFonts w:cs="Times New Roman"/>
              </w:rPr>
            </w:pPr>
            <w:r w:rsidRPr="00577F2F">
              <w:rPr>
                <w:rFonts w:cs="Times New Roman"/>
              </w:rPr>
              <w:t>0.89</w:t>
            </w:r>
          </w:p>
        </w:tc>
        <w:tc>
          <w:tcPr>
            <w:tcW w:w="1118" w:type="dxa"/>
            <w:noWrap/>
            <w:hideMark/>
          </w:tcPr>
          <w:p w14:paraId="102D9A95" w14:textId="77777777" w:rsidR="009E4BC0" w:rsidRPr="00577F2F" w:rsidRDefault="009E4BC0" w:rsidP="009E4BC0">
            <w:pPr>
              <w:cnfStyle w:val="000000000000" w:firstRow="0" w:lastRow="0" w:firstColumn="0" w:lastColumn="0" w:oddVBand="0" w:evenVBand="0" w:oddHBand="0" w:evenHBand="0" w:firstRowFirstColumn="0" w:firstRowLastColumn="0" w:lastRowFirstColumn="0" w:lastRowLastColumn="0"/>
              <w:rPr>
                <w:rFonts w:cs="Times New Roman"/>
              </w:rPr>
            </w:pPr>
            <w:r w:rsidRPr="00577F2F">
              <w:rPr>
                <w:rFonts w:cs="Times New Roman"/>
              </w:rPr>
              <w:t>293.70</w:t>
            </w:r>
          </w:p>
        </w:tc>
      </w:tr>
      <w:tr w:rsidR="00577F2F" w:rsidRPr="00577F2F" w14:paraId="3C22E004" w14:textId="77777777" w:rsidTr="009E4BC0">
        <w:trPr>
          <w:trHeight w:val="592"/>
        </w:trPr>
        <w:tc>
          <w:tcPr>
            <w:cnfStyle w:val="001000000000" w:firstRow="0" w:lastRow="0" w:firstColumn="1" w:lastColumn="0" w:oddVBand="0" w:evenVBand="0" w:oddHBand="0" w:evenHBand="0" w:firstRowFirstColumn="0" w:firstRowLastColumn="0" w:lastRowFirstColumn="0" w:lastRowLastColumn="0"/>
            <w:tcW w:w="438" w:type="dxa"/>
            <w:noWrap/>
            <w:hideMark/>
          </w:tcPr>
          <w:p w14:paraId="6FF9EEDF" w14:textId="77777777" w:rsidR="009E4BC0" w:rsidRPr="00577F2F" w:rsidRDefault="009E4BC0" w:rsidP="009E4BC0">
            <w:pPr>
              <w:rPr>
                <w:rFonts w:cs="Times New Roman"/>
              </w:rPr>
            </w:pPr>
            <w:r w:rsidRPr="00577F2F">
              <w:rPr>
                <w:rFonts w:cs="Times New Roman"/>
              </w:rPr>
              <w:t>3</w:t>
            </w:r>
          </w:p>
        </w:tc>
        <w:tc>
          <w:tcPr>
            <w:tcW w:w="993" w:type="dxa"/>
            <w:noWrap/>
            <w:hideMark/>
          </w:tcPr>
          <w:p w14:paraId="624DDF44" w14:textId="77777777" w:rsidR="009E4BC0" w:rsidRPr="00577F2F" w:rsidRDefault="009E4BC0" w:rsidP="009E4BC0">
            <w:pPr>
              <w:cnfStyle w:val="000000000000" w:firstRow="0" w:lastRow="0" w:firstColumn="0" w:lastColumn="0" w:oddVBand="0" w:evenVBand="0" w:oddHBand="0" w:evenHBand="0" w:firstRowFirstColumn="0" w:firstRowLastColumn="0" w:lastRowFirstColumn="0" w:lastRowLastColumn="0"/>
              <w:rPr>
                <w:rFonts w:cs="Times New Roman"/>
              </w:rPr>
            </w:pPr>
            <w:r w:rsidRPr="00577F2F">
              <w:rPr>
                <w:rFonts w:cs="Times New Roman"/>
              </w:rPr>
              <w:t>500</w:t>
            </w:r>
          </w:p>
        </w:tc>
        <w:tc>
          <w:tcPr>
            <w:tcW w:w="1342" w:type="dxa"/>
            <w:noWrap/>
            <w:hideMark/>
          </w:tcPr>
          <w:p w14:paraId="607B1017" w14:textId="77777777" w:rsidR="009E4BC0" w:rsidRPr="00577F2F" w:rsidRDefault="009E4BC0" w:rsidP="009E4BC0">
            <w:pPr>
              <w:cnfStyle w:val="000000000000" w:firstRow="0" w:lastRow="0" w:firstColumn="0" w:lastColumn="0" w:oddVBand="0" w:evenVBand="0" w:oddHBand="0" w:evenHBand="0" w:firstRowFirstColumn="0" w:firstRowLastColumn="0" w:lastRowFirstColumn="0" w:lastRowLastColumn="0"/>
              <w:rPr>
                <w:rFonts w:cs="Times New Roman"/>
              </w:rPr>
            </w:pPr>
            <w:r w:rsidRPr="00577F2F">
              <w:rPr>
                <w:rFonts w:cs="Times New Roman"/>
              </w:rPr>
              <w:t>120</w:t>
            </w:r>
          </w:p>
        </w:tc>
        <w:tc>
          <w:tcPr>
            <w:tcW w:w="1629" w:type="dxa"/>
            <w:noWrap/>
            <w:hideMark/>
          </w:tcPr>
          <w:p w14:paraId="6C251AC5" w14:textId="77777777" w:rsidR="009E4BC0" w:rsidRPr="00577F2F" w:rsidRDefault="009E4BC0" w:rsidP="009E4BC0">
            <w:pPr>
              <w:cnfStyle w:val="000000000000" w:firstRow="0" w:lastRow="0" w:firstColumn="0" w:lastColumn="0" w:oddVBand="0" w:evenVBand="0" w:oddHBand="0" w:evenHBand="0" w:firstRowFirstColumn="0" w:firstRowLastColumn="0" w:lastRowFirstColumn="0" w:lastRowLastColumn="0"/>
              <w:rPr>
                <w:rFonts w:cs="Times New Roman"/>
              </w:rPr>
            </w:pPr>
            <w:r w:rsidRPr="00577F2F">
              <w:rPr>
                <w:rFonts w:cs="Times New Roman"/>
              </w:rPr>
              <w:t>380</w:t>
            </w:r>
          </w:p>
        </w:tc>
        <w:tc>
          <w:tcPr>
            <w:tcW w:w="993" w:type="dxa"/>
            <w:noWrap/>
            <w:hideMark/>
          </w:tcPr>
          <w:p w14:paraId="6680DE4B" w14:textId="77777777" w:rsidR="009E4BC0" w:rsidRPr="00577F2F" w:rsidRDefault="009E4BC0" w:rsidP="009E4BC0">
            <w:pPr>
              <w:cnfStyle w:val="000000000000" w:firstRow="0" w:lastRow="0" w:firstColumn="0" w:lastColumn="0" w:oddVBand="0" w:evenVBand="0" w:oddHBand="0" w:evenHBand="0" w:firstRowFirstColumn="0" w:firstRowLastColumn="0" w:lastRowFirstColumn="0" w:lastRowLastColumn="0"/>
              <w:rPr>
                <w:rFonts w:cs="Times New Roman"/>
              </w:rPr>
            </w:pPr>
            <w:r w:rsidRPr="00577F2F">
              <w:rPr>
                <w:rFonts w:cs="Times New Roman"/>
              </w:rPr>
              <w:t>95</w:t>
            </w:r>
          </w:p>
        </w:tc>
        <w:tc>
          <w:tcPr>
            <w:tcW w:w="1943" w:type="dxa"/>
            <w:noWrap/>
            <w:hideMark/>
          </w:tcPr>
          <w:p w14:paraId="78DCBE48" w14:textId="77777777" w:rsidR="009E4BC0" w:rsidRPr="00577F2F" w:rsidRDefault="009E4BC0" w:rsidP="009E4BC0">
            <w:pPr>
              <w:cnfStyle w:val="000000000000" w:firstRow="0" w:lastRow="0" w:firstColumn="0" w:lastColumn="0" w:oddVBand="0" w:evenVBand="0" w:oddHBand="0" w:evenHBand="0" w:firstRowFirstColumn="0" w:firstRowLastColumn="0" w:lastRowFirstColumn="0" w:lastRowLastColumn="0"/>
              <w:rPr>
                <w:rFonts w:cs="Times New Roman"/>
              </w:rPr>
            </w:pPr>
            <w:r w:rsidRPr="00577F2F">
              <w:rPr>
                <w:rFonts w:cs="Times New Roman"/>
              </w:rPr>
              <w:t>405</w:t>
            </w:r>
          </w:p>
        </w:tc>
        <w:tc>
          <w:tcPr>
            <w:tcW w:w="1118" w:type="dxa"/>
            <w:noWrap/>
            <w:hideMark/>
          </w:tcPr>
          <w:p w14:paraId="477CC498" w14:textId="77777777" w:rsidR="009E4BC0" w:rsidRPr="00577F2F" w:rsidRDefault="009E4BC0" w:rsidP="009E4BC0">
            <w:pPr>
              <w:cnfStyle w:val="000000000000" w:firstRow="0" w:lastRow="0" w:firstColumn="0" w:lastColumn="0" w:oddVBand="0" w:evenVBand="0" w:oddHBand="0" w:evenHBand="0" w:firstRowFirstColumn="0" w:firstRowLastColumn="0" w:lastRowFirstColumn="0" w:lastRowLastColumn="0"/>
              <w:rPr>
                <w:rFonts w:cs="Times New Roman"/>
              </w:rPr>
            </w:pPr>
            <w:r w:rsidRPr="00577F2F">
              <w:rPr>
                <w:rFonts w:cs="Times New Roman"/>
              </w:rPr>
              <w:t>0.84</w:t>
            </w:r>
          </w:p>
        </w:tc>
        <w:tc>
          <w:tcPr>
            <w:tcW w:w="1118" w:type="dxa"/>
            <w:noWrap/>
            <w:hideMark/>
          </w:tcPr>
          <w:p w14:paraId="188EDF8D" w14:textId="77777777" w:rsidR="009E4BC0" w:rsidRPr="00577F2F" w:rsidRDefault="009E4BC0" w:rsidP="009E4BC0">
            <w:pPr>
              <w:cnfStyle w:val="000000000000" w:firstRow="0" w:lastRow="0" w:firstColumn="0" w:lastColumn="0" w:oddVBand="0" w:evenVBand="0" w:oddHBand="0" w:evenHBand="0" w:firstRowFirstColumn="0" w:firstRowLastColumn="0" w:lastRowFirstColumn="0" w:lastRowLastColumn="0"/>
              <w:rPr>
                <w:rFonts w:cs="Times New Roman"/>
              </w:rPr>
            </w:pPr>
            <w:r w:rsidRPr="00577F2F">
              <w:rPr>
                <w:rFonts w:cs="Times New Roman"/>
              </w:rPr>
              <w:t>340.05</w:t>
            </w:r>
          </w:p>
        </w:tc>
      </w:tr>
      <w:tr w:rsidR="00577F2F" w:rsidRPr="00577F2F" w14:paraId="2D7577B9" w14:textId="77777777" w:rsidTr="009E4BC0">
        <w:trPr>
          <w:trHeight w:val="592"/>
        </w:trPr>
        <w:tc>
          <w:tcPr>
            <w:cnfStyle w:val="001000000000" w:firstRow="0" w:lastRow="0" w:firstColumn="1" w:lastColumn="0" w:oddVBand="0" w:evenVBand="0" w:oddHBand="0" w:evenHBand="0" w:firstRowFirstColumn="0" w:firstRowLastColumn="0" w:lastRowFirstColumn="0" w:lastRowLastColumn="0"/>
            <w:tcW w:w="438" w:type="dxa"/>
            <w:noWrap/>
            <w:hideMark/>
          </w:tcPr>
          <w:p w14:paraId="20F8D159" w14:textId="77777777" w:rsidR="009E4BC0" w:rsidRPr="00577F2F" w:rsidRDefault="009E4BC0" w:rsidP="009E4BC0">
            <w:pPr>
              <w:rPr>
                <w:rFonts w:cs="Times New Roman"/>
              </w:rPr>
            </w:pPr>
            <w:r w:rsidRPr="00577F2F">
              <w:rPr>
                <w:rFonts w:cs="Times New Roman"/>
              </w:rPr>
              <w:t>4</w:t>
            </w:r>
          </w:p>
        </w:tc>
        <w:tc>
          <w:tcPr>
            <w:tcW w:w="993" w:type="dxa"/>
            <w:noWrap/>
            <w:hideMark/>
          </w:tcPr>
          <w:p w14:paraId="0483F949" w14:textId="77777777" w:rsidR="009E4BC0" w:rsidRPr="00577F2F" w:rsidRDefault="009E4BC0" w:rsidP="009E4BC0">
            <w:pPr>
              <w:cnfStyle w:val="000000000000" w:firstRow="0" w:lastRow="0" w:firstColumn="0" w:lastColumn="0" w:oddVBand="0" w:evenVBand="0" w:oddHBand="0" w:evenHBand="0" w:firstRowFirstColumn="0" w:firstRowLastColumn="0" w:lastRowFirstColumn="0" w:lastRowLastColumn="0"/>
              <w:rPr>
                <w:rFonts w:cs="Times New Roman"/>
              </w:rPr>
            </w:pPr>
            <w:r w:rsidRPr="00577F2F">
              <w:rPr>
                <w:rFonts w:cs="Times New Roman"/>
              </w:rPr>
              <w:t>700</w:t>
            </w:r>
          </w:p>
        </w:tc>
        <w:tc>
          <w:tcPr>
            <w:tcW w:w="1342" w:type="dxa"/>
            <w:noWrap/>
            <w:hideMark/>
          </w:tcPr>
          <w:p w14:paraId="55FF109A" w14:textId="77777777" w:rsidR="009E4BC0" w:rsidRPr="00577F2F" w:rsidRDefault="009E4BC0" w:rsidP="009E4BC0">
            <w:pPr>
              <w:cnfStyle w:val="000000000000" w:firstRow="0" w:lastRow="0" w:firstColumn="0" w:lastColumn="0" w:oddVBand="0" w:evenVBand="0" w:oddHBand="0" w:evenHBand="0" w:firstRowFirstColumn="0" w:firstRowLastColumn="0" w:lastRowFirstColumn="0" w:lastRowLastColumn="0"/>
              <w:rPr>
                <w:rFonts w:cs="Times New Roman"/>
              </w:rPr>
            </w:pPr>
            <w:r w:rsidRPr="00577F2F">
              <w:rPr>
                <w:rFonts w:cs="Times New Roman"/>
              </w:rPr>
              <w:t>120</w:t>
            </w:r>
          </w:p>
        </w:tc>
        <w:tc>
          <w:tcPr>
            <w:tcW w:w="1629" w:type="dxa"/>
            <w:noWrap/>
            <w:hideMark/>
          </w:tcPr>
          <w:p w14:paraId="352CCECB" w14:textId="77777777" w:rsidR="009E4BC0" w:rsidRPr="00577F2F" w:rsidRDefault="009E4BC0" w:rsidP="009E4BC0">
            <w:pPr>
              <w:cnfStyle w:val="000000000000" w:firstRow="0" w:lastRow="0" w:firstColumn="0" w:lastColumn="0" w:oddVBand="0" w:evenVBand="0" w:oddHBand="0" w:evenHBand="0" w:firstRowFirstColumn="0" w:firstRowLastColumn="0" w:lastRowFirstColumn="0" w:lastRowLastColumn="0"/>
              <w:rPr>
                <w:rFonts w:cs="Times New Roman"/>
              </w:rPr>
            </w:pPr>
            <w:r w:rsidRPr="00577F2F">
              <w:rPr>
                <w:rFonts w:cs="Times New Roman"/>
              </w:rPr>
              <w:t>580</w:t>
            </w:r>
          </w:p>
        </w:tc>
        <w:tc>
          <w:tcPr>
            <w:tcW w:w="993" w:type="dxa"/>
            <w:noWrap/>
            <w:hideMark/>
          </w:tcPr>
          <w:p w14:paraId="13061C56" w14:textId="77777777" w:rsidR="009E4BC0" w:rsidRPr="00577F2F" w:rsidRDefault="009E4BC0" w:rsidP="009E4BC0">
            <w:pPr>
              <w:cnfStyle w:val="000000000000" w:firstRow="0" w:lastRow="0" w:firstColumn="0" w:lastColumn="0" w:oddVBand="0" w:evenVBand="0" w:oddHBand="0" w:evenHBand="0" w:firstRowFirstColumn="0" w:firstRowLastColumn="0" w:lastRowFirstColumn="0" w:lastRowLastColumn="0"/>
              <w:rPr>
                <w:rFonts w:cs="Times New Roman"/>
              </w:rPr>
            </w:pPr>
            <w:r w:rsidRPr="00577F2F">
              <w:rPr>
                <w:rFonts w:cs="Times New Roman"/>
              </w:rPr>
              <w:t>145</w:t>
            </w:r>
          </w:p>
        </w:tc>
        <w:tc>
          <w:tcPr>
            <w:tcW w:w="1943" w:type="dxa"/>
            <w:noWrap/>
            <w:hideMark/>
          </w:tcPr>
          <w:p w14:paraId="6C79D9DE" w14:textId="77777777" w:rsidR="009E4BC0" w:rsidRPr="00577F2F" w:rsidRDefault="009E4BC0" w:rsidP="009E4BC0">
            <w:pPr>
              <w:cnfStyle w:val="000000000000" w:firstRow="0" w:lastRow="0" w:firstColumn="0" w:lastColumn="0" w:oddVBand="0" w:evenVBand="0" w:oddHBand="0" w:evenHBand="0" w:firstRowFirstColumn="0" w:firstRowLastColumn="0" w:lastRowFirstColumn="0" w:lastRowLastColumn="0"/>
              <w:rPr>
                <w:rFonts w:cs="Times New Roman"/>
              </w:rPr>
            </w:pPr>
            <w:r w:rsidRPr="00577F2F">
              <w:rPr>
                <w:rFonts w:cs="Times New Roman"/>
              </w:rPr>
              <w:t>555</w:t>
            </w:r>
          </w:p>
        </w:tc>
        <w:tc>
          <w:tcPr>
            <w:tcW w:w="1118" w:type="dxa"/>
            <w:noWrap/>
            <w:hideMark/>
          </w:tcPr>
          <w:p w14:paraId="19A8168E" w14:textId="77777777" w:rsidR="009E4BC0" w:rsidRPr="00577F2F" w:rsidRDefault="009E4BC0" w:rsidP="009E4BC0">
            <w:pPr>
              <w:cnfStyle w:val="000000000000" w:firstRow="0" w:lastRow="0" w:firstColumn="0" w:lastColumn="0" w:oddVBand="0" w:evenVBand="0" w:oddHBand="0" w:evenHBand="0" w:firstRowFirstColumn="0" w:firstRowLastColumn="0" w:lastRowFirstColumn="0" w:lastRowLastColumn="0"/>
              <w:rPr>
                <w:rFonts w:cs="Times New Roman"/>
              </w:rPr>
            </w:pPr>
            <w:r w:rsidRPr="00577F2F">
              <w:rPr>
                <w:rFonts w:cs="Times New Roman"/>
              </w:rPr>
              <w:t>0.79</w:t>
            </w:r>
          </w:p>
        </w:tc>
        <w:tc>
          <w:tcPr>
            <w:tcW w:w="1118" w:type="dxa"/>
            <w:noWrap/>
            <w:hideMark/>
          </w:tcPr>
          <w:p w14:paraId="607617A1" w14:textId="77777777" w:rsidR="009E4BC0" w:rsidRPr="00577F2F" w:rsidRDefault="009E4BC0" w:rsidP="009E4BC0">
            <w:pPr>
              <w:cnfStyle w:val="000000000000" w:firstRow="0" w:lastRow="0" w:firstColumn="0" w:lastColumn="0" w:oddVBand="0" w:evenVBand="0" w:oddHBand="0" w:evenHBand="0" w:firstRowFirstColumn="0" w:firstRowLastColumn="0" w:lastRowFirstColumn="0" w:lastRowLastColumn="0"/>
              <w:rPr>
                <w:rFonts w:cs="Times New Roman"/>
              </w:rPr>
            </w:pPr>
            <w:r w:rsidRPr="00577F2F">
              <w:rPr>
                <w:rFonts w:cs="Times New Roman"/>
              </w:rPr>
              <w:t>439.61</w:t>
            </w:r>
          </w:p>
        </w:tc>
      </w:tr>
      <w:tr w:rsidR="00577F2F" w:rsidRPr="00577F2F" w14:paraId="33C67D0E" w14:textId="77777777" w:rsidTr="009E4BC0">
        <w:trPr>
          <w:trHeight w:val="592"/>
        </w:trPr>
        <w:tc>
          <w:tcPr>
            <w:cnfStyle w:val="001000000000" w:firstRow="0" w:lastRow="0" w:firstColumn="1" w:lastColumn="0" w:oddVBand="0" w:evenVBand="0" w:oddHBand="0" w:evenHBand="0" w:firstRowFirstColumn="0" w:firstRowLastColumn="0" w:lastRowFirstColumn="0" w:lastRowLastColumn="0"/>
            <w:tcW w:w="438" w:type="dxa"/>
            <w:noWrap/>
            <w:hideMark/>
          </w:tcPr>
          <w:p w14:paraId="0E7EADD5" w14:textId="77777777" w:rsidR="009E4BC0" w:rsidRPr="00577F2F" w:rsidRDefault="009E4BC0" w:rsidP="009E4BC0">
            <w:pPr>
              <w:rPr>
                <w:rFonts w:cs="Times New Roman"/>
              </w:rPr>
            </w:pPr>
          </w:p>
        </w:tc>
        <w:tc>
          <w:tcPr>
            <w:tcW w:w="993" w:type="dxa"/>
            <w:noWrap/>
            <w:hideMark/>
          </w:tcPr>
          <w:p w14:paraId="2CDF6BA5" w14:textId="77777777" w:rsidR="009E4BC0" w:rsidRPr="00577F2F" w:rsidRDefault="009E4BC0">
            <w:pPr>
              <w:cnfStyle w:val="000000000000" w:firstRow="0" w:lastRow="0" w:firstColumn="0" w:lastColumn="0" w:oddVBand="0" w:evenVBand="0" w:oddHBand="0" w:evenHBand="0" w:firstRowFirstColumn="0" w:firstRowLastColumn="0" w:lastRowFirstColumn="0" w:lastRowLastColumn="0"/>
              <w:rPr>
                <w:rFonts w:cs="Times New Roman"/>
              </w:rPr>
            </w:pPr>
          </w:p>
        </w:tc>
        <w:tc>
          <w:tcPr>
            <w:tcW w:w="1342" w:type="dxa"/>
            <w:noWrap/>
            <w:hideMark/>
          </w:tcPr>
          <w:p w14:paraId="12315350" w14:textId="77777777" w:rsidR="009E4BC0" w:rsidRPr="00577F2F" w:rsidRDefault="009E4BC0">
            <w:pPr>
              <w:cnfStyle w:val="000000000000" w:firstRow="0" w:lastRow="0" w:firstColumn="0" w:lastColumn="0" w:oddVBand="0" w:evenVBand="0" w:oddHBand="0" w:evenHBand="0" w:firstRowFirstColumn="0" w:firstRowLastColumn="0" w:lastRowFirstColumn="0" w:lastRowLastColumn="0"/>
              <w:rPr>
                <w:rFonts w:cs="Times New Roman"/>
              </w:rPr>
            </w:pPr>
          </w:p>
        </w:tc>
        <w:tc>
          <w:tcPr>
            <w:tcW w:w="1629" w:type="dxa"/>
            <w:noWrap/>
            <w:hideMark/>
          </w:tcPr>
          <w:p w14:paraId="0955EAA6" w14:textId="77777777" w:rsidR="009E4BC0" w:rsidRPr="00577F2F" w:rsidRDefault="009E4BC0">
            <w:pPr>
              <w:cnfStyle w:val="000000000000" w:firstRow="0" w:lastRow="0" w:firstColumn="0" w:lastColumn="0" w:oddVBand="0" w:evenVBand="0" w:oddHBand="0" w:evenHBand="0" w:firstRowFirstColumn="0" w:firstRowLastColumn="0" w:lastRowFirstColumn="0" w:lastRowLastColumn="0"/>
              <w:rPr>
                <w:rFonts w:cs="Times New Roman"/>
              </w:rPr>
            </w:pPr>
          </w:p>
        </w:tc>
        <w:tc>
          <w:tcPr>
            <w:tcW w:w="993" w:type="dxa"/>
            <w:noWrap/>
            <w:hideMark/>
          </w:tcPr>
          <w:p w14:paraId="401799D4" w14:textId="77777777" w:rsidR="009E4BC0" w:rsidRPr="00577F2F" w:rsidRDefault="009E4BC0">
            <w:pPr>
              <w:cnfStyle w:val="000000000000" w:firstRow="0" w:lastRow="0" w:firstColumn="0" w:lastColumn="0" w:oddVBand="0" w:evenVBand="0" w:oddHBand="0" w:evenHBand="0" w:firstRowFirstColumn="0" w:firstRowLastColumn="0" w:lastRowFirstColumn="0" w:lastRowLastColumn="0"/>
              <w:rPr>
                <w:rFonts w:cs="Times New Roman"/>
              </w:rPr>
            </w:pPr>
          </w:p>
        </w:tc>
        <w:tc>
          <w:tcPr>
            <w:tcW w:w="1943" w:type="dxa"/>
            <w:noWrap/>
            <w:hideMark/>
          </w:tcPr>
          <w:p w14:paraId="64752458" w14:textId="77777777" w:rsidR="009E4BC0" w:rsidRPr="00577F2F" w:rsidRDefault="009E4BC0">
            <w:pPr>
              <w:cnfStyle w:val="000000000000" w:firstRow="0" w:lastRow="0" w:firstColumn="0" w:lastColumn="0" w:oddVBand="0" w:evenVBand="0" w:oddHBand="0" w:evenHBand="0" w:firstRowFirstColumn="0" w:firstRowLastColumn="0" w:lastRowFirstColumn="0" w:lastRowLastColumn="0"/>
              <w:rPr>
                <w:rFonts w:cs="Times New Roman"/>
              </w:rPr>
            </w:pPr>
          </w:p>
        </w:tc>
        <w:tc>
          <w:tcPr>
            <w:tcW w:w="1118" w:type="dxa"/>
            <w:noWrap/>
            <w:hideMark/>
          </w:tcPr>
          <w:p w14:paraId="7D0024FF" w14:textId="77777777" w:rsidR="009E4BC0" w:rsidRPr="00577F2F" w:rsidRDefault="009E4BC0">
            <w:pPr>
              <w:cnfStyle w:val="000000000000" w:firstRow="0" w:lastRow="0" w:firstColumn="0" w:lastColumn="0" w:oddVBand="0" w:evenVBand="0" w:oddHBand="0" w:evenHBand="0" w:firstRowFirstColumn="0" w:firstRowLastColumn="0" w:lastRowFirstColumn="0" w:lastRowLastColumn="0"/>
              <w:rPr>
                <w:rFonts w:cs="Times New Roman"/>
                <w:b/>
                <w:bCs/>
              </w:rPr>
            </w:pPr>
            <w:r w:rsidRPr="00577F2F">
              <w:rPr>
                <w:rFonts w:cs="Times New Roman"/>
                <w:b/>
                <w:bCs/>
              </w:rPr>
              <w:t>NPV</w:t>
            </w:r>
          </w:p>
        </w:tc>
        <w:tc>
          <w:tcPr>
            <w:tcW w:w="1118" w:type="dxa"/>
            <w:noWrap/>
            <w:hideMark/>
          </w:tcPr>
          <w:p w14:paraId="09985376" w14:textId="77777777" w:rsidR="009E4BC0" w:rsidRPr="00577F2F" w:rsidRDefault="009E4BC0" w:rsidP="009E4BC0">
            <w:pPr>
              <w:cnfStyle w:val="000000000000" w:firstRow="0" w:lastRow="0" w:firstColumn="0" w:lastColumn="0" w:oddVBand="0" w:evenVBand="0" w:oddHBand="0" w:evenHBand="0" w:firstRowFirstColumn="0" w:firstRowLastColumn="0" w:lastRowFirstColumn="0" w:lastRowLastColumn="0"/>
              <w:rPr>
                <w:rFonts w:cs="Times New Roman"/>
                <w:b/>
                <w:bCs/>
                <w:u w:val="double"/>
              </w:rPr>
            </w:pPr>
            <w:r w:rsidRPr="00577F2F">
              <w:rPr>
                <w:rFonts w:cs="Times New Roman"/>
                <w:b/>
                <w:bCs/>
                <w:u w:val="double"/>
              </w:rPr>
              <w:t>643.17</w:t>
            </w:r>
          </w:p>
        </w:tc>
      </w:tr>
    </w:tbl>
    <w:p w14:paraId="7361946D" w14:textId="77777777" w:rsidR="009E4BC0" w:rsidRPr="00577F2F" w:rsidRDefault="009E4BC0" w:rsidP="009E4BC0">
      <w:pPr>
        <w:rPr>
          <w:rFonts w:cs="Times New Roman"/>
          <w:lang w:val="en-IN"/>
        </w:rPr>
      </w:pPr>
    </w:p>
    <w:p w14:paraId="4452C0F5" w14:textId="77777777" w:rsidR="009E4BC0" w:rsidRPr="009E4BC0" w:rsidRDefault="009E4BC0" w:rsidP="009E4BC0">
      <w:pPr>
        <w:rPr>
          <w:rFonts w:cs="Times New Roman"/>
          <w:b/>
          <w:bCs/>
          <w:lang w:val="en-IN"/>
        </w:rPr>
      </w:pPr>
      <w:r w:rsidRPr="009E4BC0">
        <w:rPr>
          <w:rFonts w:cs="Times New Roman"/>
          <w:b/>
          <w:bCs/>
          <w:lang w:val="en-IN"/>
        </w:rPr>
        <w:t>Option B: Develop into internet sales</w:t>
      </w:r>
    </w:p>
    <w:p w14:paraId="40C34068" w14:textId="77777777" w:rsidR="009E4BC0" w:rsidRPr="00577F2F" w:rsidRDefault="009E4BC0" w:rsidP="009E4BC0">
      <w:pPr>
        <w:rPr>
          <w:rFonts w:cs="Times New Roman"/>
        </w:rPr>
      </w:pPr>
      <w:r w:rsidRPr="00577F2F">
        <w:rPr>
          <w:rFonts w:cs="Times New Roman"/>
        </w:rPr>
        <w:t>Initial investment: £1,000,000</w:t>
      </w:r>
    </w:p>
    <w:p w14:paraId="5F063201" w14:textId="23423F3E" w:rsidR="009E4BC0" w:rsidRPr="00577F2F" w:rsidRDefault="009E4BC0" w:rsidP="009E4BC0">
      <w:pPr>
        <w:rPr>
          <w:rFonts w:cs="Times New Roman"/>
        </w:rPr>
      </w:pPr>
      <w:r w:rsidRPr="00577F2F">
        <w:rPr>
          <w:rFonts w:cs="Times New Roman"/>
        </w:rPr>
        <w:t>Capital allowance/year = </w:t>
      </w:r>
      <m:oMath>
        <m:r>
          <m:rPr>
            <m:sty m:val="p"/>
          </m:rPr>
          <w:rPr>
            <w:rFonts w:ascii="Cambria Math" w:hAnsi="Cambria Math" w:cs="Times New Roman"/>
          </w:rPr>
          <m:t xml:space="preserve">£1,000,000 </m:t>
        </m:r>
        <m:r>
          <w:rPr>
            <w:rFonts w:ascii="Cambria Math" w:hAnsi="Cambria Math" w:cs="Times New Roman"/>
          </w:rPr>
          <m:t>×20</m:t>
        </m:r>
        <m:r>
          <m:rPr>
            <m:sty m:val="p"/>
          </m:rPr>
          <w:rPr>
            <w:rFonts w:ascii="Cambria Math" w:hAnsi="Cambria Math" w:cs="Times New Roman"/>
          </w:rPr>
          <m:t xml:space="preserve">%= </m:t>
        </m:r>
        <m:r>
          <w:rPr>
            <w:rFonts w:ascii="Cambria Math" w:hAnsi="Cambria Math" w:cs="Times New Roman"/>
          </w:rPr>
          <m:t>200,000</m:t>
        </m:r>
      </m:oMath>
    </w:p>
    <w:p w14:paraId="6B0A9B5D" w14:textId="6AD3EBB3" w:rsidR="009E4BC0" w:rsidRPr="00577F2F" w:rsidRDefault="009E4BC0" w:rsidP="009E4BC0">
      <w:pPr>
        <w:rPr>
          <w:rFonts w:cs="Times New Roman"/>
          <w:lang w:val="en-IN"/>
        </w:rPr>
      </w:pPr>
      <w:r w:rsidRPr="00577F2F">
        <w:rPr>
          <w:rFonts w:cs="Times New Roman"/>
        </w:rPr>
        <w:t>Tax saving/year = </w:t>
      </w:r>
      <m:oMath>
        <m:r>
          <w:rPr>
            <w:rFonts w:ascii="Cambria Math" w:hAnsi="Cambria Math" w:cs="Times New Roman"/>
          </w:rPr>
          <m:t>200,000×25</m:t>
        </m:r>
        <m:r>
          <m:rPr>
            <m:sty m:val="p"/>
          </m:rPr>
          <w:rPr>
            <w:rFonts w:ascii="Cambria Math" w:hAnsi="Cambria Math" w:cs="Times New Roman"/>
          </w:rPr>
          <m:t>%</m:t>
        </m:r>
        <m:r>
          <w:rPr>
            <w:rFonts w:ascii="Cambria Math" w:hAnsi="Cambria Math" w:cs="Times New Roman"/>
          </w:rPr>
          <m:t>=50,000</m:t>
        </m:r>
      </m:oMath>
    </w:p>
    <w:tbl>
      <w:tblPr>
        <w:tblStyle w:val="TableGrid"/>
        <w:tblW w:w="9385" w:type="dxa"/>
        <w:tblLook w:val="04A0" w:firstRow="1" w:lastRow="0" w:firstColumn="1" w:lastColumn="0" w:noHBand="0" w:noVBand="1"/>
      </w:tblPr>
      <w:tblGrid>
        <w:gridCol w:w="683"/>
        <w:gridCol w:w="973"/>
        <w:gridCol w:w="1316"/>
        <w:gridCol w:w="1597"/>
        <w:gridCol w:w="973"/>
        <w:gridCol w:w="1904"/>
        <w:gridCol w:w="1096"/>
        <w:gridCol w:w="1096"/>
      </w:tblGrid>
      <w:tr w:rsidR="009E4BC0" w:rsidRPr="00577F2F" w14:paraId="7883C27C" w14:textId="77777777" w:rsidTr="009E4BC0">
        <w:trPr>
          <w:trHeight w:val="308"/>
        </w:trPr>
        <w:tc>
          <w:tcPr>
            <w:tcW w:w="430" w:type="dxa"/>
            <w:noWrap/>
            <w:hideMark/>
          </w:tcPr>
          <w:p w14:paraId="64F0E6AC" w14:textId="77777777" w:rsidR="009E4BC0" w:rsidRPr="00577F2F" w:rsidRDefault="009E4BC0" w:rsidP="009E4BC0">
            <w:pPr>
              <w:rPr>
                <w:rFonts w:cs="Times New Roman"/>
                <w:lang w:val="en-IN"/>
              </w:rPr>
            </w:pPr>
            <w:r w:rsidRPr="00577F2F">
              <w:rPr>
                <w:rFonts w:cs="Times New Roman"/>
              </w:rPr>
              <w:t>Year</w:t>
            </w:r>
          </w:p>
        </w:tc>
        <w:tc>
          <w:tcPr>
            <w:tcW w:w="973" w:type="dxa"/>
            <w:noWrap/>
            <w:hideMark/>
          </w:tcPr>
          <w:p w14:paraId="08CE47F4" w14:textId="77777777" w:rsidR="009E4BC0" w:rsidRPr="00577F2F" w:rsidRDefault="009E4BC0">
            <w:pPr>
              <w:rPr>
                <w:rFonts w:cs="Times New Roman"/>
              </w:rPr>
            </w:pPr>
            <w:r w:rsidRPr="00577F2F">
              <w:rPr>
                <w:rFonts w:cs="Times New Roman"/>
              </w:rPr>
              <w:t>Cash Flow (£'000)</w:t>
            </w:r>
          </w:p>
        </w:tc>
        <w:tc>
          <w:tcPr>
            <w:tcW w:w="1316" w:type="dxa"/>
            <w:noWrap/>
            <w:hideMark/>
          </w:tcPr>
          <w:p w14:paraId="6CAB0B98" w14:textId="77777777" w:rsidR="009E4BC0" w:rsidRPr="00577F2F" w:rsidRDefault="009E4BC0">
            <w:pPr>
              <w:rPr>
                <w:rFonts w:cs="Times New Roman"/>
              </w:rPr>
            </w:pPr>
            <w:r w:rsidRPr="00577F2F">
              <w:rPr>
                <w:rFonts w:cs="Times New Roman"/>
              </w:rPr>
              <w:t>Capital Allowance (£'000)</w:t>
            </w:r>
          </w:p>
        </w:tc>
        <w:tc>
          <w:tcPr>
            <w:tcW w:w="1597" w:type="dxa"/>
            <w:noWrap/>
            <w:hideMark/>
          </w:tcPr>
          <w:p w14:paraId="78E8A9A5" w14:textId="77777777" w:rsidR="009E4BC0" w:rsidRPr="00577F2F" w:rsidRDefault="009E4BC0">
            <w:pPr>
              <w:rPr>
                <w:rFonts w:cs="Times New Roman"/>
              </w:rPr>
            </w:pPr>
            <w:r w:rsidRPr="00577F2F">
              <w:rPr>
                <w:rFonts w:cs="Times New Roman"/>
              </w:rPr>
              <w:t>Taxable Profit (CF - CA) (£'000)</w:t>
            </w:r>
          </w:p>
        </w:tc>
        <w:tc>
          <w:tcPr>
            <w:tcW w:w="973" w:type="dxa"/>
            <w:noWrap/>
            <w:hideMark/>
          </w:tcPr>
          <w:p w14:paraId="10C120A5" w14:textId="77777777" w:rsidR="009E4BC0" w:rsidRPr="00577F2F" w:rsidRDefault="009E4BC0">
            <w:pPr>
              <w:rPr>
                <w:rFonts w:cs="Times New Roman"/>
              </w:rPr>
            </w:pPr>
            <w:r w:rsidRPr="00577F2F">
              <w:rPr>
                <w:rFonts w:cs="Times New Roman"/>
              </w:rPr>
              <w:t>Tax (25%) (£'000)</w:t>
            </w:r>
          </w:p>
        </w:tc>
        <w:tc>
          <w:tcPr>
            <w:tcW w:w="1904" w:type="dxa"/>
            <w:noWrap/>
            <w:hideMark/>
          </w:tcPr>
          <w:p w14:paraId="5C0E1D9A" w14:textId="77777777" w:rsidR="009E4BC0" w:rsidRPr="00577F2F" w:rsidRDefault="009E4BC0">
            <w:pPr>
              <w:rPr>
                <w:rFonts w:cs="Times New Roman"/>
              </w:rPr>
            </w:pPr>
            <w:r w:rsidRPr="00577F2F">
              <w:rPr>
                <w:rFonts w:cs="Times New Roman"/>
              </w:rPr>
              <w:t>After-Tax Cash Flow (CF - Tax) (£'000)</w:t>
            </w:r>
          </w:p>
        </w:tc>
        <w:tc>
          <w:tcPr>
            <w:tcW w:w="1096" w:type="dxa"/>
            <w:noWrap/>
            <w:hideMark/>
          </w:tcPr>
          <w:p w14:paraId="2492779C" w14:textId="77777777" w:rsidR="009E4BC0" w:rsidRPr="00577F2F" w:rsidRDefault="009E4BC0">
            <w:pPr>
              <w:rPr>
                <w:rFonts w:cs="Times New Roman"/>
              </w:rPr>
            </w:pPr>
            <w:r w:rsidRPr="00577F2F">
              <w:rPr>
                <w:rFonts w:cs="Times New Roman"/>
              </w:rPr>
              <w:t>Discount Factor (6%)</w:t>
            </w:r>
          </w:p>
        </w:tc>
        <w:tc>
          <w:tcPr>
            <w:tcW w:w="1096" w:type="dxa"/>
            <w:noWrap/>
            <w:hideMark/>
          </w:tcPr>
          <w:p w14:paraId="22036D45" w14:textId="77777777" w:rsidR="009E4BC0" w:rsidRPr="00577F2F" w:rsidRDefault="009E4BC0">
            <w:pPr>
              <w:rPr>
                <w:rFonts w:cs="Times New Roman"/>
              </w:rPr>
            </w:pPr>
            <w:r w:rsidRPr="00577F2F">
              <w:rPr>
                <w:rFonts w:cs="Times New Roman"/>
              </w:rPr>
              <w:t>Present Value (£'000)</w:t>
            </w:r>
          </w:p>
        </w:tc>
      </w:tr>
      <w:tr w:rsidR="009E4BC0" w:rsidRPr="00577F2F" w14:paraId="717604F7" w14:textId="77777777" w:rsidTr="009E4BC0">
        <w:trPr>
          <w:trHeight w:val="308"/>
        </w:trPr>
        <w:tc>
          <w:tcPr>
            <w:tcW w:w="430" w:type="dxa"/>
            <w:noWrap/>
            <w:hideMark/>
          </w:tcPr>
          <w:p w14:paraId="71C907C1" w14:textId="77777777" w:rsidR="009E4BC0" w:rsidRPr="00577F2F" w:rsidRDefault="009E4BC0" w:rsidP="009E4BC0">
            <w:pPr>
              <w:rPr>
                <w:rFonts w:cs="Times New Roman"/>
              </w:rPr>
            </w:pPr>
            <w:r w:rsidRPr="00577F2F">
              <w:rPr>
                <w:rFonts w:cs="Times New Roman"/>
              </w:rPr>
              <w:t>0</w:t>
            </w:r>
          </w:p>
        </w:tc>
        <w:tc>
          <w:tcPr>
            <w:tcW w:w="973" w:type="dxa"/>
            <w:noWrap/>
            <w:hideMark/>
          </w:tcPr>
          <w:p w14:paraId="483B68EE" w14:textId="77777777" w:rsidR="009E4BC0" w:rsidRPr="00577F2F" w:rsidRDefault="009E4BC0" w:rsidP="009E4BC0">
            <w:pPr>
              <w:rPr>
                <w:rFonts w:cs="Times New Roman"/>
              </w:rPr>
            </w:pPr>
            <w:r w:rsidRPr="00577F2F">
              <w:rPr>
                <w:rFonts w:cs="Times New Roman"/>
              </w:rPr>
              <w:t>-1000</w:t>
            </w:r>
          </w:p>
        </w:tc>
        <w:tc>
          <w:tcPr>
            <w:tcW w:w="1316" w:type="dxa"/>
            <w:noWrap/>
            <w:hideMark/>
          </w:tcPr>
          <w:p w14:paraId="2A354901" w14:textId="77777777" w:rsidR="009E4BC0" w:rsidRPr="00577F2F" w:rsidRDefault="009E4BC0" w:rsidP="009E4BC0">
            <w:pPr>
              <w:rPr>
                <w:rFonts w:cs="Times New Roman"/>
              </w:rPr>
            </w:pPr>
          </w:p>
        </w:tc>
        <w:tc>
          <w:tcPr>
            <w:tcW w:w="1597" w:type="dxa"/>
            <w:noWrap/>
            <w:hideMark/>
          </w:tcPr>
          <w:p w14:paraId="593E7D55" w14:textId="77777777" w:rsidR="009E4BC0" w:rsidRPr="00577F2F" w:rsidRDefault="009E4BC0">
            <w:pPr>
              <w:rPr>
                <w:rFonts w:cs="Times New Roman"/>
              </w:rPr>
            </w:pPr>
          </w:p>
        </w:tc>
        <w:tc>
          <w:tcPr>
            <w:tcW w:w="973" w:type="dxa"/>
            <w:noWrap/>
            <w:hideMark/>
          </w:tcPr>
          <w:p w14:paraId="4D5B1B24" w14:textId="77777777" w:rsidR="009E4BC0" w:rsidRPr="00577F2F" w:rsidRDefault="009E4BC0">
            <w:pPr>
              <w:rPr>
                <w:rFonts w:cs="Times New Roman"/>
              </w:rPr>
            </w:pPr>
          </w:p>
        </w:tc>
        <w:tc>
          <w:tcPr>
            <w:tcW w:w="1904" w:type="dxa"/>
            <w:noWrap/>
            <w:hideMark/>
          </w:tcPr>
          <w:p w14:paraId="3B2D182F" w14:textId="77777777" w:rsidR="009E4BC0" w:rsidRPr="00577F2F" w:rsidRDefault="009E4BC0">
            <w:pPr>
              <w:rPr>
                <w:rFonts w:cs="Times New Roman"/>
              </w:rPr>
            </w:pPr>
          </w:p>
        </w:tc>
        <w:tc>
          <w:tcPr>
            <w:tcW w:w="1096" w:type="dxa"/>
            <w:noWrap/>
            <w:hideMark/>
          </w:tcPr>
          <w:p w14:paraId="4C059053" w14:textId="77777777" w:rsidR="009E4BC0" w:rsidRPr="00577F2F" w:rsidRDefault="009E4BC0">
            <w:pPr>
              <w:rPr>
                <w:rFonts w:cs="Times New Roman"/>
              </w:rPr>
            </w:pPr>
          </w:p>
        </w:tc>
        <w:tc>
          <w:tcPr>
            <w:tcW w:w="1096" w:type="dxa"/>
            <w:noWrap/>
            <w:hideMark/>
          </w:tcPr>
          <w:p w14:paraId="0C7EA469" w14:textId="77777777" w:rsidR="009E4BC0" w:rsidRPr="00577F2F" w:rsidRDefault="009E4BC0" w:rsidP="009E4BC0">
            <w:pPr>
              <w:rPr>
                <w:rFonts w:cs="Times New Roman"/>
              </w:rPr>
            </w:pPr>
            <w:r w:rsidRPr="00577F2F">
              <w:rPr>
                <w:rFonts w:cs="Times New Roman"/>
              </w:rPr>
              <w:t>-1000</w:t>
            </w:r>
          </w:p>
        </w:tc>
      </w:tr>
      <w:tr w:rsidR="009E4BC0" w:rsidRPr="00577F2F" w14:paraId="790EB93C" w14:textId="77777777" w:rsidTr="009E4BC0">
        <w:trPr>
          <w:trHeight w:val="308"/>
        </w:trPr>
        <w:tc>
          <w:tcPr>
            <w:tcW w:w="430" w:type="dxa"/>
            <w:noWrap/>
            <w:hideMark/>
          </w:tcPr>
          <w:p w14:paraId="57A97A1B" w14:textId="77777777" w:rsidR="009E4BC0" w:rsidRPr="00577F2F" w:rsidRDefault="009E4BC0" w:rsidP="009E4BC0">
            <w:pPr>
              <w:rPr>
                <w:rFonts w:cs="Times New Roman"/>
              </w:rPr>
            </w:pPr>
            <w:r w:rsidRPr="00577F2F">
              <w:rPr>
                <w:rFonts w:cs="Times New Roman"/>
              </w:rPr>
              <w:t>1</w:t>
            </w:r>
          </w:p>
        </w:tc>
        <w:tc>
          <w:tcPr>
            <w:tcW w:w="973" w:type="dxa"/>
            <w:noWrap/>
            <w:hideMark/>
          </w:tcPr>
          <w:p w14:paraId="1BBE39C0" w14:textId="77777777" w:rsidR="009E4BC0" w:rsidRPr="00577F2F" w:rsidRDefault="009E4BC0" w:rsidP="009E4BC0">
            <w:pPr>
              <w:rPr>
                <w:rFonts w:cs="Times New Roman"/>
              </w:rPr>
            </w:pPr>
            <w:r w:rsidRPr="00577F2F">
              <w:rPr>
                <w:rFonts w:cs="Times New Roman"/>
              </w:rPr>
              <w:t>400</w:t>
            </w:r>
          </w:p>
        </w:tc>
        <w:tc>
          <w:tcPr>
            <w:tcW w:w="1316" w:type="dxa"/>
            <w:noWrap/>
            <w:hideMark/>
          </w:tcPr>
          <w:p w14:paraId="6BBA295A" w14:textId="77777777" w:rsidR="009E4BC0" w:rsidRPr="00577F2F" w:rsidRDefault="009E4BC0" w:rsidP="009E4BC0">
            <w:pPr>
              <w:rPr>
                <w:rFonts w:cs="Times New Roman"/>
              </w:rPr>
            </w:pPr>
            <w:r w:rsidRPr="00577F2F">
              <w:rPr>
                <w:rFonts w:cs="Times New Roman"/>
              </w:rPr>
              <w:t>200</w:t>
            </w:r>
          </w:p>
        </w:tc>
        <w:tc>
          <w:tcPr>
            <w:tcW w:w="1597" w:type="dxa"/>
            <w:noWrap/>
            <w:hideMark/>
          </w:tcPr>
          <w:p w14:paraId="5FD16126" w14:textId="77777777" w:rsidR="009E4BC0" w:rsidRPr="00577F2F" w:rsidRDefault="009E4BC0" w:rsidP="009E4BC0">
            <w:pPr>
              <w:rPr>
                <w:rFonts w:cs="Times New Roman"/>
              </w:rPr>
            </w:pPr>
            <w:r w:rsidRPr="00577F2F">
              <w:rPr>
                <w:rFonts w:cs="Times New Roman"/>
              </w:rPr>
              <w:t>200</w:t>
            </w:r>
          </w:p>
        </w:tc>
        <w:tc>
          <w:tcPr>
            <w:tcW w:w="973" w:type="dxa"/>
            <w:noWrap/>
            <w:hideMark/>
          </w:tcPr>
          <w:p w14:paraId="7E88C797" w14:textId="77777777" w:rsidR="009E4BC0" w:rsidRPr="00577F2F" w:rsidRDefault="009E4BC0" w:rsidP="009E4BC0">
            <w:pPr>
              <w:rPr>
                <w:rFonts w:cs="Times New Roman"/>
              </w:rPr>
            </w:pPr>
            <w:r w:rsidRPr="00577F2F">
              <w:rPr>
                <w:rFonts w:cs="Times New Roman"/>
              </w:rPr>
              <w:t>50</w:t>
            </w:r>
          </w:p>
        </w:tc>
        <w:tc>
          <w:tcPr>
            <w:tcW w:w="1904" w:type="dxa"/>
            <w:noWrap/>
            <w:hideMark/>
          </w:tcPr>
          <w:p w14:paraId="605DF56C" w14:textId="77777777" w:rsidR="009E4BC0" w:rsidRPr="00577F2F" w:rsidRDefault="009E4BC0" w:rsidP="009E4BC0">
            <w:pPr>
              <w:rPr>
                <w:rFonts w:cs="Times New Roman"/>
              </w:rPr>
            </w:pPr>
            <w:r w:rsidRPr="00577F2F">
              <w:rPr>
                <w:rFonts w:cs="Times New Roman"/>
              </w:rPr>
              <w:t>350</w:t>
            </w:r>
          </w:p>
        </w:tc>
        <w:tc>
          <w:tcPr>
            <w:tcW w:w="1096" w:type="dxa"/>
            <w:noWrap/>
            <w:hideMark/>
          </w:tcPr>
          <w:p w14:paraId="0F9D1CF5" w14:textId="77777777" w:rsidR="009E4BC0" w:rsidRPr="00577F2F" w:rsidRDefault="009E4BC0" w:rsidP="009E4BC0">
            <w:pPr>
              <w:rPr>
                <w:rFonts w:cs="Times New Roman"/>
              </w:rPr>
            </w:pPr>
            <w:r w:rsidRPr="00577F2F">
              <w:rPr>
                <w:rFonts w:cs="Times New Roman"/>
              </w:rPr>
              <w:t>0.94</w:t>
            </w:r>
          </w:p>
        </w:tc>
        <w:tc>
          <w:tcPr>
            <w:tcW w:w="1096" w:type="dxa"/>
            <w:noWrap/>
            <w:hideMark/>
          </w:tcPr>
          <w:p w14:paraId="196CABFD" w14:textId="77777777" w:rsidR="009E4BC0" w:rsidRPr="00577F2F" w:rsidRDefault="009E4BC0" w:rsidP="009E4BC0">
            <w:pPr>
              <w:rPr>
                <w:rFonts w:cs="Times New Roman"/>
              </w:rPr>
            </w:pPr>
            <w:r w:rsidRPr="00577F2F">
              <w:rPr>
                <w:rFonts w:cs="Times New Roman"/>
              </w:rPr>
              <w:t>330.19</w:t>
            </w:r>
          </w:p>
        </w:tc>
      </w:tr>
      <w:tr w:rsidR="009E4BC0" w:rsidRPr="00577F2F" w14:paraId="159C8D0D" w14:textId="77777777" w:rsidTr="009E4BC0">
        <w:trPr>
          <w:trHeight w:val="308"/>
        </w:trPr>
        <w:tc>
          <w:tcPr>
            <w:tcW w:w="430" w:type="dxa"/>
            <w:noWrap/>
            <w:hideMark/>
          </w:tcPr>
          <w:p w14:paraId="44E53912" w14:textId="77777777" w:rsidR="009E4BC0" w:rsidRPr="00577F2F" w:rsidRDefault="009E4BC0" w:rsidP="009E4BC0">
            <w:pPr>
              <w:rPr>
                <w:rFonts w:cs="Times New Roman"/>
              </w:rPr>
            </w:pPr>
            <w:r w:rsidRPr="00577F2F">
              <w:rPr>
                <w:rFonts w:cs="Times New Roman"/>
              </w:rPr>
              <w:t>2</w:t>
            </w:r>
          </w:p>
        </w:tc>
        <w:tc>
          <w:tcPr>
            <w:tcW w:w="973" w:type="dxa"/>
            <w:noWrap/>
            <w:hideMark/>
          </w:tcPr>
          <w:p w14:paraId="28CB2E33" w14:textId="77777777" w:rsidR="009E4BC0" w:rsidRPr="00577F2F" w:rsidRDefault="009E4BC0" w:rsidP="009E4BC0">
            <w:pPr>
              <w:rPr>
                <w:rFonts w:cs="Times New Roman"/>
              </w:rPr>
            </w:pPr>
            <w:r w:rsidRPr="00577F2F">
              <w:rPr>
                <w:rFonts w:cs="Times New Roman"/>
              </w:rPr>
              <w:t>450</w:t>
            </w:r>
          </w:p>
        </w:tc>
        <w:tc>
          <w:tcPr>
            <w:tcW w:w="1316" w:type="dxa"/>
            <w:noWrap/>
            <w:hideMark/>
          </w:tcPr>
          <w:p w14:paraId="15B81905" w14:textId="77777777" w:rsidR="009E4BC0" w:rsidRPr="00577F2F" w:rsidRDefault="009E4BC0" w:rsidP="009E4BC0">
            <w:pPr>
              <w:rPr>
                <w:rFonts w:cs="Times New Roman"/>
              </w:rPr>
            </w:pPr>
            <w:r w:rsidRPr="00577F2F">
              <w:rPr>
                <w:rFonts w:cs="Times New Roman"/>
              </w:rPr>
              <w:t>200</w:t>
            </w:r>
          </w:p>
        </w:tc>
        <w:tc>
          <w:tcPr>
            <w:tcW w:w="1597" w:type="dxa"/>
            <w:noWrap/>
            <w:hideMark/>
          </w:tcPr>
          <w:p w14:paraId="52A49B06" w14:textId="77777777" w:rsidR="009E4BC0" w:rsidRPr="00577F2F" w:rsidRDefault="009E4BC0" w:rsidP="009E4BC0">
            <w:pPr>
              <w:rPr>
                <w:rFonts w:cs="Times New Roman"/>
              </w:rPr>
            </w:pPr>
            <w:r w:rsidRPr="00577F2F">
              <w:rPr>
                <w:rFonts w:cs="Times New Roman"/>
              </w:rPr>
              <w:t>250</w:t>
            </w:r>
          </w:p>
        </w:tc>
        <w:tc>
          <w:tcPr>
            <w:tcW w:w="973" w:type="dxa"/>
            <w:noWrap/>
            <w:hideMark/>
          </w:tcPr>
          <w:p w14:paraId="0FDC1697" w14:textId="77777777" w:rsidR="009E4BC0" w:rsidRPr="00577F2F" w:rsidRDefault="009E4BC0" w:rsidP="009E4BC0">
            <w:pPr>
              <w:rPr>
                <w:rFonts w:cs="Times New Roman"/>
              </w:rPr>
            </w:pPr>
            <w:r w:rsidRPr="00577F2F">
              <w:rPr>
                <w:rFonts w:cs="Times New Roman"/>
              </w:rPr>
              <w:t>62.5</w:t>
            </w:r>
          </w:p>
        </w:tc>
        <w:tc>
          <w:tcPr>
            <w:tcW w:w="1904" w:type="dxa"/>
            <w:noWrap/>
            <w:hideMark/>
          </w:tcPr>
          <w:p w14:paraId="095B576E" w14:textId="77777777" w:rsidR="009E4BC0" w:rsidRPr="00577F2F" w:rsidRDefault="009E4BC0" w:rsidP="009E4BC0">
            <w:pPr>
              <w:rPr>
                <w:rFonts w:cs="Times New Roman"/>
              </w:rPr>
            </w:pPr>
            <w:r w:rsidRPr="00577F2F">
              <w:rPr>
                <w:rFonts w:cs="Times New Roman"/>
              </w:rPr>
              <w:t>387.5</w:t>
            </w:r>
          </w:p>
        </w:tc>
        <w:tc>
          <w:tcPr>
            <w:tcW w:w="1096" w:type="dxa"/>
            <w:noWrap/>
            <w:hideMark/>
          </w:tcPr>
          <w:p w14:paraId="1035CFC3" w14:textId="77777777" w:rsidR="009E4BC0" w:rsidRPr="00577F2F" w:rsidRDefault="009E4BC0" w:rsidP="009E4BC0">
            <w:pPr>
              <w:rPr>
                <w:rFonts w:cs="Times New Roman"/>
              </w:rPr>
            </w:pPr>
            <w:r w:rsidRPr="00577F2F">
              <w:rPr>
                <w:rFonts w:cs="Times New Roman"/>
              </w:rPr>
              <w:t>0.89</w:t>
            </w:r>
          </w:p>
        </w:tc>
        <w:tc>
          <w:tcPr>
            <w:tcW w:w="1096" w:type="dxa"/>
            <w:noWrap/>
            <w:hideMark/>
          </w:tcPr>
          <w:p w14:paraId="7B70132D" w14:textId="77777777" w:rsidR="009E4BC0" w:rsidRPr="00577F2F" w:rsidRDefault="009E4BC0" w:rsidP="009E4BC0">
            <w:pPr>
              <w:rPr>
                <w:rFonts w:cs="Times New Roman"/>
              </w:rPr>
            </w:pPr>
            <w:r w:rsidRPr="00577F2F">
              <w:rPr>
                <w:rFonts w:cs="Times New Roman"/>
              </w:rPr>
              <w:t>344.87</w:t>
            </w:r>
          </w:p>
        </w:tc>
      </w:tr>
      <w:tr w:rsidR="009E4BC0" w:rsidRPr="00577F2F" w14:paraId="1BF3B311" w14:textId="77777777" w:rsidTr="009E4BC0">
        <w:trPr>
          <w:trHeight w:val="308"/>
        </w:trPr>
        <w:tc>
          <w:tcPr>
            <w:tcW w:w="430" w:type="dxa"/>
            <w:noWrap/>
            <w:hideMark/>
          </w:tcPr>
          <w:p w14:paraId="31DBEE2F" w14:textId="77777777" w:rsidR="009E4BC0" w:rsidRPr="00577F2F" w:rsidRDefault="009E4BC0" w:rsidP="009E4BC0">
            <w:pPr>
              <w:rPr>
                <w:rFonts w:cs="Times New Roman"/>
              </w:rPr>
            </w:pPr>
            <w:r w:rsidRPr="00577F2F">
              <w:rPr>
                <w:rFonts w:cs="Times New Roman"/>
              </w:rPr>
              <w:t>3</w:t>
            </w:r>
          </w:p>
        </w:tc>
        <w:tc>
          <w:tcPr>
            <w:tcW w:w="973" w:type="dxa"/>
            <w:noWrap/>
            <w:hideMark/>
          </w:tcPr>
          <w:p w14:paraId="5D4D5F55" w14:textId="77777777" w:rsidR="009E4BC0" w:rsidRPr="00577F2F" w:rsidRDefault="009E4BC0" w:rsidP="009E4BC0">
            <w:pPr>
              <w:rPr>
                <w:rFonts w:cs="Times New Roman"/>
              </w:rPr>
            </w:pPr>
            <w:r w:rsidRPr="00577F2F">
              <w:rPr>
                <w:rFonts w:cs="Times New Roman"/>
              </w:rPr>
              <w:t>720</w:t>
            </w:r>
          </w:p>
        </w:tc>
        <w:tc>
          <w:tcPr>
            <w:tcW w:w="1316" w:type="dxa"/>
            <w:noWrap/>
            <w:hideMark/>
          </w:tcPr>
          <w:p w14:paraId="7C4F2D0C" w14:textId="77777777" w:rsidR="009E4BC0" w:rsidRPr="00577F2F" w:rsidRDefault="009E4BC0" w:rsidP="009E4BC0">
            <w:pPr>
              <w:rPr>
                <w:rFonts w:cs="Times New Roman"/>
              </w:rPr>
            </w:pPr>
            <w:r w:rsidRPr="00577F2F">
              <w:rPr>
                <w:rFonts w:cs="Times New Roman"/>
              </w:rPr>
              <w:t>200</w:t>
            </w:r>
          </w:p>
        </w:tc>
        <w:tc>
          <w:tcPr>
            <w:tcW w:w="1597" w:type="dxa"/>
            <w:noWrap/>
            <w:hideMark/>
          </w:tcPr>
          <w:p w14:paraId="04801827" w14:textId="77777777" w:rsidR="009E4BC0" w:rsidRPr="00577F2F" w:rsidRDefault="009E4BC0" w:rsidP="009E4BC0">
            <w:pPr>
              <w:rPr>
                <w:rFonts w:cs="Times New Roman"/>
              </w:rPr>
            </w:pPr>
            <w:r w:rsidRPr="00577F2F">
              <w:rPr>
                <w:rFonts w:cs="Times New Roman"/>
              </w:rPr>
              <w:t>520</w:t>
            </w:r>
          </w:p>
        </w:tc>
        <w:tc>
          <w:tcPr>
            <w:tcW w:w="973" w:type="dxa"/>
            <w:noWrap/>
            <w:hideMark/>
          </w:tcPr>
          <w:p w14:paraId="412B4E22" w14:textId="77777777" w:rsidR="009E4BC0" w:rsidRPr="00577F2F" w:rsidRDefault="009E4BC0" w:rsidP="009E4BC0">
            <w:pPr>
              <w:rPr>
                <w:rFonts w:cs="Times New Roman"/>
              </w:rPr>
            </w:pPr>
            <w:r w:rsidRPr="00577F2F">
              <w:rPr>
                <w:rFonts w:cs="Times New Roman"/>
              </w:rPr>
              <w:t>130</w:t>
            </w:r>
          </w:p>
        </w:tc>
        <w:tc>
          <w:tcPr>
            <w:tcW w:w="1904" w:type="dxa"/>
            <w:noWrap/>
            <w:hideMark/>
          </w:tcPr>
          <w:p w14:paraId="35615082" w14:textId="77777777" w:rsidR="009E4BC0" w:rsidRPr="00577F2F" w:rsidRDefault="009E4BC0" w:rsidP="009E4BC0">
            <w:pPr>
              <w:rPr>
                <w:rFonts w:cs="Times New Roman"/>
              </w:rPr>
            </w:pPr>
            <w:r w:rsidRPr="00577F2F">
              <w:rPr>
                <w:rFonts w:cs="Times New Roman"/>
              </w:rPr>
              <w:t>590</w:t>
            </w:r>
          </w:p>
        </w:tc>
        <w:tc>
          <w:tcPr>
            <w:tcW w:w="1096" w:type="dxa"/>
            <w:noWrap/>
            <w:hideMark/>
          </w:tcPr>
          <w:p w14:paraId="715A631D" w14:textId="77777777" w:rsidR="009E4BC0" w:rsidRPr="00577F2F" w:rsidRDefault="009E4BC0" w:rsidP="009E4BC0">
            <w:pPr>
              <w:rPr>
                <w:rFonts w:cs="Times New Roman"/>
              </w:rPr>
            </w:pPr>
            <w:r w:rsidRPr="00577F2F">
              <w:rPr>
                <w:rFonts w:cs="Times New Roman"/>
              </w:rPr>
              <w:t>0.84</w:t>
            </w:r>
          </w:p>
        </w:tc>
        <w:tc>
          <w:tcPr>
            <w:tcW w:w="1096" w:type="dxa"/>
            <w:noWrap/>
            <w:hideMark/>
          </w:tcPr>
          <w:p w14:paraId="33995236" w14:textId="77777777" w:rsidR="009E4BC0" w:rsidRPr="00577F2F" w:rsidRDefault="009E4BC0" w:rsidP="009E4BC0">
            <w:pPr>
              <w:rPr>
                <w:rFonts w:cs="Times New Roman"/>
              </w:rPr>
            </w:pPr>
            <w:r w:rsidRPr="00577F2F">
              <w:rPr>
                <w:rFonts w:cs="Times New Roman"/>
              </w:rPr>
              <w:t>495.38</w:t>
            </w:r>
          </w:p>
        </w:tc>
      </w:tr>
      <w:tr w:rsidR="009E4BC0" w:rsidRPr="00577F2F" w14:paraId="09209FB8" w14:textId="77777777" w:rsidTr="009E4BC0">
        <w:trPr>
          <w:trHeight w:val="308"/>
        </w:trPr>
        <w:tc>
          <w:tcPr>
            <w:tcW w:w="430" w:type="dxa"/>
            <w:noWrap/>
            <w:hideMark/>
          </w:tcPr>
          <w:p w14:paraId="6F2957A8" w14:textId="77777777" w:rsidR="009E4BC0" w:rsidRPr="00577F2F" w:rsidRDefault="009E4BC0" w:rsidP="009E4BC0">
            <w:pPr>
              <w:rPr>
                <w:rFonts w:cs="Times New Roman"/>
              </w:rPr>
            </w:pPr>
            <w:r w:rsidRPr="00577F2F">
              <w:rPr>
                <w:rFonts w:cs="Times New Roman"/>
              </w:rPr>
              <w:t>4</w:t>
            </w:r>
          </w:p>
        </w:tc>
        <w:tc>
          <w:tcPr>
            <w:tcW w:w="973" w:type="dxa"/>
            <w:noWrap/>
            <w:hideMark/>
          </w:tcPr>
          <w:p w14:paraId="2014C8FC" w14:textId="77777777" w:rsidR="009E4BC0" w:rsidRPr="00577F2F" w:rsidRDefault="009E4BC0" w:rsidP="009E4BC0">
            <w:pPr>
              <w:rPr>
                <w:rFonts w:cs="Times New Roman"/>
              </w:rPr>
            </w:pPr>
            <w:r w:rsidRPr="00577F2F">
              <w:rPr>
                <w:rFonts w:cs="Times New Roman"/>
              </w:rPr>
              <w:t>980</w:t>
            </w:r>
          </w:p>
        </w:tc>
        <w:tc>
          <w:tcPr>
            <w:tcW w:w="1316" w:type="dxa"/>
            <w:noWrap/>
            <w:hideMark/>
          </w:tcPr>
          <w:p w14:paraId="586F3640" w14:textId="77777777" w:rsidR="009E4BC0" w:rsidRPr="00577F2F" w:rsidRDefault="009E4BC0" w:rsidP="009E4BC0">
            <w:pPr>
              <w:rPr>
                <w:rFonts w:cs="Times New Roman"/>
              </w:rPr>
            </w:pPr>
            <w:r w:rsidRPr="00577F2F">
              <w:rPr>
                <w:rFonts w:cs="Times New Roman"/>
              </w:rPr>
              <w:t>200</w:t>
            </w:r>
          </w:p>
        </w:tc>
        <w:tc>
          <w:tcPr>
            <w:tcW w:w="1597" w:type="dxa"/>
            <w:noWrap/>
            <w:hideMark/>
          </w:tcPr>
          <w:p w14:paraId="3D8112C3" w14:textId="77777777" w:rsidR="009E4BC0" w:rsidRPr="00577F2F" w:rsidRDefault="009E4BC0" w:rsidP="009E4BC0">
            <w:pPr>
              <w:rPr>
                <w:rFonts w:cs="Times New Roman"/>
              </w:rPr>
            </w:pPr>
            <w:r w:rsidRPr="00577F2F">
              <w:rPr>
                <w:rFonts w:cs="Times New Roman"/>
              </w:rPr>
              <w:t>780</w:t>
            </w:r>
          </w:p>
        </w:tc>
        <w:tc>
          <w:tcPr>
            <w:tcW w:w="973" w:type="dxa"/>
            <w:noWrap/>
            <w:hideMark/>
          </w:tcPr>
          <w:p w14:paraId="1BB990B1" w14:textId="77777777" w:rsidR="009E4BC0" w:rsidRPr="00577F2F" w:rsidRDefault="009E4BC0" w:rsidP="009E4BC0">
            <w:pPr>
              <w:rPr>
                <w:rFonts w:cs="Times New Roman"/>
              </w:rPr>
            </w:pPr>
            <w:r w:rsidRPr="00577F2F">
              <w:rPr>
                <w:rFonts w:cs="Times New Roman"/>
              </w:rPr>
              <w:t>195</w:t>
            </w:r>
          </w:p>
        </w:tc>
        <w:tc>
          <w:tcPr>
            <w:tcW w:w="1904" w:type="dxa"/>
            <w:noWrap/>
            <w:hideMark/>
          </w:tcPr>
          <w:p w14:paraId="38F0A593" w14:textId="77777777" w:rsidR="009E4BC0" w:rsidRPr="00577F2F" w:rsidRDefault="009E4BC0" w:rsidP="009E4BC0">
            <w:pPr>
              <w:rPr>
                <w:rFonts w:cs="Times New Roman"/>
              </w:rPr>
            </w:pPr>
            <w:r w:rsidRPr="00577F2F">
              <w:rPr>
                <w:rFonts w:cs="Times New Roman"/>
              </w:rPr>
              <w:t>785</w:t>
            </w:r>
          </w:p>
        </w:tc>
        <w:tc>
          <w:tcPr>
            <w:tcW w:w="1096" w:type="dxa"/>
            <w:noWrap/>
            <w:hideMark/>
          </w:tcPr>
          <w:p w14:paraId="030CD8FD" w14:textId="77777777" w:rsidR="009E4BC0" w:rsidRPr="00577F2F" w:rsidRDefault="009E4BC0" w:rsidP="009E4BC0">
            <w:pPr>
              <w:rPr>
                <w:rFonts w:cs="Times New Roman"/>
              </w:rPr>
            </w:pPr>
            <w:r w:rsidRPr="00577F2F">
              <w:rPr>
                <w:rFonts w:cs="Times New Roman"/>
              </w:rPr>
              <w:t>0.79</w:t>
            </w:r>
          </w:p>
        </w:tc>
        <w:tc>
          <w:tcPr>
            <w:tcW w:w="1096" w:type="dxa"/>
            <w:noWrap/>
            <w:hideMark/>
          </w:tcPr>
          <w:p w14:paraId="1EED1A8F" w14:textId="77777777" w:rsidR="009E4BC0" w:rsidRPr="00577F2F" w:rsidRDefault="009E4BC0" w:rsidP="009E4BC0">
            <w:pPr>
              <w:rPr>
                <w:rFonts w:cs="Times New Roman"/>
              </w:rPr>
            </w:pPr>
            <w:r w:rsidRPr="00577F2F">
              <w:rPr>
                <w:rFonts w:cs="Times New Roman"/>
              </w:rPr>
              <w:t>621.79</w:t>
            </w:r>
          </w:p>
        </w:tc>
      </w:tr>
      <w:tr w:rsidR="009E4BC0" w:rsidRPr="00577F2F" w14:paraId="41031D52" w14:textId="77777777" w:rsidTr="009E4BC0">
        <w:trPr>
          <w:trHeight w:val="308"/>
        </w:trPr>
        <w:tc>
          <w:tcPr>
            <w:tcW w:w="430" w:type="dxa"/>
            <w:noWrap/>
            <w:hideMark/>
          </w:tcPr>
          <w:p w14:paraId="439C1010" w14:textId="77777777" w:rsidR="009E4BC0" w:rsidRPr="00577F2F" w:rsidRDefault="009E4BC0" w:rsidP="009E4BC0">
            <w:pPr>
              <w:rPr>
                <w:rFonts w:cs="Times New Roman"/>
              </w:rPr>
            </w:pPr>
          </w:p>
        </w:tc>
        <w:tc>
          <w:tcPr>
            <w:tcW w:w="973" w:type="dxa"/>
            <w:noWrap/>
            <w:hideMark/>
          </w:tcPr>
          <w:p w14:paraId="552114D2" w14:textId="77777777" w:rsidR="009E4BC0" w:rsidRPr="00577F2F" w:rsidRDefault="009E4BC0">
            <w:pPr>
              <w:rPr>
                <w:rFonts w:cs="Times New Roman"/>
              </w:rPr>
            </w:pPr>
          </w:p>
        </w:tc>
        <w:tc>
          <w:tcPr>
            <w:tcW w:w="1316" w:type="dxa"/>
            <w:noWrap/>
            <w:hideMark/>
          </w:tcPr>
          <w:p w14:paraId="7128A26A" w14:textId="77777777" w:rsidR="009E4BC0" w:rsidRPr="00577F2F" w:rsidRDefault="009E4BC0">
            <w:pPr>
              <w:rPr>
                <w:rFonts w:cs="Times New Roman"/>
              </w:rPr>
            </w:pPr>
          </w:p>
        </w:tc>
        <w:tc>
          <w:tcPr>
            <w:tcW w:w="1597" w:type="dxa"/>
            <w:noWrap/>
            <w:hideMark/>
          </w:tcPr>
          <w:p w14:paraId="3EEBAC73" w14:textId="77777777" w:rsidR="009E4BC0" w:rsidRPr="00577F2F" w:rsidRDefault="009E4BC0">
            <w:pPr>
              <w:rPr>
                <w:rFonts w:cs="Times New Roman"/>
              </w:rPr>
            </w:pPr>
          </w:p>
        </w:tc>
        <w:tc>
          <w:tcPr>
            <w:tcW w:w="973" w:type="dxa"/>
            <w:noWrap/>
            <w:hideMark/>
          </w:tcPr>
          <w:p w14:paraId="7243A000" w14:textId="77777777" w:rsidR="009E4BC0" w:rsidRPr="00577F2F" w:rsidRDefault="009E4BC0">
            <w:pPr>
              <w:rPr>
                <w:rFonts w:cs="Times New Roman"/>
              </w:rPr>
            </w:pPr>
          </w:p>
        </w:tc>
        <w:tc>
          <w:tcPr>
            <w:tcW w:w="1904" w:type="dxa"/>
            <w:noWrap/>
            <w:hideMark/>
          </w:tcPr>
          <w:p w14:paraId="275E133E" w14:textId="77777777" w:rsidR="009E4BC0" w:rsidRPr="00577F2F" w:rsidRDefault="009E4BC0">
            <w:pPr>
              <w:rPr>
                <w:rFonts w:cs="Times New Roman"/>
              </w:rPr>
            </w:pPr>
          </w:p>
        </w:tc>
        <w:tc>
          <w:tcPr>
            <w:tcW w:w="1096" w:type="dxa"/>
            <w:noWrap/>
            <w:hideMark/>
          </w:tcPr>
          <w:p w14:paraId="5F14F316" w14:textId="77777777" w:rsidR="009E4BC0" w:rsidRPr="00577F2F" w:rsidRDefault="009E4BC0">
            <w:pPr>
              <w:rPr>
                <w:rFonts w:cs="Times New Roman"/>
                <w:b/>
                <w:bCs/>
              </w:rPr>
            </w:pPr>
            <w:r w:rsidRPr="00577F2F">
              <w:rPr>
                <w:rFonts w:cs="Times New Roman"/>
                <w:b/>
                <w:bCs/>
              </w:rPr>
              <w:t>NPV</w:t>
            </w:r>
          </w:p>
        </w:tc>
        <w:tc>
          <w:tcPr>
            <w:tcW w:w="1096" w:type="dxa"/>
            <w:noWrap/>
            <w:hideMark/>
          </w:tcPr>
          <w:p w14:paraId="41BE6A5C" w14:textId="77777777" w:rsidR="009E4BC0" w:rsidRPr="00577F2F" w:rsidRDefault="009E4BC0" w:rsidP="009E4BC0">
            <w:pPr>
              <w:rPr>
                <w:rFonts w:cs="Times New Roman"/>
                <w:b/>
                <w:bCs/>
                <w:u w:val="double"/>
              </w:rPr>
            </w:pPr>
            <w:r w:rsidRPr="00577F2F">
              <w:rPr>
                <w:rFonts w:cs="Times New Roman"/>
                <w:b/>
                <w:bCs/>
                <w:u w:val="double"/>
              </w:rPr>
              <w:t>792.23</w:t>
            </w:r>
          </w:p>
        </w:tc>
      </w:tr>
    </w:tbl>
    <w:p w14:paraId="11080DF0" w14:textId="77777777" w:rsidR="009E4BC0" w:rsidRPr="00577F2F" w:rsidRDefault="009E4BC0" w:rsidP="009E4BC0">
      <w:pPr>
        <w:rPr>
          <w:rFonts w:cs="Times New Roman"/>
          <w:lang w:val="en-IN"/>
        </w:rPr>
      </w:pPr>
    </w:p>
    <w:p w14:paraId="288E345C" w14:textId="77777777" w:rsidR="009E4BC0" w:rsidRPr="009E4BC0" w:rsidRDefault="009E4BC0" w:rsidP="009E4BC0">
      <w:pPr>
        <w:rPr>
          <w:rFonts w:cs="Times New Roman"/>
          <w:b/>
          <w:bCs/>
          <w:lang w:val="en-IN"/>
        </w:rPr>
      </w:pPr>
      <w:r w:rsidRPr="009E4BC0">
        <w:rPr>
          <w:rFonts w:cs="Times New Roman"/>
          <w:b/>
          <w:bCs/>
          <w:lang w:val="en-IN"/>
        </w:rPr>
        <w:t>Option C: Produce wooden/Roman blinds</w:t>
      </w:r>
    </w:p>
    <w:p w14:paraId="15973748" w14:textId="77777777" w:rsidR="009E4BC0" w:rsidRPr="00577F2F" w:rsidRDefault="009E4BC0" w:rsidP="009E4BC0">
      <w:pPr>
        <w:rPr>
          <w:rFonts w:cs="Times New Roman"/>
        </w:rPr>
      </w:pPr>
      <w:r w:rsidRPr="00577F2F">
        <w:rPr>
          <w:rFonts w:cs="Times New Roman"/>
        </w:rPr>
        <w:t>Initial investment: £1,600,000</w:t>
      </w:r>
    </w:p>
    <w:p w14:paraId="620BD13E" w14:textId="346D3114" w:rsidR="009E4BC0" w:rsidRPr="00577F2F" w:rsidRDefault="009E4BC0" w:rsidP="009E4BC0">
      <w:pPr>
        <w:rPr>
          <w:rFonts w:cs="Times New Roman"/>
        </w:rPr>
      </w:pPr>
      <w:r w:rsidRPr="00577F2F">
        <w:rPr>
          <w:rFonts w:cs="Times New Roman"/>
        </w:rPr>
        <w:t>Capital allowance/year = </w:t>
      </w:r>
      <m:oMath>
        <m:r>
          <m:rPr>
            <m:sty m:val="p"/>
          </m:rPr>
          <w:rPr>
            <w:rFonts w:ascii="Cambria Math" w:hAnsi="Cambria Math" w:cs="Times New Roman"/>
          </w:rPr>
          <m:t xml:space="preserve">£1,600,000 </m:t>
        </m:r>
        <m:r>
          <w:rPr>
            <w:rFonts w:ascii="Cambria Math" w:hAnsi="Cambria Math" w:cs="Times New Roman"/>
          </w:rPr>
          <m:t>×20</m:t>
        </m:r>
        <m:r>
          <m:rPr>
            <m:sty m:val="p"/>
          </m:rPr>
          <w:rPr>
            <w:rFonts w:ascii="Cambria Math" w:hAnsi="Cambria Math" w:cs="Times New Roman"/>
          </w:rPr>
          <m:t xml:space="preserve">%= </m:t>
        </m:r>
        <m:r>
          <w:rPr>
            <w:rFonts w:ascii="Cambria Math" w:hAnsi="Cambria Math" w:cs="Times New Roman"/>
          </w:rPr>
          <m:t>320,000</m:t>
        </m:r>
      </m:oMath>
    </w:p>
    <w:p w14:paraId="5AA209B4" w14:textId="10AD43B9" w:rsidR="009E4BC0" w:rsidRPr="00577F2F" w:rsidRDefault="009E4BC0" w:rsidP="009E4BC0">
      <w:pPr>
        <w:rPr>
          <w:rFonts w:cs="Times New Roman"/>
          <w:lang w:val="en-IN"/>
        </w:rPr>
      </w:pPr>
      <w:r w:rsidRPr="00577F2F">
        <w:rPr>
          <w:rFonts w:cs="Times New Roman"/>
        </w:rPr>
        <w:t>Tax saving/year = </w:t>
      </w:r>
      <m:oMath>
        <m:r>
          <w:rPr>
            <w:rFonts w:ascii="Cambria Math" w:hAnsi="Cambria Math" w:cs="Times New Roman"/>
          </w:rPr>
          <m:t>320,000×25</m:t>
        </m:r>
        <m:r>
          <m:rPr>
            <m:sty m:val="p"/>
          </m:rPr>
          <w:rPr>
            <w:rFonts w:ascii="Cambria Math" w:hAnsi="Cambria Math" w:cs="Times New Roman"/>
          </w:rPr>
          <m:t>%</m:t>
        </m:r>
        <m:r>
          <w:rPr>
            <w:rFonts w:ascii="Cambria Math" w:hAnsi="Cambria Math" w:cs="Times New Roman"/>
          </w:rPr>
          <m:t>=80,000</m:t>
        </m:r>
      </m:oMath>
    </w:p>
    <w:tbl>
      <w:tblPr>
        <w:tblStyle w:val="TableGrid"/>
        <w:tblW w:w="9694" w:type="dxa"/>
        <w:tblLook w:val="04A0" w:firstRow="1" w:lastRow="0" w:firstColumn="1" w:lastColumn="0" w:noHBand="0" w:noVBand="1"/>
      </w:tblPr>
      <w:tblGrid>
        <w:gridCol w:w="683"/>
        <w:gridCol w:w="1005"/>
        <w:gridCol w:w="1359"/>
        <w:gridCol w:w="1650"/>
        <w:gridCol w:w="1005"/>
        <w:gridCol w:w="1967"/>
        <w:gridCol w:w="1132"/>
        <w:gridCol w:w="1132"/>
      </w:tblGrid>
      <w:tr w:rsidR="009E4BC0" w:rsidRPr="00577F2F" w14:paraId="751A659E" w14:textId="77777777" w:rsidTr="009E4BC0">
        <w:trPr>
          <w:trHeight w:val="325"/>
        </w:trPr>
        <w:tc>
          <w:tcPr>
            <w:tcW w:w="444" w:type="dxa"/>
            <w:noWrap/>
            <w:hideMark/>
          </w:tcPr>
          <w:p w14:paraId="6FF006AF" w14:textId="77777777" w:rsidR="009E4BC0" w:rsidRPr="00577F2F" w:rsidRDefault="009E4BC0" w:rsidP="009E4BC0">
            <w:pPr>
              <w:rPr>
                <w:rFonts w:cs="Times New Roman"/>
                <w:lang w:val="en-IN"/>
              </w:rPr>
            </w:pPr>
            <w:r w:rsidRPr="00577F2F">
              <w:rPr>
                <w:rFonts w:cs="Times New Roman"/>
              </w:rPr>
              <w:t>Year</w:t>
            </w:r>
          </w:p>
        </w:tc>
        <w:tc>
          <w:tcPr>
            <w:tcW w:w="1005" w:type="dxa"/>
            <w:noWrap/>
            <w:hideMark/>
          </w:tcPr>
          <w:p w14:paraId="663D5977" w14:textId="77777777" w:rsidR="009E4BC0" w:rsidRPr="00577F2F" w:rsidRDefault="009E4BC0">
            <w:pPr>
              <w:rPr>
                <w:rFonts w:cs="Times New Roman"/>
              </w:rPr>
            </w:pPr>
            <w:r w:rsidRPr="00577F2F">
              <w:rPr>
                <w:rFonts w:cs="Times New Roman"/>
              </w:rPr>
              <w:t>Cash Flow (£'000)</w:t>
            </w:r>
          </w:p>
        </w:tc>
        <w:tc>
          <w:tcPr>
            <w:tcW w:w="1359" w:type="dxa"/>
            <w:noWrap/>
            <w:hideMark/>
          </w:tcPr>
          <w:p w14:paraId="5A9E07AA" w14:textId="77777777" w:rsidR="009E4BC0" w:rsidRPr="00577F2F" w:rsidRDefault="009E4BC0">
            <w:pPr>
              <w:rPr>
                <w:rFonts w:cs="Times New Roman"/>
              </w:rPr>
            </w:pPr>
            <w:r w:rsidRPr="00577F2F">
              <w:rPr>
                <w:rFonts w:cs="Times New Roman"/>
              </w:rPr>
              <w:t>Capital Allowance (£'000)</w:t>
            </w:r>
          </w:p>
        </w:tc>
        <w:tc>
          <w:tcPr>
            <w:tcW w:w="1650" w:type="dxa"/>
            <w:noWrap/>
            <w:hideMark/>
          </w:tcPr>
          <w:p w14:paraId="7B98F200" w14:textId="77777777" w:rsidR="009E4BC0" w:rsidRPr="00577F2F" w:rsidRDefault="009E4BC0">
            <w:pPr>
              <w:rPr>
                <w:rFonts w:cs="Times New Roman"/>
              </w:rPr>
            </w:pPr>
            <w:r w:rsidRPr="00577F2F">
              <w:rPr>
                <w:rFonts w:cs="Times New Roman"/>
              </w:rPr>
              <w:t>Taxable Profit (CF - CA) (£'000)</w:t>
            </w:r>
          </w:p>
        </w:tc>
        <w:tc>
          <w:tcPr>
            <w:tcW w:w="1005" w:type="dxa"/>
            <w:noWrap/>
            <w:hideMark/>
          </w:tcPr>
          <w:p w14:paraId="3588E3C2" w14:textId="77777777" w:rsidR="009E4BC0" w:rsidRPr="00577F2F" w:rsidRDefault="009E4BC0">
            <w:pPr>
              <w:rPr>
                <w:rFonts w:cs="Times New Roman"/>
              </w:rPr>
            </w:pPr>
            <w:r w:rsidRPr="00577F2F">
              <w:rPr>
                <w:rFonts w:cs="Times New Roman"/>
              </w:rPr>
              <w:t>Tax (25%) (£'000)</w:t>
            </w:r>
          </w:p>
        </w:tc>
        <w:tc>
          <w:tcPr>
            <w:tcW w:w="1967" w:type="dxa"/>
            <w:noWrap/>
            <w:hideMark/>
          </w:tcPr>
          <w:p w14:paraId="5F9669C2" w14:textId="77777777" w:rsidR="009E4BC0" w:rsidRPr="00577F2F" w:rsidRDefault="009E4BC0">
            <w:pPr>
              <w:rPr>
                <w:rFonts w:cs="Times New Roman"/>
              </w:rPr>
            </w:pPr>
            <w:r w:rsidRPr="00577F2F">
              <w:rPr>
                <w:rFonts w:cs="Times New Roman"/>
              </w:rPr>
              <w:t>After-Tax Cash Flow (CF - Tax) (£'000)</w:t>
            </w:r>
          </w:p>
        </w:tc>
        <w:tc>
          <w:tcPr>
            <w:tcW w:w="1132" w:type="dxa"/>
            <w:noWrap/>
            <w:hideMark/>
          </w:tcPr>
          <w:p w14:paraId="286420FA" w14:textId="77777777" w:rsidR="009E4BC0" w:rsidRPr="00577F2F" w:rsidRDefault="009E4BC0">
            <w:pPr>
              <w:rPr>
                <w:rFonts w:cs="Times New Roman"/>
              </w:rPr>
            </w:pPr>
            <w:r w:rsidRPr="00577F2F">
              <w:rPr>
                <w:rFonts w:cs="Times New Roman"/>
              </w:rPr>
              <w:t>Discount Factor (6%)</w:t>
            </w:r>
          </w:p>
        </w:tc>
        <w:tc>
          <w:tcPr>
            <w:tcW w:w="1132" w:type="dxa"/>
            <w:noWrap/>
            <w:hideMark/>
          </w:tcPr>
          <w:p w14:paraId="2451E712" w14:textId="77777777" w:rsidR="009E4BC0" w:rsidRPr="00577F2F" w:rsidRDefault="009E4BC0">
            <w:pPr>
              <w:rPr>
                <w:rFonts w:cs="Times New Roman"/>
              </w:rPr>
            </w:pPr>
            <w:r w:rsidRPr="00577F2F">
              <w:rPr>
                <w:rFonts w:cs="Times New Roman"/>
              </w:rPr>
              <w:t>Present Value (£'000)</w:t>
            </w:r>
          </w:p>
        </w:tc>
      </w:tr>
      <w:tr w:rsidR="009E4BC0" w:rsidRPr="00577F2F" w14:paraId="5CB1182F" w14:textId="77777777" w:rsidTr="009E4BC0">
        <w:trPr>
          <w:trHeight w:val="325"/>
        </w:trPr>
        <w:tc>
          <w:tcPr>
            <w:tcW w:w="444" w:type="dxa"/>
            <w:noWrap/>
            <w:hideMark/>
          </w:tcPr>
          <w:p w14:paraId="10B95490" w14:textId="77777777" w:rsidR="009E4BC0" w:rsidRPr="00577F2F" w:rsidRDefault="009E4BC0" w:rsidP="009E4BC0">
            <w:pPr>
              <w:rPr>
                <w:rFonts w:cs="Times New Roman"/>
              </w:rPr>
            </w:pPr>
            <w:r w:rsidRPr="00577F2F">
              <w:rPr>
                <w:rFonts w:cs="Times New Roman"/>
              </w:rPr>
              <w:lastRenderedPageBreak/>
              <w:t>0</w:t>
            </w:r>
          </w:p>
        </w:tc>
        <w:tc>
          <w:tcPr>
            <w:tcW w:w="1005" w:type="dxa"/>
            <w:noWrap/>
            <w:hideMark/>
          </w:tcPr>
          <w:p w14:paraId="30EDDD06" w14:textId="77777777" w:rsidR="009E4BC0" w:rsidRPr="00577F2F" w:rsidRDefault="009E4BC0" w:rsidP="009E4BC0">
            <w:pPr>
              <w:rPr>
                <w:rFonts w:cs="Times New Roman"/>
              </w:rPr>
            </w:pPr>
            <w:r w:rsidRPr="00577F2F">
              <w:rPr>
                <w:rFonts w:cs="Times New Roman"/>
              </w:rPr>
              <w:t>-1600</w:t>
            </w:r>
          </w:p>
        </w:tc>
        <w:tc>
          <w:tcPr>
            <w:tcW w:w="1359" w:type="dxa"/>
            <w:noWrap/>
            <w:hideMark/>
          </w:tcPr>
          <w:p w14:paraId="3044F850" w14:textId="77777777" w:rsidR="009E4BC0" w:rsidRPr="00577F2F" w:rsidRDefault="009E4BC0" w:rsidP="009E4BC0">
            <w:pPr>
              <w:rPr>
                <w:rFonts w:cs="Times New Roman"/>
              </w:rPr>
            </w:pPr>
          </w:p>
        </w:tc>
        <w:tc>
          <w:tcPr>
            <w:tcW w:w="1650" w:type="dxa"/>
            <w:noWrap/>
            <w:hideMark/>
          </w:tcPr>
          <w:p w14:paraId="60F6D354" w14:textId="77777777" w:rsidR="009E4BC0" w:rsidRPr="00577F2F" w:rsidRDefault="009E4BC0">
            <w:pPr>
              <w:rPr>
                <w:rFonts w:cs="Times New Roman"/>
              </w:rPr>
            </w:pPr>
          </w:p>
        </w:tc>
        <w:tc>
          <w:tcPr>
            <w:tcW w:w="1005" w:type="dxa"/>
            <w:noWrap/>
            <w:hideMark/>
          </w:tcPr>
          <w:p w14:paraId="7816152E" w14:textId="77777777" w:rsidR="009E4BC0" w:rsidRPr="00577F2F" w:rsidRDefault="009E4BC0">
            <w:pPr>
              <w:rPr>
                <w:rFonts w:cs="Times New Roman"/>
              </w:rPr>
            </w:pPr>
          </w:p>
        </w:tc>
        <w:tc>
          <w:tcPr>
            <w:tcW w:w="1967" w:type="dxa"/>
            <w:noWrap/>
            <w:hideMark/>
          </w:tcPr>
          <w:p w14:paraId="0237737C" w14:textId="77777777" w:rsidR="009E4BC0" w:rsidRPr="00577F2F" w:rsidRDefault="009E4BC0">
            <w:pPr>
              <w:rPr>
                <w:rFonts w:cs="Times New Roman"/>
              </w:rPr>
            </w:pPr>
          </w:p>
        </w:tc>
        <w:tc>
          <w:tcPr>
            <w:tcW w:w="1132" w:type="dxa"/>
            <w:noWrap/>
            <w:hideMark/>
          </w:tcPr>
          <w:p w14:paraId="24561392" w14:textId="77777777" w:rsidR="009E4BC0" w:rsidRPr="00577F2F" w:rsidRDefault="009E4BC0">
            <w:pPr>
              <w:rPr>
                <w:rFonts w:cs="Times New Roman"/>
              </w:rPr>
            </w:pPr>
          </w:p>
        </w:tc>
        <w:tc>
          <w:tcPr>
            <w:tcW w:w="1132" w:type="dxa"/>
            <w:noWrap/>
            <w:hideMark/>
          </w:tcPr>
          <w:p w14:paraId="15399260" w14:textId="77777777" w:rsidR="009E4BC0" w:rsidRPr="00577F2F" w:rsidRDefault="009E4BC0" w:rsidP="009E4BC0">
            <w:pPr>
              <w:rPr>
                <w:rFonts w:cs="Times New Roman"/>
              </w:rPr>
            </w:pPr>
            <w:r w:rsidRPr="00577F2F">
              <w:rPr>
                <w:rFonts w:cs="Times New Roman"/>
              </w:rPr>
              <w:t>-1600</w:t>
            </w:r>
          </w:p>
        </w:tc>
      </w:tr>
      <w:tr w:rsidR="009E4BC0" w:rsidRPr="00577F2F" w14:paraId="01346FD4" w14:textId="77777777" w:rsidTr="009E4BC0">
        <w:trPr>
          <w:trHeight w:val="325"/>
        </w:trPr>
        <w:tc>
          <w:tcPr>
            <w:tcW w:w="444" w:type="dxa"/>
            <w:noWrap/>
            <w:hideMark/>
          </w:tcPr>
          <w:p w14:paraId="10F99C78" w14:textId="77777777" w:rsidR="009E4BC0" w:rsidRPr="00577F2F" w:rsidRDefault="009E4BC0" w:rsidP="009E4BC0">
            <w:pPr>
              <w:rPr>
                <w:rFonts w:cs="Times New Roman"/>
              </w:rPr>
            </w:pPr>
            <w:r w:rsidRPr="00577F2F">
              <w:rPr>
                <w:rFonts w:cs="Times New Roman"/>
              </w:rPr>
              <w:t>1</w:t>
            </w:r>
          </w:p>
        </w:tc>
        <w:tc>
          <w:tcPr>
            <w:tcW w:w="1005" w:type="dxa"/>
            <w:noWrap/>
            <w:hideMark/>
          </w:tcPr>
          <w:p w14:paraId="52F44F74" w14:textId="77777777" w:rsidR="009E4BC0" w:rsidRPr="00577F2F" w:rsidRDefault="009E4BC0" w:rsidP="009E4BC0">
            <w:pPr>
              <w:rPr>
                <w:rFonts w:cs="Times New Roman"/>
              </w:rPr>
            </w:pPr>
            <w:r w:rsidRPr="00577F2F">
              <w:rPr>
                <w:rFonts w:cs="Times New Roman"/>
              </w:rPr>
              <w:t>450</w:t>
            </w:r>
          </w:p>
        </w:tc>
        <w:tc>
          <w:tcPr>
            <w:tcW w:w="1359" w:type="dxa"/>
            <w:noWrap/>
            <w:hideMark/>
          </w:tcPr>
          <w:p w14:paraId="01990743" w14:textId="77777777" w:rsidR="009E4BC0" w:rsidRPr="00577F2F" w:rsidRDefault="009E4BC0" w:rsidP="009E4BC0">
            <w:pPr>
              <w:rPr>
                <w:rFonts w:cs="Times New Roman"/>
              </w:rPr>
            </w:pPr>
            <w:r w:rsidRPr="00577F2F">
              <w:rPr>
                <w:rFonts w:cs="Times New Roman"/>
              </w:rPr>
              <w:t>320</w:t>
            </w:r>
          </w:p>
        </w:tc>
        <w:tc>
          <w:tcPr>
            <w:tcW w:w="1650" w:type="dxa"/>
            <w:noWrap/>
            <w:hideMark/>
          </w:tcPr>
          <w:p w14:paraId="66B83AF4" w14:textId="77777777" w:rsidR="009E4BC0" w:rsidRPr="00577F2F" w:rsidRDefault="009E4BC0" w:rsidP="009E4BC0">
            <w:pPr>
              <w:rPr>
                <w:rFonts w:cs="Times New Roman"/>
              </w:rPr>
            </w:pPr>
            <w:r w:rsidRPr="00577F2F">
              <w:rPr>
                <w:rFonts w:cs="Times New Roman"/>
              </w:rPr>
              <w:t>130</w:t>
            </w:r>
          </w:p>
        </w:tc>
        <w:tc>
          <w:tcPr>
            <w:tcW w:w="1005" w:type="dxa"/>
            <w:noWrap/>
            <w:hideMark/>
          </w:tcPr>
          <w:p w14:paraId="44BA8386" w14:textId="77777777" w:rsidR="009E4BC0" w:rsidRPr="00577F2F" w:rsidRDefault="009E4BC0" w:rsidP="009E4BC0">
            <w:pPr>
              <w:rPr>
                <w:rFonts w:cs="Times New Roman"/>
              </w:rPr>
            </w:pPr>
            <w:r w:rsidRPr="00577F2F">
              <w:rPr>
                <w:rFonts w:cs="Times New Roman"/>
              </w:rPr>
              <w:t>32.5</w:t>
            </w:r>
          </w:p>
        </w:tc>
        <w:tc>
          <w:tcPr>
            <w:tcW w:w="1967" w:type="dxa"/>
            <w:noWrap/>
            <w:hideMark/>
          </w:tcPr>
          <w:p w14:paraId="42548BAA" w14:textId="77777777" w:rsidR="009E4BC0" w:rsidRPr="00577F2F" w:rsidRDefault="009E4BC0" w:rsidP="009E4BC0">
            <w:pPr>
              <w:rPr>
                <w:rFonts w:cs="Times New Roman"/>
              </w:rPr>
            </w:pPr>
            <w:r w:rsidRPr="00577F2F">
              <w:rPr>
                <w:rFonts w:cs="Times New Roman"/>
              </w:rPr>
              <w:t>417.5</w:t>
            </w:r>
          </w:p>
        </w:tc>
        <w:tc>
          <w:tcPr>
            <w:tcW w:w="1132" w:type="dxa"/>
            <w:noWrap/>
            <w:hideMark/>
          </w:tcPr>
          <w:p w14:paraId="407EC662" w14:textId="77777777" w:rsidR="009E4BC0" w:rsidRPr="00577F2F" w:rsidRDefault="009E4BC0" w:rsidP="009E4BC0">
            <w:pPr>
              <w:rPr>
                <w:rFonts w:cs="Times New Roman"/>
              </w:rPr>
            </w:pPr>
            <w:r w:rsidRPr="00577F2F">
              <w:rPr>
                <w:rFonts w:cs="Times New Roman"/>
              </w:rPr>
              <w:t>0.94</w:t>
            </w:r>
          </w:p>
        </w:tc>
        <w:tc>
          <w:tcPr>
            <w:tcW w:w="1132" w:type="dxa"/>
            <w:noWrap/>
            <w:hideMark/>
          </w:tcPr>
          <w:p w14:paraId="5A8D7E55" w14:textId="77777777" w:rsidR="009E4BC0" w:rsidRPr="00577F2F" w:rsidRDefault="009E4BC0" w:rsidP="009E4BC0">
            <w:pPr>
              <w:rPr>
                <w:rFonts w:cs="Times New Roman"/>
              </w:rPr>
            </w:pPr>
            <w:r w:rsidRPr="00577F2F">
              <w:rPr>
                <w:rFonts w:cs="Times New Roman"/>
              </w:rPr>
              <w:t>393.87</w:t>
            </w:r>
          </w:p>
        </w:tc>
      </w:tr>
      <w:tr w:rsidR="009E4BC0" w:rsidRPr="00577F2F" w14:paraId="2794FFCA" w14:textId="77777777" w:rsidTr="009E4BC0">
        <w:trPr>
          <w:trHeight w:val="325"/>
        </w:trPr>
        <w:tc>
          <w:tcPr>
            <w:tcW w:w="444" w:type="dxa"/>
            <w:noWrap/>
            <w:hideMark/>
          </w:tcPr>
          <w:p w14:paraId="53B2CF89" w14:textId="77777777" w:rsidR="009E4BC0" w:rsidRPr="00577F2F" w:rsidRDefault="009E4BC0" w:rsidP="009E4BC0">
            <w:pPr>
              <w:rPr>
                <w:rFonts w:cs="Times New Roman"/>
              </w:rPr>
            </w:pPr>
            <w:r w:rsidRPr="00577F2F">
              <w:rPr>
                <w:rFonts w:cs="Times New Roman"/>
              </w:rPr>
              <w:t>2</w:t>
            </w:r>
          </w:p>
        </w:tc>
        <w:tc>
          <w:tcPr>
            <w:tcW w:w="1005" w:type="dxa"/>
            <w:noWrap/>
            <w:hideMark/>
          </w:tcPr>
          <w:p w14:paraId="0DD0AB77" w14:textId="77777777" w:rsidR="009E4BC0" w:rsidRPr="00577F2F" w:rsidRDefault="009E4BC0" w:rsidP="009E4BC0">
            <w:pPr>
              <w:rPr>
                <w:rFonts w:cs="Times New Roman"/>
              </w:rPr>
            </w:pPr>
            <w:r w:rsidRPr="00577F2F">
              <w:rPr>
                <w:rFonts w:cs="Times New Roman"/>
              </w:rPr>
              <w:t>700</w:t>
            </w:r>
          </w:p>
        </w:tc>
        <w:tc>
          <w:tcPr>
            <w:tcW w:w="1359" w:type="dxa"/>
            <w:noWrap/>
            <w:hideMark/>
          </w:tcPr>
          <w:p w14:paraId="194EBA5E" w14:textId="77777777" w:rsidR="009E4BC0" w:rsidRPr="00577F2F" w:rsidRDefault="009E4BC0" w:rsidP="009E4BC0">
            <w:pPr>
              <w:rPr>
                <w:rFonts w:cs="Times New Roman"/>
              </w:rPr>
            </w:pPr>
            <w:r w:rsidRPr="00577F2F">
              <w:rPr>
                <w:rFonts w:cs="Times New Roman"/>
              </w:rPr>
              <w:t>320</w:t>
            </w:r>
          </w:p>
        </w:tc>
        <w:tc>
          <w:tcPr>
            <w:tcW w:w="1650" w:type="dxa"/>
            <w:noWrap/>
            <w:hideMark/>
          </w:tcPr>
          <w:p w14:paraId="7C505C38" w14:textId="77777777" w:rsidR="009E4BC0" w:rsidRPr="00577F2F" w:rsidRDefault="009E4BC0" w:rsidP="009E4BC0">
            <w:pPr>
              <w:rPr>
                <w:rFonts w:cs="Times New Roman"/>
              </w:rPr>
            </w:pPr>
            <w:r w:rsidRPr="00577F2F">
              <w:rPr>
                <w:rFonts w:cs="Times New Roman"/>
              </w:rPr>
              <w:t>380</w:t>
            </w:r>
          </w:p>
        </w:tc>
        <w:tc>
          <w:tcPr>
            <w:tcW w:w="1005" w:type="dxa"/>
            <w:noWrap/>
            <w:hideMark/>
          </w:tcPr>
          <w:p w14:paraId="31EED9C3" w14:textId="77777777" w:rsidR="009E4BC0" w:rsidRPr="00577F2F" w:rsidRDefault="009E4BC0" w:rsidP="009E4BC0">
            <w:pPr>
              <w:rPr>
                <w:rFonts w:cs="Times New Roman"/>
              </w:rPr>
            </w:pPr>
            <w:r w:rsidRPr="00577F2F">
              <w:rPr>
                <w:rFonts w:cs="Times New Roman"/>
              </w:rPr>
              <w:t>95</w:t>
            </w:r>
          </w:p>
        </w:tc>
        <w:tc>
          <w:tcPr>
            <w:tcW w:w="1967" w:type="dxa"/>
            <w:noWrap/>
            <w:hideMark/>
          </w:tcPr>
          <w:p w14:paraId="3324ECC6" w14:textId="77777777" w:rsidR="009E4BC0" w:rsidRPr="00577F2F" w:rsidRDefault="009E4BC0" w:rsidP="009E4BC0">
            <w:pPr>
              <w:rPr>
                <w:rFonts w:cs="Times New Roman"/>
              </w:rPr>
            </w:pPr>
            <w:r w:rsidRPr="00577F2F">
              <w:rPr>
                <w:rFonts w:cs="Times New Roman"/>
              </w:rPr>
              <w:t>605</w:t>
            </w:r>
          </w:p>
        </w:tc>
        <w:tc>
          <w:tcPr>
            <w:tcW w:w="1132" w:type="dxa"/>
            <w:noWrap/>
            <w:hideMark/>
          </w:tcPr>
          <w:p w14:paraId="2A9C4717" w14:textId="77777777" w:rsidR="009E4BC0" w:rsidRPr="00577F2F" w:rsidRDefault="009E4BC0" w:rsidP="009E4BC0">
            <w:pPr>
              <w:rPr>
                <w:rFonts w:cs="Times New Roman"/>
              </w:rPr>
            </w:pPr>
            <w:r w:rsidRPr="00577F2F">
              <w:rPr>
                <w:rFonts w:cs="Times New Roman"/>
              </w:rPr>
              <w:t>0.89</w:t>
            </w:r>
          </w:p>
        </w:tc>
        <w:tc>
          <w:tcPr>
            <w:tcW w:w="1132" w:type="dxa"/>
            <w:noWrap/>
            <w:hideMark/>
          </w:tcPr>
          <w:p w14:paraId="48600B0E" w14:textId="77777777" w:rsidR="009E4BC0" w:rsidRPr="00577F2F" w:rsidRDefault="009E4BC0" w:rsidP="009E4BC0">
            <w:pPr>
              <w:rPr>
                <w:rFonts w:cs="Times New Roman"/>
              </w:rPr>
            </w:pPr>
            <w:r w:rsidRPr="00577F2F">
              <w:rPr>
                <w:rFonts w:cs="Times New Roman"/>
              </w:rPr>
              <w:t>538.45</w:t>
            </w:r>
          </w:p>
        </w:tc>
      </w:tr>
      <w:tr w:rsidR="009E4BC0" w:rsidRPr="00577F2F" w14:paraId="7742F159" w14:textId="77777777" w:rsidTr="009E4BC0">
        <w:trPr>
          <w:trHeight w:val="325"/>
        </w:trPr>
        <w:tc>
          <w:tcPr>
            <w:tcW w:w="444" w:type="dxa"/>
            <w:noWrap/>
            <w:hideMark/>
          </w:tcPr>
          <w:p w14:paraId="1A25AAD9" w14:textId="77777777" w:rsidR="009E4BC0" w:rsidRPr="00577F2F" w:rsidRDefault="009E4BC0" w:rsidP="009E4BC0">
            <w:pPr>
              <w:rPr>
                <w:rFonts w:cs="Times New Roman"/>
              </w:rPr>
            </w:pPr>
            <w:r w:rsidRPr="00577F2F">
              <w:rPr>
                <w:rFonts w:cs="Times New Roman"/>
              </w:rPr>
              <w:t>3</w:t>
            </w:r>
          </w:p>
        </w:tc>
        <w:tc>
          <w:tcPr>
            <w:tcW w:w="1005" w:type="dxa"/>
            <w:noWrap/>
            <w:hideMark/>
          </w:tcPr>
          <w:p w14:paraId="3217FEBB" w14:textId="77777777" w:rsidR="009E4BC0" w:rsidRPr="00577F2F" w:rsidRDefault="009E4BC0" w:rsidP="009E4BC0">
            <w:pPr>
              <w:rPr>
                <w:rFonts w:cs="Times New Roman"/>
              </w:rPr>
            </w:pPr>
            <w:r w:rsidRPr="00577F2F">
              <w:rPr>
                <w:rFonts w:cs="Times New Roman"/>
              </w:rPr>
              <w:t>900</w:t>
            </w:r>
          </w:p>
        </w:tc>
        <w:tc>
          <w:tcPr>
            <w:tcW w:w="1359" w:type="dxa"/>
            <w:noWrap/>
            <w:hideMark/>
          </w:tcPr>
          <w:p w14:paraId="5D9412BD" w14:textId="77777777" w:rsidR="009E4BC0" w:rsidRPr="00577F2F" w:rsidRDefault="009E4BC0" w:rsidP="009E4BC0">
            <w:pPr>
              <w:rPr>
                <w:rFonts w:cs="Times New Roman"/>
              </w:rPr>
            </w:pPr>
            <w:r w:rsidRPr="00577F2F">
              <w:rPr>
                <w:rFonts w:cs="Times New Roman"/>
              </w:rPr>
              <w:t>320</w:t>
            </w:r>
          </w:p>
        </w:tc>
        <w:tc>
          <w:tcPr>
            <w:tcW w:w="1650" w:type="dxa"/>
            <w:noWrap/>
            <w:hideMark/>
          </w:tcPr>
          <w:p w14:paraId="149FCF74" w14:textId="77777777" w:rsidR="009E4BC0" w:rsidRPr="00577F2F" w:rsidRDefault="009E4BC0" w:rsidP="009E4BC0">
            <w:pPr>
              <w:rPr>
                <w:rFonts w:cs="Times New Roman"/>
              </w:rPr>
            </w:pPr>
            <w:r w:rsidRPr="00577F2F">
              <w:rPr>
                <w:rFonts w:cs="Times New Roman"/>
              </w:rPr>
              <w:t>580</w:t>
            </w:r>
          </w:p>
        </w:tc>
        <w:tc>
          <w:tcPr>
            <w:tcW w:w="1005" w:type="dxa"/>
            <w:noWrap/>
            <w:hideMark/>
          </w:tcPr>
          <w:p w14:paraId="51E6531B" w14:textId="77777777" w:rsidR="009E4BC0" w:rsidRPr="00577F2F" w:rsidRDefault="009E4BC0" w:rsidP="009E4BC0">
            <w:pPr>
              <w:rPr>
                <w:rFonts w:cs="Times New Roman"/>
              </w:rPr>
            </w:pPr>
            <w:r w:rsidRPr="00577F2F">
              <w:rPr>
                <w:rFonts w:cs="Times New Roman"/>
              </w:rPr>
              <w:t>145</w:t>
            </w:r>
          </w:p>
        </w:tc>
        <w:tc>
          <w:tcPr>
            <w:tcW w:w="1967" w:type="dxa"/>
            <w:noWrap/>
            <w:hideMark/>
          </w:tcPr>
          <w:p w14:paraId="0C0F14F8" w14:textId="77777777" w:rsidR="009E4BC0" w:rsidRPr="00577F2F" w:rsidRDefault="009E4BC0" w:rsidP="009E4BC0">
            <w:pPr>
              <w:rPr>
                <w:rFonts w:cs="Times New Roman"/>
              </w:rPr>
            </w:pPr>
            <w:r w:rsidRPr="00577F2F">
              <w:rPr>
                <w:rFonts w:cs="Times New Roman"/>
              </w:rPr>
              <w:t>755</w:t>
            </w:r>
          </w:p>
        </w:tc>
        <w:tc>
          <w:tcPr>
            <w:tcW w:w="1132" w:type="dxa"/>
            <w:noWrap/>
            <w:hideMark/>
          </w:tcPr>
          <w:p w14:paraId="39A41F9F" w14:textId="77777777" w:rsidR="009E4BC0" w:rsidRPr="00577F2F" w:rsidRDefault="009E4BC0" w:rsidP="009E4BC0">
            <w:pPr>
              <w:rPr>
                <w:rFonts w:cs="Times New Roman"/>
              </w:rPr>
            </w:pPr>
            <w:r w:rsidRPr="00577F2F">
              <w:rPr>
                <w:rFonts w:cs="Times New Roman"/>
              </w:rPr>
              <w:t>0.84</w:t>
            </w:r>
          </w:p>
        </w:tc>
        <w:tc>
          <w:tcPr>
            <w:tcW w:w="1132" w:type="dxa"/>
            <w:noWrap/>
            <w:hideMark/>
          </w:tcPr>
          <w:p w14:paraId="685DF312" w14:textId="77777777" w:rsidR="009E4BC0" w:rsidRPr="00577F2F" w:rsidRDefault="009E4BC0" w:rsidP="009E4BC0">
            <w:pPr>
              <w:rPr>
                <w:rFonts w:cs="Times New Roman"/>
              </w:rPr>
            </w:pPr>
            <w:r w:rsidRPr="00577F2F">
              <w:rPr>
                <w:rFonts w:cs="Times New Roman"/>
              </w:rPr>
              <w:t>633.91</w:t>
            </w:r>
          </w:p>
        </w:tc>
      </w:tr>
      <w:tr w:rsidR="009E4BC0" w:rsidRPr="00577F2F" w14:paraId="6BBAFB0C" w14:textId="77777777" w:rsidTr="009E4BC0">
        <w:trPr>
          <w:trHeight w:val="325"/>
        </w:trPr>
        <w:tc>
          <w:tcPr>
            <w:tcW w:w="444" w:type="dxa"/>
            <w:noWrap/>
            <w:hideMark/>
          </w:tcPr>
          <w:p w14:paraId="5E31CE2E" w14:textId="77777777" w:rsidR="009E4BC0" w:rsidRPr="00577F2F" w:rsidRDefault="009E4BC0" w:rsidP="009E4BC0">
            <w:pPr>
              <w:rPr>
                <w:rFonts w:cs="Times New Roman"/>
              </w:rPr>
            </w:pPr>
            <w:r w:rsidRPr="00577F2F">
              <w:rPr>
                <w:rFonts w:cs="Times New Roman"/>
              </w:rPr>
              <w:t>4</w:t>
            </w:r>
          </w:p>
        </w:tc>
        <w:tc>
          <w:tcPr>
            <w:tcW w:w="1005" w:type="dxa"/>
            <w:noWrap/>
            <w:hideMark/>
          </w:tcPr>
          <w:p w14:paraId="37BF9573" w14:textId="77777777" w:rsidR="009E4BC0" w:rsidRPr="00577F2F" w:rsidRDefault="009E4BC0" w:rsidP="009E4BC0">
            <w:pPr>
              <w:rPr>
                <w:rFonts w:cs="Times New Roman"/>
              </w:rPr>
            </w:pPr>
            <w:r w:rsidRPr="00577F2F">
              <w:rPr>
                <w:rFonts w:cs="Times New Roman"/>
              </w:rPr>
              <w:t>1200</w:t>
            </w:r>
          </w:p>
        </w:tc>
        <w:tc>
          <w:tcPr>
            <w:tcW w:w="1359" w:type="dxa"/>
            <w:noWrap/>
            <w:hideMark/>
          </w:tcPr>
          <w:p w14:paraId="4BD53558" w14:textId="77777777" w:rsidR="009E4BC0" w:rsidRPr="00577F2F" w:rsidRDefault="009E4BC0" w:rsidP="009E4BC0">
            <w:pPr>
              <w:rPr>
                <w:rFonts w:cs="Times New Roman"/>
              </w:rPr>
            </w:pPr>
            <w:r w:rsidRPr="00577F2F">
              <w:rPr>
                <w:rFonts w:cs="Times New Roman"/>
              </w:rPr>
              <w:t>320</w:t>
            </w:r>
          </w:p>
        </w:tc>
        <w:tc>
          <w:tcPr>
            <w:tcW w:w="1650" w:type="dxa"/>
            <w:noWrap/>
            <w:hideMark/>
          </w:tcPr>
          <w:p w14:paraId="4D6C3F45" w14:textId="77777777" w:rsidR="009E4BC0" w:rsidRPr="00577F2F" w:rsidRDefault="009E4BC0" w:rsidP="009E4BC0">
            <w:pPr>
              <w:rPr>
                <w:rFonts w:cs="Times New Roman"/>
              </w:rPr>
            </w:pPr>
            <w:r w:rsidRPr="00577F2F">
              <w:rPr>
                <w:rFonts w:cs="Times New Roman"/>
              </w:rPr>
              <w:t>880</w:t>
            </w:r>
          </w:p>
        </w:tc>
        <w:tc>
          <w:tcPr>
            <w:tcW w:w="1005" w:type="dxa"/>
            <w:noWrap/>
            <w:hideMark/>
          </w:tcPr>
          <w:p w14:paraId="4CC40CC9" w14:textId="77777777" w:rsidR="009E4BC0" w:rsidRPr="00577F2F" w:rsidRDefault="009E4BC0" w:rsidP="009E4BC0">
            <w:pPr>
              <w:rPr>
                <w:rFonts w:cs="Times New Roman"/>
              </w:rPr>
            </w:pPr>
            <w:r w:rsidRPr="00577F2F">
              <w:rPr>
                <w:rFonts w:cs="Times New Roman"/>
              </w:rPr>
              <w:t>220</w:t>
            </w:r>
          </w:p>
        </w:tc>
        <w:tc>
          <w:tcPr>
            <w:tcW w:w="1967" w:type="dxa"/>
            <w:noWrap/>
            <w:hideMark/>
          </w:tcPr>
          <w:p w14:paraId="182B693E" w14:textId="77777777" w:rsidR="009E4BC0" w:rsidRPr="00577F2F" w:rsidRDefault="009E4BC0" w:rsidP="009E4BC0">
            <w:pPr>
              <w:rPr>
                <w:rFonts w:cs="Times New Roman"/>
              </w:rPr>
            </w:pPr>
            <w:r w:rsidRPr="00577F2F">
              <w:rPr>
                <w:rFonts w:cs="Times New Roman"/>
              </w:rPr>
              <w:t>980</w:t>
            </w:r>
          </w:p>
        </w:tc>
        <w:tc>
          <w:tcPr>
            <w:tcW w:w="1132" w:type="dxa"/>
            <w:noWrap/>
            <w:hideMark/>
          </w:tcPr>
          <w:p w14:paraId="54712A6B" w14:textId="77777777" w:rsidR="009E4BC0" w:rsidRPr="00577F2F" w:rsidRDefault="009E4BC0" w:rsidP="009E4BC0">
            <w:pPr>
              <w:rPr>
                <w:rFonts w:cs="Times New Roman"/>
              </w:rPr>
            </w:pPr>
            <w:r w:rsidRPr="00577F2F">
              <w:rPr>
                <w:rFonts w:cs="Times New Roman"/>
              </w:rPr>
              <w:t>0.79</w:t>
            </w:r>
          </w:p>
        </w:tc>
        <w:tc>
          <w:tcPr>
            <w:tcW w:w="1132" w:type="dxa"/>
            <w:noWrap/>
            <w:hideMark/>
          </w:tcPr>
          <w:p w14:paraId="14751BDF" w14:textId="77777777" w:rsidR="009E4BC0" w:rsidRPr="00577F2F" w:rsidRDefault="009E4BC0" w:rsidP="009E4BC0">
            <w:pPr>
              <w:rPr>
                <w:rFonts w:cs="Times New Roman"/>
              </w:rPr>
            </w:pPr>
            <w:r w:rsidRPr="00577F2F">
              <w:rPr>
                <w:rFonts w:cs="Times New Roman"/>
              </w:rPr>
              <w:t>776.25</w:t>
            </w:r>
          </w:p>
        </w:tc>
      </w:tr>
      <w:tr w:rsidR="009E4BC0" w:rsidRPr="00577F2F" w14:paraId="0D1181D7" w14:textId="77777777" w:rsidTr="009E4BC0">
        <w:trPr>
          <w:trHeight w:val="325"/>
        </w:trPr>
        <w:tc>
          <w:tcPr>
            <w:tcW w:w="444" w:type="dxa"/>
            <w:noWrap/>
            <w:hideMark/>
          </w:tcPr>
          <w:p w14:paraId="7F3DEEAC" w14:textId="77777777" w:rsidR="009E4BC0" w:rsidRPr="00577F2F" w:rsidRDefault="009E4BC0" w:rsidP="009E4BC0">
            <w:pPr>
              <w:rPr>
                <w:rFonts w:cs="Times New Roman"/>
              </w:rPr>
            </w:pPr>
          </w:p>
        </w:tc>
        <w:tc>
          <w:tcPr>
            <w:tcW w:w="1005" w:type="dxa"/>
            <w:noWrap/>
            <w:hideMark/>
          </w:tcPr>
          <w:p w14:paraId="05FA2B4F" w14:textId="77777777" w:rsidR="009E4BC0" w:rsidRPr="00577F2F" w:rsidRDefault="009E4BC0">
            <w:pPr>
              <w:rPr>
                <w:rFonts w:cs="Times New Roman"/>
              </w:rPr>
            </w:pPr>
          </w:p>
        </w:tc>
        <w:tc>
          <w:tcPr>
            <w:tcW w:w="1359" w:type="dxa"/>
            <w:noWrap/>
            <w:hideMark/>
          </w:tcPr>
          <w:p w14:paraId="695C1BB0" w14:textId="77777777" w:rsidR="009E4BC0" w:rsidRPr="00577F2F" w:rsidRDefault="009E4BC0">
            <w:pPr>
              <w:rPr>
                <w:rFonts w:cs="Times New Roman"/>
              </w:rPr>
            </w:pPr>
          </w:p>
        </w:tc>
        <w:tc>
          <w:tcPr>
            <w:tcW w:w="1650" w:type="dxa"/>
            <w:noWrap/>
            <w:hideMark/>
          </w:tcPr>
          <w:p w14:paraId="0D9F0C4D" w14:textId="77777777" w:rsidR="009E4BC0" w:rsidRPr="00577F2F" w:rsidRDefault="009E4BC0">
            <w:pPr>
              <w:rPr>
                <w:rFonts w:cs="Times New Roman"/>
              </w:rPr>
            </w:pPr>
          </w:p>
        </w:tc>
        <w:tc>
          <w:tcPr>
            <w:tcW w:w="1005" w:type="dxa"/>
            <w:noWrap/>
            <w:hideMark/>
          </w:tcPr>
          <w:p w14:paraId="29A7A5E3" w14:textId="77777777" w:rsidR="009E4BC0" w:rsidRPr="00577F2F" w:rsidRDefault="009E4BC0">
            <w:pPr>
              <w:rPr>
                <w:rFonts w:cs="Times New Roman"/>
              </w:rPr>
            </w:pPr>
          </w:p>
        </w:tc>
        <w:tc>
          <w:tcPr>
            <w:tcW w:w="1967" w:type="dxa"/>
            <w:noWrap/>
            <w:hideMark/>
          </w:tcPr>
          <w:p w14:paraId="1F93CCFC" w14:textId="77777777" w:rsidR="009E4BC0" w:rsidRPr="00577F2F" w:rsidRDefault="009E4BC0">
            <w:pPr>
              <w:rPr>
                <w:rFonts w:cs="Times New Roman"/>
              </w:rPr>
            </w:pPr>
          </w:p>
        </w:tc>
        <w:tc>
          <w:tcPr>
            <w:tcW w:w="1132" w:type="dxa"/>
            <w:noWrap/>
            <w:hideMark/>
          </w:tcPr>
          <w:p w14:paraId="042B9905" w14:textId="77777777" w:rsidR="009E4BC0" w:rsidRPr="00577F2F" w:rsidRDefault="009E4BC0">
            <w:pPr>
              <w:rPr>
                <w:rFonts w:cs="Times New Roman"/>
                <w:b/>
                <w:bCs/>
              </w:rPr>
            </w:pPr>
            <w:r w:rsidRPr="00577F2F">
              <w:rPr>
                <w:rFonts w:cs="Times New Roman"/>
                <w:b/>
                <w:bCs/>
              </w:rPr>
              <w:t>NPV</w:t>
            </w:r>
          </w:p>
        </w:tc>
        <w:tc>
          <w:tcPr>
            <w:tcW w:w="1132" w:type="dxa"/>
            <w:noWrap/>
            <w:hideMark/>
          </w:tcPr>
          <w:p w14:paraId="179A1482" w14:textId="77777777" w:rsidR="009E4BC0" w:rsidRPr="00577F2F" w:rsidRDefault="009E4BC0" w:rsidP="009E4BC0">
            <w:pPr>
              <w:rPr>
                <w:rFonts w:cs="Times New Roman"/>
                <w:b/>
                <w:bCs/>
                <w:u w:val="double"/>
              </w:rPr>
            </w:pPr>
            <w:r w:rsidRPr="00577F2F">
              <w:rPr>
                <w:rFonts w:cs="Times New Roman"/>
                <w:b/>
                <w:bCs/>
                <w:u w:val="double"/>
              </w:rPr>
              <w:t>742.48</w:t>
            </w:r>
          </w:p>
        </w:tc>
      </w:tr>
    </w:tbl>
    <w:p w14:paraId="2CD98B9B" w14:textId="77777777" w:rsidR="009E4BC0" w:rsidRPr="00577F2F" w:rsidRDefault="009E4BC0" w:rsidP="009E4BC0">
      <w:pPr>
        <w:rPr>
          <w:rFonts w:cs="Times New Roman"/>
          <w:lang w:val="en-IN"/>
        </w:rPr>
      </w:pPr>
    </w:p>
    <w:p w14:paraId="5CC39B7D" w14:textId="63D39461" w:rsidR="009E4BC0" w:rsidRPr="009E4BC0" w:rsidRDefault="009E4BC0" w:rsidP="009E4BC0">
      <w:pPr>
        <w:numPr>
          <w:ilvl w:val="0"/>
          <w:numId w:val="6"/>
        </w:numPr>
        <w:rPr>
          <w:rFonts w:cs="Times New Roman"/>
          <w:lang w:val="en-IN"/>
        </w:rPr>
      </w:pPr>
      <w:r w:rsidRPr="009E4BC0">
        <w:rPr>
          <w:rFonts w:cs="Times New Roman"/>
          <w:b/>
          <w:bCs/>
          <w:lang w:val="en-IN"/>
        </w:rPr>
        <w:t>Option A:</w:t>
      </w:r>
      <w:r w:rsidRPr="009E4BC0">
        <w:rPr>
          <w:rFonts w:cs="Times New Roman"/>
          <w:lang w:val="en-IN"/>
        </w:rPr>
        <w:t> NPV = </w:t>
      </w:r>
      <w:r w:rsidRPr="009E4BC0">
        <w:rPr>
          <w:rFonts w:cs="Times New Roman"/>
          <w:b/>
          <w:bCs/>
          <w:lang w:val="en-IN"/>
        </w:rPr>
        <w:t>£643</w:t>
      </w:r>
      <w:r w:rsidR="0038660E" w:rsidRPr="00577F2F">
        <w:rPr>
          <w:rFonts w:cs="Times New Roman"/>
          <w:b/>
          <w:bCs/>
          <w:lang w:val="en-IN"/>
        </w:rPr>
        <w:t>.</w:t>
      </w:r>
      <w:r w:rsidRPr="009E4BC0">
        <w:rPr>
          <w:rFonts w:cs="Times New Roman"/>
          <w:b/>
          <w:bCs/>
          <w:lang w:val="en-IN"/>
        </w:rPr>
        <w:t>1</w:t>
      </w:r>
      <w:r w:rsidR="0038660E" w:rsidRPr="00577F2F">
        <w:rPr>
          <w:rFonts w:cs="Times New Roman"/>
          <w:b/>
          <w:bCs/>
          <w:lang w:val="en-IN"/>
        </w:rPr>
        <w:t>7 million</w:t>
      </w:r>
    </w:p>
    <w:p w14:paraId="5730F94E" w14:textId="089C4FFC" w:rsidR="009E4BC0" w:rsidRPr="009E4BC0" w:rsidRDefault="009E4BC0" w:rsidP="009E4BC0">
      <w:pPr>
        <w:numPr>
          <w:ilvl w:val="0"/>
          <w:numId w:val="6"/>
        </w:numPr>
        <w:rPr>
          <w:rFonts w:cs="Times New Roman"/>
          <w:lang w:val="en-IN"/>
        </w:rPr>
      </w:pPr>
      <w:r w:rsidRPr="009E4BC0">
        <w:rPr>
          <w:rFonts w:cs="Times New Roman"/>
          <w:b/>
          <w:bCs/>
          <w:lang w:val="en-IN"/>
        </w:rPr>
        <w:t>Option B:</w:t>
      </w:r>
      <w:r w:rsidRPr="009E4BC0">
        <w:rPr>
          <w:rFonts w:cs="Times New Roman"/>
          <w:lang w:val="en-IN"/>
        </w:rPr>
        <w:t> NPV = </w:t>
      </w:r>
      <w:r w:rsidRPr="009E4BC0">
        <w:rPr>
          <w:rFonts w:cs="Times New Roman"/>
          <w:b/>
          <w:bCs/>
          <w:lang w:val="en-IN"/>
        </w:rPr>
        <w:t>£792</w:t>
      </w:r>
      <w:r w:rsidR="0038660E" w:rsidRPr="00577F2F">
        <w:rPr>
          <w:rFonts w:cs="Times New Roman"/>
          <w:b/>
          <w:bCs/>
          <w:lang w:val="en-IN"/>
        </w:rPr>
        <w:t>.23 million</w:t>
      </w:r>
    </w:p>
    <w:p w14:paraId="0CD8F896" w14:textId="0452A7AF" w:rsidR="009E4BC0" w:rsidRPr="009E4BC0" w:rsidRDefault="009E4BC0" w:rsidP="009E4BC0">
      <w:pPr>
        <w:numPr>
          <w:ilvl w:val="0"/>
          <w:numId w:val="6"/>
        </w:numPr>
        <w:rPr>
          <w:rFonts w:cs="Times New Roman"/>
          <w:lang w:val="en-IN"/>
        </w:rPr>
      </w:pPr>
      <w:r w:rsidRPr="009E4BC0">
        <w:rPr>
          <w:rFonts w:cs="Times New Roman"/>
          <w:b/>
          <w:bCs/>
          <w:lang w:val="en-IN"/>
        </w:rPr>
        <w:t>Option C:</w:t>
      </w:r>
      <w:r w:rsidRPr="009E4BC0">
        <w:rPr>
          <w:rFonts w:cs="Times New Roman"/>
          <w:lang w:val="en-IN"/>
        </w:rPr>
        <w:t> NPV = </w:t>
      </w:r>
      <w:r w:rsidRPr="009E4BC0">
        <w:rPr>
          <w:rFonts w:cs="Times New Roman"/>
          <w:b/>
          <w:bCs/>
          <w:lang w:val="en-IN"/>
        </w:rPr>
        <w:t>£742</w:t>
      </w:r>
      <w:r w:rsidR="0038660E" w:rsidRPr="00577F2F">
        <w:rPr>
          <w:rFonts w:cs="Times New Roman"/>
          <w:b/>
          <w:bCs/>
          <w:lang w:val="en-IN"/>
        </w:rPr>
        <w:t>.</w:t>
      </w:r>
      <w:r w:rsidRPr="009E4BC0">
        <w:rPr>
          <w:rFonts w:cs="Times New Roman"/>
          <w:b/>
          <w:bCs/>
          <w:lang w:val="en-IN"/>
        </w:rPr>
        <w:t>4</w:t>
      </w:r>
      <w:r w:rsidR="0038660E" w:rsidRPr="00577F2F">
        <w:rPr>
          <w:rFonts w:cs="Times New Roman"/>
          <w:b/>
          <w:bCs/>
          <w:lang w:val="en-IN"/>
        </w:rPr>
        <w:t>8 million</w:t>
      </w:r>
    </w:p>
    <w:p w14:paraId="124E0FBB" w14:textId="49786EC8" w:rsidR="009E4BC0" w:rsidRPr="00577F2F" w:rsidRDefault="00BF3E55" w:rsidP="009E4BC0">
      <w:pPr>
        <w:rPr>
          <w:rFonts w:cs="Times New Roman"/>
          <w:lang w:val="en-IN"/>
        </w:rPr>
      </w:pPr>
      <w:r>
        <w:rPr>
          <w:rFonts w:cs="Times New Roman"/>
          <w:lang w:val="en-IN"/>
        </w:rPr>
        <w:t>The highest</w:t>
      </w:r>
      <w:r w:rsidR="009E4BC0" w:rsidRPr="009E4BC0">
        <w:rPr>
          <w:rFonts w:cs="Times New Roman"/>
          <w:lang w:val="en-IN"/>
        </w:rPr>
        <w:t xml:space="preserve"> NPV is Option B (£792</w:t>
      </w:r>
      <w:r w:rsidR="0038660E" w:rsidRPr="00577F2F">
        <w:rPr>
          <w:rFonts w:cs="Times New Roman"/>
          <w:lang w:val="en-IN"/>
        </w:rPr>
        <w:t>.23</w:t>
      </w:r>
      <w:r w:rsidR="009E4BC0" w:rsidRPr="009E4BC0">
        <w:rPr>
          <w:rFonts w:cs="Times New Roman"/>
          <w:lang w:val="en-IN"/>
        </w:rPr>
        <w:t>2).</w:t>
      </w:r>
    </w:p>
    <w:p w14:paraId="40126DEB" w14:textId="7B8459CE" w:rsidR="009E4BC0" w:rsidRPr="00577F2F" w:rsidRDefault="00BF3E55" w:rsidP="009E4BC0">
      <w:pPr>
        <w:rPr>
          <w:rFonts w:cs="Times New Roman"/>
          <w:lang w:val="en-IN"/>
        </w:rPr>
      </w:pPr>
      <w:r w:rsidRPr="00BF3E55">
        <w:rPr>
          <w:rFonts w:cs="Times New Roman"/>
          <w:lang w:val="en-IN"/>
        </w:rPr>
        <w:t>The Net Present Value of option B is the highest amount of £792.23 million</w:t>
      </w:r>
      <w:r>
        <w:rPr>
          <w:rFonts w:cs="Times New Roman"/>
          <w:lang w:val="en-IN"/>
        </w:rPr>
        <w:t>,</w:t>
      </w:r>
      <w:r w:rsidRPr="00BF3E55">
        <w:rPr>
          <w:rFonts w:cs="Times New Roman"/>
          <w:lang w:val="en-IN"/>
        </w:rPr>
        <w:t xml:space="preserve"> which means that it has offered the greatest surplus of discount cash inflows over the initial capital outlay when assessed at the cost of capital of Westward Plc</w:t>
      </w:r>
      <w:r>
        <w:rPr>
          <w:rFonts w:cs="Times New Roman"/>
          <w:lang w:val="en-IN"/>
        </w:rPr>
        <w:t>,</w:t>
      </w:r>
      <w:r w:rsidRPr="00BF3E55">
        <w:rPr>
          <w:rFonts w:cs="Times New Roman"/>
          <w:lang w:val="en-IN"/>
        </w:rPr>
        <w:t xml:space="preserve"> which is 6. This </w:t>
      </w:r>
      <w:r>
        <w:rPr>
          <w:rFonts w:cs="Times New Roman"/>
          <w:lang w:val="en-IN"/>
        </w:rPr>
        <w:t>favourable</w:t>
      </w:r>
      <w:r w:rsidRPr="00BF3E55">
        <w:rPr>
          <w:rFonts w:cs="Times New Roman"/>
          <w:lang w:val="en-IN"/>
        </w:rPr>
        <w:t xml:space="preserve"> and better NPV shows that option B is likely to generate more value to shareholders compared to the other two available investment alternatives in the four-year period of appraisal. Financially</w:t>
      </w:r>
      <w:r>
        <w:rPr>
          <w:rFonts w:cs="Times New Roman"/>
          <w:lang w:val="en-IN"/>
        </w:rPr>
        <w:t>,</w:t>
      </w:r>
      <w:r w:rsidRPr="00BF3E55">
        <w:rPr>
          <w:rFonts w:cs="Times New Roman"/>
          <w:lang w:val="en-IN"/>
        </w:rPr>
        <w:t xml:space="preserve"> </w:t>
      </w:r>
      <w:r>
        <w:rPr>
          <w:rFonts w:cs="Times New Roman"/>
          <w:lang w:val="en-IN"/>
        </w:rPr>
        <w:t>management-wise</w:t>
      </w:r>
      <w:r w:rsidRPr="00BF3E55">
        <w:rPr>
          <w:rFonts w:cs="Times New Roman"/>
          <w:lang w:val="en-IN"/>
        </w:rPr>
        <w:t xml:space="preserve">, it is important to note that the project that achieves the highest NPV will enable Westward Plc to use the invested capital optimally to produce shareholder wealth because NPV is defined as a monetary measure of value creation (Illes, 2012). Whereas Option B needs more initial capital investment compared to that of Option A, the cash inflows projections of internet sales development in Option B are stronger and more sustainable, and hence the discounted value is higher. This means that using only the Net Present Value criterion and only considering a cost of capital of </w:t>
      </w:r>
      <w:r>
        <w:rPr>
          <w:rFonts w:cs="Times New Roman"/>
          <w:lang w:val="en-IN"/>
        </w:rPr>
        <w:t>6%</w:t>
      </w:r>
      <w:r w:rsidRPr="00BF3E55">
        <w:rPr>
          <w:rFonts w:cs="Times New Roman"/>
          <w:lang w:val="en-IN"/>
        </w:rPr>
        <w:t>, Westward Plc must choose the second option (development of internet sales) as this is the most financially appealing and</w:t>
      </w:r>
      <w:r>
        <w:rPr>
          <w:rFonts w:cs="Times New Roman"/>
          <w:lang w:val="en-IN"/>
        </w:rPr>
        <w:t>,</w:t>
      </w:r>
      <w:r w:rsidRPr="00BF3E55">
        <w:rPr>
          <w:rFonts w:cs="Times New Roman"/>
          <w:lang w:val="en-IN"/>
        </w:rPr>
        <w:t xml:space="preserve"> as such, will help in fulfilling the goal of </w:t>
      </w:r>
      <w:r>
        <w:rPr>
          <w:rFonts w:cs="Times New Roman"/>
          <w:lang w:val="en-IN"/>
        </w:rPr>
        <w:t>maximising</w:t>
      </w:r>
      <w:r w:rsidRPr="00BF3E55">
        <w:rPr>
          <w:rFonts w:cs="Times New Roman"/>
          <w:lang w:val="en-IN"/>
        </w:rPr>
        <w:t xml:space="preserve"> </w:t>
      </w:r>
      <w:r>
        <w:rPr>
          <w:rFonts w:cs="Times New Roman"/>
          <w:lang w:val="en-IN"/>
        </w:rPr>
        <w:t>shareholders'</w:t>
      </w:r>
      <w:r w:rsidRPr="00BF3E55">
        <w:rPr>
          <w:rFonts w:cs="Times New Roman"/>
          <w:lang w:val="en-IN"/>
        </w:rPr>
        <w:t xml:space="preserve"> values in the long run</w:t>
      </w:r>
      <w:r w:rsidR="009E4BC0" w:rsidRPr="009E4BC0">
        <w:rPr>
          <w:rFonts w:cs="Times New Roman"/>
          <w:lang w:val="en-IN"/>
        </w:rPr>
        <w:t>.</w:t>
      </w:r>
    </w:p>
    <w:p w14:paraId="070ADD4D" w14:textId="1F42071E" w:rsidR="00292A4F" w:rsidRPr="00577F2F" w:rsidRDefault="00292A4F" w:rsidP="00292A4F">
      <w:pPr>
        <w:pStyle w:val="ListParagraph"/>
        <w:numPr>
          <w:ilvl w:val="0"/>
          <w:numId w:val="5"/>
        </w:numPr>
        <w:rPr>
          <w:rFonts w:cs="Times New Roman"/>
          <w:b/>
          <w:bCs/>
          <w:lang w:val="en-IN"/>
        </w:rPr>
      </w:pPr>
      <w:r w:rsidRPr="00577F2F">
        <w:rPr>
          <w:rFonts w:cs="Times New Roman"/>
          <w:b/>
          <w:bCs/>
          <w:lang w:val="en-IN"/>
        </w:rPr>
        <w:t>Approximate IRR for Option B</w:t>
      </w:r>
    </w:p>
    <w:p w14:paraId="1DB61B1B" w14:textId="2196082E" w:rsidR="004368E5" w:rsidRPr="00577F2F" w:rsidRDefault="00BF3E55" w:rsidP="009E4BC0">
      <w:pPr>
        <w:rPr>
          <w:rFonts w:cs="Times New Roman"/>
          <w:lang w:val="en-IN"/>
        </w:rPr>
      </w:pPr>
      <w:r w:rsidRPr="00BF3E55">
        <w:rPr>
          <w:rFonts w:cs="Times New Roman"/>
          <w:lang w:val="en-IN"/>
        </w:rPr>
        <w:t>One of the methods of investment appraisal is the Internal Rate of Return (IRR), which is a discounted cash flow method used to estimate returns on a project (Fernando, 2025b). It is the rate of discount at which the Net Present Value (NPV) of a project is zero</w:t>
      </w:r>
      <w:r>
        <w:rPr>
          <w:rFonts w:cs="Times New Roman"/>
          <w:lang w:val="en-IN"/>
        </w:rPr>
        <w:t>, including</w:t>
      </w:r>
      <w:r w:rsidRPr="00BF3E55">
        <w:rPr>
          <w:rFonts w:cs="Times New Roman"/>
          <w:lang w:val="en-IN"/>
        </w:rPr>
        <w:t xml:space="preserve"> the present value of money inflows</w:t>
      </w:r>
      <w:r>
        <w:rPr>
          <w:rFonts w:cs="Times New Roman"/>
          <w:lang w:val="en-IN"/>
        </w:rPr>
        <w:t>,</w:t>
      </w:r>
      <w:r w:rsidRPr="00BF3E55">
        <w:rPr>
          <w:rFonts w:cs="Times New Roman"/>
          <w:lang w:val="en-IN"/>
        </w:rPr>
        <w:t xml:space="preserve"> is equal to the initial capital outlay. Financial acceptability of a project implies that the project has </w:t>
      </w:r>
      <w:r>
        <w:rPr>
          <w:rFonts w:cs="Times New Roman"/>
          <w:lang w:val="en-IN"/>
        </w:rPr>
        <w:t>an</w:t>
      </w:r>
      <w:r w:rsidRPr="00BF3E55">
        <w:rPr>
          <w:rFonts w:cs="Times New Roman"/>
          <w:lang w:val="en-IN"/>
        </w:rPr>
        <w:t xml:space="preserve"> IRR </w:t>
      </w:r>
      <w:r>
        <w:rPr>
          <w:rFonts w:cs="Times New Roman"/>
          <w:lang w:val="en-IN"/>
        </w:rPr>
        <w:t xml:space="preserve">higher </w:t>
      </w:r>
      <w:r w:rsidRPr="00BF3E55">
        <w:rPr>
          <w:rFonts w:cs="Times New Roman"/>
          <w:lang w:val="en-IN"/>
        </w:rPr>
        <w:t xml:space="preserve">than the cost of capital in the company. Based on the </w:t>
      </w:r>
      <w:r w:rsidRPr="00BF3E55">
        <w:rPr>
          <w:rFonts w:cs="Times New Roman"/>
          <w:lang w:val="en-IN"/>
        </w:rPr>
        <w:lastRenderedPageBreak/>
        <w:t>answer a, the NPV of option B on 6</w:t>
      </w:r>
      <w:r>
        <w:rPr>
          <w:rFonts w:cs="Times New Roman"/>
          <w:lang w:val="en-IN"/>
        </w:rPr>
        <w:t xml:space="preserve">% </w:t>
      </w:r>
      <w:r w:rsidRPr="00BF3E55">
        <w:rPr>
          <w:rFonts w:cs="Times New Roman"/>
          <w:lang w:val="en-IN"/>
        </w:rPr>
        <w:t xml:space="preserve">was </w:t>
      </w:r>
      <w:r w:rsidRPr="009E4BC0">
        <w:rPr>
          <w:rFonts w:cs="Times New Roman"/>
          <w:lang w:val="en-IN"/>
        </w:rPr>
        <w:t>£</w:t>
      </w:r>
      <w:r w:rsidRPr="00BF3E55">
        <w:rPr>
          <w:rFonts w:cs="Times New Roman"/>
          <w:lang w:val="en-IN"/>
        </w:rPr>
        <w:t>792</w:t>
      </w:r>
      <w:r>
        <w:rPr>
          <w:rFonts w:cs="Times New Roman"/>
          <w:lang w:val="en-IN"/>
        </w:rPr>
        <w:t xml:space="preserve">.23. </w:t>
      </w:r>
      <w:r w:rsidR="004368E5" w:rsidRPr="00577F2F">
        <w:rPr>
          <w:rFonts w:cs="Times New Roman"/>
          <w:lang w:val="en-IN"/>
        </w:rPr>
        <w:t>As IRR cannot usually be calculated directly, the approximation (trial-and-error) method is applied. At a discount rate of 35%, the present value of the cash inflows is calculated as follows:</w:t>
      </w:r>
    </w:p>
    <w:tbl>
      <w:tblPr>
        <w:tblStyle w:val="TableGrid"/>
        <w:tblW w:w="0" w:type="auto"/>
        <w:tblLook w:val="04A0" w:firstRow="1" w:lastRow="0" w:firstColumn="1" w:lastColumn="0" w:noHBand="0" w:noVBand="1"/>
      </w:tblPr>
      <w:tblGrid>
        <w:gridCol w:w="656"/>
        <w:gridCol w:w="3284"/>
        <w:gridCol w:w="2271"/>
        <w:gridCol w:w="2805"/>
      </w:tblGrid>
      <w:tr w:rsidR="004368E5" w:rsidRPr="00577F2F" w14:paraId="189C2ECD" w14:textId="77777777" w:rsidTr="004368E5">
        <w:trPr>
          <w:trHeight w:val="312"/>
        </w:trPr>
        <w:tc>
          <w:tcPr>
            <w:tcW w:w="518" w:type="dxa"/>
            <w:noWrap/>
            <w:hideMark/>
          </w:tcPr>
          <w:p w14:paraId="4D12519A" w14:textId="77777777" w:rsidR="004368E5" w:rsidRPr="00577F2F" w:rsidRDefault="004368E5" w:rsidP="004368E5">
            <w:pPr>
              <w:rPr>
                <w:rFonts w:cs="Times New Roman"/>
                <w:lang w:val="en-IN"/>
              </w:rPr>
            </w:pPr>
          </w:p>
        </w:tc>
        <w:tc>
          <w:tcPr>
            <w:tcW w:w="3476" w:type="dxa"/>
            <w:noWrap/>
            <w:hideMark/>
          </w:tcPr>
          <w:p w14:paraId="52D15CBB" w14:textId="77777777" w:rsidR="004368E5" w:rsidRPr="00577F2F" w:rsidRDefault="004368E5">
            <w:pPr>
              <w:rPr>
                <w:rFonts w:cs="Times New Roman"/>
              </w:rPr>
            </w:pPr>
            <w:r w:rsidRPr="00577F2F">
              <w:rPr>
                <w:rFonts w:cs="Times New Roman"/>
              </w:rPr>
              <w:t>Discount Rate</w:t>
            </w:r>
          </w:p>
        </w:tc>
        <w:tc>
          <w:tcPr>
            <w:tcW w:w="2399" w:type="dxa"/>
            <w:noWrap/>
            <w:hideMark/>
          </w:tcPr>
          <w:p w14:paraId="44DF5F54" w14:textId="77777777" w:rsidR="004368E5" w:rsidRPr="00577F2F" w:rsidRDefault="004368E5" w:rsidP="004368E5">
            <w:pPr>
              <w:rPr>
                <w:rFonts w:cs="Times New Roman"/>
              </w:rPr>
            </w:pPr>
            <w:r w:rsidRPr="00577F2F">
              <w:rPr>
                <w:rFonts w:cs="Times New Roman"/>
              </w:rPr>
              <w:t>35%</w:t>
            </w:r>
          </w:p>
        </w:tc>
        <w:tc>
          <w:tcPr>
            <w:tcW w:w="2967" w:type="dxa"/>
            <w:noWrap/>
            <w:hideMark/>
          </w:tcPr>
          <w:p w14:paraId="4858FAD9" w14:textId="77777777" w:rsidR="004368E5" w:rsidRPr="00577F2F" w:rsidRDefault="004368E5" w:rsidP="004368E5">
            <w:pPr>
              <w:rPr>
                <w:rFonts w:cs="Times New Roman"/>
              </w:rPr>
            </w:pPr>
          </w:p>
        </w:tc>
      </w:tr>
      <w:tr w:rsidR="004368E5" w:rsidRPr="00577F2F" w14:paraId="089ECB95" w14:textId="77777777" w:rsidTr="004368E5">
        <w:trPr>
          <w:trHeight w:val="312"/>
        </w:trPr>
        <w:tc>
          <w:tcPr>
            <w:tcW w:w="518" w:type="dxa"/>
            <w:noWrap/>
            <w:hideMark/>
          </w:tcPr>
          <w:p w14:paraId="3ABC2B64" w14:textId="77777777" w:rsidR="004368E5" w:rsidRPr="00577F2F" w:rsidRDefault="004368E5">
            <w:pPr>
              <w:rPr>
                <w:rFonts w:cs="Times New Roman"/>
              </w:rPr>
            </w:pPr>
            <w:r w:rsidRPr="00577F2F">
              <w:rPr>
                <w:rFonts w:cs="Times New Roman"/>
              </w:rPr>
              <w:t>Year</w:t>
            </w:r>
          </w:p>
        </w:tc>
        <w:tc>
          <w:tcPr>
            <w:tcW w:w="3476" w:type="dxa"/>
            <w:noWrap/>
            <w:hideMark/>
          </w:tcPr>
          <w:p w14:paraId="5FD968A7" w14:textId="77777777" w:rsidR="004368E5" w:rsidRPr="00577F2F" w:rsidRDefault="004368E5">
            <w:pPr>
              <w:rPr>
                <w:rFonts w:cs="Times New Roman"/>
              </w:rPr>
            </w:pPr>
            <w:r w:rsidRPr="00577F2F">
              <w:rPr>
                <w:rFonts w:cs="Times New Roman"/>
              </w:rPr>
              <w:t>After-Tax Cash Flow (CF - Tax) (£'000)</w:t>
            </w:r>
          </w:p>
        </w:tc>
        <w:tc>
          <w:tcPr>
            <w:tcW w:w="2399" w:type="dxa"/>
            <w:noWrap/>
            <w:hideMark/>
          </w:tcPr>
          <w:p w14:paraId="3290B9E4" w14:textId="77777777" w:rsidR="004368E5" w:rsidRPr="00577F2F" w:rsidRDefault="004368E5">
            <w:pPr>
              <w:rPr>
                <w:rFonts w:cs="Times New Roman"/>
              </w:rPr>
            </w:pPr>
            <w:r w:rsidRPr="00577F2F">
              <w:rPr>
                <w:rFonts w:cs="Times New Roman"/>
              </w:rPr>
              <w:t>Discount Factor (10%)</w:t>
            </w:r>
          </w:p>
        </w:tc>
        <w:tc>
          <w:tcPr>
            <w:tcW w:w="2967" w:type="dxa"/>
            <w:noWrap/>
            <w:hideMark/>
          </w:tcPr>
          <w:p w14:paraId="753836E4" w14:textId="77777777" w:rsidR="004368E5" w:rsidRPr="00577F2F" w:rsidRDefault="004368E5">
            <w:pPr>
              <w:rPr>
                <w:rFonts w:cs="Times New Roman"/>
              </w:rPr>
            </w:pPr>
            <w:r w:rsidRPr="00577F2F">
              <w:rPr>
                <w:rFonts w:cs="Times New Roman"/>
              </w:rPr>
              <w:t>Present Value (£'000)</w:t>
            </w:r>
          </w:p>
        </w:tc>
      </w:tr>
      <w:tr w:rsidR="004368E5" w:rsidRPr="00577F2F" w14:paraId="43A3ABC0" w14:textId="77777777" w:rsidTr="004368E5">
        <w:trPr>
          <w:trHeight w:val="312"/>
        </w:trPr>
        <w:tc>
          <w:tcPr>
            <w:tcW w:w="518" w:type="dxa"/>
            <w:noWrap/>
            <w:hideMark/>
          </w:tcPr>
          <w:p w14:paraId="4EF4C541" w14:textId="77777777" w:rsidR="004368E5" w:rsidRPr="00577F2F" w:rsidRDefault="004368E5" w:rsidP="004368E5">
            <w:pPr>
              <w:rPr>
                <w:rFonts w:cs="Times New Roman"/>
              </w:rPr>
            </w:pPr>
            <w:r w:rsidRPr="00577F2F">
              <w:rPr>
                <w:rFonts w:cs="Times New Roman"/>
              </w:rPr>
              <w:t>0</w:t>
            </w:r>
          </w:p>
        </w:tc>
        <w:tc>
          <w:tcPr>
            <w:tcW w:w="3476" w:type="dxa"/>
            <w:noWrap/>
            <w:hideMark/>
          </w:tcPr>
          <w:p w14:paraId="1F403C50" w14:textId="77777777" w:rsidR="004368E5" w:rsidRPr="00577F2F" w:rsidRDefault="004368E5" w:rsidP="004368E5">
            <w:pPr>
              <w:rPr>
                <w:rFonts w:cs="Times New Roman"/>
              </w:rPr>
            </w:pPr>
            <w:r w:rsidRPr="00577F2F">
              <w:rPr>
                <w:rFonts w:cs="Times New Roman"/>
              </w:rPr>
              <w:t>0</w:t>
            </w:r>
          </w:p>
        </w:tc>
        <w:tc>
          <w:tcPr>
            <w:tcW w:w="2399" w:type="dxa"/>
            <w:noWrap/>
            <w:hideMark/>
          </w:tcPr>
          <w:p w14:paraId="7E56798A" w14:textId="77777777" w:rsidR="004368E5" w:rsidRPr="00577F2F" w:rsidRDefault="004368E5" w:rsidP="004368E5">
            <w:pPr>
              <w:rPr>
                <w:rFonts w:cs="Times New Roman"/>
              </w:rPr>
            </w:pPr>
            <w:r w:rsidRPr="00577F2F">
              <w:rPr>
                <w:rFonts w:cs="Times New Roman"/>
              </w:rPr>
              <w:t>0</w:t>
            </w:r>
          </w:p>
        </w:tc>
        <w:tc>
          <w:tcPr>
            <w:tcW w:w="2967" w:type="dxa"/>
            <w:noWrap/>
            <w:hideMark/>
          </w:tcPr>
          <w:p w14:paraId="568190FA" w14:textId="77777777" w:rsidR="004368E5" w:rsidRPr="00577F2F" w:rsidRDefault="004368E5" w:rsidP="004368E5">
            <w:pPr>
              <w:rPr>
                <w:rFonts w:cs="Times New Roman"/>
              </w:rPr>
            </w:pPr>
            <w:r w:rsidRPr="00577F2F">
              <w:rPr>
                <w:rFonts w:cs="Times New Roman"/>
              </w:rPr>
              <w:t>-1000</w:t>
            </w:r>
          </w:p>
        </w:tc>
      </w:tr>
      <w:tr w:rsidR="004368E5" w:rsidRPr="00577F2F" w14:paraId="0B16E582" w14:textId="77777777" w:rsidTr="004368E5">
        <w:trPr>
          <w:trHeight w:val="312"/>
        </w:trPr>
        <w:tc>
          <w:tcPr>
            <w:tcW w:w="518" w:type="dxa"/>
            <w:noWrap/>
            <w:hideMark/>
          </w:tcPr>
          <w:p w14:paraId="7900B1EC" w14:textId="77777777" w:rsidR="004368E5" w:rsidRPr="00577F2F" w:rsidRDefault="004368E5" w:rsidP="004368E5">
            <w:pPr>
              <w:rPr>
                <w:rFonts w:cs="Times New Roman"/>
              </w:rPr>
            </w:pPr>
            <w:r w:rsidRPr="00577F2F">
              <w:rPr>
                <w:rFonts w:cs="Times New Roman"/>
              </w:rPr>
              <w:t>1</w:t>
            </w:r>
          </w:p>
        </w:tc>
        <w:tc>
          <w:tcPr>
            <w:tcW w:w="3476" w:type="dxa"/>
            <w:noWrap/>
            <w:hideMark/>
          </w:tcPr>
          <w:p w14:paraId="2AB6AE63" w14:textId="77777777" w:rsidR="004368E5" w:rsidRPr="00577F2F" w:rsidRDefault="004368E5" w:rsidP="004368E5">
            <w:pPr>
              <w:rPr>
                <w:rFonts w:cs="Times New Roman"/>
              </w:rPr>
            </w:pPr>
            <w:r w:rsidRPr="00577F2F">
              <w:rPr>
                <w:rFonts w:cs="Times New Roman"/>
              </w:rPr>
              <w:t>350</w:t>
            </w:r>
          </w:p>
        </w:tc>
        <w:tc>
          <w:tcPr>
            <w:tcW w:w="2399" w:type="dxa"/>
            <w:noWrap/>
            <w:hideMark/>
          </w:tcPr>
          <w:p w14:paraId="3D4CC4FC" w14:textId="77777777" w:rsidR="004368E5" w:rsidRPr="00577F2F" w:rsidRDefault="004368E5" w:rsidP="004368E5">
            <w:pPr>
              <w:rPr>
                <w:rFonts w:cs="Times New Roman"/>
              </w:rPr>
            </w:pPr>
            <w:r w:rsidRPr="00577F2F">
              <w:rPr>
                <w:rFonts w:cs="Times New Roman"/>
              </w:rPr>
              <w:t>0.74</w:t>
            </w:r>
          </w:p>
        </w:tc>
        <w:tc>
          <w:tcPr>
            <w:tcW w:w="2967" w:type="dxa"/>
            <w:noWrap/>
            <w:hideMark/>
          </w:tcPr>
          <w:p w14:paraId="452DDA27" w14:textId="77777777" w:rsidR="004368E5" w:rsidRPr="00577F2F" w:rsidRDefault="004368E5" w:rsidP="004368E5">
            <w:pPr>
              <w:rPr>
                <w:rFonts w:cs="Times New Roman"/>
              </w:rPr>
            </w:pPr>
            <w:r w:rsidRPr="00577F2F">
              <w:rPr>
                <w:rFonts w:cs="Times New Roman"/>
              </w:rPr>
              <w:t>259.26</w:t>
            </w:r>
          </w:p>
        </w:tc>
      </w:tr>
      <w:tr w:rsidR="004368E5" w:rsidRPr="00577F2F" w14:paraId="1457BCFD" w14:textId="77777777" w:rsidTr="004368E5">
        <w:trPr>
          <w:trHeight w:val="312"/>
        </w:trPr>
        <w:tc>
          <w:tcPr>
            <w:tcW w:w="518" w:type="dxa"/>
            <w:noWrap/>
            <w:hideMark/>
          </w:tcPr>
          <w:p w14:paraId="086F6FD1" w14:textId="77777777" w:rsidR="004368E5" w:rsidRPr="00577F2F" w:rsidRDefault="004368E5" w:rsidP="004368E5">
            <w:pPr>
              <w:rPr>
                <w:rFonts w:cs="Times New Roman"/>
              </w:rPr>
            </w:pPr>
            <w:r w:rsidRPr="00577F2F">
              <w:rPr>
                <w:rFonts w:cs="Times New Roman"/>
              </w:rPr>
              <w:t>2</w:t>
            </w:r>
          </w:p>
        </w:tc>
        <w:tc>
          <w:tcPr>
            <w:tcW w:w="3476" w:type="dxa"/>
            <w:noWrap/>
            <w:hideMark/>
          </w:tcPr>
          <w:p w14:paraId="36215242" w14:textId="77777777" w:rsidR="004368E5" w:rsidRPr="00577F2F" w:rsidRDefault="004368E5" w:rsidP="004368E5">
            <w:pPr>
              <w:rPr>
                <w:rFonts w:cs="Times New Roman"/>
              </w:rPr>
            </w:pPr>
            <w:r w:rsidRPr="00577F2F">
              <w:rPr>
                <w:rFonts w:cs="Times New Roman"/>
              </w:rPr>
              <w:t>387.5</w:t>
            </w:r>
          </w:p>
        </w:tc>
        <w:tc>
          <w:tcPr>
            <w:tcW w:w="2399" w:type="dxa"/>
            <w:noWrap/>
            <w:hideMark/>
          </w:tcPr>
          <w:p w14:paraId="375D83B2" w14:textId="77777777" w:rsidR="004368E5" w:rsidRPr="00577F2F" w:rsidRDefault="004368E5" w:rsidP="004368E5">
            <w:pPr>
              <w:rPr>
                <w:rFonts w:cs="Times New Roman"/>
              </w:rPr>
            </w:pPr>
            <w:r w:rsidRPr="00577F2F">
              <w:rPr>
                <w:rFonts w:cs="Times New Roman"/>
              </w:rPr>
              <w:t>0.55</w:t>
            </w:r>
          </w:p>
        </w:tc>
        <w:tc>
          <w:tcPr>
            <w:tcW w:w="2967" w:type="dxa"/>
            <w:noWrap/>
            <w:hideMark/>
          </w:tcPr>
          <w:p w14:paraId="199215B7" w14:textId="77777777" w:rsidR="004368E5" w:rsidRPr="00577F2F" w:rsidRDefault="004368E5" w:rsidP="004368E5">
            <w:pPr>
              <w:rPr>
                <w:rFonts w:cs="Times New Roman"/>
              </w:rPr>
            </w:pPr>
            <w:r w:rsidRPr="00577F2F">
              <w:rPr>
                <w:rFonts w:cs="Times New Roman"/>
              </w:rPr>
              <w:t>212.62</w:t>
            </w:r>
          </w:p>
        </w:tc>
      </w:tr>
      <w:tr w:rsidR="004368E5" w:rsidRPr="00577F2F" w14:paraId="02A7A9C9" w14:textId="77777777" w:rsidTr="004368E5">
        <w:trPr>
          <w:trHeight w:val="312"/>
        </w:trPr>
        <w:tc>
          <w:tcPr>
            <w:tcW w:w="518" w:type="dxa"/>
            <w:noWrap/>
            <w:hideMark/>
          </w:tcPr>
          <w:p w14:paraId="04F9EF89" w14:textId="77777777" w:rsidR="004368E5" w:rsidRPr="00577F2F" w:rsidRDefault="004368E5" w:rsidP="004368E5">
            <w:pPr>
              <w:rPr>
                <w:rFonts w:cs="Times New Roman"/>
              </w:rPr>
            </w:pPr>
            <w:r w:rsidRPr="00577F2F">
              <w:rPr>
                <w:rFonts w:cs="Times New Roman"/>
              </w:rPr>
              <w:t>3</w:t>
            </w:r>
          </w:p>
        </w:tc>
        <w:tc>
          <w:tcPr>
            <w:tcW w:w="3476" w:type="dxa"/>
            <w:noWrap/>
            <w:hideMark/>
          </w:tcPr>
          <w:p w14:paraId="03670209" w14:textId="77777777" w:rsidR="004368E5" w:rsidRPr="00577F2F" w:rsidRDefault="004368E5" w:rsidP="004368E5">
            <w:pPr>
              <w:rPr>
                <w:rFonts w:cs="Times New Roman"/>
              </w:rPr>
            </w:pPr>
            <w:r w:rsidRPr="00577F2F">
              <w:rPr>
                <w:rFonts w:cs="Times New Roman"/>
              </w:rPr>
              <w:t>590</w:t>
            </w:r>
          </w:p>
        </w:tc>
        <w:tc>
          <w:tcPr>
            <w:tcW w:w="2399" w:type="dxa"/>
            <w:noWrap/>
            <w:hideMark/>
          </w:tcPr>
          <w:p w14:paraId="21C5CDA4" w14:textId="77777777" w:rsidR="004368E5" w:rsidRPr="00577F2F" w:rsidRDefault="004368E5" w:rsidP="004368E5">
            <w:pPr>
              <w:rPr>
                <w:rFonts w:cs="Times New Roman"/>
              </w:rPr>
            </w:pPr>
            <w:r w:rsidRPr="00577F2F">
              <w:rPr>
                <w:rFonts w:cs="Times New Roman"/>
              </w:rPr>
              <w:t>0.41</w:t>
            </w:r>
          </w:p>
        </w:tc>
        <w:tc>
          <w:tcPr>
            <w:tcW w:w="2967" w:type="dxa"/>
            <w:noWrap/>
            <w:hideMark/>
          </w:tcPr>
          <w:p w14:paraId="3C6ED329" w14:textId="77777777" w:rsidR="004368E5" w:rsidRPr="00577F2F" w:rsidRDefault="004368E5" w:rsidP="004368E5">
            <w:pPr>
              <w:rPr>
                <w:rFonts w:cs="Times New Roman"/>
              </w:rPr>
            </w:pPr>
            <w:r w:rsidRPr="00577F2F">
              <w:rPr>
                <w:rFonts w:cs="Times New Roman"/>
              </w:rPr>
              <w:t>239.80</w:t>
            </w:r>
          </w:p>
        </w:tc>
      </w:tr>
      <w:tr w:rsidR="004368E5" w:rsidRPr="00577F2F" w14:paraId="56118D6F" w14:textId="77777777" w:rsidTr="004368E5">
        <w:trPr>
          <w:trHeight w:val="312"/>
        </w:trPr>
        <w:tc>
          <w:tcPr>
            <w:tcW w:w="518" w:type="dxa"/>
            <w:noWrap/>
            <w:hideMark/>
          </w:tcPr>
          <w:p w14:paraId="752927FB" w14:textId="77777777" w:rsidR="004368E5" w:rsidRPr="00577F2F" w:rsidRDefault="004368E5" w:rsidP="004368E5">
            <w:pPr>
              <w:rPr>
                <w:rFonts w:cs="Times New Roman"/>
              </w:rPr>
            </w:pPr>
            <w:r w:rsidRPr="00577F2F">
              <w:rPr>
                <w:rFonts w:cs="Times New Roman"/>
              </w:rPr>
              <w:t>4</w:t>
            </w:r>
          </w:p>
        </w:tc>
        <w:tc>
          <w:tcPr>
            <w:tcW w:w="3476" w:type="dxa"/>
            <w:noWrap/>
            <w:hideMark/>
          </w:tcPr>
          <w:p w14:paraId="46EFCF95" w14:textId="77777777" w:rsidR="004368E5" w:rsidRPr="00577F2F" w:rsidRDefault="004368E5" w:rsidP="004368E5">
            <w:pPr>
              <w:rPr>
                <w:rFonts w:cs="Times New Roman"/>
              </w:rPr>
            </w:pPr>
            <w:r w:rsidRPr="00577F2F">
              <w:rPr>
                <w:rFonts w:cs="Times New Roman"/>
              </w:rPr>
              <w:t>785</w:t>
            </w:r>
          </w:p>
        </w:tc>
        <w:tc>
          <w:tcPr>
            <w:tcW w:w="2399" w:type="dxa"/>
            <w:noWrap/>
            <w:hideMark/>
          </w:tcPr>
          <w:p w14:paraId="78FB5A39" w14:textId="77777777" w:rsidR="004368E5" w:rsidRPr="00577F2F" w:rsidRDefault="004368E5" w:rsidP="004368E5">
            <w:pPr>
              <w:rPr>
                <w:rFonts w:cs="Times New Roman"/>
              </w:rPr>
            </w:pPr>
            <w:r w:rsidRPr="00577F2F">
              <w:rPr>
                <w:rFonts w:cs="Times New Roman"/>
              </w:rPr>
              <w:t>0.30</w:t>
            </w:r>
          </w:p>
        </w:tc>
        <w:tc>
          <w:tcPr>
            <w:tcW w:w="2967" w:type="dxa"/>
            <w:noWrap/>
            <w:hideMark/>
          </w:tcPr>
          <w:p w14:paraId="5DC12767" w14:textId="77777777" w:rsidR="004368E5" w:rsidRPr="00577F2F" w:rsidRDefault="004368E5" w:rsidP="004368E5">
            <w:pPr>
              <w:rPr>
                <w:rFonts w:cs="Times New Roman"/>
              </w:rPr>
            </w:pPr>
            <w:r w:rsidRPr="00577F2F">
              <w:rPr>
                <w:rFonts w:cs="Times New Roman"/>
              </w:rPr>
              <w:t>236.34</w:t>
            </w:r>
          </w:p>
        </w:tc>
      </w:tr>
      <w:tr w:rsidR="004368E5" w:rsidRPr="00577F2F" w14:paraId="183F4890" w14:textId="77777777" w:rsidTr="004368E5">
        <w:trPr>
          <w:trHeight w:val="312"/>
        </w:trPr>
        <w:tc>
          <w:tcPr>
            <w:tcW w:w="518" w:type="dxa"/>
            <w:noWrap/>
            <w:hideMark/>
          </w:tcPr>
          <w:p w14:paraId="7A6BAE31" w14:textId="77777777" w:rsidR="004368E5" w:rsidRPr="00577F2F" w:rsidRDefault="004368E5" w:rsidP="004368E5">
            <w:pPr>
              <w:rPr>
                <w:rFonts w:cs="Times New Roman"/>
              </w:rPr>
            </w:pPr>
          </w:p>
        </w:tc>
        <w:tc>
          <w:tcPr>
            <w:tcW w:w="3476" w:type="dxa"/>
            <w:noWrap/>
            <w:hideMark/>
          </w:tcPr>
          <w:p w14:paraId="100689F6" w14:textId="77777777" w:rsidR="004368E5" w:rsidRPr="00577F2F" w:rsidRDefault="004368E5">
            <w:pPr>
              <w:rPr>
                <w:rFonts w:cs="Times New Roman"/>
              </w:rPr>
            </w:pPr>
          </w:p>
        </w:tc>
        <w:tc>
          <w:tcPr>
            <w:tcW w:w="2399" w:type="dxa"/>
            <w:noWrap/>
            <w:hideMark/>
          </w:tcPr>
          <w:p w14:paraId="65E75517" w14:textId="77777777" w:rsidR="004368E5" w:rsidRPr="00577F2F" w:rsidRDefault="004368E5">
            <w:pPr>
              <w:rPr>
                <w:rFonts w:cs="Times New Roman"/>
                <w:b/>
                <w:bCs/>
              </w:rPr>
            </w:pPr>
            <w:r w:rsidRPr="00577F2F">
              <w:rPr>
                <w:rFonts w:cs="Times New Roman"/>
                <w:b/>
                <w:bCs/>
              </w:rPr>
              <w:t>NPV</w:t>
            </w:r>
          </w:p>
        </w:tc>
        <w:tc>
          <w:tcPr>
            <w:tcW w:w="2967" w:type="dxa"/>
            <w:noWrap/>
            <w:hideMark/>
          </w:tcPr>
          <w:p w14:paraId="76B8526E" w14:textId="77777777" w:rsidR="004368E5" w:rsidRPr="00577F2F" w:rsidRDefault="004368E5" w:rsidP="004368E5">
            <w:pPr>
              <w:rPr>
                <w:rFonts w:cs="Times New Roman"/>
                <w:b/>
                <w:bCs/>
              </w:rPr>
            </w:pPr>
            <w:r w:rsidRPr="00577F2F">
              <w:rPr>
                <w:rFonts w:cs="Times New Roman"/>
                <w:b/>
                <w:bCs/>
              </w:rPr>
              <w:t>-51.98</w:t>
            </w:r>
          </w:p>
        </w:tc>
      </w:tr>
    </w:tbl>
    <w:p w14:paraId="2409347A" w14:textId="77777777" w:rsidR="004368E5" w:rsidRPr="00577F2F" w:rsidRDefault="004368E5" w:rsidP="009E4BC0">
      <w:pPr>
        <w:rPr>
          <w:rFonts w:cs="Times New Roman"/>
          <w:lang w:val="en-IN"/>
        </w:rPr>
      </w:pPr>
    </w:p>
    <w:p w14:paraId="45F03DAE" w14:textId="66898F84" w:rsidR="004368E5" w:rsidRPr="008653A8" w:rsidRDefault="004368E5" w:rsidP="008653A8">
      <w:pPr>
        <w:rPr>
          <w:b/>
          <w:bCs/>
          <w:sz w:val="36"/>
          <w:lang w:val="en-IN"/>
        </w:rPr>
      </w:pPr>
      <w:r w:rsidRPr="008653A8">
        <w:rPr>
          <w:b/>
          <w:bCs/>
        </w:rPr>
        <w:t>IRR Approximation Formula</w:t>
      </w:r>
      <w:r w:rsidR="008653A8">
        <w:rPr>
          <w:b/>
          <w:bCs/>
        </w:rPr>
        <w:t xml:space="preserve">: </w:t>
      </w:r>
    </w:p>
    <w:p w14:paraId="6B581BEF" w14:textId="6CA5C973" w:rsidR="004368E5" w:rsidRPr="00577F2F" w:rsidRDefault="004368E5" w:rsidP="004368E5">
      <w:pPr>
        <w:rPr>
          <w:rFonts w:eastAsiaTheme="majorEastAsia" w:cs="Times New Roman"/>
        </w:rPr>
      </w:pPr>
      <m:oMathPara>
        <m:oMath>
          <m:r>
            <w:rPr>
              <w:rFonts w:ascii="Cambria Math" w:hAnsi="Cambria Math" w:cs="Times New Roman"/>
            </w:rPr>
            <m:t>IRR≈</m:t>
          </m:r>
          <m:r>
            <m:rPr>
              <m:sty m:val="p"/>
            </m:rPr>
            <w:rPr>
              <w:rFonts w:ascii="Cambria Math" w:hAnsi="Cambria Math" w:cs="Times New Roman"/>
            </w:rPr>
            <m:t>6%</m:t>
          </m:r>
          <m:r>
            <w:rPr>
              <w:rFonts w:ascii="Cambria Math" w:hAnsi="Cambria Math" w:cs="Times New Roman"/>
            </w:rPr>
            <m:t>+</m:t>
          </m:r>
          <m:d>
            <m:dPr>
              <m:ctrlPr>
                <w:rPr>
                  <w:rFonts w:ascii="Cambria Math" w:hAnsi="Cambria Math" w:cs="Times New Roman"/>
                  <w:i/>
                </w:rPr>
              </m:ctrlPr>
            </m:dPr>
            <m:e>
              <m:f>
                <m:fPr>
                  <m:ctrlPr>
                    <w:rPr>
                      <w:rFonts w:ascii="Cambria Math" w:hAnsi="Cambria Math" w:cs="Times New Roman"/>
                    </w:rPr>
                  </m:ctrlPr>
                </m:fPr>
                <m:num>
                  <m:r>
                    <m:rPr>
                      <m:sty m:val="p"/>
                    </m:rPr>
                    <w:rPr>
                      <w:rFonts w:ascii="Cambria Math" w:hAnsi="Cambria Math" w:cs="Times New Roman"/>
                      <w:lang w:val="en-IN"/>
                    </w:rPr>
                    <m:t>£792.23</m:t>
                  </m:r>
                </m:num>
                <m:den>
                  <m:r>
                    <m:rPr>
                      <m:sty m:val="p"/>
                    </m:rPr>
                    <w:rPr>
                      <w:rFonts w:ascii="Cambria Math" w:hAnsi="Cambria Math" w:cs="Times New Roman"/>
                      <w:lang w:val="en-IN"/>
                    </w:rPr>
                    <m:t>£792.23</m:t>
                  </m:r>
                  <m:r>
                    <w:rPr>
                      <w:rFonts w:ascii="Cambria Math" w:hAnsi="Cambria Math" w:cs="Times New Roman"/>
                    </w:rPr>
                    <m:t>-</m:t>
                  </m:r>
                  <m:d>
                    <m:dPr>
                      <m:ctrlPr>
                        <w:rPr>
                          <w:rFonts w:ascii="Cambria Math" w:hAnsi="Cambria Math" w:cs="Times New Roman"/>
                          <w:i/>
                        </w:rPr>
                      </m:ctrlPr>
                    </m:dPr>
                    <m:e>
                      <m:r>
                        <m:rPr>
                          <m:sty m:val="b"/>
                        </m:rPr>
                        <w:rPr>
                          <w:rFonts w:ascii="Cambria Math" w:hAnsi="Cambria Math" w:cs="Times New Roman"/>
                        </w:rPr>
                        <m:t>-</m:t>
                      </m:r>
                      <m:r>
                        <m:rPr>
                          <m:sty m:val="p"/>
                        </m:rPr>
                        <w:rPr>
                          <w:rFonts w:ascii="Cambria Math" w:hAnsi="Cambria Math" w:cs="Times New Roman"/>
                          <w:lang w:val="en-IN"/>
                        </w:rPr>
                        <m:t>£</m:t>
                      </m:r>
                      <m:r>
                        <m:rPr>
                          <m:sty m:val="p"/>
                        </m:rPr>
                        <w:rPr>
                          <w:rFonts w:ascii="Cambria Math" w:hAnsi="Cambria Math" w:cs="Times New Roman"/>
                        </w:rPr>
                        <m:t>51.98</m:t>
                      </m:r>
                      <m:ctrlPr>
                        <w:rPr>
                          <w:rFonts w:ascii="Cambria Math" w:hAnsi="Cambria Math" w:cs="Times New Roman"/>
                        </w:rPr>
                      </m:ctrlPr>
                    </m:e>
                  </m:d>
                </m:den>
              </m:f>
            </m:e>
          </m:d>
          <m:d>
            <m:dPr>
              <m:ctrlPr>
                <w:rPr>
                  <w:rFonts w:ascii="Cambria Math" w:hAnsi="Cambria Math" w:cs="Times New Roman"/>
                  <w:i/>
                </w:rPr>
              </m:ctrlPr>
            </m:dPr>
            <m:e>
              <m:r>
                <w:rPr>
                  <w:rFonts w:ascii="Cambria Math" w:hAnsi="Cambria Math" w:cs="Times New Roman"/>
                </w:rPr>
                <m:t>35%-6%</m:t>
              </m:r>
            </m:e>
          </m:d>
        </m:oMath>
      </m:oMathPara>
    </w:p>
    <w:p w14:paraId="54963C5D" w14:textId="420F0D19" w:rsidR="0038660E" w:rsidRPr="00577F2F" w:rsidRDefault="004368E5" w:rsidP="004368E5">
      <w:pPr>
        <w:jc w:val="center"/>
        <w:rPr>
          <w:rFonts w:cs="Times New Roman"/>
          <w:i/>
        </w:rPr>
      </w:pPr>
      <w:r w:rsidRPr="00577F2F">
        <w:rPr>
          <w:rFonts w:cs="Times New Roman"/>
          <w:i/>
        </w:rPr>
        <w:t xml:space="preserve">= </w:t>
      </w:r>
      <w:r w:rsidR="0038660E" w:rsidRPr="00577F2F">
        <w:rPr>
          <w:rFonts w:cs="Times New Roman"/>
          <w:i/>
        </w:rPr>
        <w:t>33.21%</w:t>
      </w:r>
    </w:p>
    <w:p w14:paraId="44ED1F62" w14:textId="6A6FE812" w:rsidR="004368E5" w:rsidRPr="00577F2F" w:rsidRDefault="00BF3E55" w:rsidP="0038660E">
      <w:pPr>
        <w:rPr>
          <w:rFonts w:cs="Times New Roman"/>
        </w:rPr>
      </w:pPr>
      <w:r w:rsidRPr="00BF3E55">
        <w:rPr>
          <w:rFonts w:cs="Times New Roman"/>
        </w:rPr>
        <w:t>The IRR of about 33.21</w:t>
      </w:r>
      <w:r>
        <w:rPr>
          <w:rFonts w:cs="Times New Roman"/>
        </w:rPr>
        <w:t xml:space="preserve">% </w:t>
      </w:r>
      <w:r w:rsidRPr="00BF3E55">
        <w:rPr>
          <w:rFonts w:cs="Times New Roman"/>
        </w:rPr>
        <w:t>is significantly greater than the cost of capital of Westward Plc of 6</w:t>
      </w:r>
      <w:r w:rsidR="0069391B">
        <w:rPr>
          <w:rFonts w:cs="Times New Roman"/>
        </w:rPr>
        <w:t xml:space="preserve">%, </w:t>
      </w:r>
      <w:r w:rsidRPr="00BF3E55">
        <w:rPr>
          <w:rFonts w:cs="Times New Roman"/>
        </w:rPr>
        <w:t>hence the option B will yield a high money-like return that is way greater than the required minimum rate by the company. This supports the previously determined NPV choice and the rationale of the advice to move forward with Option B (development of internet sales). Nonetheless, IRR offers a useful percentage rate</w:t>
      </w:r>
      <w:r>
        <w:rPr>
          <w:rFonts w:cs="Times New Roman"/>
        </w:rPr>
        <w:t>,</w:t>
      </w:r>
      <w:r w:rsidRPr="00BF3E55">
        <w:rPr>
          <w:rFonts w:cs="Times New Roman"/>
        </w:rPr>
        <w:t xml:space="preserve"> though it must be used with NPV, which is the best way </w:t>
      </w:r>
      <w:r>
        <w:rPr>
          <w:rFonts w:cs="Times New Roman"/>
        </w:rPr>
        <w:t>of</w:t>
      </w:r>
      <w:r w:rsidRPr="00BF3E55">
        <w:rPr>
          <w:rFonts w:cs="Times New Roman"/>
        </w:rPr>
        <w:t xml:space="preserve"> value creation</w:t>
      </w:r>
      <w:r w:rsidR="0038660E" w:rsidRPr="00577F2F">
        <w:rPr>
          <w:rFonts w:cs="Times New Roman"/>
        </w:rPr>
        <w:t>.</w:t>
      </w:r>
    </w:p>
    <w:p w14:paraId="258EDDA2" w14:textId="105D5F4D" w:rsidR="00577F2F" w:rsidRPr="00577F2F" w:rsidRDefault="00577F2F" w:rsidP="00577F2F">
      <w:pPr>
        <w:pStyle w:val="ListParagraph"/>
        <w:numPr>
          <w:ilvl w:val="0"/>
          <w:numId w:val="5"/>
        </w:numPr>
        <w:rPr>
          <w:rFonts w:eastAsiaTheme="majorEastAsia" w:cs="Times New Roman"/>
          <w:b/>
          <w:bCs/>
          <w:lang w:val="en-IN"/>
        </w:rPr>
      </w:pPr>
      <w:r w:rsidRPr="00577F2F">
        <w:rPr>
          <w:rFonts w:eastAsiaTheme="majorEastAsia" w:cs="Times New Roman"/>
          <w:b/>
          <w:bCs/>
          <w:lang w:val="en-IN"/>
        </w:rPr>
        <w:t>Interpretation of Investment Appraisal Results for Management</w:t>
      </w:r>
    </w:p>
    <w:p w14:paraId="74D953CF" w14:textId="66B66348" w:rsidR="00577F2F" w:rsidRPr="00577F2F" w:rsidRDefault="00BF3E55" w:rsidP="00577F2F">
      <w:pPr>
        <w:rPr>
          <w:rFonts w:eastAsiaTheme="majorEastAsia" w:cs="Times New Roman"/>
          <w:lang w:val="en-IN"/>
        </w:rPr>
      </w:pPr>
      <w:r w:rsidRPr="00BF3E55">
        <w:rPr>
          <w:rFonts w:eastAsiaTheme="majorEastAsia" w:cs="Times New Roman"/>
          <w:lang w:val="en-IN"/>
        </w:rPr>
        <w:t>The investment appraisal conducted in the case of Westward Plc has used discounted cash flow methods in evaluating the proposed expansion alternatives. In order to have well-founded managerial decision-making, it is necessary to not only provide the numerical results but also clarify the logic behind the appraisal methods applied, the ongoing relevance of the alternative techniques, and the broader strategic considerations that need to be used to make the final investment decision (Akinpelu Moyosoluwa AWODIRE et al., 2023</w:t>
      </w:r>
      <w:r w:rsidR="00034F33" w:rsidRPr="00034F33">
        <w:rPr>
          <w:rFonts w:eastAsiaTheme="majorEastAsia" w:cs="Times New Roman"/>
          <w:lang w:val="en-IN"/>
        </w:rPr>
        <w:t>)</w:t>
      </w:r>
      <w:r w:rsidR="00577F2F" w:rsidRPr="00577F2F">
        <w:rPr>
          <w:rFonts w:eastAsiaTheme="majorEastAsia" w:cs="Times New Roman"/>
          <w:lang w:val="en-IN"/>
        </w:rPr>
        <w:t>.</w:t>
      </w:r>
    </w:p>
    <w:p w14:paraId="507122BC" w14:textId="77777777" w:rsidR="00577F2F" w:rsidRPr="00577F2F" w:rsidRDefault="00577F2F" w:rsidP="00577F2F">
      <w:pPr>
        <w:rPr>
          <w:rFonts w:eastAsiaTheme="majorEastAsia" w:cs="Times New Roman"/>
          <w:b/>
          <w:bCs/>
          <w:lang w:val="en-IN"/>
        </w:rPr>
      </w:pPr>
      <w:r w:rsidRPr="00577F2F">
        <w:rPr>
          <w:rFonts w:eastAsiaTheme="majorEastAsia" w:cs="Times New Roman"/>
          <w:b/>
          <w:bCs/>
          <w:lang w:val="en-IN"/>
        </w:rPr>
        <w:lastRenderedPageBreak/>
        <w:t>(i) Theoretical justification for Net Present Value (NPV)</w:t>
      </w:r>
    </w:p>
    <w:p w14:paraId="7310FB3C" w14:textId="49D6299A" w:rsidR="00577F2F" w:rsidRPr="00577F2F" w:rsidRDefault="003275E1" w:rsidP="00577F2F">
      <w:pPr>
        <w:rPr>
          <w:rFonts w:eastAsiaTheme="majorEastAsia" w:cs="Times New Roman"/>
          <w:lang w:val="en-IN"/>
        </w:rPr>
      </w:pPr>
      <w:r w:rsidRPr="003275E1">
        <w:rPr>
          <w:rFonts w:eastAsiaTheme="majorEastAsia" w:cs="Times New Roman"/>
          <w:lang w:val="en-IN"/>
        </w:rPr>
        <w:t>The Net Present Value (NPV) is considered to be the soundest investment appraisal technique in the financial theory (Lin, Dong and Zheng, 2025). The main theoretical rationale behind NPV is that it directly acknowledges the time value of money</w:t>
      </w:r>
      <w:r>
        <w:rPr>
          <w:rFonts w:eastAsiaTheme="majorEastAsia" w:cs="Times New Roman"/>
          <w:lang w:val="en-IN"/>
        </w:rPr>
        <w:t>,</w:t>
      </w:r>
      <w:r w:rsidRPr="003275E1">
        <w:rPr>
          <w:rFonts w:eastAsiaTheme="majorEastAsia" w:cs="Times New Roman"/>
          <w:lang w:val="en-IN"/>
        </w:rPr>
        <w:t xml:space="preserve"> which means that the discounted cash flows in the future will be discounted to include </w:t>
      </w:r>
      <w:r>
        <w:rPr>
          <w:rFonts w:eastAsiaTheme="majorEastAsia" w:cs="Times New Roman"/>
          <w:lang w:val="en-IN"/>
        </w:rPr>
        <w:t xml:space="preserve">the </w:t>
      </w:r>
      <w:r w:rsidRPr="003275E1">
        <w:rPr>
          <w:rFonts w:eastAsiaTheme="majorEastAsia" w:cs="Times New Roman"/>
          <w:lang w:val="en-IN"/>
        </w:rPr>
        <w:t>opportunity cost of capital. NPV quantifies the excess of a project in giving a higher cash inflow than the minimum required rate that investors need by discounting the cash inflows that are anticipated to be made by the company at the cost of capital. Another advantage of NPV is that it determines the value creation in absolute monetary values</w:t>
      </w:r>
      <w:r>
        <w:rPr>
          <w:rFonts w:eastAsiaTheme="majorEastAsia" w:cs="Times New Roman"/>
          <w:lang w:val="en-IN"/>
        </w:rPr>
        <w:t>,</w:t>
      </w:r>
      <w:r w:rsidRPr="003275E1">
        <w:rPr>
          <w:rFonts w:eastAsiaTheme="majorEastAsia" w:cs="Times New Roman"/>
          <w:lang w:val="en-IN"/>
        </w:rPr>
        <w:t xml:space="preserve"> which is directly in line with the shareholder wealth maximisation objective. When the number of NPV is positive, it means that a project is likely to add value to the firm, whereas </w:t>
      </w:r>
      <w:r>
        <w:rPr>
          <w:rFonts w:eastAsiaTheme="majorEastAsia" w:cs="Times New Roman"/>
          <w:lang w:val="en-IN"/>
        </w:rPr>
        <w:t xml:space="preserve">a </w:t>
      </w:r>
      <w:r w:rsidRPr="003275E1">
        <w:rPr>
          <w:rFonts w:eastAsiaTheme="majorEastAsia" w:cs="Times New Roman"/>
          <w:lang w:val="en-IN"/>
        </w:rPr>
        <w:t xml:space="preserve">negative NPV is an indicator of a project that will destroy value (Xu, 2015). This renders NPV especially appropriate in the comparison of mutually exclusive projects of various </w:t>
      </w:r>
      <w:r>
        <w:rPr>
          <w:rFonts w:eastAsiaTheme="majorEastAsia" w:cs="Times New Roman"/>
          <w:lang w:val="en-IN"/>
        </w:rPr>
        <w:t>sizes</w:t>
      </w:r>
      <w:r w:rsidRPr="003275E1">
        <w:rPr>
          <w:rFonts w:eastAsiaTheme="majorEastAsia" w:cs="Times New Roman"/>
          <w:lang w:val="en-IN"/>
        </w:rPr>
        <w:t xml:space="preserve"> since it takes into consideration the magnitude and the timing of cash flows. The discount rate also enables NPV to include the taxation, the capital allowances or the risk adjustments, making it a complete and theoretically consistent decision rule. When it comes to Westward Plc</w:t>
      </w:r>
      <w:r>
        <w:rPr>
          <w:rFonts w:eastAsiaTheme="majorEastAsia" w:cs="Times New Roman"/>
          <w:lang w:val="en-IN"/>
        </w:rPr>
        <w:t>,</w:t>
      </w:r>
      <w:r w:rsidRPr="003275E1">
        <w:rPr>
          <w:rFonts w:eastAsiaTheme="majorEastAsia" w:cs="Times New Roman"/>
          <w:lang w:val="en-IN"/>
        </w:rPr>
        <w:t xml:space="preserve"> the application of NPV to determine the option is such that the chosen option maximises </w:t>
      </w:r>
      <w:r>
        <w:rPr>
          <w:rFonts w:eastAsiaTheme="majorEastAsia" w:cs="Times New Roman"/>
          <w:lang w:val="en-IN"/>
        </w:rPr>
        <w:t>long-term</w:t>
      </w:r>
      <w:r w:rsidRPr="003275E1">
        <w:rPr>
          <w:rFonts w:eastAsiaTheme="majorEastAsia" w:cs="Times New Roman"/>
          <w:lang w:val="en-IN"/>
        </w:rPr>
        <w:t xml:space="preserve"> shareholder value instead of concentrating on percentage returns or cash recovery in the short term</w:t>
      </w:r>
      <w:r w:rsidR="00577F2F" w:rsidRPr="00577F2F">
        <w:rPr>
          <w:rFonts w:eastAsiaTheme="majorEastAsia" w:cs="Times New Roman"/>
          <w:lang w:val="en-IN"/>
        </w:rPr>
        <w:t>.</w:t>
      </w:r>
    </w:p>
    <w:p w14:paraId="6D831997" w14:textId="77777777" w:rsidR="00577F2F" w:rsidRPr="00577F2F" w:rsidRDefault="00577F2F" w:rsidP="00577F2F">
      <w:pPr>
        <w:rPr>
          <w:rFonts w:eastAsiaTheme="majorEastAsia" w:cs="Times New Roman"/>
          <w:b/>
          <w:bCs/>
          <w:lang w:val="en-IN"/>
        </w:rPr>
      </w:pPr>
      <w:r w:rsidRPr="00577F2F">
        <w:rPr>
          <w:rFonts w:eastAsiaTheme="majorEastAsia" w:cs="Times New Roman"/>
          <w:b/>
          <w:bCs/>
          <w:lang w:val="en-IN"/>
        </w:rPr>
        <w:t>(ii) Continued popularity of non-discounting methods</w:t>
      </w:r>
    </w:p>
    <w:p w14:paraId="35B2D7F5" w14:textId="2B62420A" w:rsidR="00577F2F" w:rsidRPr="00577F2F" w:rsidRDefault="003275E1" w:rsidP="00577F2F">
      <w:pPr>
        <w:rPr>
          <w:rFonts w:eastAsiaTheme="majorEastAsia" w:cs="Times New Roman"/>
          <w:lang w:val="en-IN"/>
        </w:rPr>
      </w:pPr>
      <w:r w:rsidRPr="003275E1">
        <w:rPr>
          <w:rFonts w:eastAsiaTheme="majorEastAsia" w:cs="Times New Roman"/>
          <w:lang w:val="en-IN"/>
        </w:rPr>
        <w:t>Although NPV is theoretically a better tool, non-discounting tools like the Payback Period and Accounting Rate of Return (ARR) are used by decision makers. It is because of simplicity, one of the main reasons (Dai et al., 2022). The methods are simple to compute and interpret</w:t>
      </w:r>
      <w:r>
        <w:rPr>
          <w:rFonts w:eastAsiaTheme="majorEastAsia" w:cs="Times New Roman"/>
          <w:lang w:val="en-IN"/>
        </w:rPr>
        <w:t>,</w:t>
      </w:r>
      <w:r w:rsidRPr="003275E1">
        <w:rPr>
          <w:rFonts w:eastAsiaTheme="majorEastAsia" w:cs="Times New Roman"/>
          <w:lang w:val="en-IN"/>
        </w:rPr>
        <w:t xml:space="preserve"> and therefore are appealing to non-financial managers as well as those that allow them to do rapid initial screening of projects. In its turn, the payback method is commonly preferable due to its focus on liquidity and the </w:t>
      </w:r>
      <w:r>
        <w:rPr>
          <w:rFonts w:eastAsiaTheme="majorEastAsia" w:cs="Times New Roman"/>
          <w:lang w:val="en-IN"/>
        </w:rPr>
        <w:t>risk</w:t>
      </w:r>
      <w:r w:rsidRPr="003275E1">
        <w:rPr>
          <w:rFonts w:eastAsiaTheme="majorEastAsia" w:cs="Times New Roman"/>
          <w:lang w:val="en-IN"/>
        </w:rPr>
        <w:t xml:space="preserve"> aspect related to the speed at which the initial investment can be recouped. Managers in unpredictable or volatile markets can put more weight on pre-emption of cash to </w:t>
      </w:r>
      <w:r>
        <w:rPr>
          <w:rFonts w:eastAsiaTheme="majorEastAsia" w:cs="Times New Roman"/>
          <w:lang w:val="en-IN"/>
        </w:rPr>
        <w:t>minimise</w:t>
      </w:r>
      <w:r w:rsidRPr="003275E1">
        <w:rPr>
          <w:rFonts w:eastAsiaTheme="majorEastAsia" w:cs="Times New Roman"/>
          <w:lang w:val="en-IN"/>
        </w:rPr>
        <w:t xml:space="preserve"> their exposure to long-term risk. Likewise, ARR is closely related to the measures of performance in accounting that are well-known to the managers and frequently connected with performance appraisal and bonuses (Vipond, 2022). </w:t>
      </w:r>
      <w:r>
        <w:rPr>
          <w:rFonts w:eastAsiaTheme="majorEastAsia" w:cs="Times New Roman"/>
          <w:lang w:val="en-IN"/>
        </w:rPr>
        <w:t>However, th</w:t>
      </w:r>
      <w:r w:rsidRPr="003275E1">
        <w:rPr>
          <w:rFonts w:eastAsiaTheme="majorEastAsia" w:cs="Times New Roman"/>
          <w:lang w:val="en-IN"/>
        </w:rPr>
        <w:t>ere are major limitations of these methods. They fail to pay attention to the time value of money, they still fail to consider the cash flows beyond the payback period</w:t>
      </w:r>
      <w:r>
        <w:rPr>
          <w:rFonts w:eastAsiaTheme="majorEastAsia" w:cs="Times New Roman"/>
          <w:lang w:val="en-IN"/>
        </w:rPr>
        <w:t>,</w:t>
      </w:r>
      <w:r w:rsidRPr="003275E1">
        <w:rPr>
          <w:rFonts w:eastAsiaTheme="majorEastAsia" w:cs="Times New Roman"/>
          <w:lang w:val="en-IN"/>
        </w:rPr>
        <w:t xml:space="preserve"> and they fail to directly quantify value creation. Consequently, although the non-discounting techniques can be useful as </w:t>
      </w:r>
      <w:r w:rsidRPr="003275E1">
        <w:rPr>
          <w:rFonts w:eastAsiaTheme="majorEastAsia" w:cs="Times New Roman"/>
          <w:lang w:val="en-IN"/>
        </w:rPr>
        <w:lastRenderedPageBreak/>
        <w:t>auxiliary instruments, they cannot be used as the primary framework of making investment decisions</w:t>
      </w:r>
      <w:r w:rsidR="00577F2F" w:rsidRPr="00577F2F">
        <w:rPr>
          <w:rFonts w:eastAsiaTheme="majorEastAsia" w:cs="Times New Roman"/>
          <w:lang w:val="en-IN"/>
        </w:rPr>
        <w:t>.</w:t>
      </w:r>
    </w:p>
    <w:p w14:paraId="29139105" w14:textId="77777777" w:rsidR="00577F2F" w:rsidRPr="00577F2F" w:rsidRDefault="00577F2F" w:rsidP="00577F2F">
      <w:pPr>
        <w:rPr>
          <w:rFonts w:eastAsiaTheme="majorEastAsia" w:cs="Times New Roman"/>
          <w:b/>
          <w:bCs/>
          <w:lang w:val="en-IN"/>
        </w:rPr>
      </w:pPr>
      <w:r w:rsidRPr="00577F2F">
        <w:rPr>
          <w:rFonts w:eastAsiaTheme="majorEastAsia" w:cs="Times New Roman"/>
          <w:b/>
          <w:bCs/>
          <w:lang w:val="en-IN"/>
        </w:rPr>
        <w:t>(iii) Other factors to consider before making an investment decision</w:t>
      </w:r>
    </w:p>
    <w:p w14:paraId="759D33CF" w14:textId="50372A55" w:rsidR="00577F2F" w:rsidRDefault="003275E1" w:rsidP="00577F2F">
      <w:pPr>
        <w:rPr>
          <w:rFonts w:eastAsiaTheme="majorEastAsia" w:cs="Times New Roman"/>
          <w:lang w:val="en-IN"/>
        </w:rPr>
      </w:pPr>
      <w:r w:rsidRPr="003275E1">
        <w:rPr>
          <w:rFonts w:eastAsiaTheme="majorEastAsia" w:cs="Times New Roman"/>
          <w:lang w:val="en-IN"/>
        </w:rPr>
        <w:t xml:space="preserve">Quantitative appraisal techniques are helpful in gaining valuable insights; however, financial metrics must not be the only basis to make an investment decision. Strategic fit is an imperative factor. The management needs to evaluate the suitability of the suggested investment in relation to the long-term goals of the company, positioning of the brand, and competitive strategy (Fernandez and Oliver, 2025). Risk and uncertainty are other factors that should be considered. The assumptions, on which forecast cash flows are made, will not be realised as a result of varying market demand, competition, technology or economic conditions. The management can use sensitivity analysis and scenario planning to learn how the outcomes can vary in the event of varying assumptions (Swan, 2016). It is equally important in terms of operational and organisational factors. The management should also look </w:t>
      </w:r>
      <w:r>
        <w:rPr>
          <w:rFonts w:eastAsiaTheme="majorEastAsia" w:cs="Times New Roman"/>
          <w:lang w:val="en-IN"/>
        </w:rPr>
        <w:t>into</w:t>
      </w:r>
      <w:r w:rsidRPr="003275E1">
        <w:rPr>
          <w:rFonts w:eastAsiaTheme="majorEastAsia" w:cs="Times New Roman"/>
          <w:lang w:val="en-IN"/>
        </w:rPr>
        <w:t xml:space="preserve"> whether the company possesses the skills, systems and resources that would help implement the project successfully. As an illustration, the expansion of internet sales might involve IT infrastructure, </w:t>
      </w:r>
      <w:r>
        <w:rPr>
          <w:rFonts w:eastAsiaTheme="majorEastAsia" w:cs="Times New Roman"/>
          <w:lang w:val="en-IN"/>
        </w:rPr>
        <w:t>logistics</w:t>
      </w:r>
      <w:r w:rsidRPr="003275E1">
        <w:rPr>
          <w:rFonts w:eastAsiaTheme="majorEastAsia" w:cs="Times New Roman"/>
          <w:lang w:val="en-IN"/>
        </w:rPr>
        <w:t xml:space="preserve"> systems, cybersecurity, and digital marketing capacities. Lastly, there should be financial flexibility and funding limitations. Its effect on gearing and liquidity, availability of finance, and its effect on the existing shareholders should all be looked at. A project that seems appealing when evaluated using an NPV basis might not work well when it creates undue burden on the cash flows or the balance sheet</w:t>
      </w:r>
      <w:r w:rsidR="00577F2F" w:rsidRPr="00577F2F">
        <w:rPr>
          <w:rFonts w:eastAsiaTheme="majorEastAsia" w:cs="Times New Roman"/>
          <w:lang w:val="en-IN"/>
        </w:rPr>
        <w:t>.</w:t>
      </w:r>
    </w:p>
    <w:p w14:paraId="6AC74328" w14:textId="5E41C31E" w:rsidR="00577F2F" w:rsidRPr="008653A8" w:rsidRDefault="008653A8" w:rsidP="008653A8">
      <w:pPr>
        <w:pStyle w:val="ListParagraph"/>
        <w:numPr>
          <w:ilvl w:val="0"/>
          <w:numId w:val="5"/>
        </w:numPr>
        <w:rPr>
          <w:rFonts w:eastAsiaTheme="majorEastAsia" w:cs="Times New Roman"/>
          <w:b/>
          <w:bCs/>
        </w:rPr>
      </w:pPr>
      <w:r w:rsidRPr="008653A8">
        <w:rPr>
          <w:rFonts w:eastAsiaTheme="majorEastAsia" w:cs="Times New Roman"/>
          <w:b/>
          <w:bCs/>
        </w:rPr>
        <w:t>Capital rationing (Funds limited to £2,500,000; projects divisible)</w:t>
      </w:r>
    </w:p>
    <w:p w14:paraId="1A5587A7" w14:textId="2A653E75" w:rsidR="008653A8" w:rsidRDefault="003275E1" w:rsidP="008653A8">
      <w:pPr>
        <w:rPr>
          <w:rFonts w:eastAsiaTheme="majorEastAsia" w:cs="Times New Roman"/>
        </w:rPr>
      </w:pPr>
      <w:r w:rsidRPr="003275E1">
        <w:rPr>
          <w:rFonts w:eastAsiaTheme="majorEastAsia" w:cs="Times New Roman"/>
        </w:rPr>
        <w:t>Given the nature of the projects</w:t>
      </w:r>
      <w:r>
        <w:rPr>
          <w:rFonts w:eastAsiaTheme="majorEastAsia" w:cs="Times New Roman"/>
        </w:rPr>
        <w:t>,</w:t>
      </w:r>
      <w:r w:rsidRPr="003275E1">
        <w:rPr>
          <w:rFonts w:eastAsiaTheme="majorEastAsia" w:cs="Times New Roman"/>
        </w:rPr>
        <w:t xml:space="preserve"> which can be divided</w:t>
      </w:r>
      <w:r>
        <w:rPr>
          <w:rFonts w:eastAsiaTheme="majorEastAsia" w:cs="Times New Roman"/>
        </w:rPr>
        <w:t>,</w:t>
      </w:r>
      <w:r w:rsidRPr="003275E1">
        <w:rPr>
          <w:rFonts w:eastAsiaTheme="majorEastAsia" w:cs="Times New Roman"/>
        </w:rPr>
        <w:t xml:space="preserve"> and the fact that the capital available to fund the investment is restricted to a point of £2,500,000 (£2,500k)</w:t>
      </w:r>
      <w:r>
        <w:rPr>
          <w:rFonts w:eastAsiaTheme="majorEastAsia" w:cs="Times New Roman"/>
        </w:rPr>
        <w:t>,</w:t>
      </w:r>
      <w:r w:rsidRPr="003275E1">
        <w:rPr>
          <w:rFonts w:eastAsiaTheme="majorEastAsia" w:cs="Times New Roman"/>
        </w:rPr>
        <w:t xml:space="preserve"> the capital allocation should be done in a manner that </w:t>
      </w:r>
      <w:r>
        <w:rPr>
          <w:rFonts w:eastAsiaTheme="majorEastAsia" w:cs="Times New Roman"/>
        </w:rPr>
        <w:t>maximises</w:t>
      </w:r>
      <w:r w:rsidRPr="003275E1">
        <w:rPr>
          <w:rFonts w:eastAsiaTheme="majorEastAsia" w:cs="Times New Roman"/>
        </w:rPr>
        <w:t xml:space="preserve"> the</w:t>
      </w:r>
      <w:r>
        <w:rPr>
          <w:rFonts w:eastAsiaTheme="majorEastAsia" w:cs="Times New Roman"/>
        </w:rPr>
        <w:t xml:space="preserve"> total</w:t>
      </w:r>
      <w:r w:rsidRPr="003275E1">
        <w:rPr>
          <w:rFonts w:eastAsiaTheme="majorEastAsia" w:cs="Times New Roman"/>
        </w:rPr>
        <w:t xml:space="preserve"> NPV</w:t>
      </w:r>
      <w:r w:rsidR="008653A8" w:rsidRPr="008653A8">
        <w:rPr>
          <w:rFonts w:eastAsiaTheme="majorEastAsia" w:cs="Times New Roman"/>
        </w:rPr>
        <w:t>. The appropriate approach is to rank projects using the Profitability Index (PI):</w:t>
      </w:r>
    </w:p>
    <w:p w14:paraId="4CF52433" w14:textId="61457AB4" w:rsidR="008653A8" w:rsidRPr="008653A8" w:rsidRDefault="008653A8" w:rsidP="008653A8">
      <w:pPr>
        <w:rPr>
          <w:rFonts w:eastAsiaTheme="majorEastAsia" w:cs="Times New Roman"/>
          <w:lang w:val="en-IN"/>
        </w:rPr>
      </w:pPr>
      <m:oMathPara>
        <m:oMath>
          <m:r>
            <w:rPr>
              <w:rFonts w:ascii="Cambria Math" w:eastAsiaTheme="majorEastAsia" w:hAnsi="Cambria Math" w:cs="Times New Roman"/>
              <w:lang w:val="en-IN"/>
            </w:rPr>
            <m:t>PI=</m:t>
          </m:r>
          <m:f>
            <m:fPr>
              <m:ctrlPr>
                <w:rPr>
                  <w:rFonts w:ascii="Cambria Math" w:eastAsiaTheme="majorEastAsia" w:hAnsi="Cambria Math" w:cs="Times New Roman"/>
                  <w:lang w:val="en-IN"/>
                </w:rPr>
              </m:ctrlPr>
            </m:fPr>
            <m:num>
              <m:r>
                <m:rPr>
                  <m:nor/>
                </m:rPr>
                <w:rPr>
                  <w:rFonts w:eastAsiaTheme="majorEastAsia" w:cs="Times New Roman"/>
                  <w:lang w:val="en-IN"/>
                </w:rPr>
                <m:t>PV of after-tax inflows</m:t>
              </m:r>
            </m:num>
            <m:den>
              <m:r>
                <m:rPr>
                  <m:nor/>
                </m:rPr>
                <w:rPr>
                  <w:rFonts w:eastAsiaTheme="majorEastAsia" w:cs="Times New Roman"/>
                  <w:lang w:val="en-IN"/>
                </w:rPr>
                <m:t>Initial investment</m:t>
              </m:r>
            </m:den>
          </m:f>
          <m:r>
            <m:rPr>
              <m:sty m:val="p"/>
            </m:rPr>
            <w:rPr>
              <w:rFonts w:eastAsiaTheme="majorEastAsia" w:cs="Times New Roman"/>
              <w:lang w:val="en-IN"/>
            </w:rPr>
            <w:br/>
          </m:r>
        </m:oMath>
      </m:oMathPara>
    </w:p>
    <w:p w14:paraId="629ED751" w14:textId="77777777" w:rsidR="008653A8" w:rsidRPr="008653A8" w:rsidRDefault="008653A8" w:rsidP="008653A8">
      <w:pPr>
        <w:rPr>
          <w:rFonts w:eastAsiaTheme="majorEastAsia" w:cs="Times New Roman"/>
          <w:lang w:val="en-IN"/>
        </w:rPr>
      </w:pPr>
      <w:r w:rsidRPr="008653A8">
        <w:rPr>
          <w:rFonts w:eastAsiaTheme="majorEastAsia" w:cs="Times New Roman"/>
          <w:lang w:val="en-IN"/>
        </w:rPr>
        <w:t>Using the PV inflows already calculated at 6%:</w:t>
      </w:r>
    </w:p>
    <w:p w14:paraId="02B724DB" w14:textId="77777777" w:rsidR="008653A8" w:rsidRPr="008653A8" w:rsidRDefault="008653A8" w:rsidP="008653A8">
      <w:pPr>
        <w:numPr>
          <w:ilvl w:val="0"/>
          <w:numId w:val="7"/>
        </w:numPr>
        <w:rPr>
          <w:rFonts w:eastAsiaTheme="majorEastAsia" w:cs="Times New Roman"/>
          <w:lang w:val="en-IN"/>
        </w:rPr>
      </w:pPr>
      <w:r w:rsidRPr="008653A8">
        <w:rPr>
          <w:rFonts w:eastAsiaTheme="majorEastAsia" w:cs="Times New Roman"/>
          <w:b/>
          <w:bCs/>
          <w:lang w:val="en-IN"/>
        </w:rPr>
        <w:t>Option A:</w:t>
      </w:r>
      <w:r w:rsidRPr="008653A8">
        <w:rPr>
          <w:rFonts w:eastAsiaTheme="majorEastAsia" w:cs="Times New Roman"/>
          <w:lang w:val="en-IN"/>
        </w:rPr>
        <w:t xml:space="preserve"> PV inflows = 1,243.17; Investment = 600</w:t>
      </w:r>
    </w:p>
    <w:p w14:paraId="470DA4A6" w14:textId="320A0BC2" w:rsidR="008653A8" w:rsidRPr="008653A8" w:rsidRDefault="008653A8" w:rsidP="008653A8">
      <w:pPr>
        <w:rPr>
          <w:rFonts w:eastAsiaTheme="majorEastAsia" w:cs="Times New Roman"/>
          <w:lang w:val="en-IN"/>
        </w:rPr>
      </w:pPr>
      <m:oMathPara>
        <m:oMath>
          <m:r>
            <w:rPr>
              <w:rFonts w:ascii="Cambria Math" w:eastAsiaTheme="majorEastAsia" w:hAnsi="Cambria Math" w:cs="Times New Roman"/>
              <w:lang w:val="en-IN"/>
            </w:rPr>
            <w:lastRenderedPageBreak/>
            <m:t>P</m:t>
          </m:r>
          <m:sSub>
            <m:sSubPr>
              <m:ctrlPr>
                <w:rPr>
                  <w:rFonts w:ascii="Cambria Math" w:eastAsiaTheme="majorEastAsia" w:hAnsi="Cambria Math" w:cs="Times New Roman"/>
                  <w:lang w:val="en-IN"/>
                </w:rPr>
              </m:ctrlPr>
            </m:sSubPr>
            <m:e>
              <m:r>
                <w:rPr>
                  <w:rFonts w:ascii="Cambria Math" w:eastAsiaTheme="majorEastAsia" w:hAnsi="Cambria Math" w:cs="Times New Roman"/>
                  <w:lang w:val="en-IN"/>
                </w:rPr>
                <m:t>I</m:t>
              </m:r>
            </m:e>
            <m:sub>
              <m:r>
                <w:rPr>
                  <w:rFonts w:ascii="Cambria Math" w:eastAsiaTheme="majorEastAsia" w:hAnsi="Cambria Math" w:cs="Times New Roman"/>
                  <w:lang w:val="en-IN"/>
                </w:rPr>
                <m:t>A</m:t>
              </m:r>
            </m:sub>
          </m:sSub>
          <m:r>
            <w:rPr>
              <w:rFonts w:ascii="Cambria Math" w:eastAsiaTheme="majorEastAsia" w:hAnsi="Cambria Math" w:cs="Times New Roman"/>
              <w:lang w:val="en-IN"/>
            </w:rPr>
            <m:t>=</m:t>
          </m:r>
          <m:f>
            <m:fPr>
              <m:ctrlPr>
                <w:rPr>
                  <w:rFonts w:ascii="Cambria Math" w:eastAsiaTheme="majorEastAsia" w:hAnsi="Cambria Math" w:cs="Times New Roman"/>
                  <w:lang w:val="en-IN"/>
                </w:rPr>
              </m:ctrlPr>
            </m:fPr>
            <m:num>
              <m:r>
                <w:rPr>
                  <w:rFonts w:ascii="Cambria Math" w:eastAsiaTheme="majorEastAsia" w:hAnsi="Cambria Math" w:cs="Times New Roman"/>
                  <w:lang w:val="en-IN"/>
                </w:rPr>
                <m:t>1,243.17</m:t>
              </m:r>
            </m:num>
            <m:den>
              <m:r>
                <w:rPr>
                  <w:rFonts w:ascii="Cambria Math" w:eastAsiaTheme="majorEastAsia" w:hAnsi="Cambria Math" w:cs="Times New Roman"/>
                  <w:lang w:val="en-IN"/>
                </w:rPr>
                <m:t>600</m:t>
              </m:r>
            </m:den>
          </m:f>
          <m:r>
            <w:rPr>
              <w:rFonts w:ascii="Cambria Math" w:eastAsiaTheme="majorEastAsia" w:hAnsi="Cambria Math" w:cs="Times New Roman"/>
              <w:lang w:val="en-IN"/>
            </w:rPr>
            <m:t>=2.07</m:t>
          </m:r>
          <m:r>
            <m:rPr>
              <m:sty m:val="p"/>
            </m:rPr>
            <w:rPr>
              <w:rFonts w:eastAsiaTheme="majorEastAsia" w:cs="Times New Roman"/>
              <w:lang w:val="en-IN"/>
            </w:rPr>
            <w:br/>
          </m:r>
        </m:oMath>
      </m:oMathPara>
    </w:p>
    <w:p w14:paraId="71724BE5" w14:textId="77777777" w:rsidR="008653A8" w:rsidRPr="008653A8" w:rsidRDefault="008653A8" w:rsidP="008653A8">
      <w:pPr>
        <w:numPr>
          <w:ilvl w:val="0"/>
          <w:numId w:val="7"/>
        </w:numPr>
        <w:rPr>
          <w:rFonts w:eastAsiaTheme="majorEastAsia" w:cs="Times New Roman"/>
          <w:lang w:val="en-IN"/>
        </w:rPr>
      </w:pPr>
      <w:r w:rsidRPr="008653A8">
        <w:rPr>
          <w:rFonts w:eastAsiaTheme="majorEastAsia" w:cs="Times New Roman"/>
          <w:b/>
          <w:bCs/>
          <w:lang w:val="en-IN"/>
        </w:rPr>
        <w:t>Option B:</w:t>
      </w:r>
      <w:r w:rsidRPr="008653A8">
        <w:rPr>
          <w:rFonts w:eastAsiaTheme="majorEastAsia" w:cs="Times New Roman"/>
          <w:lang w:val="en-IN"/>
        </w:rPr>
        <w:t xml:space="preserve"> PV inflows = 1,792.23; Investment = 1,000</w:t>
      </w:r>
    </w:p>
    <w:p w14:paraId="48D68DFF" w14:textId="1F4186D4" w:rsidR="008653A8" w:rsidRPr="008653A8" w:rsidRDefault="008653A8" w:rsidP="008653A8">
      <w:pPr>
        <w:rPr>
          <w:rFonts w:eastAsiaTheme="majorEastAsia" w:cs="Times New Roman"/>
          <w:lang w:val="en-IN"/>
        </w:rPr>
      </w:pPr>
      <m:oMathPara>
        <m:oMath>
          <m:r>
            <w:rPr>
              <w:rFonts w:ascii="Cambria Math" w:eastAsiaTheme="majorEastAsia" w:hAnsi="Cambria Math" w:cs="Times New Roman"/>
              <w:lang w:val="en-IN"/>
            </w:rPr>
            <m:t>P</m:t>
          </m:r>
          <m:sSub>
            <m:sSubPr>
              <m:ctrlPr>
                <w:rPr>
                  <w:rFonts w:ascii="Cambria Math" w:eastAsiaTheme="majorEastAsia" w:hAnsi="Cambria Math" w:cs="Times New Roman"/>
                  <w:lang w:val="en-IN"/>
                </w:rPr>
              </m:ctrlPr>
            </m:sSubPr>
            <m:e>
              <m:r>
                <w:rPr>
                  <w:rFonts w:ascii="Cambria Math" w:eastAsiaTheme="majorEastAsia" w:hAnsi="Cambria Math" w:cs="Times New Roman"/>
                  <w:lang w:val="en-IN"/>
                </w:rPr>
                <m:t>I</m:t>
              </m:r>
            </m:e>
            <m:sub>
              <m:r>
                <w:rPr>
                  <w:rFonts w:ascii="Cambria Math" w:eastAsiaTheme="majorEastAsia" w:hAnsi="Cambria Math" w:cs="Times New Roman"/>
                  <w:lang w:val="en-IN"/>
                </w:rPr>
                <m:t>B</m:t>
              </m:r>
            </m:sub>
          </m:sSub>
          <m:r>
            <w:rPr>
              <w:rFonts w:ascii="Cambria Math" w:eastAsiaTheme="majorEastAsia" w:hAnsi="Cambria Math" w:cs="Times New Roman"/>
              <w:lang w:val="en-IN"/>
            </w:rPr>
            <m:t>=</m:t>
          </m:r>
          <m:f>
            <m:fPr>
              <m:ctrlPr>
                <w:rPr>
                  <w:rFonts w:ascii="Cambria Math" w:eastAsiaTheme="majorEastAsia" w:hAnsi="Cambria Math" w:cs="Times New Roman"/>
                  <w:lang w:val="en-IN"/>
                </w:rPr>
              </m:ctrlPr>
            </m:fPr>
            <m:num>
              <m:r>
                <w:rPr>
                  <w:rFonts w:ascii="Cambria Math" w:eastAsiaTheme="majorEastAsia" w:hAnsi="Cambria Math" w:cs="Times New Roman"/>
                  <w:lang w:val="en-IN"/>
                </w:rPr>
                <m:t>1,792.23</m:t>
              </m:r>
            </m:num>
            <m:den>
              <m:r>
                <w:rPr>
                  <w:rFonts w:ascii="Cambria Math" w:eastAsiaTheme="majorEastAsia" w:hAnsi="Cambria Math" w:cs="Times New Roman"/>
                  <w:lang w:val="en-IN"/>
                </w:rPr>
                <m:t>1,000</m:t>
              </m:r>
            </m:den>
          </m:f>
          <m:r>
            <w:rPr>
              <w:rFonts w:ascii="Cambria Math" w:eastAsiaTheme="majorEastAsia" w:hAnsi="Cambria Math" w:cs="Times New Roman"/>
              <w:lang w:val="en-IN"/>
            </w:rPr>
            <m:t>=1.79</m:t>
          </m:r>
          <m:r>
            <m:rPr>
              <m:sty m:val="p"/>
            </m:rPr>
            <w:rPr>
              <w:rFonts w:eastAsiaTheme="majorEastAsia" w:cs="Times New Roman"/>
              <w:lang w:val="en-IN"/>
            </w:rPr>
            <w:br/>
          </m:r>
        </m:oMath>
      </m:oMathPara>
    </w:p>
    <w:p w14:paraId="6A124893" w14:textId="77777777" w:rsidR="008653A8" w:rsidRPr="008653A8" w:rsidRDefault="008653A8" w:rsidP="008653A8">
      <w:pPr>
        <w:numPr>
          <w:ilvl w:val="0"/>
          <w:numId w:val="7"/>
        </w:numPr>
        <w:rPr>
          <w:rFonts w:eastAsiaTheme="majorEastAsia" w:cs="Times New Roman"/>
          <w:lang w:val="en-IN"/>
        </w:rPr>
      </w:pPr>
      <w:r w:rsidRPr="008653A8">
        <w:rPr>
          <w:rFonts w:eastAsiaTheme="majorEastAsia" w:cs="Times New Roman"/>
          <w:b/>
          <w:bCs/>
          <w:lang w:val="en-IN"/>
        </w:rPr>
        <w:t>Option C:</w:t>
      </w:r>
      <w:r w:rsidRPr="008653A8">
        <w:rPr>
          <w:rFonts w:eastAsiaTheme="majorEastAsia" w:cs="Times New Roman"/>
          <w:lang w:val="en-IN"/>
        </w:rPr>
        <w:t xml:space="preserve"> PV inflows = 2,342.48; Investment = 1,600</w:t>
      </w:r>
    </w:p>
    <w:p w14:paraId="2609F87E" w14:textId="77777777" w:rsidR="008653A8" w:rsidRPr="008653A8" w:rsidRDefault="008653A8" w:rsidP="008653A8">
      <w:pPr>
        <w:rPr>
          <w:rFonts w:cs="Times New Roman"/>
          <w:b/>
          <w:bCs/>
          <w:lang w:val="en-IN"/>
        </w:rPr>
      </w:pPr>
      <m:oMathPara>
        <m:oMath>
          <m:r>
            <w:rPr>
              <w:rFonts w:ascii="Cambria Math" w:eastAsiaTheme="majorEastAsia" w:hAnsi="Cambria Math" w:cs="Times New Roman"/>
              <w:lang w:val="en-IN"/>
            </w:rPr>
            <m:t>P</m:t>
          </m:r>
          <m:sSub>
            <m:sSubPr>
              <m:ctrlPr>
                <w:rPr>
                  <w:rFonts w:ascii="Cambria Math" w:eastAsiaTheme="majorEastAsia" w:hAnsi="Cambria Math" w:cs="Times New Roman"/>
                  <w:lang w:val="en-IN"/>
                </w:rPr>
              </m:ctrlPr>
            </m:sSubPr>
            <m:e>
              <m:r>
                <w:rPr>
                  <w:rFonts w:ascii="Cambria Math" w:eastAsiaTheme="majorEastAsia" w:hAnsi="Cambria Math" w:cs="Times New Roman"/>
                  <w:lang w:val="en-IN"/>
                </w:rPr>
                <m:t>I</m:t>
              </m:r>
            </m:e>
            <m:sub>
              <m:r>
                <w:rPr>
                  <w:rFonts w:ascii="Cambria Math" w:eastAsiaTheme="majorEastAsia" w:hAnsi="Cambria Math" w:cs="Times New Roman"/>
                  <w:lang w:val="en-IN"/>
                </w:rPr>
                <m:t>C</m:t>
              </m:r>
            </m:sub>
          </m:sSub>
          <m:r>
            <w:rPr>
              <w:rFonts w:ascii="Cambria Math" w:eastAsiaTheme="majorEastAsia" w:hAnsi="Cambria Math" w:cs="Times New Roman"/>
              <w:lang w:val="en-IN"/>
            </w:rPr>
            <m:t>=</m:t>
          </m:r>
          <m:f>
            <m:fPr>
              <m:ctrlPr>
                <w:rPr>
                  <w:rFonts w:ascii="Cambria Math" w:eastAsiaTheme="majorEastAsia" w:hAnsi="Cambria Math" w:cs="Times New Roman"/>
                  <w:lang w:val="en-IN"/>
                </w:rPr>
              </m:ctrlPr>
            </m:fPr>
            <m:num>
              <m:r>
                <w:rPr>
                  <w:rFonts w:ascii="Cambria Math" w:eastAsiaTheme="majorEastAsia" w:hAnsi="Cambria Math" w:cs="Times New Roman"/>
                  <w:lang w:val="en-IN"/>
                </w:rPr>
                <m:t>2,342.48</m:t>
              </m:r>
            </m:num>
            <m:den>
              <m:r>
                <w:rPr>
                  <w:rFonts w:ascii="Cambria Math" w:eastAsiaTheme="majorEastAsia" w:hAnsi="Cambria Math" w:cs="Times New Roman"/>
                  <w:lang w:val="en-IN"/>
                </w:rPr>
                <m:t>1,600</m:t>
              </m:r>
            </m:den>
          </m:f>
          <m:r>
            <w:rPr>
              <w:rFonts w:ascii="Cambria Math" w:eastAsiaTheme="majorEastAsia" w:hAnsi="Cambria Math" w:cs="Times New Roman"/>
              <w:lang w:val="en-IN"/>
            </w:rPr>
            <m:t>=1.46</m:t>
          </m:r>
          <m:r>
            <m:rPr>
              <m:sty m:val="p"/>
            </m:rPr>
            <w:rPr>
              <w:rFonts w:eastAsiaTheme="majorEastAsia" w:cs="Times New Roman"/>
              <w:lang w:val="en-IN"/>
            </w:rPr>
            <w:br/>
          </m:r>
        </m:oMath>
      </m:oMathPara>
      <w:r w:rsidRPr="008653A8">
        <w:rPr>
          <w:rFonts w:cs="Times New Roman"/>
          <w:b/>
          <w:bCs/>
          <w:lang w:val="en-IN"/>
        </w:rPr>
        <w:t>Ranking by PI (highest first)</w:t>
      </w:r>
    </w:p>
    <w:p w14:paraId="5A77208B" w14:textId="2BE1A39B" w:rsidR="008653A8" w:rsidRPr="008653A8" w:rsidRDefault="008653A8" w:rsidP="008653A8">
      <w:pPr>
        <w:jc w:val="center"/>
        <w:rPr>
          <w:rFonts w:eastAsiaTheme="majorEastAsia" w:cs="Times New Roman"/>
          <w:lang w:val="en-IN"/>
        </w:rPr>
      </w:pPr>
      <w:r w:rsidRPr="008653A8">
        <w:rPr>
          <w:rFonts w:eastAsiaTheme="majorEastAsia" w:cs="Times New Roman"/>
        </w:rPr>
        <w:t>A (2.07) &gt; B (1.79) &gt; C (1.46)</w:t>
      </w:r>
    </w:p>
    <w:p w14:paraId="0479CAB1" w14:textId="77777777" w:rsidR="008653A8" w:rsidRPr="008653A8" w:rsidRDefault="008653A8" w:rsidP="008653A8">
      <w:pPr>
        <w:rPr>
          <w:rFonts w:eastAsiaTheme="majorEastAsia" w:cs="Times New Roman"/>
          <w:b/>
          <w:bCs/>
          <w:lang w:val="en-IN"/>
        </w:rPr>
      </w:pPr>
      <w:r w:rsidRPr="008653A8">
        <w:rPr>
          <w:rFonts w:eastAsiaTheme="majorEastAsia" w:cs="Times New Roman"/>
          <w:b/>
          <w:bCs/>
          <w:lang w:val="en-IN"/>
        </w:rPr>
        <w:t>Optimal investment policy under £2,500k</w:t>
      </w:r>
    </w:p>
    <w:p w14:paraId="4F61957B" w14:textId="77777777" w:rsidR="008653A8" w:rsidRPr="008653A8" w:rsidRDefault="008653A8" w:rsidP="008653A8">
      <w:pPr>
        <w:rPr>
          <w:rFonts w:eastAsiaTheme="majorEastAsia" w:cs="Times New Roman"/>
          <w:lang w:val="en-IN"/>
        </w:rPr>
      </w:pPr>
      <w:r w:rsidRPr="008653A8">
        <w:rPr>
          <w:rFonts w:eastAsiaTheme="majorEastAsia" w:cs="Times New Roman"/>
          <w:lang w:val="en-IN"/>
        </w:rPr>
        <w:t xml:space="preserve">Available budget: </w:t>
      </w:r>
      <w:r w:rsidRPr="008653A8">
        <w:rPr>
          <w:rFonts w:eastAsiaTheme="majorEastAsia" w:cs="Times New Roman"/>
          <w:b/>
          <w:bCs/>
          <w:lang w:val="en-IN"/>
        </w:rPr>
        <w:t>£2,500k</w:t>
      </w:r>
    </w:p>
    <w:p w14:paraId="5695CEEA" w14:textId="77777777" w:rsidR="008653A8" w:rsidRPr="008653A8" w:rsidRDefault="008653A8" w:rsidP="008653A8">
      <w:pPr>
        <w:numPr>
          <w:ilvl w:val="0"/>
          <w:numId w:val="8"/>
        </w:numPr>
        <w:rPr>
          <w:rFonts w:eastAsiaTheme="majorEastAsia" w:cs="Times New Roman"/>
          <w:lang w:val="en-IN"/>
        </w:rPr>
      </w:pPr>
      <w:r w:rsidRPr="008653A8">
        <w:rPr>
          <w:rFonts w:eastAsiaTheme="majorEastAsia" w:cs="Times New Roman"/>
          <w:lang w:val="en-IN"/>
        </w:rPr>
        <w:t>Invest fully in Option A: cost 600k</w:t>
      </w:r>
    </w:p>
    <w:p w14:paraId="6DB07DD3" w14:textId="6E192B0F" w:rsidR="008653A8" w:rsidRPr="008653A8" w:rsidRDefault="008653A8" w:rsidP="008653A8">
      <w:pPr>
        <w:ind w:left="720"/>
        <w:rPr>
          <w:rFonts w:eastAsiaTheme="majorEastAsia" w:cs="Times New Roman"/>
          <w:lang w:val="en-IN"/>
        </w:rPr>
      </w:pPr>
      <w:r w:rsidRPr="008653A8">
        <w:rPr>
          <w:rFonts w:eastAsiaTheme="majorEastAsia" w:cs="Times New Roman"/>
          <w:lang w:val="en-IN"/>
        </w:rPr>
        <w:t>Remaining budget = 2,500 − 600 = 1,900k</w:t>
      </w:r>
    </w:p>
    <w:p w14:paraId="1C8794A3" w14:textId="77777777" w:rsidR="008653A8" w:rsidRPr="008653A8" w:rsidRDefault="008653A8" w:rsidP="008653A8">
      <w:pPr>
        <w:numPr>
          <w:ilvl w:val="0"/>
          <w:numId w:val="8"/>
        </w:numPr>
        <w:rPr>
          <w:rFonts w:eastAsiaTheme="majorEastAsia" w:cs="Times New Roman"/>
          <w:lang w:val="en-IN"/>
        </w:rPr>
      </w:pPr>
      <w:r w:rsidRPr="008653A8">
        <w:rPr>
          <w:rFonts w:eastAsiaTheme="majorEastAsia" w:cs="Times New Roman"/>
          <w:lang w:val="en-IN"/>
        </w:rPr>
        <w:t>Invest fully in Option B: cost 1,000k</w:t>
      </w:r>
    </w:p>
    <w:p w14:paraId="26D8084E" w14:textId="3359F137" w:rsidR="008653A8" w:rsidRPr="008653A8" w:rsidRDefault="008653A8" w:rsidP="008653A8">
      <w:pPr>
        <w:ind w:left="720"/>
        <w:rPr>
          <w:rFonts w:eastAsiaTheme="majorEastAsia" w:cs="Times New Roman"/>
          <w:lang w:val="en-IN"/>
        </w:rPr>
      </w:pPr>
      <w:r w:rsidRPr="008653A8">
        <w:rPr>
          <w:rFonts w:eastAsiaTheme="majorEastAsia" w:cs="Times New Roman"/>
          <w:lang w:val="en-IN"/>
        </w:rPr>
        <w:t>Remaining budget = 1,900 − 1,000 = 900k</w:t>
      </w:r>
    </w:p>
    <w:p w14:paraId="4649D7E7" w14:textId="77777777" w:rsidR="008653A8" w:rsidRPr="008653A8" w:rsidRDefault="008653A8" w:rsidP="008653A8">
      <w:pPr>
        <w:numPr>
          <w:ilvl w:val="0"/>
          <w:numId w:val="8"/>
        </w:numPr>
        <w:rPr>
          <w:rFonts w:eastAsiaTheme="majorEastAsia" w:cs="Times New Roman"/>
          <w:lang w:val="en-IN"/>
        </w:rPr>
      </w:pPr>
      <w:r w:rsidRPr="008653A8">
        <w:rPr>
          <w:rFonts w:eastAsiaTheme="majorEastAsia" w:cs="Times New Roman"/>
          <w:lang w:val="en-IN"/>
        </w:rPr>
        <w:t>Invest remaining budget in Option C (divisible)</w:t>
      </w:r>
    </w:p>
    <w:p w14:paraId="4A949F64" w14:textId="77777777" w:rsidR="008653A8" w:rsidRPr="008653A8" w:rsidRDefault="008653A8" w:rsidP="008653A8">
      <w:pPr>
        <w:ind w:left="720"/>
        <w:rPr>
          <w:rFonts w:eastAsiaTheme="majorEastAsia" w:cs="Times New Roman"/>
          <w:lang w:val="en-IN"/>
        </w:rPr>
      </w:pPr>
      <w:r w:rsidRPr="008653A8">
        <w:rPr>
          <w:rFonts w:eastAsiaTheme="majorEastAsia" w:cs="Times New Roman"/>
          <w:lang w:val="en-IN"/>
        </w:rPr>
        <w:t>Option C total cost = 1,600k</w:t>
      </w:r>
    </w:p>
    <w:p w14:paraId="48C36D87" w14:textId="266D4FA1" w:rsidR="008653A8" w:rsidRDefault="008653A8" w:rsidP="008653A8">
      <w:pPr>
        <w:ind w:left="720"/>
        <w:rPr>
          <w:rFonts w:eastAsiaTheme="majorEastAsia" w:cs="Times New Roman"/>
          <w:lang w:val="en-IN"/>
        </w:rPr>
      </w:pPr>
      <w:r w:rsidRPr="008653A8">
        <w:rPr>
          <w:rFonts w:eastAsiaTheme="majorEastAsia" w:cs="Times New Roman"/>
          <w:lang w:val="en-IN"/>
        </w:rPr>
        <w:t>Fraction undertaken:</w:t>
      </w:r>
    </w:p>
    <w:p w14:paraId="5778A966" w14:textId="6117FD42" w:rsidR="008653A8" w:rsidRPr="008653A8" w:rsidRDefault="008653A8" w:rsidP="008653A8">
      <w:pPr>
        <w:ind w:left="720"/>
        <w:rPr>
          <w:rFonts w:eastAsiaTheme="majorEastAsia" w:cs="Times New Roman"/>
          <w:lang w:val="en-IN"/>
        </w:rPr>
      </w:pPr>
      <m:oMathPara>
        <m:oMathParaPr>
          <m:jc m:val="center"/>
        </m:oMathParaPr>
        <m:oMath>
          <m:r>
            <m:rPr>
              <m:nor/>
            </m:rPr>
            <w:rPr>
              <w:rFonts w:eastAsiaTheme="majorEastAsia" w:cs="Times New Roman"/>
              <w:lang w:val="en-IN"/>
            </w:rPr>
            <m:t>Fraction of C</m:t>
          </m:r>
          <m:r>
            <w:rPr>
              <w:rFonts w:ascii="Cambria Math" w:eastAsiaTheme="majorEastAsia" w:hAnsi="Cambria Math" w:cs="Times New Roman"/>
              <w:lang w:val="en-IN"/>
            </w:rPr>
            <m:t>=</m:t>
          </m:r>
          <m:f>
            <m:fPr>
              <m:ctrlPr>
                <w:rPr>
                  <w:rFonts w:ascii="Cambria Math" w:eastAsiaTheme="majorEastAsia" w:hAnsi="Cambria Math" w:cs="Times New Roman"/>
                  <w:lang w:val="en-IN"/>
                </w:rPr>
              </m:ctrlPr>
            </m:fPr>
            <m:num>
              <m:r>
                <w:rPr>
                  <w:rFonts w:ascii="Cambria Math" w:eastAsiaTheme="majorEastAsia" w:hAnsi="Cambria Math" w:cs="Times New Roman"/>
                  <w:lang w:val="en-IN"/>
                </w:rPr>
                <m:t>900</m:t>
              </m:r>
            </m:num>
            <m:den>
              <m:r>
                <w:rPr>
                  <w:rFonts w:ascii="Cambria Math" w:eastAsiaTheme="majorEastAsia" w:hAnsi="Cambria Math" w:cs="Times New Roman"/>
                  <w:lang w:val="en-IN"/>
                </w:rPr>
                <m:t>1,600</m:t>
              </m:r>
            </m:den>
          </m:f>
          <m:r>
            <w:rPr>
              <w:rFonts w:ascii="Cambria Math" w:eastAsiaTheme="majorEastAsia" w:hAnsi="Cambria Math" w:cs="Times New Roman"/>
              <w:lang w:val="en-IN"/>
            </w:rPr>
            <m:t>=0.5625 or 56.25%</m:t>
          </m:r>
          <m:r>
            <m:rPr>
              <m:nor/>
            </m:rPr>
            <w:rPr>
              <w:rFonts w:eastAsiaTheme="majorEastAsia" w:cs="Times New Roman"/>
              <w:lang w:val="en-IN"/>
            </w:rPr>
            <m:t xml:space="preserve"> </m:t>
          </m:r>
        </m:oMath>
      </m:oMathPara>
    </w:p>
    <w:p w14:paraId="5385FD14" w14:textId="77777777" w:rsidR="008653A8" w:rsidRPr="008653A8" w:rsidRDefault="008653A8" w:rsidP="008653A8">
      <w:pPr>
        <w:rPr>
          <w:rFonts w:eastAsiaTheme="majorEastAsia" w:cs="Times New Roman"/>
          <w:b/>
          <w:bCs/>
          <w:lang w:val="en-IN"/>
        </w:rPr>
      </w:pPr>
      <w:r w:rsidRPr="008653A8">
        <w:rPr>
          <w:rFonts w:eastAsiaTheme="majorEastAsia" w:cs="Times New Roman"/>
          <w:b/>
          <w:bCs/>
          <w:lang w:val="en-IN"/>
        </w:rPr>
        <w:t>Resulting total NPV</w:t>
      </w:r>
    </w:p>
    <w:p w14:paraId="564AD85B" w14:textId="77777777" w:rsidR="008653A8" w:rsidRPr="008653A8" w:rsidRDefault="008653A8" w:rsidP="008653A8">
      <w:pPr>
        <w:rPr>
          <w:rFonts w:eastAsiaTheme="majorEastAsia" w:cs="Times New Roman"/>
          <w:lang w:val="en-IN"/>
        </w:rPr>
      </w:pPr>
      <w:r w:rsidRPr="008653A8">
        <w:rPr>
          <w:rFonts w:eastAsiaTheme="majorEastAsia" w:cs="Times New Roman"/>
          <w:lang w:val="en-IN"/>
        </w:rPr>
        <w:t>NPVs (from earlier):</w:t>
      </w:r>
    </w:p>
    <w:p w14:paraId="105B1113" w14:textId="77777777" w:rsidR="008653A8" w:rsidRPr="008653A8" w:rsidRDefault="008653A8" w:rsidP="008653A8">
      <w:pPr>
        <w:numPr>
          <w:ilvl w:val="0"/>
          <w:numId w:val="10"/>
        </w:numPr>
        <w:rPr>
          <w:rFonts w:eastAsiaTheme="majorEastAsia" w:cs="Times New Roman"/>
          <w:lang w:val="en-IN"/>
        </w:rPr>
      </w:pPr>
      <w:r w:rsidRPr="008653A8">
        <w:rPr>
          <w:rFonts w:eastAsiaTheme="majorEastAsia" w:cs="Times New Roman"/>
          <w:lang w:val="en-IN"/>
        </w:rPr>
        <w:t>NPV(A) = +643.17k</w:t>
      </w:r>
    </w:p>
    <w:p w14:paraId="10AABC9A" w14:textId="77777777" w:rsidR="008653A8" w:rsidRPr="008653A8" w:rsidRDefault="008653A8" w:rsidP="008653A8">
      <w:pPr>
        <w:numPr>
          <w:ilvl w:val="0"/>
          <w:numId w:val="10"/>
        </w:numPr>
        <w:rPr>
          <w:rFonts w:eastAsiaTheme="majorEastAsia" w:cs="Times New Roman"/>
          <w:lang w:val="en-IN"/>
        </w:rPr>
      </w:pPr>
      <w:r w:rsidRPr="008653A8">
        <w:rPr>
          <w:rFonts w:eastAsiaTheme="majorEastAsia" w:cs="Times New Roman"/>
          <w:lang w:val="en-IN"/>
        </w:rPr>
        <w:t>NPV(B) = +792.23k</w:t>
      </w:r>
    </w:p>
    <w:p w14:paraId="01122A5A" w14:textId="77777777" w:rsidR="008653A8" w:rsidRPr="008653A8" w:rsidRDefault="008653A8" w:rsidP="008653A8">
      <w:pPr>
        <w:numPr>
          <w:ilvl w:val="0"/>
          <w:numId w:val="10"/>
        </w:numPr>
        <w:rPr>
          <w:rFonts w:eastAsiaTheme="majorEastAsia" w:cs="Times New Roman"/>
          <w:lang w:val="en-IN"/>
        </w:rPr>
      </w:pPr>
      <w:r w:rsidRPr="008653A8">
        <w:rPr>
          <w:rFonts w:eastAsiaTheme="majorEastAsia" w:cs="Times New Roman"/>
          <w:lang w:val="en-IN"/>
        </w:rPr>
        <w:lastRenderedPageBreak/>
        <w:t>NPV(C) = +742.48k</w:t>
      </w:r>
    </w:p>
    <w:p w14:paraId="5BD916CB" w14:textId="77777777" w:rsidR="008653A8" w:rsidRPr="008653A8" w:rsidRDefault="008653A8" w:rsidP="008653A8">
      <w:pPr>
        <w:rPr>
          <w:rFonts w:eastAsiaTheme="majorEastAsia" w:cs="Times New Roman"/>
          <w:lang w:val="en-IN"/>
        </w:rPr>
      </w:pPr>
      <w:r w:rsidRPr="008653A8">
        <w:rPr>
          <w:rFonts w:eastAsiaTheme="majorEastAsia" w:cs="Times New Roman"/>
          <w:lang w:val="en-IN"/>
        </w:rPr>
        <w:t>Adjusted NPV for 56.25% of C:</w:t>
      </w:r>
    </w:p>
    <w:p w14:paraId="2A27C0EF" w14:textId="77777777" w:rsidR="008653A8" w:rsidRPr="008653A8" w:rsidRDefault="008653A8" w:rsidP="008653A8">
      <w:pPr>
        <w:rPr>
          <w:rFonts w:eastAsiaTheme="majorEastAsia"/>
        </w:rPr>
      </w:pPr>
      <m:oMathPara>
        <m:oMath>
          <m:r>
            <w:rPr>
              <w:rFonts w:ascii="Cambria Math" w:eastAsiaTheme="majorEastAsia" w:hAnsi="Cambria Math" w:cs="Times New Roman"/>
              <w:lang w:val="en-IN"/>
            </w:rPr>
            <m:t>NPV(</m:t>
          </m:r>
          <m:sSub>
            <m:sSubPr>
              <m:ctrlPr>
                <w:rPr>
                  <w:rFonts w:ascii="Cambria Math" w:eastAsiaTheme="majorEastAsia" w:hAnsi="Cambria Math" w:cs="Times New Roman"/>
                  <w:lang w:val="en-IN"/>
                </w:rPr>
              </m:ctrlPr>
            </m:sSubPr>
            <m:e>
              <m:r>
                <w:rPr>
                  <w:rFonts w:ascii="Cambria Math" w:eastAsiaTheme="majorEastAsia" w:hAnsi="Cambria Math" w:cs="Times New Roman"/>
                  <w:lang w:val="en-IN"/>
                </w:rPr>
                <m:t>C</m:t>
              </m:r>
            </m:e>
            <m:sub>
              <m:r>
                <w:rPr>
                  <w:rFonts w:ascii="Cambria Math" w:eastAsiaTheme="majorEastAsia" w:hAnsi="Cambria Math" w:cs="Times New Roman"/>
                  <w:lang w:val="en-IN"/>
                </w:rPr>
                <m:t>partial</m:t>
              </m:r>
            </m:sub>
          </m:sSub>
          <m:r>
            <w:rPr>
              <w:rFonts w:ascii="Cambria Math" w:eastAsiaTheme="majorEastAsia" w:hAnsi="Cambria Math" w:cs="Times New Roman"/>
              <w:lang w:val="en-IN"/>
            </w:rPr>
            <m:t>)=0.5625×742.48=417.65k</m:t>
          </m:r>
          <m:r>
            <m:rPr>
              <m:sty m:val="p"/>
            </m:rPr>
            <w:rPr>
              <w:rFonts w:eastAsiaTheme="majorEastAsia" w:cs="Times New Roman"/>
              <w:lang w:val="en-IN"/>
            </w:rPr>
            <w:br/>
          </m:r>
        </m:oMath>
      </m:oMathPara>
      <w:r w:rsidRPr="008653A8">
        <w:rPr>
          <w:rFonts w:eastAsiaTheme="majorEastAsia"/>
        </w:rPr>
        <w:t>Total NPV:</w:t>
      </w:r>
    </w:p>
    <w:p w14:paraId="1ECA4CB7" w14:textId="7F726CC4" w:rsidR="0038660E" w:rsidRPr="00577F2F" w:rsidRDefault="008653A8" w:rsidP="008653A8">
      <w:pPr>
        <w:rPr>
          <w:rFonts w:eastAsiaTheme="majorEastAsia" w:cs="Times New Roman"/>
          <w:lang w:val="en-IN"/>
        </w:rPr>
      </w:pPr>
      <m:oMathPara>
        <m:oMath>
          <m:r>
            <m:rPr>
              <m:nor/>
            </m:rPr>
            <w:rPr>
              <w:rFonts w:eastAsiaTheme="majorEastAsia" w:cs="Times New Roman"/>
              <w:lang w:val="en-IN"/>
            </w:rPr>
            <m:t>Total NPV</m:t>
          </m:r>
          <m:r>
            <w:rPr>
              <w:rFonts w:ascii="Cambria Math" w:eastAsiaTheme="majorEastAsia" w:hAnsi="Cambria Math" w:cs="Times New Roman"/>
              <w:lang w:val="en-IN"/>
            </w:rPr>
            <m:t>=643.17+792.23+417.65=</m:t>
          </m:r>
          <m:r>
            <m:rPr>
              <m:sty m:val="p"/>
            </m:rPr>
            <w:rPr>
              <w:rFonts w:ascii="Cambria Math" w:eastAsiaTheme="majorEastAsia" w:hAnsi="Cambria Math" w:cs="Times New Roman"/>
              <w:lang w:val="en-IN"/>
            </w:rPr>
            <m:t>1</m:t>
          </m:r>
          <m:r>
            <w:rPr>
              <w:rFonts w:ascii="Cambria Math" w:eastAsiaTheme="majorEastAsia" w:hAnsi="Cambria Math" w:cs="Times New Roman"/>
              <w:lang w:val="en-IN"/>
            </w:rPr>
            <m:t>,</m:t>
          </m:r>
          <m:r>
            <m:rPr>
              <m:sty m:val="p"/>
            </m:rPr>
            <w:rPr>
              <w:rFonts w:ascii="Cambria Math" w:eastAsiaTheme="majorEastAsia" w:hAnsi="Cambria Math" w:cs="Times New Roman"/>
              <w:lang w:val="en-IN"/>
            </w:rPr>
            <m:t>853.05k</m:t>
          </m:r>
          <m:r>
            <m:rPr>
              <m:sty m:val="p"/>
            </m:rPr>
            <w:rPr>
              <w:rFonts w:eastAsiaTheme="majorEastAsia" w:cs="Times New Roman"/>
              <w:lang w:val="en-IN"/>
            </w:rPr>
            <w:br/>
          </m:r>
        </m:oMath>
      </m:oMathPara>
    </w:p>
    <w:p w14:paraId="23182D1C" w14:textId="7E29FF0F" w:rsidR="009E4BC0" w:rsidRPr="00577F2F" w:rsidRDefault="008653A8" w:rsidP="008653A8">
      <w:pPr>
        <w:jc w:val="center"/>
        <w:rPr>
          <w:rFonts w:cs="Times New Roman"/>
          <w:lang w:val="en-IN"/>
        </w:rPr>
      </w:pPr>
      <w:r w:rsidRPr="008653A8">
        <w:rPr>
          <w:rFonts w:cs="Times New Roman"/>
        </w:rPr>
        <w:t>Total cost = </w:t>
      </w:r>
      <m:oMath>
        <m:r>
          <w:rPr>
            <w:rFonts w:ascii="Cambria Math" w:hAnsi="Cambria Math" w:cs="Times New Roman"/>
          </w:rPr>
          <m:t>600,000+1,000,000+900,000=2,500,000</m:t>
        </m:r>
      </m:oMath>
      <w:r w:rsidRPr="008653A8">
        <w:rPr>
          <w:rFonts w:cs="Times New Roman"/>
        </w:rPr>
        <w:t> (fully used).</w:t>
      </w:r>
    </w:p>
    <w:p w14:paraId="0D93B8D3" w14:textId="77777777" w:rsidR="008653A8" w:rsidRDefault="008653A8" w:rsidP="009E4BC0">
      <w:pPr>
        <w:rPr>
          <w:rFonts w:cs="Times New Roman"/>
          <w:lang w:val="en-IN"/>
        </w:rPr>
      </w:pPr>
      <w:r w:rsidRPr="008653A8">
        <w:rPr>
          <w:rFonts w:cs="Times New Roman"/>
          <w:lang w:val="en-IN"/>
        </w:rPr>
        <w:t>With a £2.5m capital limit and divisible projects, Westward Plc should undertake Option A and Option B in full, and 56.25% of Option C, which maximises value and delivers a total NPV of approximately £1.853 million.</w:t>
      </w:r>
    </w:p>
    <w:p w14:paraId="75F90FFF" w14:textId="4A58A2FF" w:rsidR="008653A8" w:rsidRPr="008653A8" w:rsidRDefault="008653A8" w:rsidP="008653A8">
      <w:pPr>
        <w:pStyle w:val="Heading1"/>
        <w:numPr>
          <w:ilvl w:val="0"/>
          <w:numId w:val="4"/>
        </w:numPr>
        <w:rPr>
          <w:lang w:val="en-IN"/>
        </w:rPr>
      </w:pPr>
      <w:bookmarkStart w:id="9" w:name="_Toc219014269"/>
      <w:r w:rsidRPr="008653A8">
        <w:rPr>
          <w:lang w:val="en-IN"/>
        </w:rPr>
        <w:t>Conclusion and Financing Recommendation</w:t>
      </w:r>
      <w:bookmarkEnd w:id="9"/>
    </w:p>
    <w:p w14:paraId="4BC1AFB5" w14:textId="7C030D45" w:rsidR="008653A8" w:rsidRPr="008653A8" w:rsidRDefault="003275E1" w:rsidP="008653A8">
      <w:pPr>
        <w:rPr>
          <w:rFonts w:cs="Times New Roman"/>
          <w:lang w:val="en-IN"/>
        </w:rPr>
      </w:pPr>
      <w:r w:rsidRPr="003275E1">
        <w:rPr>
          <w:rFonts w:cs="Times New Roman"/>
          <w:lang w:val="en-IN"/>
        </w:rPr>
        <w:t xml:space="preserve">The </w:t>
      </w:r>
      <w:r>
        <w:rPr>
          <w:rFonts w:cs="Times New Roman"/>
          <w:lang w:val="en-IN"/>
        </w:rPr>
        <w:t>proposed</w:t>
      </w:r>
      <w:r w:rsidRPr="003275E1">
        <w:rPr>
          <w:rFonts w:cs="Times New Roman"/>
          <w:lang w:val="en-IN"/>
        </w:rPr>
        <w:t xml:space="preserve"> investment plan will provide Westward Plc with the chance to increase its operations and enhance long-term profitability. Nevertheless, the success of the programme will not be simply a matter of choosing the appropriate investment choices, but rather a matter of choosing the relevant way of financing, which facilitates the financial stability and the value of shareholders. Internal financing is one of the greatest funds that Westward Plc can use since it has retained profits and cash reserves (Mehar, 2023). The primary benefit of internal funds is that such funds tend to be the most affordable source of funds since they do not require payment of interest or dilution of ownership. Internal funding also enables the company to control the business decisions in totality. </w:t>
      </w:r>
      <w:r>
        <w:rPr>
          <w:rFonts w:cs="Times New Roman"/>
          <w:lang w:val="en-IN"/>
        </w:rPr>
        <w:t>However, t</w:t>
      </w:r>
      <w:r w:rsidRPr="003275E1">
        <w:rPr>
          <w:rFonts w:cs="Times New Roman"/>
          <w:lang w:val="en-IN"/>
        </w:rPr>
        <w:t>he high dependence on internal capital can</w:t>
      </w:r>
      <w:r>
        <w:rPr>
          <w:rFonts w:cs="Times New Roman"/>
          <w:lang w:val="en-IN"/>
        </w:rPr>
        <w:t xml:space="preserve"> </w:t>
      </w:r>
      <w:r w:rsidRPr="003275E1">
        <w:rPr>
          <w:rFonts w:cs="Times New Roman"/>
          <w:lang w:val="en-IN"/>
        </w:rPr>
        <w:t>lower the level of liquidity and limit the capacity of the company to respond to unexpected cash demands or future investment opportunities. Debt financing</w:t>
      </w:r>
      <w:r>
        <w:rPr>
          <w:rFonts w:cs="Times New Roman"/>
          <w:lang w:val="en-IN"/>
        </w:rPr>
        <w:t>,</w:t>
      </w:r>
      <w:r w:rsidRPr="003275E1">
        <w:rPr>
          <w:rFonts w:cs="Times New Roman"/>
          <w:lang w:val="en-IN"/>
        </w:rPr>
        <w:t xml:space="preserve"> bank loans</w:t>
      </w:r>
      <w:r>
        <w:rPr>
          <w:rFonts w:cs="Times New Roman"/>
          <w:lang w:val="en-IN"/>
        </w:rPr>
        <w:t>,</w:t>
      </w:r>
      <w:r w:rsidRPr="003275E1">
        <w:rPr>
          <w:rFonts w:cs="Times New Roman"/>
          <w:lang w:val="en-IN"/>
        </w:rPr>
        <w:t xml:space="preserve"> or long-term borrowing is another valuable source of finance (Corporate Finance Institute, 2022). Debt finance also enables Westward Plc to finance its investment without relinquishing ownership and control. The payment of interest on debts is also deductible </w:t>
      </w:r>
      <w:r>
        <w:rPr>
          <w:rFonts w:cs="Times New Roman"/>
          <w:lang w:val="en-IN"/>
        </w:rPr>
        <w:t>from taxes,</w:t>
      </w:r>
      <w:r w:rsidRPr="003275E1">
        <w:rPr>
          <w:rFonts w:cs="Times New Roman"/>
          <w:lang w:val="en-IN"/>
        </w:rPr>
        <w:t xml:space="preserve"> and this makes the total cost of the borrowing cheaper. Nonetheless, debt brings about financial risks, because there is an obligation to pay interest and principal even when there is poor performance in the business. Borrowing more than required may strain cash flows and expose the company to financial distress</w:t>
      </w:r>
      <w:r>
        <w:rPr>
          <w:rFonts w:cs="Times New Roman"/>
          <w:lang w:val="en-IN"/>
        </w:rPr>
        <w:t>,</w:t>
      </w:r>
      <w:r w:rsidRPr="003275E1">
        <w:rPr>
          <w:rFonts w:cs="Times New Roman"/>
          <w:lang w:val="en-IN"/>
        </w:rPr>
        <w:t xml:space="preserve"> especially where the cash flows in the future are not as expected. Another potential solution is equity financing, which is the </w:t>
      </w:r>
      <w:r>
        <w:rPr>
          <w:rFonts w:cs="Times New Roman"/>
          <w:lang w:val="en-IN"/>
        </w:rPr>
        <w:t>issuance</w:t>
      </w:r>
      <w:r w:rsidRPr="003275E1">
        <w:rPr>
          <w:rFonts w:cs="Times New Roman"/>
          <w:lang w:val="en-IN"/>
        </w:rPr>
        <w:t xml:space="preserve"> of new shares. The major benefit of equity finance is that no fixed repayments are to be made, which </w:t>
      </w:r>
      <w:r>
        <w:rPr>
          <w:rFonts w:cs="Times New Roman"/>
          <w:lang w:val="en-IN"/>
        </w:rPr>
        <w:t>does</w:t>
      </w:r>
      <w:r w:rsidRPr="003275E1">
        <w:rPr>
          <w:rFonts w:cs="Times New Roman"/>
          <w:lang w:val="en-IN"/>
        </w:rPr>
        <w:t xml:space="preserve"> not strain the cash </w:t>
      </w:r>
      <w:r w:rsidRPr="003275E1">
        <w:rPr>
          <w:rFonts w:cs="Times New Roman"/>
          <w:lang w:val="en-IN"/>
        </w:rPr>
        <w:lastRenderedPageBreak/>
        <w:t xml:space="preserve">flows. It also enhances the gearing position of the company and the balance sheet is reinforced. But it dilutes the shareholders when new shares are issued (Corporate Finance Institute, 2022) and can lower the earnings per share. Equity finance is also costly compared to debt and may portray </w:t>
      </w:r>
      <w:r>
        <w:rPr>
          <w:rFonts w:cs="Times New Roman"/>
          <w:lang w:val="en-IN"/>
        </w:rPr>
        <w:t xml:space="preserve">a </w:t>
      </w:r>
      <w:r w:rsidRPr="003275E1">
        <w:rPr>
          <w:rFonts w:cs="Times New Roman"/>
          <w:lang w:val="en-IN"/>
        </w:rPr>
        <w:t xml:space="preserve">negative message to the market in case the investors feel that the company cannot finance the project internally. It is advisable, therefore, that the financing approach is balanced. Westward Plc ought to make maximum use of internal financing, which is to be supplemented by </w:t>
      </w:r>
      <w:r>
        <w:rPr>
          <w:rFonts w:cs="Times New Roman"/>
          <w:lang w:val="en-IN"/>
        </w:rPr>
        <w:t xml:space="preserve">a </w:t>
      </w:r>
      <w:r w:rsidRPr="003275E1">
        <w:rPr>
          <w:rFonts w:cs="Times New Roman"/>
          <w:lang w:val="en-IN"/>
        </w:rPr>
        <w:t xml:space="preserve">moderate amount of debt financing. This would enable the company to take advantage of the low-cost internal financing and take advantage of the tax advantages of debt without generating a large amount of financial risk. Equity financing is only to be used in case there is </w:t>
      </w:r>
      <w:r>
        <w:rPr>
          <w:rFonts w:cs="Times New Roman"/>
          <w:lang w:val="en-IN"/>
        </w:rPr>
        <w:t xml:space="preserve">an </w:t>
      </w:r>
      <w:r w:rsidRPr="003275E1">
        <w:rPr>
          <w:rFonts w:cs="Times New Roman"/>
          <w:lang w:val="en-IN"/>
        </w:rPr>
        <w:t>inadequacy of internal funds and debt capacity</w:t>
      </w:r>
      <w:r w:rsidR="008653A8" w:rsidRPr="008653A8">
        <w:rPr>
          <w:rFonts w:cs="Times New Roman"/>
          <w:lang w:val="en-IN"/>
        </w:rPr>
        <w:t>.</w:t>
      </w:r>
    </w:p>
    <w:p w14:paraId="0486EFD9" w14:textId="77777777" w:rsidR="00034F33" w:rsidRDefault="00034F33">
      <w:pPr>
        <w:spacing w:line="259" w:lineRule="auto"/>
        <w:jc w:val="left"/>
        <w:rPr>
          <w:rFonts w:ascii="Cambria" w:eastAsiaTheme="majorEastAsia" w:hAnsi="Cambria" w:cstheme="majorBidi"/>
          <w:b/>
          <w:color w:val="0F4761" w:themeColor="accent1" w:themeShade="BF"/>
          <w:sz w:val="28"/>
          <w:szCs w:val="32"/>
          <w:lang w:val="en-IN"/>
        </w:rPr>
      </w:pPr>
      <w:r>
        <w:rPr>
          <w:lang w:val="en-IN"/>
        </w:rPr>
        <w:br w:type="page"/>
      </w:r>
    </w:p>
    <w:p w14:paraId="01FA6AA7" w14:textId="0C03B016" w:rsidR="008653A8" w:rsidRDefault="008653A8" w:rsidP="008653A8">
      <w:pPr>
        <w:pStyle w:val="Heading1"/>
        <w:rPr>
          <w:lang w:val="en-IN"/>
        </w:rPr>
      </w:pPr>
      <w:bookmarkStart w:id="10" w:name="_Toc219014270"/>
      <w:r>
        <w:rPr>
          <w:lang w:val="en-IN"/>
        </w:rPr>
        <w:lastRenderedPageBreak/>
        <w:t>References</w:t>
      </w:r>
      <w:bookmarkEnd w:id="10"/>
      <w:r>
        <w:rPr>
          <w:lang w:val="en-IN"/>
        </w:rPr>
        <w:t xml:space="preserve"> </w:t>
      </w:r>
    </w:p>
    <w:p w14:paraId="79B8ED85" w14:textId="77777777" w:rsidR="00034F33" w:rsidRDefault="00034F33" w:rsidP="00034F33">
      <w:pPr>
        <w:pStyle w:val="NormalWeb"/>
        <w:spacing w:before="0" w:beforeAutospacing="0" w:after="240" w:afterAutospacing="0" w:line="360" w:lineRule="auto"/>
      </w:pPr>
      <w:r>
        <w:t xml:space="preserve">Abdullahi, M., umar, Y. and Muhammed, junaid (2016). </w:t>
      </w:r>
      <w:r>
        <w:rPr>
          <w:i/>
          <w:iCs/>
        </w:rPr>
        <w:t>Reckitt Benckiser Marketing Strategies</w:t>
      </w:r>
      <w:r>
        <w:t>. [online] Available at: https://www.researchgate.net/publication/361758221_Reckitt_Benckiser_Marketing_Strategies.</w:t>
      </w:r>
    </w:p>
    <w:p w14:paraId="467D0486" w14:textId="77777777" w:rsidR="00034F33" w:rsidRDefault="00034F33" w:rsidP="00034F33">
      <w:pPr>
        <w:pStyle w:val="NormalWeb"/>
        <w:spacing w:before="0" w:beforeAutospacing="0" w:after="240" w:afterAutospacing="0" w:line="360" w:lineRule="auto"/>
      </w:pPr>
      <w:r>
        <w:t xml:space="preserve">Akinpelu Moyosoluwa AWODIRE, Kabiru Olatoye AGBOOLA, Temitope Olanrewaju OGUNDOJUTIMI and Olukoya Olanrewaju ODUMUWAGUN (2023). Capital Budgeting and Financial Investment Appraisal: A Review of Archival Literature. </w:t>
      </w:r>
      <w:r>
        <w:rPr>
          <w:i/>
          <w:iCs/>
        </w:rPr>
        <w:t>American Journal of Multidisciplinary Research in Africa</w:t>
      </w:r>
      <w:r>
        <w:t>, 3(5). doi:https://doi.org/10.58314/uuhyt2.</w:t>
      </w:r>
    </w:p>
    <w:p w14:paraId="4523503C" w14:textId="77777777" w:rsidR="00034F33" w:rsidRDefault="00034F33" w:rsidP="00034F33">
      <w:pPr>
        <w:pStyle w:val="NormalWeb"/>
        <w:spacing w:before="0" w:beforeAutospacing="0" w:after="240" w:afterAutospacing="0" w:line="360" w:lineRule="auto"/>
      </w:pPr>
      <w:r>
        <w:t xml:space="preserve">Bancel, F. and Mittoo, U.R. (2011). Financial flexibility and the impact of the global financial crisis. </w:t>
      </w:r>
      <w:r>
        <w:rPr>
          <w:i/>
          <w:iCs/>
        </w:rPr>
        <w:t>International Journal of Managerial Finance</w:t>
      </w:r>
      <w:r>
        <w:t>, 7(2), pp.179–216. doi:https://doi.org/10.1108/17439131111122157.</w:t>
      </w:r>
    </w:p>
    <w:p w14:paraId="76C9F98A" w14:textId="77777777" w:rsidR="00034F33" w:rsidRDefault="00034F33" w:rsidP="00034F33">
      <w:pPr>
        <w:pStyle w:val="NormalWeb"/>
        <w:spacing w:before="0" w:beforeAutospacing="0" w:after="240" w:afterAutospacing="0" w:line="360" w:lineRule="auto"/>
      </w:pPr>
      <w:r>
        <w:t xml:space="preserve">Barnabas, B. and Oloyede, J. (2025). Cash Flow Optimization: Strategies for Enhancing Short-Term Liquidity. </w:t>
      </w:r>
      <w:r>
        <w:rPr>
          <w:i/>
          <w:iCs/>
        </w:rPr>
        <w:t>Cash Flow Optimization: Strategies for Enhancing Short-Term Liquidity</w:t>
      </w:r>
      <w:r>
        <w:t>. [online] doi:https://doi.org/10.2139/ssrn.5004465.</w:t>
      </w:r>
    </w:p>
    <w:p w14:paraId="3D772AFA" w14:textId="77777777" w:rsidR="00034F33" w:rsidRDefault="00034F33" w:rsidP="00034F33">
      <w:pPr>
        <w:pStyle w:val="NormalWeb"/>
        <w:spacing w:before="0" w:beforeAutospacing="0" w:after="240" w:afterAutospacing="0" w:line="360" w:lineRule="auto"/>
      </w:pPr>
      <w:r>
        <w:t xml:space="preserve">Bloomenthal, A. (2025). </w:t>
      </w:r>
      <w:r>
        <w:rPr>
          <w:i/>
          <w:iCs/>
        </w:rPr>
        <w:t>Financial Ratio Analysis: Definition, Types, Examples, and How to Use</w:t>
      </w:r>
      <w:r>
        <w:t>. [online] Investopedia. Available at: https://www.investopedia.com/terms/r/ratioanalysis.asp.</w:t>
      </w:r>
    </w:p>
    <w:p w14:paraId="1FB89ECD" w14:textId="77777777" w:rsidR="00034F33" w:rsidRDefault="00034F33" w:rsidP="00034F33">
      <w:pPr>
        <w:pStyle w:val="NormalWeb"/>
        <w:spacing w:before="0" w:beforeAutospacing="0" w:after="240" w:afterAutospacing="0" w:line="360" w:lineRule="auto"/>
      </w:pPr>
      <w:r>
        <w:t xml:space="preserve">CFI (2020). </w:t>
      </w:r>
      <w:r>
        <w:rPr>
          <w:i/>
          <w:iCs/>
        </w:rPr>
        <w:t>Liquidity Ratio</w:t>
      </w:r>
      <w:r>
        <w:t>. [online] Corporate Finance Institute. Available at: https://corporatefinanceinstitute.com/resources/accounting/liquidity-ratio/.</w:t>
      </w:r>
    </w:p>
    <w:p w14:paraId="08B0DA1F" w14:textId="77777777" w:rsidR="00034F33" w:rsidRDefault="00034F33" w:rsidP="00034F33">
      <w:pPr>
        <w:pStyle w:val="NormalWeb"/>
        <w:spacing w:before="0" w:beforeAutospacing="0" w:after="240" w:afterAutospacing="0" w:line="360" w:lineRule="auto"/>
      </w:pPr>
      <w:r>
        <w:t xml:space="preserve">CFI (2022). </w:t>
      </w:r>
      <w:r>
        <w:rPr>
          <w:i/>
          <w:iCs/>
        </w:rPr>
        <w:t>Efficiency Ratios</w:t>
      </w:r>
      <w:r>
        <w:t>. [online] Corporate Finance Institute. Available at: https://corporatefinanceinstitute.com/resources/accounting/efficiency-ratios/.</w:t>
      </w:r>
    </w:p>
    <w:p w14:paraId="03AC7ADB" w14:textId="77777777" w:rsidR="00034F33" w:rsidRDefault="00034F33" w:rsidP="00034F33">
      <w:pPr>
        <w:pStyle w:val="NormalWeb"/>
        <w:spacing w:before="0" w:beforeAutospacing="0" w:after="240" w:afterAutospacing="0" w:line="360" w:lineRule="auto"/>
      </w:pPr>
      <w:r>
        <w:t xml:space="preserve">CFI Team (2025). </w:t>
      </w:r>
      <w:r>
        <w:rPr>
          <w:i/>
          <w:iCs/>
        </w:rPr>
        <w:t>Limitations of Ratio Analysis</w:t>
      </w:r>
      <w:r>
        <w:t>. [online] Corporate Finance Institute. Available at: https://corporatefinanceinstitute.com/resources/accounting/limitations-ratio-analysis/.</w:t>
      </w:r>
    </w:p>
    <w:p w14:paraId="0AF1E1C1" w14:textId="77777777" w:rsidR="00034F33" w:rsidRDefault="00034F33" w:rsidP="00034F33">
      <w:pPr>
        <w:pStyle w:val="NormalWeb"/>
        <w:spacing w:before="0" w:beforeAutospacing="0" w:after="240" w:afterAutospacing="0" w:line="360" w:lineRule="auto"/>
      </w:pPr>
      <w:r>
        <w:t xml:space="preserve">Corporate Finance Institute (2022). </w:t>
      </w:r>
      <w:r>
        <w:rPr>
          <w:i/>
          <w:iCs/>
        </w:rPr>
        <w:t>Sources of Funding</w:t>
      </w:r>
      <w:r>
        <w:t>. [online] Corporate Finance Institute. Available at: https://corporatefinanceinstitute.com/resources/accounting/sources-of-funding/.</w:t>
      </w:r>
    </w:p>
    <w:p w14:paraId="7C6E5372" w14:textId="77777777" w:rsidR="00034F33" w:rsidRDefault="00034F33" w:rsidP="00034F33">
      <w:pPr>
        <w:pStyle w:val="NormalWeb"/>
        <w:spacing w:before="0" w:beforeAutospacing="0" w:after="240" w:afterAutospacing="0" w:line="360" w:lineRule="auto"/>
      </w:pPr>
      <w:r>
        <w:lastRenderedPageBreak/>
        <w:t xml:space="preserve">Corporate Finance Institute (2025). </w:t>
      </w:r>
      <w:r>
        <w:rPr>
          <w:i/>
          <w:iCs/>
        </w:rPr>
        <w:t>Net Present Value (NPV)</w:t>
      </w:r>
      <w:r>
        <w:t>. [online] Corporate Finance Institute. Available at: https://corporatefinanceinstitute.com/resources/valuation/net-present-value-npv/.</w:t>
      </w:r>
    </w:p>
    <w:p w14:paraId="2F842E4E" w14:textId="77777777" w:rsidR="00034F33" w:rsidRDefault="00034F33" w:rsidP="00034F33">
      <w:pPr>
        <w:pStyle w:val="NormalWeb"/>
        <w:spacing w:before="0" w:beforeAutospacing="0" w:after="240" w:afterAutospacing="0" w:line="360" w:lineRule="auto"/>
      </w:pPr>
      <w:r>
        <w:t xml:space="preserve">Dai, H., Li, N., Wang, Y. and Zhao, X. (2022). </w:t>
      </w:r>
      <w:r>
        <w:rPr>
          <w:i/>
          <w:iCs/>
        </w:rPr>
        <w:t>The Analysis of Three Main Investment Criteria: NPV IRR and Payback Period</w:t>
      </w:r>
      <w:r>
        <w:t>. [online] Advances in Economics, Business and Management Research. doi:https://doi.org/10.2991/aebmr.k.220307.028.</w:t>
      </w:r>
    </w:p>
    <w:p w14:paraId="7CF143C5" w14:textId="77777777" w:rsidR="00034F33" w:rsidRDefault="00034F33" w:rsidP="00034F33">
      <w:pPr>
        <w:pStyle w:val="NormalWeb"/>
        <w:spacing w:before="0" w:beforeAutospacing="0" w:after="240" w:afterAutospacing="0" w:line="360" w:lineRule="auto"/>
      </w:pPr>
      <w:r>
        <w:t xml:space="preserve">Dainelli, F., Bet, G. and Fabrizi, E. (2024). The financial health of a company and the risk of its default: Back to the future. </w:t>
      </w:r>
      <w:r>
        <w:rPr>
          <w:i/>
          <w:iCs/>
        </w:rPr>
        <w:t>International Review of Financial Analysis</w:t>
      </w:r>
      <w:r>
        <w:t>, [online] 95, pp.103449–103449. doi:https://doi.org/10.1016/j.irfa.2024.103449.</w:t>
      </w:r>
    </w:p>
    <w:p w14:paraId="4EC1C9D0" w14:textId="77777777" w:rsidR="00034F33" w:rsidRDefault="00034F33" w:rsidP="00034F33">
      <w:pPr>
        <w:pStyle w:val="NormalWeb"/>
        <w:spacing w:before="0" w:beforeAutospacing="0" w:after="240" w:afterAutospacing="0" w:line="360" w:lineRule="auto"/>
      </w:pPr>
      <w:r>
        <w:t xml:space="preserve">Damoah, I.S., Sha’ven, W.B., Tauringana, V. and Tingbani, I. (2020). Working capital management and financial performance of UK listed firms: a contingency approach. </w:t>
      </w:r>
      <w:r>
        <w:rPr>
          <w:i/>
          <w:iCs/>
        </w:rPr>
        <w:t>International Journal of Banking, Accounting and Finance</w:t>
      </w:r>
      <w:r>
        <w:t>, 11(2), p.173. doi:https://doi.org/10.1504/ijbaaf.2020.10028048.</w:t>
      </w:r>
    </w:p>
    <w:p w14:paraId="7B68041B" w14:textId="77777777" w:rsidR="00034F33" w:rsidRDefault="00034F33" w:rsidP="00034F33">
      <w:pPr>
        <w:pStyle w:val="NormalWeb"/>
        <w:spacing w:before="0" w:beforeAutospacing="0" w:after="240" w:afterAutospacing="0" w:line="360" w:lineRule="auto"/>
      </w:pPr>
      <w:r>
        <w:t xml:space="preserve">Fernández, D.L. and Oliver, M. (2025). Methodology, strategies, and Factors for Business Innovation in Large Companies. </w:t>
      </w:r>
      <w:r>
        <w:rPr>
          <w:i/>
          <w:iCs/>
        </w:rPr>
        <w:t>International Journal of Innovation Studies</w:t>
      </w:r>
      <w:r>
        <w:t>, [online] 9(2). doi:https://doi.org/10.1016/j.ijis.2025.02.002.</w:t>
      </w:r>
    </w:p>
    <w:p w14:paraId="60726DF4" w14:textId="77777777" w:rsidR="00034F33" w:rsidRDefault="00034F33" w:rsidP="00034F33">
      <w:pPr>
        <w:pStyle w:val="NormalWeb"/>
        <w:spacing w:before="0" w:beforeAutospacing="0" w:after="240" w:afterAutospacing="0" w:line="360" w:lineRule="auto"/>
      </w:pPr>
      <w:r>
        <w:t xml:space="preserve">Fernando, J. (2024). </w:t>
      </w:r>
      <w:r>
        <w:rPr>
          <w:i/>
          <w:iCs/>
        </w:rPr>
        <w:t>Debt-to-Equity (D/E) Ratio Formula and How to Interpret It</w:t>
      </w:r>
      <w:r>
        <w:t>. [online] Investopedia. Available at: https://www.investopedia.com/terms/d/debtequityratio.asp.</w:t>
      </w:r>
    </w:p>
    <w:p w14:paraId="20F10415" w14:textId="77777777" w:rsidR="00034F33" w:rsidRDefault="00034F33" w:rsidP="00034F33">
      <w:pPr>
        <w:pStyle w:val="NormalWeb"/>
        <w:spacing w:before="0" w:beforeAutospacing="0" w:after="240" w:afterAutospacing="0" w:line="360" w:lineRule="auto"/>
      </w:pPr>
      <w:r>
        <w:t xml:space="preserve">Fernando, J. (2025a). </w:t>
      </w:r>
      <w:r>
        <w:rPr>
          <w:i/>
          <w:iCs/>
        </w:rPr>
        <w:t>Current Ratio Explained with Formula and Examples</w:t>
      </w:r>
      <w:r>
        <w:t>. [online] Investopedia. Available at: https://www.investopedia.com/terms/c/currentratio.asp.</w:t>
      </w:r>
    </w:p>
    <w:p w14:paraId="59365652" w14:textId="77777777" w:rsidR="00034F33" w:rsidRDefault="00034F33" w:rsidP="00034F33">
      <w:pPr>
        <w:pStyle w:val="NormalWeb"/>
        <w:spacing w:before="0" w:beforeAutospacing="0" w:after="240" w:afterAutospacing="0" w:line="360" w:lineRule="auto"/>
      </w:pPr>
      <w:r>
        <w:t xml:space="preserve">Fernando, J. (2025b). </w:t>
      </w:r>
      <w:r>
        <w:rPr>
          <w:i/>
          <w:iCs/>
        </w:rPr>
        <w:t>Internal Rate of Return (IRR): Formula and Examples</w:t>
      </w:r>
      <w:r>
        <w:t>. [online] Investopedia. Available at: https://www.investopedia.com/terms/i/irr.asp.</w:t>
      </w:r>
    </w:p>
    <w:p w14:paraId="149A6694" w14:textId="77777777" w:rsidR="00034F33" w:rsidRDefault="00034F33" w:rsidP="00034F33">
      <w:pPr>
        <w:pStyle w:val="NormalWeb"/>
        <w:spacing w:before="0" w:beforeAutospacing="0" w:after="240" w:afterAutospacing="0" w:line="360" w:lineRule="auto"/>
      </w:pPr>
      <w:r>
        <w:t xml:space="preserve">FESI (2024). </w:t>
      </w:r>
      <w:r>
        <w:rPr>
          <w:i/>
          <w:iCs/>
        </w:rPr>
        <w:t>Private sector sporting goods and fitness industries call for urgent and coordinated action to address growing physical inactivity crisis | FESI</w:t>
      </w:r>
      <w:r>
        <w:t>. [online] Fesi-sport.org. Available at: https://fesi-sport.org/private-sector-sporting-goods-and-fitness-industries-call-for-urgent-and-coordinated-action-to-address-growing-physical-inactivity-crisis/.</w:t>
      </w:r>
    </w:p>
    <w:p w14:paraId="025DE6A1" w14:textId="77777777" w:rsidR="00034F33" w:rsidRDefault="00034F33" w:rsidP="00034F33">
      <w:pPr>
        <w:pStyle w:val="NormalWeb"/>
        <w:spacing w:before="0" w:beforeAutospacing="0" w:after="240" w:afterAutospacing="0" w:line="360" w:lineRule="auto"/>
      </w:pPr>
      <w:r>
        <w:lastRenderedPageBreak/>
        <w:t xml:space="preserve">Ganti, A. (2020). </w:t>
      </w:r>
      <w:r>
        <w:rPr>
          <w:i/>
          <w:iCs/>
        </w:rPr>
        <w:t>Basic Earnings Per Share (EPS) Definition</w:t>
      </w:r>
      <w:r>
        <w:t>. [online] Investopedia. Available at: https://www.investopedia.com/terms/b/basic-earnings-per-share.asp.</w:t>
      </w:r>
    </w:p>
    <w:p w14:paraId="67655E11" w14:textId="77777777" w:rsidR="00034F33" w:rsidRDefault="00034F33" w:rsidP="00034F33">
      <w:pPr>
        <w:pStyle w:val="NormalWeb"/>
        <w:spacing w:before="0" w:beforeAutospacing="0" w:after="240" w:afterAutospacing="0" w:line="360" w:lineRule="auto"/>
      </w:pPr>
      <w:r>
        <w:t xml:space="preserve">Hargrave, M. (2025). </w:t>
      </w:r>
      <w:r>
        <w:rPr>
          <w:i/>
          <w:iCs/>
        </w:rPr>
        <w:t>Return on Assets (ROA) Ratio and Profitability</w:t>
      </w:r>
      <w:r>
        <w:t>. [online] Investopedia. Available at: https://www.investopedia.com/terms/r/returnonassets.asp.</w:t>
      </w:r>
    </w:p>
    <w:p w14:paraId="36D69921" w14:textId="77777777" w:rsidR="00034F33" w:rsidRDefault="00034F33" w:rsidP="00034F33">
      <w:pPr>
        <w:pStyle w:val="NormalWeb"/>
        <w:spacing w:before="0" w:beforeAutospacing="0" w:after="240" w:afterAutospacing="0" w:line="360" w:lineRule="auto"/>
      </w:pPr>
      <w:r>
        <w:t xml:space="preserve">Hayes, A. (2019). </w:t>
      </w:r>
      <w:r>
        <w:rPr>
          <w:i/>
          <w:iCs/>
        </w:rPr>
        <w:t>What Is Financial Leverage, and Why Is It Important?</w:t>
      </w:r>
      <w:r>
        <w:t xml:space="preserve"> [online] Investopedia. Available at: https://www.investopedia.com/terms/l/leverage.asp.</w:t>
      </w:r>
    </w:p>
    <w:p w14:paraId="61BD677F" w14:textId="77777777" w:rsidR="00034F33" w:rsidRDefault="00034F33" w:rsidP="00034F33">
      <w:pPr>
        <w:pStyle w:val="NormalWeb"/>
        <w:spacing w:before="0" w:beforeAutospacing="0" w:after="240" w:afterAutospacing="0" w:line="360" w:lineRule="auto"/>
      </w:pPr>
      <w:r>
        <w:t xml:space="preserve">Hayes, A. (2020). </w:t>
      </w:r>
      <w:r>
        <w:rPr>
          <w:i/>
          <w:iCs/>
        </w:rPr>
        <w:t>Why the Interest Coverage Ratio Matters</w:t>
      </w:r>
      <w:r>
        <w:t>. [online] Investopedia. Available at: https://www.investopedia.com/terms/i/interestcoverageratio.asp.</w:t>
      </w:r>
    </w:p>
    <w:p w14:paraId="3A384B2E" w14:textId="77777777" w:rsidR="00034F33" w:rsidRDefault="00034F33" w:rsidP="00034F33">
      <w:pPr>
        <w:pStyle w:val="NormalWeb"/>
        <w:spacing w:before="0" w:beforeAutospacing="0" w:after="240" w:afterAutospacing="0" w:line="360" w:lineRule="auto"/>
      </w:pPr>
      <w:r>
        <w:t xml:space="preserve">Hayes, A. (2021). </w:t>
      </w:r>
      <w:r>
        <w:rPr>
          <w:i/>
          <w:iCs/>
        </w:rPr>
        <w:t>What Is the Asset Turnover Ratio?</w:t>
      </w:r>
      <w:r>
        <w:t xml:space="preserve"> [online] Investopedia. Available at: https://www.investopedia.com/terms/a/assetturnover.asp.</w:t>
      </w:r>
    </w:p>
    <w:p w14:paraId="1CA8E799" w14:textId="77777777" w:rsidR="00034F33" w:rsidRDefault="00034F33" w:rsidP="00034F33">
      <w:pPr>
        <w:pStyle w:val="NormalWeb"/>
        <w:spacing w:before="0" w:beforeAutospacing="0" w:after="240" w:afterAutospacing="0" w:line="360" w:lineRule="auto"/>
      </w:pPr>
      <w:r>
        <w:t xml:space="preserve">Hayes, A. (2025). </w:t>
      </w:r>
      <w:r>
        <w:rPr>
          <w:i/>
          <w:iCs/>
        </w:rPr>
        <w:t>Operating Margin: What It Is and the Formula for Calculating It, With Examples</w:t>
      </w:r>
      <w:r>
        <w:t>. [online] Investopedia. Available at: https://www.investopedia.com/terms/o/operatingmargin.asp.</w:t>
      </w:r>
    </w:p>
    <w:p w14:paraId="16C9A1CA" w14:textId="77777777" w:rsidR="00034F33" w:rsidRDefault="00034F33" w:rsidP="00034F33">
      <w:pPr>
        <w:pStyle w:val="NormalWeb"/>
        <w:spacing w:before="0" w:beforeAutospacing="0" w:after="240" w:afterAutospacing="0" w:line="360" w:lineRule="auto"/>
      </w:pPr>
      <w:r>
        <w:t xml:space="preserve">Heliani Heliani, Herdina, V. and Taofik Muhammad Gumelar (2024). Analysis of factors affecting company value with EPS as a moderation variable. </w:t>
      </w:r>
      <w:r>
        <w:rPr>
          <w:i/>
          <w:iCs/>
        </w:rPr>
        <w:t>Journal of Contemporary Accounting</w:t>
      </w:r>
      <w:r>
        <w:t>, [online] pp.53–67. doi:https://doi.org/10.20885/jca.vol6.iss1.art5.</w:t>
      </w:r>
    </w:p>
    <w:p w14:paraId="5050879E" w14:textId="77777777" w:rsidR="00034F33" w:rsidRDefault="00034F33" w:rsidP="00034F33">
      <w:pPr>
        <w:pStyle w:val="NormalWeb"/>
        <w:spacing w:before="0" w:beforeAutospacing="0" w:after="240" w:afterAutospacing="0" w:line="360" w:lineRule="auto"/>
      </w:pPr>
      <w:r>
        <w:t xml:space="preserve">Highradius (2022). </w:t>
      </w:r>
      <w:r>
        <w:rPr>
          <w:i/>
          <w:iCs/>
        </w:rPr>
        <w:t>What is Accounts Receivable Days?[with Formula &amp; Calculation]</w:t>
      </w:r>
      <w:r>
        <w:t>. [online] highradius. Available at: https://www.highradius.com/resources/Blog/accounts-receivable-days/.</w:t>
      </w:r>
    </w:p>
    <w:p w14:paraId="3C6F8BF2" w14:textId="77777777" w:rsidR="00034F33" w:rsidRDefault="00034F33" w:rsidP="00034F33">
      <w:pPr>
        <w:pStyle w:val="NormalWeb"/>
        <w:spacing w:before="0" w:beforeAutospacing="0" w:after="240" w:afterAutospacing="0" w:line="360" w:lineRule="auto"/>
      </w:pPr>
      <w:r>
        <w:t xml:space="preserve">Illés, M. (2012). </w:t>
      </w:r>
      <w:r>
        <w:rPr>
          <w:i/>
          <w:iCs/>
        </w:rPr>
        <w:t>(PDF) Links Between Net Present Value and Shareholder Value from a Business Economics Perspective</w:t>
      </w:r>
      <w:r>
        <w:t>. [online] ResearchGate. Available at: https://www.researchgate.net/publication/262181448_Links_Between_Net_Present_Value_and_Shareholder_Value_from_a_Business_Economics_Perspective.</w:t>
      </w:r>
    </w:p>
    <w:p w14:paraId="1E588AB3" w14:textId="77777777" w:rsidR="00034F33" w:rsidRDefault="00034F33" w:rsidP="00034F33">
      <w:pPr>
        <w:pStyle w:val="NormalWeb"/>
        <w:spacing w:before="0" w:beforeAutospacing="0" w:after="240" w:afterAutospacing="0" w:line="360" w:lineRule="auto"/>
      </w:pPr>
      <w:r>
        <w:t xml:space="preserve">Investing.com (2024). </w:t>
      </w:r>
      <w:r>
        <w:rPr>
          <w:i/>
          <w:iCs/>
        </w:rPr>
        <w:t>Reckitt Benckiser Stock Price History - Investing.com</w:t>
      </w:r>
      <w:r>
        <w:t>. [online] Investing.com. Available at: https://www.investing.com/equities/reckitt-benckiser-historical-data.</w:t>
      </w:r>
    </w:p>
    <w:p w14:paraId="45CDA8F4" w14:textId="77777777" w:rsidR="00034F33" w:rsidRDefault="00034F33" w:rsidP="00034F33">
      <w:pPr>
        <w:pStyle w:val="NormalWeb"/>
        <w:spacing w:before="0" w:beforeAutospacing="0" w:after="240" w:afterAutospacing="0" w:line="360" w:lineRule="auto"/>
      </w:pPr>
      <w:r>
        <w:lastRenderedPageBreak/>
        <w:t xml:space="preserve">Investopedia (2021). </w:t>
      </w:r>
      <w:r>
        <w:rPr>
          <w:i/>
          <w:iCs/>
        </w:rPr>
        <w:t>How Can a Company Improve Its Net Margin?</w:t>
      </w:r>
      <w:r>
        <w:t xml:space="preserve"> [online] Investopedia. Available at: https://www.investopedia.com/ask/answers/040215/what-are-best-ways-company-improve-its-net-margin.asp.</w:t>
      </w:r>
    </w:p>
    <w:p w14:paraId="7DD76DC1" w14:textId="77777777" w:rsidR="00034F33" w:rsidRDefault="00034F33" w:rsidP="00034F33">
      <w:pPr>
        <w:pStyle w:val="NormalWeb"/>
        <w:spacing w:before="0" w:beforeAutospacing="0" w:after="240" w:afterAutospacing="0" w:line="360" w:lineRule="auto"/>
      </w:pPr>
      <w:r>
        <w:t xml:space="preserve">Kenton, W. (2022). </w:t>
      </w:r>
      <w:r>
        <w:rPr>
          <w:i/>
          <w:iCs/>
        </w:rPr>
        <w:t>Efficiency Ratio: Definition, Formula, and Example</w:t>
      </w:r>
      <w:r>
        <w:t>. [online] Investopedia. Available at: https://www.investopedia.com/terms/e/efficiencyratio.asp.</w:t>
      </w:r>
    </w:p>
    <w:p w14:paraId="4C9A9281" w14:textId="77777777" w:rsidR="00034F33" w:rsidRDefault="00034F33" w:rsidP="00034F33">
      <w:pPr>
        <w:pStyle w:val="NormalWeb"/>
        <w:spacing w:before="0" w:beforeAutospacing="0" w:after="240" w:afterAutospacing="0" w:line="360" w:lineRule="auto"/>
      </w:pPr>
      <w:r>
        <w:t xml:space="preserve">Kenton, W. (2024). </w:t>
      </w:r>
      <w:r>
        <w:rPr>
          <w:i/>
          <w:iCs/>
        </w:rPr>
        <w:t>How the Gearing Ratio Works</w:t>
      </w:r>
      <w:r>
        <w:t>. [online] Investopedia. Available at: https://www.investopedia.com/terms/g/gearingratio.asp.</w:t>
      </w:r>
    </w:p>
    <w:p w14:paraId="60F32F69" w14:textId="77777777" w:rsidR="00034F33" w:rsidRDefault="00034F33" w:rsidP="00034F33">
      <w:pPr>
        <w:pStyle w:val="NormalWeb"/>
        <w:spacing w:before="0" w:beforeAutospacing="0" w:after="240" w:afterAutospacing="0" w:line="360" w:lineRule="auto"/>
      </w:pPr>
      <w:r>
        <w:t xml:space="preserve">Lin, J., Dong, J. and Zheng, Y. (2025). Net Present Value As a Decision Tool During Investment: Evaluating the Effectiveness of Net Present Value (NPV) Against Traditional Investment Appraisal Techniques in Predicting the Financial Success of Technology Startups. </w:t>
      </w:r>
      <w:r>
        <w:rPr>
          <w:i/>
          <w:iCs/>
        </w:rPr>
        <w:t>Advances in Economics, Management and Political Sciences</w:t>
      </w:r>
      <w:r>
        <w:t>, [online] 217, pp.41–60. doi:https://doi.org/10.54254/2754-1169/2024.26903.</w:t>
      </w:r>
    </w:p>
    <w:p w14:paraId="6C6EB319" w14:textId="77777777" w:rsidR="00034F33" w:rsidRDefault="00034F33" w:rsidP="00034F33">
      <w:pPr>
        <w:pStyle w:val="NormalWeb"/>
        <w:spacing w:before="0" w:beforeAutospacing="0" w:after="240" w:afterAutospacing="0" w:line="360" w:lineRule="auto"/>
      </w:pPr>
      <w:r>
        <w:t xml:space="preserve">London Stock Exchange (2026). </w:t>
      </w:r>
      <w:r>
        <w:rPr>
          <w:i/>
          <w:iCs/>
        </w:rPr>
        <w:t>Stock</w:t>
      </w:r>
      <w:r>
        <w:t>. [online] www.londonstockexchange.com. Available at: https://www.londonstockexchange.com/stock/RKT/reckitt-benckiser-group-plc/company-page.</w:t>
      </w:r>
    </w:p>
    <w:p w14:paraId="6DD9ABC2" w14:textId="77777777" w:rsidR="00034F33" w:rsidRDefault="00034F33" w:rsidP="00034F33">
      <w:pPr>
        <w:pStyle w:val="NormalWeb"/>
        <w:spacing w:before="0" w:beforeAutospacing="0" w:after="240" w:afterAutospacing="0" w:line="360" w:lineRule="auto"/>
      </w:pPr>
      <w:r>
        <w:t xml:space="preserve">Mai, W., Ambashe, M.S. and Ohueri, C.C. (2025). Optimizing Working Capital in E-Commerce Supply Chains. </w:t>
      </w:r>
      <w:r>
        <w:rPr>
          <w:i/>
          <w:iCs/>
        </w:rPr>
        <w:t>International Journal of Information Systems and Supply Chain Management</w:t>
      </w:r>
      <w:r>
        <w:t>, [online] 18(1), pp.1–30. doi:https://doi.org/10.4018/ijisscm.369154.</w:t>
      </w:r>
    </w:p>
    <w:p w14:paraId="529F1E0C" w14:textId="77777777" w:rsidR="00034F33" w:rsidRDefault="00034F33" w:rsidP="00034F33">
      <w:pPr>
        <w:pStyle w:val="NormalWeb"/>
        <w:spacing w:before="0" w:beforeAutospacing="0" w:after="240" w:afterAutospacing="0" w:line="360" w:lineRule="auto"/>
      </w:pPr>
      <w:r>
        <w:t>Mehar, M.A. (2023). Determinants of Internal Financing: Small and Medium Enterprises in Pakistan. doi:https://doi.org/10.32388/q1yb1n.</w:t>
      </w:r>
    </w:p>
    <w:p w14:paraId="3D5093D7" w14:textId="77777777" w:rsidR="00034F33" w:rsidRDefault="00034F33" w:rsidP="00034F33">
      <w:pPr>
        <w:pStyle w:val="NormalWeb"/>
        <w:spacing w:before="0" w:beforeAutospacing="0" w:after="240" w:afterAutospacing="0" w:line="360" w:lineRule="auto"/>
      </w:pPr>
      <w:r>
        <w:t xml:space="preserve">Morris, G.D. (2011). </w:t>
      </w:r>
      <w:r>
        <w:rPr>
          <w:i/>
          <w:iCs/>
        </w:rPr>
        <w:t>Investment Ratio - an overview | ScienceDirect Topics</w:t>
      </w:r>
      <w:r>
        <w:t>. [online] Sciencedirect.com. Available at: https://www.sciencedirect.com/topics/social-sciences/investment-ratio.</w:t>
      </w:r>
    </w:p>
    <w:p w14:paraId="57448502" w14:textId="77777777" w:rsidR="00034F33" w:rsidRDefault="00034F33" w:rsidP="00034F33">
      <w:pPr>
        <w:pStyle w:val="NormalWeb"/>
        <w:spacing w:before="0" w:beforeAutospacing="0" w:after="240" w:afterAutospacing="0" w:line="360" w:lineRule="auto"/>
      </w:pPr>
      <w:r>
        <w:t xml:space="preserve">Qureshi, M.J. and Siddiqui, D.A. (2021). The Effect of Intangible Assets on Financial Performance, Financial Policies, and Market Value of Technology Firms: A Global Comparative Analysis. </w:t>
      </w:r>
      <w:r>
        <w:rPr>
          <w:i/>
          <w:iCs/>
        </w:rPr>
        <w:t>Asian Journal of Finance &amp; Accounting</w:t>
      </w:r>
      <w:r>
        <w:t>, 12(1), p.26. doi:https://doi.org/10.5296/ajfa.v12i1.16655.</w:t>
      </w:r>
    </w:p>
    <w:p w14:paraId="7AAF78C3" w14:textId="77777777" w:rsidR="00034F33" w:rsidRDefault="00034F33" w:rsidP="00034F33">
      <w:pPr>
        <w:pStyle w:val="NormalWeb"/>
        <w:spacing w:before="0" w:beforeAutospacing="0" w:after="240" w:afterAutospacing="0" w:line="360" w:lineRule="auto"/>
      </w:pPr>
      <w:r>
        <w:lastRenderedPageBreak/>
        <w:t xml:space="preserve">Rahmiyati, N., Wahidhani, E.H., Fitrianingsih, D. and Rachmawati, T. (2024). Effect of Working Capital Management, Operational Efficiency, and Profitability on Financial Sustainability of SMEs. </w:t>
      </w:r>
      <w:r>
        <w:rPr>
          <w:i/>
          <w:iCs/>
        </w:rPr>
        <w:t>International Journal of Business Law and Education</w:t>
      </w:r>
      <w:r>
        <w:t>, [online] 5(2), pp.2683–2693. doi:https://doi.org/10.56442/ijble.v5i2.918.</w:t>
      </w:r>
    </w:p>
    <w:p w14:paraId="38B8C547" w14:textId="77777777" w:rsidR="00034F33" w:rsidRDefault="00034F33" w:rsidP="00034F33">
      <w:pPr>
        <w:pStyle w:val="NormalWeb"/>
        <w:spacing w:before="0" w:beforeAutospacing="0" w:after="240" w:afterAutospacing="0" w:line="360" w:lineRule="auto"/>
      </w:pPr>
      <w:r>
        <w:t xml:space="preserve">Rakholia, K.R., Chandraprabh, C., Ramesh, R., Rao, Kolli.Srinivasa., Punitha, S. and Kumar, V. (2025). Optimizing Inventory Management Through Demand Forecasting: A Data-Driven Approach for Enhanced Supply Chain Efficiency. </w:t>
      </w:r>
      <w:r>
        <w:rPr>
          <w:i/>
          <w:iCs/>
        </w:rPr>
        <w:t>SSRN Electronic Journal</w:t>
      </w:r>
      <w:r>
        <w:t>. doi:https://doi.org/10.2139/ssrn.5076111.</w:t>
      </w:r>
    </w:p>
    <w:p w14:paraId="23751920" w14:textId="77777777" w:rsidR="00034F33" w:rsidRDefault="00034F33" w:rsidP="00034F33">
      <w:pPr>
        <w:pStyle w:val="NormalWeb"/>
        <w:spacing w:before="0" w:beforeAutospacing="0" w:after="240" w:afterAutospacing="0" w:line="360" w:lineRule="auto"/>
      </w:pPr>
      <w:r>
        <w:t xml:space="preserve">Ramdhan, A.N., Nur Afni Yulianti and Nurhana Dhea Parlina (2025). Profitability Ratio Analysis to Measure the Financial Performance of Food and Beverage Companies for the Period of 2020 – 2023. </w:t>
      </w:r>
      <w:r>
        <w:rPr>
          <w:i/>
          <w:iCs/>
        </w:rPr>
        <w:t>IJEBD (International Journal of Entrepreneurship and Business Development)</w:t>
      </w:r>
      <w:r>
        <w:t>, [online] 8(2). doi:https://doi.org/10.29138/ijebd.v8i2.3234.</w:t>
      </w:r>
    </w:p>
    <w:p w14:paraId="5E519C6B" w14:textId="77777777" w:rsidR="00034F33" w:rsidRDefault="00034F33" w:rsidP="00034F33">
      <w:pPr>
        <w:pStyle w:val="NormalWeb"/>
        <w:spacing w:before="0" w:beforeAutospacing="0" w:after="240" w:afterAutospacing="0" w:line="360" w:lineRule="auto"/>
      </w:pPr>
      <w:r>
        <w:t xml:space="preserve">Reckitt (2024). </w:t>
      </w:r>
      <w:r>
        <w:rPr>
          <w:i/>
          <w:iCs/>
        </w:rPr>
        <w:t>Latest annual report</w:t>
      </w:r>
      <w:r>
        <w:t>. [online] www.reckitt.com. Available at: https://www.reckitt.com/investors/latest-annual-report/.</w:t>
      </w:r>
    </w:p>
    <w:p w14:paraId="7BEA8CC2" w14:textId="77777777" w:rsidR="00034F33" w:rsidRDefault="00034F33" w:rsidP="00034F33">
      <w:pPr>
        <w:pStyle w:val="NormalWeb"/>
        <w:spacing w:before="0" w:beforeAutospacing="0" w:after="240" w:afterAutospacing="0" w:line="360" w:lineRule="auto"/>
      </w:pPr>
      <w:r>
        <w:t xml:space="preserve">Reckitt (2025). </w:t>
      </w:r>
      <w:r>
        <w:rPr>
          <w:i/>
          <w:iCs/>
        </w:rPr>
        <w:t>Reckitt Focus On: Unified Global Category Organisation</w:t>
      </w:r>
      <w:r>
        <w:t>. [online] Available at: https://www.reckitt.com/media/dnofcts4/reckitt-focus-on-category-29-05-2025-transcript.pdf.</w:t>
      </w:r>
    </w:p>
    <w:p w14:paraId="7026F126" w14:textId="77777777" w:rsidR="00034F33" w:rsidRDefault="00034F33" w:rsidP="00034F33">
      <w:pPr>
        <w:pStyle w:val="NormalWeb"/>
        <w:spacing w:before="0" w:beforeAutospacing="0" w:after="240" w:afterAutospacing="0" w:line="360" w:lineRule="auto"/>
      </w:pPr>
      <w:r>
        <w:t xml:space="preserve">Rodgers Kimutai Maiyo, Josephat Cheboi and Limo, P. (2025). Impact of Financial Leverage, Investment and Dividend Payments on Likelihood of Financial Distress in Emerging Markets. </w:t>
      </w:r>
      <w:r>
        <w:rPr>
          <w:i/>
          <w:iCs/>
        </w:rPr>
        <w:t>American Journal of Economics and Business Innovation</w:t>
      </w:r>
      <w:r>
        <w:t>, [online] 4(1), pp.31–46. doi:https://doi.org/10.54536/ajebi.v4i1.3692.</w:t>
      </w:r>
    </w:p>
    <w:p w14:paraId="20FE369E" w14:textId="77777777" w:rsidR="00034F33" w:rsidRDefault="00034F33" w:rsidP="00034F33">
      <w:pPr>
        <w:pStyle w:val="NormalWeb"/>
        <w:spacing w:before="0" w:beforeAutospacing="0" w:after="240" w:afterAutospacing="0" w:line="360" w:lineRule="auto"/>
      </w:pPr>
      <w:r>
        <w:t xml:space="preserve">Rua, O.L. and Santos, C. (2022). Linking brand and competitive advantage: The mediating effect of positioning and market orientation. </w:t>
      </w:r>
      <w:r>
        <w:rPr>
          <w:i/>
          <w:iCs/>
        </w:rPr>
        <w:t>European Research on Management and Business Economics</w:t>
      </w:r>
      <w:r>
        <w:t>, [online] 28(2), p.100194. Available at: https://www.sciencedirect.com/science/article/pii/S244488342100053X.</w:t>
      </w:r>
    </w:p>
    <w:p w14:paraId="53820FF5" w14:textId="77777777" w:rsidR="00034F33" w:rsidRDefault="00034F33" w:rsidP="00034F33">
      <w:pPr>
        <w:pStyle w:val="NormalWeb"/>
        <w:spacing w:before="0" w:beforeAutospacing="0" w:after="240" w:afterAutospacing="0" w:line="360" w:lineRule="auto"/>
      </w:pPr>
      <w:r>
        <w:t xml:space="preserve">Seth, S. (2025). </w:t>
      </w:r>
      <w:r>
        <w:rPr>
          <w:i/>
          <w:iCs/>
        </w:rPr>
        <w:t>Quick Ratio Formula with Examples, Pros and Cons</w:t>
      </w:r>
      <w:r>
        <w:t>. [online] Investopedia. Available at: https://www.investopedia.com/terms/q/quickratio.asp.</w:t>
      </w:r>
    </w:p>
    <w:p w14:paraId="3FAB0B90" w14:textId="77777777" w:rsidR="00034F33" w:rsidRDefault="00034F33" w:rsidP="00034F33">
      <w:pPr>
        <w:pStyle w:val="NormalWeb"/>
        <w:spacing w:before="0" w:beforeAutospacing="0" w:after="240" w:afterAutospacing="0" w:line="360" w:lineRule="auto"/>
      </w:pPr>
      <w:r>
        <w:t xml:space="preserve">Simply Wall St (2025). </w:t>
      </w:r>
      <w:r>
        <w:rPr>
          <w:i/>
          <w:iCs/>
        </w:rPr>
        <w:t>How Analysts See Reckitt Benckiser’s Story Shifting With New Price Targets and Strategy Updates</w:t>
      </w:r>
      <w:r>
        <w:t xml:space="preserve">. [online] Yahoo Finance. Available at: </w:t>
      </w:r>
      <w:r>
        <w:lastRenderedPageBreak/>
        <w:t>https://finance.yahoo.com/news/analysts-see-reckitt-benckiser-story-071132078.html [Accessed 11 Jan. 2026].</w:t>
      </w:r>
    </w:p>
    <w:p w14:paraId="1FE759D3" w14:textId="77777777" w:rsidR="00034F33" w:rsidRDefault="00034F33" w:rsidP="00034F33">
      <w:pPr>
        <w:pStyle w:val="NormalWeb"/>
        <w:spacing w:before="0" w:beforeAutospacing="0" w:after="240" w:afterAutospacing="0" w:line="360" w:lineRule="auto"/>
      </w:pPr>
      <w:r>
        <w:t xml:space="preserve">Stereńczak, S. and Kubiak, J. (2022). dividend policy and stock liquidity: lessons from Central and eastern europe. </w:t>
      </w:r>
      <w:r>
        <w:rPr>
          <w:i/>
          <w:iCs/>
        </w:rPr>
        <w:t>Research in International Business and Finance</w:t>
      </w:r>
      <w:r>
        <w:t>, [online] p.101727. doi:https://doi.org/10.1016/j.ribaf.2022.101727.</w:t>
      </w:r>
    </w:p>
    <w:p w14:paraId="096DA436" w14:textId="77777777" w:rsidR="00034F33" w:rsidRDefault="00034F33" w:rsidP="00034F33">
      <w:pPr>
        <w:pStyle w:val="NormalWeb"/>
        <w:spacing w:before="0" w:beforeAutospacing="0" w:after="240" w:afterAutospacing="0" w:line="360" w:lineRule="auto"/>
      </w:pPr>
      <w:r>
        <w:t xml:space="preserve">Swan, J. (2016). Sensitivity Analysis and Scenarios. </w:t>
      </w:r>
      <w:r>
        <w:rPr>
          <w:i/>
          <w:iCs/>
        </w:rPr>
        <w:t>Practical Financial Modelling</w:t>
      </w:r>
      <w:r>
        <w:t>, pp.231–254. doi:https://doi.org/10.1016/b978-0-08-100587-3.00008-7.</w:t>
      </w:r>
    </w:p>
    <w:p w14:paraId="4E4153B4" w14:textId="77777777" w:rsidR="00034F33" w:rsidRDefault="00034F33" w:rsidP="00034F33">
      <w:pPr>
        <w:pStyle w:val="NormalWeb"/>
        <w:spacing w:before="0" w:beforeAutospacing="0" w:after="240" w:afterAutospacing="0" w:line="360" w:lineRule="auto"/>
      </w:pPr>
      <w:r>
        <w:t xml:space="preserve">Vipond, T. (2022). </w:t>
      </w:r>
      <w:r>
        <w:rPr>
          <w:i/>
          <w:iCs/>
        </w:rPr>
        <w:t>ARR - Accounting Rate of Return</w:t>
      </w:r>
      <w:r>
        <w:t>. [online] Corporate Finance Institute. Available at: https://corporatefinanceinstitute.com/resources/accounting/arr-accounting-rate-of-return/.</w:t>
      </w:r>
    </w:p>
    <w:p w14:paraId="3B35010C" w14:textId="77777777" w:rsidR="00034F33" w:rsidRDefault="00034F33" w:rsidP="00034F33">
      <w:pPr>
        <w:pStyle w:val="NormalWeb"/>
        <w:spacing w:before="0" w:beforeAutospacing="0" w:after="240" w:afterAutospacing="0" w:line="360" w:lineRule="auto"/>
      </w:pPr>
      <w:r>
        <w:t xml:space="preserve">Xu, H. (2015). Using the Net Present Value Rule to Make Value-Creating Investment Decisions. </w:t>
      </w:r>
      <w:r>
        <w:rPr>
          <w:i/>
          <w:iCs/>
        </w:rPr>
        <w:t>Proceedings of the International Conference on Chemical,Material and Food Engineering</w:t>
      </w:r>
      <w:r>
        <w:t>. doi:https://doi.org/10.2991/cmfe-15.2015.153.</w:t>
      </w:r>
    </w:p>
    <w:p w14:paraId="7B760F55" w14:textId="77777777" w:rsidR="00034F33" w:rsidRDefault="00034F33" w:rsidP="00034F33">
      <w:pPr>
        <w:pStyle w:val="NormalWeb"/>
        <w:spacing w:before="0" w:beforeAutospacing="0" w:after="240" w:afterAutospacing="0" w:line="360" w:lineRule="auto"/>
      </w:pPr>
      <w:r>
        <w:t xml:space="preserve">Xuan, T., Thu, T. and Nguyen, C.V. (2025). The impact of working capital management on the financial performance of listed enterprises: an empirical evidence from Vietnam. </w:t>
      </w:r>
      <w:r>
        <w:rPr>
          <w:i/>
          <w:iCs/>
        </w:rPr>
        <w:t>Cogent Business &amp; Management</w:t>
      </w:r>
      <w:r>
        <w:t>, [online] 12(1). doi:https://doi.org/10.1080/23311975.2025.2473033.</w:t>
      </w:r>
    </w:p>
    <w:p w14:paraId="7B37383F" w14:textId="77777777" w:rsidR="00034F33" w:rsidRDefault="00034F33" w:rsidP="00034F33">
      <w:pPr>
        <w:pStyle w:val="NormalWeb"/>
        <w:spacing w:before="0" w:beforeAutospacing="0" w:after="240" w:afterAutospacing="0" w:line="360" w:lineRule="auto"/>
      </w:pPr>
      <w:r>
        <w:t xml:space="preserve">Zhang, C.Y., Ji, J. and Zhang, T. (2025). Can sustainable supply chain sustain supplier’s operational efficiency? </w:t>
      </w:r>
      <w:r>
        <w:rPr>
          <w:i/>
          <w:iCs/>
        </w:rPr>
        <w:t>International Journal of Production Economics</w:t>
      </w:r>
      <w:r>
        <w:t>, 285, p.109640. doi:https://doi.org/10.1016/j.ijpe.2025.109640.</w:t>
      </w:r>
    </w:p>
    <w:p w14:paraId="0215657B" w14:textId="5B3456FF" w:rsidR="00111A14" w:rsidRPr="00577F2F" w:rsidRDefault="00111A14" w:rsidP="00034F33">
      <w:pPr>
        <w:rPr>
          <w:rFonts w:eastAsiaTheme="minorEastAsia"/>
        </w:rPr>
      </w:pPr>
      <w:r w:rsidRPr="00577F2F">
        <w:rPr>
          <w:lang w:val="en-IN"/>
        </w:rPr>
        <w:br w:type="page"/>
      </w:r>
    </w:p>
    <w:p w14:paraId="25C171E4" w14:textId="26A6AB5A" w:rsidR="00EC7AAC" w:rsidRPr="00577F2F" w:rsidRDefault="00111A14" w:rsidP="00111A14">
      <w:pPr>
        <w:pStyle w:val="Heading1"/>
        <w:rPr>
          <w:rFonts w:ascii="Times New Roman" w:hAnsi="Times New Roman" w:cs="Times New Roman"/>
          <w:lang w:val="en-IN"/>
        </w:rPr>
      </w:pPr>
      <w:bookmarkStart w:id="11" w:name="_Toc219014271"/>
      <w:r w:rsidRPr="00577F2F">
        <w:rPr>
          <w:rFonts w:ascii="Times New Roman" w:hAnsi="Times New Roman" w:cs="Times New Roman"/>
          <w:lang w:val="en-IN"/>
        </w:rPr>
        <w:lastRenderedPageBreak/>
        <w:t>Appendices</w:t>
      </w:r>
      <w:bookmarkEnd w:id="11"/>
      <w:r w:rsidRPr="00577F2F">
        <w:rPr>
          <w:rFonts w:ascii="Times New Roman" w:hAnsi="Times New Roman" w:cs="Times New Roman"/>
          <w:lang w:val="en-IN"/>
        </w:rPr>
        <w:t xml:space="preserve"> </w:t>
      </w:r>
    </w:p>
    <w:p w14:paraId="5372BE65" w14:textId="1C22B801" w:rsidR="00111A14" w:rsidRDefault="00111A14" w:rsidP="00034F33">
      <w:pPr>
        <w:pStyle w:val="Heading2"/>
        <w:rPr>
          <w:lang w:val="en-IN"/>
        </w:rPr>
      </w:pPr>
      <w:bookmarkStart w:id="12" w:name="_Toc219014272"/>
      <w:r w:rsidRPr="00577F2F">
        <w:rPr>
          <w:rFonts w:ascii="Times New Roman" w:hAnsi="Times New Roman"/>
          <w:lang w:val="en-IN"/>
        </w:rPr>
        <w:t>Appendix A:</w:t>
      </w:r>
      <w:r w:rsidR="00034F33">
        <w:rPr>
          <w:lang w:val="en-IN"/>
        </w:rPr>
        <w:t xml:space="preserve"> Income Statement</w:t>
      </w:r>
      <w:bookmarkEnd w:id="12"/>
      <w:r w:rsidR="00034F33">
        <w:rPr>
          <w:lang w:val="en-IN"/>
        </w:rPr>
        <w:t xml:space="preserve"> </w:t>
      </w:r>
    </w:p>
    <w:p w14:paraId="00A11C48" w14:textId="77777777" w:rsidR="00034F33" w:rsidRDefault="00034F33" w:rsidP="00034F33">
      <w:pPr>
        <w:keepNext/>
      </w:pPr>
      <w:r w:rsidRPr="00034F33">
        <w:rPr>
          <w:noProof/>
          <w:lang w:val="en-IN"/>
        </w:rPr>
        <w:drawing>
          <wp:inline distT="0" distB="0" distL="0" distR="0" wp14:anchorId="71D19878" wp14:editId="12E093D5">
            <wp:extent cx="5731510" cy="3194685"/>
            <wp:effectExtent l="0" t="0" r="2540" b="5715"/>
            <wp:docPr id="19918009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800953" name=""/>
                    <pic:cNvPicPr/>
                  </pic:nvPicPr>
                  <pic:blipFill>
                    <a:blip r:embed="rId16"/>
                    <a:stretch>
                      <a:fillRect/>
                    </a:stretch>
                  </pic:blipFill>
                  <pic:spPr>
                    <a:xfrm>
                      <a:off x="0" y="0"/>
                      <a:ext cx="5731510" cy="3194685"/>
                    </a:xfrm>
                    <a:prstGeom prst="rect">
                      <a:avLst/>
                    </a:prstGeom>
                  </pic:spPr>
                </pic:pic>
              </a:graphicData>
            </a:graphic>
          </wp:inline>
        </w:drawing>
      </w:r>
    </w:p>
    <w:p w14:paraId="5D6EB7AE" w14:textId="43F85213" w:rsidR="00034F33" w:rsidRPr="00034F33" w:rsidRDefault="00034F33" w:rsidP="00034F33">
      <w:pPr>
        <w:pStyle w:val="Caption"/>
        <w:jc w:val="center"/>
        <w:rPr>
          <w:lang w:val="en-IN"/>
        </w:rPr>
      </w:pPr>
      <w:r>
        <w:t xml:space="preserve">Figure </w:t>
      </w:r>
      <w:r>
        <w:fldChar w:fldCharType="begin"/>
      </w:r>
      <w:r>
        <w:instrText xml:space="preserve"> SEQ Figure \* ARABIC </w:instrText>
      </w:r>
      <w:r>
        <w:fldChar w:fldCharType="separate"/>
      </w:r>
      <w:r>
        <w:rPr>
          <w:noProof/>
        </w:rPr>
        <w:t>6</w:t>
      </w:r>
      <w:r>
        <w:fldChar w:fldCharType="end"/>
      </w:r>
      <w:r>
        <w:rPr>
          <w:lang w:val="en-US"/>
        </w:rPr>
        <w:t xml:space="preserve">: Income Statement Source: </w:t>
      </w:r>
      <w:r w:rsidRPr="00885610">
        <w:rPr>
          <w:lang w:val="en-US"/>
        </w:rPr>
        <w:t>(Reckitt, 2024)</w:t>
      </w:r>
    </w:p>
    <w:p w14:paraId="5BEE2B53" w14:textId="49E7B9AD" w:rsidR="00034F33" w:rsidRDefault="00034F33" w:rsidP="00034F33">
      <w:pPr>
        <w:pStyle w:val="Heading2"/>
        <w:rPr>
          <w:lang w:val="en-IN"/>
        </w:rPr>
      </w:pPr>
      <w:bookmarkStart w:id="13" w:name="_Toc219014273"/>
      <w:r>
        <w:rPr>
          <w:lang w:val="en-IN"/>
        </w:rPr>
        <w:t>Appendix B: Balance Sheet</w:t>
      </w:r>
      <w:bookmarkEnd w:id="13"/>
    </w:p>
    <w:p w14:paraId="4A89F9B7" w14:textId="77777777" w:rsidR="00034F33" w:rsidRDefault="00034F33" w:rsidP="00034F33">
      <w:pPr>
        <w:keepNext/>
        <w:jc w:val="center"/>
      </w:pPr>
      <w:r w:rsidRPr="00034F33">
        <w:rPr>
          <w:noProof/>
          <w:lang w:val="en-IN"/>
        </w:rPr>
        <w:drawing>
          <wp:inline distT="0" distB="0" distL="0" distR="0" wp14:anchorId="1C46C279" wp14:editId="099DEE35">
            <wp:extent cx="5731510" cy="3094990"/>
            <wp:effectExtent l="0" t="0" r="2540" b="0"/>
            <wp:docPr id="1923418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418930" name=""/>
                    <pic:cNvPicPr/>
                  </pic:nvPicPr>
                  <pic:blipFill>
                    <a:blip r:embed="rId17"/>
                    <a:stretch>
                      <a:fillRect/>
                    </a:stretch>
                  </pic:blipFill>
                  <pic:spPr>
                    <a:xfrm>
                      <a:off x="0" y="0"/>
                      <a:ext cx="5731510" cy="3094990"/>
                    </a:xfrm>
                    <a:prstGeom prst="rect">
                      <a:avLst/>
                    </a:prstGeom>
                  </pic:spPr>
                </pic:pic>
              </a:graphicData>
            </a:graphic>
          </wp:inline>
        </w:drawing>
      </w:r>
    </w:p>
    <w:p w14:paraId="45BCF4FD" w14:textId="2ACC78B6" w:rsidR="00034F33" w:rsidRPr="00034F33" w:rsidRDefault="00034F33" w:rsidP="00034F33">
      <w:pPr>
        <w:pStyle w:val="Caption"/>
        <w:jc w:val="center"/>
        <w:rPr>
          <w:lang w:val="en-IN"/>
        </w:rPr>
      </w:pPr>
      <w:r>
        <w:t xml:space="preserve">Figure </w:t>
      </w:r>
      <w:r>
        <w:fldChar w:fldCharType="begin"/>
      </w:r>
      <w:r>
        <w:instrText xml:space="preserve"> SEQ Figure \* ARABIC </w:instrText>
      </w:r>
      <w:r>
        <w:fldChar w:fldCharType="separate"/>
      </w:r>
      <w:r>
        <w:rPr>
          <w:noProof/>
        </w:rPr>
        <w:t>7</w:t>
      </w:r>
      <w:r>
        <w:fldChar w:fldCharType="end"/>
      </w:r>
      <w:r>
        <w:rPr>
          <w:lang w:val="en-US"/>
        </w:rPr>
        <w:t xml:space="preserve">: Balance Sheet Source: </w:t>
      </w:r>
      <w:r w:rsidRPr="00F85004">
        <w:rPr>
          <w:lang w:val="en-US"/>
        </w:rPr>
        <w:t>(Reckitt, 2024)</w:t>
      </w:r>
    </w:p>
    <w:p w14:paraId="61B13CA3" w14:textId="5B5EDF08" w:rsidR="00111A14" w:rsidRPr="00577F2F" w:rsidRDefault="00111A14" w:rsidP="00111A14">
      <w:pPr>
        <w:pStyle w:val="Heading2"/>
        <w:rPr>
          <w:rFonts w:ascii="Times New Roman" w:hAnsi="Times New Roman" w:cs="Times New Roman"/>
          <w:lang w:val="en-IN"/>
        </w:rPr>
      </w:pPr>
      <w:bookmarkStart w:id="14" w:name="_Appendix_C:_Detailed"/>
      <w:bookmarkStart w:id="15" w:name="_Toc219014274"/>
      <w:bookmarkEnd w:id="14"/>
      <w:r w:rsidRPr="00577F2F">
        <w:rPr>
          <w:rFonts w:ascii="Times New Roman" w:hAnsi="Times New Roman" w:cs="Times New Roman"/>
          <w:lang w:val="en-IN"/>
        </w:rPr>
        <w:lastRenderedPageBreak/>
        <w:t xml:space="preserve">Appendix </w:t>
      </w:r>
      <w:r w:rsidR="000647E1" w:rsidRPr="00577F2F">
        <w:rPr>
          <w:rFonts w:ascii="Times New Roman" w:hAnsi="Times New Roman" w:cs="Times New Roman"/>
          <w:lang w:val="en-IN"/>
        </w:rPr>
        <w:t>C</w:t>
      </w:r>
      <w:r w:rsidRPr="00577F2F">
        <w:rPr>
          <w:rFonts w:ascii="Times New Roman" w:hAnsi="Times New Roman" w:cs="Times New Roman"/>
          <w:lang w:val="en-IN"/>
        </w:rPr>
        <w:t>: Detailed Breakdown of Financial Ratio Calculation</w:t>
      </w:r>
      <w:bookmarkEnd w:id="15"/>
      <w:r w:rsidRPr="00577F2F">
        <w:rPr>
          <w:rFonts w:ascii="Times New Roman" w:hAnsi="Times New Roman" w:cs="Times New Roman"/>
          <w:lang w:val="en-IN"/>
        </w:rPr>
        <w:t xml:space="preserve"> </w:t>
      </w:r>
    </w:p>
    <w:tbl>
      <w:tblPr>
        <w:tblStyle w:val="GridTable1Light"/>
        <w:tblW w:w="0" w:type="auto"/>
        <w:tblLook w:val="04A0" w:firstRow="1" w:lastRow="0" w:firstColumn="1" w:lastColumn="0" w:noHBand="0" w:noVBand="1"/>
      </w:tblPr>
      <w:tblGrid>
        <w:gridCol w:w="1701"/>
        <w:gridCol w:w="1937"/>
        <w:gridCol w:w="1664"/>
        <w:gridCol w:w="1025"/>
        <w:gridCol w:w="1664"/>
        <w:gridCol w:w="1025"/>
      </w:tblGrid>
      <w:tr w:rsidR="00111A14" w:rsidRPr="00577F2F" w14:paraId="398561FB" w14:textId="77777777" w:rsidTr="00EF7C3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gridSpan w:val="6"/>
          </w:tcPr>
          <w:p w14:paraId="645F5D26" w14:textId="7626EE33" w:rsidR="00111A14" w:rsidRPr="00577F2F" w:rsidRDefault="00111A14" w:rsidP="00111A14">
            <w:pPr>
              <w:jc w:val="center"/>
              <w:rPr>
                <w:rFonts w:cs="Times New Roman"/>
                <w:lang w:val="en-IN" w:eastAsia="en-IN" w:bidi="bn-BD"/>
              </w:rPr>
            </w:pPr>
            <w:r w:rsidRPr="00577F2F">
              <w:rPr>
                <w:rFonts w:cs="Times New Roman"/>
                <w:lang w:val="en-IN" w:eastAsia="en-IN" w:bidi="bn-BD"/>
              </w:rPr>
              <w:t>Profitability Ratios</w:t>
            </w:r>
          </w:p>
        </w:tc>
      </w:tr>
      <w:tr w:rsidR="00111A14" w:rsidRPr="00577F2F" w14:paraId="30AD171C" w14:textId="77777777" w:rsidTr="00111A14">
        <w:tc>
          <w:tcPr>
            <w:cnfStyle w:val="001000000000" w:firstRow="0" w:lastRow="0" w:firstColumn="1" w:lastColumn="0" w:oddVBand="0" w:evenVBand="0" w:oddHBand="0" w:evenHBand="0" w:firstRowFirstColumn="0" w:firstRowLastColumn="0" w:lastRowFirstColumn="0" w:lastRowLastColumn="0"/>
            <w:tcW w:w="0" w:type="auto"/>
            <w:hideMark/>
          </w:tcPr>
          <w:p w14:paraId="55EF1D4F" w14:textId="77777777" w:rsidR="00111A14" w:rsidRPr="00577F2F" w:rsidRDefault="00111A14" w:rsidP="00111A14">
            <w:pPr>
              <w:rPr>
                <w:rFonts w:cs="Times New Roman"/>
                <w:lang w:val="en-IN" w:eastAsia="en-IN" w:bidi="bn-BD"/>
              </w:rPr>
            </w:pPr>
            <w:r w:rsidRPr="00577F2F">
              <w:rPr>
                <w:rFonts w:cs="Times New Roman"/>
                <w:lang w:val="en-IN" w:eastAsia="en-IN" w:bidi="bn-BD"/>
              </w:rPr>
              <w:t>Ratio</w:t>
            </w:r>
          </w:p>
        </w:tc>
        <w:tc>
          <w:tcPr>
            <w:tcW w:w="0" w:type="auto"/>
            <w:hideMark/>
          </w:tcPr>
          <w:p w14:paraId="514446E0" w14:textId="77777777" w:rsidR="00111A14" w:rsidRPr="00577F2F" w:rsidRDefault="00111A14" w:rsidP="00111A14">
            <w:pPr>
              <w:cnfStyle w:val="000000000000" w:firstRow="0" w:lastRow="0" w:firstColumn="0" w:lastColumn="0" w:oddVBand="0" w:evenVBand="0" w:oddHBand="0" w:evenHBand="0" w:firstRowFirstColumn="0" w:firstRowLastColumn="0" w:lastRowFirstColumn="0" w:lastRowLastColumn="0"/>
              <w:rPr>
                <w:rFonts w:cs="Times New Roman"/>
                <w:b/>
                <w:bCs/>
                <w:lang w:val="en-IN" w:eastAsia="en-IN" w:bidi="bn-BD"/>
              </w:rPr>
            </w:pPr>
            <w:r w:rsidRPr="00577F2F">
              <w:rPr>
                <w:rFonts w:cs="Times New Roman"/>
                <w:b/>
                <w:bCs/>
                <w:lang w:val="en-IN" w:eastAsia="en-IN" w:bidi="bn-BD"/>
              </w:rPr>
              <w:t>Formula</w:t>
            </w:r>
          </w:p>
        </w:tc>
        <w:tc>
          <w:tcPr>
            <w:tcW w:w="0" w:type="auto"/>
            <w:hideMark/>
          </w:tcPr>
          <w:p w14:paraId="435FDDC9" w14:textId="77777777" w:rsidR="00111A14" w:rsidRPr="00577F2F" w:rsidRDefault="00111A14" w:rsidP="00111A14">
            <w:pPr>
              <w:cnfStyle w:val="000000000000" w:firstRow="0" w:lastRow="0" w:firstColumn="0" w:lastColumn="0" w:oddVBand="0" w:evenVBand="0" w:oddHBand="0" w:evenHBand="0" w:firstRowFirstColumn="0" w:firstRowLastColumn="0" w:lastRowFirstColumn="0" w:lastRowLastColumn="0"/>
              <w:rPr>
                <w:rFonts w:cs="Times New Roman"/>
                <w:b/>
                <w:bCs/>
                <w:lang w:val="en-IN" w:eastAsia="en-IN" w:bidi="bn-BD"/>
              </w:rPr>
            </w:pPr>
            <w:r w:rsidRPr="00577F2F">
              <w:rPr>
                <w:rFonts w:cs="Times New Roman"/>
                <w:b/>
                <w:bCs/>
                <w:lang w:val="en-IN" w:eastAsia="en-IN" w:bidi="bn-BD"/>
              </w:rPr>
              <w:t>2024 – Calculation</w:t>
            </w:r>
          </w:p>
        </w:tc>
        <w:tc>
          <w:tcPr>
            <w:tcW w:w="0" w:type="auto"/>
            <w:hideMark/>
          </w:tcPr>
          <w:p w14:paraId="4FCC3CC3" w14:textId="77777777" w:rsidR="00111A14" w:rsidRPr="00577F2F" w:rsidRDefault="00111A14" w:rsidP="00111A14">
            <w:pPr>
              <w:cnfStyle w:val="000000000000" w:firstRow="0" w:lastRow="0" w:firstColumn="0" w:lastColumn="0" w:oddVBand="0" w:evenVBand="0" w:oddHBand="0" w:evenHBand="0" w:firstRowFirstColumn="0" w:firstRowLastColumn="0" w:lastRowFirstColumn="0" w:lastRowLastColumn="0"/>
              <w:rPr>
                <w:rFonts w:cs="Times New Roman"/>
                <w:b/>
                <w:bCs/>
                <w:lang w:val="en-IN" w:eastAsia="en-IN" w:bidi="bn-BD"/>
              </w:rPr>
            </w:pPr>
            <w:r w:rsidRPr="00577F2F">
              <w:rPr>
                <w:rFonts w:cs="Times New Roman"/>
                <w:b/>
                <w:bCs/>
                <w:lang w:val="en-IN" w:eastAsia="en-IN" w:bidi="bn-BD"/>
              </w:rPr>
              <w:t>2024 Result</w:t>
            </w:r>
          </w:p>
        </w:tc>
        <w:tc>
          <w:tcPr>
            <w:tcW w:w="0" w:type="auto"/>
            <w:hideMark/>
          </w:tcPr>
          <w:p w14:paraId="6943EF63" w14:textId="77777777" w:rsidR="00111A14" w:rsidRPr="00577F2F" w:rsidRDefault="00111A14" w:rsidP="00111A14">
            <w:pPr>
              <w:cnfStyle w:val="000000000000" w:firstRow="0" w:lastRow="0" w:firstColumn="0" w:lastColumn="0" w:oddVBand="0" w:evenVBand="0" w:oddHBand="0" w:evenHBand="0" w:firstRowFirstColumn="0" w:firstRowLastColumn="0" w:lastRowFirstColumn="0" w:lastRowLastColumn="0"/>
              <w:rPr>
                <w:rFonts w:cs="Times New Roman"/>
                <w:b/>
                <w:bCs/>
                <w:lang w:val="en-IN" w:eastAsia="en-IN" w:bidi="bn-BD"/>
              </w:rPr>
            </w:pPr>
            <w:r w:rsidRPr="00577F2F">
              <w:rPr>
                <w:rFonts w:cs="Times New Roman"/>
                <w:b/>
                <w:bCs/>
                <w:lang w:val="en-IN" w:eastAsia="en-IN" w:bidi="bn-BD"/>
              </w:rPr>
              <w:t>2023 – Calculation</w:t>
            </w:r>
          </w:p>
        </w:tc>
        <w:tc>
          <w:tcPr>
            <w:tcW w:w="0" w:type="auto"/>
            <w:hideMark/>
          </w:tcPr>
          <w:p w14:paraId="6E438E0A" w14:textId="77777777" w:rsidR="00111A14" w:rsidRPr="00577F2F" w:rsidRDefault="00111A14" w:rsidP="00111A14">
            <w:pPr>
              <w:cnfStyle w:val="000000000000" w:firstRow="0" w:lastRow="0" w:firstColumn="0" w:lastColumn="0" w:oddVBand="0" w:evenVBand="0" w:oddHBand="0" w:evenHBand="0" w:firstRowFirstColumn="0" w:firstRowLastColumn="0" w:lastRowFirstColumn="0" w:lastRowLastColumn="0"/>
              <w:rPr>
                <w:rFonts w:cs="Times New Roman"/>
                <w:b/>
                <w:bCs/>
                <w:lang w:val="en-IN" w:eastAsia="en-IN" w:bidi="bn-BD"/>
              </w:rPr>
            </w:pPr>
            <w:r w:rsidRPr="00577F2F">
              <w:rPr>
                <w:rFonts w:cs="Times New Roman"/>
                <w:b/>
                <w:bCs/>
                <w:lang w:val="en-IN" w:eastAsia="en-IN" w:bidi="bn-BD"/>
              </w:rPr>
              <w:t>2023 Result</w:t>
            </w:r>
          </w:p>
        </w:tc>
      </w:tr>
      <w:tr w:rsidR="00111A14" w:rsidRPr="00577F2F" w14:paraId="7C2C2C63" w14:textId="77777777" w:rsidTr="00111A14">
        <w:tc>
          <w:tcPr>
            <w:cnfStyle w:val="001000000000" w:firstRow="0" w:lastRow="0" w:firstColumn="1" w:lastColumn="0" w:oddVBand="0" w:evenVBand="0" w:oddHBand="0" w:evenHBand="0" w:firstRowFirstColumn="0" w:firstRowLastColumn="0" w:lastRowFirstColumn="0" w:lastRowLastColumn="0"/>
            <w:tcW w:w="0" w:type="auto"/>
            <w:hideMark/>
          </w:tcPr>
          <w:p w14:paraId="7B5C6236" w14:textId="77777777" w:rsidR="00111A14" w:rsidRPr="00577F2F" w:rsidRDefault="00111A14" w:rsidP="00111A14">
            <w:pPr>
              <w:rPr>
                <w:rFonts w:cs="Times New Roman"/>
                <w:lang w:val="en-IN" w:eastAsia="en-IN" w:bidi="bn-BD"/>
              </w:rPr>
            </w:pPr>
            <w:r w:rsidRPr="00577F2F">
              <w:rPr>
                <w:rFonts w:cs="Times New Roman"/>
                <w:lang w:val="en-IN" w:eastAsia="en-IN" w:bidi="bn-BD"/>
              </w:rPr>
              <w:t>Gross Profit Margin</w:t>
            </w:r>
          </w:p>
        </w:tc>
        <w:tc>
          <w:tcPr>
            <w:tcW w:w="0" w:type="auto"/>
            <w:hideMark/>
          </w:tcPr>
          <w:p w14:paraId="2230B80A" w14:textId="77777777" w:rsidR="00111A14" w:rsidRPr="00577F2F" w:rsidRDefault="00111A14" w:rsidP="00111A14">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Gross Profit ÷ Net Revenue × 100</w:t>
            </w:r>
          </w:p>
        </w:tc>
        <w:tc>
          <w:tcPr>
            <w:tcW w:w="0" w:type="auto"/>
            <w:hideMark/>
          </w:tcPr>
          <w:p w14:paraId="42112C60" w14:textId="77777777" w:rsidR="00111A14" w:rsidRPr="00577F2F" w:rsidRDefault="00111A14" w:rsidP="00111A14">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8,595 ÷ 14,169 × 100</w:t>
            </w:r>
          </w:p>
        </w:tc>
        <w:tc>
          <w:tcPr>
            <w:tcW w:w="0" w:type="auto"/>
            <w:hideMark/>
          </w:tcPr>
          <w:p w14:paraId="27E0496D" w14:textId="77777777" w:rsidR="00111A14" w:rsidRPr="00577F2F" w:rsidRDefault="00111A14" w:rsidP="00111A14">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60.66%</w:t>
            </w:r>
          </w:p>
        </w:tc>
        <w:tc>
          <w:tcPr>
            <w:tcW w:w="0" w:type="auto"/>
            <w:hideMark/>
          </w:tcPr>
          <w:p w14:paraId="626D9950" w14:textId="77777777" w:rsidR="00111A14" w:rsidRPr="00577F2F" w:rsidRDefault="00111A14" w:rsidP="00111A14">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8,760 ÷ 14,607 × 100</w:t>
            </w:r>
          </w:p>
        </w:tc>
        <w:tc>
          <w:tcPr>
            <w:tcW w:w="0" w:type="auto"/>
            <w:hideMark/>
          </w:tcPr>
          <w:p w14:paraId="219F6D2D" w14:textId="77777777" w:rsidR="00111A14" w:rsidRPr="00577F2F" w:rsidRDefault="00111A14" w:rsidP="00111A14">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59.97%</w:t>
            </w:r>
          </w:p>
        </w:tc>
      </w:tr>
      <w:tr w:rsidR="00111A14" w:rsidRPr="00577F2F" w14:paraId="419F5114" w14:textId="77777777" w:rsidTr="00111A14">
        <w:tc>
          <w:tcPr>
            <w:cnfStyle w:val="001000000000" w:firstRow="0" w:lastRow="0" w:firstColumn="1" w:lastColumn="0" w:oddVBand="0" w:evenVBand="0" w:oddHBand="0" w:evenHBand="0" w:firstRowFirstColumn="0" w:firstRowLastColumn="0" w:lastRowFirstColumn="0" w:lastRowLastColumn="0"/>
            <w:tcW w:w="0" w:type="auto"/>
            <w:hideMark/>
          </w:tcPr>
          <w:p w14:paraId="45AFD863" w14:textId="77777777" w:rsidR="00111A14" w:rsidRPr="00577F2F" w:rsidRDefault="00111A14" w:rsidP="00111A14">
            <w:pPr>
              <w:rPr>
                <w:rFonts w:cs="Times New Roman"/>
                <w:lang w:val="en-IN" w:eastAsia="en-IN" w:bidi="bn-BD"/>
              </w:rPr>
            </w:pPr>
            <w:r w:rsidRPr="00577F2F">
              <w:rPr>
                <w:rFonts w:cs="Times New Roman"/>
                <w:lang w:val="en-IN" w:eastAsia="en-IN" w:bidi="bn-BD"/>
              </w:rPr>
              <w:t>Operating Profit Margin</w:t>
            </w:r>
          </w:p>
        </w:tc>
        <w:tc>
          <w:tcPr>
            <w:tcW w:w="0" w:type="auto"/>
            <w:hideMark/>
          </w:tcPr>
          <w:p w14:paraId="060D22B6" w14:textId="77777777" w:rsidR="00111A14" w:rsidRPr="00577F2F" w:rsidRDefault="00111A14" w:rsidP="00111A14">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Operating Profit ÷ Net Revenue × 100</w:t>
            </w:r>
          </w:p>
        </w:tc>
        <w:tc>
          <w:tcPr>
            <w:tcW w:w="0" w:type="auto"/>
            <w:hideMark/>
          </w:tcPr>
          <w:p w14:paraId="40F9644D" w14:textId="77777777" w:rsidR="00111A14" w:rsidRPr="00577F2F" w:rsidRDefault="00111A14" w:rsidP="00111A14">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2,425 ÷ 14,169 × 100</w:t>
            </w:r>
          </w:p>
        </w:tc>
        <w:tc>
          <w:tcPr>
            <w:tcW w:w="0" w:type="auto"/>
            <w:hideMark/>
          </w:tcPr>
          <w:p w14:paraId="3A89C30D" w14:textId="77777777" w:rsidR="00111A14" w:rsidRPr="00577F2F" w:rsidRDefault="00111A14" w:rsidP="00111A14">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17.11%</w:t>
            </w:r>
          </w:p>
        </w:tc>
        <w:tc>
          <w:tcPr>
            <w:tcW w:w="0" w:type="auto"/>
            <w:hideMark/>
          </w:tcPr>
          <w:p w14:paraId="520CA4D6" w14:textId="77777777" w:rsidR="00111A14" w:rsidRPr="00577F2F" w:rsidRDefault="00111A14" w:rsidP="00111A14">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2,531 ÷ 14,607 × 100</w:t>
            </w:r>
          </w:p>
        </w:tc>
        <w:tc>
          <w:tcPr>
            <w:tcW w:w="0" w:type="auto"/>
            <w:hideMark/>
          </w:tcPr>
          <w:p w14:paraId="4A1C7AC9" w14:textId="77777777" w:rsidR="00111A14" w:rsidRPr="00577F2F" w:rsidRDefault="00111A14" w:rsidP="00111A14">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17.33%</w:t>
            </w:r>
          </w:p>
        </w:tc>
      </w:tr>
      <w:tr w:rsidR="00111A14" w:rsidRPr="00577F2F" w14:paraId="64304612" w14:textId="77777777" w:rsidTr="00111A14">
        <w:tc>
          <w:tcPr>
            <w:cnfStyle w:val="001000000000" w:firstRow="0" w:lastRow="0" w:firstColumn="1" w:lastColumn="0" w:oddVBand="0" w:evenVBand="0" w:oddHBand="0" w:evenHBand="0" w:firstRowFirstColumn="0" w:firstRowLastColumn="0" w:lastRowFirstColumn="0" w:lastRowLastColumn="0"/>
            <w:tcW w:w="0" w:type="auto"/>
            <w:hideMark/>
          </w:tcPr>
          <w:p w14:paraId="17F640DD" w14:textId="77777777" w:rsidR="00111A14" w:rsidRPr="00577F2F" w:rsidRDefault="00111A14" w:rsidP="00111A14">
            <w:pPr>
              <w:rPr>
                <w:rFonts w:cs="Times New Roman"/>
                <w:lang w:val="en-IN" w:eastAsia="en-IN" w:bidi="bn-BD"/>
              </w:rPr>
            </w:pPr>
            <w:r w:rsidRPr="00577F2F">
              <w:rPr>
                <w:rFonts w:cs="Times New Roman"/>
                <w:lang w:val="en-IN" w:eastAsia="en-IN" w:bidi="bn-BD"/>
              </w:rPr>
              <w:t>Net Profit Margin</w:t>
            </w:r>
          </w:p>
        </w:tc>
        <w:tc>
          <w:tcPr>
            <w:tcW w:w="0" w:type="auto"/>
            <w:hideMark/>
          </w:tcPr>
          <w:p w14:paraId="5D231488" w14:textId="77777777" w:rsidR="00111A14" w:rsidRPr="00577F2F" w:rsidRDefault="00111A14" w:rsidP="00111A14">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Net Profit attributable to owners ÷ Net Revenue × 100</w:t>
            </w:r>
          </w:p>
        </w:tc>
        <w:tc>
          <w:tcPr>
            <w:tcW w:w="0" w:type="auto"/>
            <w:hideMark/>
          </w:tcPr>
          <w:p w14:paraId="25D792BB" w14:textId="77777777" w:rsidR="00111A14" w:rsidRPr="00577F2F" w:rsidRDefault="00111A14" w:rsidP="00111A14">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1,426 ÷ 14,169 × 100</w:t>
            </w:r>
          </w:p>
        </w:tc>
        <w:tc>
          <w:tcPr>
            <w:tcW w:w="0" w:type="auto"/>
            <w:hideMark/>
          </w:tcPr>
          <w:p w14:paraId="5A24C3EF" w14:textId="77777777" w:rsidR="00111A14" w:rsidRPr="00577F2F" w:rsidRDefault="00111A14" w:rsidP="00111A14">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10.08%</w:t>
            </w:r>
          </w:p>
        </w:tc>
        <w:tc>
          <w:tcPr>
            <w:tcW w:w="0" w:type="auto"/>
            <w:hideMark/>
          </w:tcPr>
          <w:p w14:paraId="4F7D83E9" w14:textId="77777777" w:rsidR="00111A14" w:rsidRPr="00577F2F" w:rsidRDefault="00111A14" w:rsidP="00111A14">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1,643 ÷ 14,607 × 100</w:t>
            </w:r>
          </w:p>
        </w:tc>
        <w:tc>
          <w:tcPr>
            <w:tcW w:w="0" w:type="auto"/>
            <w:hideMark/>
          </w:tcPr>
          <w:p w14:paraId="1D3A648D" w14:textId="77777777" w:rsidR="00111A14" w:rsidRPr="00577F2F" w:rsidRDefault="00111A14" w:rsidP="00111A14">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11.34%</w:t>
            </w:r>
          </w:p>
        </w:tc>
      </w:tr>
      <w:tr w:rsidR="00111A14" w:rsidRPr="00577F2F" w14:paraId="62F38B05" w14:textId="77777777" w:rsidTr="00111A14">
        <w:tc>
          <w:tcPr>
            <w:cnfStyle w:val="001000000000" w:firstRow="0" w:lastRow="0" w:firstColumn="1" w:lastColumn="0" w:oddVBand="0" w:evenVBand="0" w:oddHBand="0" w:evenHBand="0" w:firstRowFirstColumn="0" w:firstRowLastColumn="0" w:lastRowFirstColumn="0" w:lastRowLastColumn="0"/>
            <w:tcW w:w="0" w:type="auto"/>
            <w:hideMark/>
          </w:tcPr>
          <w:p w14:paraId="2AFCFA01" w14:textId="77777777" w:rsidR="00111A14" w:rsidRPr="00577F2F" w:rsidRDefault="00111A14" w:rsidP="00111A14">
            <w:pPr>
              <w:rPr>
                <w:rFonts w:cs="Times New Roman"/>
                <w:lang w:val="en-IN" w:eastAsia="en-IN" w:bidi="bn-BD"/>
              </w:rPr>
            </w:pPr>
            <w:r w:rsidRPr="00577F2F">
              <w:rPr>
                <w:rFonts w:cs="Times New Roman"/>
                <w:lang w:val="en-IN" w:eastAsia="en-IN" w:bidi="bn-BD"/>
              </w:rPr>
              <w:t>Return on Assets (ROA)</w:t>
            </w:r>
          </w:p>
        </w:tc>
        <w:tc>
          <w:tcPr>
            <w:tcW w:w="0" w:type="auto"/>
            <w:hideMark/>
          </w:tcPr>
          <w:p w14:paraId="460FCD8F" w14:textId="77777777" w:rsidR="00111A14" w:rsidRPr="00577F2F" w:rsidRDefault="00111A14" w:rsidP="00111A14">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Net Profit ÷ Total Assets × 100</w:t>
            </w:r>
          </w:p>
        </w:tc>
        <w:tc>
          <w:tcPr>
            <w:tcW w:w="0" w:type="auto"/>
            <w:hideMark/>
          </w:tcPr>
          <w:p w14:paraId="674DAE94" w14:textId="77777777" w:rsidR="00111A14" w:rsidRPr="00577F2F" w:rsidRDefault="00111A14" w:rsidP="00111A14">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1,428 ÷ 25,298 × 100</w:t>
            </w:r>
          </w:p>
        </w:tc>
        <w:tc>
          <w:tcPr>
            <w:tcW w:w="0" w:type="auto"/>
            <w:hideMark/>
          </w:tcPr>
          <w:p w14:paraId="2A2F567C" w14:textId="77777777" w:rsidR="00111A14" w:rsidRPr="00577F2F" w:rsidRDefault="00111A14" w:rsidP="00111A14">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5.64%</w:t>
            </w:r>
          </w:p>
        </w:tc>
        <w:tc>
          <w:tcPr>
            <w:tcW w:w="0" w:type="auto"/>
            <w:hideMark/>
          </w:tcPr>
          <w:p w14:paraId="75158A0B" w14:textId="77777777" w:rsidR="00111A14" w:rsidRPr="00577F2F" w:rsidRDefault="00111A14" w:rsidP="00111A14">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1,657 ÷ 27,136 × 100</w:t>
            </w:r>
          </w:p>
        </w:tc>
        <w:tc>
          <w:tcPr>
            <w:tcW w:w="0" w:type="auto"/>
            <w:hideMark/>
          </w:tcPr>
          <w:p w14:paraId="565DAE46" w14:textId="77777777" w:rsidR="00111A14" w:rsidRPr="00577F2F" w:rsidRDefault="00111A14" w:rsidP="00111A14">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6.11%</w:t>
            </w:r>
          </w:p>
        </w:tc>
      </w:tr>
      <w:tr w:rsidR="00111A14" w:rsidRPr="00577F2F" w14:paraId="042CCB60" w14:textId="77777777" w:rsidTr="00111A14">
        <w:tc>
          <w:tcPr>
            <w:cnfStyle w:val="001000000000" w:firstRow="0" w:lastRow="0" w:firstColumn="1" w:lastColumn="0" w:oddVBand="0" w:evenVBand="0" w:oddHBand="0" w:evenHBand="0" w:firstRowFirstColumn="0" w:firstRowLastColumn="0" w:lastRowFirstColumn="0" w:lastRowLastColumn="0"/>
            <w:tcW w:w="0" w:type="auto"/>
            <w:hideMark/>
          </w:tcPr>
          <w:p w14:paraId="3429259E" w14:textId="77777777" w:rsidR="00111A14" w:rsidRPr="00577F2F" w:rsidRDefault="00111A14" w:rsidP="00111A14">
            <w:pPr>
              <w:rPr>
                <w:rFonts w:cs="Times New Roman"/>
                <w:lang w:val="en-IN" w:eastAsia="en-IN" w:bidi="bn-BD"/>
              </w:rPr>
            </w:pPr>
            <w:r w:rsidRPr="00577F2F">
              <w:rPr>
                <w:rFonts w:cs="Times New Roman"/>
                <w:lang w:val="en-IN" w:eastAsia="en-IN" w:bidi="bn-BD"/>
              </w:rPr>
              <w:t>Return on Equity (ROE)</w:t>
            </w:r>
          </w:p>
        </w:tc>
        <w:tc>
          <w:tcPr>
            <w:tcW w:w="0" w:type="auto"/>
            <w:hideMark/>
          </w:tcPr>
          <w:p w14:paraId="29950055" w14:textId="77777777" w:rsidR="00111A14" w:rsidRPr="00577F2F" w:rsidRDefault="00111A14" w:rsidP="00111A14">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Profit attributable to owners ÷ Total Equity × 100</w:t>
            </w:r>
          </w:p>
        </w:tc>
        <w:tc>
          <w:tcPr>
            <w:tcW w:w="0" w:type="auto"/>
            <w:hideMark/>
          </w:tcPr>
          <w:p w14:paraId="543A7FDD" w14:textId="77777777" w:rsidR="00111A14" w:rsidRPr="00577F2F" w:rsidRDefault="00111A14" w:rsidP="00111A14">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1,426 ÷ 6,720 × 100</w:t>
            </w:r>
          </w:p>
        </w:tc>
        <w:tc>
          <w:tcPr>
            <w:tcW w:w="0" w:type="auto"/>
            <w:hideMark/>
          </w:tcPr>
          <w:p w14:paraId="634829F5" w14:textId="77777777" w:rsidR="00111A14" w:rsidRPr="00577F2F" w:rsidRDefault="00111A14" w:rsidP="00111A14">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21.22%</w:t>
            </w:r>
          </w:p>
        </w:tc>
        <w:tc>
          <w:tcPr>
            <w:tcW w:w="0" w:type="auto"/>
            <w:hideMark/>
          </w:tcPr>
          <w:p w14:paraId="627E92B0" w14:textId="77777777" w:rsidR="00111A14" w:rsidRPr="00577F2F" w:rsidRDefault="00111A14" w:rsidP="00111A14">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1,643 ÷ 8,469 × 100</w:t>
            </w:r>
          </w:p>
        </w:tc>
        <w:tc>
          <w:tcPr>
            <w:tcW w:w="0" w:type="auto"/>
            <w:hideMark/>
          </w:tcPr>
          <w:p w14:paraId="2CCE5F5A" w14:textId="77777777" w:rsidR="00111A14" w:rsidRPr="00577F2F" w:rsidRDefault="00111A14" w:rsidP="00111A14">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19.40%</w:t>
            </w:r>
          </w:p>
        </w:tc>
      </w:tr>
      <w:tr w:rsidR="00577F2F" w:rsidRPr="00577F2F" w14:paraId="53AF820C" w14:textId="77777777" w:rsidTr="00111A14">
        <w:tc>
          <w:tcPr>
            <w:cnfStyle w:val="001000000000" w:firstRow="0" w:lastRow="0" w:firstColumn="1" w:lastColumn="0" w:oddVBand="0" w:evenVBand="0" w:oddHBand="0" w:evenHBand="0" w:firstRowFirstColumn="0" w:firstRowLastColumn="0" w:lastRowFirstColumn="0" w:lastRowLastColumn="0"/>
            <w:tcW w:w="0" w:type="auto"/>
            <w:hideMark/>
          </w:tcPr>
          <w:p w14:paraId="4582E6E2" w14:textId="77777777" w:rsidR="00111A14" w:rsidRPr="00577F2F" w:rsidRDefault="00111A14" w:rsidP="00111A14">
            <w:pPr>
              <w:rPr>
                <w:rFonts w:cs="Times New Roman"/>
                <w:lang w:val="en-IN" w:eastAsia="en-IN" w:bidi="bn-BD"/>
              </w:rPr>
            </w:pPr>
            <w:r w:rsidRPr="00577F2F">
              <w:rPr>
                <w:rFonts w:cs="Times New Roman"/>
                <w:lang w:val="en-IN" w:eastAsia="en-IN" w:bidi="bn-BD"/>
              </w:rPr>
              <w:t>Return on Capital Employed (ROCE)</w:t>
            </w:r>
          </w:p>
        </w:tc>
        <w:tc>
          <w:tcPr>
            <w:tcW w:w="0" w:type="auto"/>
            <w:hideMark/>
          </w:tcPr>
          <w:p w14:paraId="49E0511B" w14:textId="77777777" w:rsidR="00111A14" w:rsidRPr="00577F2F" w:rsidRDefault="00111A14" w:rsidP="00111A14">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Operating Profit ÷ Capital Employed × 100</w:t>
            </w:r>
          </w:p>
        </w:tc>
        <w:tc>
          <w:tcPr>
            <w:tcW w:w="0" w:type="auto"/>
            <w:hideMark/>
          </w:tcPr>
          <w:p w14:paraId="3D944CF4" w14:textId="77777777" w:rsidR="00111A14" w:rsidRPr="00577F2F" w:rsidRDefault="00111A14" w:rsidP="00111A14">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2,425 ÷ (6,720 + 7,235) × 100</w:t>
            </w:r>
          </w:p>
        </w:tc>
        <w:tc>
          <w:tcPr>
            <w:tcW w:w="0" w:type="auto"/>
            <w:hideMark/>
          </w:tcPr>
          <w:p w14:paraId="7D5905CD" w14:textId="77777777" w:rsidR="00111A14" w:rsidRPr="00577F2F" w:rsidRDefault="00111A14" w:rsidP="00111A14">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17.38%</w:t>
            </w:r>
          </w:p>
        </w:tc>
        <w:tc>
          <w:tcPr>
            <w:tcW w:w="0" w:type="auto"/>
            <w:hideMark/>
          </w:tcPr>
          <w:p w14:paraId="5B408F85" w14:textId="77777777" w:rsidR="00111A14" w:rsidRPr="00577F2F" w:rsidRDefault="00111A14" w:rsidP="00111A14">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2,531 ÷ (8,469 + 6,858) × 100</w:t>
            </w:r>
          </w:p>
        </w:tc>
        <w:tc>
          <w:tcPr>
            <w:tcW w:w="0" w:type="auto"/>
            <w:hideMark/>
          </w:tcPr>
          <w:p w14:paraId="56CEB982" w14:textId="77777777" w:rsidR="00111A14" w:rsidRPr="00577F2F" w:rsidRDefault="00111A14" w:rsidP="00111A14">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16.51%</w:t>
            </w:r>
          </w:p>
        </w:tc>
      </w:tr>
    </w:tbl>
    <w:p w14:paraId="70BB89CA" w14:textId="77777777" w:rsidR="00111A14" w:rsidRPr="00577F2F" w:rsidRDefault="00111A14" w:rsidP="00111A14">
      <w:pPr>
        <w:rPr>
          <w:rFonts w:cs="Times New Roman"/>
          <w:lang w:val="en-IN"/>
        </w:rPr>
      </w:pPr>
    </w:p>
    <w:tbl>
      <w:tblPr>
        <w:tblStyle w:val="GridTable1Light"/>
        <w:tblW w:w="0" w:type="auto"/>
        <w:tblLook w:val="04A0" w:firstRow="1" w:lastRow="0" w:firstColumn="1" w:lastColumn="0" w:noHBand="0" w:noVBand="1"/>
      </w:tblPr>
      <w:tblGrid>
        <w:gridCol w:w="1222"/>
        <w:gridCol w:w="2378"/>
        <w:gridCol w:w="1695"/>
        <w:gridCol w:w="1013"/>
        <w:gridCol w:w="1695"/>
        <w:gridCol w:w="1013"/>
      </w:tblGrid>
      <w:tr w:rsidR="005A43C8" w:rsidRPr="00577F2F" w14:paraId="0333CB10" w14:textId="77777777" w:rsidTr="007D553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gridSpan w:val="6"/>
          </w:tcPr>
          <w:p w14:paraId="5B270691" w14:textId="5BD1A2F5" w:rsidR="005A43C8" w:rsidRPr="00577F2F" w:rsidRDefault="005A43C8" w:rsidP="005A43C8">
            <w:pPr>
              <w:jc w:val="center"/>
              <w:rPr>
                <w:rFonts w:cs="Times New Roman"/>
                <w:b w:val="0"/>
                <w:bCs w:val="0"/>
                <w:lang w:val="en-IN"/>
              </w:rPr>
            </w:pPr>
            <w:r w:rsidRPr="00577F2F">
              <w:rPr>
                <w:rFonts w:cs="Times New Roman"/>
              </w:rPr>
              <w:t>Liquidity Ratios</w:t>
            </w:r>
          </w:p>
        </w:tc>
      </w:tr>
      <w:tr w:rsidR="0090588C" w:rsidRPr="0090588C" w14:paraId="6D3F62A8" w14:textId="77777777" w:rsidTr="005A43C8">
        <w:tc>
          <w:tcPr>
            <w:cnfStyle w:val="001000000000" w:firstRow="0" w:lastRow="0" w:firstColumn="1" w:lastColumn="0" w:oddVBand="0" w:evenVBand="0" w:oddHBand="0" w:evenHBand="0" w:firstRowFirstColumn="0" w:firstRowLastColumn="0" w:lastRowFirstColumn="0" w:lastRowLastColumn="0"/>
            <w:tcW w:w="0" w:type="auto"/>
            <w:hideMark/>
          </w:tcPr>
          <w:p w14:paraId="4E720AAC" w14:textId="77777777" w:rsidR="0090588C" w:rsidRPr="0090588C" w:rsidRDefault="0090588C" w:rsidP="0090588C">
            <w:pPr>
              <w:spacing w:after="160"/>
              <w:rPr>
                <w:rFonts w:cs="Times New Roman"/>
                <w:lang w:val="en-IN"/>
              </w:rPr>
            </w:pPr>
            <w:r w:rsidRPr="0090588C">
              <w:rPr>
                <w:rFonts w:cs="Times New Roman"/>
                <w:lang w:val="en-IN"/>
              </w:rPr>
              <w:t>Ratio</w:t>
            </w:r>
          </w:p>
        </w:tc>
        <w:tc>
          <w:tcPr>
            <w:tcW w:w="0" w:type="auto"/>
            <w:hideMark/>
          </w:tcPr>
          <w:p w14:paraId="08103CC8" w14:textId="77777777" w:rsidR="0090588C" w:rsidRPr="0090588C" w:rsidRDefault="0090588C" w:rsidP="0090588C">
            <w:pPr>
              <w:spacing w:after="160"/>
              <w:cnfStyle w:val="000000000000" w:firstRow="0" w:lastRow="0" w:firstColumn="0" w:lastColumn="0" w:oddVBand="0" w:evenVBand="0" w:oddHBand="0" w:evenHBand="0" w:firstRowFirstColumn="0" w:firstRowLastColumn="0" w:lastRowFirstColumn="0" w:lastRowLastColumn="0"/>
              <w:rPr>
                <w:rFonts w:cs="Times New Roman"/>
                <w:b/>
                <w:bCs/>
                <w:lang w:val="en-IN"/>
              </w:rPr>
            </w:pPr>
            <w:r w:rsidRPr="0090588C">
              <w:rPr>
                <w:rFonts w:cs="Times New Roman"/>
                <w:b/>
                <w:bCs/>
                <w:lang w:val="en-IN"/>
              </w:rPr>
              <w:t>Formula</w:t>
            </w:r>
          </w:p>
        </w:tc>
        <w:tc>
          <w:tcPr>
            <w:tcW w:w="0" w:type="auto"/>
            <w:hideMark/>
          </w:tcPr>
          <w:p w14:paraId="71F88564" w14:textId="77777777" w:rsidR="0090588C" w:rsidRPr="0090588C" w:rsidRDefault="0090588C" w:rsidP="0090588C">
            <w:pPr>
              <w:spacing w:after="160"/>
              <w:cnfStyle w:val="000000000000" w:firstRow="0" w:lastRow="0" w:firstColumn="0" w:lastColumn="0" w:oddVBand="0" w:evenVBand="0" w:oddHBand="0" w:evenHBand="0" w:firstRowFirstColumn="0" w:firstRowLastColumn="0" w:lastRowFirstColumn="0" w:lastRowLastColumn="0"/>
              <w:rPr>
                <w:rFonts w:cs="Times New Roman"/>
                <w:b/>
                <w:bCs/>
                <w:lang w:val="en-IN"/>
              </w:rPr>
            </w:pPr>
            <w:r w:rsidRPr="0090588C">
              <w:rPr>
                <w:rFonts w:cs="Times New Roman"/>
                <w:b/>
                <w:bCs/>
                <w:lang w:val="en-IN"/>
              </w:rPr>
              <w:t>2024 – Calculation</w:t>
            </w:r>
          </w:p>
        </w:tc>
        <w:tc>
          <w:tcPr>
            <w:tcW w:w="0" w:type="auto"/>
            <w:hideMark/>
          </w:tcPr>
          <w:p w14:paraId="66224B21" w14:textId="77777777" w:rsidR="0090588C" w:rsidRPr="0090588C" w:rsidRDefault="0090588C" w:rsidP="0090588C">
            <w:pPr>
              <w:spacing w:after="160"/>
              <w:cnfStyle w:val="000000000000" w:firstRow="0" w:lastRow="0" w:firstColumn="0" w:lastColumn="0" w:oddVBand="0" w:evenVBand="0" w:oddHBand="0" w:evenHBand="0" w:firstRowFirstColumn="0" w:firstRowLastColumn="0" w:lastRowFirstColumn="0" w:lastRowLastColumn="0"/>
              <w:rPr>
                <w:rFonts w:cs="Times New Roman"/>
                <w:b/>
                <w:bCs/>
                <w:lang w:val="en-IN"/>
              </w:rPr>
            </w:pPr>
            <w:r w:rsidRPr="0090588C">
              <w:rPr>
                <w:rFonts w:cs="Times New Roman"/>
                <w:b/>
                <w:bCs/>
                <w:lang w:val="en-IN"/>
              </w:rPr>
              <w:t>2024 Result</w:t>
            </w:r>
          </w:p>
        </w:tc>
        <w:tc>
          <w:tcPr>
            <w:tcW w:w="0" w:type="auto"/>
            <w:hideMark/>
          </w:tcPr>
          <w:p w14:paraId="4CA9304A" w14:textId="77777777" w:rsidR="0090588C" w:rsidRPr="0090588C" w:rsidRDefault="0090588C" w:rsidP="0090588C">
            <w:pPr>
              <w:spacing w:after="160"/>
              <w:cnfStyle w:val="000000000000" w:firstRow="0" w:lastRow="0" w:firstColumn="0" w:lastColumn="0" w:oddVBand="0" w:evenVBand="0" w:oddHBand="0" w:evenHBand="0" w:firstRowFirstColumn="0" w:firstRowLastColumn="0" w:lastRowFirstColumn="0" w:lastRowLastColumn="0"/>
              <w:rPr>
                <w:rFonts w:cs="Times New Roman"/>
                <w:b/>
                <w:bCs/>
                <w:lang w:val="en-IN"/>
              </w:rPr>
            </w:pPr>
            <w:r w:rsidRPr="0090588C">
              <w:rPr>
                <w:rFonts w:cs="Times New Roman"/>
                <w:b/>
                <w:bCs/>
                <w:lang w:val="en-IN"/>
              </w:rPr>
              <w:t>2023 – Calculation</w:t>
            </w:r>
          </w:p>
        </w:tc>
        <w:tc>
          <w:tcPr>
            <w:tcW w:w="0" w:type="auto"/>
            <w:hideMark/>
          </w:tcPr>
          <w:p w14:paraId="11AE7807" w14:textId="77777777" w:rsidR="0090588C" w:rsidRPr="0090588C" w:rsidRDefault="0090588C" w:rsidP="0090588C">
            <w:pPr>
              <w:spacing w:after="160"/>
              <w:cnfStyle w:val="000000000000" w:firstRow="0" w:lastRow="0" w:firstColumn="0" w:lastColumn="0" w:oddVBand="0" w:evenVBand="0" w:oddHBand="0" w:evenHBand="0" w:firstRowFirstColumn="0" w:firstRowLastColumn="0" w:lastRowFirstColumn="0" w:lastRowLastColumn="0"/>
              <w:rPr>
                <w:rFonts w:cs="Times New Roman"/>
                <w:b/>
                <w:bCs/>
                <w:lang w:val="en-IN"/>
              </w:rPr>
            </w:pPr>
            <w:r w:rsidRPr="0090588C">
              <w:rPr>
                <w:rFonts w:cs="Times New Roman"/>
                <w:b/>
                <w:bCs/>
                <w:lang w:val="en-IN"/>
              </w:rPr>
              <w:t>2023 Result</w:t>
            </w:r>
          </w:p>
        </w:tc>
      </w:tr>
      <w:tr w:rsidR="0090588C" w:rsidRPr="0090588C" w14:paraId="4E7DDBE5" w14:textId="77777777" w:rsidTr="005A43C8">
        <w:tc>
          <w:tcPr>
            <w:cnfStyle w:val="001000000000" w:firstRow="0" w:lastRow="0" w:firstColumn="1" w:lastColumn="0" w:oddVBand="0" w:evenVBand="0" w:oddHBand="0" w:evenHBand="0" w:firstRowFirstColumn="0" w:firstRowLastColumn="0" w:lastRowFirstColumn="0" w:lastRowLastColumn="0"/>
            <w:tcW w:w="0" w:type="auto"/>
            <w:hideMark/>
          </w:tcPr>
          <w:p w14:paraId="33B8B720" w14:textId="77777777" w:rsidR="0090588C" w:rsidRPr="0090588C" w:rsidRDefault="0090588C" w:rsidP="0090588C">
            <w:pPr>
              <w:spacing w:after="160"/>
              <w:rPr>
                <w:rFonts w:cs="Times New Roman"/>
                <w:lang w:val="en-IN"/>
              </w:rPr>
            </w:pPr>
            <w:r w:rsidRPr="0090588C">
              <w:rPr>
                <w:rFonts w:cs="Times New Roman"/>
                <w:lang w:val="en-IN"/>
              </w:rPr>
              <w:t>Current Ratio</w:t>
            </w:r>
          </w:p>
        </w:tc>
        <w:tc>
          <w:tcPr>
            <w:tcW w:w="0" w:type="auto"/>
            <w:hideMark/>
          </w:tcPr>
          <w:p w14:paraId="50561646" w14:textId="77777777" w:rsidR="0090588C" w:rsidRPr="0090588C" w:rsidRDefault="0090588C" w:rsidP="0090588C">
            <w:pPr>
              <w:spacing w:after="160"/>
              <w:cnfStyle w:val="000000000000" w:firstRow="0" w:lastRow="0" w:firstColumn="0" w:lastColumn="0" w:oddVBand="0" w:evenVBand="0" w:oddHBand="0" w:evenHBand="0" w:firstRowFirstColumn="0" w:firstRowLastColumn="0" w:lastRowFirstColumn="0" w:lastRowLastColumn="0"/>
              <w:rPr>
                <w:rFonts w:cs="Times New Roman"/>
                <w:lang w:val="en-IN"/>
              </w:rPr>
            </w:pPr>
            <w:r w:rsidRPr="0090588C">
              <w:rPr>
                <w:rFonts w:cs="Times New Roman"/>
                <w:lang w:val="en-IN"/>
              </w:rPr>
              <w:t>Total Current Assets ÷ Total Current Liabilities</w:t>
            </w:r>
          </w:p>
        </w:tc>
        <w:tc>
          <w:tcPr>
            <w:tcW w:w="0" w:type="auto"/>
            <w:hideMark/>
          </w:tcPr>
          <w:p w14:paraId="11A1587E" w14:textId="77777777" w:rsidR="0090588C" w:rsidRPr="0090588C" w:rsidRDefault="0090588C" w:rsidP="0090588C">
            <w:pPr>
              <w:spacing w:after="160"/>
              <w:cnfStyle w:val="000000000000" w:firstRow="0" w:lastRow="0" w:firstColumn="0" w:lastColumn="0" w:oddVBand="0" w:evenVBand="0" w:oddHBand="0" w:evenHBand="0" w:firstRowFirstColumn="0" w:firstRowLastColumn="0" w:lastRowFirstColumn="0" w:lastRowLastColumn="0"/>
              <w:rPr>
                <w:rFonts w:cs="Times New Roman"/>
                <w:lang w:val="en-IN"/>
              </w:rPr>
            </w:pPr>
            <w:r w:rsidRPr="0090588C">
              <w:rPr>
                <w:rFonts w:cs="Times New Roman"/>
                <w:lang w:val="en-IN"/>
              </w:rPr>
              <w:t>4,598 ÷ 7,943</w:t>
            </w:r>
          </w:p>
        </w:tc>
        <w:tc>
          <w:tcPr>
            <w:tcW w:w="0" w:type="auto"/>
            <w:hideMark/>
          </w:tcPr>
          <w:p w14:paraId="75CCA42D" w14:textId="77777777" w:rsidR="0090588C" w:rsidRPr="0090588C" w:rsidRDefault="0090588C" w:rsidP="0090588C">
            <w:pPr>
              <w:spacing w:after="160"/>
              <w:cnfStyle w:val="000000000000" w:firstRow="0" w:lastRow="0" w:firstColumn="0" w:lastColumn="0" w:oddVBand="0" w:evenVBand="0" w:oddHBand="0" w:evenHBand="0" w:firstRowFirstColumn="0" w:firstRowLastColumn="0" w:lastRowFirstColumn="0" w:lastRowLastColumn="0"/>
              <w:rPr>
                <w:rFonts w:cs="Times New Roman"/>
                <w:lang w:val="en-IN"/>
              </w:rPr>
            </w:pPr>
            <w:r w:rsidRPr="0090588C">
              <w:rPr>
                <w:rFonts w:cs="Times New Roman"/>
                <w:b/>
                <w:bCs/>
                <w:lang w:val="en-IN"/>
              </w:rPr>
              <w:t>0.58</w:t>
            </w:r>
          </w:p>
        </w:tc>
        <w:tc>
          <w:tcPr>
            <w:tcW w:w="0" w:type="auto"/>
            <w:hideMark/>
          </w:tcPr>
          <w:p w14:paraId="46C33A59" w14:textId="77777777" w:rsidR="0090588C" w:rsidRPr="0090588C" w:rsidRDefault="0090588C" w:rsidP="0090588C">
            <w:pPr>
              <w:spacing w:after="160"/>
              <w:cnfStyle w:val="000000000000" w:firstRow="0" w:lastRow="0" w:firstColumn="0" w:lastColumn="0" w:oddVBand="0" w:evenVBand="0" w:oddHBand="0" w:evenHBand="0" w:firstRowFirstColumn="0" w:firstRowLastColumn="0" w:lastRowFirstColumn="0" w:lastRowLastColumn="0"/>
              <w:rPr>
                <w:rFonts w:cs="Times New Roman"/>
                <w:lang w:val="en-IN"/>
              </w:rPr>
            </w:pPr>
            <w:r w:rsidRPr="0090588C">
              <w:rPr>
                <w:rFonts w:cs="Times New Roman"/>
                <w:lang w:val="en-IN"/>
              </w:rPr>
              <w:t>5,302 ÷ 8,338</w:t>
            </w:r>
          </w:p>
        </w:tc>
        <w:tc>
          <w:tcPr>
            <w:tcW w:w="0" w:type="auto"/>
            <w:hideMark/>
          </w:tcPr>
          <w:p w14:paraId="4AA246AB" w14:textId="77777777" w:rsidR="0090588C" w:rsidRPr="0090588C" w:rsidRDefault="0090588C" w:rsidP="0090588C">
            <w:pPr>
              <w:spacing w:after="160"/>
              <w:cnfStyle w:val="000000000000" w:firstRow="0" w:lastRow="0" w:firstColumn="0" w:lastColumn="0" w:oddVBand="0" w:evenVBand="0" w:oddHBand="0" w:evenHBand="0" w:firstRowFirstColumn="0" w:firstRowLastColumn="0" w:lastRowFirstColumn="0" w:lastRowLastColumn="0"/>
              <w:rPr>
                <w:rFonts w:cs="Times New Roman"/>
                <w:lang w:val="en-IN"/>
              </w:rPr>
            </w:pPr>
            <w:r w:rsidRPr="0090588C">
              <w:rPr>
                <w:rFonts w:cs="Times New Roman"/>
                <w:b/>
                <w:bCs/>
                <w:lang w:val="en-IN"/>
              </w:rPr>
              <w:t>0.64</w:t>
            </w:r>
          </w:p>
        </w:tc>
      </w:tr>
      <w:tr w:rsidR="0090588C" w:rsidRPr="0090588C" w14:paraId="5449AE2B" w14:textId="77777777" w:rsidTr="005A43C8">
        <w:tc>
          <w:tcPr>
            <w:cnfStyle w:val="001000000000" w:firstRow="0" w:lastRow="0" w:firstColumn="1" w:lastColumn="0" w:oddVBand="0" w:evenVBand="0" w:oddHBand="0" w:evenHBand="0" w:firstRowFirstColumn="0" w:firstRowLastColumn="0" w:lastRowFirstColumn="0" w:lastRowLastColumn="0"/>
            <w:tcW w:w="0" w:type="auto"/>
            <w:hideMark/>
          </w:tcPr>
          <w:p w14:paraId="4D69CEDC" w14:textId="77777777" w:rsidR="0090588C" w:rsidRPr="0090588C" w:rsidRDefault="0090588C" w:rsidP="0090588C">
            <w:pPr>
              <w:spacing w:after="160"/>
              <w:rPr>
                <w:rFonts w:cs="Times New Roman"/>
                <w:lang w:val="en-IN"/>
              </w:rPr>
            </w:pPr>
            <w:r w:rsidRPr="0090588C">
              <w:rPr>
                <w:rFonts w:cs="Times New Roman"/>
                <w:lang w:val="en-IN"/>
              </w:rPr>
              <w:lastRenderedPageBreak/>
              <w:t>Quick Ratio</w:t>
            </w:r>
          </w:p>
        </w:tc>
        <w:tc>
          <w:tcPr>
            <w:tcW w:w="0" w:type="auto"/>
            <w:hideMark/>
          </w:tcPr>
          <w:p w14:paraId="6F31B29F" w14:textId="77777777" w:rsidR="0090588C" w:rsidRPr="0090588C" w:rsidRDefault="0090588C" w:rsidP="0090588C">
            <w:pPr>
              <w:spacing w:after="160"/>
              <w:cnfStyle w:val="000000000000" w:firstRow="0" w:lastRow="0" w:firstColumn="0" w:lastColumn="0" w:oddVBand="0" w:evenVBand="0" w:oddHBand="0" w:evenHBand="0" w:firstRowFirstColumn="0" w:firstRowLastColumn="0" w:lastRowFirstColumn="0" w:lastRowLastColumn="0"/>
              <w:rPr>
                <w:rFonts w:cs="Times New Roman"/>
                <w:lang w:val="en-IN"/>
              </w:rPr>
            </w:pPr>
            <w:r w:rsidRPr="0090588C">
              <w:rPr>
                <w:rFonts w:cs="Times New Roman"/>
                <w:lang w:val="en-IN"/>
              </w:rPr>
              <w:t>(Current Assets − Inventories) ÷ Current Liabilities</w:t>
            </w:r>
          </w:p>
        </w:tc>
        <w:tc>
          <w:tcPr>
            <w:tcW w:w="0" w:type="auto"/>
            <w:hideMark/>
          </w:tcPr>
          <w:p w14:paraId="609E82C2" w14:textId="77777777" w:rsidR="0090588C" w:rsidRPr="0090588C" w:rsidRDefault="0090588C" w:rsidP="0090588C">
            <w:pPr>
              <w:spacing w:after="160"/>
              <w:cnfStyle w:val="000000000000" w:firstRow="0" w:lastRow="0" w:firstColumn="0" w:lastColumn="0" w:oddVBand="0" w:evenVBand="0" w:oddHBand="0" w:evenHBand="0" w:firstRowFirstColumn="0" w:firstRowLastColumn="0" w:lastRowFirstColumn="0" w:lastRowLastColumn="0"/>
              <w:rPr>
                <w:rFonts w:cs="Times New Roman"/>
                <w:lang w:val="en-IN"/>
              </w:rPr>
            </w:pPr>
            <w:r w:rsidRPr="0090588C">
              <w:rPr>
                <w:rFonts w:cs="Times New Roman"/>
                <w:lang w:val="en-IN"/>
              </w:rPr>
              <w:t>(4,598 − 1,517) ÷ 7,943</w:t>
            </w:r>
          </w:p>
        </w:tc>
        <w:tc>
          <w:tcPr>
            <w:tcW w:w="0" w:type="auto"/>
            <w:hideMark/>
          </w:tcPr>
          <w:p w14:paraId="3C0B3633" w14:textId="77777777" w:rsidR="0090588C" w:rsidRPr="0090588C" w:rsidRDefault="0090588C" w:rsidP="0090588C">
            <w:pPr>
              <w:spacing w:after="160"/>
              <w:cnfStyle w:val="000000000000" w:firstRow="0" w:lastRow="0" w:firstColumn="0" w:lastColumn="0" w:oddVBand="0" w:evenVBand="0" w:oddHBand="0" w:evenHBand="0" w:firstRowFirstColumn="0" w:firstRowLastColumn="0" w:lastRowFirstColumn="0" w:lastRowLastColumn="0"/>
              <w:rPr>
                <w:rFonts w:cs="Times New Roman"/>
                <w:lang w:val="en-IN"/>
              </w:rPr>
            </w:pPr>
            <w:r w:rsidRPr="0090588C">
              <w:rPr>
                <w:rFonts w:cs="Times New Roman"/>
                <w:b/>
                <w:bCs/>
                <w:lang w:val="en-IN"/>
              </w:rPr>
              <w:t>0.39</w:t>
            </w:r>
          </w:p>
        </w:tc>
        <w:tc>
          <w:tcPr>
            <w:tcW w:w="0" w:type="auto"/>
            <w:hideMark/>
          </w:tcPr>
          <w:p w14:paraId="152B27AF" w14:textId="77777777" w:rsidR="0090588C" w:rsidRPr="0090588C" w:rsidRDefault="0090588C" w:rsidP="0090588C">
            <w:pPr>
              <w:spacing w:after="160"/>
              <w:cnfStyle w:val="000000000000" w:firstRow="0" w:lastRow="0" w:firstColumn="0" w:lastColumn="0" w:oddVBand="0" w:evenVBand="0" w:oddHBand="0" w:evenHBand="0" w:firstRowFirstColumn="0" w:firstRowLastColumn="0" w:lastRowFirstColumn="0" w:lastRowLastColumn="0"/>
              <w:rPr>
                <w:rFonts w:cs="Times New Roman"/>
                <w:lang w:val="en-IN"/>
              </w:rPr>
            </w:pPr>
            <w:r w:rsidRPr="0090588C">
              <w:rPr>
                <w:rFonts w:cs="Times New Roman"/>
                <w:lang w:val="en-IN"/>
              </w:rPr>
              <w:t>(5,302 − 1,637) ÷ 8,338</w:t>
            </w:r>
          </w:p>
        </w:tc>
        <w:tc>
          <w:tcPr>
            <w:tcW w:w="0" w:type="auto"/>
            <w:hideMark/>
          </w:tcPr>
          <w:p w14:paraId="339E204B" w14:textId="77777777" w:rsidR="0090588C" w:rsidRPr="0090588C" w:rsidRDefault="0090588C" w:rsidP="0090588C">
            <w:pPr>
              <w:spacing w:after="160"/>
              <w:cnfStyle w:val="000000000000" w:firstRow="0" w:lastRow="0" w:firstColumn="0" w:lastColumn="0" w:oddVBand="0" w:evenVBand="0" w:oddHBand="0" w:evenHBand="0" w:firstRowFirstColumn="0" w:firstRowLastColumn="0" w:lastRowFirstColumn="0" w:lastRowLastColumn="0"/>
              <w:rPr>
                <w:rFonts w:cs="Times New Roman"/>
                <w:lang w:val="en-IN"/>
              </w:rPr>
            </w:pPr>
            <w:r w:rsidRPr="0090588C">
              <w:rPr>
                <w:rFonts w:cs="Times New Roman"/>
                <w:b/>
                <w:bCs/>
                <w:lang w:val="en-IN"/>
              </w:rPr>
              <w:t>0.44</w:t>
            </w:r>
          </w:p>
        </w:tc>
      </w:tr>
    </w:tbl>
    <w:p w14:paraId="1530764E" w14:textId="77777777" w:rsidR="00111A14" w:rsidRPr="00577F2F" w:rsidRDefault="00111A14" w:rsidP="00111A14">
      <w:pPr>
        <w:rPr>
          <w:rFonts w:cs="Times New Roman"/>
          <w:lang w:val="en-IN"/>
        </w:rPr>
      </w:pPr>
    </w:p>
    <w:tbl>
      <w:tblPr>
        <w:tblStyle w:val="GridTable1Light"/>
        <w:tblW w:w="0" w:type="auto"/>
        <w:tblLook w:val="04A0" w:firstRow="1" w:lastRow="0" w:firstColumn="1" w:lastColumn="0" w:noHBand="0" w:noVBand="1"/>
      </w:tblPr>
      <w:tblGrid>
        <w:gridCol w:w="1633"/>
        <w:gridCol w:w="2045"/>
        <w:gridCol w:w="1677"/>
        <w:gridCol w:w="992"/>
        <w:gridCol w:w="1677"/>
        <w:gridCol w:w="992"/>
      </w:tblGrid>
      <w:tr w:rsidR="005A43C8" w:rsidRPr="00577F2F" w14:paraId="0D26B99D" w14:textId="77777777" w:rsidTr="00C2722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gridSpan w:val="6"/>
          </w:tcPr>
          <w:p w14:paraId="7EEE0AF1" w14:textId="5D707448" w:rsidR="005A43C8" w:rsidRPr="00577F2F" w:rsidRDefault="005A43C8" w:rsidP="005A43C8">
            <w:pPr>
              <w:jc w:val="center"/>
              <w:rPr>
                <w:rFonts w:cs="Times New Roman"/>
                <w:lang w:val="en-IN" w:eastAsia="en-IN" w:bidi="bn-BD"/>
              </w:rPr>
            </w:pPr>
            <w:r w:rsidRPr="00577F2F">
              <w:rPr>
                <w:rFonts w:cs="Times New Roman"/>
                <w:lang w:val="en-IN" w:eastAsia="en-IN" w:bidi="bn-BD"/>
              </w:rPr>
              <w:t>Gearing Ratios</w:t>
            </w:r>
          </w:p>
        </w:tc>
      </w:tr>
      <w:tr w:rsidR="005A43C8" w:rsidRPr="00577F2F" w14:paraId="77346497" w14:textId="77777777" w:rsidTr="005A43C8">
        <w:tc>
          <w:tcPr>
            <w:cnfStyle w:val="001000000000" w:firstRow="0" w:lastRow="0" w:firstColumn="1" w:lastColumn="0" w:oddVBand="0" w:evenVBand="0" w:oddHBand="0" w:evenHBand="0" w:firstRowFirstColumn="0" w:firstRowLastColumn="0" w:lastRowFirstColumn="0" w:lastRowLastColumn="0"/>
            <w:tcW w:w="0" w:type="auto"/>
            <w:hideMark/>
          </w:tcPr>
          <w:p w14:paraId="2B32B2D0" w14:textId="77777777" w:rsidR="005A43C8" w:rsidRPr="00577F2F" w:rsidRDefault="005A43C8" w:rsidP="005A43C8">
            <w:pPr>
              <w:rPr>
                <w:rFonts w:cs="Times New Roman"/>
                <w:lang w:val="en-IN" w:eastAsia="en-IN" w:bidi="bn-BD"/>
              </w:rPr>
            </w:pPr>
            <w:r w:rsidRPr="00577F2F">
              <w:rPr>
                <w:rFonts w:cs="Times New Roman"/>
                <w:lang w:val="en-IN" w:eastAsia="en-IN" w:bidi="bn-BD"/>
              </w:rPr>
              <w:t>Ratio</w:t>
            </w:r>
          </w:p>
        </w:tc>
        <w:tc>
          <w:tcPr>
            <w:tcW w:w="0" w:type="auto"/>
            <w:hideMark/>
          </w:tcPr>
          <w:p w14:paraId="53029D7E"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Formula</w:t>
            </w:r>
          </w:p>
        </w:tc>
        <w:tc>
          <w:tcPr>
            <w:tcW w:w="0" w:type="auto"/>
            <w:hideMark/>
          </w:tcPr>
          <w:p w14:paraId="2660D300"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2024 – Calculation</w:t>
            </w:r>
          </w:p>
        </w:tc>
        <w:tc>
          <w:tcPr>
            <w:tcW w:w="0" w:type="auto"/>
            <w:hideMark/>
          </w:tcPr>
          <w:p w14:paraId="6B8B73E0"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2024 Result</w:t>
            </w:r>
          </w:p>
        </w:tc>
        <w:tc>
          <w:tcPr>
            <w:tcW w:w="0" w:type="auto"/>
            <w:hideMark/>
          </w:tcPr>
          <w:p w14:paraId="5FE94026"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2023 – Calculation</w:t>
            </w:r>
          </w:p>
        </w:tc>
        <w:tc>
          <w:tcPr>
            <w:tcW w:w="0" w:type="auto"/>
            <w:hideMark/>
          </w:tcPr>
          <w:p w14:paraId="124EE1AD"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2023 Result</w:t>
            </w:r>
          </w:p>
        </w:tc>
      </w:tr>
      <w:tr w:rsidR="005A43C8" w:rsidRPr="00577F2F" w14:paraId="77DF3AA9" w14:textId="77777777" w:rsidTr="005A43C8">
        <w:tc>
          <w:tcPr>
            <w:cnfStyle w:val="001000000000" w:firstRow="0" w:lastRow="0" w:firstColumn="1" w:lastColumn="0" w:oddVBand="0" w:evenVBand="0" w:oddHBand="0" w:evenHBand="0" w:firstRowFirstColumn="0" w:firstRowLastColumn="0" w:lastRowFirstColumn="0" w:lastRowLastColumn="0"/>
            <w:tcW w:w="0" w:type="auto"/>
            <w:hideMark/>
          </w:tcPr>
          <w:p w14:paraId="3003DE48" w14:textId="77777777" w:rsidR="005A43C8" w:rsidRPr="00577F2F" w:rsidRDefault="005A43C8" w:rsidP="005A43C8">
            <w:pPr>
              <w:rPr>
                <w:rFonts w:cs="Times New Roman"/>
                <w:lang w:val="en-IN" w:eastAsia="en-IN" w:bidi="bn-BD"/>
              </w:rPr>
            </w:pPr>
            <w:r w:rsidRPr="00577F2F">
              <w:rPr>
                <w:rFonts w:cs="Times New Roman"/>
                <w:lang w:val="en-IN" w:eastAsia="en-IN" w:bidi="bn-BD"/>
              </w:rPr>
              <w:t>Debt to Equity Ratio</w:t>
            </w:r>
          </w:p>
        </w:tc>
        <w:tc>
          <w:tcPr>
            <w:tcW w:w="0" w:type="auto"/>
            <w:hideMark/>
          </w:tcPr>
          <w:p w14:paraId="1F733983"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Total Borrowings ÷ Total Equity</w:t>
            </w:r>
          </w:p>
        </w:tc>
        <w:tc>
          <w:tcPr>
            <w:tcW w:w="0" w:type="auto"/>
            <w:hideMark/>
          </w:tcPr>
          <w:p w14:paraId="227229C3"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(1,423 + 7,235) ÷ 6,720</w:t>
            </w:r>
          </w:p>
        </w:tc>
        <w:tc>
          <w:tcPr>
            <w:tcW w:w="0" w:type="auto"/>
            <w:hideMark/>
          </w:tcPr>
          <w:p w14:paraId="10B8E925"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1.29</w:t>
            </w:r>
          </w:p>
        </w:tc>
        <w:tc>
          <w:tcPr>
            <w:tcW w:w="0" w:type="auto"/>
            <w:hideMark/>
          </w:tcPr>
          <w:p w14:paraId="20D4F8F9"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(1,679 + 6,858) ÷ 8,469</w:t>
            </w:r>
          </w:p>
        </w:tc>
        <w:tc>
          <w:tcPr>
            <w:tcW w:w="0" w:type="auto"/>
            <w:hideMark/>
          </w:tcPr>
          <w:p w14:paraId="25603BB4"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1.01</w:t>
            </w:r>
          </w:p>
        </w:tc>
      </w:tr>
      <w:tr w:rsidR="005A43C8" w:rsidRPr="00577F2F" w14:paraId="5067DAEB" w14:textId="77777777" w:rsidTr="005A43C8">
        <w:tc>
          <w:tcPr>
            <w:cnfStyle w:val="001000000000" w:firstRow="0" w:lastRow="0" w:firstColumn="1" w:lastColumn="0" w:oddVBand="0" w:evenVBand="0" w:oddHBand="0" w:evenHBand="0" w:firstRowFirstColumn="0" w:firstRowLastColumn="0" w:lastRowFirstColumn="0" w:lastRowLastColumn="0"/>
            <w:tcW w:w="0" w:type="auto"/>
            <w:hideMark/>
          </w:tcPr>
          <w:p w14:paraId="49DA502B" w14:textId="77777777" w:rsidR="005A43C8" w:rsidRPr="00577F2F" w:rsidRDefault="005A43C8" w:rsidP="005A43C8">
            <w:pPr>
              <w:rPr>
                <w:rFonts w:cs="Times New Roman"/>
                <w:lang w:val="en-IN" w:eastAsia="en-IN" w:bidi="bn-BD"/>
              </w:rPr>
            </w:pPr>
            <w:r w:rsidRPr="00577F2F">
              <w:rPr>
                <w:rFonts w:cs="Times New Roman"/>
                <w:lang w:val="en-IN" w:eastAsia="en-IN" w:bidi="bn-BD"/>
              </w:rPr>
              <w:t>Interest Coverage Ratio</w:t>
            </w:r>
          </w:p>
        </w:tc>
        <w:tc>
          <w:tcPr>
            <w:tcW w:w="0" w:type="auto"/>
            <w:hideMark/>
          </w:tcPr>
          <w:p w14:paraId="57425551"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Operating Profit ÷ Finance Expense</w:t>
            </w:r>
          </w:p>
        </w:tc>
        <w:tc>
          <w:tcPr>
            <w:tcW w:w="0" w:type="auto"/>
            <w:hideMark/>
          </w:tcPr>
          <w:p w14:paraId="26CFDA25"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2,425 ÷ 402</w:t>
            </w:r>
          </w:p>
        </w:tc>
        <w:tc>
          <w:tcPr>
            <w:tcW w:w="0" w:type="auto"/>
            <w:hideMark/>
          </w:tcPr>
          <w:p w14:paraId="0EF08F7E"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6.03 times</w:t>
            </w:r>
          </w:p>
        </w:tc>
        <w:tc>
          <w:tcPr>
            <w:tcW w:w="0" w:type="auto"/>
            <w:hideMark/>
          </w:tcPr>
          <w:p w14:paraId="3DBD8447"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2,531 ÷ 340</w:t>
            </w:r>
          </w:p>
        </w:tc>
        <w:tc>
          <w:tcPr>
            <w:tcW w:w="0" w:type="auto"/>
            <w:hideMark/>
          </w:tcPr>
          <w:p w14:paraId="2A8877C7"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7.44 times</w:t>
            </w:r>
          </w:p>
        </w:tc>
      </w:tr>
      <w:tr w:rsidR="005A43C8" w:rsidRPr="00577F2F" w14:paraId="3AD1669A" w14:textId="77777777" w:rsidTr="005A43C8">
        <w:tc>
          <w:tcPr>
            <w:cnfStyle w:val="001000000000" w:firstRow="0" w:lastRow="0" w:firstColumn="1" w:lastColumn="0" w:oddVBand="0" w:evenVBand="0" w:oddHBand="0" w:evenHBand="0" w:firstRowFirstColumn="0" w:firstRowLastColumn="0" w:lastRowFirstColumn="0" w:lastRowLastColumn="0"/>
            <w:tcW w:w="0" w:type="auto"/>
            <w:hideMark/>
          </w:tcPr>
          <w:p w14:paraId="3B464A1B" w14:textId="77777777" w:rsidR="005A43C8" w:rsidRPr="00577F2F" w:rsidRDefault="005A43C8" w:rsidP="005A43C8">
            <w:pPr>
              <w:rPr>
                <w:rFonts w:cs="Times New Roman"/>
                <w:lang w:val="en-IN" w:eastAsia="en-IN" w:bidi="bn-BD"/>
              </w:rPr>
            </w:pPr>
            <w:r w:rsidRPr="00577F2F">
              <w:rPr>
                <w:rFonts w:cs="Times New Roman"/>
                <w:lang w:val="en-IN" w:eastAsia="en-IN" w:bidi="bn-BD"/>
              </w:rPr>
              <w:t>Debt Ratio</w:t>
            </w:r>
          </w:p>
        </w:tc>
        <w:tc>
          <w:tcPr>
            <w:tcW w:w="0" w:type="auto"/>
            <w:hideMark/>
          </w:tcPr>
          <w:p w14:paraId="1295B465"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Total Borrowings ÷ Total Assets</w:t>
            </w:r>
          </w:p>
        </w:tc>
        <w:tc>
          <w:tcPr>
            <w:tcW w:w="0" w:type="auto"/>
            <w:hideMark/>
          </w:tcPr>
          <w:p w14:paraId="14363E37"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8,658 ÷ 25,298</w:t>
            </w:r>
          </w:p>
        </w:tc>
        <w:tc>
          <w:tcPr>
            <w:tcW w:w="0" w:type="auto"/>
            <w:hideMark/>
          </w:tcPr>
          <w:p w14:paraId="7FFD8E4E"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0.34</w:t>
            </w:r>
          </w:p>
        </w:tc>
        <w:tc>
          <w:tcPr>
            <w:tcW w:w="0" w:type="auto"/>
            <w:hideMark/>
          </w:tcPr>
          <w:p w14:paraId="3D494DBB"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8,537 ÷ 27,136</w:t>
            </w:r>
          </w:p>
        </w:tc>
        <w:tc>
          <w:tcPr>
            <w:tcW w:w="0" w:type="auto"/>
            <w:hideMark/>
          </w:tcPr>
          <w:p w14:paraId="4037E177"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0.31</w:t>
            </w:r>
          </w:p>
        </w:tc>
      </w:tr>
    </w:tbl>
    <w:p w14:paraId="1B25D17F" w14:textId="77777777" w:rsidR="005A43C8" w:rsidRPr="00577F2F" w:rsidRDefault="005A43C8" w:rsidP="00111A14">
      <w:pPr>
        <w:rPr>
          <w:rFonts w:cs="Times New Roman"/>
          <w:lang w:val="en-IN"/>
        </w:rPr>
      </w:pPr>
    </w:p>
    <w:tbl>
      <w:tblPr>
        <w:tblStyle w:val="GridTable1Light"/>
        <w:tblW w:w="0" w:type="auto"/>
        <w:tblLook w:val="04A0" w:firstRow="1" w:lastRow="0" w:firstColumn="1" w:lastColumn="0" w:noHBand="0" w:noVBand="1"/>
      </w:tblPr>
      <w:tblGrid>
        <w:gridCol w:w="1870"/>
        <w:gridCol w:w="2074"/>
        <w:gridCol w:w="1568"/>
        <w:gridCol w:w="968"/>
        <w:gridCol w:w="1568"/>
        <w:gridCol w:w="968"/>
      </w:tblGrid>
      <w:tr w:rsidR="005A43C8" w:rsidRPr="00577F2F" w14:paraId="6F7C83FF" w14:textId="77777777" w:rsidTr="00117E1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gridSpan w:val="6"/>
          </w:tcPr>
          <w:p w14:paraId="1A8B5D07" w14:textId="075EFE29" w:rsidR="005A43C8" w:rsidRPr="00577F2F" w:rsidRDefault="005A43C8" w:rsidP="005A43C8">
            <w:pPr>
              <w:jc w:val="center"/>
              <w:rPr>
                <w:rFonts w:cs="Times New Roman"/>
                <w:lang w:val="en-IN" w:eastAsia="en-IN" w:bidi="bn-BD"/>
              </w:rPr>
            </w:pPr>
            <w:r w:rsidRPr="00577F2F">
              <w:rPr>
                <w:rFonts w:cs="Times New Roman"/>
                <w:lang w:val="en-IN" w:eastAsia="en-IN" w:bidi="bn-BD"/>
              </w:rPr>
              <w:t>Efficiency Ratios</w:t>
            </w:r>
          </w:p>
        </w:tc>
      </w:tr>
      <w:tr w:rsidR="005A43C8" w:rsidRPr="00577F2F" w14:paraId="4C378D76" w14:textId="77777777" w:rsidTr="005A43C8">
        <w:tc>
          <w:tcPr>
            <w:cnfStyle w:val="001000000000" w:firstRow="0" w:lastRow="0" w:firstColumn="1" w:lastColumn="0" w:oddVBand="0" w:evenVBand="0" w:oddHBand="0" w:evenHBand="0" w:firstRowFirstColumn="0" w:firstRowLastColumn="0" w:lastRowFirstColumn="0" w:lastRowLastColumn="0"/>
            <w:tcW w:w="0" w:type="auto"/>
            <w:hideMark/>
          </w:tcPr>
          <w:p w14:paraId="30A1B8E0" w14:textId="77777777" w:rsidR="005A43C8" w:rsidRPr="00577F2F" w:rsidRDefault="005A43C8" w:rsidP="005A43C8">
            <w:pPr>
              <w:rPr>
                <w:rFonts w:cs="Times New Roman"/>
                <w:lang w:val="en-IN" w:eastAsia="en-IN" w:bidi="bn-BD"/>
              </w:rPr>
            </w:pPr>
            <w:r w:rsidRPr="00577F2F">
              <w:rPr>
                <w:rFonts w:cs="Times New Roman"/>
                <w:lang w:val="en-IN" w:eastAsia="en-IN" w:bidi="bn-BD"/>
              </w:rPr>
              <w:t>Ratio</w:t>
            </w:r>
          </w:p>
        </w:tc>
        <w:tc>
          <w:tcPr>
            <w:tcW w:w="0" w:type="auto"/>
            <w:hideMark/>
          </w:tcPr>
          <w:p w14:paraId="473E392C"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Formula</w:t>
            </w:r>
          </w:p>
        </w:tc>
        <w:tc>
          <w:tcPr>
            <w:tcW w:w="0" w:type="auto"/>
            <w:hideMark/>
          </w:tcPr>
          <w:p w14:paraId="392437FC"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2024 – Calculation</w:t>
            </w:r>
          </w:p>
        </w:tc>
        <w:tc>
          <w:tcPr>
            <w:tcW w:w="0" w:type="auto"/>
            <w:hideMark/>
          </w:tcPr>
          <w:p w14:paraId="3D8480B6"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2024 Result</w:t>
            </w:r>
          </w:p>
        </w:tc>
        <w:tc>
          <w:tcPr>
            <w:tcW w:w="0" w:type="auto"/>
            <w:hideMark/>
          </w:tcPr>
          <w:p w14:paraId="1F4A8882"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2023 – Calculation</w:t>
            </w:r>
          </w:p>
        </w:tc>
        <w:tc>
          <w:tcPr>
            <w:tcW w:w="0" w:type="auto"/>
            <w:hideMark/>
          </w:tcPr>
          <w:p w14:paraId="09639429"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2023 Result</w:t>
            </w:r>
          </w:p>
        </w:tc>
      </w:tr>
      <w:tr w:rsidR="005A43C8" w:rsidRPr="00577F2F" w14:paraId="5111E680" w14:textId="77777777" w:rsidTr="005A43C8">
        <w:tc>
          <w:tcPr>
            <w:cnfStyle w:val="001000000000" w:firstRow="0" w:lastRow="0" w:firstColumn="1" w:lastColumn="0" w:oddVBand="0" w:evenVBand="0" w:oddHBand="0" w:evenHBand="0" w:firstRowFirstColumn="0" w:firstRowLastColumn="0" w:lastRowFirstColumn="0" w:lastRowLastColumn="0"/>
            <w:tcW w:w="0" w:type="auto"/>
            <w:hideMark/>
          </w:tcPr>
          <w:p w14:paraId="0A3AB3EC" w14:textId="77777777" w:rsidR="005A43C8" w:rsidRPr="00577F2F" w:rsidRDefault="005A43C8" w:rsidP="005A43C8">
            <w:pPr>
              <w:rPr>
                <w:rFonts w:cs="Times New Roman"/>
                <w:lang w:val="en-IN" w:eastAsia="en-IN" w:bidi="bn-BD"/>
              </w:rPr>
            </w:pPr>
            <w:r w:rsidRPr="00577F2F">
              <w:rPr>
                <w:rFonts w:cs="Times New Roman"/>
                <w:lang w:val="en-IN" w:eastAsia="en-IN" w:bidi="bn-BD"/>
              </w:rPr>
              <w:t>Inventory Turnover (Days)</w:t>
            </w:r>
          </w:p>
        </w:tc>
        <w:tc>
          <w:tcPr>
            <w:tcW w:w="0" w:type="auto"/>
            <w:hideMark/>
          </w:tcPr>
          <w:p w14:paraId="0915263A"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Inventories ÷ Cost of Sales × 365</w:t>
            </w:r>
          </w:p>
        </w:tc>
        <w:tc>
          <w:tcPr>
            <w:tcW w:w="0" w:type="auto"/>
            <w:hideMark/>
          </w:tcPr>
          <w:p w14:paraId="0B68291C"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1,517 ÷ 5,574 × 365</w:t>
            </w:r>
          </w:p>
        </w:tc>
        <w:tc>
          <w:tcPr>
            <w:tcW w:w="0" w:type="auto"/>
            <w:hideMark/>
          </w:tcPr>
          <w:p w14:paraId="35FDC6D4"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99 days</w:t>
            </w:r>
          </w:p>
        </w:tc>
        <w:tc>
          <w:tcPr>
            <w:tcW w:w="0" w:type="auto"/>
            <w:hideMark/>
          </w:tcPr>
          <w:p w14:paraId="63C17A92"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1,637 ÷ 5,847 × 365</w:t>
            </w:r>
          </w:p>
        </w:tc>
        <w:tc>
          <w:tcPr>
            <w:tcW w:w="0" w:type="auto"/>
            <w:hideMark/>
          </w:tcPr>
          <w:p w14:paraId="10881ECA"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102 days</w:t>
            </w:r>
          </w:p>
        </w:tc>
      </w:tr>
      <w:tr w:rsidR="005A43C8" w:rsidRPr="00577F2F" w14:paraId="166C3F9D" w14:textId="77777777" w:rsidTr="005A43C8">
        <w:tc>
          <w:tcPr>
            <w:cnfStyle w:val="001000000000" w:firstRow="0" w:lastRow="0" w:firstColumn="1" w:lastColumn="0" w:oddVBand="0" w:evenVBand="0" w:oddHBand="0" w:evenHBand="0" w:firstRowFirstColumn="0" w:firstRowLastColumn="0" w:lastRowFirstColumn="0" w:lastRowLastColumn="0"/>
            <w:tcW w:w="0" w:type="auto"/>
            <w:hideMark/>
          </w:tcPr>
          <w:p w14:paraId="36C4A267" w14:textId="77777777" w:rsidR="005A43C8" w:rsidRPr="00577F2F" w:rsidRDefault="005A43C8" w:rsidP="005A43C8">
            <w:pPr>
              <w:rPr>
                <w:rFonts w:cs="Times New Roman"/>
                <w:lang w:val="en-IN" w:eastAsia="en-IN" w:bidi="bn-BD"/>
              </w:rPr>
            </w:pPr>
            <w:r w:rsidRPr="00577F2F">
              <w:rPr>
                <w:rFonts w:cs="Times New Roman"/>
                <w:lang w:val="en-IN" w:eastAsia="en-IN" w:bidi="bn-BD"/>
              </w:rPr>
              <w:t>Receivables Turnover (Days)</w:t>
            </w:r>
          </w:p>
        </w:tc>
        <w:tc>
          <w:tcPr>
            <w:tcW w:w="0" w:type="auto"/>
            <w:hideMark/>
          </w:tcPr>
          <w:p w14:paraId="30972475"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Trade Receivables ÷ Net Revenue × 365</w:t>
            </w:r>
          </w:p>
        </w:tc>
        <w:tc>
          <w:tcPr>
            <w:tcW w:w="0" w:type="auto"/>
            <w:hideMark/>
          </w:tcPr>
          <w:p w14:paraId="315E6A95"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2,091 ÷ 14,169 × 365</w:t>
            </w:r>
          </w:p>
        </w:tc>
        <w:tc>
          <w:tcPr>
            <w:tcW w:w="0" w:type="auto"/>
            <w:hideMark/>
          </w:tcPr>
          <w:p w14:paraId="0E2B93F3"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54 days</w:t>
            </w:r>
          </w:p>
        </w:tc>
        <w:tc>
          <w:tcPr>
            <w:tcW w:w="0" w:type="auto"/>
            <w:hideMark/>
          </w:tcPr>
          <w:p w14:paraId="38D77F22"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2,062 ÷ 14,607 × 365</w:t>
            </w:r>
          </w:p>
        </w:tc>
        <w:tc>
          <w:tcPr>
            <w:tcW w:w="0" w:type="auto"/>
            <w:hideMark/>
          </w:tcPr>
          <w:p w14:paraId="3E351B7C"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52 days</w:t>
            </w:r>
          </w:p>
        </w:tc>
      </w:tr>
      <w:tr w:rsidR="005A43C8" w:rsidRPr="00577F2F" w14:paraId="22D2D743" w14:textId="77777777" w:rsidTr="005A43C8">
        <w:tc>
          <w:tcPr>
            <w:cnfStyle w:val="001000000000" w:firstRow="0" w:lastRow="0" w:firstColumn="1" w:lastColumn="0" w:oddVBand="0" w:evenVBand="0" w:oddHBand="0" w:evenHBand="0" w:firstRowFirstColumn="0" w:firstRowLastColumn="0" w:lastRowFirstColumn="0" w:lastRowLastColumn="0"/>
            <w:tcW w:w="0" w:type="auto"/>
            <w:hideMark/>
          </w:tcPr>
          <w:p w14:paraId="51D11C29" w14:textId="77777777" w:rsidR="005A43C8" w:rsidRPr="00577F2F" w:rsidRDefault="005A43C8" w:rsidP="005A43C8">
            <w:pPr>
              <w:rPr>
                <w:rFonts w:cs="Times New Roman"/>
                <w:lang w:val="en-IN" w:eastAsia="en-IN" w:bidi="bn-BD"/>
              </w:rPr>
            </w:pPr>
            <w:r w:rsidRPr="00577F2F">
              <w:rPr>
                <w:rFonts w:cs="Times New Roman"/>
                <w:lang w:val="en-IN" w:eastAsia="en-IN" w:bidi="bn-BD"/>
              </w:rPr>
              <w:t>Payables Turnover (Days)</w:t>
            </w:r>
          </w:p>
        </w:tc>
        <w:tc>
          <w:tcPr>
            <w:tcW w:w="0" w:type="auto"/>
            <w:hideMark/>
          </w:tcPr>
          <w:p w14:paraId="5E323E97"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Trade Payables ÷ Cost of Sales × 365</w:t>
            </w:r>
          </w:p>
        </w:tc>
        <w:tc>
          <w:tcPr>
            <w:tcW w:w="0" w:type="auto"/>
            <w:hideMark/>
          </w:tcPr>
          <w:p w14:paraId="4897FDB2"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5,291 ÷ 5,574 × 365</w:t>
            </w:r>
          </w:p>
        </w:tc>
        <w:tc>
          <w:tcPr>
            <w:tcW w:w="0" w:type="auto"/>
            <w:hideMark/>
          </w:tcPr>
          <w:p w14:paraId="09EC8383"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346 days</w:t>
            </w:r>
          </w:p>
        </w:tc>
        <w:tc>
          <w:tcPr>
            <w:tcW w:w="0" w:type="auto"/>
            <w:hideMark/>
          </w:tcPr>
          <w:p w14:paraId="517DF701"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5,506 ÷ 5,847 × 365</w:t>
            </w:r>
          </w:p>
        </w:tc>
        <w:tc>
          <w:tcPr>
            <w:tcW w:w="0" w:type="auto"/>
            <w:hideMark/>
          </w:tcPr>
          <w:p w14:paraId="6879C6F7"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344 days</w:t>
            </w:r>
          </w:p>
        </w:tc>
      </w:tr>
      <w:tr w:rsidR="005A43C8" w:rsidRPr="00577F2F" w14:paraId="2A9A4E77" w14:textId="77777777" w:rsidTr="005A43C8">
        <w:tc>
          <w:tcPr>
            <w:cnfStyle w:val="001000000000" w:firstRow="0" w:lastRow="0" w:firstColumn="1" w:lastColumn="0" w:oddVBand="0" w:evenVBand="0" w:oddHBand="0" w:evenHBand="0" w:firstRowFirstColumn="0" w:firstRowLastColumn="0" w:lastRowFirstColumn="0" w:lastRowLastColumn="0"/>
            <w:tcW w:w="0" w:type="auto"/>
            <w:hideMark/>
          </w:tcPr>
          <w:p w14:paraId="0D98DD8A" w14:textId="77777777" w:rsidR="005A43C8" w:rsidRPr="00577F2F" w:rsidRDefault="005A43C8" w:rsidP="005A43C8">
            <w:pPr>
              <w:rPr>
                <w:rFonts w:cs="Times New Roman"/>
                <w:lang w:val="en-IN" w:eastAsia="en-IN" w:bidi="bn-BD"/>
              </w:rPr>
            </w:pPr>
            <w:r w:rsidRPr="00577F2F">
              <w:rPr>
                <w:rFonts w:cs="Times New Roman"/>
                <w:lang w:val="en-IN" w:eastAsia="en-IN" w:bidi="bn-BD"/>
              </w:rPr>
              <w:t>Asset Turnover</w:t>
            </w:r>
          </w:p>
        </w:tc>
        <w:tc>
          <w:tcPr>
            <w:tcW w:w="0" w:type="auto"/>
            <w:hideMark/>
          </w:tcPr>
          <w:p w14:paraId="3C77B373"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Net Revenue ÷ Total Assets</w:t>
            </w:r>
          </w:p>
        </w:tc>
        <w:tc>
          <w:tcPr>
            <w:tcW w:w="0" w:type="auto"/>
            <w:hideMark/>
          </w:tcPr>
          <w:p w14:paraId="572C2515"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14,169 ÷ 25,298</w:t>
            </w:r>
          </w:p>
        </w:tc>
        <w:tc>
          <w:tcPr>
            <w:tcW w:w="0" w:type="auto"/>
            <w:hideMark/>
          </w:tcPr>
          <w:p w14:paraId="53977C75"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0.56</w:t>
            </w:r>
          </w:p>
        </w:tc>
        <w:tc>
          <w:tcPr>
            <w:tcW w:w="0" w:type="auto"/>
            <w:hideMark/>
          </w:tcPr>
          <w:p w14:paraId="758E6892"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14,607 ÷ 27,136</w:t>
            </w:r>
          </w:p>
        </w:tc>
        <w:tc>
          <w:tcPr>
            <w:tcW w:w="0" w:type="auto"/>
            <w:hideMark/>
          </w:tcPr>
          <w:p w14:paraId="734EA199"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0.54</w:t>
            </w:r>
          </w:p>
        </w:tc>
      </w:tr>
      <w:tr w:rsidR="005A43C8" w:rsidRPr="00577F2F" w14:paraId="3AFE621E" w14:textId="77777777" w:rsidTr="005A43C8">
        <w:tc>
          <w:tcPr>
            <w:cnfStyle w:val="001000000000" w:firstRow="0" w:lastRow="0" w:firstColumn="1" w:lastColumn="0" w:oddVBand="0" w:evenVBand="0" w:oddHBand="0" w:evenHBand="0" w:firstRowFirstColumn="0" w:firstRowLastColumn="0" w:lastRowFirstColumn="0" w:lastRowLastColumn="0"/>
            <w:tcW w:w="0" w:type="auto"/>
            <w:hideMark/>
          </w:tcPr>
          <w:p w14:paraId="7CC0E3A6" w14:textId="77777777" w:rsidR="005A43C8" w:rsidRPr="00577F2F" w:rsidRDefault="005A43C8" w:rsidP="005A43C8">
            <w:pPr>
              <w:rPr>
                <w:rFonts w:cs="Times New Roman"/>
                <w:lang w:val="en-IN" w:eastAsia="en-IN" w:bidi="bn-BD"/>
              </w:rPr>
            </w:pPr>
            <w:r w:rsidRPr="00577F2F">
              <w:rPr>
                <w:rFonts w:cs="Times New Roman"/>
                <w:lang w:val="en-IN" w:eastAsia="en-IN" w:bidi="bn-BD"/>
              </w:rPr>
              <w:t>Fixed Asset Turnover</w:t>
            </w:r>
          </w:p>
        </w:tc>
        <w:tc>
          <w:tcPr>
            <w:tcW w:w="0" w:type="auto"/>
            <w:hideMark/>
          </w:tcPr>
          <w:p w14:paraId="0EEA4EE5"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Net Revenue ÷ Non-current Assets</w:t>
            </w:r>
          </w:p>
        </w:tc>
        <w:tc>
          <w:tcPr>
            <w:tcW w:w="0" w:type="auto"/>
            <w:hideMark/>
          </w:tcPr>
          <w:p w14:paraId="4DE156C5"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14,169 ÷ 20,700</w:t>
            </w:r>
          </w:p>
        </w:tc>
        <w:tc>
          <w:tcPr>
            <w:tcW w:w="0" w:type="auto"/>
            <w:hideMark/>
          </w:tcPr>
          <w:p w14:paraId="58CAAA84"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0.68</w:t>
            </w:r>
          </w:p>
        </w:tc>
        <w:tc>
          <w:tcPr>
            <w:tcW w:w="0" w:type="auto"/>
            <w:hideMark/>
          </w:tcPr>
          <w:p w14:paraId="71FC79D1"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14,607 ÷ 21,834</w:t>
            </w:r>
          </w:p>
        </w:tc>
        <w:tc>
          <w:tcPr>
            <w:tcW w:w="0" w:type="auto"/>
            <w:hideMark/>
          </w:tcPr>
          <w:p w14:paraId="7DDA4E65" w14:textId="77777777" w:rsidR="005A43C8" w:rsidRPr="00577F2F" w:rsidRDefault="005A43C8" w:rsidP="005A43C8">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0.67</w:t>
            </w:r>
          </w:p>
        </w:tc>
      </w:tr>
    </w:tbl>
    <w:p w14:paraId="6E766AA3" w14:textId="77777777" w:rsidR="005A43C8" w:rsidRPr="00577F2F" w:rsidRDefault="005A43C8" w:rsidP="00111A14">
      <w:pPr>
        <w:rPr>
          <w:rFonts w:cs="Times New Roman"/>
          <w:lang w:val="en-IN"/>
        </w:rPr>
      </w:pPr>
    </w:p>
    <w:tbl>
      <w:tblPr>
        <w:tblStyle w:val="GridTable1Light"/>
        <w:tblW w:w="0" w:type="auto"/>
        <w:tblLook w:val="04A0" w:firstRow="1" w:lastRow="0" w:firstColumn="1" w:lastColumn="0" w:noHBand="0" w:noVBand="1"/>
      </w:tblPr>
      <w:tblGrid>
        <w:gridCol w:w="1645"/>
        <w:gridCol w:w="2079"/>
        <w:gridCol w:w="1612"/>
        <w:gridCol w:w="1049"/>
        <w:gridCol w:w="1612"/>
        <w:gridCol w:w="1019"/>
      </w:tblGrid>
      <w:tr w:rsidR="000647E1" w:rsidRPr="00577F2F" w14:paraId="1DC48151" w14:textId="77777777" w:rsidTr="001115C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gridSpan w:val="6"/>
          </w:tcPr>
          <w:p w14:paraId="7848D947" w14:textId="01D41594" w:rsidR="000647E1" w:rsidRPr="00577F2F" w:rsidRDefault="000647E1" w:rsidP="000647E1">
            <w:pPr>
              <w:tabs>
                <w:tab w:val="left" w:pos="1128"/>
              </w:tabs>
              <w:jc w:val="center"/>
              <w:rPr>
                <w:rFonts w:cs="Times New Roman"/>
                <w:lang w:val="en-IN" w:eastAsia="en-IN" w:bidi="bn-BD"/>
              </w:rPr>
            </w:pPr>
            <w:r w:rsidRPr="00577F2F">
              <w:rPr>
                <w:rFonts w:cs="Times New Roman"/>
                <w:lang w:val="en-IN" w:eastAsia="en-IN" w:bidi="bn-BD"/>
              </w:rPr>
              <w:lastRenderedPageBreak/>
              <w:t>Investment Ratios</w:t>
            </w:r>
          </w:p>
        </w:tc>
      </w:tr>
      <w:tr w:rsidR="000647E1" w:rsidRPr="00577F2F" w14:paraId="526D52BF" w14:textId="77777777" w:rsidTr="000647E1">
        <w:tc>
          <w:tcPr>
            <w:cnfStyle w:val="001000000000" w:firstRow="0" w:lastRow="0" w:firstColumn="1" w:lastColumn="0" w:oddVBand="0" w:evenVBand="0" w:oddHBand="0" w:evenHBand="0" w:firstRowFirstColumn="0" w:firstRowLastColumn="0" w:lastRowFirstColumn="0" w:lastRowLastColumn="0"/>
            <w:tcW w:w="0" w:type="auto"/>
            <w:hideMark/>
          </w:tcPr>
          <w:p w14:paraId="76B1B742" w14:textId="77777777" w:rsidR="000647E1" w:rsidRPr="00577F2F" w:rsidRDefault="000647E1" w:rsidP="000647E1">
            <w:pPr>
              <w:rPr>
                <w:rFonts w:cs="Times New Roman"/>
                <w:lang w:val="en-IN" w:eastAsia="en-IN" w:bidi="bn-BD"/>
              </w:rPr>
            </w:pPr>
            <w:r w:rsidRPr="00577F2F">
              <w:rPr>
                <w:rFonts w:cs="Times New Roman"/>
                <w:lang w:val="en-IN" w:eastAsia="en-IN" w:bidi="bn-BD"/>
              </w:rPr>
              <w:t>Ratio</w:t>
            </w:r>
          </w:p>
        </w:tc>
        <w:tc>
          <w:tcPr>
            <w:tcW w:w="0" w:type="auto"/>
            <w:hideMark/>
          </w:tcPr>
          <w:p w14:paraId="1AD04BA0" w14:textId="77777777" w:rsidR="000647E1" w:rsidRPr="00577F2F" w:rsidRDefault="000647E1" w:rsidP="000647E1">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Formula</w:t>
            </w:r>
          </w:p>
        </w:tc>
        <w:tc>
          <w:tcPr>
            <w:tcW w:w="0" w:type="auto"/>
            <w:hideMark/>
          </w:tcPr>
          <w:p w14:paraId="43F1FB49" w14:textId="77777777" w:rsidR="000647E1" w:rsidRPr="00577F2F" w:rsidRDefault="000647E1" w:rsidP="000647E1">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2024 – Calculation</w:t>
            </w:r>
          </w:p>
        </w:tc>
        <w:tc>
          <w:tcPr>
            <w:tcW w:w="0" w:type="auto"/>
            <w:hideMark/>
          </w:tcPr>
          <w:p w14:paraId="35420845" w14:textId="77777777" w:rsidR="000647E1" w:rsidRPr="00577F2F" w:rsidRDefault="000647E1" w:rsidP="000647E1">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2024 Result</w:t>
            </w:r>
          </w:p>
        </w:tc>
        <w:tc>
          <w:tcPr>
            <w:tcW w:w="0" w:type="auto"/>
            <w:hideMark/>
          </w:tcPr>
          <w:p w14:paraId="4144165C" w14:textId="77777777" w:rsidR="000647E1" w:rsidRPr="00577F2F" w:rsidRDefault="000647E1" w:rsidP="000647E1">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2023 – Calculation</w:t>
            </w:r>
          </w:p>
        </w:tc>
        <w:tc>
          <w:tcPr>
            <w:tcW w:w="0" w:type="auto"/>
            <w:hideMark/>
          </w:tcPr>
          <w:p w14:paraId="6C1A9259" w14:textId="77777777" w:rsidR="000647E1" w:rsidRPr="00577F2F" w:rsidRDefault="000647E1" w:rsidP="000647E1">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2023 Result</w:t>
            </w:r>
          </w:p>
        </w:tc>
      </w:tr>
      <w:tr w:rsidR="000647E1" w:rsidRPr="00577F2F" w14:paraId="1B03D5F3" w14:textId="77777777" w:rsidTr="000647E1">
        <w:tc>
          <w:tcPr>
            <w:cnfStyle w:val="001000000000" w:firstRow="0" w:lastRow="0" w:firstColumn="1" w:lastColumn="0" w:oddVBand="0" w:evenVBand="0" w:oddHBand="0" w:evenHBand="0" w:firstRowFirstColumn="0" w:firstRowLastColumn="0" w:lastRowFirstColumn="0" w:lastRowLastColumn="0"/>
            <w:tcW w:w="0" w:type="auto"/>
            <w:hideMark/>
          </w:tcPr>
          <w:p w14:paraId="470C5150" w14:textId="77777777" w:rsidR="000647E1" w:rsidRPr="00577F2F" w:rsidRDefault="000647E1" w:rsidP="000647E1">
            <w:pPr>
              <w:rPr>
                <w:rFonts w:cs="Times New Roman"/>
                <w:lang w:val="en-IN" w:eastAsia="en-IN" w:bidi="bn-BD"/>
              </w:rPr>
            </w:pPr>
            <w:r w:rsidRPr="00577F2F">
              <w:rPr>
                <w:rFonts w:cs="Times New Roman"/>
                <w:lang w:val="en-IN" w:eastAsia="en-IN" w:bidi="bn-BD"/>
              </w:rPr>
              <w:t>Earnings Per Share (EPS) – Basic</w:t>
            </w:r>
          </w:p>
        </w:tc>
        <w:tc>
          <w:tcPr>
            <w:tcW w:w="0" w:type="auto"/>
            <w:hideMark/>
          </w:tcPr>
          <w:p w14:paraId="3E98416E" w14:textId="77777777" w:rsidR="000647E1" w:rsidRPr="00577F2F" w:rsidRDefault="000647E1" w:rsidP="000647E1">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Profit attributable to owners ÷ Weighted average shares</w:t>
            </w:r>
          </w:p>
        </w:tc>
        <w:tc>
          <w:tcPr>
            <w:tcW w:w="0" w:type="auto"/>
            <w:hideMark/>
          </w:tcPr>
          <w:p w14:paraId="7212EADB" w14:textId="77777777" w:rsidR="000647E1" w:rsidRPr="00577F2F" w:rsidRDefault="000647E1" w:rsidP="000647E1">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As reported in annual report</w:t>
            </w:r>
          </w:p>
        </w:tc>
        <w:tc>
          <w:tcPr>
            <w:tcW w:w="0" w:type="auto"/>
            <w:hideMark/>
          </w:tcPr>
          <w:p w14:paraId="5AC8C1DA" w14:textId="77777777" w:rsidR="000647E1" w:rsidRPr="00577F2F" w:rsidRDefault="000647E1" w:rsidP="000647E1">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203.6p</w:t>
            </w:r>
          </w:p>
        </w:tc>
        <w:tc>
          <w:tcPr>
            <w:tcW w:w="0" w:type="auto"/>
            <w:hideMark/>
          </w:tcPr>
          <w:p w14:paraId="62C1B06B" w14:textId="77777777" w:rsidR="000647E1" w:rsidRPr="00577F2F" w:rsidRDefault="000647E1" w:rsidP="000647E1">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As reported in annual report</w:t>
            </w:r>
          </w:p>
        </w:tc>
        <w:tc>
          <w:tcPr>
            <w:tcW w:w="0" w:type="auto"/>
            <w:hideMark/>
          </w:tcPr>
          <w:p w14:paraId="3B99EC1D" w14:textId="77777777" w:rsidR="000647E1" w:rsidRPr="00577F2F" w:rsidRDefault="000647E1" w:rsidP="000647E1">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229.2p</w:t>
            </w:r>
          </w:p>
        </w:tc>
      </w:tr>
      <w:tr w:rsidR="000647E1" w:rsidRPr="00577F2F" w14:paraId="487CFDB8" w14:textId="77777777" w:rsidTr="000647E1">
        <w:tc>
          <w:tcPr>
            <w:cnfStyle w:val="001000000000" w:firstRow="0" w:lastRow="0" w:firstColumn="1" w:lastColumn="0" w:oddVBand="0" w:evenVBand="0" w:oddHBand="0" w:evenHBand="0" w:firstRowFirstColumn="0" w:firstRowLastColumn="0" w:lastRowFirstColumn="0" w:lastRowLastColumn="0"/>
            <w:tcW w:w="0" w:type="auto"/>
            <w:hideMark/>
          </w:tcPr>
          <w:p w14:paraId="7D3394B4" w14:textId="77777777" w:rsidR="000647E1" w:rsidRPr="00577F2F" w:rsidRDefault="000647E1" w:rsidP="000647E1">
            <w:pPr>
              <w:rPr>
                <w:rFonts w:cs="Times New Roman"/>
                <w:lang w:val="en-IN" w:eastAsia="en-IN" w:bidi="bn-BD"/>
              </w:rPr>
            </w:pPr>
            <w:r w:rsidRPr="00577F2F">
              <w:rPr>
                <w:rFonts w:cs="Times New Roman"/>
                <w:lang w:val="en-IN" w:eastAsia="en-IN" w:bidi="bn-BD"/>
              </w:rPr>
              <w:t>Earnings Per Share (EPS) – Diluted</w:t>
            </w:r>
          </w:p>
        </w:tc>
        <w:tc>
          <w:tcPr>
            <w:tcW w:w="0" w:type="auto"/>
            <w:hideMark/>
          </w:tcPr>
          <w:p w14:paraId="3EDCBDE5" w14:textId="77777777" w:rsidR="000647E1" w:rsidRPr="00577F2F" w:rsidRDefault="000647E1" w:rsidP="000647E1">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Adjusted profit ÷ Diluted shares</w:t>
            </w:r>
          </w:p>
        </w:tc>
        <w:tc>
          <w:tcPr>
            <w:tcW w:w="0" w:type="auto"/>
            <w:hideMark/>
          </w:tcPr>
          <w:p w14:paraId="356DC173" w14:textId="77777777" w:rsidR="000647E1" w:rsidRPr="00577F2F" w:rsidRDefault="000647E1" w:rsidP="000647E1">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As reported in annual report</w:t>
            </w:r>
          </w:p>
        </w:tc>
        <w:tc>
          <w:tcPr>
            <w:tcW w:w="0" w:type="auto"/>
            <w:hideMark/>
          </w:tcPr>
          <w:p w14:paraId="4EA328A6" w14:textId="77777777" w:rsidR="000647E1" w:rsidRPr="00577F2F" w:rsidRDefault="000647E1" w:rsidP="000647E1">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203.2p</w:t>
            </w:r>
          </w:p>
        </w:tc>
        <w:tc>
          <w:tcPr>
            <w:tcW w:w="0" w:type="auto"/>
            <w:hideMark/>
          </w:tcPr>
          <w:p w14:paraId="645B5A45" w14:textId="77777777" w:rsidR="000647E1" w:rsidRPr="00577F2F" w:rsidRDefault="000647E1" w:rsidP="000647E1">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As reported in annual report</w:t>
            </w:r>
          </w:p>
        </w:tc>
        <w:tc>
          <w:tcPr>
            <w:tcW w:w="0" w:type="auto"/>
            <w:hideMark/>
          </w:tcPr>
          <w:p w14:paraId="1FA2ED79" w14:textId="77777777" w:rsidR="000647E1" w:rsidRPr="00577F2F" w:rsidRDefault="000647E1" w:rsidP="000647E1">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228.7p</w:t>
            </w:r>
          </w:p>
        </w:tc>
      </w:tr>
      <w:tr w:rsidR="000647E1" w:rsidRPr="00577F2F" w14:paraId="32AEF166" w14:textId="77777777" w:rsidTr="000647E1">
        <w:tc>
          <w:tcPr>
            <w:cnfStyle w:val="001000000000" w:firstRow="0" w:lastRow="0" w:firstColumn="1" w:lastColumn="0" w:oddVBand="0" w:evenVBand="0" w:oddHBand="0" w:evenHBand="0" w:firstRowFirstColumn="0" w:firstRowLastColumn="0" w:lastRowFirstColumn="0" w:lastRowLastColumn="0"/>
            <w:tcW w:w="0" w:type="auto"/>
            <w:hideMark/>
          </w:tcPr>
          <w:p w14:paraId="7E1E4F9C" w14:textId="77777777" w:rsidR="000647E1" w:rsidRPr="00577F2F" w:rsidRDefault="000647E1" w:rsidP="000647E1">
            <w:pPr>
              <w:rPr>
                <w:rFonts w:cs="Times New Roman"/>
                <w:lang w:val="en-IN" w:eastAsia="en-IN" w:bidi="bn-BD"/>
              </w:rPr>
            </w:pPr>
            <w:r w:rsidRPr="00577F2F">
              <w:rPr>
                <w:rFonts w:cs="Times New Roman"/>
                <w:lang w:val="en-IN" w:eastAsia="en-IN" w:bidi="bn-BD"/>
              </w:rPr>
              <w:t>Price–Earnings (P/E) Ratio</w:t>
            </w:r>
          </w:p>
        </w:tc>
        <w:tc>
          <w:tcPr>
            <w:tcW w:w="0" w:type="auto"/>
            <w:hideMark/>
          </w:tcPr>
          <w:p w14:paraId="6BE116B8" w14:textId="77777777" w:rsidR="000647E1" w:rsidRPr="00577F2F" w:rsidRDefault="000647E1" w:rsidP="000647E1">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Market Price per Share ÷ EPS</w:t>
            </w:r>
          </w:p>
        </w:tc>
        <w:tc>
          <w:tcPr>
            <w:tcW w:w="0" w:type="auto"/>
            <w:hideMark/>
          </w:tcPr>
          <w:p w14:paraId="35318535" w14:textId="77777777" w:rsidR="000647E1" w:rsidRPr="00577F2F" w:rsidRDefault="000647E1" w:rsidP="000647E1">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4,833p ÷ 203.6p</w:t>
            </w:r>
          </w:p>
        </w:tc>
        <w:tc>
          <w:tcPr>
            <w:tcW w:w="0" w:type="auto"/>
            <w:hideMark/>
          </w:tcPr>
          <w:p w14:paraId="47D01F8A" w14:textId="77777777" w:rsidR="000647E1" w:rsidRPr="00577F2F" w:rsidRDefault="000647E1" w:rsidP="000647E1">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23.74</w:t>
            </w:r>
          </w:p>
        </w:tc>
        <w:tc>
          <w:tcPr>
            <w:tcW w:w="0" w:type="auto"/>
            <w:hideMark/>
          </w:tcPr>
          <w:p w14:paraId="1656D072" w14:textId="1A6615E0" w:rsidR="000647E1" w:rsidRPr="00577F2F" w:rsidRDefault="000647E1" w:rsidP="000647E1">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(5420p÷ 229.2p)</w:t>
            </w:r>
          </w:p>
        </w:tc>
        <w:tc>
          <w:tcPr>
            <w:tcW w:w="0" w:type="auto"/>
            <w:hideMark/>
          </w:tcPr>
          <w:p w14:paraId="1B875AB1" w14:textId="77777777" w:rsidR="000647E1" w:rsidRPr="00577F2F" w:rsidRDefault="000647E1" w:rsidP="000647E1">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9.02</w:t>
            </w:r>
          </w:p>
        </w:tc>
      </w:tr>
      <w:tr w:rsidR="000647E1" w:rsidRPr="00577F2F" w14:paraId="3D2396F7" w14:textId="77777777" w:rsidTr="000647E1">
        <w:tc>
          <w:tcPr>
            <w:cnfStyle w:val="001000000000" w:firstRow="0" w:lastRow="0" w:firstColumn="1" w:lastColumn="0" w:oddVBand="0" w:evenVBand="0" w:oddHBand="0" w:evenHBand="0" w:firstRowFirstColumn="0" w:firstRowLastColumn="0" w:lastRowFirstColumn="0" w:lastRowLastColumn="0"/>
            <w:tcW w:w="0" w:type="auto"/>
            <w:hideMark/>
          </w:tcPr>
          <w:p w14:paraId="7C6F9943" w14:textId="77777777" w:rsidR="000647E1" w:rsidRPr="00577F2F" w:rsidRDefault="000647E1" w:rsidP="000647E1">
            <w:pPr>
              <w:rPr>
                <w:rFonts w:cs="Times New Roman"/>
                <w:lang w:val="en-IN" w:eastAsia="en-IN" w:bidi="bn-BD"/>
              </w:rPr>
            </w:pPr>
            <w:r w:rsidRPr="00577F2F">
              <w:rPr>
                <w:rFonts w:cs="Times New Roman"/>
                <w:lang w:val="en-IN" w:eastAsia="en-IN" w:bidi="bn-BD"/>
              </w:rPr>
              <w:t>Dividend Yield</w:t>
            </w:r>
          </w:p>
        </w:tc>
        <w:tc>
          <w:tcPr>
            <w:tcW w:w="0" w:type="auto"/>
            <w:hideMark/>
          </w:tcPr>
          <w:p w14:paraId="60579CEB" w14:textId="77777777" w:rsidR="000647E1" w:rsidRPr="00577F2F" w:rsidRDefault="000647E1" w:rsidP="000647E1">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Dividend per Share ÷ Market Price × 100</w:t>
            </w:r>
          </w:p>
        </w:tc>
        <w:tc>
          <w:tcPr>
            <w:tcW w:w="0" w:type="auto"/>
            <w:hideMark/>
          </w:tcPr>
          <w:p w14:paraId="1C2BCDB2" w14:textId="77777777" w:rsidR="000647E1" w:rsidRPr="00577F2F" w:rsidRDefault="000647E1" w:rsidP="000647E1">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202.1p ÷ 4,833p × 100</w:t>
            </w:r>
          </w:p>
        </w:tc>
        <w:tc>
          <w:tcPr>
            <w:tcW w:w="0" w:type="auto"/>
            <w:hideMark/>
          </w:tcPr>
          <w:p w14:paraId="577EF5D6" w14:textId="77777777" w:rsidR="000647E1" w:rsidRPr="00577F2F" w:rsidRDefault="000647E1" w:rsidP="000647E1">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4.18% (~0.04)</w:t>
            </w:r>
          </w:p>
        </w:tc>
        <w:tc>
          <w:tcPr>
            <w:tcW w:w="0" w:type="auto"/>
            <w:hideMark/>
          </w:tcPr>
          <w:p w14:paraId="3CA9FA38" w14:textId="05CDEE1F" w:rsidR="000647E1" w:rsidRPr="00577F2F" w:rsidRDefault="000647E1" w:rsidP="000647E1">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192.5p ÷ (5420p) × 100</w:t>
            </w:r>
          </w:p>
        </w:tc>
        <w:tc>
          <w:tcPr>
            <w:tcW w:w="0" w:type="auto"/>
            <w:hideMark/>
          </w:tcPr>
          <w:p w14:paraId="5FF10A43" w14:textId="77777777" w:rsidR="000647E1" w:rsidRPr="00577F2F" w:rsidRDefault="000647E1" w:rsidP="000647E1">
            <w:pPr>
              <w:cnfStyle w:val="000000000000" w:firstRow="0" w:lastRow="0" w:firstColumn="0" w:lastColumn="0" w:oddVBand="0" w:evenVBand="0" w:oddHBand="0" w:evenHBand="0" w:firstRowFirstColumn="0" w:firstRowLastColumn="0" w:lastRowFirstColumn="0" w:lastRowLastColumn="0"/>
              <w:rPr>
                <w:rFonts w:cs="Times New Roman"/>
                <w:lang w:val="en-IN" w:eastAsia="en-IN" w:bidi="bn-BD"/>
              </w:rPr>
            </w:pPr>
            <w:r w:rsidRPr="00577F2F">
              <w:rPr>
                <w:rFonts w:cs="Times New Roman"/>
                <w:lang w:val="en-IN" w:eastAsia="en-IN" w:bidi="bn-BD"/>
              </w:rPr>
              <w:t>≈4% (~0.04)</w:t>
            </w:r>
          </w:p>
        </w:tc>
      </w:tr>
    </w:tbl>
    <w:p w14:paraId="6521BF1C" w14:textId="77777777" w:rsidR="005A43C8" w:rsidRPr="00577F2F" w:rsidRDefault="005A43C8" w:rsidP="00111A14">
      <w:pPr>
        <w:rPr>
          <w:rFonts w:cs="Times New Roman"/>
          <w:lang w:val="en-IN"/>
        </w:rPr>
      </w:pPr>
    </w:p>
    <w:sectPr w:rsidR="005A43C8" w:rsidRPr="00577F2F">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CB87E2" w14:textId="77777777" w:rsidR="00706079" w:rsidRDefault="00706079" w:rsidP="009B5E98">
      <w:pPr>
        <w:spacing w:after="0" w:line="240" w:lineRule="auto"/>
      </w:pPr>
      <w:r>
        <w:separator/>
      </w:r>
    </w:p>
  </w:endnote>
  <w:endnote w:type="continuationSeparator" w:id="0">
    <w:p w14:paraId="7824B0B8" w14:textId="77777777" w:rsidR="00706079" w:rsidRDefault="00706079" w:rsidP="009B5E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3929802"/>
      <w:docPartObj>
        <w:docPartGallery w:val="Page Numbers (Bottom of Page)"/>
        <w:docPartUnique/>
      </w:docPartObj>
    </w:sdtPr>
    <w:sdtEndPr>
      <w:rPr>
        <w:noProof/>
      </w:rPr>
    </w:sdtEndPr>
    <w:sdtContent>
      <w:p w14:paraId="5C269BF4" w14:textId="42D74A83" w:rsidR="009B5E98" w:rsidRDefault="009B5E98">
        <w:pPr>
          <w:pStyle w:val="Footer"/>
        </w:pPr>
        <w:r>
          <w:fldChar w:fldCharType="begin"/>
        </w:r>
        <w:r>
          <w:instrText xml:space="preserve"> PAGE   \* MERGEFORMAT </w:instrText>
        </w:r>
        <w:r>
          <w:fldChar w:fldCharType="separate"/>
        </w:r>
        <w:r>
          <w:rPr>
            <w:noProof/>
          </w:rPr>
          <w:t>2</w:t>
        </w:r>
        <w:r>
          <w:rPr>
            <w:noProof/>
          </w:rPr>
          <w:fldChar w:fldCharType="end"/>
        </w:r>
      </w:p>
    </w:sdtContent>
  </w:sdt>
  <w:p w14:paraId="5F4FDD6E" w14:textId="77777777" w:rsidR="009B5E98" w:rsidRDefault="009B5E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3723A2" w14:textId="77777777" w:rsidR="00706079" w:rsidRDefault="00706079" w:rsidP="009B5E98">
      <w:pPr>
        <w:spacing w:after="0" w:line="240" w:lineRule="auto"/>
      </w:pPr>
      <w:r>
        <w:separator/>
      </w:r>
    </w:p>
  </w:footnote>
  <w:footnote w:type="continuationSeparator" w:id="0">
    <w:p w14:paraId="4B0F15BF" w14:textId="77777777" w:rsidR="00706079" w:rsidRDefault="00706079" w:rsidP="009B5E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655F9F"/>
    <w:multiLevelType w:val="multilevel"/>
    <w:tmpl w:val="58900D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C872E9"/>
    <w:multiLevelType w:val="hybridMultilevel"/>
    <w:tmpl w:val="589821EA"/>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4F25D62"/>
    <w:multiLevelType w:val="multilevel"/>
    <w:tmpl w:val="82EE8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74E14F3"/>
    <w:multiLevelType w:val="multilevel"/>
    <w:tmpl w:val="DED04D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F3F4C0A"/>
    <w:multiLevelType w:val="hybridMultilevel"/>
    <w:tmpl w:val="C82CED18"/>
    <w:lvl w:ilvl="0" w:tplc="D18A1124">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61C639DF"/>
    <w:multiLevelType w:val="multilevel"/>
    <w:tmpl w:val="A8A68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337075F"/>
    <w:multiLevelType w:val="multilevel"/>
    <w:tmpl w:val="DEB45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7A4F9B"/>
    <w:multiLevelType w:val="hybridMultilevel"/>
    <w:tmpl w:val="5A06F642"/>
    <w:lvl w:ilvl="0" w:tplc="158860D6">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6FA31F0C"/>
    <w:multiLevelType w:val="multilevel"/>
    <w:tmpl w:val="9AAAE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2D10A31"/>
    <w:multiLevelType w:val="hybridMultilevel"/>
    <w:tmpl w:val="67FC940A"/>
    <w:lvl w:ilvl="0" w:tplc="06EAAEC6">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77084447"/>
    <w:multiLevelType w:val="hybridMultilevel"/>
    <w:tmpl w:val="ABE88070"/>
    <w:lvl w:ilvl="0" w:tplc="7BE8E0A4">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7D131A11"/>
    <w:multiLevelType w:val="hybridMultilevel"/>
    <w:tmpl w:val="ACEC8804"/>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1"/>
  </w:num>
  <w:num w:numId="2">
    <w:abstractNumId w:val="2"/>
  </w:num>
  <w:num w:numId="3">
    <w:abstractNumId w:val="4"/>
  </w:num>
  <w:num w:numId="4">
    <w:abstractNumId w:val="10"/>
  </w:num>
  <w:num w:numId="5">
    <w:abstractNumId w:val="1"/>
  </w:num>
  <w:num w:numId="6">
    <w:abstractNumId w:val="5"/>
  </w:num>
  <w:num w:numId="7">
    <w:abstractNumId w:val="6"/>
  </w:num>
  <w:num w:numId="8">
    <w:abstractNumId w:val="0"/>
  </w:num>
  <w:num w:numId="9">
    <w:abstractNumId w:val="3"/>
  </w:num>
  <w:num w:numId="10">
    <w:abstractNumId w:val="8"/>
  </w:num>
  <w:num w:numId="11">
    <w:abstractNumId w:val="9"/>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I1NbM0sTA1tDAwMzdW0lEKTi0uzszPAykwrAUAt25hZiwAAAA="/>
  </w:docVars>
  <w:rsids>
    <w:rsidRoot w:val="006361D1"/>
    <w:rsid w:val="000152BE"/>
    <w:rsid w:val="00034F33"/>
    <w:rsid w:val="000647E1"/>
    <w:rsid w:val="000D124C"/>
    <w:rsid w:val="00111A14"/>
    <w:rsid w:val="001E0409"/>
    <w:rsid w:val="001E3052"/>
    <w:rsid w:val="00292A4F"/>
    <w:rsid w:val="002A146C"/>
    <w:rsid w:val="002C7C05"/>
    <w:rsid w:val="0030588D"/>
    <w:rsid w:val="0031069A"/>
    <w:rsid w:val="003275E1"/>
    <w:rsid w:val="003323AC"/>
    <w:rsid w:val="00370CCC"/>
    <w:rsid w:val="0038660E"/>
    <w:rsid w:val="003A3D2B"/>
    <w:rsid w:val="004368E5"/>
    <w:rsid w:val="0046472A"/>
    <w:rsid w:val="00544C08"/>
    <w:rsid w:val="00577F2F"/>
    <w:rsid w:val="005A43C8"/>
    <w:rsid w:val="006361D1"/>
    <w:rsid w:val="0069391B"/>
    <w:rsid w:val="006B3BE8"/>
    <w:rsid w:val="00706079"/>
    <w:rsid w:val="00763A33"/>
    <w:rsid w:val="007F7EED"/>
    <w:rsid w:val="008319B2"/>
    <w:rsid w:val="008653A8"/>
    <w:rsid w:val="009041A2"/>
    <w:rsid w:val="0090588C"/>
    <w:rsid w:val="00907792"/>
    <w:rsid w:val="009B5E98"/>
    <w:rsid w:val="009E4BC0"/>
    <w:rsid w:val="009F7C16"/>
    <w:rsid w:val="00B43A22"/>
    <w:rsid w:val="00B57173"/>
    <w:rsid w:val="00B57198"/>
    <w:rsid w:val="00BD1D76"/>
    <w:rsid w:val="00BF3E55"/>
    <w:rsid w:val="00BF50FD"/>
    <w:rsid w:val="00C74C5E"/>
    <w:rsid w:val="00C911DF"/>
    <w:rsid w:val="00D50F6A"/>
    <w:rsid w:val="00D9649C"/>
    <w:rsid w:val="00E36464"/>
    <w:rsid w:val="00EC7AAC"/>
    <w:rsid w:val="00F51349"/>
    <w:rsid w:val="00F9034A"/>
    <w:rsid w:val="00F9277C"/>
    <w:rsid w:val="00FD3076"/>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F4D33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11DF"/>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F9277C"/>
    <w:pPr>
      <w:keepNext/>
      <w:keepLines/>
      <w:spacing w:before="240" w:after="0"/>
      <w:outlineLvl w:val="0"/>
    </w:pPr>
    <w:rPr>
      <w:rFonts w:ascii="Cambria" w:eastAsiaTheme="majorEastAsia" w:hAnsi="Cambria" w:cstheme="majorBidi"/>
      <w:b/>
      <w:color w:val="0F4761" w:themeColor="accent1" w:themeShade="BF"/>
      <w:sz w:val="28"/>
      <w:szCs w:val="32"/>
    </w:rPr>
  </w:style>
  <w:style w:type="paragraph" w:styleId="Heading2">
    <w:name w:val="heading 2"/>
    <w:basedOn w:val="Normal"/>
    <w:next w:val="Normal"/>
    <w:link w:val="Heading2Char"/>
    <w:autoRedefine/>
    <w:uiPriority w:val="9"/>
    <w:unhideWhenUsed/>
    <w:qFormat/>
    <w:rsid w:val="009E4BC0"/>
    <w:pPr>
      <w:keepNext/>
      <w:keepLines/>
      <w:spacing w:before="160" w:after="80"/>
      <w:outlineLvl w:val="1"/>
    </w:pPr>
    <w:rPr>
      <w:rFonts w:asciiTheme="majorHAnsi" w:eastAsiaTheme="majorEastAsia" w:hAnsiTheme="majorHAnsi" w:cstheme="majorBidi"/>
      <w:b/>
      <w:color w:val="0F4761" w:themeColor="accent1" w:themeShade="BF"/>
      <w:sz w:val="27"/>
      <w:szCs w:val="32"/>
    </w:rPr>
  </w:style>
  <w:style w:type="paragraph" w:styleId="Heading3">
    <w:name w:val="heading 3"/>
    <w:basedOn w:val="Normal"/>
    <w:next w:val="Normal"/>
    <w:link w:val="Heading3Char"/>
    <w:uiPriority w:val="9"/>
    <w:semiHidden/>
    <w:unhideWhenUsed/>
    <w:qFormat/>
    <w:rsid w:val="00907792"/>
    <w:pPr>
      <w:keepNext/>
      <w:keepLines/>
      <w:spacing w:before="160" w:after="80"/>
      <w:outlineLvl w:val="2"/>
    </w:pPr>
    <w:rPr>
      <w:rFonts w:asciiTheme="minorHAnsi" w:eastAsiaTheme="majorEastAsia" w:hAnsiTheme="minorHAnsi" w:cstheme="majorBidi"/>
      <w:b/>
      <w:color w:val="0F4761" w:themeColor="accent1" w:themeShade="BF"/>
      <w:szCs w:val="28"/>
    </w:rPr>
  </w:style>
  <w:style w:type="paragraph" w:styleId="Heading4">
    <w:name w:val="heading 4"/>
    <w:basedOn w:val="Normal"/>
    <w:next w:val="Normal"/>
    <w:link w:val="Heading4Char"/>
    <w:uiPriority w:val="9"/>
    <w:semiHidden/>
    <w:unhideWhenUsed/>
    <w:qFormat/>
    <w:rsid w:val="006361D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361D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361D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361D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361D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361D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277C"/>
    <w:rPr>
      <w:rFonts w:ascii="Cambria" w:eastAsiaTheme="majorEastAsia" w:hAnsi="Cambria" w:cstheme="majorBidi"/>
      <w:b/>
      <w:color w:val="0F4761" w:themeColor="accent1" w:themeShade="BF"/>
      <w:sz w:val="28"/>
      <w:szCs w:val="32"/>
      <w:lang w:val="en-GB"/>
    </w:rPr>
  </w:style>
  <w:style w:type="character" w:customStyle="1" w:styleId="Heading2Char">
    <w:name w:val="Heading 2 Char"/>
    <w:basedOn w:val="DefaultParagraphFont"/>
    <w:link w:val="Heading2"/>
    <w:uiPriority w:val="9"/>
    <w:rsid w:val="009E4BC0"/>
    <w:rPr>
      <w:rFonts w:asciiTheme="majorHAnsi" w:eastAsiaTheme="majorEastAsia" w:hAnsiTheme="majorHAnsi" w:cstheme="majorBidi"/>
      <w:b/>
      <w:color w:val="0F4761" w:themeColor="accent1" w:themeShade="BF"/>
      <w:kern w:val="0"/>
      <w:sz w:val="27"/>
      <w:szCs w:val="32"/>
      <w:lang w:val="en-GB"/>
      <w14:ligatures w14:val="none"/>
    </w:rPr>
  </w:style>
  <w:style w:type="character" w:customStyle="1" w:styleId="Heading3Char">
    <w:name w:val="Heading 3 Char"/>
    <w:basedOn w:val="DefaultParagraphFont"/>
    <w:link w:val="Heading3"/>
    <w:uiPriority w:val="9"/>
    <w:semiHidden/>
    <w:rsid w:val="00907792"/>
    <w:rPr>
      <w:rFonts w:eastAsiaTheme="majorEastAsia" w:cstheme="majorBidi"/>
      <w:b/>
      <w:color w:val="0F4761" w:themeColor="accent1" w:themeShade="BF"/>
      <w:kern w:val="0"/>
      <w:sz w:val="24"/>
      <w:szCs w:val="28"/>
      <w:lang w:val="en-GB"/>
      <w14:ligatures w14:val="none"/>
    </w:rPr>
  </w:style>
  <w:style w:type="paragraph" w:styleId="Caption">
    <w:name w:val="caption"/>
    <w:basedOn w:val="Normal"/>
    <w:next w:val="Normal"/>
    <w:uiPriority w:val="35"/>
    <w:unhideWhenUsed/>
    <w:qFormat/>
    <w:rsid w:val="00E36464"/>
    <w:pPr>
      <w:spacing w:after="200" w:line="240" w:lineRule="auto"/>
    </w:pPr>
    <w:rPr>
      <w:b/>
      <w:iCs/>
      <w:color w:val="0E2841" w:themeColor="text2"/>
      <w:sz w:val="20"/>
      <w:szCs w:val="18"/>
    </w:rPr>
  </w:style>
  <w:style w:type="character" w:customStyle="1" w:styleId="Heading4Char">
    <w:name w:val="Heading 4 Char"/>
    <w:basedOn w:val="DefaultParagraphFont"/>
    <w:link w:val="Heading4"/>
    <w:uiPriority w:val="9"/>
    <w:semiHidden/>
    <w:rsid w:val="006361D1"/>
    <w:rPr>
      <w:rFonts w:eastAsiaTheme="majorEastAsia" w:cstheme="majorBidi"/>
      <w:i/>
      <w:iCs/>
      <w:color w:val="0F4761"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6361D1"/>
    <w:rPr>
      <w:rFonts w:eastAsiaTheme="majorEastAsia" w:cstheme="majorBidi"/>
      <w:color w:val="0F4761"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6361D1"/>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6361D1"/>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6361D1"/>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6361D1"/>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6361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61D1"/>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6361D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61D1"/>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6361D1"/>
    <w:pPr>
      <w:spacing w:before="160"/>
      <w:jc w:val="center"/>
    </w:pPr>
    <w:rPr>
      <w:i/>
      <w:iCs/>
      <w:color w:val="404040" w:themeColor="text1" w:themeTint="BF"/>
    </w:rPr>
  </w:style>
  <w:style w:type="character" w:customStyle="1" w:styleId="QuoteChar">
    <w:name w:val="Quote Char"/>
    <w:basedOn w:val="DefaultParagraphFont"/>
    <w:link w:val="Quote"/>
    <w:uiPriority w:val="29"/>
    <w:rsid w:val="006361D1"/>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6361D1"/>
    <w:pPr>
      <w:ind w:left="720"/>
      <w:contextualSpacing/>
    </w:pPr>
  </w:style>
  <w:style w:type="character" w:styleId="IntenseEmphasis">
    <w:name w:val="Intense Emphasis"/>
    <w:basedOn w:val="DefaultParagraphFont"/>
    <w:uiPriority w:val="21"/>
    <w:qFormat/>
    <w:rsid w:val="006361D1"/>
    <w:rPr>
      <w:i/>
      <w:iCs/>
      <w:color w:val="0F4761" w:themeColor="accent1" w:themeShade="BF"/>
    </w:rPr>
  </w:style>
  <w:style w:type="paragraph" w:styleId="IntenseQuote">
    <w:name w:val="Intense Quote"/>
    <w:basedOn w:val="Normal"/>
    <w:next w:val="Normal"/>
    <w:link w:val="IntenseQuoteChar"/>
    <w:uiPriority w:val="30"/>
    <w:qFormat/>
    <w:rsid w:val="006361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61D1"/>
    <w:rPr>
      <w:rFonts w:ascii="Times New Roman" w:hAnsi="Times New Roman"/>
      <w:i/>
      <w:iCs/>
      <w:color w:val="0F4761" w:themeColor="accent1" w:themeShade="BF"/>
      <w:kern w:val="0"/>
      <w:sz w:val="24"/>
      <w:lang w:val="en-GB"/>
      <w14:ligatures w14:val="none"/>
    </w:rPr>
  </w:style>
  <w:style w:type="character" w:styleId="IntenseReference">
    <w:name w:val="Intense Reference"/>
    <w:basedOn w:val="DefaultParagraphFont"/>
    <w:uiPriority w:val="32"/>
    <w:qFormat/>
    <w:rsid w:val="006361D1"/>
    <w:rPr>
      <w:b/>
      <w:bCs/>
      <w:smallCaps/>
      <w:color w:val="0F4761" w:themeColor="accent1" w:themeShade="BF"/>
      <w:spacing w:val="5"/>
    </w:rPr>
  </w:style>
  <w:style w:type="table" w:styleId="TableGrid">
    <w:name w:val="Table Grid"/>
    <w:basedOn w:val="TableNormal"/>
    <w:uiPriority w:val="39"/>
    <w:rsid w:val="004647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111A14"/>
    <w:rPr>
      <w:b/>
      <w:bCs/>
    </w:rPr>
  </w:style>
  <w:style w:type="table" w:styleId="GridTable1Light">
    <w:name w:val="Grid Table 1 Light"/>
    <w:basedOn w:val="TableNormal"/>
    <w:uiPriority w:val="46"/>
    <w:rsid w:val="00111A14"/>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0647E1"/>
    <w:rPr>
      <w:color w:val="467886" w:themeColor="hyperlink"/>
      <w:u w:val="single"/>
    </w:rPr>
  </w:style>
  <w:style w:type="character" w:styleId="UnresolvedMention">
    <w:name w:val="Unresolved Mention"/>
    <w:basedOn w:val="DefaultParagraphFont"/>
    <w:uiPriority w:val="99"/>
    <w:semiHidden/>
    <w:unhideWhenUsed/>
    <w:rsid w:val="000647E1"/>
    <w:rPr>
      <w:color w:val="605E5C"/>
      <w:shd w:val="clear" w:color="auto" w:fill="E1DFDD"/>
    </w:rPr>
  </w:style>
  <w:style w:type="paragraph" w:styleId="NormalWeb">
    <w:name w:val="Normal (Web)"/>
    <w:basedOn w:val="Normal"/>
    <w:uiPriority w:val="99"/>
    <w:semiHidden/>
    <w:unhideWhenUsed/>
    <w:rsid w:val="009E4BC0"/>
    <w:pPr>
      <w:spacing w:before="100" w:beforeAutospacing="1" w:after="100" w:afterAutospacing="1" w:line="240" w:lineRule="auto"/>
      <w:jc w:val="left"/>
    </w:pPr>
    <w:rPr>
      <w:rFonts w:eastAsia="Times New Roman" w:cs="Times New Roman"/>
      <w:szCs w:val="24"/>
      <w:lang w:val="en-IN" w:eastAsia="en-IN" w:bidi="bn-BD"/>
    </w:rPr>
  </w:style>
  <w:style w:type="character" w:customStyle="1" w:styleId="whitespace-normal">
    <w:name w:val="whitespace-normal"/>
    <w:basedOn w:val="DefaultParagraphFont"/>
    <w:rsid w:val="006B3BE8"/>
  </w:style>
  <w:style w:type="character" w:styleId="CommentReference">
    <w:name w:val="annotation reference"/>
    <w:basedOn w:val="DefaultParagraphFont"/>
    <w:uiPriority w:val="99"/>
    <w:semiHidden/>
    <w:unhideWhenUsed/>
    <w:rsid w:val="001E3052"/>
    <w:rPr>
      <w:sz w:val="16"/>
      <w:szCs w:val="16"/>
    </w:rPr>
  </w:style>
  <w:style w:type="paragraph" w:styleId="CommentText">
    <w:name w:val="annotation text"/>
    <w:basedOn w:val="Normal"/>
    <w:link w:val="CommentTextChar"/>
    <w:uiPriority w:val="99"/>
    <w:semiHidden/>
    <w:unhideWhenUsed/>
    <w:rsid w:val="001E3052"/>
    <w:pPr>
      <w:spacing w:line="240" w:lineRule="auto"/>
    </w:pPr>
    <w:rPr>
      <w:sz w:val="20"/>
      <w:szCs w:val="20"/>
    </w:rPr>
  </w:style>
  <w:style w:type="character" w:customStyle="1" w:styleId="CommentTextChar">
    <w:name w:val="Comment Text Char"/>
    <w:basedOn w:val="DefaultParagraphFont"/>
    <w:link w:val="CommentText"/>
    <w:uiPriority w:val="99"/>
    <w:semiHidden/>
    <w:rsid w:val="001E3052"/>
    <w:rPr>
      <w:rFonts w:ascii="Times New Roman" w:hAnsi="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1E3052"/>
    <w:rPr>
      <w:b/>
      <w:bCs/>
    </w:rPr>
  </w:style>
  <w:style w:type="character" w:customStyle="1" w:styleId="CommentSubjectChar">
    <w:name w:val="Comment Subject Char"/>
    <w:basedOn w:val="CommentTextChar"/>
    <w:link w:val="CommentSubject"/>
    <w:uiPriority w:val="99"/>
    <w:semiHidden/>
    <w:rsid w:val="001E3052"/>
    <w:rPr>
      <w:rFonts w:ascii="Times New Roman" w:hAnsi="Times New Roman"/>
      <w:b/>
      <w:bCs/>
      <w:kern w:val="0"/>
      <w:sz w:val="20"/>
      <w:szCs w:val="20"/>
      <w:lang w:val="en-GB"/>
      <w14:ligatures w14:val="none"/>
    </w:rPr>
  </w:style>
  <w:style w:type="paragraph" w:styleId="Header">
    <w:name w:val="header"/>
    <w:basedOn w:val="Normal"/>
    <w:link w:val="HeaderChar"/>
    <w:uiPriority w:val="99"/>
    <w:unhideWhenUsed/>
    <w:rsid w:val="009B5E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5E98"/>
    <w:rPr>
      <w:rFonts w:ascii="Times New Roman" w:hAnsi="Times New Roman"/>
      <w:kern w:val="0"/>
      <w:sz w:val="24"/>
      <w:lang w:val="en-GB"/>
      <w14:ligatures w14:val="none"/>
    </w:rPr>
  </w:style>
  <w:style w:type="paragraph" w:styleId="Footer">
    <w:name w:val="footer"/>
    <w:basedOn w:val="Normal"/>
    <w:link w:val="FooterChar"/>
    <w:uiPriority w:val="99"/>
    <w:unhideWhenUsed/>
    <w:rsid w:val="009B5E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5E98"/>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9B5E98"/>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9B5E98"/>
    <w:pPr>
      <w:spacing w:after="100"/>
    </w:pPr>
  </w:style>
  <w:style w:type="paragraph" w:styleId="TOC2">
    <w:name w:val="toc 2"/>
    <w:basedOn w:val="Normal"/>
    <w:next w:val="Normal"/>
    <w:autoRedefine/>
    <w:uiPriority w:val="39"/>
    <w:unhideWhenUsed/>
    <w:rsid w:val="009B5E98"/>
    <w:pPr>
      <w:spacing w:after="100"/>
      <w:ind w:left="240"/>
    </w:pPr>
  </w:style>
  <w:style w:type="paragraph" w:styleId="NoSpacing">
    <w:name w:val="No Spacing"/>
    <w:link w:val="NoSpacingChar"/>
    <w:uiPriority w:val="1"/>
    <w:qFormat/>
    <w:rsid w:val="00D50F6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50F6A"/>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3.xml"/><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chart" Target="charts/chart2.xml"/><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5" Type="http://schemas.openxmlformats.org/officeDocument/2006/relationships/settings" Target="settings.xml"/><Relationship Id="rId15" Type="http://schemas.openxmlformats.org/officeDocument/2006/relationships/chart" Target="charts/chart5.xml"/><Relationship Id="rId10" Type="http://schemas.openxmlformats.org/officeDocument/2006/relationships/image" Target="cid:image001.png@01D0EA4A.2BD679A0"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oleObject" Target="file:///D:\Experts%20Hub\2026\January\BMMB7005D\BMMB7005D-Reckit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Experts%20Hub\2026\January\BMMB7005D\BMMB7005D-Reckit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Experts%20Hub\2026\January\BMMB7005D\BMMB7005D-Reckit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D:\Experts%20Hub\2026\January\BMMB7005D\BMMB7005D-Reckitt.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Profitability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 Calculation'!$I$3</c:f>
              <c:strCache>
                <c:ptCount val="1"/>
                <c:pt idx="0">
                  <c:v>2024</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'Ratio Calculation'!$H$4:$H$9</c:f>
              <c:strCache>
                <c:ptCount val="6"/>
                <c:pt idx="0">
                  <c:v>Gross Profit Margin </c:v>
                </c:pt>
                <c:pt idx="1">
                  <c:v>Operating Profit Margin </c:v>
                </c:pt>
                <c:pt idx="2">
                  <c:v>Net Profit Margin</c:v>
                </c:pt>
                <c:pt idx="3">
                  <c:v>Return on Asset (ROA)</c:v>
                </c:pt>
                <c:pt idx="4">
                  <c:v>Return on Equity (ROE)</c:v>
                </c:pt>
                <c:pt idx="5">
                  <c:v>Return on Capital Employed (ROCE)</c:v>
                </c:pt>
              </c:strCache>
            </c:strRef>
          </c:cat>
          <c:val>
            <c:numRef>
              <c:f>'Ratio Calculation'!$I$4:$I$9</c:f>
              <c:numCache>
                <c:formatCode>0.00%</c:formatCode>
                <c:ptCount val="6"/>
                <c:pt idx="0">
                  <c:v>0.60660597078128309</c:v>
                </c:pt>
                <c:pt idx="1">
                  <c:v>0.17114828145952432</c:v>
                </c:pt>
                <c:pt idx="2">
                  <c:v>0.10078340038111371</c:v>
                </c:pt>
                <c:pt idx="3">
                  <c:v>5.644714997232983E-2</c:v>
                </c:pt>
                <c:pt idx="4">
                  <c:v>0.21220238095238095</c:v>
                </c:pt>
                <c:pt idx="5">
                  <c:v>0.17377284127552847</c:v>
                </c:pt>
              </c:numCache>
            </c:numRef>
          </c:val>
          <c:extLst>
            <c:ext xmlns:c16="http://schemas.microsoft.com/office/drawing/2014/chart" uri="{C3380CC4-5D6E-409C-BE32-E72D297353CC}">
              <c16:uniqueId val="{00000000-E97F-4B52-837A-08945D9B085B}"/>
            </c:ext>
          </c:extLst>
        </c:ser>
        <c:ser>
          <c:idx val="1"/>
          <c:order val="1"/>
          <c:tx>
            <c:strRef>
              <c:f>'Ratio Calculation'!$J$3</c:f>
              <c:strCache>
                <c:ptCount val="1"/>
                <c:pt idx="0">
                  <c:v>2023</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'Ratio Calculation'!$H$4:$H$9</c:f>
              <c:strCache>
                <c:ptCount val="6"/>
                <c:pt idx="0">
                  <c:v>Gross Profit Margin </c:v>
                </c:pt>
                <c:pt idx="1">
                  <c:v>Operating Profit Margin </c:v>
                </c:pt>
                <c:pt idx="2">
                  <c:v>Net Profit Margin</c:v>
                </c:pt>
                <c:pt idx="3">
                  <c:v>Return on Asset (ROA)</c:v>
                </c:pt>
                <c:pt idx="4">
                  <c:v>Return on Equity (ROE)</c:v>
                </c:pt>
                <c:pt idx="5">
                  <c:v>Return on Capital Employed (ROCE)</c:v>
                </c:pt>
              </c:strCache>
            </c:strRef>
          </c:cat>
          <c:val>
            <c:numRef>
              <c:f>'Ratio Calculation'!$J$4:$J$9</c:f>
              <c:numCache>
                <c:formatCode>0.00%</c:formatCode>
                <c:ptCount val="6"/>
                <c:pt idx="0">
                  <c:v>0.59971246662559052</c:v>
                </c:pt>
                <c:pt idx="1">
                  <c:v>0.17327308824536181</c:v>
                </c:pt>
                <c:pt idx="2">
                  <c:v>0.1134387622372835</c:v>
                </c:pt>
                <c:pt idx="3">
                  <c:v>6.1062794811320757E-2</c:v>
                </c:pt>
                <c:pt idx="4">
                  <c:v>0.19400165308773173</c:v>
                </c:pt>
                <c:pt idx="5">
                  <c:v>0.1651334246754094</c:v>
                </c:pt>
              </c:numCache>
            </c:numRef>
          </c:val>
          <c:extLst>
            <c:ext xmlns:c16="http://schemas.microsoft.com/office/drawing/2014/chart" uri="{C3380CC4-5D6E-409C-BE32-E72D297353CC}">
              <c16:uniqueId val="{00000001-E97F-4B52-837A-08945D9B085B}"/>
            </c:ext>
          </c:extLst>
        </c:ser>
        <c:dLbls>
          <c:dLblPos val="outEnd"/>
          <c:showLegendKey val="0"/>
          <c:showVal val="1"/>
          <c:showCatName val="0"/>
          <c:showSerName val="0"/>
          <c:showPercent val="0"/>
          <c:showBubbleSize val="0"/>
        </c:dLbls>
        <c:gapWidth val="219"/>
        <c:overlap val="-27"/>
        <c:axId val="1218253983"/>
        <c:axId val="1218254463"/>
      </c:barChart>
      <c:catAx>
        <c:axId val="12182539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8254463"/>
        <c:crosses val="autoZero"/>
        <c:auto val="1"/>
        <c:lblAlgn val="ctr"/>
        <c:lblOffset val="100"/>
        <c:noMultiLvlLbl val="0"/>
      </c:catAx>
      <c:valAx>
        <c:axId val="1218254463"/>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82539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Liquidity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 Calculation'!$H$14</c:f>
              <c:strCache>
                <c:ptCount val="1"/>
                <c:pt idx="0">
                  <c:v>Current Ratio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'Ratio Calculation'!$I$13:$J$13</c:f>
              <c:numCache>
                <c:formatCode>General</c:formatCode>
                <c:ptCount val="2"/>
                <c:pt idx="0">
                  <c:v>2024</c:v>
                </c:pt>
                <c:pt idx="1">
                  <c:v>2023</c:v>
                </c:pt>
              </c:numCache>
            </c:numRef>
          </c:cat>
          <c:val>
            <c:numRef>
              <c:f>'Ratio Calculation'!$I$14:$J$14</c:f>
              <c:numCache>
                <c:formatCode>0.00</c:formatCode>
                <c:ptCount val="2"/>
                <c:pt idx="0">
                  <c:v>0.57887448067480796</c:v>
                </c:pt>
                <c:pt idx="1">
                  <c:v>0.63588390501319259</c:v>
                </c:pt>
              </c:numCache>
            </c:numRef>
          </c:val>
          <c:extLst>
            <c:ext xmlns:c16="http://schemas.microsoft.com/office/drawing/2014/chart" uri="{C3380CC4-5D6E-409C-BE32-E72D297353CC}">
              <c16:uniqueId val="{00000000-7E1E-4457-9D1A-199EF3E933DA}"/>
            </c:ext>
          </c:extLst>
        </c:ser>
        <c:ser>
          <c:idx val="1"/>
          <c:order val="1"/>
          <c:tx>
            <c:strRef>
              <c:f>'Ratio Calculation'!$H$15</c:f>
              <c:strCache>
                <c:ptCount val="1"/>
                <c:pt idx="0">
                  <c:v>Quick Ratio</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'Ratio Calculation'!$I$13:$J$13</c:f>
              <c:numCache>
                <c:formatCode>General</c:formatCode>
                <c:ptCount val="2"/>
                <c:pt idx="0">
                  <c:v>2024</c:v>
                </c:pt>
                <c:pt idx="1">
                  <c:v>2023</c:v>
                </c:pt>
              </c:numCache>
            </c:numRef>
          </c:cat>
          <c:val>
            <c:numRef>
              <c:f>'Ratio Calculation'!$I$15:$J$15</c:f>
              <c:numCache>
                <c:formatCode>0.00</c:formatCode>
                <c:ptCount val="2"/>
                <c:pt idx="0">
                  <c:v>0.38788870703764322</c:v>
                </c:pt>
                <c:pt idx="1">
                  <c:v>0.4395538498440873</c:v>
                </c:pt>
              </c:numCache>
            </c:numRef>
          </c:val>
          <c:extLst>
            <c:ext xmlns:c16="http://schemas.microsoft.com/office/drawing/2014/chart" uri="{C3380CC4-5D6E-409C-BE32-E72D297353CC}">
              <c16:uniqueId val="{00000001-7E1E-4457-9D1A-199EF3E933DA}"/>
            </c:ext>
          </c:extLst>
        </c:ser>
        <c:dLbls>
          <c:dLblPos val="outEnd"/>
          <c:showLegendKey val="0"/>
          <c:showVal val="1"/>
          <c:showCatName val="0"/>
          <c:showSerName val="0"/>
          <c:showPercent val="0"/>
          <c:showBubbleSize val="0"/>
        </c:dLbls>
        <c:gapWidth val="219"/>
        <c:overlap val="-27"/>
        <c:axId val="1390901391"/>
        <c:axId val="1390899471"/>
      </c:barChart>
      <c:catAx>
        <c:axId val="13909013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0899471"/>
        <c:crosses val="autoZero"/>
        <c:auto val="1"/>
        <c:lblAlgn val="ctr"/>
        <c:lblOffset val="100"/>
        <c:noMultiLvlLbl val="0"/>
      </c:catAx>
      <c:valAx>
        <c:axId val="1390899471"/>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090139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Gearing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 Calculation'!$I$18</c:f>
              <c:strCache>
                <c:ptCount val="1"/>
                <c:pt idx="0">
                  <c:v>2024</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'Ratio Calculation'!$H$19:$H$21</c:f>
              <c:strCache>
                <c:ptCount val="3"/>
                <c:pt idx="0">
                  <c:v>Debt to Equity Ratio</c:v>
                </c:pt>
                <c:pt idx="1">
                  <c:v>Interest Coverage Ratio</c:v>
                </c:pt>
                <c:pt idx="2">
                  <c:v>Debt Ratio</c:v>
                </c:pt>
              </c:strCache>
            </c:strRef>
          </c:cat>
          <c:val>
            <c:numRef>
              <c:f>'Ratio Calculation'!$I$19:$I$21</c:f>
              <c:numCache>
                <c:formatCode>0.00</c:formatCode>
                <c:ptCount val="3"/>
                <c:pt idx="0">
                  <c:v>1.2883928571428571</c:v>
                </c:pt>
                <c:pt idx="1">
                  <c:v>6.0323383084577111</c:v>
                </c:pt>
                <c:pt idx="2">
                  <c:v>0.34224049331963002</c:v>
                </c:pt>
              </c:numCache>
            </c:numRef>
          </c:val>
          <c:extLst>
            <c:ext xmlns:c16="http://schemas.microsoft.com/office/drawing/2014/chart" uri="{C3380CC4-5D6E-409C-BE32-E72D297353CC}">
              <c16:uniqueId val="{00000000-4B44-459E-9159-EE7F29790E56}"/>
            </c:ext>
          </c:extLst>
        </c:ser>
        <c:ser>
          <c:idx val="1"/>
          <c:order val="1"/>
          <c:tx>
            <c:strRef>
              <c:f>'Ratio Calculation'!$J$18</c:f>
              <c:strCache>
                <c:ptCount val="1"/>
                <c:pt idx="0">
                  <c:v>2023</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'Ratio Calculation'!$H$19:$H$21</c:f>
              <c:strCache>
                <c:ptCount val="3"/>
                <c:pt idx="0">
                  <c:v>Debt to Equity Ratio</c:v>
                </c:pt>
                <c:pt idx="1">
                  <c:v>Interest Coverage Ratio</c:v>
                </c:pt>
                <c:pt idx="2">
                  <c:v>Debt Ratio</c:v>
                </c:pt>
              </c:strCache>
            </c:strRef>
          </c:cat>
          <c:val>
            <c:numRef>
              <c:f>'Ratio Calculation'!$J$19:$J$21</c:f>
              <c:numCache>
                <c:formatCode>0.00</c:formatCode>
                <c:ptCount val="3"/>
                <c:pt idx="0">
                  <c:v>1.0080292832683906</c:v>
                </c:pt>
                <c:pt idx="1">
                  <c:v>7.4441176470588237</c:v>
                </c:pt>
                <c:pt idx="2">
                  <c:v>0.31460053066037735</c:v>
                </c:pt>
              </c:numCache>
            </c:numRef>
          </c:val>
          <c:extLst>
            <c:ext xmlns:c16="http://schemas.microsoft.com/office/drawing/2014/chart" uri="{C3380CC4-5D6E-409C-BE32-E72D297353CC}">
              <c16:uniqueId val="{00000001-4B44-459E-9159-EE7F29790E56}"/>
            </c:ext>
          </c:extLst>
        </c:ser>
        <c:dLbls>
          <c:dLblPos val="outEnd"/>
          <c:showLegendKey val="0"/>
          <c:showVal val="1"/>
          <c:showCatName val="0"/>
          <c:showSerName val="0"/>
          <c:showPercent val="0"/>
          <c:showBubbleSize val="0"/>
        </c:dLbls>
        <c:gapWidth val="219"/>
        <c:overlap val="-27"/>
        <c:axId val="1449668335"/>
        <c:axId val="1449669775"/>
      </c:barChart>
      <c:catAx>
        <c:axId val="14496683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9669775"/>
        <c:crosses val="autoZero"/>
        <c:auto val="1"/>
        <c:lblAlgn val="ctr"/>
        <c:lblOffset val="100"/>
        <c:noMultiLvlLbl val="0"/>
      </c:catAx>
      <c:valAx>
        <c:axId val="1449669775"/>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966833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Efficiency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'Ratio Calculation'!$H$28</c:f>
              <c:strCache>
                <c:ptCount val="1"/>
                <c:pt idx="0">
                  <c:v>Asset Turnover</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'Ratio Calculation'!$I$28:$J$28</c:f>
              <c:numCache>
                <c:formatCode>0.00</c:formatCode>
                <c:ptCount val="2"/>
                <c:pt idx="0">
                  <c:v>0.56008380109099531</c:v>
                </c:pt>
                <c:pt idx="1">
                  <c:v>0.53828862028301883</c:v>
                </c:pt>
              </c:numCache>
            </c:numRef>
          </c:val>
          <c:extLst>
            <c:ext xmlns:c16="http://schemas.microsoft.com/office/drawing/2014/chart" uri="{C3380CC4-5D6E-409C-BE32-E72D297353CC}">
              <c16:uniqueId val="{00000000-7CE0-457D-BF74-6FED56CAA091}"/>
            </c:ext>
          </c:extLst>
        </c:ser>
        <c:ser>
          <c:idx val="1"/>
          <c:order val="1"/>
          <c:tx>
            <c:strRef>
              <c:f>'Ratio Calculation'!$H$29</c:f>
              <c:strCache>
                <c:ptCount val="1"/>
                <c:pt idx="0">
                  <c:v>Fixed Asset Turnover</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'Ratio Calculation'!$I$29:$J$29</c:f>
              <c:numCache>
                <c:formatCode>0.00</c:formatCode>
                <c:ptCount val="2"/>
                <c:pt idx="0">
                  <c:v>0.6844927536231884</c:v>
                </c:pt>
                <c:pt idx="1">
                  <c:v>0.66900247320692496</c:v>
                </c:pt>
              </c:numCache>
            </c:numRef>
          </c:val>
          <c:extLst>
            <c:ext xmlns:c16="http://schemas.microsoft.com/office/drawing/2014/chart" uri="{C3380CC4-5D6E-409C-BE32-E72D297353CC}">
              <c16:uniqueId val="{00000001-7CE0-457D-BF74-6FED56CAA091}"/>
            </c:ext>
          </c:extLst>
        </c:ser>
        <c:dLbls>
          <c:dLblPos val="outEnd"/>
          <c:showLegendKey val="0"/>
          <c:showVal val="1"/>
          <c:showCatName val="0"/>
          <c:showSerName val="0"/>
          <c:showPercent val="0"/>
          <c:showBubbleSize val="0"/>
        </c:dLbls>
        <c:gapWidth val="182"/>
        <c:axId val="1449925375"/>
        <c:axId val="1449925855"/>
      </c:barChart>
      <c:catAx>
        <c:axId val="144992537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9925855"/>
        <c:crosses val="autoZero"/>
        <c:auto val="1"/>
        <c:lblAlgn val="ctr"/>
        <c:lblOffset val="100"/>
        <c:noMultiLvlLbl val="0"/>
      </c:catAx>
      <c:valAx>
        <c:axId val="1449925855"/>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992537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Investment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 Calculation'!$I$32</c:f>
              <c:strCache>
                <c:ptCount val="1"/>
                <c:pt idx="0">
                  <c:v>2024</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'Ratio Calculation'!$H$33:$H$36</c:f>
              <c:strCache>
                <c:ptCount val="4"/>
                <c:pt idx="0">
                  <c:v>Earnings Per Share (EPS) -Basic</c:v>
                </c:pt>
                <c:pt idx="1">
                  <c:v>Earnings Per Share (EPS) - Diluted</c:v>
                </c:pt>
                <c:pt idx="2">
                  <c:v>Price per Earnings ratio (P/E)</c:v>
                </c:pt>
                <c:pt idx="3">
                  <c:v>Dividend Yield</c:v>
                </c:pt>
              </c:strCache>
            </c:strRef>
          </c:cat>
          <c:val>
            <c:numRef>
              <c:f>'Ratio Calculation'!$I$33:$I$36</c:f>
              <c:numCache>
                <c:formatCode>General</c:formatCode>
                <c:ptCount val="4"/>
                <c:pt idx="0">
                  <c:v>203.6</c:v>
                </c:pt>
                <c:pt idx="1">
                  <c:v>203.2</c:v>
                </c:pt>
                <c:pt idx="2" formatCode="0.00">
                  <c:v>23.737721021611002</c:v>
                </c:pt>
                <c:pt idx="3" formatCode="0.00">
                  <c:v>4.1816677012207738E-2</c:v>
                </c:pt>
              </c:numCache>
            </c:numRef>
          </c:val>
          <c:extLst>
            <c:ext xmlns:c16="http://schemas.microsoft.com/office/drawing/2014/chart" uri="{C3380CC4-5D6E-409C-BE32-E72D297353CC}">
              <c16:uniqueId val="{00000000-EF41-4CD1-955D-10C231BCA8D7}"/>
            </c:ext>
          </c:extLst>
        </c:ser>
        <c:ser>
          <c:idx val="1"/>
          <c:order val="1"/>
          <c:tx>
            <c:strRef>
              <c:f>'Ratio Calculation'!$J$32</c:f>
              <c:strCache>
                <c:ptCount val="1"/>
                <c:pt idx="0">
                  <c:v>2023</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'Ratio Calculation'!$H$33:$H$36</c:f>
              <c:strCache>
                <c:ptCount val="4"/>
                <c:pt idx="0">
                  <c:v>Earnings Per Share (EPS) -Basic</c:v>
                </c:pt>
                <c:pt idx="1">
                  <c:v>Earnings Per Share (EPS) - Diluted</c:v>
                </c:pt>
                <c:pt idx="2">
                  <c:v>Price per Earnings ratio (P/E)</c:v>
                </c:pt>
                <c:pt idx="3">
                  <c:v>Dividend Yield</c:v>
                </c:pt>
              </c:strCache>
            </c:strRef>
          </c:cat>
          <c:val>
            <c:numRef>
              <c:f>'Ratio Calculation'!$J$33:$J$36</c:f>
              <c:numCache>
                <c:formatCode>General</c:formatCode>
                <c:ptCount val="4"/>
                <c:pt idx="0">
                  <c:v>229.2</c:v>
                </c:pt>
                <c:pt idx="1">
                  <c:v>228.7</c:v>
                </c:pt>
                <c:pt idx="2" formatCode="0.00">
                  <c:v>9.0161783996501974</c:v>
                </c:pt>
                <c:pt idx="3" formatCode="0.00">
                  <c:v>3.5516605166051658E-2</c:v>
                </c:pt>
              </c:numCache>
            </c:numRef>
          </c:val>
          <c:extLst>
            <c:ext xmlns:c16="http://schemas.microsoft.com/office/drawing/2014/chart" uri="{C3380CC4-5D6E-409C-BE32-E72D297353CC}">
              <c16:uniqueId val="{00000001-EF41-4CD1-955D-10C231BCA8D7}"/>
            </c:ext>
          </c:extLst>
        </c:ser>
        <c:dLbls>
          <c:dLblPos val="outEnd"/>
          <c:showLegendKey val="0"/>
          <c:showVal val="1"/>
          <c:showCatName val="0"/>
          <c:showSerName val="0"/>
          <c:showPercent val="0"/>
          <c:showBubbleSize val="0"/>
        </c:dLbls>
        <c:gapWidth val="219"/>
        <c:overlap val="-27"/>
        <c:axId val="962543679"/>
        <c:axId val="962543199"/>
      </c:barChart>
      <c:catAx>
        <c:axId val="9625436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2543199"/>
        <c:crosses val="autoZero"/>
        <c:auto val="1"/>
        <c:lblAlgn val="ctr"/>
        <c:lblOffset val="100"/>
        <c:noMultiLvlLbl val="0"/>
      </c:catAx>
      <c:valAx>
        <c:axId val="96254319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254367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60E9C22-5568-41AA-BAFD-2546F72844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8771</Words>
  <Characters>49998</Characters>
  <Application>Microsoft Office Word</Application>
  <DocSecurity>0</DocSecurity>
  <Lines>416</Lines>
  <Paragraphs>117</Paragraphs>
  <ScaleCrop>false</ScaleCrop>
  <Company/>
  <LinksUpToDate>false</LinksUpToDate>
  <CharactersWithSpaces>58652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keywords/>
  <dc:description/>
  <cp:lastModifiedBy/>
  <cp:revision>1</cp:revision>
  <dcterms:created xsi:type="dcterms:W3CDTF">2026-01-11T18:51:00Z</dcterms:created>
  <dcterms:modified xsi:type="dcterms:W3CDTF">2026-01-11T18:52:00Z</dcterms:modified>
</cp:coreProperties>
</file>