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5"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:Amina Mustapha</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:2418937</w:t>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:Introduction to physiology</w:t>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:BMHP5023</w:t>
      </w:r>
    </w:p>
    <w:p w:rsidR="00000000" w:rsidDel="00000000" w:rsidP="00000000" w:rsidRDefault="00000000" w:rsidRPr="00000000" w14:paraId="0000000B">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Lecturer name</w:t>
      </w:r>
      <w:r w:rsidDel="00000000" w:rsidR="00000000" w:rsidRPr="00000000">
        <w:rPr>
          <w:rFonts w:ascii="Arial" w:cs="Arial" w:eastAsia="Arial" w:hAnsi="Arial"/>
          <w:sz w:val="28"/>
          <w:szCs w:val="28"/>
          <w:rtl w:val="0"/>
        </w:rPr>
        <w:t xml:space="preserve">:Dr Soban Sadiq</w:t>
      </w:r>
    </w:p>
    <w:p w:rsidR="00000000" w:rsidDel="00000000" w:rsidP="00000000" w:rsidRDefault="00000000" w:rsidRPr="00000000" w14:paraId="0000000C">
      <w:pPr>
        <w:tabs>
          <w:tab w:val="left" w:leader="none" w:pos="6540"/>
        </w:tabs>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D">
      <w:pPr>
        <w:tabs>
          <w:tab w:val="left" w:leader="none" w:pos="6540"/>
        </w:tabs>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E">
      <w:pPr>
        <w:pStyle w:val="Heading2"/>
        <w:keepNext w:val="0"/>
        <w:keepLines w:val="0"/>
        <w:tabs>
          <w:tab w:val="left" w:leader="none" w:pos="6540"/>
        </w:tabs>
        <w:spacing w:after="80" w:before="360" w:line="360" w:lineRule="auto"/>
        <w:rPr>
          <w:rFonts w:ascii="Times New Roman" w:cs="Times New Roman" w:eastAsia="Times New Roman" w:hAnsi="Times New Roman"/>
          <w:sz w:val="22"/>
          <w:szCs w:val="22"/>
        </w:rPr>
      </w:pPr>
      <w:bookmarkStart w:colFirst="0" w:colLast="0" w:name="_heading=h.ojavfasiieg1" w:id="0"/>
      <w:bookmarkEnd w:id="0"/>
      <w:r w:rsidDel="00000000" w:rsidR="00000000" w:rsidRPr="00000000">
        <w:rPr>
          <w:rtl w:val="0"/>
        </w:rPr>
      </w:r>
    </w:p>
    <w:p w:rsidR="00000000" w:rsidDel="00000000" w:rsidP="00000000" w:rsidRDefault="00000000" w:rsidRPr="00000000" w14:paraId="0000000F">
      <w:pPr>
        <w:tabs>
          <w:tab w:val="left" w:leader="none" w:pos="6540"/>
        </w:tabs>
        <w:rPr/>
      </w:pPr>
      <w:r w:rsidDel="00000000" w:rsidR="00000000" w:rsidRPr="00000000">
        <w:rPr>
          <w:rtl w:val="0"/>
        </w:rPr>
      </w:r>
    </w:p>
    <w:p w:rsidR="00000000" w:rsidDel="00000000" w:rsidP="00000000" w:rsidRDefault="00000000" w:rsidRPr="00000000" w14:paraId="00000010">
      <w:pPr>
        <w:tabs>
          <w:tab w:val="left" w:leader="none" w:pos="6540"/>
        </w:tabs>
        <w:rPr/>
      </w:pPr>
      <w:r w:rsidDel="00000000" w:rsidR="00000000" w:rsidRPr="00000000">
        <w:rPr>
          <w:rtl w:val="0"/>
        </w:rPr>
      </w:r>
    </w:p>
    <w:p w:rsidR="00000000" w:rsidDel="00000000" w:rsidP="00000000" w:rsidRDefault="00000000" w:rsidRPr="00000000" w14:paraId="00000011">
      <w:pPr>
        <w:tabs>
          <w:tab w:val="left" w:leader="none" w:pos="6540"/>
        </w:tabs>
        <w:rPr/>
      </w:pPr>
      <w:r w:rsidDel="00000000" w:rsidR="00000000" w:rsidRPr="00000000">
        <w:rPr>
          <w:rtl w:val="0"/>
        </w:rPr>
      </w:r>
    </w:p>
    <w:p w:rsidR="00000000" w:rsidDel="00000000" w:rsidP="00000000" w:rsidRDefault="00000000" w:rsidRPr="00000000" w14:paraId="00000012">
      <w:pPr>
        <w:tabs>
          <w:tab w:val="left" w:leader="none" w:pos="6540"/>
        </w:tabs>
        <w:rPr/>
      </w:pPr>
      <w:r w:rsidDel="00000000" w:rsidR="00000000" w:rsidRPr="00000000">
        <w:rPr>
          <w:rtl w:val="0"/>
        </w:rPr>
      </w:r>
    </w:p>
    <w:p w:rsidR="00000000" w:rsidDel="00000000" w:rsidP="00000000" w:rsidRDefault="00000000" w:rsidRPr="00000000" w14:paraId="00000013">
      <w:pPr>
        <w:tabs>
          <w:tab w:val="left" w:leader="none" w:pos="6540"/>
        </w:tabs>
        <w:rPr/>
      </w:pPr>
      <w:r w:rsidDel="00000000" w:rsidR="00000000" w:rsidRPr="00000000">
        <w:rPr>
          <w:rtl w:val="0"/>
        </w:rPr>
      </w:r>
    </w:p>
    <w:p w:rsidR="00000000" w:rsidDel="00000000" w:rsidP="00000000" w:rsidRDefault="00000000" w:rsidRPr="00000000" w14:paraId="00000014">
      <w:pPr>
        <w:tabs>
          <w:tab w:val="left" w:leader="none" w:pos="6540"/>
        </w:tabs>
        <w:rPr/>
      </w:pPr>
      <w:r w:rsidDel="00000000" w:rsidR="00000000" w:rsidRPr="00000000">
        <w:rPr>
          <w:rtl w:val="0"/>
        </w:rPr>
      </w:r>
    </w:p>
    <w:p w:rsidR="00000000" w:rsidDel="00000000" w:rsidP="00000000" w:rsidRDefault="00000000" w:rsidRPr="00000000" w14:paraId="00000015">
      <w:pPr>
        <w:tabs>
          <w:tab w:val="left" w:leader="none" w:pos="6540"/>
        </w:tabs>
        <w:rPr/>
      </w:pPr>
      <w:r w:rsidDel="00000000" w:rsidR="00000000" w:rsidRPr="00000000">
        <w:rPr>
          <w:rtl w:val="0"/>
        </w:rPr>
      </w:r>
    </w:p>
    <w:p w:rsidR="00000000" w:rsidDel="00000000" w:rsidP="00000000" w:rsidRDefault="00000000" w:rsidRPr="00000000" w14:paraId="00000016">
      <w:pPr>
        <w:tabs>
          <w:tab w:val="left" w:leader="none" w:pos="6540"/>
        </w:tabs>
        <w:rPr/>
      </w:pPr>
      <w:r w:rsidDel="00000000" w:rsidR="00000000" w:rsidRPr="00000000">
        <w:rPr>
          <w:rtl w:val="0"/>
        </w:rPr>
      </w:r>
    </w:p>
    <w:p w:rsidR="00000000" w:rsidDel="00000000" w:rsidP="00000000" w:rsidRDefault="00000000" w:rsidRPr="00000000" w14:paraId="00000017">
      <w:pPr>
        <w:tabs>
          <w:tab w:val="left" w:leader="none" w:pos="6540"/>
        </w:tabs>
        <w:rPr/>
      </w:pPr>
      <w:r w:rsidDel="00000000" w:rsidR="00000000" w:rsidRPr="00000000">
        <w:rPr>
          <w:rtl w:val="0"/>
        </w:rPr>
      </w:r>
    </w:p>
    <w:p w:rsidR="00000000" w:rsidDel="00000000" w:rsidP="00000000" w:rsidRDefault="00000000" w:rsidRPr="00000000" w14:paraId="00000018">
      <w:pPr>
        <w:tabs>
          <w:tab w:val="left" w:leader="none" w:pos="6540"/>
        </w:tabs>
        <w:rPr/>
      </w:pPr>
      <w:r w:rsidDel="00000000" w:rsidR="00000000" w:rsidRPr="00000000">
        <w:rPr>
          <w:rtl w:val="0"/>
        </w:rPr>
      </w:r>
    </w:p>
    <w:p w:rsidR="00000000" w:rsidDel="00000000" w:rsidP="00000000" w:rsidRDefault="00000000" w:rsidRPr="00000000" w14:paraId="00000019">
      <w:pPr>
        <w:tabs>
          <w:tab w:val="left" w:leader="none" w:pos="6540"/>
        </w:tabs>
        <w:rPr>
          <w:sz w:val="22"/>
          <w:szCs w:val="22"/>
        </w:rPr>
      </w:pPr>
      <w:r w:rsidDel="00000000" w:rsidR="00000000" w:rsidRPr="00000000">
        <w:rPr>
          <w:rtl w:val="0"/>
        </w:rPr>
      </w:r>
    </w:p>
    <w:p w:rsidR="00000000" w:rsidDel="00000000" w:rsidP="00000000" w:rsidRDefault="00000000" w:rsidRPr="00000000" w14:paraId="0000001A">
      <w:pPr>
        <w:tabs>
          <w:tab w:val="left" w:leader="none" w:pos="6540"/>
        </w:tabs>
        <w:rPr/>
      </w:pPr>
      <w:r w:rsidDel="00000000" w:rsidR="00000000" w:rsidRPr="00000000">
        <w:rPr>
          <w:rtl w:val="0"/>
        </w:rPr>
      </w:r>
    </w:p>
    <w:p w:rsidR="00000000" w:rsidDel="00000000" w:rsidP="00000000" w:rsidRDefault="00000000" w:rsidRPr="00000000" w14:paraId="0000001B">
      <w:pPr>
        <w:pStyle w:val="Heading1"/>
        <w:keepNext w:val="0"/>
        <w:keepLines w:val="0"/>
        <w:spacing w:after="120" w:before="480" w:line="360" w:lineRule="auto"/>
        <w:rPr>
          <w:sz w:val="22"/>
          <w:szCs w:val="22"/>
        </w:rPr>
      </w:pPr>
      <w:bookmarkStart w:colFirst="0" w:colLast="0" w:name="_heading=h.6p0jr71unldn" w:id="1"/>
      <w:bookmarkEnd w:id="1"/>
      <w:r w:rsidDel="00000000" w:rsidR="00000000" w:rsidRPr="00000000">
        <w:rPr>
          <w:sz w:val="22"/>
          <w:szCs w:val="22"/>
          <w:rtl w:val="0"/>
        </w:rPr>
        <w:t xml:space="preserve">Understanding Type 2 Diabetes: Supporting Patients in Managing Blood Glucose Levels</w:t>
      </w:r>
    </w:p>
    <w:p w:rsidR="00000000" w:rsidDel="00000000" w:rsidP="00000000" w:rsidRDefault="00000000" w:rsidRPr="00000000" w14:paraId="0000001C">
      <w:pPr>
        <w:pStyle w:val="Heading2"/>
        <w:keepNext w:val="0"/>
        <w:keepLines w:val="0"/>
        <w:spacing w:after="80" w:before="360" w:line="360" w:lineRule="auto"/>
        <w:rPr>
          <w:i w:val="0"/>
          <w:iCs w:val="0"/>
          <w:color w:val="000000"/>
          <w:sz w:val="22"/>
          <w:szCs w:val="22"/>
        </w:rPr>
      </w:pPr>
      <w:bookmarkStart w:colFirst="0" w:colLast="0" w:name="_heading=h.3gxlc5r168b3" w:id="2"/>
      <w:bookmarkEnd w:id="2"/>
      <w:r w:rsidDel="00000000" w:rsidR="00000000" w:rsidRPr="00000000">
        <w:rPr>
          <w:i w:val="0"/>
          <w:iCs w:val="0"/>
          <w:color w:val="000000"/>
          <w:sz w:val="22"/>
          <w:szCs w:val="22"/>
          <w:rtl w:val="0"/>
        </w:rPr>
        <w:t xml:space="preserve">Introduction</w:t>
      </w:r>
    </w:p>
    <w:p w:rsidR="00000000" w:rsidDel="00000000" w:rsidP="00000000" w:rsidRDefault="00000000" w:rsidRPr="00000000" w14:paraId="0000001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Diabetes mellitus is a long-term metabolic disorder marked by hyperglycaemia blood glucose levels, resulting from the body’s impaired production or effectively use of insulin. Among its forms, Type 2 diabetes is the most prevalent and  increasingly connected with modern routine patterns. It happens when the body reacts or struggles to get insulin or when the pancreas refuses to produce sufficient insulin to maintain normal  blood glucose levels.</w:t>
      </w:r>
    </w:p>
    <w:p w:rsidR="00000000" w:rsidDel="00000000" w:rsidP="00000000" w:rsidRDefault="00000000" w:rsidRPr="00000000" w14:paraId="0000001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growing number of individuals diagnosed with Type 2 diabetes presents a significant challenge for healthcare professionals, particularly nurses working in primary care settings such as GP surgeries. Effective patient education is essential, as improved understanding enables individuals, patients are encouraged to actively participate in the management of their condition and preventing complications.</w:t>
      </w:r>
    </w:p>
    <w:p w:rsidR="00000000" w:rsidDel="00000000" w:rsidP="00000000" w:rsidRDefault="00000000" w:rsidRPr="00000000" w14:paraId="0000001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Several risk factors contribute to the development of Type 2 diabetes. These include obesity, physical inactivity, poor dietary habits, genetic predisposition, and increasing age. Lifestyle factors are especially significant, as they are modifiable and therefore central to prevention and management strategies. Understanding these risks allows patients to make informed decisions about their health.</w:t>
      </w:r>
    </w:p>
    <w:p w:rsidR="00000000" w:rsidDel="00000000" w:rsidP="00000000" w:rsidRDefault="00000000" w:rsidRPr="00000000" w14:paraId="0000002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report aims to provide a clear and accessible explanation of how blood glucose is regulated, how the body produces energy, and why monitoring blood sugar levels is crucial. It will also explore practical, evidence-based lifestyle changes that can support individuals in managing their condition effectively.</w:t>
      </w:r>
    </w:p>
    <w:p w:rsidR="00000000" w:rsidDel="00000000" w:rsidP="00000000" w:rsidRDefault="00000000" w:rsidRPr="00000000" w14:paraId="00000021">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pStyle w:val="Heading2"/>
        <w:keepNext w:val="0"/>
        <w:keepLines w:val="0"/>
        <w:spacing w:after="80" w:before="360" w:line="360" w:lineRule="auto"/>
        <w:rPr>
          <w:i w:val="0"/>
          <w:iCs w:val="0"/>
          <w:color w:val="000000"/>
          <w:sz w:val="22"/>
          <w:szCs w:val="22"/>
        </w:rPr>
      </w:pPr>
      <w:bookmarkStart w:colFirst="0" w:colLast="0" w:name="_heading=h.fxx8996nno67" w:id="3"/>
      <w:bookmarkEnd w:id="3"/>
      <w:r w:rsidDel="00000000" w:rsidR="00000000" w:rsidRPr="00000000">
        <w:rPr>
          <w:i w:val="0"/>
          <w:iCs w:val="0"/>
          <w:color w:val="000000"/>
          <w:sz w:val="22"/>
          <w:szCs w:val="22"/>
          <w:rtl w:val="0"/>
        </w:rPr>
        <w:t xml:space="preserve">Maintaining Safe Blood Glucose Levels</w:t>
      </w:r>
    </w:p>
    <w:p w:rsidR="00000000" w:rsidDel="00000000" w:rsidP="00000000" w:rsidRDefault="00000000" w:rsidRPr="00000000" w14:paraId="0000002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human body maintains blood glucose levels within a narrow range through a process known as homeostasis. This regulation is essential because both high (hyperglycaemia) and low (hypoglycaemia) blood sugar levels can have severe health outcomes.</w:t>
      </w:r>
    </w:p>
    <w:p w:rsidR="00000000" w:rsidDel="00000000" w:rsidP="00000000" w:rsidRDefault="00000000" w:rsidRPr="00000000" w14:paraId="00000024">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chemical messenger insulin plays a central involvement concerning this process. created by each pancreas, insulin allows glucose from the bloodstream to enter cells, where it can be utilised for energy. After eating, blood glucose levels rise, triggering the pancreas to release insulin. This ensures that glucose is absorbed by cells and reserved as glycogen in the liver and muscles.</w:t>
      </w:r>
    </w:p>
    <w:p w:rsidR="00000000" w:rsidDel="00000000" w:rsidP="00000000" w:rsidRDefault="00000000" w:rsidRPr="00000000" w14:paraId="00000025">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individuals with Type 2 diabetes, this structure does not function effectively. The cells develop into resistance to insulin, meaning glucose remains in the bloodstream rather than being absorbed. Over time, the pancreas may also produce less insulin. This leads to persistently high blood sugar levels, which can damage blood vessels, nerves, and organs.</w:t>
      </w:r>
    </w:p>
    <w:p w:rsidR="00000000" w:rsidDel="00000000" w:rsidP="00000000" w:rsidRDefault="00000000" w:rsidRPr="00000000" w14:paraId="0000002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Maintaining safe blood glucose levels is therefore crucial. Effective management reduces the risk of complications such as cardiovascular disease, kidney failure, nerve damage, and vision problems. Nurses play a key role in helping patients understand this process in a way that is practical and relevant to their daily lives.</w:t>
      </w:r>
    </w:p>
    <w:p w:rsidR="00000000" w:rsidDel="00000000" w:rsidP="00000000" w:rsidRDefault="00000000" w:rsidRPr="00000000" w14:paraId="00000027">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8">
      <w:pPr>
        <w:pStyle w:val="Heading2"/>
        <w:keepNext w:val="0"/>
        <w:keepLines w:val="0"/>
        <w:spacing w:after="80" w:before="360" w:line="360" w:lineRule="auto"/>
        <w:rPr>
          <w:i w:val="0"/>
          <w:iCs w:val="0"/>
          <w:color w:val="000000"/>
          <w:sz w:val="22"/>
          <w:szCs w:val="22"/>
        </w:rPr>
      </w:pPr>
      <w:bookmarkStart w:colFirst="0" w:colLast="0" w:name="_heading=h.xkgn1vqjc6cg" w:id="4"/>
      <w:bookmarkEnd w:id="4"/>
      <w:r w:rsidDel="00000000" w:rsidR="00000000" w:rsidRPr="00000000">
        <w:rPr>
          <w:i w:val="0"/>
          <w:iCs w:val="0"/>
          <w:color w:val="000000"/>
          <w:sz w:val="22"/>
          <w:szCs w:val="22"/>
          <w:rtl w:val="0"/>
        </w:rPr>
        <w:t xml:space="preserve">Energy Production and Cell Metabolism</w:t>
      </w:r>
    </w:p>
    <w:p w:rsidR="00000000" w:rsidDel="00000000" w:rsidP="00000000" w:rsidRDefault="00000000" w:rsidRPr="00000000" w14:paraId="0000002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Glucose is the body’s primary source of energy. Once inside the cell, using this in a process called cellular respiration to produce adenosine triphosphate (ATP), the molecule that provides energy for entire cellular activities.</w:t>
      </w:r>
    </w:p>
    <w:p w:rsidR="00000000" w:rsidDel="00000000" w:rsidP="00000000" w:rsidRDefault="00000000" w:rsidRPr="00000000" w14:paraId="0000002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Cellular respiration occurs in three main stages: glycolysis, the Krebs cycle, and the electron transport chain. In simple terms, glucose is broken down in the presence of oxygen to release energy. This process takes place mainly in the mitochondria, often referred to as the “powerhouses” of the cell.</w:t>
      </w:r>
    </w:p>
    <w:p w:rsidR="00000000" w:rsidDel="00000000" w:rsidP="00000000" w:rsidRDefault="00000000" w:rsidRPr="00000000" w14:paraId="0000002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Oxygen remains essential in this process because it allows for the complete breakdown of glucose, producing a large amount of ATP. Without sufficient oxygen, the body produces less energy and generates lactic acid as a by-product.</w:t>
      </w:r>
    </w:p>
    <w:p w:rsidR="00000000" w:rsidDel="00000000" w:rsidP="00000000" w:rsidRDefault="00000000" w:rsidRPr="00000000" w14:paraId="0000002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people with Type 2 diabetes, the inability of glucose to enter cells efficiently means that energy production is impaired. Despite having high levels of glucose in the blood, cells may effectively be “starved” of energy. This can lead to symptoms such as fatigue and weakness.</w:t>
      </w:r>
    </w:p>
    <w:p w:rsidR="00000000" w:rsidDel="00000000" w:rsidP="00000000" w:rsidRDefault="00000000" w:rsidRPr="00000000" w14:paraId="0000002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Understanding this link between glucose and energy can help patients appreciate why managing blood sugar levels is so important. It is not just about avoiding complications, but also about maintaining energy levels and overall wellbeing.</w:t>
      </w:r>
    </w:p>
    <w:p w:rsidR="00000000" w:rsidDel="00000000" w:rsidP="00000000" w:rsidRDefault="00000000" w:rsidRPr="00000000" w14:paraId="0000002E">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pStyle w:val="Heading2"/>
        <w:keepNext w:val="0"/>
        <w:keepLines w:val="0"/>
        <w:spacing w:after="80" w:before="360" w:line="360" w:lineRule="auto"/>
        <w:rPr>
          <w:i w:val="0"/>
          <w:iCs w:val="0"/>
          <w:color w:val="000000"/>
          <w:sz w:val="22"/>
          <w:szCs w:val="22"/>
        </w:rPr>
      </w:pPr>
      <w:bookmarkStart w:colFirst="0" w:colLast="0" w:name="_heading=h.lc79wd16kyq9" w:id="5"/>
      <w:bookmarkEnd w:id="5"/>
      <w:r w:rsidDel="00000000" w:rsidR="00000000" w:rsidRPr="00000000">
        <w:rPr>
          <w:i w:val="0"/>
          <w:iCs w:val="0"/>
          <w:color w:val="000000"/>
          <w:sz w:val="22"/>
          <w:szCs w:val="22"/>
          <w:rtl w:val="0"/>
        </w:rPr>
        <w:t xml:space="preserve">Monitoring and Tracking Blood Glucose Levels</w:t>
      </w:r>
    </w:p>
    <w:p w:rsidR="00000000" w:rsidDel="00000000" w:rsidP="00000000" w:rsidRDefault="00000000" w:rsidRPr="00000000" w14:paraId="0000003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Monitoring blood glucose levels is a fundamental aspect of diabetes management. It provides individuals with immediate feedback on how their body responds to food, physical activity, medication, and other factors such as stress or illness.</w:t>
      </w:r>
    </w:p>
    <w:p w:rsidR="00000000" w:rsidDel="00000000" w:rsidP="00000000" w:rsidRDefault="00000000" w:rsidRPr="00000000" w14:paraId="0000003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Regular monitoring allows patients to identify patterns and make informed decisions about their lifestyle. For example, they may notice that certain foods cause a rapid increase in blood sugar, or that exercise helps to lower it. This knowledge empowers patients to take control of their condition.</w:t>
      </w:r>
    </w:p>
    <w:p w:rsidR="00000000" w:rsidDel="00000000" w:rsidP="00000000" w:rsidRDefault="00000000" w:rsidRPr="00000000" w14:paraId="0000003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are several methods available for monitoring blood glucose, including finger-prick testing and continuous glucose monitoring systems. These tools enable individuals to track their levels throughout the day and respond accordingly.</w:t>
      </w:r>
    </w:p>
    <w:p w:rsidR="00000000" w:rsidDel="00000000" w:rsidP="00000000" w:rsidRDefault="00000000" w:rsidRPr="00000000" w14:paraId="0000003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people with Type 2 diabetes, consistent monitoring helps to prevent both hyperglycaemia and hypoglycaemia. It also supports healthcare professionals in assessing how well the condition is being managed and whether treatment plans need to be adjusted.</w:t>
      </w:r>
    </w:p>
    <w:p w:rsidR="00000000" w:rsidDel="00000000" w:rsidP="00000000" w:rsidRDefault="00000000" w:rsidRPr="00000000" w14:paraId="00000034">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Importantly, monitoring is not just about collecting data. It is about understanding what that data means and using it to make positive changes. Nurses play a critical role in educating patients on how to interpret their readings and respond safely.</w:t>
      </w:r>
    </w:p>
    <w:p w:rsidR="00000000" w:rsidDel="00000000" w:rsidP="00000000" w:rsidRDefault="00000000" w:rsidRPr="00000000" w14:paraId="00000035">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pStyle w:val="Heading2"/>
        <w:keepNext w:val="0"/>
        <w:keepLines w:val="0"/>
        <w:spacing w:after="80" w:before="360" w:line="360" w:lineRule="auto"/>
        <w:rPr>
          <w:i w:val="0"/>
          <w:iCs w:val="0"/>
          <w:color w:val="000000"/>
          <w:sz w:val="22"/>
          <w:szCs w:val="22"/>
        </w:rPr>
      </w:pPr>
      <w:bookmarkStart w:colFirst="0" w:colLast="0" w:name="_heading=h.hi36vrv016re" w:id="6"/>
      <w:bookmarkEnd w:id="6"/>
      <w:r w:rsidDel="00000000" w:rsidR="00000000" w:rsidRPr="00000000">
        <w:rPr>
          <w:i w:val="0"/>
          <w:iCs w:val="0"/>
          <w:color w:val="000000"/>
          <w:sz w:val="22"/>
          <w:szCs w:val="22"/>
          <w:rtl w:val="0"/>
        </w:rPr>
        <w:t xml:space="preserve">Lifestyle Recommendations for Managing Type 2 Diabetes</w:t>
      </w:r>
    </w:p>
    <w:p w:rsidR="00000000" w:rsidDel="00000000" w:rsidP="00000000" w:rsidRDefault="00000000" w:rsidRPr="00000000" w14:paraId="00000037">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Lifestyle changes are at the core of managing Type 2 diabetes. Evidence shows that adopting healthier habits can significantly improve blood glucose control and, in certain instances, even result in remission.</w:t>
      </w:r>
    </w:p>
    <w:p w:rsidR="00000000" w:rsidDel="00000000" w:rsidP="00000000" w:rsidRDefault="00000000" w:rsidRPr="00000000" w14:paraId="00000038">
      <w:pPr>
        <w:pStyle w:val="Heading3"/>
        <w:spacing w:after="80" w:before="280" w:line="360" w:lineRule="auto"/>
        <w:rPr>
          <w:sz w:val="22"/>
          <w:szCs w:val="22"/>
        </w:rPr>
      </w:pPr>
      <w:bookmarkStart w:colFirst="0" w:colLast="0" w:name="_heading=h.qxi4mxaz3qlv" w:id="7"/>
      <w:bookmarkEnd w:id="7"/>
      <w:r w:rsidDel="00000000" w:rsidR="00000000" w:rsidRPr="00000000">
        <w:rPr>
          <w:sz w:val="22"/>
          <w:szCs w:val="22"/>
          <w:rtl w:val="0"/>
        </w:rPr>
        <w:t xml:space="preserve">Diet</w:t>
      </w:r>
    </w:p>
    <w:p w:rsidR="00000000" w:rsidDel="00000000" w:rsidP="00000000" w:rsidRDefault="00000000" w:rsidRPr="00000000" w14:paraId="0000003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A balanced diet is also known as a normoglycemic diet, which is essential for  blood sugar levels. Patients are encouraged to consume whole foods which are also called  unprocessed foods, such as vegetables, fruits, whole grains, lean proteins, and healthy fats. Adopting a low glycemic load diet, particularly important, as these can cause rapid spikes in blood glucose.</w:t>
      </w:r>
    </w:p>
    <w:p w:rsidR="00000000" w:rsidDel="00000000" w:rsidP="00000000" w:rsidRDefault="00000000" w:rsidRPr="00000000" w14:paraId="0000003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Portion control and regular meal timing also play a role in maintaining stable glucose levels. Educating patients about carbohydrate counting and the glycaemic index can further support informed dietary choices.</w:t>
      </w:r>
    </w:p>
    <w:p w:rsidR="00000000" w:rsidDel="00000000" w:rsidP="00000000" w:rsidRDefault="00000000" w:rsidRPr="00000000" w14:paraId="0000003B">
      <w:pPr>
        <w:pStyle w:val="Heading3"/>
        <w:spacing w:after="80" w:before="280" w:line="360" w:lineRule="auto"/>
        <w:rPr>
          <w:sz w:val="22"/>
          <w:szCs w:val="22"/>
        </w:rPr>
      </w:pPr>
      <w:bookmarkStart w:colFirst="0" w:colLast="0" w:name="_heading=h.xu4sim88ox8w" w:id="8"/>
      <w:bookmarkEnd w:id="8"/>
      <w:r w:rsidDel="00000000" w:rsidR="00000000" w:rsidRPr="00000000">
        <w:rPr>
          <w:sz w:val="22"/>
          <w:szCs w:val="22"/>
          <w:rtl w:val="0"/>
        </w:rPr>
        <w:t xml:space="preserve">Exercise</w:t>
      </w:r>
    </w:p>
    <w:p w:rsidR="00000000" w:rsidDel="00000000" w:rsidP="00000000" w:rsidRDefault="00000000" w:rsidRPr="00000000" w14:paraId="0000003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Physical activity improving insulin sensitivity is exercise enhances glucose utilization. Regular exercise, such as walking, cycling, or swimming, can help lower blood sugar levels and improve overall health.</w:t>
      </w:r>
    </w:p>
    <w:p w:rsidR="00000000" w:rsidDel="00000000" w:rsidP="00000000" w:rsidRDefault="00000000" w:rsidRPr="00000000" w14:paraId="0000003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Guidelines generally recommend regular physical activity, even in short bursts, yields benefits, and can make a significant difference, particularly for individuals who were previously inactive.</w:t>
      </w:r>
    </w:p>
    <w:p w:rsidR="00000000" w:rsidDel="00000000" w:rsidP="00000000" w:rsidRDefault="00000000" w:rsidRPr="00000000" w14:paraId="0000003E">
      <w:pPr>
        <w:pStyle w:val="Heading3"/>
        <w:spacing w:after="80" w:before="280" w:line="360" w:lineRule="auto"/>
        <w:rPr>
          <w:sz w:val="22"/>
          <w:szCs w:val="22"/>
        </w:rPr>
      </w:pPr>
      <w:bookmarkStart w:colFirst="0" w:colLast="0" w:name="_heading=h.8zox80oyir37" w:id="9"/>
      <w:bookmarkEnd w:id="9"/>
      <w:r w:rsidDel="00000000" w:rsidR="00000000" w:rsidRPr="00000000">
        <w:rPr>
          <w:sz w:val="22"/>
          <w:szCs w:val="22"/>
          <w:rtl w:val="0"/>
        </w:rPr>
        <w:t xml:space="preserve">Weight Management</w:t>
      </w:r>
    </w:p>
    <w:p w:rsidR="00000000" w:rsidDel="00000000" w:rsidP="00000000" w:rsidRDefault="00000000" w:rsidRPr="00000000" w14:paraId="0000003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Obesity is a major risk factor for Type 2 diabetes. A slight decrease in body weight can improve insulin sensitivity and reduce blood glucose levels. This highlights the importance of sustainable, long-term lifestyle changes rather than short-term diets.</w:t>
      </w:r>
    </w:p>
    <w:p w:rsidR="00000000" w:rsidDel="00000000" w:rsidP="00000000" w:rsidRDefault="00000000" w:rsidRPr="00000000" w14:paraId="00000040">
      <w:pPr>
        <w:pStyle w:val="Heading3"/>
        <w:spacing w:after="80" w:before="280" w:line="360" w:lineRule="auto"/>
        <w:rPr>
          <w:sz w:val="22"/>
          <w:szCs w:val="22"/>
        </w:rPr>
      </w:pPr>
      <w:bookmarkStart w:colFirst="0" w:colLast="0" w:name="_heading=h.u4zjjyokms7m" w:id="10"/>
      <w:bookmarkEnd w:id="10"/>
      <w:r w:rsidDel="00000000" w:rsidR="00000000" w:rsidRPr="00000000">
        <w:rPr>
          <w:sz w:val="22"/>
          <w:szCs w:val="22"/>
          <w:rtl w:val="0"/>
        </w:rPr>
        <w:t xml:space="preserve">Smoking</w:t>
      </w:r>
    </w:p>
    <w:p w:rsidR="00000000" w:rsidDel="00000000" w:rsidP="00000000" w:rsidRDefault="00000000" w:rsidRPr="00000000" w14:paraId="0000004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Smoking increases the potential for communications arising from diabetes, including cardiac and vascular disorders. Encouraging patients to quit smoking is therefore a key aspect of diabetes care. Support services and nicotine replacement therapies can be beneficial in this process.</w:t>
      </w:r>
    </w:p>
    <w:p w:rsidR="00000000" w:rsidDel="00000000" w:rsidP="00000000" w:rsidRDefault="00000000" w:rsidRPr="00000000" w14:paraId="00000042">
      <w:pPr>
        <w:pStyle w:val="Heading3"/>
        <w:spacing w:after="80" w:before="280" w:line="360" w:lineRule="auto"/>
        <w:rPr>
          <w:sz w:val="22"/>
          <w:szCs w:val="22"/>
        </w:rPr>
      </w:pPr>
      <w:bookmarkStart w:colFirst="0" w:colLast="0" w:name="_heading=h.n755n8un3s2y" w:id="11"/>
      <w:bookmarkEnd w:id="11"/>
      <w:r w:rsidDel="00000000" w:rsidR="00000000" w:rsidRPr="00000000">
        <w:rPr>
          <w:sz w:val="22"/>
          <w:szCs w:val="22"/>
          <w:rtl w:val="0"/>
        </w:rPr>
        <w:t xml:space="preserve">Education and Behavioural Support</w:t>
      </w:r>
    </w:p>
    <w:p w:rsidR="00000000" w:rsidDel="00000000" w:rsidP="00000000" w:rsidRDefault="00000000" w:rsidRPr="00000000" w14:paraId="0000004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Lifestyle changes can be challenging to maintain. Ongoing education and support are essential to help patients stay motivated and overcome barriers. Nurses are well positioned to provide this support, building trusting relationships and tailoring advice to individual needs.</w:t>
      </w:r>
    </w:p>
    <w:p w:rsidR="00000000" w:rsidDel="00000000" w:rsidP="00000000" w:rsidRDefault="00000000" w:rsidRPr="00000000" w14:paraId="00000044">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60" w:before="0" w:line="335.99999999999994" w:lineRule="auto"/>
        <w:rPr>
          <w:i w:val="0"/>
          <w:iCs w:val="0"/>
          <w:color w:val="0d0d0d"/>
          <w:sz w:val="22"/>
          <w:szCs w:val="22"/>
        </w:rPr>
      </w:pPr>
      <w:bookmarkStart w:colFirst="0" w:colLast="0" w:name="_heading=h.8pothurq4tec" w:id="12"/>
      <w:bookmarkEnd w:id="12"/>
      <w:r w:rsidDel="00000000" w:rsidR="00000000" w:rsidRPr="00000000">
        <w:rPr>
          <w:i w:val="0"/>
          <w:iCs w:val="0"/>
          <w:color w:val="0d0d0d"/>
          <w:sz w:val="22"/>
          <w:szCs w:val="22"/>
          <w:rtl w:val="0"/>
        </w:rPr>
        <w:t xml:space="preserve">Reflective Statement</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after="60" w:before="6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Writing this report on Type 2 diabetes has sincerely changed the way I understand both the condition itself and the role of a nurse in supporting patients. Before starting this assignment, I had a general idea that diabetes was linked to high blood sugar levels and lifestyle factors. However, as I began researching in more depth, I realised how complex the condition actually is, particularly in terms of how the body regulates glucose and produces energy.</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One of the biggest challenges for me was taking quite detailed scientific concepts, such as insulin function and cellular metabolism, and explaining them in a way that would make sense to a patient with no medical background. At first, I found myself using overly technical language, but as I refined my work, I became more aware that clarity is far more important than complexity. This process helped me understand that good nursing communication is not about how much you know, but how effectively you can share that knowledge in a way that empowers others.</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The section on blood glucose monitoring stood out to me the most. Initially, I saw it as a routine clinical task, but through this assignment I began to appreciate how important it is for patient independence. Monitoring is not just about recording numbers; it allows individuals to understand their own bodies, recognise patterns, and make informed decisions about their lifestyle. This shifted my thinking quite significantly, as I started to see patients as active participants in their care rather than passive recipients of medical advice.</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I also reflected a lot on the lifestyle changes involved in managing Type 2 diabetes. On paper, advice such as eating a balanced diet, exercising regularly, and stopping smoking can seem quite straightforward. However, thinking about it more deeply made me realise how difficult these changes can be for many people. Factors such as habits, environment, mental health, and even financial constraints can all act as barriers. This made me more aware of the importance of empathy in healthcare. As a nurse, it will not be enough to simply give advice — I will need to understand each patient’s situation and support them in a realistic and non-judgemental way.</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From an academic perspective, this assignment has helped me improve my ability to structure a report and develop a clear line of argument. I became more confident in linking scientific knowledge to real-life patient care, which I now see as essential in health-related writing. Using Harvard referencing also strengthened my ability to engage with reliable sources and reinforced the importance of evidence-based practice.</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Overall, this assignment has been more than just an academic exercise. It has helped me start thinking like a healthcare professional, particularly in terms of communication, empathy, and patient education. Moving forward, I will carry these lessons with me, aiming to not only understand health conditions but to explain them in a way that truly supports and empowers patients in managing their own health.</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tl w:val="0"/>
        </w:rPr>
      </w:r>
    </w:p>
    <w:p w:rsidR="00000000" w:rsidDel="00000000" w:rsidP="00000000" w:rsidRDefault="00000000" w:rsidRPr="00000000" w14:paraId="0000005A">
      <w:pPr>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Conclusion</w:t>
      </w:r>
      <w:r w:rsidDel="00000000" w:rsidR="00000000" w:rsidRPr="00000000">
        <w:rPr>
          <w:rtl w:val="0"/>
        </w:rPr>
      </w:r>
    </w:p>
    <w:p w:rsidR="00000000" w:rsidDel="00000000" w:rsidP="00000000" w:rsidRDefault="00000000" w:rsidRPr="00000000" w14:paraId="0000005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Type 2 diabetes is a complex but manageable condition. Understanding how blood glucose is regulated, how the body produces energy, and why monitoring is important can empower patients to take control of their health.Effective management relies heavily on lifestyle  changes, including a balanced diet, regular physical activity, weight management, and smoking cessation. These interventions not only improve blood glucose control but also reduce the risk of long-term complications.</w:t>
      </w:r>
    </w:p>
    <w:p w:rsidR="00000000" w:rsidDel="00000000" w:rsidP="00000000" w:rsidRDefault="00000000" w:rsidRPr="00000000" w14:paraId="0000005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 a nurse working in a GP surgery, providing clear, accessible, and evidence-based information is essential. By supporting patients in understanding their condition and making informed choices, healthcare professionals can significantly improve health outcomes and quality of life.</w:t>
      </w:r>
    </w:p>
    <w:p w:rsidR="00000000" w:rsidDel="00000000" w:rsidP="00000000" w:rsidRDefault="00000000" w:rsidRPr="00000000" w14:paraId="0000005D">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pStyle w:val="Heading2"/>
        <w:keepNext w:val="0"/>
        <w:keepLines w:val="0"/>
        <w:spacing w:after="80" w:before="360" w:line="360" w:lineRule="auto"/>
        <w:rPr>
          <w:i w:val="0"/>
          <w:iCs w:val="0"/>
          <w:color w:val="000000"/>
          <w:sz w:val="22"/>
          <w:szCs w:val="22"/>
        </w:rPr>
      </w:pPr>
      <w:bookmarkStart w:colFirst="0" w:colLast="0" w:name="_heading=h.2pv2vomokx1z" w:id="13"/>
      <w:bookmarkEnd w:id="13"/>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References</w:t>
      </w:r>
    </w:p>
    <w:p w:rsidR="00000000" w:rsidDel="00000000" w:rsidP="00000000" w:rsidRDefault="00000000" w:rsidRPr="00000000" w14:paraId="00000070">
      <w:pPr>
        <w:pStyle w:val="Heading2"/>
        <w:keepNext w:val="0"/>
        <w:keepLines w:val="0"/>
        <w:spacing w:after="80" w:before="360" w:line="360" w:lineRule="auto"/>
        <w:rPr>
          <w:i w:val="0"/>
          <w:iCs w:val="0"/>
          <w:color w:val="000000"/>
          <w:sz w:val="22"/>
          <w:szCs w:val="22"/>
        </w:rPr>
      </w:pPr>
      <w:bookmarkStart w:colFirst="0" w:colLast="0" w:name="_heading=h.qn08xwosxub" w:id="14"/>
      <w:bookmarkEnd w:id="14"/>
      <w:r w:rsidDel="00000000" w:rsidR="00000000" w:rsidRPr="00000000">
        <w:rPr>
          <w:rtl w:val="0"/>
        </w:rPr>
      </w:r>
    </w:p>
    <w:p w:rsidR="00000000" w:rsidDel="00000000" w:rsidP="00000000" w:rsidRDefault="00000000" w:rsidRPr="00000000" w14:paraId="00000071">
      <w:pPr>
        <w:pStyle w:val="Heading2"/>
        <w:keepNext w:val="0"/>
        <w:keepLines w:val="0"/>
        <w:spacing w:after="80" w:before="360" w:line="360" w:lineRule="auto"/>
        <w:rPr>
          <w:i w:val="0"/>
          <w:iCs w:val="0"/>
          <w:color w:val="000000"/>
          <w:sz w:val="22"/>
          <w:szCs w:val="22"/>
        </w:rPr>
      </w:pPr>
      <w:bookmarkStart w:colFirst="0" w:colLast="0" w:name="_heading=h.r53afd2lbrwf" w:id="15"/>
      <w:bookmarkEnd w:id="15"/>
      <w:r w:rsidDel="00000000" w:rsidR="00000000" w:rsidRPr="00000000">
        <w:rPr>
          <w:rtl w:val="0"/>
        </w:rPr>
      </w:r>
    </w:p>
    <w:p w:rsidR="00000000" w:rsidDel="00000000" w:rsidP="00000000" w:rsidRDefault="00000000" w:rsidRPr="00000000" w14:paraId="00000072">
      <w:pPr>
        <w:pStyle w:val="Heading2"/>
        <w:keepNext w:val="0"/>
        <w:keepLines w:val="0"/>
        <w:spacing w:after="80" w:before="360" w:line="360" w:lineRule="auto"/>
        <w:rPr>
          <w:i w:val="0"/>
          <w:iCs w:val="0"/>
          <w:color w:val="000000"/>
          <w:sz w:val="22"/>
          <w:szCs w:val="22"/>
        </w:rPr>
      </w:pPr>
      <w:bookmarkStart w:colFirst="0" w:colLast="0" w:name="_heading=h.av2yp3q4l3pd" w:id="16"/>
      <w:bookmarkEnd w:id="16"/>
      <w:r w:rsidDel="00000000" w:rsidR="00000000" w:rsidRPr="00000000">
        <w:rPr>
          <w:rtl w:val="0"/>
        </w:rPr>
      </w:r>
    </w:p>
    <w:p w:rsidR="00000000" w:rsidDel="00000000" w:rsidP="00000000" w:rsidRDefault="00000000" w:rsidRPr="00000000" w14:paraId="00000073">
      <w:pPr>
        <w:pStyle w:val="Heading2"/>
        <w:keepNext w:val="0"/>
        <w:keepLines w:val="0"/>
        <w:spacing w:after="80" w:before="360" w:line="360" w:lineRule="auto"/>
        <w:rPr>
          <w:i w:val="0"/>
          <w:iCs w:val="0"/>
          <w:color w:val="000000"/>
          <w:sz w:val="22"/>
          <w:szCs w:val="22"/>
        </w:rPr>
      </w:pPr>
      <w:bookmarkStart w:colFirst="0" w:colLast="0" w:name="_heading=h.dxdb2qhf5uvo" w:id="17"/>
      <w:bookmarkEnd w:id="17"/>
      <w:r w:rsidDel="00000000" w:rsidR="00000000" w:rsidRPr="00000000">
        <w:rPr>
          <w:rtl w:val="0"/>
        </w:rPr>
      </w:r>
    </w:p>
    <w:p w:rsidR="00000000" w:rsidDel="00000000" w:rsidP="00000000" w:rsidRDefault="00000000" w:rsidRPr="00000000" w14:paraId="00000074">
      <w:pPr>
        <w:pStyle w:val="Heading2"/>
        <w:keepNext w:val="0"/>
        <w:keepLines w:val="0"/>
        <w:spacing w:after="80" w:before="360" w:line="360" w:lineRule="auto"/>
        <w:rPr>
          <w:i w:val="0"/>
          <w:iCs w:val="0"/>
          <w:color w:val="000000"/>
          <w:sz w:val="22"/>
          <w:szCs w:val="22"/>
        </w:rPr>
      </w:pPr>
      <w:bookmarkStart w:colFirst="0" w:colLast="0" w:name="_heading=h.o6v7zny1r07j" w:id="18"/>
      <w:bookmarkEnd w:id="18"/>
      <w:r w:rsidDel="00000000" w:rsidR="00000000" w:rsidRPr="00000000">
        <w:rPr>
          <w:rtl w:val="0"/>
        </w:rPr>
      </w:r>
    </w:p>
    <w:p w:rsidR="00000000" w:rsidDel="00000000" w:rsidP="00000000" w:rsidRDefault="00000000" w:rsidRPr="00000000" w14:paraId="00000075">
      <w:pPr>
        <w:pStyle w:val="Heading2"/>
        <w:keepNext w:val="0"/>
        <w:keepLines w:val="0"/>
        <w:spacing w:after="80" w:before="360" w:line="360" w:lineRule="auto"/>
        <w:rPr>
          <w:i w:val="0"/>
          <w:iCs w:val="0"/>
          <w:color w:val="000000"/>
          <w:sz w:val="22"/>
          <w:szCs w:val="22"/>
        </w:rPr>
      </w:pPr>
      <w:bookmarkStart w:colFirst="0" w:colLast="0" w:name="_heading=h.t9urqseip386" w:id="19"/>
      <w:bookmarkEnd w:id="19"/>
      <w:r w:rsidDel="00000000" w:rsidR="00000000" w:rsidRPr="00000000">
        <w:rPr>
          <w:rtl w:val="0"/>
        </w:rPr>
      </w:r>
    </w:p>
    <w:p w:rsidR="00000000" w:rsidDel="00000000" w:rsidP="00000000" w:rsidRDefault="00000000" w:rsidRPr="00000000" w14:paraId="00000076">
      <w:pPr>
        <w:pStyle w:val="Heading2"/>
        <w:keepNext w:val="0"/>
        <w:keepLines w:val="0"/>
        <w:spacing w:after="80" w:before="360" w:line="360" w:lineRule="auto"/>
        <w:rPr>
          <w:i w:val="0"/>
          <w:iCs w:val="0"/>
          <w:color w:val="000000"/>
          <w:sz w:val="22"/>
          <w:szCs w:val="22"/>
        </w:rPr>
      </w:pPr>
      <w:bookmarkStart w:colFirst="0" w:colLast="0" w:name="_heading=h.fb98z43gwnct" w:id="20"/>
      <w:bookmarkEnd w:id="20"/>
      <w:r w:rsidDel="00000000" w:rsidR="00000000" w:rsidRPr="00000000">
        <w:rPr>
          <w:rtl w:val="0"/>
        </w:rPr>
      </w:r>
    </w:p>
    <w:p w:rsidR="00000000" w:rsidDel="00000000" w:rsidP="00000000" w:rsidRDefault="00000000" w:rsidRPr="00000000" w14:paraId="00000077">
      <w:pPr>
        <w:pStyle w:val="Heading2"/>
        <w:keepNext w:val="0"/>
        <w:keepLines w:val="0"/>
        <w:spacing w:after="80" w:before="360" w:line="360" w:lineRule="auto"/>
        <w:rPr>
          <w:i w:val="0"/>
          <w:iCs w:val="0"/>
          <w:color w:val="000000"/>
          <w:sz w:val="22"/>
          <w:szCs w:val="22"/>
        </w:rPr>
      </w:pPr>
      <w:bookmarkStart w:colFirst="0" w:colLast="0" w:name="_heading=h.nj34get6776q" w:id="21"/>
      <w:bookmarkEnd w:id="21"/>
      <w:r w:rsidDel="00000000" w:rsidR="00000000" w:rsidRPr="00000000">
        <w:rPr>
          <w:rtl w:val="0"/>
        </w:rPr>
      </w:r>
    </w:p>
    <w:p w:rsidR="00000000" w:rsidDel="00000000" w:rsidP="00000000" w:rsidRDefault="00000000" w:rsidRPr="00000000" w14:paraId="00000078">
      <w:pPr>
        <w:pStyle w:val="Heading2"/>
        <w:keepNext w:val="0"/>
        <w:keepLines w:val="0"/>
        <w:spacing w:after="80" w:before="360" w:line="360" w:lineRule="auto"/>
        <w:rPr>
          <w:i w:val="0"/>
          <w:iCs w:val="0"/>
          <w:color w:val="000000"/>
          <w:sz w:val="22"/>
          <w:szCs w:val="22"/>
        </w:rPr>
      </w:pPr>
      <w:bookmarkStart w:colFirst="0" w:colLast="0" w:name="_heading=h.t1gqkfe2ii9d" w:id="22"/>
      <w:bookmarkEnd w:id="22"/>
      <w:r w:rsidDel="00000000" w:rsidR="00000000" w:rsidRPr="00000000">
        <w:rPr>
          <w:i w:val="0"/>
          <w:iCs w:val="0"/>
          <w:color w:val="000000"/>
          <w:sz w:val="22"/>
          <w:szCs w:val="22"/>
          <w:rtl w:val="0"/>
        </w:rPr>
        <w:t xml:space="preserve"> </w:t>
      </w:r>
    </w:p>
    <w:p w:rsidR="00000000" w:rsidDel="00000000" w:rsidP="00000000" w:rsidRDefault="00000000" w:rsidRPr="00000000" w14:paraId="0000007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American Diabetes Association (2023) </w:t>
      </w:r>
      <w:r w:rsidDel="00000000" w:rsidR="00000000" w:rsidRPr="00000000">
        <w:rPr>
          <w:rFonts w:ascii="Arial" w:cs="Arial" w:eastAsia="Arial" w:hAnsi="Arial"/>
          <w:i w:val="1"/>
          <w:iCs w:val="1"/>
          <w:sz w:val="22"/>
          <w:szCs w:val="22"/>
          <w:rtl w:val="0"/>
        </w:rPr>
        <w:t xml:space="preserve">Standards of medical care in diabetes</w:t>
      </w:r>
      <w:r w:rsidDel="00000000" w:rsidR="00000000" w:rsidRPr="00000000">
        <w:rPr>
          <w:rFonts w:ascii="Arial" w:cs="Arial" w:eastAsia="Arial" w:hAnsi="Arial"/>
          <w:sz w:val="22"/>
          <w:szCs w:val="22"/>
          <w:rtl w:val="0"/>
        </w:rPr>
        <w:t xml:space="preserve">. Diabetes Care, 46(Supplement 1), pp. S1–S291.</w:t>
      </w:r>
    </w:p>
    <w:p w:rsidR="00000000" w:rsidDel="00000000" w:rsidP="00000000" w:rsidRDefault="00000000" w:rsidRPr="00000000" w14:paraId="0000007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Diabetes UK (2022) </w:t>
      </w:r>
      <w:r w:rsidDel="00000000" w:rsidR="00000000" w:rsidRPr="00000000">
        <w:rPr>
          <w:rFonts w:ascii="Arial" w:cs="Arial" w:eastAsia="Arial" w:hAnsi="Arial"/>
          <w:i w:val="1"/>
          <w:iCs w:val="1"/>
          <w:sz w:val="22"/>
          <w:szCs w:val="22"/>
          <w:rtl w:val="0"/>
        </w:rPr>
        <w:t xml:space="preserve">Type 2 diabetes</w:t>
      </w:r>
      <w:r w:rsidDel="00000000" w:rsidR="00000000" w:rsidRPr="00000000">
        <w:rPr>
          <w:rFonts w:ascii="Arial" w:cs="Arial" w:eastAsia="Arial" w:hAnsi="Arial"/>
          <w:sz w:val="22"/>
          <w:szCs w:val="22"/>
          <w:rtl w:val="0"/>
        </w:rPr>
        <w:t xml:space="preserve">. Available at: https://www.diabetes.org.uk (Accessed: 2 April 2026).</w:t>
      </w:r>
    </w:p>
    <w:p w:rsidR="00000000" w:rsidDel="00000000" w:rsidP="00000000" w:rsidRDefault="00000000" w:rsidRPr="00000000" w14:paraId="0000007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NHS (2023) </w:t>
      </w:r>
      <w:r w:rsidDel="00000000" w:rsidR="00000000" w:rsidRPr="00000000">
        <w:rPr>
          <w:rFonts w:ascii="Arial" w:cs="Arial" w:eastAsia="Arial" w:hAnsi="Arial"/>
          <w:i w:val="1"/>
          <w:iCs w:val="1"/>
          <w:sz w:val="22"/>
          <w:szCs w:val="22"/>
          <w:rtl w:val="0"/>
        </w:rPr>
        <w:t xml:space="preserve">Type 2 diabetes</w:t>
      </w:r>
      <w:r w:rsidDel="00000000" w:rsidR="00000000" w:rsidRPr="00000000">
        <w:rPr>
          <w:rFonts w:ascii="Arial" w:cs="Arial" w:eastAsia="Arial" w:hAnsi="Arial"/>
          <w:sz w:val="22"/>
          <w:szCs w:val="22"/>
          <w:rtl w:val="0"/>
        </w:rPr>
        <w:t xml:space="preserve">. Available at: https://www.nhs.uk (Accessed: 2 April 2026).</w:t>
      </w:r>
    </w:p>
    <w:p w:rsidR="00000000" w:rsidDel="00000000" w:rsidP="00000000" w:rsidRDefault="00000000" w:rsidRPr="00000000" w14:paraId="0000007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World Health Organization (2023) </w:t>
      </w:r>
      <w:r w:rsidDel="00000000" w:rsidR="00000000" w:rsidRPr="00000000">
        <w:rPr>
          <w:rFonts w:ascii="Arial" w:cs="Arial" w:eastAsia="Arial" w:hAnsi="Arial"/>
          <w:i w:val="1"/>
          <w:iCs w:val="1"/>
          <w:sz w:val="22"/>
          <w:szCs w:val="22"/>
          <w:rtl w:val="0"/>
        </w:rPr>
        <w:t xml:space="preserve">Diabetes</w:t>
      </w:r>
      <w:r w:rsidDel="00000000" w:rsidR="00000000" w:rsidRPr="00000000">
        <w:rPr>
          <w:rFonts w:ascii="Arial" w:cs="Arial" w:eastAsia="Arial" w:hAnsi="Arial"/>
          <w:sz w:val="22"/>
          <w:szCs w:val="22"/>
          <w:rtl w:val="0"/>
        </w:rPr>
        <w:t xml:space="preserve">. Available at: https://www.who.int (Accessed: 2 April 2026).</w:t>
      </w:r>
    </w:p>
    <w:p w:rsidR="00000000" w:rsidDel="00000000" w:rsidP="00000000" w:rsidRDefault="00000000" w:rsidRPr="00000000" w14:paraId="0000007D">
      <w:pPr>
        <w:spacing w:after="240" w:before="240" w:line="360" w:lineRule="auto"/>
        <w:rPr>
          <w:rFonts w:ascii="Arial" w:cs="Arial" w:eastAsia="Arial" w:hAnsi="Arial"/>
          <w:color w:val="0d0d0d"/>
        </w:rPr>
      </w:pPr>
      <w:r w:rsidDel="00000000" w:rsidR="00000000" w:rsidRPr="00000000">
        <w:rPr>
          <w:rFonts w:ascii="Arial" w:cs="Arial" w:eastAsia="Arial" w:hAnsi="Arial"/>
          <w:sz w:val="22"/>
          <w:szCs w:val="22"/>
          <w:rtl w:val="0"/>
        </w:rPr>
        <w:t xml:space="preserve">Hall, J.E. (2021) </w:t>
      </w:r>
      <w:r w:rsidDel="00000000" w:rsidR="00000000" w:rsidRPr="00000000">
        <w:rPr>
          <w:rFonts w:ascii="Arial" w:cs="Arial" w:eastAsia="Arial" w:hAnsi="Arial"/>
          <w:i w:val="1"/>
          <w:iCs w:val="1"/>
          <w:sz w:val="22"/>
          <w:szCs w:val="22"/>
          <w:rtl w:val="0"/>
        </w:rPr>
        <w:t xml:space="preserve">Guyton and Hall textbook of medical physiology</w:t>
      </w:r>
      <w:r w:rsidDel="00000000" w:rsidR="00000000" w:rsidRPr="00000000">
        <w:rPr>
          <w:rFonts w:ascii="Arial" w:cs="Arial" w:eastAsia="Arial" w:hAnsi="Arial"/>
          <w:sz w:val="22"/>
          <w:szCs w:val="22"/>
          <w:rtl w:val="0"/>
        </w:rPr>
        <w:t xml:space="preserve">. 14th edn. Elsevier.</w:t>
      </w:r>
      <w:r w:rsidDel="00000000" w:rsidR="00000000" w:rsidRPr="00000000">
        <w:rPr>
          <w:rtl w:val="0"/>
        </w:rPr>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Diabetes UK (2022) </w:t>
      </w:r>
      <w:r w:rsidDel="00000000" w:rsidR="00000000" w:rsidRPr="00000000">
        <w:rPr>
          <w:rFonts w:ascii="Arial" w:cs="Arial" w:eastAsia="Arial" w:hAnsi="Arial"/>
          <w:i w:val="1"/>
          <w:iCs w:val="1"/>
          <w:color w:val="0d0d0d"/>
          <w:rtl w:val="0"/>
        </w:rPr>
        <w:t xml:space="preserve">Type 2 diabetes</w:t>
      </w:r>
      <w:r w:rsidDel="00000000" w:rsidR="00000000" w:rsidRPr="00000000">
        <w:rPr>
          <w:rFonts w:ascii="Arial" w:cs="Arial" w:eastAsia="Arial" w:hAnsi="Arial"/>
          <w:color w:val="0d0d0d"/>
          <w:rtl w:val="0"/>
        </w:rPr>
        <w:t xml:space="preserve">. Available at: </w:t>
      </w:r>
      <w:r w:rsidDel="00000000" w:rsidR="00000000" w:rsidRPr="00000000">
        <w:rPr>
          <w:rFonts w:ascii="Arial" w:cs="Arial" w:eastAsia="Arial" w:hAnsi="Arial"/>
          <w:color w:val="0d0d0d"/>
          <w:u w:val="single"/>
          <w:rtl w:val="0"/>
        </w:rPr>
        <w:t xml:space="preserve">https://www.diabetes.org.uk</w:t>
      </w:r>
      <w:r w:rsidDel="00000000" w:rsidR="00000000" w:rsidRPr="00000000">
        <w:rPr>
          <w:rFonts w:ascii="Arial" w:cs="Arial" w:eastAsia="Arial" w:hAnsi="Arial"/>
          <w:color w:val="0d0d0d"/>
          <w:rtl w:val="0"/>
        </w:rPr>
        <w:t xml:space="preserve"> (Accessed: 2 April 2026).</w:t>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Hall, J.E. (2021) </w:t>
      </w:r>
      <w:r w:rsidDel="00000000" w:rsidR="00000000" w:rsidRPr="00000000">
        <w:rPr>
          <w:rFonts w:ascii="Arial" w:cs="Arial" w:eastAsia="Arial" w:hAnsi="Arial"/>
          <w:i w:val="1"/>
          <w:iCs w:val="1"/>
          <w:color w:val="0d0d0d"/>
          <w:rtl w:val="0"/>
        </w:rPr>
        <w:t xml:space="preserve">Guyton and Hall textbook of medical physiology</w:t>
      </w:r>
      <w:r w:rsidDel="00000000" w:rsidR="00000000" w:rsidRPr="00000000">
        <w:rPr>
          <w:rFonts w:ascii="Arial" w:cs="Arial" w:eastAsia="Arial" w:hAnsi="Arial"/>
          <w:color w:val="0d0d0d"/>
          <w:rtl w:val="0"/>
        </w:rPr>
        <w:t xml:space="preserve">. 14th edn. Elsevier.</w:t>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International Diabetes Federation (2021) </w:t>
      </w:r>
      <w:r w:rsidDel="00000000" w:rsidR="00000000" w:rsidRPr="00000000">
        <w:rPr>
          <w:rFonts w:ascii="Arial" w:cs="Arial" w:eastAsia="Arial" w:hAnsi="Arial"/>
          <w:i w:val="1"/>
          <w:iCs w:val="1"/>
          <w:color w:val="0d0d0d"/>
          <w:rtl w:val="0"/>
        </w:rPr>
        <w:t xml:space="preserve">IDF diabetes atlas</w:t>
      </w:r>
      <w:r w:rsidDel="00000000" w:rsidR="00000000" w:rsidRPr="00000000">
        <w:rPr>
          <w:rFonts w:ascii="Arial" w:cs="Arial" w:eastAsia="Arial" w:hAnsi="Arial"/>
          <w:color w:val="0d0d0d"/>
          <w:rtl w:val="0"/>
        </w:rPr>
        <w:t xml:space="preserve">. 10th edn. Brussels: IDF.</w:t>
      </w:r>
    </w:p>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National Institute for Health and Care Excellence (NICE) (2022) </w:t>
      </w:r>
      <w:r w:rsidDel="00000000" w:rsidR="00000000" w:rsidRPr="00000000">
        <w:rPr>
          <w:rFonts w:ascii="Arial" w:cs="Arial" w:eastAsia="Arial" w:hAnsi="Arial"/>
          <w:i w:val="1"/>
          <w:iCs w:val="1"/>
          <w:color w:val="0d0d0d"/>
          <w:rtl w:val="0"/>
        </w:rPr>
        <w:t xml:space="preserve">Type 2 diabetes in adults: management (NG28)</w:t>
      </w:r>
      <w:r w:rsidDel="00000000" w:rsidR="00000000" w:rsidRPr="00000000">
        <w:rPr>
          <w:rFonts w:ascii="Arial" w:cs="Arial" w:eastAsia="Arial" w:hAnsi="Arial"/>
          <w:color w:val="0d0d0d"/>
          <w:rtl w:val="0"/>
        </w:rPr>
        <w:t xml:space="preserve">. Available at: </w:t>
      </w:r>
      <w:r w:rsidDel="00000000" w:rsidR="00000000" w:rsidRPr="00000000">
        <w:rPr>
          <w:rFonts w:ascii="Arial" w:cs="Arial" w:eastAsia="Arial" w:hAnsi="Arial"/>
          <w:color w:val="0d0d0d"/>
          <w:u w:val="single"/>
          <w:rtl w:val="0"/>
        </w:rPr>
        <w:t xml:space="preserve">https://www.nice.org.uk</w:t>
      </w:r>
      <w:r w:rsidDel="00000000" w:rsidR="00000000" w:rsidRPr="00000000">
        <w:rPr>
          <w:rFonts w:ascii="Arial" w:cs="Arial" w:eastAsia="Arial" w:hAnsi="Arial"/>
          <w:color w:val="0d0d0d"/>
          <w:rtl w:val="0"/>
        </w:rPr>
        <w:t xml:space="preserve"> (Accessed: 2 April 2026).</w:t>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Hu, F.B. (2011) ‘Globalization of diabetes: the role of diet, lifestyle, and genes’, </w:t>
      </w:r>
      <w:r w:rsidDel="00000000" w:rsidR="00000000" w:rsidRPr="00000000">
        <w:rPr>
          <w:rFonts w:ascii="Arial" w:cs="Arial" w:eastAsia="Arial" w:hAnsi="Arial"/>
          <w:i w:val="1"/>
          <w:iCs w:val="1"/>
          <w:color w:val="0d0d0d"/>
          <w:rtl w:val="0"/>
        </w:rPr>
        <w:t xml:space="preserve">Diabetes Care</w:t>
      </w:r>
      <w:r w:rsidDel="00000000" w:rsidR="00000000" w:rsidRPr="00000000">
        <w:rPr>
          <w:rFonts w:ascii="Arial" w:cs="Arial" w:eastAsia="Arial" w:hAnsi="Arial"/>
          <w:color w:val="0d0d0d"/>
          <w:rtl w:val="0"/>
        </w:rPr>
        <w:t xml:space="preserve">, 34(6), pp. 1249–1257.</w:t>
      </w:r>
    </w:p>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Tuomilehto, J. et al. (2001) ‘Prevention of type 2 diabetes mellitus by changes in lifestyle among subjects with impaired glucose tolerance’, </w:t>
      </w:r>
      <w:r w:rsidDel="00000000" w:rsidR="00000000" w:rsidRPr="00000000">
        <w:rPr>
          <w:rFonts w:ascii="Arial" w:cs="Arial" w:eastAsia="Arial" w:hAnsi="Arial"/>
          <w:i w:val="1"/>
          <w:iCs w:val="1"/>
          <w:color w:val="0d0d0d"/>
          <w:rtl w:val="0"/>
        </w:rPr>
        <w:t xml:space="preserve">New England Journal of Medicine</w:t>
      </w:r>
      <w:r w:rsidDel="00000000" w:rsidR="00000000" w:rsidRPr="00000000">
        <w:rPr>
          <w:rFonts w:ascii="Arial" w:cs="Arial" w:eastAsia="Arial" w:hAnsi="Arial"/>
          <w:color w:val="0d0d0d"/>
          <w:rtl w:val="0"/>
        </w:rPr>
        <w:t xml:space="preserve">, 344(18), pp. 1343–1350.</w:t>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Knowler, W.C. et al. (2002) ‘Reduction in the incidence of type 2 diabetes with lifestyle intervention or metformin’, </w:t>
      </w:r>
      <w:r w:rsidDel="00000000" w:rsidR="00000000" w:rsidRPr="00000000">
        <w:rPr>
          <w:rFonts w:ascii="Arial" w:cs="Arial" w:eastAsia="Arial" w:hAnsi="Arial"/>
          <w:i w:val="1"/>
          <w:iCs w:val="1"/>
          <w:color w:val="0d0d0d"/>
          <w:rtl w:val="0"/>
        </w:rPr>
        <w:t xml:space="preserve">New England Journal of Medicine</w:t>
      </w:r>
      <w:r w:rsidDel="00000000" w:rsidR="00000000" w:rsidRPr="00000000">
        <w:rPr>
          <w:rFonts w:ascii="Arial" w:cs="Arial" w:eastAsia="Arial" w:hAnsi="Arial"/>
          <w:color w:val="0d0d0d"/>
          <w:rtl w:val="0"/>
        </w:rPr>
        <w:t xml:space="preserve">, 346(6), pp. 393–403.</w:t>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Colberg, S.R. et al. (2016) ‘Physical activity/exercise and diabetes: a position statement’, </w:t>
      </w:r>
      <w:r w:rsidDel="00000000" w:rsidR="00000000" w:rsidRPr="00000000">
        <w:rPr>
          <w:rFonts w:ascii="Arial" w:cs="Arial" w:eastAsia="Arial" w:hAnsi="Arial"/>
          <w:i w:val="1"/>
          <w:iCs w:val="1"/>
          <w:color w:val="0d0d0d"/>
          <w:rtl w:val="0"/>
        </w:rPr>
        <w:t xml:space="preserve">Diabetes Care</w:t>
      </w:r>
      <w:r w:rsidDel="00000000" w:rsidR="00000000" w:rsidRPr="00000000">
        <w:rPr>
          <w:rFonts w:ascii="Arial" w:cs="Arial" w:eastAsia="Arial" w:hAnsi="Arial"/>
          <w:color w:val="0d0d0d"/>
          <w:rtl w:val="0"/>
        </w:rPr>
        <w:t xml:space="preserve">, 39(11), pp. 2065–2079.</w:t>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360" w:lineRule="auto"/>
        <w:rPr>
          <w:rFonts w:ascii="Arial" w:cs="Arial" w:eastAsia="Arial" w:hAnsi="Arial"/>
          <w:color w:val="0d0d0d"/>
        </w:rPr>
      </w:pPr>
      <w:r w:rsidDel="00000000" w:rsidR="00000000" w:rsidRPr="00000000">
        <w:rPr>
          <w:rFonts w:ascii="Arial" w:cs="Arial" w:eastAsia="Arial" w:hAnsi="Arial"/>
          <w:color w:val="0d0d0d"/>
          <w:rtl w:val="0"/>
        </w:rPr>
        <w:t xml:space="preserve">Evert, A.B. et al. (2019) ‘Nutrition therapy for adults with diabetes’, </w:t>
      </w:r>
      <w:r w:rsidDel="00000000" w:rsidR="00000000" w:rsidRPr="00000000">
        <w:rPr>
          <w:rFonts w:ascii="Arial" w:cs="Arial" w:eastAsia="Arial" w:hAnsi="Arial"/>
          <w:i w:val="1"/>
          <w:iCs w:val="1"/>
          <w:color w:val="0d0d0d"/>
          <w:rtl w:val="0"/>
        </w:rPr>
        <w:t xml:space="preserve">Diabetes Care</w:t>
      </w:r>
      <w:r w:rsidDel="00000000" w:rsidR="00000000" w:rsidRPr="00000000">
        <w:rPr>
          <w:rFonts w:ascii="Arial" w:cs="Arial" w:eastAsia="Arial" w:hAnsi="Arial"/>
          <w:color w:val="0d0d0d"/>
          <w:rtl w:val="0"/>
        </w:rPr>
        <w:t xml:space="preserve">, 42(5), pp. 731–754.</w:t>
      </w:r>
    </w:p>
    <w:p w:rsidR="00000000" w:rsidDel="00000000" w:rsidP="00000000" w:rsidRDefault="00000000" w:rsidRPr="00000000" w14:paraId="00000087">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8">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spacing w:after="240" w:before="240" w:line="360" w:lineRule="auto"/>
        <w:rPr>
          <w:rFonts w:ascii="Arial" w:cs="Arial" w:eastAsia="Arial" w:hAnsi="Arial"/>
        </w:rPr>
      </w:pPr>
      <w:r w:rsidDel="00000000" w:rsidR="00000000" w:rsidRPr="00000000">
        <w:rPr>
          <w:rtl w:val="0"/>
        </w:rPr>
      </w:r>
    </w:p>
    <w:sectPr>
      <w:headerReference r:id="rId8" w:type="default"/>
      <w:footerReference r:id="rId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857250</wp:posOffset>
          </wp:positionH>
          <wp:positionV relativeFrom="paragraph">
            <wp:posOffset>650585</wp:posOffset>
          </wp:positionV>
          <wp:extent cx="3076575" cy="2850346"/>
          <wp:effectExtent b="0" l="0" r="0" t="0"/>
          <wp:wrapSquare wrapText="bothSides" distB="114300" distT="114300" distL="114300" distR="114300"/>
          <wp:docPr id="6" name="image2.jpg"/>
          <a:graphic>
            <a:graphicData uri="http://schemas.openxmlformats.org/drawingml/2006/picture">
              <pic:pic>
                <pic:nvPicPr>
                  <pic:cNvPr id="0" name="image2.jpg"/>
                  <pic:cNvPicPr preferRelativeResize="0"/>
                </pic:nvPicPr>
                <pic:blipFill>
                  <a:blip r:embed="rId1"/>
                  <a:srcRect b="0" l="0" r="0" t="0"/>
                  <a:stretch>
                    <a:fillRect/>
                  </a:stretch>
                </pic:blipFill>
                <pic:spPr>
                  <a:xfrm>
                    <a:off x="0" y="0"/>
                    <a:ext cx="3076575" cy="2850346"/>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D">
    <w:pPr>
      <w:pStyle w:val="Heading1"/>
      <w:keepNext w:val="0"/>
      <w:keepLines w:val="0"/>
      <w:tabs>
        <w:tab w:val="left" w:leader="none" w:pos="6540"/>
      </w:tabs>
      <w:spacing w:after="120" w:before="480" w:lineRule="auto"/>
      <w:rPr>
        <w:b w:val="1"/>
        <w:bCs w:val="1"/>
      </w:rPr>
    </w:pPr>
    <w:bookmarkStart w:colFirst="0" w:colLast="0" w:name="_heading=h.1xc9xlhqne7g" w:id="23"/>
    <w:bookmarkEnd w:id="23"/>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Rule="auto"/>
    </w:pPr>
    <w:rPr>
      <w:rFonts w:ascii="Arial" w:cs="Arial" w:eastAsia="Arial" w:hAnsi="Arial"/>
      <w:b w:val="1"/>
      <w:bCs w:val="1"/>
      <w:i w:val="1"/>
      <w:iCs w:val="1"/>
      <w:color w:val="2f5496"/>
      <w:sz w:val="26"/>
      <w:szCs w:val="26"/>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C3965"/>
    <w:rPr>
      <w:rFonts w:ascii="Arial" w:hAnsi="Arial" w:cstheme="majorBidi" w:eastAsiaTheme="majorEastAsia"/>
      <w:b w:val="1"/>
      <w:sz w:val="32"/>
      <w:szCs w:val="32"/>
    </w:rPr>
  </w:style>
  <w:style w:type="character" w:styleId="Heading2Char" w:customStyle="1">
    <w:name w:val="Heading 2 Char"/>
    <w:basedOn w:val="DefaultParagraphFont"/>
    <w:link w:val="Heading2"/>
    <w:uiPriority w:val="9"/>
    <w:rsid w:val="00A035FD"/>
    <w:rPr>
      <w:rFonts w:ascii="Arial" w:hAnsi="Arial" w:cstheme="majorBidi" w:eastAsiaTheme="majorEastAsia"/>
      <w:b w:val="1"/>
      <w:i w:val="1"/>
      <w:color w:val="2f5496" w:themeColor="accent1" w:themeShade="0000BF"/>
      <w:sz w:val="26"/>
      <w:szCs w:val="26"/>
    </w:rPr>
  </w:style>
  <w:style w:type="character" w:styleId="Heading3Char" w:customStyle="1">
    <w:name w:val="Heading 3 Char"/>
    <w:basedOn w:val="DefaultParagraphFont"/>
    <w:link w:val="Heading3"/>
    <w:uiPriority w:val="9"/>
    <w:rsid w:val="002C3965"/>
    <w:rPr>
      <w:rFonts w:ascii="Arial" w:cs="Times New Roman" w:eastAsia="Times New Roman" w:hAnsi="Arial"/>
      <w:b w:val="1"/>
      <w:bCs w:val="1"/>
      <w:szCs w:val="27"/>
      <w:lang w:eastAsia="en-GB"/>
    </w:rPr>
  </w:style>
  <w:style w:type="table" w:styleId="TableGrid">
    <w:name w:val="Table Grid"/>
    <w:basedOn w:val="TableNormal"/>
    <w:uiPriority w:val="39"/>
    <w:rsid w:val="007E774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yperlink">
    <w:name w:val="Hyperlink"/>
    <w:basedOn w:val="DefaultParagraphFont"/>
    <w:uiPriority w:val="99"/>
    <w:unhideWhenUsed w:val="1"/>
    <w:rsid w:val="007E7745"/>
    <w:rPr>
      <w:color w:val="0563c1" w:themeColor="hyperlink"/>
      <w:u w:val="single"/>
    </w:rPr>
  </w:style>
  <w:style w:type="character" w:styleId="UnresolvedMention">
    <w:name w:val="Unresolved Mention"/>
    <w:basedOn w:val="DefaultParagraphFont"/>
    <w:uiPriority w:val="99"/>
    <w:semiHidden w:val="1"/>
    <w:unhideWhenUsed w:val="1"/>
    <w:rsid w:val="007E7745"/>
    <w:rPr>
      <w:color w:val="605e5c"/>
      <w:shd w:color="auto" w:fill="e1dfdd" w:val="clear"/>
    </w:rPr>
  </w:style>
  <w:style w:type="paragraph" w:styleId="Header">
    <w:name w:val="header"/>
    <w:basedOn w:val="Normal"/>
    <w:link w:val="HeaderChar"/>
    <w:uiPriority w:val="99"/>
    <w:unhideWhenUsed w:val="1"/>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val="1"/>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val="1"/>
    <w:rsid w:val="00FD7392"/>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NbjERVw4wOw9/68kn1OlDX6BbA==">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2025-11-07T12:24:00Z</dcterms:created>
  <dc:creator>Eleni Koutsogeorgou</dc:creator>
</cp:coreProperties>
</file>