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7311D" w14:textId="37AA8639" w:rsidR="00B85518" w:rsidRDefault="00B85518" w:rsidP="00993C4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Name: Nurin Athirah </w:t>
      </w:r>
      <w:proofErr w:type="spellStart"/>
      <w:r>
        <w:rPr>
          <w:rFonts w:ascii="Times New Roman" w:hAnsi="Times New Roman" w:cs="Times New Roman"/>
          <w:b/>
          <w:bCs/>
          <w:sz w:val="24"/>
          <w:szCs w:val="24"/>
        </w:rPr>
        <w:t>Kamaludin</w:t>
      </w:r>
      <w:proofErr w:type="spellEnd"/>
    </w:p>
    <w:p w14:paraId="23EBFB18" w14:textId="3CABA14E" w:rsidR="00B85518" w:rsidRDefault="00B85518" w:rsidP="00993C4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Student ID: 2026698</w:t>
      </w:r>
    </w:p>
    <w:p w14:paraId="1B7EE0E9" w14:textId="6BF3FD51" w:rsidR="009B02CE" w:rsidRDefault="00757EA1" w:rsidP="00993C48">
      <w:pPr>
        <w:spacing w:line="360" w:lineRule="auto"/>
        <w:jc w:val="both"/>
        <w:rPr>
          <w:rFonts w:ascii="Times New Roman" w:hAnsi="Times New Roman" w:cs="Times New Roman"/>
          <w:b/>
          <w:bCs/>
          <w:sz w:val="24"/>
          <w:szCs w:val="24"/>
        </w:rPr>
      </w:pPr>
      <w:r w:rsidRPr="00D16265">
        <w:rPr>
          <w:rFonts w:ascii="Times New Roman" w:hAnsi="Times New Roman" w:cs="Times New Roman"/>
          <w:b/>
          <w:bCs/>
          <w:sz w:val="24"/>
          <w:szCs w:val="24"/>
        </w:rPr>
        <w:t>Contract Law Assignment 2 – Consumer Rights Act 2015</w:t>
      </w:r>
    </w:p>
    <w:p w14:paraId="0097F108" w14:textId="77777777" w:rsidR="00585650" w:rsidRDefault="00585650" w:rsidP="00993C48">
      <w:pPr>
        <w:spacing w:line="360" w:lineRule="auto"/>
        <w:jc w:val="both"/>
        <w:rPr>
          <w:rFonts w:ascii="Times New Roman" w:hAnsi="Times New Roman" w:cs="Times New Roman"/>
          <w:b/>
          <w:bCs/>
          <w:sz w:val="24"/>
          <w:szCs w:val="24"/>
        </w:rPr>
      </w:pPr>
    </w:p>
    <w:p w14:paraId="042D09EE" w14:textId="6AFCD598" w:rsidR="001205FB" w:rsidRPr="00D16265" w:rsidRDefault="00585650" w:rsidP="00993C48">
      <w:pPr>
        <w:spacing w:line="360" w:lineRule="auto"/>
        <w:jc w:val="both"/>
        <w:rPr>
          <w:rFonts w:ascii="Times New Roman" w:hAnsi="Times New Roman" w:cs="Times New Roman"/>
          <w:sz w:val="24"/>
          <w:szCs w:val="24"/>
        </w:rPr>
      </w:pPr>
      <w:r w:rsidRPr="00585650">
        <w:rPr>
          <w:rFonts w:ascii="Times New Roman" w:hAnsi="Times New Roman" w:cs="Times New Roman"/>
          <w:sz w:val="24"/>
          <w:szCs w:val="24"/>
        </w:rPr>
        <w:t>On or after October 1, 2015, the Consumer Rights Act of 2015 applies to contracts entered into with consumers for the sale of items, digital content, and services. (Flynn &amp; Broadhurst</w:t>
      </w:r>
      <w:r w:rsidR="003B338B">
        <w:rPr>
          <w:rFonts w:ascii="Times New Roman" w:hAnsi="Times New Roman" w:cs="Times New Roman"/>
          <w:sz w:val="24"/>
          <w:szCs w:val="24"/>
        </w:rPr>
        <w:t>, 2020</w:t>
      </w:r>
      <w:r w:rsidRPr="00585650">
        <w:rPr>
          <w:rFonts w:ascii="Times New Roman" w:hAnsi="Times New Roman" w:cs="Times New Roman"/>
          <w:sz w:val="24"/>
          <w:szCs w:val="24"/>
        </w:rPr>
        <w:t>). The main goals of CRA (2015) are to introduce a more clearly defined tiered remedy system for consumers, as well as to merge and update existing consumer sales directive 99/44/EC (C</w:t>
      </w:r>
      <w:r w:rsidR="00721E5E">
        <w:rPr>
          <w:rFonts w:ascii="Times New Roman" w:hAnsi="Times New Roman" w:cs="Times New Roman"/>
          <w:sz w:val="24"/>
          <w:szCs w:val="24"/>
        </w:rPr>
        <w:t>S</w:t>
      </w:r>
      <w:r w:rsidRPr="00585650">
        <w:rPr>
          <w:rFonts w:ascii="Times New Roman" w:hAnsi="Times New Roman" w:cs="Times New Roman"/>
          <w:sz w:val="24"/>
          <w:szCs w:val="24"/>
        </w:rPr>
        <w:t>D) rules in order to achieve the goal of bringing transparency, clarity, and consistency to consumer and business rules across a wide range of acts and regulations.</w:t>
      </w:r>
      <w:r>
        <w:rPr>
          <w:rFonts w:ascii="Times New Roman" w:hAnsi="Times New Roman" w:cs="Times New Roman"/>
          <w:b/>
          <w:bCs/>
          <w:sz w:val="24"/>
          <w:szCs w:val="24"/>
        </w:rPr>
        <w:t xml:space="preserve"> </w:t>
      </w:r>
      <w:r w:rsidR="00BF08F7" w:rsidRPr="00BF08F7">
        <w:rPr>
          <w:rFonts w:ascii="Times New Roman" w:hAnsi="Times New Roman" w:cs="Times New Roman"/>
          <w:sz w:val="24"/>
          <w:szCs w:val="24"/>
        </w:rPr>
        <w:t>This resulted in the legislation being phrased precisely, which not only eliminates conflicts but also assures that it is devoid of ambiguity.</w:t>
      </w:r>
      <w:r w:rsidR="00BF08F7">
        <w:rPr>
          <w:rFonts w:ascii="Times New Roman" w:hAnsi="Times New Roman" w:cs="Times New Roman"/>
          <w:sz w:val="24"/>
          <w:szCs w:val="24"/>
        </w:rPr>
        <w:t xml:space="preserve"> </w:t>
      </w:r>
      <w:r w:rsidR="00BF08F7" w:rsidRPr="00BF08F7">
        <w:rPr>
          <w:rFonts w:ascii="Times New Roman" w:hAnsi="Times New Roman" w:cs="Times New Roman"/>
          <w:sz w:val="24"/>
          <w:szCs w:val="24"/>
        </w:rPr>
        <w:t>Significantly, it placed consumers in a comparable negotiating position with retailers in terms of protection, not at a disadvantage, but on the same level of protection as merchants. This is why the CRA (2015) has, which provides additional options to meet their demands for non-conforming items (CRA S19, 2015).</w:t>
      </w:r>
    </w:p>
    <w:p w14:paraId="53317ED3" w14:textId="21E8872A" w:rsidR="00BF08F7" w:rsidRDefault="00585650" w:rsidP="00993C48">
      <w:pPr>
        <w:spacing w:line="360" w:lineRule="auto"/>
        <w:ind w:firstLine="720"/>
        <w:jc w:val="both"/>
        <w:rPr>
          <w:rFonts w:ascii="Times New Roman" w:hAnsi="Times New Roman" w:cs="Times New Roman"/>
          <w:sz w:val="24"/>
          <w:szCs w:val="24"/>
        </w:rPr>
      </w:pPr>
      <w:r w:rsidRPr="00585650">
        <w:rPr>
          <w:rFonts w:ascii="Times New Roman" w:hAnsi="Times New Roman" w:cs="Times New Roman"/>
          <w:sz w:val="24"/>
          <w:szCs w:val="24"/>
        </w:rPr>
        <w:t>When a trader and a consumer engage into a contract for the merchant to deliver items, digital information, or services, Part 1 of the CRA (2015) applies. It holds true whether the contract is written or verbal. According to the CRA, everything given under a consumer contract must be of adequate quality, fit for purpose, match the description, sample, or model, and be properly installed (2015). Goods must meet a stated standard, similar to the implicit standards that existed under the Sales of Goods Act (1979).</w:t>
      </w:r>
      <w:r>
        <w:rPr>
          <w:rFonts w:ascii="Times New Roman" w:hAnsi="Times New Roman" w:cs="Times New Roman"/>
          <w:sz w:val="24"/>
          <w:szCs w:val="24"/>
        </w:rPr>
        <w:t xml:space="preserve"> </w:t>
      </w:r>
      <w:r w:rsidR="00BF08F7" w:rsidRPr="00BF08F7">
        <w:rPr>
          <w:rFonts w:ascii="Times New Roman" w:hAnsi="Times New Roman" w:cs="Times New Roman"/>
          <w:sz w:val="24"/>
          <w:szCs w:val="24"/>
        </w:rPr>
        <w:t>The sole distinction between the Sale of Commodities Act and the Consumer Rights Act is that the latter now embraces digital items and services in addition to physical goods (Wimbledon &amp; Smith, 2022).</w:t>
      </w:r>
    </w:p>
    <w:p w14:paraId="7C088D88" w14:textId="77777777" w:rsidR="00BF08F7" w:rsidRDefault="00BF08F7" w:rsidP="00993C48">
      <w:pPr>
        <w:spacing w:line="360" w:lineRule="auto"/>
        <w:ind w:firstLine="720"/>
        <w:jc w:val="both"/>
        <w:rPr>
          <w:rFonts w:ascii="Times New Roman" w:hAnsi="Times New Roman" w:cs="Times New Roman"/>
          <w:sz w:val="24"/>
          <w:szCs w:val="24"/>
        </w:rPr>
      </w:pPr>
      <w:r w:rsidRPr="00BF08F7">
        <w:rPr>
          <w:rFonts w:ascii="Times New Roman" w:hAnsi="Times New Roman" w:cs="Times New Roman"/>
          <w:sz w:val="24"/>
          <w:szCs w:val="24"/>
        </w:rPr>
        <w:t>According to Sections 20 and 22 of the CRA (2015), a consumer's rights to return items are the first rights to reject the goods. Unless the projected life of the products is shorter than 30 days, the client has an automatic 30-day term to return the items if they do not meet the implied standards. This benefit entitles the consumer to a complete refund. If the goods do not meet the fundamental requirements after one repair or replacement attempt, this solution will be judged a failure. Repair and replacement expenses are likewise addressed in sections 20, 23, and 24 of the same section, with a customer having the option of demanding a refund or a price reduction.</w:t>
      </w:r>
    </w:p>
    <w:p w14:paraId="7CCF0E85" w14:textId="16DD1200" w:rsidR="00AC4288" w:rsidRPr="00D16265" w:rsidRDefault="00BF08F7" w:rsidP="00993C48">
      <w:pPr>
        <w:spacing w:line="360" w:lineRule="auto"/>
        <w:ind w:firstLine="720"/>
        <w:jc w:val="both"/>
        <w:rPr>
          <w:rFonts w:ascii="Times New Roman" w:hAnsi="Times New Roman" w:cs="Times New Roman"/>
          <w:sz w:val="24"/>
          <w:szCs w:val="24"/>
        </w:rPr>
      </w:pPr>
      <w:r w:rsidRPr="00BF08F7">
        <w:rPr>
          <w:rFonts w:ascii="Times New Roman" w:hAnsi="Times New Roman" w:cs="Times New Roman"/>
          <w:sz w:val="24"/>
          <w:szCs w:val="24"/>
        </w:rPr>
        <w:lastRenderedPageBreak/>
        <w:t>The new rejection provisions, for example, may be criticised as being unduly rigorous by definition, but any wiggle room would obscure the principles controlling the idea of rejection. The 30-day rule has a negative impact in that subsequent purchases are not protected if a flaw is later uncovered. Customers may lose trust in the business and want a full refund rather than a repair or replacement (CRA S.22, 2015).</w:t>
      </w:r>
      <w:r>
        <w:rPr>
          <w:rFonts w:ascii="Times New Roman" w:hAnsi="Times New Roman" w:cs="Times New Roman"/>
          <w:sz w:val="24"/>
          <w:szCs w:val="24"/>
        </w:rPr>
        <w:t xml:space="preserve"> </w:t>
      </w:r>
      <w:r w:rsidR="00585650" w:rsidRPr="00585650">
        <w:rPr>
          <w:rFonts w:ascii="Times New Roman" w:hAnsi="Times New Roman" w:cs="Times New Roman"/>
          <w:sz w:val="24"/>
          <w:szCs w:val="24"/>
        </w:rPr>
        <w:t>Rejection, on the other hand, has been used in conjunction with other forms of treatment. Customers can, for example, put the 30-day clock on hold while waiting for their items to be replaced or repaired. In contrast to the usual solution, there was no way of knowing when rejection would begin or when it would be null and void for a customer. Because there is now a specified time frame for rejection that is accepted, there is now perfect clarity regarding this right, and customers have less room for disagreement.</w:t>
      </w:r>
      <w:r w:rsidR="00585650">
        <w:rPr>
          <w:rFonts w:ascii="Times New Roman" w:hAnsi="Times New Roman" w:cs="Times New Roman"/>
          <w:sz w:val="24"/>
          <w:szCs w:val="24"/>
        </w:rPr>
        <w:t xml:space="preserve"> </w:t>
      </w:r>
      <w:r w:rsidR="007C5C80" w:rsidRPr="007C5C80">
        <w:rPr>
          <w:rFonts w:ascii="Times New Roman" w:hAnsi="Times New Roman" w:cs="Times New Roman"/>
          <w:sz w:val="24"/>
          <w:szCs w:val="24"/>
        </w:rPr>
        <w:t xml:space="preserve">Customers have the right to have defective products repaired or replaced under Section 48 of the Sales of </w:t>
      </w:r>
      <w:r w:rsidR="00721E5E">
        <w:rPr>
          <w:rFonts w:ascii="Times New Roman" w:hAnsi="Times New Roman" w:cs="Times New Roman"/>
          <w:sz w:val="24"/>
          <w:szCs w:val="24"/>
        </w:rPr>
        <w:t>Goods</w:t>
      </w:r>
      <w:r w:rsidR="007C5C80" w:rsidRPr="007C5C80">
        <w:rPr>
          <w:rFonts w:ascii="Times New Roman" w:hAnsi="Times New Roman" w:cs="Times New Roman"/>
          <w:sz w:val="24"/>
          <w:szCs w:val="24"/>
        </w:rPr>
        <w:t xml:space="preserve"> Act of 1979 if they wait a "reasonable duration" before rejecting them. Consumers might voice their preferences, but the business usually chose the lowest-cost option. Damaged objects must be fixed or replaced "within a reasonable time but without causing significant inconvenience to the client." SOGA (1979). The legislation requires the proportionality requirement between the first tiers of remedies. The client is not entitled to repair or replacement if one of these remedies is impossible or unreasonable.</w:t>
      </w:r>
      <w:r w:rsidR="007C5C80">
        <w:rPr>
          <w:rFonts w:ascii="Times New Roman" w:hAnsi="Times New Roman" w:cs="Times New Roman"/>
          <w:sz w:val="24"/>
          <w:szCs w:val="24"/>
        </w:rPr>
        <w:t xml:space="preserve"> </w:t>
      </w:r>
      <w:r w:rsidR="007C5C80" w:rsidRPr="007C5C80">
        <w:rPr>
          <w:rFonts w:ascii="Times New Roman" w:hAnsi="Times New Roman" w:cs="Times New Roman"/>
          <w:sz w:val="24"/>
          <w:szCs w:val="24"/>
        </w:rPr>
        <w:t>According to the original point of view, you can have both as long as they are not disproportionate to the other two remedies of reduction or rescission. This might limit customer access to repair and replacement.</w:t>
      </w:r>
    </w:p>
    <w:p w14:paraId="7571ADE5" w14:textId="3C551F17" w:rsidR="00B60364" w:rsidRDefault="00B60364" w:rsidP="00993C48">
      <w:pPr>
        <w:spacing w:line="360" w:lineRule="auto"/>
        <w:ind w:firstLine="720"/>
        <w:jc w:val="both"/>
        <w:rPr>
          <w:rFonts w:ascii="Times New Roman" w:hAnsi="Times New Roman" w:cs="Times New Roman"/>
          <w:sz w:val="24"/>
          <w:szCs w:val="24"/>
        </w:rPr>
      </w:pPr>
      <w:r w:rsidRPr="00B60364">
        <w:rPr>
          <w:rFonts w:ascii="Times New Roman" w:hAnsi="Times New Roman" w:cs="Times New Roman"/>
          <w:sz w:val="24"/>
          <w:szCs w:val="24"/>
        </w:rPr>
        <w:t>If the first tier of remedies is unfeasible or unreasonable, or if it is not completed in a reasonable amount of time without causing significant inconvenience, the consumer may seek the second tier of remedies. If a price reduction is authorised, the court may reduce any return to the buyer to reflect the customer's usage of the goods. If the consumer's repair or replacement is unsuccessful or disproportionate to the other, they can request a refund or use the second tiered remedy procedure to obtain a price reduction or cancellation.</w:t>
      </w:r>
      <w:r>
        <w:rPr>
          <w:rFonts w:ascii="Times New Roman" w:hAnsi="Times New Roman" w:cs="Times New Roman"/>
          <w:sz w:val="24"/>
          <w:szCs w:val="24"/>
        </w:rPr>
        <w:t xml:space="preserve"> </w:t>
      </w:r>
      <w:r w:rsidRPr="00B60364">
        <w:rPr>
          <w:rFonts w:ascii="Times New Roman" w:hAnsi="Times New Roman" w:cs="Times New Roman"/>
          <w:sz w:val="24"/>
          <w:szCs w:val="24"/>
        </w:rPr>
        <w:t>Other modifications have been made in relation to the products failing to conform to the contract after one repair or replacement, as mentioned in Section 24 (5) (a) of the CRA (2015). Previously, a single repair might cover a number of flaws</w:t>
      </w:r>
      <w:r w:rsidR="00D805A5">
        <w:rPr>
          <w:rFonts w:ascii="Times New Roman" w:hAnsi="Times New Roman" w:cs="Times New Roman"/>
          <w:sz w:val="24"/>
          <w:szCs w:val="24"/>
        </w:rPr>
        <w:t>,</w:t>
      </w:r>
      <w:r w:rsidRPr="00B60364">
        <w:rPr>
          <w:rFonts w:ascii="Times New Roman" w:hAnsi="Times New Roman" w:cs="Times New Roman"/>
          <w:sz w:val="24"/>
          <w:szCs w:val="24"/>
        </w:rPr>
        <w:t xml:space="preserve"> however, with the new implementation, several faults may now be repaired in one go rather than many times. The buyer is entitled to a reimbursement if the contract is terminated, but the seller deducts a portion of the value to account for the beneficial use.</w:t>
      </w:r>
      <w:r>
        <w:rPr>
          <w:rFonts w:ascii="Times New Roman" w:hAnsi="Times New Roman" w:cs="Times New Roman"/>
          <w:sz w:val="24"/>
          <w:szCs w:val="24"/>
        </w:rPr>
        <w:t xml:space="preserve"> </w:t>
      </w:r>
      <w:r w:rsidRPr="00B60364">
        <w:rPr>
          <w:rFonts w:ascii="Times New Roman" w:hAnsi="Times New Roman" w:cs="Times New Roman"/>
          <w:sz w:val="24"/>
          <w:szCs w:val="24"/>
        </w:rPr>
        <w:t>The seller is unable to create the reimbursement to reflect beneficial use of the items, according to the consumer sales guideline. Customers would quickly slip into the second tier of solutions under the old process because repairs were creating significant inconvenience. The consumer will be entitled to a price reduction or long-term rescission once the second layer of the remedial regime is completed. A property repair may need many visits. These comments look little, but their major purpose is to clarify the consumer's stance, which it has done. The ambiguity in determining the beneficial consumption drop is the long-term rescission issue.</w:t>
      </w:r>
    </w:p>
    <w:p w14:paraId="7BC448DA" w14:textId="77777777" w:rsidR="005C1384" w:rsidRDefault="00F92A37" w:rsidP="00993C48">
      <w:pPr>
        <w:spacing w:line="360" w:lineRule="auto"/>
        <w:ind w:firstLine="720"/>
        <w:jc w:val="both"/>
        <w:rPr>
          <w:rFonts w:ascii="Times New Roman" w:hAnsi="Times New Roman" w:cs="Times New Roman"/>
          <w:sz w:val="24"/>
          <w:szCs w:val="24"/>
        </w:rPr>
      </w:pPr>
      <w:r w:rsidRPr="00F92A37">
        <w:rPr>
          <w:rFonts w:ascii="Times New Roman" w:hAnsi="Times New Roman" w:cs="Times New Roman"/>
          <w:sz w:val="24"/>
          <w:szCs w:val="24"/>
        </w:rPr>
        <w:t>The services must therefore be executed to a specific standard, according to the implicit requirements that exist under the Supply of Goods and Services Act (1982). The Supply of Goods and Services Act (1982) requires service providers to do work with reasonable care and skill, in a reasonable time (where no precise completion date was agreed upon), and at a fair price (where a fixed price was not set in advance). It was an early attempt to provide stronger consumer protection (SGSA, 1982).</w:t>
      </w:r>
      <w:r>
        <w:rPr>
          <w:rFonts w:ascii="Times New Roman" w:hAnsi="Times New Roman" w:cs="Times New Roman"/>
          <w:sz w:val="24"/>
          <w:szCs w:val="24"/>
        </w:rPr>
        <w:t xml:space="preserve"> </w:t>
      </w:r>
      <w:r w:rsidR="00B60364" w:rsidRPr="00B60364">
        <w:rPr>
          <w:rFonts w:ascii="Times New Roman" w:hAnsi="Times New Roman" w:cs="Times New Roman"/>
          <w:sz w:val="24"/>
          <w:szCs w:val="24"/>
        </w:rPr>
        <w:t>All services provided under a consumer contract must be performed with reasonable care and skill, at a reasonable price if no price is specified, such as an hourly rate, within a reasonable time if no timescale is provided, and in accordance with any information said or conveyed in writing to the consumer if the consumer relies on it, according to the Consumer Rights Act of 2015</w:t>
      </w:r>
      <w:r w:rsidR="00B60364">
        <w:rPr>
          <w:rFonts w:ascii="Times New Roman" w:hAnsi="Times New Roman" w:cs="Times New Roman"/>
          <w:sz w:val="24"/>
          <w:szCs w:val="24"/>
        </w:rPr>
        <w:t xml:space="preserve"> </w:t>
      </w:r>
      <w:r w:rsidR="00B60364" w:rsidRPr="00B60364">
        <w:rPr>
          <w:rFonts w:ascii="Times New Roman" w:hAnsi="Times New Roman" w:cs="Times New Roman"/>
          <w:sz w:val="24"/>
          <w:szCs w:val="24"/>
        </w:rPr>
        <w:t>(intended to include quotations, assurances regarding timescales and information provided pre-contract to the customer which induces them to purchase services from the trader). This is in addition to whatever rights you might have if you've been duped. If services fail to meet customers' expectations, they have the right to have them re-performed.</w:t>
      </w:r>
      <w:r w:rsidR="00B60364">
        <w:rPr>
          <w:rFonts w:ascii="Times New Roman" w:hAnsi="Times New Roman" w:cs="Times New Roman"/>
          <w:sz w:val="24"/>
          <w:szCs w:val="24"/>
        </w:rPr>
        <w:t xml:space="preserve"> </w:t>
      </w:r>
      <w:r w:rsidR="005C1384" w:rsidRPr="005C1384">
        <w:rPr>
          <w:rFonts w:ascii="Times New Roman" w:hAnsi="Times New Roman" w:cs="Times New Roman"/>
          <w:sz w:val="24"/>
          <w:szCs w:val="24"/>
        </w:rPr>
        <w:t>When a provider fails to use reasonable care and skill, or when a requirement based on the provider's knowledge of the service is violated. It cannot be employed in situations when providing the service to an acceptable standard is difficult. If the service is not given within a reasonable time period, or if the provider fails to satisfy the service standards obligations made to customers, whether orally or in writing, a price reduction might be requested. Payments of up to 100% of the agreed-upon price are conceivable. When getting the original supplier to do the job is impracticable or unreasonable, the customer may be able to file a claim for remedial work from a different source.</w:t>
      </w:r>
    </w:p>
    <w:p w14:paraId="19846793" w14:textId="194CB39F" w:rsidR="00F92A37" w:rsidRDefault="00F92A37" w:rsidP="005C1384">
      <w:pPr>
        <w:spacing w:before="240" w:line="360" w:lineRule="auto"/>
        <w:ind w:firstLine="720"/>
        <w:jc w:val="both"/>
        <w:rPr>
          <w:rFonts w:ascii="Times New Roman" w:hAnsi="Times New Roman" w:cs="Times New Roman"/>
          <w:sz w:val="24"/>
          <w:szCs w:val="24"/>
        </w:rPr>
      </w:pPr>
      <w:r w:rsidRPr="00F92A37">
        <w:rPr>
          <w:rFonts w:ascii="Times New Roman" w:hAnsi="Times New Roman" w:cs="Times New Roman"/>
          <w:sz w:val="24"/>
          <w:szCs w:val="24"/>
        </w:rPr>
        <w:t xml:space="preserve">Finally, CRA (2015) defines a new type of digital material. It encompasses digital material quality rights as well as remedies if such rights are not satisfied. </w:t>
      </w:r>
      <w:r w:rsidR="005C1384" w:rsidRPr="005C1384">
        <w:rPr>
          <w:rFonts w:ascii="Times New Roman" w:hAnsi="Times New Roman" w:cs="Times New Roman"/>
          <w:sz w:val="24"/>
          <w:szCs w:val="24"/>
        </w:rPr>
        <w:t>Digital content, as defined by the Consumer Rights Act, is "data created and distributed in digital form." The Consumer Rights Act's product regulations apply to any physical medium that carries digital material (such as a CD or Blu-ray), but the content on that item is controlled by the Consumer Rights Act's digital content standards. Digital material must be of suitable quality (taking into account the item's description, the price paid, and other factors such as labelling and advertising), suited for a specific purpose, and as indicated under the Consumer Rights Act (including system requirements and another other information given to the original digital content</w:t>
      </w:r>
      <w:r w:rsidR="005C1384">
        <w:rPr>
          <w:rFonts w:ascii="Times New Roman" w:hAnsi="Times New Roman" w:cs="Times New Roman"/>
          <w:sz w:val="24"/>
          <w:szCs w:val="24"/>
        </w:rPr>
        <w:t xml:space="preserve">. </w:t>
      </w:r>
      <w:r w:rsidR="005C1384" w:rsidRPr="005C1384">
        <w:rPr>
          <w:rFonts w:ascii="Times New Roman" w:hAnsi="Times New Roman" w:cs="Times New Roman"/>
          <w:sz w:val="24"/>
          <w:szCs w:val="24"/>
        </w:rPr>
        <w:t>This description can be enhanced with upgrades. Minor defects in most computer operating systems or games are patched or upgraded over time, and this will be objectively assessed as "acceptable" in the context of proper quality. Under the CRA (2015), price reduction rights for damaged digital property are only triggered if a repair/replacement remedy is not possible or has been sought and not given within a reasonable time.</w:t>
      </w:r>
      <w:r w:rsidRPr="00F92A37">
        <w:rPr>
          <w:rFonts w:ascii="Times New Roman" w:hAnsi="Times New Roman" w:cs="Times New Roman"/>
          <w:sz w:val="24"/>
          <w:szCs w:val="24"/>
        </w:rPr>
        <w:t xml:space="preserve"> The restoration might cost as much as the whole purchase price of the digital asset. This might be advantageous since any items containing damaged digital information are covered by the faulty goods remedies.</w:t>
      </w:r>
    </w:p>
    <w:p w14:paraId="2A28DCB0" w14:textId="75E7E9B6" w:rsidR="00857F34" w:rsidRPr="00D16265" w:rsidRDefault="001630EF" w:rsidP="00993C48">
      <w:pPr>
        <w:spacing w:line="360" w:lineRule="auto"/>
        <w:ind w:firstLine="720"/>
        <w:jc w:val="both"/>
        <w:rPr>
          <w:rFonts w:ascii="Times New Roman" w:hAnsi="Times New Roman" w:cs="Times New Roman"/>
          <w:sz w:val="24"/>
          <w:szCs w:val="24"/>
        </w:rPr>
      </w:pPr>
      <w:r w:rsidRPr="001630EF">
        <w:rPr>
          <w:rFonts w:ascii="Times New Roman" w:hAnsi="Times New Roman" w:cs="Times New Roman"/>
          <w:sz w:val="24"/>
          <w:szCs w:val="24"/>
        </w:rPr>
        <w:t>In terms of consumer contracts, the Consumer Rights Act tries to replace and augment the current Unfair Contracts Terms Act 1977 prohibitions on unreasonable terms in consumer contracts ("UCTA"). Unfair terms in a consumer contract are not binding on the consumer, and whether a term is unfair will continue to be determined by whether the term under discussion generates a major imbalance in the parties' rights and responsibilities under the contract, to the customer's harm.</w:t>
      </w:r>
      <w:r>
        <w:rPr>
          <w:rFonts w:ascii="Times New Roman" w:hAnsi="Times New Roman" w:cs="Times New Roman"/>
          <w:sz w:val="24"/>
          <w:szCs w:val="24"/>
        </w:rPr>
        <w:t xml:space="preserve"> </w:t>
      </w:r>
      <w:r w:rsidRPr="001630EF">
        <w:rPr>
          <w:rFonts w:ascii="Times New Roman" w:hAnsi="Times New Roman" w:cs="Times New Roman"/>
          <w:sz w:val="24"/>
          <w:szCs w:val="24"/>
        </w:rPr>
        <w:t>Part 2 of the Act's purpose is straightforward, to consolidate in one place the legislation governing unfair contract terms in consumer contracts that was previously split into two separate pieces of legislation, therefore addressing contradictions and overlapping clauses. The broad principles for fairness are outlined in Sections 62-69. Section 64, in particular, attempts to define when the contract's price or subject matter cannot be reviewed for fairness, adding the criteria of prominence to that of openness. Section 63 and Schedule 2 both define and broaden the suggestive list of expressions that may be deemed unfair (the so-called "grey list").</w:t>
      </w:r>
    </w:p>
    <w:p w14:paraId="379790F0" w14:textId="339E5BB9" w:rsidR="00693A88" w:rsidRDefault="005540A2" w:rsidP="00993C48">
      <w:pPr>
        <w:spacing w:line="360" w:lineRule="auto"/>
        <w:ind w:firstLine="720"/>
        <w:jc w:val="both"/>
        <w:rPr>
          <w:rFonts w:ascii="Times New Roman" w:hAnsi="Times New Roman" w:cs="Times New Roman"/>
          <w:sz w:val="24"/>
          <w:szCs w:val="24"/>
        </w:rPr>
      </w:pPr>
      <w:r w:rsidRPr="005540A2">
        <w:rPr>
          <w:rFonts w:ascii="Times New Roman" w:hAnsi="Times New Roman" w:cs="Times New Roman"/>
          <w:sz w:val="24"/>
          <w:szCs w:val="24"/>
        </w:rPr>
        <w:t>Aside from the terms described above, there is now a "grey list" of expressions that may be considered unfair under the Unfair Terms in Consumer Contracts Regulations. Even if the term is "transparent" and/or "prominent," the presence of a phrase on the "grey list" indicates that it is fairly assessable. Section 62 (4</w:t>
      </w:r>
      <w:r w:rsidR="00D805A5">
        <w:rPr>
          <w:rFonts w:ascii="Times New Roman" w:hAnsi="Times New Roman" w:cs="Times New Roman"/>
          <w:sz w:val="24"/>
          <w:szCs w:val="24"/>
        </w:rPr>
        <w:t>)</w:t>
      </w:r>
      <w:r w:rsidRPr="005540A2">
        <w:rPr>
          <w:rFonts w:ascii="Times New Roman" w:hAnsi="Times New Roman" w:cs="Times New Roman"/>
          <w:sz w:val="24"/>
          <w:szCs w:val="24"/>
        </w:rPr>
        <w:t xml:space="preserve"> of the CRA (2015), for example, states that a condition is unfair if, contrary to the need of good faith, it generates a substantial imbalance in the parties' rights and responsibilities under the contract to the disadvantage of the consumer. Fair contract terms and notices are viewed as necessary. The Consumer Rights Act will add three new terms to the grey list: a term that has the object or effect of requiring that, if the consumer decides not to conclude or perform the contract, the consumer must pay the trader a disproportionately high sum in compensation or for services that have not been provided, (including a "termination fee" for contract cancellation</w:t>
      </w:r>
      <w:r w:rsidR="00693A88">
        <w:rPr>
          <w:rFonts w:ascii="Times New Roman" w:hAnsi="Times New Roman" w:cs="Times New Roman"/>
          <w:sz w:val="24"/>
          <w:szCs w:val="24"/>
        </w:rPr>
        <w:t xml:space="preserve">) </w:t>
      </w:r>
      <w:r w:rsidR="00693A88" w:rsidRPr="00693A88">
        <w:rPr>
          <w:rFonts w:ascii="Times New Roman" w:hAnsi="Times New Roman" w:cs="Times New Roman"/>
          <w:sz w:val="24"/>
          <w:szCs w:val="24"/>
        </w:rPr>
        <w:t>a term that allows the trader to determine the characteristics of the contract's subject matter after the consumer has become bound by it, and a term that allows the trader to decide the price payable under the contract after the consumer has become bound by it, where no price or method of determining the price is agreed when the consumer becomes bound.</w:t>
      </w:r>
    </w:p>
    <w:p w14:paraId="014BB753" w14:textId="549852BA" w:rsidR="00C26BA0" w:rsidRDefault="00C26BA0" w:rsidP="00993C48">
      <w:pPr>
        <w:spacing w:line="360" w:lineRule="auto"/>
        <w:ind w:firstLine="720"/>
        <w:jc w:val="both"/>
        <w:rPr>
          <w:rFonts w:ascii="Times New Roman" w:hAnsi="Times New Roman" w:cs="Times New Roman"/>
          <w:sz w:val="24"/>
          <w:szCs w:val="24"/>
        </w:rPr>
      </w:pPr>
      <w:r w:rsidRPr="00C26BA0">
        <w:rPr>
          <w:rFonts w:ascii="Times New Roman" w:hAnsi="Times New Roman" w:cs="Times New Roman"/>
          <w:sz w:val="24"/>
          <w:szCs w:val="24"/>
        </w:rPr>
        <w:t xml:space="preserve">The main distinction between UCTA (1977) and CRA (2015) is that CRA (2015) applies to all words that are not core terms, rather than only exclusion clauses. Section 62 states that basic conditions (such as price) are never evaluated for fairness, and Section 62 </w:t>
      </w:r>
      <w:r w:rsidR="00D805A5">
        <w:rPr>
          <w:rFonts w:ascii="Times New Roman" w:hAnsi="Times New Roman" w:cs="Times New Roman"/>
          <w:sz w:val="24"/>
          <w:szCs w:val="24"/>
        </w:rPr>
        <w:t>(</w:t>
      </w:r>
      <w:r w:rsidRPr="00C26BA0">
        <w:rPr>
          <w:rFonts w:ascii="Times New Roman" w:hAnsi="Times New Roman" w:cs="Times New Roman"/>
          <w:sz w:val="24"/>
          <w:szCs w:val="24"/>
        </w:rPr>
        <w:t>6</w:t>
      </w:r>
      <w:r w:rsidR="00D805A5">
        <w:rPr>
          <w:rFonts w:ascii="Times New Roman" w:hAnsi="Times New Roman" w:cs="Times New Roman"/>
          <w:sz w:val="24"/>
          <w:szCs w:val="24"/>
        </w:rPr>
        <w:t>)</w:t>
      </w:r>
      <w:r w:rsidRPr="00C26BA0">
        <w:rPr>
          <w:rFonts w:ascii="Times New Roman" w:hAnsi="Times New Roman" w:cs="Times New Roman"/>
          <w:sz w:val="24"/>
          <w:szCs w:val="24"/>
        </w:rPr>
        <w:t xml:space="preserve"> states that unfairness occurs when, contrary to the need of good faith, there is a considerable imbalance between the parties' rights and responsibilities to the disadvantage of the customer.</w:t>
      </w:r>
    </w:p>
    <w:p w14:paraId="78C33F7E" w14:textId="77777777" w:rsidR="00C26BA0" w:rsidRDefault="00C26BA0" w:rsidP="00993C48">
      <w:pPr>
        <w:spacing w:line="360" w:lineRule="auto"/>
        <w:ind w:firstLine="720"/>
        <w:jc w:val="both"/>
        <w:rPr>
          <w:rFonts w:ascii="Times New Roman" w:hAnsi="Times New Roman" w:cs="Times New Roman"/>
          <w:sz w:val="24"/>
          <w:szCs w:val="24"/>
        </w:rPr>
      </w:pPr>
      <w:r w:rsidRPr="00C26BA0">
        <w:rPr>
          <w:rFonts w:ascii="Times New Roman" w:hAnsi="Times New Roman" w:cs="Times New Roman"/>
          <w:sz w:val="24"/>
          <w:szCs w:val="24"/>
        </w:rPr>
        <w:t>The CRA (2015) has various advantages, including the fact that it saves time when negotiating each contract, that it may be used to reduce risk, and that it simplifies contracts since phrases are filtered. It is a special consumer-oriented remedy that is connected to orders, court undertakings, and general undertakings in terms of enforcement. For example, solutions that fall under the area of choice require the trader to address its shortcomings publicly so that customers are better informed.</w:t>
      </w:r>
    </w:p>
    <w:p w14:paraId="6213ADEF" w14:textId="658A2329" w:rsidR="00C26BA0" w:rsidRDefault="00C26BA0" w:rsidP="00993C48">
      <w:pPr>
        <w:spacing w:line="360" w:lineRule="auto"/>
        <w:ind w:firstLine="720"/>
        <w:jc w:val="both"/>
        <w:rPr>
          <w:rFonts w:ascii="Times New Roman" w:hAnsi="Times New Roman" w:cs="Times New Roman"/>
          <w:sz w:val="24"/>
          <w:szCs w:val="24"/>
        </w:rPr>
      </w:pPr>
      <w:r w:rsidRPr="00C26BA0">
        <w:rPr>
          <w:rFonts w:ascii="Times New Roman" w:hAnsi="Times New Roman" w:cs="Times New Roman"/>
          <w:sz w:val="24"/>
          <w:szCs w:val="24"/>
        </w:rPr>
        <w:t>However, there are several drawbacks to the CRA (2015). For example, it is not often clear whose rules apply, making it difficult to determine whether or not an agreement was made. Aside from that, CRA (2015) might be unfavourable to the weaker party</w:t>
      </w:r>
      <w:r w:rsidR="003B338B" w:rsidRPr="003B338B">
        <w:t xml:space="preserve"> </w:t>
      </w:r>
      <w:r w:rsidR="003B338B" w:rsidRPr="003B338B">
        <w:rPr>
          <w:rFonts w:ascii="Times New Roman" w:hAnsi="Times New Roman" w:cs="Times New Roman"/>
          <w:sz w:val="24"/>
          <w:szCs w:val="24"/>
        </w:rPr>
        <w:t>(</w:t>
      </w:r>
      <w:proofErr w:type="spellStart"/>
      <w:r w:rsidR="003B338B" w:rsidRPr="003B338B">
        <w:rPr>
          <w:rFonts w:ascii="Times New Roman" w:hAnsi="Times New Roman" w:cs="Times New Roman"/>
          <w:sz w:val="24"/>
          <w:szCs w:val="24"/>
        </w:rPr>
        <w:t>StuDocu</w:t>
      </w:r>
      <w:proofErr w:type="spellEnd"/>
      <w:r w:rsidR="003B338B" w:rsidRPr="003B338B">
        <w:rPr>
          <w:rFonts w:ascii="Times New Roman" w:hAnsi="Times New Roman" w:cs="Times New Roman"/>
          <w:sz w:val="24"/>
          <w:szCs w:val="24"/>
        </w:rPr>
        <w:t>, 2021)</w:t>
      </w:r>
      <w:r w:rsidRPr="00C26BA0">
        <w:rPr>
          <w:rFonts w:ascii="Times New Roman" w:hAnsi="Times New Roman" w:cs="Times New Roman"/>
          <w:sz w:val="24"/>
          <w:szCs w:val="24"/>
        </w:rPr>
        <w:t>. As a result, in my opinion, the earlier legislation should still be evaluated and referred to.</w:t>
      </w:r>
    </w:p>
    <w:p w14:paraId="72D02660" w14:textId="3A0CDE8A" w:rsidR="005C1384" w:rsidRDefault="005C1384" w:rsidP="00C26BA0">
      <w:pPr>
        <w:spacing w:line="360" w:lineRule="auto"/>
        <w:ind w:firstLine="720"/>
        <w:jc w:val="both"/>
        <w:rPr>
          <w:rFonts w:ascii="Times New Roman" w:hAnsi="Times New Roman" w:cs="Times New Roman"/>
          <w:sz w:val="24"/>
          <w:szCs w:val="24"/>
        </w:rPr>
      </w:pPr>
      <w:r w:rsidRPr="005C1384">
        <w:rPr>
          <w:rFonts w:ascii="Times New Roman" w:hAnsi="Times New Roman" w:cs="Times New Roman"/>
          <w:sz w:val="24"/>
          <w:szCs w:val="24"/>
        </w:rPr>
        <w:t>Finally, the Consumer Rights Act of 2015 is a significant piece of legislation for both consumers and contract attorneys. It aims to simplify, update, and modernise UK consumer policy while also resolving inconsistencies and overlaps. The Act is a major and daring piece of law. Nonetheless, there are interpretation issues, especially for the average customer confronted with a complex piece of legislation that does not even include all UK consumer protection rules.</w:t>
      </w:r>
      <w:r w:rsidR="002C1B3B">
        <w:rPr>
          <w:rFonts w:ascii="Times New Roman" w:hAnsi="Times New Roman" w:cs="Times New Roman"/>
          <w:sz w:val="24"/>
          <w:szCs w:val="24"/>
        </w:rPr>
        <w:t xml:space="preserve"> In my opinion, I would suggest that the government should considered certain part in previous legislations which still relevant in the current situation</w:t>
      </w:r>
      <w:r w:rsidR="00D37C7C">
        <w:rPr>
          <w:rFonts w:ascii="Times New Roman" w:hAnsi="Times New Roman" w:cs="Times New Roman"/>
          <w:sz w:val="24"/>
          <w:szCs w:val="24"/>
        </w:rPr>
        <w:t xml:space="preserve"> in order to reflect changes made in the consumer law. </w:t>
      </w:r>
    </w:p>
    <w:p w14:paraId="7F19A856" w14:textId="165BEB5F" w:rsidR="003B338B" w:rsidRDefault="003B338B" w:rsidP="00C26BA0">
      <w:pPr>
        <w:spacing w:line="360" w:lineRule="auto"/>
        <w:ind w:firstLine="720"/>
        <w:jc w:val="both"/>
        <w:rPr>
          <w:rFonts w:ascii="Times New Roman" w:hAnsi="Times New Roman" w:cs="Times New Roman"/>
          <w:sz w:val="24"/>
          <w:szCs w:val="24"/>
        </w:rPr>
      </w:pPr>
    </w:p>
    <w:p w14:paraId="5F61665D" w14:textId="36A0E93C" w:rsidR="003B338B" w:rsidRDefault="003B338B" w:rsidP="00C26BA0">
      <w:pPr>
        <w:spacing w:line="360" w:lineRule="auto"/>
        <w:ind w:firstLine="720"/>
        <w:jc w:val="both"/>
        <w:rPr>
          <w:rFonts w:ascii="Times New Roman" w:hAnsi="Times New Roman" w:cs="Times New Roman"/>
          <w:sz w:val="24"/>
          <w:szCs w:val="24"/>
        </w:rPr>
      </w:pPr>
    </w:p>
    <w:p w14:paraId="333C7F25" w14:textId="77777777" w:rsidR="003B338B" w:rsidRDefault="003B338B" w:rsidP="00D37C7C">
      <w:pPr>
        <w:spacing w:line="360" w:lineRule="auto"/>
        <w:jc w:val="both"/>
        <w:rPr>
          <w:rFonts w:ascii="Times New Roman" w:hAnsi="Times New Roman" w:cs="Times New Roman"/>
          <w:sz w:val="24"/>
          <w:szCs w:val="24"/>
        </w:rPr>
      </w:pPr>
    </w:p>
    <w:p w14:paraId="465A466F" w14:textId="1F57F6B1" w:rsidR="00D16265" w:rsidRDefault="00D16265" w:rsidP="005C1384">
      <w:pPr>
        <w:spacing w:line="360" w:lineRule="auto"/>
        <w:jc w:val="both"/>
        <w:rPr>
          <w:rFonts w:ascii="Times New Roman" w:hAnsi="Times New Roman" w:cs="Times New Roman"/>
          <w:b/>
          <w:bCs/>
          <w:sz w:val="24"/>
          <w:szCs w:val="24"/>
        </w:rPr>
      </w:pPr>
      <w:r w:rsidRPr="00D16265">
        <w:rPr>
          <w:rFonts w:ascii="Times New Roman" w:hAnsi="Times New Roman" w:cs="Times New Roman"/>
          <w:b/>
          <w:bCs/>
          <w:sz w:val="24"/>
          <w:szCs w:val="24"/>
        </w:rPr>
        <w:t>References</w:t>
      </w:r>
    </w:p>
    <w:p w14:paraId="6B4F931D" w14:textId="77777777" w:rsidR="00D37C7C" w:rsidRPr="00050DEE" w:rsidRDefault="00D37C7C" w:rsidP="00D37C7C">
      <w:pPr>
        <w:spacing w:line="360" w:lineRule="auto"/>
        <w:jc w:val="both"/>
        <w:rPr>
          <w:rFonts w:ascii="Times New Roman" w:hAnsi="Times New Roman" w:cs="Times New Roman"/>
          <w:sz w:val="24"/>
          <w:szCs w:val="24"/>
        </w:rPr>
      </w:pPr>
      <w:r w:rsidRPr="00050DEE">
        <w:rPr>
          <w:rFonts w:ascii="Times New Roman" w:hAnsi="Times New Roman" w:cs="Times New Roman"/>
          <w:sz w:val="24"/>
          <w:szCs w:val="24"/>
        </w:rPr>
        <w:t>Businesscompanion.info. (2015). Digital content | Business Companion. [online] Available at: https://www.businesscompanion.info/en/quick-guides/digital/digital-content#:~:text=Chapter%203%20of%20the%20Consumer,remedies%20provided%20for%20faulty%20goods. [Accessed 6 May 2022].</w:t>
      </w:r>
    </w:p>
    <w:p w14:paraId="66CBC1FC" w14:textId="77777777" w:rsidR="00D37C7C" w:rsidRDefault="00D37C7C" w:rsidP="00D37C7C">
      <w:pPr>
        <w:spacing w:line="360" w:lineRule="auto"/>
        <w:jc w:val="both"/>
        <w:rPr>
          <w:rFonts w:ascii="Times New Roman" w:hAnsi="Times New Roman" w:cs="Times New Roman"/>
          <w:sz w:val="24"/>
          <w:szCs w:val="24"/>
        </w:rPr>
      </w:pPr>
      <w:r w:rsidRPr="00C91ABF">
        <w:rPr>
          <w:rFonts w:ascii="Times New Roman" w:hAnsi="Times New Roman" w:cs="Times New Roman"/>
          <w:sz w:val="24"/>
          <w:szCs w:val="24"/>
        </w:rPr>
        <w:t>Consumer Rights Act 2015 - Explanatory Notes. [online] Legislation.gov.uk. Available at: https://www.legislation.gov.uk/ukpga/2015/15/notes/division/2 [Accessed 6 May 2022].</w:t>
      </w:r>
    </w:p>
    <w:p w14:paraId="31DDC387" w14:textId="77777777" w:rsidR="00D37C7C" w:rsidRPr="00C91ABF" w:rsidRDefault="00D37C7C" w:rsidP="00D37C7C">
      <w:pPr>
        <w:spacing w:line="360" w:lineRule="auto"/>
        <w:jc w:val="both"/>
        <w:rPr>
          <w:rFonts w:ascii="Times New Roman" w:hAnsi="Times New Roman" w:cs="Times New Roman"/>
          <w:sz w:val="24"/>
          <w:szCs w:val="24"/>
        </w:rPr>
      </w:pPr>
      <w:r w:rsidRPr="00C91ABF">
        <w:rPr>
          <w:rFonts w:ascii="Times New Roman" w:hAnsi="Times New Roman" w:cs="Times New Roman"/>
          <w:sz w:val="24"/>
          <w:szCs w:val="24"/>
        </w:rPr>
        <w:t>European consumer rights? Legal Studies, 37(1), 78-102.</w:t>
      </w:r>
    </w:p>
    <w:p w14:paraId="23A2E9DC" w14:textId="77777777" w:rsidR="00D37C7C" w:rsidRPr="00C91ABF" w:rsidRDefault="00D37C7C" w:rsidP="00D37C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Flynn, B. </w:t>
      </w:r>
      <w:r w:rsidRPr="00C91ABF">
        <w:rPr>
          <w:rFonts w:ascii="Times New Roman" w:hAnsi="Times New Roman" w:cs="Times New Roman"/>
          <w:sz w:val="24"/>
          <w:szCs w:val="24"/>
        </w:rPr>
        <w:t xml:space="preserve"> &amp; </w:t>
      </w:r>
      <w:r>
        <w:rPr>
          <w:rFonts w:ascii="Times New Roman" w:hAnsi="Times New Roman" w:cs="Times New Roman"/>
          <w:sz w:val="24"/>
          <w:szCs w:val="24"/>
        </w:rPr>
        <w:t>Broadhurst, N.</w:t>
      </w:r>
      <w:r w:rsidRPr="00C91ABF">
        <w:rPr>
          <w:rFonts w:ascii="Times New Roman" w:hAnsi="Times New Roman" w:cs="Times New Roman"/>
          <w:sz w:val="24"/>
          <w:szCs w:val="24"/>
        </w:rPr>
        <w:t xml:space="preserve"> (2020). Consumer Rights Act 2015 - Stevens &amp; Bolton LLP. [online] Available at: https://www.stevens-bolton.com/site/insights/briefing-notes/changes-to-consumer-law-in-the-uk-consumer-rights-act-2015 [Accessed 6 May 2022].</w:t>
      </w:r>
    </w:p>
    <w:p w14:paraId="3BF27244" w14:textId="77777777" w:rsidR="00D37C7C" w:rsidRPr="00C91ABF" w:rsidRDefault="00D37C7C" w:rsidP="00D37C7C">
      <w:pPr>
        <w:spacing w:line="360" w:lineRule="auto"/>
        <w:jc w:val="both"/>
        <w:rPr>
          <w:rFonts w:ascii="Times New Roman" w:hAnsi="Times New Roman" w:cs="Times New Roman"/>
          <w:sz w:val="24"/>
          <w:szCs w:val="24"/>
        </w:rPr>
      </w:pPr>
      <w:proofErr w:type="spellStart"/>
      <w:r w:rsidRPr="00C91ABF">
        <w:rPr>
          <w:rFonts w:ascii="Times New Roman" w:hAnsi="Times New Roman" w:cs="Times New Roman"/>
          <w:sz w:val="24"/>
          <w:szCs w:val="24"/>
        </w:rPr>
        <w:t>Giliker</w:t>
      </w:r>
      <w:proofErr w:type="spellEnd"/>
      <w:r w:rsidRPr="00C91ABF">
        <w:rPr>
          <w:rFonts w:ascii="Times New Roman" w:hAnsi="Times New Roman" w:cs="Times New Roman"/>
          <w:sz w:val="24"/>
          <w:szCs w:val="24"/>
        </w:rPr>
        <w:t>, P. (2017). The Consumer Rights Act 2015 - a bastion of</w:t>
      </w:r>
    </w:p>
    <w:p w14:paraId="5F167045" w14:textId="77777777" w:rsidR="00D37C7C" w:rsidRDefault="00D37C7C" w:rsidP="00D37C7C">
      <w:pPr>
        <w:spacing w:line="360" w:lineRule="auto"/>
        <w:jc w:val="both"/>
        <w:rPr>
          <w:rFonts w:ascii="Times New Roman" w:hAnsi="Times New Roman" w:cs="Times New Roman"/>
          <w:sz w:val="24"/>
          <w:szCs w:val="24"/>
        </w:rPr>
      </w:pPr>
      <w:hyperlink r:id="rId6" w:history="1">
        <w:r w:rsidRPr="005843C0">
          <w:rPr>
            <w:rStyle w:val="Hyperlink"/>
            <w:rFonts w:ascii="Times New Roman" w:hAnsi="Times New Roman" w:cs="Times New Roman"/>
            <w:sz w:val="24"/>
            <w:szCs w:val="24"/>
          </w:rPr>
          <w:t>https://doi.org/10.1111/lest.12139</w:t>
        </w:r>
      </w:hyperlink>
    </w:p>
    <w:p w14:paraId="7ADDF189" w14:textId="77777777" w:rsidR="00D37C7C" w:rsidRPr="00050DEE" w:rsidRDefault="00D37C7C" w:rsidP="00D37C7C">
      <w:pPr>
        <w:spacing w:line="360" w:lineRule="auto"/>
        <w:jc w:val="both"/>
        <w:rPr>
          <w:rFonts w:ascii="Times New Roman" w:hAnsi="Times New Roman" w:cs="Times New Roman"/>
          <w:sz w:val="24"/>
          <w:szCs w:val="24"/>
        </w:rPr>
      </w:pPr>
      <w:r w:rsidRPr="00050DEE">
        <w:rPr>
          <w:rFonts w:ascii="Times New Roman" w:hAnsi="Times New Roman" w:cs="Times New Roman"/>
          <w:sz w:val="24"/>
          <w:szCs w:val="24"/>
        </w:rPr>
        <w:t>Legislation.gov.uk. (2015). Consumer Rights Act 2015. [online] Available at: https://www.legislation.gov.uk/ukpga/2015/15/part/1/enacted [Accessed 6 May 2022].</w:t>
      </w:r>
    </w:p>
    <w:p w14:paraId="2F88193E" w14:textId="77777777" w:rsidR="00D37C7C" w:rsidRDefault="00D37C7C" w:rsidP="00D37C7C">
      <w:pPr>
        <w:spacing w:line="360" w:lineRule="auto"/>
        <w:jc w:val="both"/>
        <w:rPr>
          <w:rFonts w:ascii="Times New Roman" w:hAnsi="Times New Roman" w:cs="Times New Roman"/>
          <w:sz w:val="24"/>
          <w:szCs w:val="24"/>
        </w:rPr>
      </w:pPr>
      <w:proofErr w:type="spellStart"/>
      <w:r w:rsidRPr="00C91ABF">
        <w:rPr>
          <w:rFonts w:ascii="Times New Roman" w:hAnsi="Times New Roman" w:cs="Times New Roman"/>
          <w:sz w:val="24"/>
          <w:szCs w:val="24"/>
        </w:rPr>
        <w:t>StuDocu</w:t>
      </w:r>
      <w:proofErr w:type="spellEnd"/>
      <w:r w:rsidRPr="00C91ABF">
        <w:rPr>
          <w:rFonts w:ascii="Times New Roman" w:hAnsi="Times New Roman" w:cs="Times New Roman"/>
          <w:sz w:val="24"/>
          <w:szCs w:val="24"/>
        </w:rPr>
        <w:t>. (2021). Lecture 05 - Exclusion Clauses UCTA cases. [online] Available at: https://www.studocu.com/en-gb/document/staffordshire-university/commercial-law/lecture-05-exclusion-clauses-ucta-cases/22423003 [Accessed 6 May 2022].</w:t>
      </w:r>
    </w:p>
    <w:p w14:paraId="133D3EC3" w14:textId="77777777" w:rsidR="00D37C7C" w:rsidRDefault="00D37C7C" w:rsidP="00D37C7C">
      <w:pPr>
        <w:spacing w:line="360" w:lineRule="auto"/>
        <w:jc w:val="both"/>
        <w:rPr>
          <w:rFonts w:ascii="Times New Roman" w:hAnsi="Times New Roman" w:cs="Times New Roman"/>
          <w:sz w:val="24"/>
          <w:szCs w:val="24"/>
        </w:rPr>
      </w:pPr>
      <w:r w:rsidRPr="00C91ABF">
        <w:rPr>
          <w:rFonts w:ascii="Times New Roman" w:hAnsi="Times New Roman" w:cs="Times New Roman"/>
          <w:sz w:val="24"/>
          <w:szCs w:val="24"/>
        </w:rPr>
        <w:t>Ward Hadaway. (2015). Ward Hadaway. [online] Available at: https://www.wardhadaway.com/insights/updates/the-consumer-rights-act-2015/ [Accessed 6 May 2022].</w:t>
      </w:r>
    </w:p>
    <w:p w14:paraId="2F9D6D26" w14:textId="77777777" w:rsidR="00D37C7C" w:rsidRPr="00050DEE" w:rsidRDefault="00D37C7C" w:rsidP="00D37C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Wimbledon, J., &amp; Smith, C. </w:t>
      </w:r>
      <w:r w:rsidRPr="00050DEE">
        <w:rPr>
          <w:rFonts w:ascii="Times New Roman" w:hAnsi="Times New Roman" w:cs="Times New Roman"/>
          <w:sz w:val="24"/>
          <w:szCs w:val="24"/>
        </w:rPr>
        <w:t>(20</w:t>
      </w:r>
      <w:r>
        <w:rPr>
          <w:rFonts w:ascii="Times New Roman" w:hAnsi="Times New Roman" w:cs="Times New Roman"/>
          <w:sz w:val="24"/>
          <w:szCs w:val="24"/>
        </w:rPr>
        <w:t>22</w:t>
      </w:r>
      <w:r w:rsidRPr="00050DEE">
        <w:rPr>
          <w:rFonts w:ascii="Times New Roman" w:hAnsi="Times New Roman" w:cs="Times New Roman"/>
          <w:sz w:val="24"/>
          <w:szCs w:val="24"/>
        </w:rPr>
        <w:t>). Simply Business UK. [online] Available at: https://www.simplybusiness.co.uk/knowledge/articles/2022/02/sale-of-goods-act-and-consumer-rights/#:~:text=The%20Sale%20of%20Goods%20Act%20has%20now%20been%20replaced%20by,as%20well%20as%20physical%20goods. [Accessed 6 May 2022].</w:t>
      </w:r>
    </w:p>
    <w:p w14:paraId="772ED7D2" w14:textId="41282647" w:rsidR="00050DEE" w:rsidRDefault="00050DEE" w:rsidP="00050DEE">
      <w:pPr>
        <w:spacing w:line="360" w:lineRule="auto"/>
        <w:jc w:val="both"/>
        <w:rPr>
          <w:rFonts w:ascii="Times New Roman" w:hAnsi="Times New Roman" w:cs="Times New Roman"/>
          <w:sz w:val="24"/>
          <w:szCs w:val="24"/>
        </w:rPr>
      </w:pPr>
    </w:p>
    <w:p w14:paraId="3C514663" w14:textId="45710805" w:rsidR="002C1B3B" w:rsidRDefault="002C1B3B" w:rsidP="00050DEE">
      <w:pPr>
        <w:spacing w:line="360" w:lineRule="auto"/>
        <w:jc w:val="both"/>
        <w:rPr>
          <w:rFonts w:ascii="Times New Roman" w:hAnsi="Times New Roman" w:cs="Times New Roman"/>
          <w:sz w:val="24"/>
          <w:szCs w:val="24"/>
        </w:rPr>
      </w:pPr>
    </w:p>
    <w:p w14:paraId="1C4D9105" w14:textId="77777777" w:rsidR="00D37C7C" w:rsidRPr="00050DEE" w:rsidRDefault="00D37C7C" w:rsidP="00050DEE">
      <w:pPr>
        <w:spacing w:line="360" w:lineRule="auto"/>
        <w:jc w:val="both"/>
        <w:rPr>
          <w:rFonts w:ascii="Times New Roman" w:hAnsi="Times New Roman" w:cs="Times New Roman"/>
          <w:sz w:val="24"/>
          <w:szCs w:val="24"/>
        </w:rPr>
      </w:pPr>
    </w:p>
    <w:p w14:paraId="30C179BA" w14:textId="3A083B9A" w:rsidR="00050DEE" w:rsidRPr="002C1B3B" w:rsidRDefault="00050DEE" w:rsidP="00050DEE">
      <w:pPr>
        <w:spacing w:line="360" w:lineRule="auto"/>
        <w:jc w:val="both"/>
        <w:rPr>
          <w:rFonts w:ascii="Times New Roman" w:hAnsi="Times New Roman" w:cs="Times New Roman"/>
          <w:b/>
          <w:bCs/>
          <w:sz w:val="24"/>
          <w:szCs w:val="24"/>
        </w:rPr>
      </w:pPr>
      <w:r w:rsidRPr="002C1B3B">
        <w:rPr>
          <w:rFonts w:ascii="Times New Roman" w:hAnsi="Times New Roman" w:cs="Times New Roman"/>
          <w:b/>
          <w:bCs/>
          <w:sz w:val="24"/>
          <w:szCs w:val="24"/>
        </w:rPr>
        <w:t>‌</w:t>
      </w:r>
      <w:r w:rsidR="00414A46" w:rsidRPr="002C1B3B">
        <w:rPr>
          <w:rFonts w:ascii="Times New Roman" w:hAnsi="Times New Roman" w:cs="Times New Roman"/>
          <w:b/>
          <w:bCs/>
          <w:sz w:val="24"/>
          <w:szCs w:val="24"/>
        </w:rPr>
        <w:t xml:space="preserve">Table </w:t>
      </w:r>
      <w:r w:rsidR="00D805A5" w:rsidRPr="002C1B3B">
        <w:rPr>
          <w:rFonts w:ascii="Times New Roman" w:hAnsi="Times New Roman" w:cs="Times New Roman"/>
          <w:b/>
          <w:bCs/>
          <w:sz w:val="24"/>
          <w:szCs w:val="24"/>
        </w:rPr>
        <w:t>Of Legislations</w:t>
      </w:r>
    </w:p>
    <w:p w14:paraId="68E36639" w14:textId="1A8890B3" w:rsidR="00721E5E" w:rsidRPr="002C1B3B" w:rsidRDefault="00721E5E" w:rsidP="00050DEE">
      <w:pPr>
        <w:spacing w:line="360" w:lineRule="auto"/>
        <w:jc w:val="both"/>
        <w:rPr>
          <w:rFonts w:ascii="Times New Roman" w:hAnsi="Times New Roman" w:cs="Times New Roman"/>
          <w:b/>
          <w:bCs/>
          <w:sz w:val="24"/>
          <w:szCs w:val="24"/>
        </w:rPr>
      </w:pPr>
      <w:r w:rsidRPr="002C1B3B">
        <w:rPr>
          <w:rFonts w:ascii="Times New Roman" w:hAnsi="Times New Roman" w:cs="Times New Roman"/>
          <w:b/>
          <w:bCs/>
          <w:sz w:val="24"/>
          <w:szCs w:val="24"/>
        </w:rPr>
        <w:t>Consumer Rights Act 2015</w:t>
      </w:r>
    </w:p>
    <w:p w14:paraId="0423DC47" w14:textId="340D3A02"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s.19</w:t>
      </w:r>
    </w:p>
    <w:p w14:paraId="7A773724" w14:textId="32892839"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s.20</w:t>
      </w:r>
    </w:p>
    <w:p w14:paraId="52D8F2D7" w14:textId="729BB6C1"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s.22</w:t>
      </w:r>
    </w:p>
    <w:p w14:paraId="5ABEEEE4" w14:textId="44472D9B"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s.23</w:t>
      </w:r>
    </w:p>
    <w:p w14:paraId="79AD6487" w14:textId="32422B39"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s.24</w:t>
      </w:r>
    </w:p>
    <w:p w14:paraId="2F80F683" w14:textId="6A31700E"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s.24(5)(a)</w:t>
      </w:r>
    </w:p>
    <w:p w14:paraId="05A4C7B8" w14:textId="6E3AE13B"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s.62-69</w:t>
      </w:r>
    </w:p>
    <w:p w14:paraId="63DF7F48" w14:textId="61B3764F"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s.64</w:t>
      </w:r>
    </w:p>
    <w:p w14:paraId="3CCE9608" w14:textId="0D016569"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s.63</w:t>
      </w:r>
    </w:p>
    <w:p w14:paraId="099C2352" w14:textId="0372EFA4"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s.62(4)</w:t>
      </w:r>
    </w:p>
    <w:p w14:paraId="6B601542" w14:textId="2B45047A" w:rsidR="00721E5E" w:rsidRDefault="00721E5E"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s.62(6)</w:t>
      </w:r>
    </w:p>
    <w:p w14:paraId="11C998EF" w14:textId="441D750D" w:rsidR="00721E5E" w:rsidRDefault="002C1B3B" w:rsidP="00050DEE">
      <w:pPr>
        <w:spacing w:line="360" w:lineRule="auto"/>
        <w:jc w:val="both"/>
        <w:rPr>
          <w:rFonts w:ascii="Times New Roman" w:hAnsi="Times New Roman" w:cs="Times New Roman"/>
          <w:sz w:val="24"/>
          <w:szCs w:val="24"/>
        </w:rPr>
      </w:pPr>
      <w:r>
        <w:rPr>
          <w:rFonts w:ascii="Times New Roman" w:hAnsi="Times New Roman" w:cs="Times New Roman"/>
          <w:sz w:val="24"/>
          <w:szCs w:val="24"/>
        </w:rPr>
        <w:t>schedule 2</w:t>
      </w:r>
    </w:p>
    <w:p w14:paraId="39205E32" w14:textId="491B07DA" w:rsidR="002C1B3B" w:rsidRPr="002C1B3B" w:rsidRDefault="002C1B3B" w:rsidP="00050DEE">
      <w:pPr>
        <w:spacing w:line="360" w:lineRule="auto"/>
        <w:jc w:val="both"/>
        <w:rPr>
          <w:rFonts w:ascii="Times New Roman" w:hAnsi="Times New Roman" w:cs="Times New Roman"/>
          <w:b/>
          <w:bCs/>
          <w:sz w:val="24"/>
          <w:szCs w:val="24"/>
        </w:rPr>
      </w:pPr>
      <w:r w:rsidRPr="002C1B3B">
        <w:rPr>
          <w:rFonts w:ascii="Times New Roman" w:hAnsi="Times New Roman" w:cs="Times New Roman"/>
          <w:b/>
          <w:bCs/>
          <w:sz w:val="24"/>
          <w:szCs w:val="24"/>
        </w:rPr>
        <w:t>Consumer Sales Directive 99/44/EC</w:t>
      </w:r>
    </w:p>
    <w:p w14:paraId="2D091355" w14:textId="59832DBC" w:rsidR="002C1B3B" w:rsidRPr="002C1B3B" w:rsidRDefault="002C1B3B" w:rsidP="00050DEE">
      <w:pPr>
        <w:spacing w:line="360" w:lineRule="auto"/>
        <w:jc w:val="both"/>
        <w:rPr>
          <w:rFonts w:ascii="Times New Roman" w:hAnsi="Times New Roman" w:cs="Times New Roman"/>
          <w:b/>
          <w:bCs/>
          <w:sz w:val="24"/>
          <w:szCs w:val="24"/>
        </w:rPr>
      </w:pPr>
      <w:r w:rsidRPr="002C1B3B">
        <w:rPr>
          <w:rFonts w:ascii="Times New Roman" w:hAnsi="Times New Roman" w:cs="Times New Roman"/>
          <w:b/>
          <w:bCs/>
          <w:sz w:val="24"/>
          <w:szCs w:val="24"/>
        </w:rPr>
        <w:t>Sales of Goods Act 1979</w:t>
      </w:r>
    </w:p>
    <w:p w14:paraId="187E6F9F" w14:textId="3CEE9DAC" w:rsidR="002C1B3B" w:rsidRPr="002C1B3B" w:rsidRDefault="002C1B3B" w:rsidP="00050DEE">
      <w:pPr>
        <w:spacing w:line="360" w:lineRule="auto"/>
        <w:jc w:val="both"/>
        <w:rPr>
          <w:rFonts w:ascii="Times New Roman" w:hAnsi="Times New Roman" w:cs="Times New Roman"/>
          <w:b/>
          <w:bCs/>
          <w:sz w:val="24"/>
          <w:szCs w:val="24"/>
        </w:rPr>
      </w:pPr>
      <w:r w:rsidRPr="002C1B3B">
        <w:rPr>
          <w:rFonts w:ascii="Times New Roman" w:hAnsi="Times New Roman" w:cs="Times New Roman"/>
          <w:b/>
          <w:bCs/>
          <w:sz w:val="24"/>
          <w:szCs w:val="24"/>
        </w:rPr>
        <w:t>Supply of Goods and Services Act (1982)</w:t>
      </w:r>
    </w:p>
    <w:p w14:paraId="2923A834" w14:textId="62F08B98" w:rsidR="002C1B3B" w:rsidRPr="002C1B3B" w:rsidRDefault="002C1B3B" w:rsidP="00050DEE">
      <w:pPr>
        <w:spacing w:line="360" w:lineRule="auto"/>
        <w:jc w:val="both"/>
        <w:rPr>
          <w:rFonts w:ascii="Times New Roman" w:hAnsi="Times New Roman" w:cs="Times New Roman"/>
          <w:b/>
          <w:bCs/>
          <w:sz w:val="24"/>
          <w:szCs w:val="24"/>
        </w:rPr>
      </w:pPr>
      <w:r w:rsidRPr="002C1B3B">
        <w:rPr>
          <w:rFonts w:ascii="Times New Roman" w:hAnsi="Times New Roman" w:cs="Times New Roman"/>
          <w:b/>
          <w:bCs/>
          <w:sz w:val="24"/>
          <w:szCs w:val="24"/>
        </w:rPr>
        <w:t>Unfair Contract Terms Act 1977</w:t>
      </w:r>
    </w:p>
    <w:p w14:paraId="7450F114" w14:textId="2BBD1533" w:rsidR="00D805A5" w:rsidRPr="00050DEE" w:rsidRDefault="00D805A5" w:rsidP="00050DEE">
      <w:pPr>
        <w:spacing w:line="360" w:lineRule="auto"/>
        <w:jc w:val="both"/>
        <w:rPr>
          <w:rFonts w:ascii="Times New Roman" w:hAnsi="Times New Roman" w:cs="Times New Roman"/>
          <w:sz w:val="24"/>
          <w:szCs w:val="24"/>
        </w:rPr>
      </w:pPr>
    </w:p>
    <w:p w14:paraId="2C5ABACC" w14:textId="0967A75F" w:rsidR="00050DEE" w:rsidRPr="00050DEE" w:rsidRDefault="00050DEE" w:rsidP="00050DEE">
      <w:pPr>
        <w:spacing w:line="360" w:lineRule="auto"/>
        <w:jc w:val="both"/>
        <w:rPr>
          <w:rFonts w:ascii="Times New Roman" w:hAnsi="Times New Roman" w:cs="Times New Roman"/>
          <w:sz w:val="24"/>
          <w:szCs w:val="24"/>
        </w:rPr>
      </w:pPr>
      <w:r w:rsidRPr="00050DEE">
        <w:rPr>
          <w:rFonts w:ascii="Times New Roman" w:hAnsi="Times New Roman" w:cs="Times New Roman"/>
          <w:sz w:val="24"/>
          <w:szCs w:val="24"/>
        </w:rPr>
        <w:t>‌</w:t>
      </w:r>
    </w:p>
    <w:p w14:paraId="66DA2F31" w14:textId="2FBCEA2B" w:rsidR="00C91ABF" w:rsidRPr="00C91ABF" w:rsidRDefault="00050DEE" w:rsidP="00050DEE">
      <w:pPr>
        <w:spacing w:line="360" w:lineRule="auto"/>
        <w:jc w:val="both"/>
        <w:rPr>
          <w:rFonts w:ascii="Times New Roman" w:hAnsi="Times New Roman" w:cs="Times New Roman"/>
          <w:sz w:val="24"/>
          <w:szCs w:val="24"/>
        </w:rPr>
      </w:pPr>
      <w:r w:rsidRPr="00050DEE">
        <w:rPr>
          <w:rFonts w:ascii="Times New Roman" w:hAnsi="Times New Roman" w:cs="Times New Roman"/>
          <w:sz w:val="24"/>
          <w:szCs w:val="24"/>
        </w:rPr>
        <w:t>‌</w:t>
      </w:r>
    </w:p>
    <w:p w14:paraId="2185598E" w14:textId="5B5164EF" w:rsidR="00C91ABF" w:rsidRPr="00C91ABF" w:rsidRDefault="00C91ABF" w:rsidP="00C91ABF">
      <w:pPr>
        <w:spacing w:line="360" w:lineRule="auto"/>
        <w:jc w:val="both"/>
        <w:rPr>
          <w:rFonts w:ascii="Times New Roman" w:hAnsi="Times New Roman" w:cs="Times New Roman"/>
          <w:sz w:val="24"/>
          <w:szCs w:val="24"/>
        </w:rPr>
      </w:pPr>
      <w:r w:rsidRPr="00C91ABF">
        <w:rPr>
          <w:rFonts w:ascii="Times New Roman" w:hAnsi="Times New Roman" w:cs="Times New Roman"/>
          <w:sz w:val="24"/>
          <w:szCs w:val="24"/>
        </w:rPr>
        <w:t>‌</w:t>
      </w:r>
    </w:p>
    <w:p w14:paraId="630BF029" w14:textId="77777777" w:rsidR="00C91ABF" w:rsidRPr="00C91ABF" w:rsidRDefault="00C91ABF" w:rsidP="00C91ABF">
      <w:pPr>
        <w:spacing w:line="360" w:lineRule="auto"/>
        <w:jc w:val="both"/>
        <w:rPr>
          <w:rFonts w:ascii="Times New Roman" w:hAnsi="Times New Roman" w:cs="Times New Roman"/>
          <w:sz w:val="24"/>
          <w:szCs w:val="24"/>
        </w:rPr>
      </w:pPr>
    </w:p>
    <w:p w14:paraId="27C21982" w14:textId="4F833197" w:rsidR="00C91ABF" w:rsidRPr="00C91ABF" w:rsidRDefault="00C91ABF" w:rsidP="00C91ABF">
      <w:pPr>
        <w:spacing w:line="360" w:lineRule="auto"/>
        <w:jc w:val="both"/>
        <w:rPr>
          <w:rFonts w:ascii="Times New Roman" w:hAnsi="Times New Roman" w:cs="Times New Roman"/>
          <w:sz w:val="24"/>
          <w:szCs w:val="24"/>
        </w:rPr>
      </w:pPr>
      <w:r w:rsidRPr="00C91ABF">
        <w:rPr>
          <w:rFonts w:ascii="Times New Roman" w:hAnsi="Times New Roman" w:cs="Times New Roman"/>
          <w:sz w:val="24"/>
          <w:szCs w:val="24"/>
        </w:rPr>
        <w:t>‌</w:t>
      </w:r>
    </w:p>
    <w:sectPr w:rsidR="00C91ABF" w:rsidRPr="00C91A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D2B99" w14:textId="77777777" w:rsidR="002D1116" w:rsidRDefault="002D1116" w:rsidP="002D1116">
      <w:pPr>
        <w:spacing w:after="0" w:line="240" w:lineRule="auto"/>
      </w:pPr>
      <w:r>
        <w:separator/>
      </w:r>
    </w:p>
  </w:endnote>
  <w:endnote w:type="continuationSeparator" w:id="0">
    <w:p w14:paraId="3DB48F7D" w14:textId="77777777" w:rsidR="002D1116" w:rsidRDefault="002D1116" w:rsidP="002D1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F0D74" w14:textId="77777777" w:rsidR="002D1116" w:rsidRDefault="002D1116" w:rsidP="002D1116">
      <w:pPr>
        <w:spacing w:after="0" w:line="240" w:lineRule="auto"/>
      </w:pPr>
      <w:r>
        <w:separator/>
      </w:r>
    </w:p>
  </w:footnote>
  <w:footnote w:type="continuationSeparator" w:id="0">
    <w:p w14:paraId="5F405443" w14:textId="77777777" w:rsidR="002D1116" w:rsidRDefault="002D1116" w:rsidP="002D11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2ED"/>
    <w:rsid w:val="00041123"/>
    <w:rsid w:val="00050DEE"/>
    <w:rsid w:val="00060F8F"/>
    <w:rsid w:val="00061D84"/>
    <w:rsid w:val="001205FB"/>
    <w:rsid w:val="00137BE9"/>
    <w:rsid w:val="001630EF"/>
    <w:rsid w:val="00175065"/>
    <w:rsid w:val="001754D4"/>
    <w:rsid w:val="001C1288"/>
    <w:rsid w:val="001C1EA5"/>
    <w:rsid w:val="001D67C2"/>
    <w:rsid w:val="002037BD"/>
    <w:rsid w:val="002C1B3B"/>
    <w:rsid w:val="002D1116"/>
    <w:rsid w:val="0032261F"/>
    <w:rsid w:val="0036394B"/>
    <w:rsid w:val="003B338B"/>
    <w:rsid w:val="003B6973"/>
    <w:rsid w:val="00411281"/>
    <w:rsid w:val="00414A46"/>
    <w:rsid w:val="00423BDB"/>
    <w:rsid w:val="00492DD4"/>
    <w:rsid w:val="004F0C3D"/>
    <w:rsid w:val="004F43DD"/>
    <w:rsid w:val="005540A2"/>
    <w:rsid w:val="00585650"/>
    <w:rsid w:val="005965C1"/>
    <w:rsid w:val="005B2365"/>
    <w:rsid w:val="005B3A85"/>
    <w:rsid w:val="005C1384"/>
    <w:rsid w:val="005D1639"/>
    <w:rsid w:val="00607102"/>
    <w:rsid w:val="00667553"/>
    <w:rsid w:val="00670790"/>
    <w:rsid w:val="00692194"/>
    <w:rsid w:val="00693A88"/>
    <w:rsid w:val="006B6E37"/>
    <w:rsid w:val="006C332D"/>
    <w:rsid w:val="006D43C7"/>
    <w:rsid w:val="00721E5E"/>
    <w:rsid w:val="00730FED"/>
    <w:rsid w:val="00757EA1"/>
    <w:rsid w:val="00771421"/>
    <w:rsid w:val="00791D9A"/>
    <w:rsid w:val="007C5C80"/>
    <w:rsid w:val="007E5D5C"/>
    <w:rsid w:val="007F51AB"/>
    <w:rsid w:val="0083749E"/>
    <w:rsid w:val="00857F34"/>
    <w:rsid w:val="00882D32"/>
    <w:rsid w:val="008943C9"/>
    <w:rsid w:val="008C7A91"/>
    <w:rsid w:val="00972EBB"/>
    <w:rsid w:val="00993C48"/>
    <w:rsid w:val="009B02CE"/>
    <w:rsid w:val="009E12ED"/>
    <w:rsid w:val="00A12755"/>
    <w:rsid w:val="00AA6CE8"/>
    <w:rsid w:val="00AA7228"/>
    <w:rsid w:val="00AC4288"/>
    <w:rsid w:val="00B60364"/>
    <w:rsid w:val="00B85518"/>
    <w:rsid w:val="00BE5799"/>
    <w:rsid w:val="00BF08F7"/>
    <w:rsid w:val="00C26BA0"/>
    <w:rsid w:val="00C31E4E"/>
    <w:rsid w:val="00C91ABF"/>
    <w:rsid w:val="00CB1E41"/>
    <w:rsid w:val="00CC045B"/>
    <w:rsid w:val="00CC7624"/>
    <w:rsid w:val="00D03F01"/>
    <w:rsid w:val="00D16265"/>
    <w:rsid w:val="00D16726"/>
    <w:rsid w:val="00D17D8E"/>
    <w:rsid w:val="00D37C7C"/>
    <w:rsid w:val="00D805A5"/>
    <w:rsid w:val="00DE67E7"/>
    <w:rsid w:val="00E66F14"/>
    <w:rsid w:val="00E750BF"/>
    <w:rsid w:val="00E75B5F"/>
    <w:rsid w:val="00F42F2A"/>
    <w:rsid w:val="00F76D61"/>
    <w:rsid w:val="00F92A3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B200"/>
  <w15:chartTrackingRefBased/>
  <w15:docId w15:val="{B874EFA0-F45A-4515-8FC5-5CEA38547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116"/>
  </w:style>
  <w:style w:type="paragraph" w:styleId="Footer">
    <w:name w:val="footer"/>
    <w:basedOn w:val="Normal"/>
    <w:link w:val="FooterChar"/>
    <w:uiPriority w:val="99"/>
    <w:unhideWhenUsed/>
    <w:rsid w:val="002D1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116"/>
  </w:style>
  <w:style w:type="character" w:styleId="Hyperlink">
    <w:name w:val="Hyperlink"/>
    <w:basedOn w:val="DefaultParagraphFont"/>
    <w:uiPriority w:val="99"/>
    <w:unhideWhenUsed/>
    <w:rsid w:val="00C91ABF"/>
    <w:rPr>
      <w:color w:val="0563C1" w:themeColor="hyperlink"/>
      <w:u w:val="single"/>
    </w:rPr>
  </w:style>
  <w:style w:type="character" w:styleId="UnresolvedMention">
    <w:name w:val="Unresolved Mention"/>
    <w:basedOn w:val="DefaultParagraphFont"/>
    <w:uiPriority w:val="99"/>
    <w:semiHidden/>
    <w:unhideWhenUsed/>
    <w:rsid w:val="00C91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lest.12139"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2371</Words>
  <Characters>13519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nurin athira</dc:creator>
  <cp:keywords/>
  <dc:description/>
  <cp:lastModifiedBy>nurin athira</cp:lastModifiedBy>
  <cp:revision>2</cp:revision>
  <dcterms:created xsi:type="dcterms:W3CDTF">2022-05-06T20:07:00Z</dcterms:created>
  <dcterms:modified xsi:type="dcterms:W3CDTF">2022-05-06T20:07:00Z</dcterms:modified>
</cp:coreProperties>
</file>