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1F0821" w14:textId="298C8FB7" w:rsidR="002B4A8B" w:rsidRPr="002B4A8B" w:rsidRDefault="001502EA" w:rsidP="001502EA">
      <w:pPr>
        <w:spacing w:before="120" w:after="120" w:line="480" w:lineRule="auto"/>
        <w:jc w:val="center"/>
        <w:rPr>
          <w:rFonts w:ascii="Arial" w:hAnsi="Arial" w:cs="Arial"/>
          <w:sz w:val="22"/>
          <w:szCs w:val="22"/>
        </w:rPr>
      </w:pPr>
      <w:r>
        <w:rPr>
          <w:noProof/>
        </w:rPr>
        <w:drawing>
          <wp:inline distT="0" distB="0" distL="0" distR="0" wp14:anchorId="283984AC" wp14:editId="163926A7">
            <wp:extent cx="2432050" cy="1351139"/>
            <wp:effectExtent l="0" t="0" r="6350" b="1905"/>
            <wp:docPr id="20229118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450386" cy="1361326"/>
                    </a:xfrm>
                    <a:prstGeom prst="rect">
                      <a:avLst/>
                    </a:prstGeom>
                    <a:noFill/>
                    <a:ln>
                      <a:noFill/>
                    </a:ln>
                  </pic:spPr>
                </pic:pic>
              </a:graphicData>
            </a:graphic>
          </wp:inline>
        </w:drawing>
      </w:r>
    </w:p>
    <w:p w14:paraId="3987C3A3" w14:textId="77777777" w:rsidR="002B4A8B" w:rsidRPr="001502EA" w:rsidRDefault="002B4A8B" w:rsidP="002B4A8B">
      <w:pPr>
        <w:spacing w:before="120" w:after="120" w:line="480" w:lineRule="auto"/>
        <w:jc w:val="center"/>
        <w:rPr>
          <w:rFonts w:ascii="Arial" w:hAnsi="Arial" w:cs="Arial"/>
          <w:b/>
          <w:bCs/>
          <w:sz w:val="28"/>
          <w:szCs w:val="28"/>
        </w:rPr>
      </w:pPr>
      <w:r w:rsidRPr="001502EA">
        <w:rPr>
          <w:rFonts w:ascii="Arial" w:hAnsi="Arial" w:cs="Arial"/>
          <w:b/>
          <w:bCs/>
          <w:sz w:val="28"/>
          <w:szCs w:val="28"/>
        </w:rPr>
        <w:t>MSc Public Health and Social Care in Practice</w:t>
      </w:r>
    </w:p>
    <w:p w14:paraId="28692267" w14:textId="77777777" w:rsidR="002B4A8B" w:rsidRPr="001502EA" w:rsidRDefault="002B4A8B" w:rsidP="002B4A8B">
      <w:pPr>
        <w:spacing w:before="120" w:after="120" w:line="480" w:lineRule="auto"/>
        <w:jc w:val="center"/>
        <w:rPr>
          <w:rFonts w:ascii="Arial" w:hAnsi="Arial" w:cs="Arial"/>
          <w:b/>
          <w:bCs/>
          <w:sz w:val="28"/>
          <w:szCs w:val="28"/>
        </w:rPr>
      </w:pPr>
      <w:r w:rsidRPr="001502EA">
        <w:rPr>
          <w:rFonts w:ascii="Arial" w:hAnsi="Arial" w:cs="Arial"/>
          <w:b/>
          <w:bCs/>
          <w:sz w:val="28"/>
          <w:szCs w:val="28"/>
        </w:rPr>
        <w:t>LCHS7002 Health Care System Organisation and Leadership</w:t>
      </w:r>
    </w:p>
    <w:p w14:paraId="64598941" w14:textId="77777777" w:rsidR="002B4A8B" w:rsidRPr="001502EA" w:rsidRDefault="002B4A8B" w:rsidP="002B4A8B">
      <w:pPr>
        <w:spacing w:before="120" w:after="120" w:line="480" w:lineRule="auto"/>
        <w:jc w:val="center"/>
        <w:rPr>
          <w:rFonts w:ascii="Arial" w:hAnsi="Arial" w:cs="Arial"/>
          <w:b/>
          <w:bCs/>
        </w:rPr>
      </w:pPr>
    </w:p>
    <w:p w14:paraId="59F37986" w14:textId="77777777" w:rsidR="002B4A8B" w:rsidRPr="001502EA" w:rsidRDefault="002B4A8B" w:rsidP="002B4A8B">
      <w:pPr>
        <w:spacing w:before="120" w:after="120" w:line="480" w:lineRule="auto"/>
        <w:jc w:val="center"/>
        <w:rPr>
          <w:rFonts w:ascii="Arial" w:hAnsi="Arial" w:cs="Arial"/>
          <w:b/>
          <w:bCs/>
        </w:rPr>
      </w:pPr>
    </w:p>
    <w:p w14:paraId="6C89EDA2" w14:textId="77777777" w:rsidR="002B4A8B" w:rsidRPr="001502EA" w:rsidRDefault="002B4A8B" w:rsidP="002B4A8B">
      <w:pPr>
        <w:spacing w:before="120" w:after="120" w:line="480" w:lineRule="auto"/>
        <w:jc w:val="center"/>
        <w:rPr>
          <w:rFonts w:ascii="Arial" w:hAnsi="Arial" w:cs="Arial"/>
          <w:b/>
          <w:bCs/>
        </w:rPr>
      </w:pPr>
      <w:r w:rsidRPr="001502EA">
        <w:rPr>
          <w:rFonts w:ascii="Arial" w:hAnsi="Arial" w:cs="Arial"/>
          <w:b/>
          <w:bCs/>
        </w:rPr>
        <w:t>Case Study Analysis Report</w:t>
      </w:r>
    </w:p>
    <w:p w14:paraId="026E4589" w14:textId="77777777" w:rsidR="002B4A8B" w:rsidRPr="001502EA" w:rsidRDefault="002B4A8B" w:rsidP="002B4A8B">
      <w:pPr>
        <w:spacing w:before="120" w:after="120" w:line="480" w:lineRule="auto"/>
        <w:jc w:val="center"/>
        <w:rPr>
          <w:rFonts w:ascii="Arial" w:hAnsi="Arial" w:cs="Arial"/>
          <w:b/>
          <w:bCs/>
        </w:rPr>
      </w:pPr>
      <w:r w:rsidRPr="001502EA">
        <w:rPr>
          <w:rFonts w:ascii="Arial" w:hAnsi="Arial" w:cs="Arial"/>
          <w:b/>
          <w:bCs/>
        </w:rPr>
        <w:t>Case Study 4: Kota Medical College, India</w:t>
      </w:r>
    </w:p>
    <w:p w14:paraId="5B6E389D" w14:textId="77777777" w:rsidR="002B4A8B" w:rsidRPr="001502EA" w:rsidRDefault="002B4A8B" w:rsidP="002B4A8B">
      <w:pPr>
        <w:spacing w:before="120" w:after="120" w:line="480" w:lineRule="auto"/>
        <w:jc w:val="center"/>
        <w:rPr>
          <w:rFonts w:ascii="Arial" w:hAnsi="Arial" w:cs="Arial"/>
          <w:b/>
          <w:bCs/>
        </w:rPr>
      </w:pPr>
    </w:p>
    <w:p w14:paraId="2E7EC072" w14:textId="77777777" w:rsidR="002B4A8B" w:rsidRPr="001502EA" w:rsidRDefault="002B4A8B" w:rsidP="002B4A8B">
      <w:pPr>
        <w:spacing w:before="120" w:after="120" w:line="480" w:lineRule="auto"/>
        <w:jc w:val="center"/>
        <w:rPr>
          <w:rFonts w:ascii="Arial" w:hAnsi="Arial" w:cs="Arial"/>
          <w:b/>
          <w:bCs/>
        </w:rPr>
      </w:pPr>
    </w:p>
    <w:p w14:paraId="726E6798" w14:textId="77777777" w:rsidR="001502EA" w:rsidRPr="001502EA" w:rsidRDefault="001502EA" w:rsidP="001502EA">
      <w:pPr>
        <w:spacing w:before="120" w:after="120" w:line="480" w:lineRule="auto"/>
        <w:jc w:val="center"/>
        <w:rPr>
          <w:rFonts w:ascii="Arial" w:hAnsi="Arial" w:cs="Arial"/>
          <w:b/>
          <w:bCs/>
        </w:rPr>
      </w:pPr>
      <w:r w:rsidRPr="001502EA">
        <w:rPr>
          <w:rFonts w:ascii="Arial" w:hAnsi="Arial" w:cs="Arial"/>
          <w:b/>
          <w:bCs/>
        </w:rPr>
        <w:t xml:space="preserve">Student Name: Raj </w:t>
      </w:r>
      <w:proofErr w:type="spellStart"/>
      <w:r w:rsidRPr="001502EA">
        <w:rPr>
          <w:rFonts w:ascii="Arial" w:hAnsi="Arial" w:cs="Arial"/>
          <w:b/>
          <w:bCs/>
        </w:rPr>
        <w:t>Nileshbhai</w:t>
      </w:r>
      <w:proofErr w:type="spellEnd"/>
      <w:r w:rsidRPr="001502EA">
        <w:rPr>
          <w:rFonts w:ascii="Arial" w:hAnsi="Arial" w:cs="Arial"/>
          <w:b/>
          <w:bCs/>
        </w:rPr>
        <w:t xml:space="preserve"> Panchal </w:t>
      </w:r>
    </w:p>
    <w:p w14:paraId="10892FF4" w14:textId="77777777" w:rsidR="001502EA" w:rsidRPr="001502EA" w:rsidRDefault="001502EA" w:rsidP="001502EA">
      <w:pPr>
        <w:spacing w:before="120" w:after="120" w:line="480" w:lineRule="auto"/>
        <w:jc w:val="center"/>
        <w:rPr>
          <w:rFonts w:ascii="Arial" w:hAnsi="Arial" w:cs="Arial"/>
          <w:b/>
          <w:bCs/>
        </w:rPr>
      </w:pPr>
      <w:r w:rsidRPr="001502EA">
        <w:rPr>
          <w:rFonts w:ascii="Arial" w:hAnsi="Arial" w:cs="Arial"/>
          <w:b/>
          <w:bCs/>
        </w:rPr>
        <w:t>Student Number: 2539936</w:t>
      </w:r>
    </w:p>
    <w:p w14:paraId="2B4278E4" w14:textId="77777777" w:rsidR="002B4A8B" w:rsidRPr="001502EA" w:rsidRDefault="002B4A8B" w:rsidP="002B4A8B">
      <w:pPr>
        <w:spacing w:before="120" w:after="120" w:line="480" w:lineRule="auto"/>
        <w:jc w:val="center"/>
        <w:rPr>
          <w:rFonts w:ascii="Arial" w:hAnsi="Arial" w:cs="Arial"/>
          <w:b/>
          <w:bCs/>
        </w:rPr>
      </w:pPr>
    </w:p>
    <w:p w14:paraId="30248418" w14:textId="77777777" w:rsidR="002B4A8B" w:rsidRPr="001502EA" w:rsidRDefault="002B4A8B" w:rsidP="002B4A8B">
      <w:pPr>
        <w:spacing w:before="120" w:after="120" w:line="480" w:lineRule="auto"/>
        <w:jc w:val="center"/>
        <w:rPr>
          <w:rFonts w:ascii="Arial" w:hAnsi="Arial" w:cs="Arial"/>
          <w:b/>
          <w:bCs/>
        </w:rPr>
      </w:pPr>
    </w:p>
    <w:p w14:paraId="03EC4837" w14:textId="651B6CE8" w:rsidR="002B4A8B" w:rsidRDefault="002B4A8B" w:rsidP="002B4A8B">
      <w:pPr>
        <w:spacing w:before="120" w:after="120" w:line="480" w:lineRule="auto"/>
        <w:jc w:val="center"/>
      </w:pPr>
      <w:r w:rsidRPr="001502EA">
        <w:rPr>
          <w:rFonts w:ascii="Arial" w:hAnsi="Arial" w:cs="Arial"/>
          <w:b/>
          <w:bCs/>
        </w:rPr>
        <w:t>Word Count:</w:t>
      </w:r>
      <w:r w:rsidR="00717EEE" w:rsidRPr="001502EA">
        <w:rPr>
          <w:rFonts w:ascii="Arial" w:hAnsi="Arial" w:cs="Arial"/>
          <w:b/>
          <w:bCs/>
        </w:rPr>
        <w:t xml:space="preserve"> 5084</w:t>
      </w:r>
      <w:r>
        <w:br w:type="page"/>
      </w:r>
    </w:p>
    <w:p w14:paraId="1A9B2200" w14:textId="77777777" w:rsidR="002B4A8B" w:rsidRPr="002B4A8B" w:rsidRDefault="002B4A8B" w:rsidP="002B4A8B">
      <w:pPr>
        <w:spacing w:before="120" w:after="120" w:line="480" w:lineRule="auto"/>
        <w:jc w:val="center"/>
        <w:rPr>
          <w:rFonts w:ascii="Arial" w:eastAsia="Arial" w:hAnsi="Arial" w:cs="Arial"/>
          <w:b/>
          <w:bCs/>
          <w:sz w:val="22"/>
          <w:szCs w:val="22"/>
        </w:rPr>
      </w:pPr>
      <w:r w:rsidRPr="002B4A8B">
        <w:rPr>
          <w:rFonts w:ascii="Arial" w:eastAsia="Arial" w:hAnsi="Arial" w:cs="Arial"/>
          <w:b/>
          <w:bCs/>
          <w:sz w:val="22"/>
          <w:szCs w:val="22"/>
        </w:rPr>
        <w:lastRenderedPageBreak/>
        <w:t>Table of Contents</w:t>
      </w:r>
    </w:p>
    <w:sdt>
      <w:sdtPr>
        <w:rPr>
          <w:rFonts w:ascii="Arial" w:hAnsi="Arial" w:cs="Arial"/>
          <w:sz w:val="22"/>
          <w:szCs w:val="22"/>
        </w:rPr>
        <w:id w:val="1126829293"/>
        <w:docPartObj>
          <w:docPartGallery w:val="Table of Contents"/>
          <w:docPartUnique/>
        </w:docPartObj>
      </w:sdtPr>
      <w:sdtContent>
        <w:p w14:paraId="5A8B87B5" w14:textId="010ABF15" w:rsidR="002B4A8B" w:rsidRPr="002B4A8B" w:rsidRDefault="002B4A8B">
          <w:pPr>
            <w:pStyle w:val="TOC1"/>
            <w:tabs>
              <w:tab w:val="right" w:leader="dot" w:pos="9350"/>
            </w:tabs>
            <w:rPr>
              <w:rFonts w:ascii="Arial" w:hAnsi="Arial" w:cs="Arial"/>
              <w:noProof/>
              <w:sz w:val="22"/>
              <w:szCs w:val="22"/>
            </w:rPr>
          </w:pPr>
          <w:r w:rsidRPr="002B4A8B">
            <w:rPr>
              <w:rFonts w:ascii="Arial" w:hAnsi="Arial" w:cs="Arial"/>
              <w:sz w:val="22"/>
              <w:szCs w:val="22"/>
            </w:rPr>
            <w:fldChar w:fldCharType="begin"/>
          </w:r>
          <w:r w:rsidRPr="002B4A8B">
            <w:rPr>
              <w:rFonts w:ascii="Arial" w:hAnsi="Arial" w:cs="Arial"/>
              <w:sz w:val="22"/>
              <w:szCs w:val="22"/>
            </w:rPr>
            <w:instrText xml:space="preserve"> TOC \h \u \z \t "Heading 1,1,Heading 2,2,Heading 3,3,Heading 4,4,Heading 5,5,Heading 6,6,"</w:instrText>
          </w:r>
          <w:r w:rsidRPr="002B4A8B">
            <w:rPr>
              <w:rFonts w:ascii="Arial" w:hAnsi="Arial" w:cs="Arial"/>
              <w:sz w:val="22"/>
              <w:szCs w:val="22"/>
            </w:rPr>
            <w:fldChar w:fldCharType="separate"/>
          </w:r>
          <w:hyperlink w:anchor="_Toc237018664" w:history="1">
            <w:r w:rsidRPr="002B4A8B">
              <w:rPr>
                <w:rStyle w:val="Hyperlink"/>
                <w:rFonts w:ascii="Arial" w:hAnsi="Arial" w:cs="Arial"/>
                <w:noProof/>
                <w:sz w:val="22"/>
                <w:szCs w:val="22"/>
              </w:rPr>
              <w:t>Introduction</w:t>
            </w:r>
            <w:r w:rsidRPr="002B4A8B">
              <w:rPr>
                <w:rFonts w:ascii="Arial" w:hAnsi="Arial" w:cs="Arial"/>
                <w:noProof/>
                <w:webHidden/>
                <w:sz w:val="22"/>
                <w:szCs w:val="22"/>
              </w:rPr>
              <w:tab/>
            </w:r>
            <w:r w:rsidRPr="002B4A8B">
              <w:rPr>
                <w:rFonts w:ascii="Arial" w:hAnsi="Arial" w:cs="Arial"/>
                <w:noProof/>
                <w:webHidden/>
                <w:sz w:val="22"/>
                <w:szCs w:val="22"/>
              </w:rPr>
              <w:fldChar w:fldCharType="begin"/>
            </w:r>
            <w:r w:rsidRPr="002B4A8B">
              <w:rPr>
                <w:rFonts w:ascii="Arial" w:hAnsi="Arial" w:cs="Arial"/>
                <w:noProof/>
                <w:webHidden/>
                <w:sz w:val="22"/>
                <w:szCs w:val="22"/>
              </w:rPr>
              <w:instrText xml:space="preserve"> PAGEREF _Toc237018664 \h </w:instrText>
            </w:r>
            <w:r w:rsidRPr="002B4A8B">
              <w:rPr>
                <w:rFonts w:ascii="Arial" w:hAnsi="Arial" w:cs="Arial"/>
                <w:noProof/>
                <w:webHidden/>
                <w:sz w:val="22"/>
                <w:szCs w:val="22"/>
              </w:rPr>
            </w:r>
            <w:r w:rsidRPr="002B4A8B">
              <w:rPr>
                <w:rFonts w:ascii="Arial" w:hAnsi="Arial" w:cs="Arial"/>
                <w:noProof/>
                <w:webHidden/>
                <w:sz w:val="22"/>
                <w:szCs w:val="22"/>
              </w:rPr>
              <w:fldChar w:fldCharType="separate"/>
            </w:r>
            <w:r w:rsidRPr="002B4A8B">
              <w:rPr>
                <w:rFonts w:ascii="Arial" w:hAnsi="Arial" w:cs="Arial"/>
                <w:noProof/>
                <w:webHidden/>
                <w:sz w:val="22"/>
                <w:szCs w:val="22"/>
              </w:rPr>
              <w:t>3</w:t>
            </w:r>
            <w:r w:rsidRPr="002B4A8B">
              <w:rPr>
                <w:rFonts w:ascii="Arial" w:hAnsi="Arial" w:cs="Arial"/>
                <w:noProof/>
                <w:webHidden/>
                <w:sz w:val="22"/>
                <w:szCs w:val="22"/>
              </w:rPr>
              <w:fldChar w:fldCharType="end"/>
            </w:r>
          </w:hyperlink>
        </w:p>
        <w:p w14:paraId="35E206D8" w14:textId="6ECA368D" w:rsidR="002B4A8B" w:rsidRPr="002B4A8B" w:rsidRDefault="002B4A8B">
          <w:pPr>
            <w:pStyle w:val="TOC1"/>
            <w:tabs>
              <w:tab w:val="right" w:leader="dot" w:pos="9350"/>
            </w:tabs>
            <w:rPr>
              <w:rFonts w:ascii="Arial" w:hAnsi="Arial" w:cs="Arial"/>
              <w:noProof/>
              <w:sz w:val="22"/>
              <w:szCs w:val="22"/>
            </w:rPr>
          </w:pPr>
          <w:hyperlink w:anchor="_Toc237018665" w:history="1">
            <w:r w:rsidRPr="002B4A8B">
              <w:rPr>
                <w:rStyle w:val="Hyperlink"/>
                <w:rFonts w:ascii="Arial" w:hAnsi="Arial" w:cs="Arial"/>
                <w:noProof/>
                <w:sz w:val="22"/>
                <w:szCs w:val="22"/>
              </w:rPr>
              <w:t>Main Body and Analysis</w:t>
            </w:r>
            <w:r w:rsidRPr="002B4A8B">
              <w:rPr>
                <w:rFonts w:ascii="Arial" w:hAnsi="Arial" w:cs="Arial"/>
                <w:noProof/>
                <w:webHidden/>
                <w:sz w:val="22"/>
                <w:szCs w:val="22"/>
              </w:rPr>
              <w:tab/>
            </w:r>
            <w:r w:rsidRPr="002B4A8B">
              <w:rPr>
                <w:rFonts w:ascii="Arial" w:hAnsi="Arial" w:cs="Arial"/>
                <w:noProof/>
                <w:webHidden/>
                <w:sz w:val="22"/>
                <w:szCs w:val="22"/>
              </w:rPr>
              <w:fldChar w:fldCharType="begin"/>
            </w:r>
            <w:r w:rsidRPr="002B4A8B">
              <w:rPr>
                <w:rFonts w:ascii="Arial" w:hAnsi="Arial" w:cs="Arial"/>
                <w:noProof/>
                <w:webHidden/>
                <w:sz w:val="22"/>
                <w:szCs w:val="22"/>
              </w:rPr>
              <w:instrText xml:space="preserve"> PAGEREF _Toc237018665 \h </w:instrText>
            </w:r>
            <w:r w:rsidRPr="002B4A8B">
              <w:rPr>
                <w:rFonts w:ascii="Arial" w:hAnsi="Arial" w:cs="Arial"/>
                <w:noProof/>
                <w:webHidden/>
                <w:sz w:val="22"/>
                <w:szCs w:val="22"/>
              </w:rPr>
            </w:r>
            <w:r w:rsidRPr="002B4A8B">
              <w:rPr>
                <w:rFonts w:ascii="Arial" w:hAnsi="Arial" w:cs="Arial"/>
                <w:noProof/>
                <w:webHidden/>
                <w:sz w:val="22"/>
                <w:szCs w:val="22"/>
              </w:rPr>
              <w:fldChar w:fldCharType="separate"/>
            </w:r>
            <w:r w:rsidRPr="002B4A8B">
              <w:rPr>
                <w:rFonts w:ascii="Arial" w:hAnsi="Arial" w:cs="Arial"/>
                <w:noProof/>
                <w:webHidden/>
                <w:sz w:val="22"/>
                <w:szCs w:val="22"/>
              </w:rPr>
              <w:t>4</w:t>
            </w:r>
            <w:r w:rsidRPr="002B4A8B">
              <w:rPr>
                <w:rFonts w:ascii="Arial" w:hAnsi="Arial" w:cs="Arial"/>
                <w:noProof/>
                <w:webHidden/>
                <w:sz w:val="22"/>
                <w:szCs w:val="22"/>
              </w:rPr>
              <w:fldChar w:fldCharType="end"/>
            </w:r>
          </w:hyperlink>
        </w:p>
        <w:p w14:paraId="3B2D6004" w14:textId="3093A4BC" w:rsidR="002B4A8B" w:rsidRPr="002B4A8B" w:rsidRDefault="002B4A8B">
          <w:pPr>
            <w:pStyle w:val="TOC2"/>
            <w:tabs>
              <w:tab w:val="right" w:leader="dot" w:pos="9350"/>
            </w:tabs>
            <w:rPr>
              <w:rFonts w:ascii="Arial" w:hAnsi="Arial" w:cs="Arial"/>
              <w:noProof/>
              <w:sz w:val="22"/>
              <w:szCs w:val="22"/>
            </w:rPr>
          </w:pPr>
          <w:hyperlink w:anchor="_Toc237018666" w:history="1">
            <w:r w:rsidRPr="002B4A8B">
              <w:rPr>
                <w:rStyle w:val="Hyperlink"/>
                <w:rFonts w:ascii="Arial" w:hAnsi="Arial" w:cs="Arial"/>
                <w:noProof/>
                <w:sz w:val="22"/>
                <w:szCs w:val="22"/>
              </w:rPr>
              <w:t>a. Identifying the Problem and Setting the System Context – Applying Systems Thinking and the Rich Picture</w:t>
            </w:r>
            <w:r w:rsidRPr="002B4A8B">
              <w:rPr>
                <w:rFonts w:ascii="Arial" w:hAnsi="Arial" w:cs="Arial"/>
                <w:noProof/>
                <w:webHidden/>
                <w:sz w:val="22"/>
                <w:szCs w:val="22"/>
              </w:rPr>
              <w:tab/>
            </w:r>
            <w:r w:rsidRPr="002B4A8B">
              <w:rPr>
                <w:rFonts w:ascii="Arial" w:hAnsi="Arial" w:cs="Arial"/>
                <w:noProof/>
                <w:webHidden/>
                <w:sz w:val="22"/>
                <w:szCs w:val="22"/>
              </w:rPr>
              <w:fldChar w:fldCharType="begin"/>
            </w:r>
            <w:r w:rsidRPr="002B4A8B">
              <w:rPr>
                <w:rFonts w:ascii="Arial" w:hAnsi="Arial" w:cs="Arial"/>
                <w:noProof/>
                <w:webHidden/>
                <w:sz w:val="22"/>
                <w:szCs w:val="22"/>
              </w:rPr>
              <w:instrText xml:space="preserve"> PAGEREF _Toc237018666 \h </w:instrText>
            </w:r>
            <w:r w:rsidRPr="002B4A8B">
              <w:rPr>
                <w:rFonts w:ascii="Arial" w:hAnsi="Arial" w:cs="Arial"/>
                <w:noProof/>
                <w:webHidden/>
                <w:sz w:val="22"/>
                <w:szCs w:val="22"/>
              </w:rPr>
            </w:r>
            <w:r w:rsidRPr="002B4A8B">
              <w:rPr>
                <w:rFonts w:ascii="Arial" w:hAnsi="Arial" w:cs="Arial"/>
                <w:noProof/>
                <w:webHidden/>
                <w:sz w:val="22"/>
                <w:szCs w:val="22"/>
              </w:rPr>
              <w:fldChar w:fldCharType="separate"/>
            </w:r>
            <w:r w:rsidRPr="002B4A8B">
              <w:rPr>
                <w:rFonts w:ascii="Arial" w:hAnsi="Arial" w:cs="Arial"/>
                <w:noProof/>
                <w:webHidden/>
                <w:sz w:val="22"/>
                <w:szCs w:val="22"/>
              </w:rPr>
              <w:t>4</w:t>
            </w:r>
            <w:r w:rsidRPr="002B4A8B">
              <w:rPr>
                <w:rFonts w:ascii="Arial" w:hAnsi="Arial" w:cs="Arial"/>
                <w:noProof/>
                <w:webHidden/>
                <w:sz w:val="22"/>
                <w:szCs w:val="22"/>
              </w:rPr>
              <w:fldChar w:fldCharType="end"/>
            </w:r>
          </w:hyperlink>
        </w:p>
        <w:p w14:paraId="56C9413C" w14:textId="045C0C53" w:rsidR="002B4A8B" w:rsidRPr="002B4A8B" w:rsidRDefault="002B4A8B">
          <w:pPr>
            <w:pStyle w:val="TOC2"/>
            <w:tabs>
              <w:tab w:val="right" w:leader="dot" w:pos="9350"/>
            </w:tabs>
            <w:rPr>
              <w:rFonts w:ascii="Arial" w:hAnsi="Arial" w:cs="Arial"/>
              <w:noProof/>
              <w:sz w:val="22"/>
              <w:szCs w:val="22"/>
            </w:rPr>
          </w:pPr>
          <w:hyperlink w:anchor="_Toc237018667" w:history="1">
            <w:r w:rsidRPr="002B4A8B">
              <w:rPr>
                <w:rStyle w:val="Hyperlink"/>
                <w:rFonts w:ascii="Arial" w:hAnsi="Arial" w:cs="Arial"/>
                <w:noProof/>
                <w:sz w:val="22"/>
                <w:szCs w:val="22"/>
              </w:rPr>
              <w:t>b. Centralisation or Decentralisation within the Case Study</w:t>
            </w:r>
            <w:r w:rsidRPr="002B4A8B">
              <w:rPr>
                <w:rFonts w:ascii="Arial" w:hAnsi="Arial" w:cs="Arial"/>
                <w:noProof/>
                <w:webHidden/>
                <w:sz w:val="22"/>
                <w:szCs w:val="22"/>
              </w:rPr>
              <w:tab/>
            </w:r>
            <w:r w:rsidRPr="002B4A8B">
              <w:rPr>
                <w:rFonts w:ascii="Arial" w:hAnsi="Arial" w:cs="Arial"/>
                <w:noProof/>
                <w:webHidden/>
                <w:sz w:val="22"/>
                <w:szCs w:val="22"/>
              </w:rPr>
              <w:fldChar w:fldCharType="begin"/>
            </w:r>
            <w:r w:rsidRPr="002B4A8B">
              <w:rPr>
                <w:rFonts w:ascii="Arial" w:hAnsi="Arial" w:cs="Arial"/>
                <w:noProof/>
                <w:webHidden/>
                <w:sz w:val="22"/>
                <w:szCs w:val="22"/>
              </w:rPr>
              <w:instrText xml:space="preserve"> PAGEREF _Toc237018667 \h </w:instrText>
            </w:r>
            <w:r w:rsidRPr="002B4A8B">
              <w:rPr>
                <w:rFonts w:ascii="Arial" w:hAnsi="Arial" w:cs="Arial"/>
                <w:noProof/>
                <w:webHidden/>
                <w:sz w:val="22"/>
                <w:szCs w:val="22"/>
              </w:rPr>
            </w:r>
            <w:r w:rsidRPr="002B4A8B">
              <w:rPr>
                <w:rFonts w:ascii="Arial" w:hAnsi="Arial" w:cs="Arial"/>
                <w:noProof/>
                <w:webHidden/>
                <w:sz w:val="22"/>
                <w:szCs w:val="22"/>
              </w:rPr>
              <w:fldChar w:fldCharType="separate"/>
            </w:r>
            <w:r w:rsidRPr="002B4A8B">
              <w:rPr>
                <w:rFonts w:ascii="Arial" w:hAnsi="Arial" w:cs="Arial"/>
                <w:noProof/>
                <w:webHidden/>
                <w:sz w:val="22"/>
                <w:szCs w:val="22"/>
              </w:rPr>
              <w:t>7</w:t>
            </w:r>
            <w:r w:rsidRPr="002B4A8B">
              <w:rPr>
                <w:rFonts w:ascii="Arial" w:hAnsi="Arial" w:cs="Arial"/>
                <w:noProof/>
                <w:webHidden/>
                <w:sz w:val="22"/>
                <w:szCs w:val="22"/>
              </w:rPr>
              <w:fldChar w:fldCharType="end"/>
            </w:r>
          </w:hyperlink>
        </w:p>
        <w:p w14:paraId="01D87517" w14:textId="5232F361" w:rsidR="002B4A8B" w:rsidRPr="002B4A8B" w:rsidRDefault="002B4A8B">
          <w:pPr>
            <w:pStyle w:val="TOC3"/>
            <w:tabs>
              <w:tab w:val="right" w:leader="dot" w:pos="9350"/>
            </w:tabs>
            <w:rPr>
              <w:rFonts w:ascii="Arial" w:hAnsi="Arial" w:cs="Arial"/>
              <w:noProof/>
              <w:sz w:val="22"/>
              <w:szCs w:val="22"/>
            </w:rPr>
          </w:pPr>
          <w:hyperlink w:anchor="_Toc237018668" w:history="1">
            <w:r w:rsidRPr="002B4A8B">
              <w:rPr>
                <w:rStyle w:val="Hyperlink"/>
                <w:rFonts w:ascii="Arial" w:hAnsi="Arial" w:cs="Arial"/>
                <w:noProof/>
                <w:sz w:val="22"/>
                <w:szCs w:val="22"/>
              </w:rPr>
              <w:t>Centralised Features and Example</w:t>
            </w:r>
            <w:r w:rsidRPr="002B4A8B">
              <w:rPr>
                <w:rFonts w:ascii="Arial" w:hAnsi="Arial" w:cs="Arial"/>
                <w:noProof/>
                <w:webHidden/>
                <w:sz w:val="22"/>
                <w:szCs w:val="22"/>
              </w:rPr>
              <w:tab/>
            </w:r>
            <w:r w:rsidRPr="002B4A8B">
              <w:rPr>
                <w:rFonts w:ascii="Arial" w:hAnsi="Arial" w:cs="Arial"/>
                <w:noProof/>
                <w:webHidden/>
                <w:sz w:val="22"/>
                <w:szCs w:val="22"/>
              </w:rPr>
              <w:fldChar w:fldCharType="begin"/>
            </w:r>
            <w:r w:rsidRPr="002B4A8B">
              <w:rPr>
                <w:rFonts w:ascii="Arial" w:hAnsi="Arial" w:cs="Arial"/>
                <w:noProof/>
                <w:webHidden/>
                <w:sz w:val="22"/>
                <w:szCs w:val="22"/>
              </w:rPr>
              <w:instrText xml:space="preserve"> PAGEREF _Toc237018668 \h </w:instrText>
            </w:r>
            <w:r w:rsidRPr="002B4A8B">
              <w:rPr>
                <w:rFonts w:ascii="Arial" w:hAnsi="Arial" w:cs="Arial"/>
                <w:noProof/>
                <w:webHidden/>
                <w:sz w:val="22"/>
                <w:szCs w:val="22"/>
              </w:rPr>
            </w:r>
            <w:r w:rsidRPr="002B4A8B">
              <w:rPr>
                <w:rFonts w:ascii="Arial" w:hAnsi="Arial" w:cs="Arial"/>
                <w:noProof/>
                <w:webHidden/>
                <w:sz w:val="22"/>
                <w:szCs w:val="22"/>
              </w:rPr>
              <w:fldChar w:fldCharType="separate"/>
            </w:r>
            <w:r w:rsidRPr="002B4A8B">
              <w:rPr>
                <w:rFonts w:ascii="Arial" w:hAnsi="Arial" w:cs="Arial"/>
                <w:noProof/>
                <w:webHidden/>
                <w:sz w:val="22"/>
                <w:szCs w:val="22"/>
              </w:rPr>
              <w:t>8</w:t>
            </w:r>
            <w:r w:rsidRPr="002B4A8B">
              <w:rPr>
                <w:rFonts w:ascii="Arial" w:hAnsi="Arial" w:cs="Arial"/>
                <w:noProof/>
                <w:webHidden/>
                <w:sz w:val="22"/>
                <w:szCs w:val="22"/>
              </w:rPr>
              <w:fldChar w:fldCharType="end"/>
            </w:r>
          </w:hyperlink>
        </w:p>
        <w:p w14:paraId="6810A21C" w14:textId="5095880B" w:rsidR="002B4A8B" w:rsidRPr="002B4A8B" w:rsidRDefault="002B4A8B">
          <w:pPr>
            <w:pStyle w:val="TOC3"/>
            <w:tabs>
              <w:tab w:val="right" w:leader="dot" w:pos="9350"/>
            </w:tabs>
            <w:rPr>
              <w:rFonts w:ascii="Arial" w:hAnsi="Arial" w:cs="Arial"/>
              <w:noProof/>
              <w:sz w:val="22"/>
              <w:szCs w:val="22"/>
            </w:rPr>
          </w:pPr>
          <w:hyperlink w:anchor="_Toc237018669" w:history="1">
            <w:r w:rsidRPr="002B4A8B">
              <w:rPr>
                <w:rStyle w:val="Hyperlink"/>
                <w:rFonts w:ascii="Arial" w:hAnsi="Arial" w:cs="Arial"/>
                <w:noProof/>
                <w:sz w:val="22"/>
                <w:szCs w:val="22"/>
              </w:rPr>
              <w:t>Decentralised Features and Example</w:t>
            </w:r>
            <w:r w:rsidRPr="002B4A8B">
              <w:rPr>
                <w:rFonts w:ascii="Arial" w:hAnsi="Arial" w:cs="Arial"/>
                <w:noProof/>
                <w:webHidden/>
                <w:sz w:val="22"/>
                <w:szCs w:val="22"/>
              </w:rPr>
              <w:tab/>
            </w:r>
            <w:r w:rsidRPr="002B4A8B">
              <w:rPr>
                <w:rFonts w:ascii="Arial" w:hAnsi="Arial" w:cs="Arial"/>
                <w:noProof/>
                <w:webHidden/>
                <w:sz w:val="22"/>
                <w:szCs w:val="22"/>
              </w:rPr>
              <w:fldChar w:fldCharType="begin"/>
            </w:r>
            <w:r w:rsidRPr="002B4A8B">
              <w:rPr>
                <w:rFonts w:ascii="Arial" w:hAnsi="Arial" w:cs="Arial"/>
                <w:noProof/>
                <w:webHidden/>
                <w:sz w:val="22"/>
                <w:szCs w:val="22"/>
              </w:rPr>
              <w:instrText xml:space="preserve"> PAGEREF _Toc237018669 \h </w:instrText>
            </w:r>
            <w:r w:rsidRPr="002B4A8B">
              <w:rPr>
                <w:rFonts w:ascii="Arial" w:hAnsi="Arial" w:cs="Arial"/>
                <w:noProof/>
                <w:webHidden/>
                <w:sz w:val="22"/>
                <w:szCs w:val="22"/>
              </w:rPr>
            </w:r>
            <w:r w:rsidRPr="002B4A8B">
              <w:rPr>
                <w:rFonts w:ascii="Arial" w:hAnsi="Arial" w:cs="Arial"/>
                <w:noProof/>
                <w:webHidden/>
                <w:sz w:val="22"/>
                <w:szCs w:val="22"/>
              </w:rPr>
              <w:fldChar w:fldCharType="separate"/>
            </w:r>
            <w:r w:rsidRPr="002B4A8B">
              <w:rPr>
                <w:rFonts w:ascii="Arial" w:hAnsi="Arial" w:cs="Arial"/>
                <w:noProof/>
                <w:webHidden/>
                <w:sz w:val="22"/>
                <w:szCs w:val="22"/>
              </w:rPr>
              <w:t>9</w:t>
            </w:r>
            <w:r w:rsidRPr="002B4A8B">
              <w:rPr>
                <w:rFonts w:ascii="Arial" w:hAnsi="Arial" w:cs="Arial"/>
                <w:noProof/>
                <w:webHidden/>
                <w:sz w:val="22"/>
                <w:szCs w:val="22"/>
              </w:rPr>
              <w:fldChar w:fldCharType="end"/>
            </w:r>
          </w:hyperlink>
        </w:p>
        <w:p w14:paraId="6127F333" w14:textId="0F528EFE" w:rsidR="002B4A8B" w:rsidRPr="002B4A8B" w:rsidRDefault="002B4A8B">
          <w:pPr>
            <w:pStyle w:val="TOC3"/>
            <w:tabs>
              <w:tab w:val="right" w:leader="dot" w:pos="9350"/>
            </w:tabs>
            <w:rPr>
              <w:rFonts w:ascii="Arial" w:hAnsi="Arial" w:cs="Arial"/>
              <w:noProof/>
              <w:sz w:val="22"/>
              <w:szCs w:val="22"/>
            </w:rPr>
          </w:pPr>
          <w:hyperlink w:anchor="_Toc237018670" w:history="1">
            <w:r w:rsidRPr="002B4A8B">
              <w:rPr>
                <w:rStyle w:val="Hyperlink"/>
                <w:rFonts w:ascii="Arial" w:hAnsi="Arial" w:cs="Arial"/>
                <w:noProof/>
                <w:sz w:val="22"/>
                <w:szCs w:val="22"/>
              </w:rPr>
              <w:t>Critical Analysis</w:t>
            </w:r>
            <w:r w:rsidRPr="002B4A8B">
              <w:rPr>
                <w:rFonts w:ascii="Arial" w:hAnsi="Arial" w:cs="Arial"/>
                <w:noProof/>
                <w:webHidden/>
                <w:sz w:val="22"/>
                <w:szCs w:val="22"/>
              </w:rPr>
              <w:tab/>
            </w:r>
            <w:r w:rsidRPr="002B4A8B">
              <w:rPr>
                <w:rFonts w:ascii="Arial" w:hAnsi="Arial" w:cs="Arial"/>
                <w:noProof/>
                <w:webHidden/>
                <w:sz w:val="22"/>
                <w:szCs w:val="22"/>
              </w:rPr>
              <w:fldChar w:fldCharType="begin"/>
            </w:r>
            <w:r w:rsidRPr="002B4A8B">
              <w:rPr>
                <w:rFonts w:ascii="Arial" w:hAnsi="Arial" w:cs="Arial"/>
                <w:noProof/>
                <w:webHidden/>
                <w:sz w:val="22"/>
                <w:szCs w:val="22"/>
              </w:rPr>
              <w:instrText xml:space="preserve"> PAGEREF _Toc237018670 \h </w:instrText>
            </w:r>
            <w:r w:rsidRPr="002B4A8B">
              <w:rPr>
                <w:rFonts w:ascii="Arial" w:hAnsi="Arial" w:cs="Arial"/>
                <w:noProof/>
                <w:webHidden/>
                <w:sz w:val="22"/>
                <w:szCs w:val="22"/>
              </w:rPr>
            </w:r>
            <w:r w:rsidRPr="002B4A8B">
              <w:rPr>
                <w:rFonts w:ascii="Arial" w:hAnsi="Arial" w:cs="Arial"/>
                <w:noProof/>
                <w:webHidden/>
                <w:sz w:val="22"/>
                <w:szCs w:val="22"/>
              </w:rPr>
              <w:fldChar w:fldCharType="separate"/>
            </w:r>
            <w:r w:rsidRPr="002B4A8B">
              <w:rPr>
                <w:rFonts w:ascii="Arial" w:hAnsi="Arial" w:cs="Arial"/>
                <w:noProof/>
                <w:webHidden/>
                <w:sz w:val="22"/>
                <w:szCs w:val="22"/>
              </w:rPr>
              <w:t>9</w:t>
            </w:r>
            <w:r w:rsidRPr="002B4A8B">
              <w:rPr>
                <w:rFonts w:ascii="Arial" w:hAnsi="Arial" w:cs="Arial"/>
                <w:noProof/>
                <w:webHidden/>
                <w:sz w:val="22"/>
                <w:szCs w:val="22"/>
              </w:rPr>
              <w:fldChar w:fldCharType="end"/>
            </w:r>
          </w:hyperlink>
        </w:p>
        <w:p w14:paraId="54A9D301" w14:textId="2131EE18" w:rsidR="002B4A8B" w:rsidRPr="002B4A8B" w:rsidRDefault="002B4A8B">
          <w:pPr>
            <w:pStyle w:val="TOC2"/>
            <w:tabs>
              <w:tab w:val="right" w:leader="dot" w:pos="9350"/>
            </w:tabs>
            <w:rPr>
              <w:rFonts w:ascii="Arial" w:hAnsi="Arial" w:cs="Arial"/>
              <w:noProof/>
              <w:sz w:val="22"/>
              <w:szCs w:val="22"/>
            </w:rPr>
          </w:pPr>
          <w:hyperlink w:anchor="_Toc237018671" w:history="1">
            <w:r w:rsidRPr="002B4A8B">
              <w:rPr>
                <w:rStyle w:val="Hyperlink"/>
                <w:rFonts w:ascii="Arial" w:hAnsi="Arial" w:cs="Arial"/>
                <w:noProof/>
                <w:sz w:val="22"/>
                <w:szCs w:val="22"/>
              </w:rPr>
              <w:t>c. Leadership Theories and Application to the Case Study</w:t>
            </w:r>
            <w:r w:rsidRPr="002B4A8B">
              <w:rPr>
                <w:rFonts w:ascii="Arial" w:hAnsi="Arial" w:cs="Arial"/>
                <w:noProof/>
                <w:webHidden/>
                <w:sz w:val="22"/>
                <w:szCs w:val="22"/>
              </w:rPr>
              <w:tab/>
            </w:r>
            <w:r w:rsidRPr="002B4A8B">
              <w:rPr>
                <w:rFonts w:ascii="Arial" w:hAnsi="Arial" w:cs="Arial"/>
                <w:noProof/>
                <w:webHidden/>
                <w:sz w:val="22"/>
                <w:szCs w:val="22"/>
              </w:rPr>
              <w:fldChar w:fldCharType="begin"/>
            </w:r>
            <w:r w:rsidRPr="002B4A8B">
              <w:rPr>
                <w:rFonts w:ascii="Arial" w:hAnsi="Arial" w:cs="Arial"/>
                <w:noProof/>
                <w:webHidden/>
                <w:sz w:val="22"/>
                <w:szCs w:val="22"/>
              </w:rPr>
              <w:instrText xml:space="preserve"> PAGEREF _Toc237018671 \h </w:instrText>
            </w:r>
            <w:r w:rsidRPr="002B4A8B">
              <w:rPr>
                <w:rFonts w:ascii="Arial" w:hAnsi="Arial" w:cs="Arial"/>
                <w:noProof/>
                <w:webHidden/>
                <w:sz w:val="22"/>
                <w:szCs w:val="22"/>
              </w:rPr>
            </w:r>
            <w:r w:rsidRPr="002B4A8B">
              <w:rPr>
                <w:rFonts w:ascii="Arial" w:hAnsi="Arial" w:cs="Arial"/>
                <w:noProof/>
                <w:webHidden/>
                <w:sz w:val="22"/>
                <w:szCs w:val="22"/>
              </w:rPr>
              <w:fldChar w:fldCharType="separate"/>
            </w:r>
            <w:r w:rsidRPr="002B4A8B">
              <w:rPr>
                <w:rFonts w:ascii="Arial" w:hAnsi="Arial" w:cs="Arial"/>
                <w:noProof/>
                <w:webHidden/>
                <w:sz w:val="22"/>
                <w:szCs w:val="22"/>
              </w:rPr>
              <w:t>10</w:t>
            </w:r>
            <w:r w:rsidRPr="002B4A8B">
              <w:rPr>
                <w:rFonts w:ascii="Arial" w:hAnsi="Arial" w:cs="Arial"/>
                <w:noProof/>
                <w:webHidden/>
                <w:sz w:val="22"/>
                <w:szCs w:val="22"/>
              </w:rPr>
              <w:fldChar w:fldCharType="end"/>
            </w:r>
          </w:hyperlink>
        </w:p>
        <w:p w14:paraId="1210A149" w14:textId="79190DAE" w:rsidR="002B4A8B" w:rsidRPr="002B4A8B" w:rsidRDefault="002B4A8B">
          <w:pPr>
            <w:pStyle w:val="TOC3"/>
            <w:tabs>
              <w:tab w:val="right" w:leader="dot" w:pos="9350"/>
            </w:tabs>
            <w:rPr>
              <w:rFonts w:ascii="Arial" w:hAnsi="Arial" w:cs="Arial"/>
              <w:noProof/>
              <w:sz w:val="22"/>
              <w:szCs w:val="22"/>
            </w:rPr>
          </w:pPr>
          <w:hyperlink w:anchor="_Toc237018672" w:history="1">
            <w:r w:rsidRPr="002B4A8B">
              <w:rPr>
                <w:rStyle w:val="Hyperlink"/>
                <w:rFonts w:ascii="Arial" w:hAnsi="Arial" w:cs="Arial"/>
                <w:noProof/>
                <w:sz w:val="22"/>
                <w:szCs w:val="22"/>
              </w:rPr>
              <w:t>Transactional leadership</w:t>
            </w:r>
            <w:r w:rsidRPr="002B4A8B">
              <w:rPr>
                <w:rFonts w:ascii="Arial" w:hAnsi="Arial" w:cs="Arial"/>
                <w:noProof/>
                <w:webHidden/>
                <w:sz w:val="22"/>
                <w:szCs w:val="22"/>
              </w:rPr>
              <w:tab/>
            </w:r>
            <w:r w:rsidRPr="002B4A8B">
              <w:rPr>
                <w:rFonts w:ascii="Arial" w:hAnsi="Arial" w:cs="Arial"/>
                <w:noProof/>
                <w:webHidden/>
                <w:sz w:val="22"/>
                <w:szCs w:val="22"/>
              </w:rPr>
              <w:fldChar w:fldCharType="begin"/>
            </w:r>
            <w:r w:rsidRPr="002B4A8B">
              <w:rPr>
                <w:rFonts w:ascii="Arial" w:hAnsi="Arial" w:cs="Arial"/>
                <w:noProof/>
                <w:webHidden/>
                <w:sz w:val="22"/>
                <w:szCs w:val="22"/>
              </w:rPr>
              <w:instrText xml:space="preserve"> PAGEREF _Toc237018672 \h </w:instrText>
            </w:r>
            <w:r w:rsidRPr="002B4A8B">
              <w:rPr>
                <w:rFonts w:ascii="Arial" w:hAnsi="Arial" w:cs="Arial"/>
                <w:noProof/>
                <w:webHidden/>
                <w:sz w:val="22"/>
                <w:szCs w:val="22"/>
              </w:rPr>
            </w:r>
            <w:r w:rsidRPr="002B4A8B">
              <w:rPr>
                <w:rFonts w:ascii="Arial" w:hAnsi="Arial" w:cs="Arial"/>
                <w:noProof/>
                <w:webHidden/>
                <w:sz w:val="22"/>
                <w:szCs w:val="22"/>
              </w:rPr>
              <w:fldChar w:fldCharType="separate"/>
            </w:r>
            <w:r w:rsidRPr="002B4A8B">
              <w:rPr>
                <w:rFonts w:ascii="Arial" w:hAnsi="Arial" w:cs="Arial"/>
                <w:noProof/>
                <w:webHidden/>
                <w:sz w:val="22"/>
                <w:szCs w:val="22"/>
              </w:rPr>
              <w:t>10</w:t>
            </w:r>
            <w:r w:rsidRPr="002B4A8B">
              <w:rPr>
                <w:rFonts w:ascii="Arial" w:hAnsi="Arial" w:cs="Arial"/>
                <w:noProof/>
                <w:webHidden/>
                <w:sz w:val="22"/>
                <w:szCs w:val="22"/>
              </w:rPr>
              <w:fldChar w:fldCharType="end"/>
            </w:r>
          </w:hyperlink>
        </w:p>
        <w:p w14:paraId="230831C8" w14:textId="163577E4" w:rsidR="002B4A8B" w:rsidRPr="002B4A8B" w:rsidRDefault="002B4A8B">
          <w:pPr>
            <w:pStyle w:val="TOC3"/>
            <w:tabs>
              <w:tab w:val="right" w:leader="dot" w:pos="9350"/>
            </w:tabs>
            <w:rPr>
              <w:rFonts w:ascii="Arial" w:hAnsi="Arial" w:cs="Arial"/>
              <w:noProof/>
              <w:sz w:val="22"/>
              <w:szCs w:val="22"/>
            </w:rPr>
          </w:pPr>
          <w:hyperlink w:anchor="_Toc237018673" w:history="1">
            <w:r w:rsidRPr="002B4A8B">
              <w:rPr>
                <w:rStyle w:val="Hyperlink"/>
                <w:rFonts w:ascii="Arial" w:hAnsi="Arial" w:cs="Arial"/>
                <w:noProof/>
                <w:sz w:val="22"/>
                <w:szCs w:val="22"/>
              </w:rPr>
              <w:t>Transformational leadership</w:t>
            </w:r>
            <w:r w:rsidRPr="002B4A8B">
              <w:rPr>
                <w:rFonts w:ascii="Arial" w:hAnsi="Arial" w:cs="Arial"/>
                <w:noProof/>
                <w:webHidden/>
                <w:sz w:val="22"/>
                <w:szCs w:val="22"/>
              </w:rPr>
              <w:tab/>
            </w:r>
            <w:r w:rsidRPr="002B4A8B">
              <w:rPr>
                <w:rFonts w:ascii="Arial" w:hAnsi="Arial" w:cs="Arial"/>
                <w:noProof/>
                <w:webHidden/>
                <w:sz w:val="22"/>
                <w:szCs w:val="22"/>
              </w:rPr>
              <w:fldChar w:fldCharType="begin"/>
            </w:r>
            <w:r w:rsidRPr="002B4A8B">
              <w:rPr>
                <w:rFonts w:ascii="Arial" w:hAnsi="Arial" w:cs="Arial"/>
                <w:noProof/>
                <w:webHidden/>
                <w:sz w:val="22"/>
                <w:szCs w:val="22"/>
              </w:rPr>
              <w:instrText xml:space="preserve"> PAGEREF _Toc237018673 \h </w:instrText>
            </w:r>
            <w:r w:rsidRPr="002B4A8B">
              <w:rPr>
                <w:rFonts w:ascii="Arial" w:hAnsi="Arial" w:cs="Arial"/>
                <w:noProof/>
                <w:webHidden/>
                <w:sz w:val="22"/>
                <w:szCs w:val="22"/>
              </w:rPr>
            </w:r>
            <w:r w:rsidRPr="002B4A8B">
              <w:rPr>
                <w:rFonts w:ascii="Arial" w:hAnsi="Arial" w:cs="Arial"/>
                <w:noProof/>
                <w:webHidden/>
                <w:sz w:val="22"/>
                <w:szCs w:val="22"/>
              </w:rPr>
              <w:fldChar w:fldCharType="separate"/>
            </w:r>
            <w:r w:rsidRPr="002B4A8B">
              <w:rPr>
                <w:rFonts w:ascii="Arial" w:hAnsi="Arial" w:cs="Arial"/>
                <w:noProof/>
                <w:webHidden/>
                <w:sz w:val="22"/>
                <w:szCs w:val="22"/>
              </w:rPr>
              <w:t>11</w:t>
            </w:r>
            <w:r w:rsidRPr="002B4A8B">
              <w:rPr>
                <w:rFonts w:ascii="Arial" w:hAnsi="Arial" w:cs="Arial"/>
                <w:noProof/>
                <w:webHidden/>
                <w:sz w:val="22"/>
                <w:szCs w:val="22"/>
              </w:rPr>
              <w:fldChar w:fldCharType="end"/>
            </w:r>
          </w:hyperlink>
        </w:p>
        <w:p w14:paraId="0C6A8B58" w14:textId="513631FB" w:rsidR="002B4A8B" w:rsidRPr="002B4A8B" w:rsidRDefault="002B4A8B">
          <w:pPr>
            <w:pStyle w:val="TOC3"/>
            <w:tabs>
              <w:tab w:val="right" w:leader="dot" w:pos="9350"/>
            </w:tabs>
            <w:rPr>
              <w:rFonts w:ascii="Arial" w:hAnsi="Arial" w:cs="Arial"/>
              <w:noProof/>
              <w:sz w:val="22"/>
              <w:szCs w:val="22"/>
            </w:rPr>
          </w:pPr>
          <w:hyperlink w:anchor="_Toc237018674" w:history="1">
            <w:r w:rsidRPr="002B4A8B">
              <w:rPr>
                <w:rStyle w:val="Hyperlink"/>
                <w:rFonts w:ascii="Arial" w:hAnsi="Arial" w:cs="Arial"/>
                <w:noProof/>
                <w:sz w:val="22"/>
                <w:szCs w:val="22"/>
              </w:rPr>
              <w:t>Situational / Adaptive leadership</w:t>
            </w:r>
            <w:r w:rsidRPr="002B4A8B">
              <w:rPr>
                <w:rFonts w:ascii="Arial" w:hAnsi="Arial" w:cs="Arial"/>
                <w:noProof/>
                <w:webHidden/>
                <w:sz w:val="22"/>
                <w:szCs w:val="22"/>
              </w:rPr>
              <w:tab/>
            </w:r>
            <w:r w:rsidRPr="002B4A8B">
              <w:rPr>
                <w:rFonts w:ascii="Arial" w:hAnsi="Arial" w:cs="Arial"/>
                <w:noProof/>
                <w:webHidden/>
                <w:sz w:val="22"/>
                <w:szCs w:val="22"/>
              </w:rPr>
              <w:fldChar w:fldCharType="begin"/>
            </w:r>
            <w:r w:rsidRPr="002B4A8B">
              <w:rPr>
                <w:rFonts w:ascii="Arial" w:hAnsi="Arial" w:cs="Arial"/>
                <w:noProof/>
                <w:webHidden/>
                <w:sz w:val="22"/>
                <w:szCs w:val="22"/>
              </w:rPr>
              <w:instrText xml:space="preserve"> PAGEREF _Toc237018674 \h </w:instrText>
            </w:r>
            <w:r w:rsidRPr="002B4A8B">
              <w:rPr>
                <w:rFonts w:ascii="Arial" w:hAnsi="Arial" w:cs="Arial"/>
                <w:noProof/>
                <w:webHidden/>
                <w:sz w:val="22"/>
                <w:szCs w:val="22"/>
              </w:rPr>
            </w:r>
            <w:r w:rsidRPr="002B4A8B">
              <w:rPr>
                <w:rFonts w:ascii="Arial" w:hAnsi="Arial" w:cs="Arial"/>
                <w:noProof/>
                <w:webHidden/>
                <w:sz w:val="22"/>
                <w:szCs w:val="22"/>
              </w:rPr>
              <w:fldChar w:fldCharType="separate"/>
            </w:r>
            <w:r w:rsidRPr="002B4A8B">
              <w:rPr>
                <w:rFonts w:ascii="Arial" w:hAnsi="Arial" w:cs="Arial"/>
                <w:noProof/>
                <w:webHidden/>
                <w:sz w:val="22"/>
                <w:szCs w:val="22"/>
              </w:rPr>
              <w:t>12</w:t>
            </w:r>
            <w:r w:rsidRPr="002B4A8B">
              <w:rPr>
                <w:rFonts w:ascii="Arial" w:hAnsi="Arial" w:cs="Arial"/>
                <w:noProof/>
                <w:webHidden/>
                <w:sz w:val="22"/>
                <w:szCs w:val="22"/>
              </w:rPr>
              <w:fldChar w:fldCharType="end"/>
            </w:r>
          </w:hyperlink>
        </w:p>
        <w:p w14:paraId="6E705F98" w14:textId="3BAD3D5C" w:rsidR="002B4A8B" w:rsidRPr="002B4A8B" w:rsidRDefault="002B4A8B">
          <w:pPr>
            <w:pStyle w:val="TOC2"/>
            <w:tabs>
              <w:tab w:val="right" w:leader="dot" w:pos="9350"/>
            </w:tabs>
            <w:rPr>
              <w:rFonts w:ascii="Arial" w:hAnsi="Arial" w:cs="Arial"/>
              <w:noProof/>
              <w:sz w:val="22"/>
              <w:szCs w:val="22"/>
            </w:rPr>
          </w:pPr>
          <w:hyperlink w:anchor="_Toc237018675" w:history="1">
            <w:r w:rsidRPr="002B4A8B">
              <w:rPr>
                <w:rStyle w:val="Hyperlink"/>
                <w:rFonts w:ascii="Arial" w:hAnsi="Arial" w:cs="Arial"/>
                <w:noProof/>
                <w:sz w:val="22"/>
                <w:szCs w:val="22"/>
              </w:rPr>
              <w:t>d. Improvement and Lessons Learned</w:t>
            </w:r>
            <w:r w:rsidRPr="002B4A8B">
              <w:rPr>
                <w:rFonts w:ascii="Arial" w:hAnsi="Arial" w:cs="Arial"/>
                <w:noProof/>
                <w:webHidden/>
                <w:sz w:val="22"/>
                <w:szCs w:val="22"/>
              </w:rPr>
              <w:tab/>
            </w:r>
            <w:r w:rsidRPr="002B4A8B">
              <w:rPr>
                <w:rFonts w:ascii="Arial" w:hAnsi="Arial" w:cs="Arial"/>
                <w:noProof/>
                <w:webHidden/>
                <w:sz w:val="22"/>
                <w:szCs w:val="22"/>
              </w:rPr>
              <w:fldChar w:fldCharType="begin"/>
            </w:r>
            <w:r w:rsidRPr="002B4A8B">
              <w:rPr>
                <w:rFonts w:ascii="Arial" w:hAnsi="Arial" w:cs="Arial"/>
                <w:noProof/>
                <w:webHidden/>
                <w:sz w:val="22"/>
                <w:szCs w:val="22"/>
              </w:rPr>
              <w:instrText xml:space="preserve"> PAGEREF _Toc237018675 \h </w:instrText>
            </w:r>
            <w:r w:rsidRPr="002B4A8B">
              <w:rPr>
                <w:rFonts w:ascii="Arial" w:hAnsi="Arial" w:cs="Arial"/>
                <w:noProof/>
                <w:webHidden/>
                <w:sz w:val="22"/>
                <w:szCs w:val="22"/>
              </w:rPr>
            </w:r>
            <w:r w:rsidRPr="002B4A8B">
              <w:rPr>
                <w:rFonts w:ascii="Arial" w:hAnsi="Arial" w:cs="Arial"/>
                <w:noProof/>
                <w:webHidden/>
                <w:sz w:val="22"/>
                <w:szCs w:val="22"/>
              </w:rPr>
              <w:fldChar w:fldCharType="separate"/>
            </w:r>
            <w:r w:rsidRPr="002B4A8B">
              <w:rPr>
                <w:rFonts w:ascii="Arial" w:hAnsi="Arial" w:cs="Arial"/>
                <w:noProof/>
                <w:webHidden/>
                <w:sz w:val="22"/>
                <w:szCs w:val="22"/>
              </w:rPr>
              <w:t>13</w:t>
            </w:r>
            <w:r w:rsidRPr="002B4A8B">
              <w:rPr>
                <w:rFonts w:ascii="Arial" w:hAnsi="Arial" w:cs="Arial"/>
                <w:noProof/>
                <w:webHidden/>
                <w:sz w:val="22"/>
                <w:szCs w:val="22"/>
              </w:rPr>
              <w:fldChar w:fldCharType="end"/>
            </w:r>
          </w:hyperlink>
        </w:p>
        <w:p w14:paraId="68104600" w14:textId="54311F26" w:rsidR="002B4A8B" w:rsidRPr="002B4A8B" w:rsidRDefault="002B4A8B">
          <w:pPr>
            <w:pStyle w:val="TOC3"/>
            <w:tabs>
              <w:tab w:val="right" w:leader="dot" w:pos="9350"/>
            </w:tabs>
            <w:rPr>
              <w:rFonts w:ascii="Arial" w:hAnsi="Arial" w:cs="Arial"/>
              <w:noProof/>
              <w:sz w:val="22"/>
              <w:szCs w:val="22"/>
            </w:rPr>
          </w:pPr>
          <w:hyperlink w:anchor="_Toc237018676" w:history="1">
            <w:r w:rsidRPr="002B4A8B">
              <w:rPr>
                <w:rStyle w:val="Hyperlink"/>
                <w:rFonts w:ascii="Arial" w:hAnsi="Arial" w:cs="Arial"/>
                <w:noProof/>
                <w:sz w:val="22"/>
                <w:szCs w:val="22"/>
              </w:rPr>
              <w:t>Evidence-Based Solutions</w:t>
            </w:r>
            <w:r w:rsidRPr="002B4A8B">
              <w:rPr>
                <w:rFonts w:ascii="Arial" w:hAnsi="Arial" w:cs="Arial"/>
                <w:noProof/>
                <w:webHidden/>
                <w:sz w:val="22"/>
                <w:szCs w:val="22"/>
              </w:rPr>
              <w:tab/>
            </w:r>
            <w:r w:rsidRPr="002B4A8B">
              <w:rPr>
                <w:rFonts w:ascii="Arial" w:hAnsi="Arial" w:cs="Arial"/>
                <w:noProof/>
                <w:webHidden/>
                <w:sz w:val="22"/>
                <w:szCs w:val="22"/>
              </w:rPr>
              <w:fldChar w:fldCharType="begin"/>
            </w:r>
            <w:r w:rsidRPr="002B4A8B">
              <w:rPr>
                <w:rFonts w:ascii="Arial" w:hAnsi="Arial" w:cs="Arial"/>
                <w:noProof/>
                <w:webHidden/>
                <w:sz w:val="22"/>
                <w:szCs w:val="22"/>
              </w:rPr>
              <w:instrText xml:space="preserve"> PAGEREF _Toc237018676 \h </w:instrText>
            </w:r>
            <w:r w:rsidRPr="002B4A8B">
              <w:rPr>
                <w:rFonts w:ascii="Arial" w:hAnsi="Arial" w:cs="Arial"/>
                <w:noProof/>
                <w:webHidden/>
                <w:sz w:val="22"/>
                <w:szCs w:val="22"/>
              </w:rPr>
            </w:r>
            <w:r w:rsidRPr="002B4A8B">
              <w:rPr>
                <w:rFonts w:ascii="Arial" w:hAnsi="Arial" w:cs="Arial"/>
                <w:noProof/>
                <w:webHidden/>
                <w:sz w:val="22"/>
                <w:szCs w:val="22"/>
              </w:rPr>
              <w:fldChar w:fldCharType="separate"/>
            </w:r>
            <w:r w:rsidRPr="002B4A8B">
              <w:rPr>
                <w:rFonts w:ascii="Arial" w:hAnsi="Arial" w:cs="Arial"/>
                <w:noProof/>
                <w:webHidden/>
                <w:sz w:val="22"/>
                <w:szCs w:val="22"/>
              </w:rPr>
              <w:t>14</w:t>
            </w:r>
            <w:r w:rsidRPr="002B4A8B">
              <w:rPr>
                <w:rFonts w:ascii="Arial" w:hAnsi="Arial" w:cs="Arial"/>
                <w:noProof/>
                <w:webHidden/>
                <w:sz w:val="22"/>
                <w:szCs w:val="22"/>
              </w:rPr>
              <w:fldChar w:fldCharType="end"/>
            </w:r>
          </w:hyperlink>
        </w:p>
        <w:p w14:paraId="535A4A89" w14:textId="14CB4F5E" w:rsidR="002B4A8B" w:rsidRPr="002B4A8B" w:rsidRDefault="002B4A8B">
          <w:pPr>
            <w:pStyle w:val="TOC4"/>
            <w:tabs>
              <w:tab w:val="right" w:leader="dot" w:pos="9350"/>
            </w:tabs>
            <w:rPr>
              <w:rFonts w:ascii="Arial" w:hAnsi="Arial" w:cs="Arial"/>
              <w:noProof/>
              <w:sz w:val="22"/>
              <w:szCs w:val="22"/>
            </w:rPr>
          </w:pPr>
          <w:hyperlink w:anchor="_Toc237018677" w:history="1">
            <w:r w:rsidRPr="002B4A8B">
              <w:rPr>
                <w:rStyle w:val="Hyperlink"/>
                <w:rFonts w:ascii="Arial" w:hAnsi="Arial" w:cs="Arial"/>
                <w:noProof/>
                <w:sz w:val="22"/>
                <w:szCs w:val="22"/>
              </w:rPr>
              <w:t>Strengthening Patient Identification through Engineered Defences</w:t>
            </w:r>
            <w:r w:rsidRPr="002B4A8B">
              <w:rPr>
                <w:rFonts w:ascii="Arial" w:hAnsi="Arial" w:cs="Arial"/>
                <w:noProof/>
                <w:webHidden/>
                <w:sz w:val="22"/>
                <w:szCs w:val="22"/>
              </w:rPr>
              <w:tab/>
            </w:r>
            <w:r w:rsidRPr="002B4A8B">
              <w:rPr>
                <w:rFonts w:ascii="Arial" w:hAnsi="Arial" w:cs="Arial"/>
                <w:noProof/>
                <w:webHidden/>
                <w:sz w:val="22"/>
                <w:szCs w:val="22"/>
              </w:rPr>
              <w:fldChar w:fldCharType="begin"/>
            </w:r>
            <w:r w:rsidRPr="002B4A8B">
              <w:rPr>
                <w:rFonts w:ascii="Arial" w:hAnsi="Arial" w:cs="Arial"/>
                <w:noProof/>
                <w:webHidden/>
                <w:sz w:val="22"/>
                <w:szCs w:val="22"/>
              </w:rPr>
              <w:instrText xml:space="preserve"> PAGEREF _Toc237018677 \h </w:instrText>
            </w:r>
            <w:r w:rsidRPr="002B4A8B">
              <w:rPr>
                <w:rFonts w:ascii="Arial" w:hAnsi="Arial" w:cs="Arial"/>
                <w:noProof/>
                <w:webHidden/>
                <w:sz w:val="22"/>
                <w:szCs w:val="22"/>
              </w:rPr>
            </w:r>
            <w:r w:rsidRPr="002B4A8B">
              <w:rPr>
                <w:rFonts w:ascii="Arial" w:hAnsi="Arial" w:cs="Arial"/>
                <w:noProof/>
                <w:webHidden/>
                <w:sz w:val="22"/>
                <w:szCs w:val="22"/>
              </w:rPr>
              <w:fldChar w:fldCharType="separate"/>
            </w:r>
            <w:r w:rsidRPr="002B4A8B">
              <w:rPr>
                <w:rFonts w:ascii="Arial" w:hAnsi="Arial" w:cs="Arial"/>
                <w:noProof/>
                <w:webHidden/>
                <w:sz w:val="22"/>
                <w:szCs w:val="22"/>
              </w:rPr>
              <w:t>14</w:t>
            </w:r>
            <w:r w:rsidRPr="002B4A8B">
              <w:rPr>
                <w:rFonts w:ascii="Arial" w:hAnsi="Arial" w:cs="Arial"/>
                <w:noProof/>
                <w:webHidden/>
                <w:sz w:val="22"/>
                <w:szCs w:val="22"/>
              </w:rPr>
              <w:fldChar w:fldCharType="end"/>
            </w:r>
          </w:hyperlink>
        </w:p>
        <w:p w14:paraId="49EA501F" w14:textId="598345AD" w:rsidR="002B4A8B" w:rsidRPr="002B4A8B" w:rsidRDefault="002B4A8B">
          <w:pPr>
            <w:pStyle w:val="TOC4"/>
            <w:tabs>
              <w:tab w:val="right" w:leader="dot" w:pos="9350"/>
            </w:tabs>
            <w:rPr>
              <w:rFonts w:ascii="Arial" w:hAnsi="Arial" w:cs="Arial"/>
              <w:noProof/>
              <w:sz w:val="22"/>
              <w:szCs w:val="22"/>
            </w:rPr>
          </w:pPr>
          <w:hyperlink w:anchor="_Toc237018678" w:history="1">
            <w:r w:rsidRPr="002B4A8B">
              <w:rPr>
                <w:rStyle w:val="Hyperlink"/>
                <w:rFonts w:ascii="Arial" w:hAnsi="Arial" w:cs="Arial"/>
                <w:noProof/>
                <w:sz w:val="22"/>
                <w:szCs w:val="22"/>
              </w:rPr>
              <w:t>Building Local Ownership within a Hierarchical Structure</w:t>
            </w:r>
            <w:r w:rsidRPr="002B4A8B">
              <w:rPr>
                <w:rFonts w:ascii="Arial" w:hAnsi="Arial" w:cs="Arial"/>
                <w:noProof/>
                <w:webHidden/>
                <w:sz w:val="22"/>
                <w:szCs w:val="22"/>
              </w:rPr>
              <w:tab/>
            </w:r>
            <w:r w:rsidRPr="002B4A8B">
              <w:rPr>
                <w:rFonts w:ascii="Arial" w:hAnsi="Arial" w:cs="Arial"/>
                <w:noProof/>
                <w:webHidden/>
                <w:sz w:val="22"/>
                <w:szCs w:val="22"/>
              </w:rPr>
              <w:fldChar w:fldCharType="begin"/>
            </w:r>
            <w:r w:rsidRPr="002B4A8B">
              <w:rPr>
                <w:rFonts w:ascii="Arial" w:hAnsi="Arial" w:cs="Arial"/>
                <w:noProof/>
                <w:webHidden/>
                <w:sz w:val="22"/>
                <w:szCs w:val="22"/>
              </w:rPr>
              <w:instrText xml:space="preserve"> PAGEREF _Toc237018678 \h </w:instrText>
            </w:r>
            <w:r w:rsidRPr="002B4A8B">
              <w:rPr>
                <w:rFonts w:ascii="Arial" w:hAnsi="Arial" w:cs="Arial"/>
                <w:noProof/>
                <w:webHidden/>
                <w:sz w:val="22"/>
                <w:szCs w:val="22"/>
              </w:rPr>
            </w:r>
            <w:r w:rsidRPr="002B4A8B">
              <w:rPr>
                <w:rFonts w:ascii="Arial" w:hAnsi="Arial" w:cs="Arial"/>
                <w:noProof/>
                <w:webHidden/>
                <w:sz w:val="22"/>
                <w:szCs w:val="22"/>
              </w:rPr>
              <w:fldChar w:fldCharType="separate"/>
            </w:r>
            <w:r w:rsidRPr="002B4A8B">
              <w:rPr>
                <w:rFonts w:ascii="Arial" w:hAnsi="Arial" w:cs="Arial"/>
                <w:noProof/>
                <w:webHidden/>
                <w:sz w:val="22"/>
                <w:szCs w:val="22"/>
              </w:rPr>
              <w:t>14</w:t>
            </w:r>
            <w:r w:rsidRPr="002B4A8B">
              <w:rPr>
                <w:rFonts w:ascii="Arial" w:hAnsi="Arial" w:cs="Arial"/>
                <w:noProof/>
                <w:webHidden/>
                <w:sz w:val="22"/>
                <w:szCs w:val="22"/>
              </w:rPr>
              <w:fldChar w:fldCharType="end"/>
            </w:r>
          </w:hyperlink>
        </w:p>
        <w:p w14:paraId="3D1093BF" w14:textId="2F6622F4" w:rsidR="002B4A8B" w:rsidRPr="002B4A8B" w:rsidRDefault="002B4A8B">
          <w:pPr>
            <w:pStyle w:val="TOC4"/>
            <w:tabs>
              <w:tab w:val="right" w:leader="dot" w:pos="9350"/>
            </w:tabs>
            <w:rPr>
              <w:rFonts w:ascii="Arial" w:hAnsi="Arial" w:cs="Arial"/>
              <w:noProof/>
              <w:sz w:val="22"/>
              <w:szCs w:val="22"/>
            </w:rPr>
          </w:pPr>
          <w:hyperlink w:anchor="_Toc237018679" w:history="1">
            <w:r w:rsidRPr="002B4A8B">
              <w:rPr>
                <w:rStyle w:val="Hyperlink"/>
                <w:rFonts w:ascii="Arial" w:hAnsi="Arial" w:cs="Arial"/>
                <w:noProof/>
                <w:sz w:val="22"/>
                <w:szCs w:val="22"/>
              </w:rPr>
              <w:t>Shifting Governance from Reactive Investigation to Learning-Oriented Redesign</w:t>
            </w:r>
            <w:r w:rsidRPr="002B4A8B">
              <w:rPr>
                <w:rFonts w:ascii="Arial" w:hAnsi="Arial" w:cs="Arial"/>
                <w:noProof/>
                <w:webHidden/>
                <w:sz w:val="22"/>
                <w:szCs w:val="22"/>
              </w:rPr>
              <w:tab/>
            </w:r>
            <w:r w:rsidRPr="002B4A8B">
              <w:rPr>
                <w:rFonts w:ascii="Arial" w:hAnsi="Arial" w:cs="Arial"/>
                <w:noProof/>
                <w:webHidden/>
                <w:sz w:val="22"/>
                <w:szCs w:val="22"/>
              </w:rPr>
              <w:fldChar w:fldCharType="begin"/>
            </w:r>
            <w:r w:rsidRPr="002B4A8B">
              <w:rPr>
                <w:rFonts w:ascii="Arial" w:hAnsi="Arial" w:cs="Arial"/>
                <w:noProof/>
                <w:webHidden/>
                <w:sz w:val="22"/>
                <w:szCs w:val="22"/>
              </w:rPr>
              <w:instrText xml:space="preserve"> PAGEREF _Toc237018679 \h </w:instrText>
            </w:r>
            <w:r w:rsidRPr="002B4A8B">
              <w:rPr>
                <w:rFonts w:ascii="Arial" w:hAnsi="Arial" w:cs="Arial"/>
                <w:noProof/>
                <w:webHidden/>
                <w:sz w:val="22"/>
                <w:szCs w:val="22"/>
              </w:rPr>
            </w:r>
            <w:r w:rsidRPr="002B4A8B">
              <w:rPr>
                <w:rFonts w:ascii="Arial" w:hAnsi="Arial" w:cs="Arial"/>
                <w:noProof/>
                <w:webHidden/>
                <w:sz w:val="22"/>
                <w:szCs w:val="22"/>
              </w:rPr>
              <w:fldChar w:fldCharType="separate"/>
            </w:r>
            <w:r w:rsidRPr="002B4A8B">
              <w:rPr>
                <w:rFonts w:ascii="Arial" w:hAnsi="Arial" w:cs="Arial"/>
                <w:noProof/>
                <w:webHidden/>
                <w:sz w:val="22"/>
                <w:szCs w:val="22"/>
              </w:rPr>
              <w:t>15</w:t>
            </w:r>
            <w:r w:rsidRPr="002B4A8B">
              <w:rPr>
                <w:rFonts w:ascii="Arial" w:hAnsi="Arial" w:cs="Arial"/>
                <w:noProof/>
                <w:webHidden/>
                <w:sz w:val="22"/>
                <w:szCs w:val="22"/>
              </w:rPr>
              <w:fldChar w:fldCharType="end"/>
            </w:r>
          </w:hyperlink>
        </w:p>
        <w:p w14:paraId="4000E219" w14:textId="1E40701C" w:rsidR="002B4A8B" w:rsidRPr="002B4A8B" w:rsidRDefault="002B4A8B">
          <w:pPr>
            <w:pStyle w:val="TOC4"/>
            <w:tabs>
              <w:tab w:val="right" w:leader="dot" w:pos="9350"/>
            </w:tabs>
            <w:rPr>
              <w:rFonts w:ascii="Arial" w:hAnsi="Arial" w:cs="Arial"/>
              <w:noProof/>
              <w:sz w:val="22"/>
              <w:szCs w:val="22"/>
            </w:rPr>
          </w:pPr>
          <w:hyperlink w:anchor="_Toc237018680" w:history="1">
            <w:r w:rsidRPr="002B4A8B">
              <w:rPr>
                <w:rStyle w:val="Hyperlink"/>
                <w:rFonts w:ascii="Arial" w:hAnsi="Arial" w:cs="Arial"/>
                <w:noProof/>
                <w:sz w:val="22"/>
                <w:szCs w:val="22"/>
              </w:rPr>
              <w:t>Integrating Lessons across System, Leadership and Feedback</w:t>
            </w:r>
            <w:r w:rsidRPr="002B4A8B">
              <w:rPr>
                <w:rFonts w:ascii="Arial" w:hAnsi="Arial" w:cs="Arial"/>
                <w:noProof/>
                <w:webHidden/>
                <w:sz w:val="22"/>
                <w:szCs w:val="22"/>
              </w:rPr>
              <w:tab/>
            </w:r>
            <w:r w:rsidRPr="002B4A8B">
              <w:rPr>
                <w:rFonts w:ascii="Arial" w:hAnsi="Arial" w:cs="Arial"/>
                <w:noProof/>
                <w:webHidden/>
                <w:sz w:val="22"/>
                <w:szCs w:val="22"/>
              </w:rPr>
              <w:fldChar w:fldCharType="begin"/>
            </w:r>
            <w:r w:rsidRPr="002B4A8B">
              <w:rPr>
                <w:rFonts w:ascii="Arial" w:hAnsi="Arial" w:cs="Arial"/>
                <w:noProof/>
                <w:webHidden/>
                <w:sz w:val="22"/>
                <w:szCs w:val="22"/>
              </w:rPr>
              <w:instrText xml:space="preserve"> PAGEREF _Toc237018680 \h </w:instrText>
            </w:r>
            <w:r w:rsidRPr="002B4A8B">
              <w:rPr>
                <w:rFonts w:ascii="Arial" w:hAnsi="Arial" w:cs="Arial"/>
                <w:noProof/>
                <w:webHidden/>
                <w:sz w:val="22"/>
                <w:szCs w:val="22"/>
              </w:rPr>
            </w:r>
            <w:r w:rsidRPr="002B4A8B">
              <w:rPr>
                <w:rFonts w:ascii="Arial" w:hAnsi="Arial" w:cs="Arial"/>
                <w:noProof/>
                <w:webHidden/>
                <w:sz w:val="22"/>
                <w:szCs w:val="22"/>
              </w:rPr>
              <w:fldChar w:fldCharType="separate"/>
            </w:r>
            <w:r w:rsidRPr="002B4A8B">
              <w:rPr>
                <w:rFonts w:ascii="Arial" w:hAnsi="Arial" w:cs="Arial"/>
                <w:noProof/>
                <w:webHidden/>
                <w:sz w:val="22"/>
                <w:szCs w:val="22"/>
              </w:rPr>
              <w:t>15</w:t>
            </w:r>
            <w:r w:rsidRPr="002B4A8B">
              <w:rPr>
                <w:rFonts w:ascii="Arial" w:hAnsi="Arial" w:cs="Arial"/>
                <w:noProof/>
                <w:webHidden/>
                <w:sz w:val="22"/>
                <w:szCs w:val="22"/>
              </w:rPr>
              <w:fldChar w:fldCharType="end"/>
            </w:r>
          </w:hyperlink>
        </w:p>
        <w:p w14:paraId="7CEEBF81" w14:textId="3C54B7A1" w:rsidR="002B4A8B" w:rsidRPr="002B4A8B" w:rsidRDefault="002B4A8B">
          <w:pPr>
            <w:pStyle w:val="TOC1"/>
            <w:tabs>
              <w:tab w:val="right" w:leader="dot" w:pos="9350"/>
            </w:tabs>
            <w:rPr>
              <w:rFonts w:ascii="Arial" w:hAnsi="Arial" w:cs="Arial"/>
              <w:noProof/>
              <w:sz w:val="22"/>
              <w:szCs w:val="22"/>
            </w:rPr>
          </w:pPr>
          <w:hyperlink w:anchor="_Toc237018681" w:history="1">
            <w:r w:rsidRPr="002B4A8B">
              <w:rPr>
                <w:rStyle w:val="Hyperlink"/>
                <w:rFonts w:ascii="Arial" w:hAnsi="Arial" w:cs="Arial"/>
                <w:noProof/>
                <w:sz w:val="22"/>
                <w:szCs w:val="22"/>
              </w:rPr>
              <w:t>Recommendation</w:t>
            </w:r>
            <w:r w:rsidRPr="002B4A8B">
              <w:rPr>
                <w:rFonts w:ascii="Arial" w:hAnsi="Arial" w:cs="Arial"/>
                <w:noProof/>
                <w:webHidden/>
                <w:sz w:val="22"/>
                <w:szCs w:val="22"/>
              </w:rPr>
              <w:tab/>
            </w:r>
            <w:r w:rsidRPr="002B4A8B">
              <w:rPr>
                <w:rFonts w:ascii="Arial" w:hAnsi="Arial" w:cs="Arial"/>
                <w:noProof/>
                <w:webHidden/>
                <w:sz w:val="22"/>
                <w:szCs w:val="22"/>
              </w:rPr>
              <w:fldChar w:fldCharType="begin"/>
            </w:r>
            <w:r w:rsidRPr="002B4A8B">
              <w:rPr>
                <w:rFonts w:ascii="Arial" w:hAnsi="Arial" w:cs="Arial"/>
                <w:noProof/>
                <w:webHidden/>
                <w:sz w:val="22"/>
                <w:szCs w:val="22"/>
              </w:rPr>
              <w:instrText xml:space="preserve"> PAGEREF _Toc237018681 \h </w:instrText>
            </w:r>
            <w:r w:rsidRPr="002B4A8B">
              <w:rPr>
                <w:rFonts w:ascii="Arial" w:hAnsi="Arial" w:cs="Arial"/>
                <w:noProof/>
                <w:webHidden/>
                <w:sz w:val="22"/>
                <w:szCs w:val="22"/>
              </w:rPr>
            </w:r>
            <w:r w:rsidRPr="002B4A8B">
              <w:rPr>
                <w:rFonts w:ascii="Arial" w:hAnsi="Arial" w:cs="Arial"/>
                <w:noProof/>
                <w:webHidden/>
                <w:sz w:val="22"/>
                <w:szCs w:val="22"/>
              </w:rPr>
              <w:fldChar w:fldCharType="separate"/>
            </w:r>
            <w:r w:rsidRPr="002B4A8B">
              <w:rPr>
                <w:rFonts w:ascii="Arial" w:hAnsi="Arial" w:cs="Arial"/>
                <w:noProof/>
                <w:webHidden/>
                <w:sz w:val="22"/>
                <w:szCs w:val="22"/>
              </w:rPr>
              <w:t>16</w:t>
            </w:r>
            <w:r w:rsidRPr="002B4A8B">
              <w:rPr>
                <w:rFonts w:ascii="Arial" w:hAnsi="Arial" w:cs="Arial"/>
                <w:noProof/>
                <w:webHidden/>
                <w:sz w:val="22"/>
                <w:szCs w:val="22"/>
              </w:rPr>
              <w:fldChar w:fldCharType="end"/>
            </w:r>
          </w:hyperlink>
        </w:p>
        <w:p w14:paraId="6E35C3AD" w14:textId="1E548F46" w:rsidR="002B4A8B" w:rsidRPr="002B4A8B" w:rsidRDefault="002B4A8B">
          <w:pPr>
            <w:pStyle w:val="TOC2"/>
            <w:tabs>
              <w:tab w:val="right" w:leader="dot" w:pos="9350"/>
            </w:tabs>
            <w:rPr>
              <w:rFonts w:ascii="Arial" w:hAnsi="Arial" w:cs="Arial"/>
              <w:noProof/>
              <w:sz w:val="22"/>
              <w:szCs w:val="22"/>
            </w:rPr>
          </w:pPr>
          <w:hyperlink w:anchor="_Toc237018682" w:history="1">
            <w:r w:rsidRPr="002B4A8B">
              <w:rPr>
                <w:rStyle w:val="Hyperlink"/>
                <w:rFonts w:ascii="Arial" w:hAnsi="Arial" w:cs="Arial"/>
                <w:noProof/>
                <w:sz w:val="22"/>
                <w:szCs w:val="22"/>
              </w:rPr>
              <w:t>Immediate Strengthening of Patient Identification and Surgical Safety Protocols</w:t>
            </w:r>
            <w:r w:rsidRPr="002B4A8B">
              <w:rPr>
                <w:rFonts w:ascii="Arial" w:hAnsi="Arial" w:cs="Arial"/>
                <w:noProof/>
                <w:webHidden/>
                <w:sz w:val="22"/>
                <w:szCs w:val="22"/>
              </w:rPr>
              <w:tab/>
            </w:r>
            <w:r w:rsidRPr="002B4A8B">
              <w:rPr>
                <w:rFonts w:ascii="Arial" w:hAnsi="Arial" w:cs="Arial"/>
                <w:noProof/>
                <w:webHidden/>
                <w:sz w:val="22"/>
                <w:szCs w:val="22"/>
              </w:rPr>
              <w:fldChar w:fldCharType="begin"/>
            </w:r>
            <w:r w:rsidRPr="002B4A8B">
              <w:rPr>
                <w:rFonts w:ascii="Arial" w:hAnsi="Arial" w:cs="Arial"/>
                <w:noProof/>
                <w:webHidden/>
                <w:sz w:val="22"/>
                <w:szCs w:val="22"/>
              </w:rPr>
              <w:instrText xml:space="preserve"> PAGEREF _Toc237018682 \h </w:instrText>
            </w:r>
            <w:r w:rsidRPr="002B4A8B">
              <w:rPr>
                <w:rFonts w:ascii="Arial" w:hAnsi="Arial" w:cs="Arial"/>
                <w:noProof/>
                <w:webHidden/>
                <w:sz w:val="22"/>
                <w:szCs w:val="22"/>
              </w:rPr>
            </w:r>
            <w:r w:rsidRPr="002B4A8B">
              <w:rPr>
                <w:rFonts w:ascii="Arial" w:hAnsi="Arial" w:cs="Arial"/>
                <w:noProof/>
                <w:webHidden/>
                <w:sz w:val="22"/>
                <w:szCs w:val="22"/>
              </w:rPr>
              <w:fldChar w:fldCharType="separate"/>
            </w:r>
            <w:r w:rsidRPr="002B4A8B">
              <w:rPr>
                <w:rFonts w:ascii="Arial" w:hAnsi="Arial" w:cs="Arial"/>
                <w:noProof/>
                <w:webHidden/>
                <w:sz w:val="22"/>
                <w:szCs w:val="22"/>
              </w:rPr>
              <w:t>16</w:t>
            </w:r>
            <w:r w:rsidRPr="002B4A8B">
              <w:rPr>
                <w:rFonts w:ascii="Arial" w:hAnsi="Arial" w:cs="Arial"/>
                <w:noProof/>
                <w:webHidden/>
                <w:sz w:val="22"/>
                <w:szCs w:val="22"/>
              </w:rPr>
              <w:fldChar w:fldCharType="end"/>
            </w:r>
          </w:hyperlink>
        </w:p>
        <w:p w14:paraId="1FA0C1F4" w14:textId="2CFD96A1" w:rsidR="002B4A8B" w:rsidRPr="002B4A8B" w:rsidRDefault="002B4A8B">
          <w:pPr>
            <w:pStyle w:val="TOC2"/>
            <w:tabs>
              <w:tab w:val="right" w:leader="dot" w:pos="9350"/>
            </w:tabs>
            <w:rPr>
              <w:rFonts w:ascii="Arial" w:hAnsi="Arial" w:cs="Arial"/>
              <w:noProof/>
              <w:sz w:val="22"/>
              <w:szCs w:val="22"/>
            </w:rPr>
          </w:pPr>
          <w:hyperlink w:anchor="_Toc237018683" w:history="1">
            <w:r w:rsidRPr="002B4A8B">
              <w:rPr>
                <w:rStyle w:val="Hyperlink"/>
                <w:rFonts w:ascii="Arial" w:hAnsi="Arial" w:cs="Arial"/>
                <w:noProof/>
                <w:sz w:val="22"/>
                <w:szCs w:val="22"/>
              </w:rPr>
              <w:t>Adopting Transformational and Situational Leadership</w:t>
            </w:r>
            <w:r w:rsidRPr="002B4A8B">
              <w:rPr>
                <w:rFonts w:ascii="Arial" w:hAnsi="Arial" w:cs="Arial"/>
                <w:noProof/>
                <w:webHidden/>
                <w:sz w:val="22"/>
                <w:szCs w:val="22"/>
              </w:rPr>
              <w:tab/>
            </w:r>
            <w:r w:rsidRPr="002B4A8B">
              <w:rPr>
                <w:rFonts w:ascii="Arial" w:hAnsi="Arial" w:cs="Arial"/>
                <w:noProof/>
                <w:webHidden/>
                <w:sz w:val="22"/>
                <w:szCs w:val="22"/>
              </w:rPr>
              <w:fldChar w:fldCharType="begin"/>
            </w:r>
            <w:r w:rsidRPr="002B4A8B">
              <w:rPr>
                <w:rFonts w:ascii="Arial" w:hAnsi="Arial" w:cs="Arial"/>
                <w:noProof/>
                <w:webHidden/>
                <w:sz w:val="22"/>
                <w:szCs w:val="22"/>
              </w:rPr>
              <w:instrText xml:space="preserve"> PAGEREF _Toc237018683 \h </w:instrText>
            </w:r>
            <w:r w:rsidRPr="002B4A8B">
              <w:rPr>
                <w:rFonts w:ascii="Arial" w:hAnsi="Arial" w:cs="Arial"/>
                <w:noProof/>
                <w:webHidden/>
                <w:sz w:val="22"/>
                <w:szCs w:val="22"/>
              </w:rPr>
            </w:r>
            <w:r w:rsidRPr="002B4A8B">
              <w:rPr>
                <w:rFonts w:ascii="Arial" w:hAnsi="Arial" w:cs="Arial"/>
                <w:noProof/>
                <w:webHidden/>
                <w:sz w:val="22"/>
                <w:szCs w:val="22"/>
              </w:rPr>
              <w:fldChar w:fldCharType="separate"/>
            </w:r>
            <w:r w:rsidRPr="002B4A8B">
              <w:rPr>
                <w:rFonts w:ascii="Arial" w:hAnsi="Arial" w:cs="Arial"/>
                <w:noProof/>
                <w:webHidden/>
                <w:sz w:val="22"/>
                <w:szCs w:val="22"/>
              </w:rPr>
              <w:t>17</w:t>
            </w:r>
            <w:r w:rsidRPr="002B4A8B">
              <w:rPr>
                <w:rFonts w:ascii="Arial" w:hAnsi="Arial" w:cs="Arial"/>
                <w:noProof/>
                <w:webHidden/>
                <w:sz w:val="22"/>
                <w:szCs w:val="22"/>
              </w:rPr>
              <w:fldChar w:fldCharType="end"/>
            </w:r>
          </w:hyperlink>
        </w:p>
        <w:p w14:paraId="753D7C16" w14:textId="201CDFE5" w:rsidR="002B4A8B" w:rsidRPr="002B4A8B" w:rsidRDefault="002B4A8B">
          <w:pPr>
            <w:pStyle w:val="TOC2"/>
            <w:tabs>
              <w:tab w:val="right" w:leader="dot" w:pos="9350"/>
            </w:tabs>
            <w:rPr>
              <w:rFonts w:ascii="Arial" w:hAnsi="Arial" w:cs="Arial"/>
              <w:noProof/>
              <w:sz w:val="22"/>
              <w:szCs w:val="22"/>
            </w:rPr>
          </w:pPr>
          <w:hyperlink w:anchor="_Toc237018684" w:history="1">
            <w:r w:rsidRPr="002B4A8B">
              <w:rPr>
                <w:rStyle w:val="Hyperlink"/>
                <w:rFonts w:ascii="Arial" w:hAnsi="Arial" w:cs="Arial"/>
                <w:noProof/>
                <w:sz w:val="22"/>
                <w:szCs w:val="22"/>
              </w:rPr>
              <w:t>Strengthening Governance and Systems Integration</w:t>
            </w:r>
            <w:r w:rsidRPr="002B4A8B">
              <w:rPr>
                <w:rFonts w:ascii="Arial" w:hAnsi="Arial" w:cs="Arial"/>
                <w:noProof/>
                <w:webHidden/>
                <w:sz w:val="22"/>
                <w:szCs w:val="22"/>
              </w:rPr>
              <w:tab/>
            </w:r>
            <w:r w:rsidRPr="002B4A8B">
              <w:rPr>
                <w:rFonts w:ascii="Arial" w:hAnsi="Arial" w:cs="Arial"/>
                <w:noProof/>
                <w:webHidden/>
                <w:sz w:val="22"/>
                <w:szCs w:val="22"/>
              </w:rPr>
              <w:fldChar w:fldCharType="begin"/>
            </w:r>
            <w:r w:rsidRPr="002B4A8B">
              <w:rPr>
                <w:rFonts w:ascii="Arial" w:hAnsi="Arial" w:cs="Arial"/>
                <w:noProof/>
                <w:webHidden/>
                <w:sz w:val="22"/>
                <w:szCs w:val="22"/>
              </w:rPr>
              <w:instrText xml:space="preserve"> PAGEREF _Toc237018684 \h </w:instrText>
            </w:r>
            <w:r w:rsidRPr="002B4A8B">
              <w:rPr>
                <w:rFonts w:ascii="Arial" w:hAnsi="Arial" w:cs="Arial"/>
                <w:noProof/>
                <w:webHidden/>
                <w:sz w:val="22"/>
                <w:szCs w:val="22"/>
              </w:rPr>
            </w:r>
            <w:r w:rsidRPr="002B4A8B">
              <w:rPr>
                <w:rFonts w:ascii="Arial" w:hAnsi="Arial" w:cs="Arial"/>
                <w:noProof/>
                <w:webHidden/>
                <w:sz w:val="22"/>
                <w:szCs w:val="22"/>
              </w:rPr>
              <w:fldChar w:fldCharType="separate"/>
            </w:r>
            <w:r w:rsidRPr="002B4A8B">
              <w:rPr>
                <w:rFonts w:ascii="Arial" w:hAnsi="Arial" w:cs="Arial"/>
                <w:noProof/>
                <w:webHidden/>
                <w:sz w:val="22"/>
                <w:szCs w:val="22"/>
              </w:rPr>
              <w:t>17</w:t>
            </w:r>
            <w:r w:rsidRPr="002B4A8B">
              <w:rPr>
                <w:rFonts w:ascii="Arial" w:hAnsi="Arial" w:cs="Arial"/>
                <w:noProof/>
                <w:webHidden/>
                <w:sz w:val="22"/>
                <w:szCs w:val="22"/>
              </w:rPr>
              <w:fldChar w:fldCharType="end"/>
            </w:r>
          </w:hyperlink>
        </w:p>
        <w:p w14:paraId="52CE5F03" w14:textId="282719E6" w:rsidR="002B4A8B" w:rsidRPr="002B4A8B" w:rsidRDefault="002B4A8B">
          <w:pPr>
            <w:pStyle w:val="TOC2"/>
            <w:tabs>
              <w:tab w:val="right" w:leader="dot" w:pos="9350"/>
            </w:tabs>
            <w:rPr>
              <w:rFonts w:ascii="Arial" w:hAnsi="Arial" w:cs="Arial"/>
              <w:noProof/>
              <w:sz w:val="22"/>
              <w:szCs w:val="22"/>
            </w:rPr>
          </w:pPr>
          <w:hyperlink w:anchor="_Toc237018685" w:history="1">
            <w:r w:rsidRPr="002B4A8B">
              <w:rPr>
                <w:rStyle w:val="Hyperlink"/>
                <w:rFonts w:ascii="Arial" w:hAnsi="Arial" w:cs="Arial"/>
                <w:noProof/>
                <w:sz w:val="22"/>
                <w:szCs w:val="22"/>
              </w:rPr>
              <w:t>Enhancing Efficiency and Continuous Learning</w:t>
            </w:r>
            <w:r w:rsidRPr="002B4A8B">
              <w:rPr>
                <w:rFonts w:ascii="Arial" w:hAnsi="Arial" w:cs="Arial"/>
                <w:noProof/>
                <w:webHidden/>
                <w:sz w:val="22"/>
                <w:szCs w:val="22"/>
              </w:rPr>
              <w:tab/>
            </w:r>
            <w:r w:rsidRPr="002B4A8B">
              <w:rPr>
                <w:rFonts w:ascii="Arial" w:hAnsi="Arial" w:cs="Arial"/>
                <w:noProof/>
                <w:webHidden/>
                <w:sz w:val="22"/>
                <w:szCs w:val="22"/>
              </w:rPr>
              <w:fldChar w:fldCharType="begin"/>
            </w:r>
            <w:r w:rsidRPr="002B4A8B">
              <w:rPr>
                <w:rFonts w:ascii="Arial" w:hAnsi="Arial" w:cs="Arial"/>
                <w:noProof/>
                <w:webHidden/>
                <w:sz w:val="22"/>
                <w:szCs w:val="22"/>
              </w:rPr>
              <w:instrText xml:space="preserve"> PAGEREF _Toc237018685 \h </w:instrText>
            </w:r>
            <w:r w:rsidRPr="002B4A8B">
              <w:rPr>
                <w:rFonts w:ascii="Arial" w:hAnsi="Arial" w:cs="Arial"/>
                <w:noProof/>
                <w:webHidden/>
                <w:sz w:val="22"/>
                <w:szCs w:val="22"/>
              </w:rPr>
            </w:r>
            <w:r w:rsidRPr="002B4A8B">
              <w:rPr>
                <w:rFonts w:ascii="Arial" w:hAnsi="Arial" w:cs="Arial"/>
                <w:noProof/>
                <w:webHidden/>
                <w:sz w:val="22"/>
                <w:szCs w:val="22"/>
              </w:rPr>
              <w:fldChar w:fldCharType="separate"/>
            </w:r>
            <w:r w:rsidRPr="002B4A8B">
              <w:rPr>
                <w:rFonts w:ascii="Arial" w:hAnsi="Arial" w:cs="Arial"/>
                <w:noProof/>
                <w:webHidden/>
                <w:sz w:val="22"/>
                <w:szCs w:val="22"/>
              </w:rPr>
              <w:t>18</w:t>
            </w:r>
            <w:r w:rsidRPr="002B4A8B">
              <w:rPr>
                <w:rFonts w:ascii="Arial" w:hAnsi="Arial" w:cs="Arial"/>
                <w:noProof/>
                <w:webHidden/>
                <w:sz w:val="22"/>
                <w:szCs w:val="22"/>
              </w:rPr>
              <w:fldChar w:fldCharType="end"/>
            </w:r>
          </w:hyperlink>
        </w:p>
        <w:p w14:paraId="521FDC37" w14:textId="65169294" w:rsidR="002B4A8B" w:rsidRPr="002B4A8B" w:rsidRDefault="002B4A8B">
          <w:pPr>
            <w:pStyle w:val="TOC1"/>
            <w:tabs>
              <w:tab w:val="right" w:leader="dot" w:pos="9350"/>
            </w:tabs>
            <w:rPr>
              <w:rFonts w:ascii="Arial" w:hAnsi="Arial" w:cs="Arial"/>
              <w:noProof/>
              <w:sz w:val="22"/>
              <w:szCs w:val="22"/>
            </w:rPr>
          </w:pPr>
          <w:hyperlink w:anchor="_Toc237018686" w:history="1">
            <w:r w:rsidRPr="002B4A8B">
              <w:rPr>
                <w:rStyle w:val="Hyperlink"/>
                <w:rFonts w:ascii="Arial" w:hAnsi="Arial" w:cs="Arial"/>
                <w:noProof/>
                <w:sz w:val="22"/>
                <w:szCs w:val="22"/>
              </w:rPr>
              <w:t>Conclusion</w:t>
            </w:r>
            <w:r w:rsidRPr="002B4A8B">
              <w:rPr>
                <w:rFonts w:ascii="Arial" w:hAnsi="Arial" w:cs="Arial"/>
                <w:noProof/>
                <w:webHidden/>
                <w:sz w:val="22"/>
                <w:szCs w:val="22"/>
              </w:rPr>
              <w:tab/>
            </w:r>
            <w:r w:rsidRPr="002B4A8B">
              <w:rPr>
                <w:rFonts w:ascii="Arial" w:hAnsi="Arial" w:cs="Arial"/>
                <w:noProof/>
                <w:webHidden/>
                <w:sz w:val="22"/>
                <w:szCs w:val="22"/>
              </w:rPr>
              <w:fldChar w:fldCharType="begin"/>
            </w:r>
            <w:r w:rsidRPr="002B4A8B">
              <w:rPr>
                <w:rFonts w:ascii="Arial" w:hAnsi="Arial" w:cs="Arial"/>
                <w:noProof/>
                <w:webHidden/>
                <w:sz w:val="22"/>
                <w:szCs w:val="22"/>
              </w:rPr>
              <w:instrText xml:space="preserve"> PAGEREF _Toc237018686 \h </w:instrText>
            </w:r>
            <w:r w:rsidRPr="002B4A8B">
              <w:rPr>
                <w:rFonts w:ascii="Arial" w:hAnsi="Arial" w:cs="Arial"/>
                <w:noProof/>
                <w:webHidden/>
                <w:sz w:val="22"/>
                <w:szCs w:val="22"/>
              </w:rPr>
            </w:r>
            <w:r w:rsidRPr="002B4A8B">
              <w:rPr>
                <w:rFonts w:ascii="Arial" w:hAnsi="Arial" w:cs="Arial"/>
                <w:noProof/>
                <w:webHidden/>
                <w:sz w:val="22"/>
                <w:szCs w:val="22"/>
              </w:rPr>
              <w:fldChar w:fldCharType="separate"/>
            </w:r>
            <w:r w:rsidRPr="002B4A8B">
              <w:rPr>
                <w:rFonts w:ascii="Arial" w:hAnsi="Arial" w:cs="Arial"/>
                <w:noProof/>
                <w:webHidden/>
                <w:sz w:val="22"/>
                <w:szCs w:val="22"/>
              </w:rPr>
              <w:t>19</w:t>
            </w:r>
            <w:r w:rsidRPr="002B4A8B">
              <w:rPr>
                <w:rFonts w:ascii="Arial" w:hAnsi="Arial" w:cs="Arial"/>
                <w:noProof/>
                <w:webHidden/>
                <w:sz w:val="22"/>
                <w:szCs w:val="22"/>
              </w:rPr>
              <w:fldChar w:fldCharType="end"/>
            </w:r>
          </w:hyperlink>
        </w:p>
        <w:p w14:paraId="2B5019ED" w14:textId="6CF9CB6A" w:rsidR="002B4A8B" w:rsidRPr="002B4A8B" w:rsidRDefault="002B4A8B">
          <w:pPr>
            <w:pStyle w:val="TOC1"/>
            <w:tabs>
              <w:tab w:val="right" w:leader="dot" w:pos="9350"/>
            </w:tabs>
            <w:rPr>
              <w:rFonts w:ascii="Arial" w:hAnsi="Arial" w:cs="Arial"/>
              <w:noProof/>
              <w:sz w:val="22"/>
              <w:szCs w:val="22"/>
            </w:rPr>
          </w:pPr>
          <w:hyperlink w:anchor="_Toc237018687" w:history="1">
            <w:r w:rsidRPr="002B4A8B">
              <w:rPr>
                <w:rStyle w:val="Hyperlink"/>
                <w:rFonts w:ascii="Arial" w:hAnsi="Arial" w:cs="Arial"/>
                <w:noProof/>
                <w:sz w:val="22"/>
                <w:szCs w:val="22"/>
              </w:rPr>
              <w:t>References</w:t>
            </w:r>
            <w:r w:rsidRPr="002B4A8B">
              <w:rPr>
                <w:rFonts w:ascii="Arial" w:hAnsi="Arial" w:cs="Arial"/>
                <w:noProof/>
                <w:webHidden/>
                <w:sz w:val="22"/>
                <w:szCs w:val="22"/>
              </w:rPr>
              <w:tab/>
            </w:r>
            <w:r w:rsidRPr="002B4A8B">
              <w:rPr>
                <w:rFonts w:ascii="Arial" w:hAnsi="Arial" w:cs="Arial"/>
                <w:noProof/>
                <w:webHidden/>
                <w:sz w:val="22"/>
                <w:szCs w:val="22"/>
              </w:rPr>
              <w:fldChar w:fldCharType="begin"/>
            </w:r>
            <w:r w:rsidRPr="002B4A8B">
              <w:rPr>
                <w:rFonts w:ascii="Arial" w:hAnsi="Arial" w:cs="Arial"/>
                <w:noProof/>
                <w:webHidden/>
                <w:sz w:val="22"/>
                <w:szCs w:val="22"/>
              </w:rPr>
              <w:instrText xml:space="preserve"> PAGEREF _Toc237018687 \h </w:instrText>
            </w:r>
            <w:r w:rsidRPr="002B4A8B">
              <w:rPr>
                <w:rFonts w:ascii="Arial" w:hAnsi="Arial" w:cs="Arial"/>
                <w:noProof/>
                <w:webHidden/>
                <w:sz w:val="22"/>
                <w:szCs w:val="22"/>
              </w:rPr>
            </w:r>
            <w:r w:rsidRPr="002B4A8B">
              <w:rPr>
                <w:rFonts w:ascii="Arial" w:hAnsi="Arial" w:cs="Arial"/>
                <w:noProof/>
                <w:webHidden/>
                <w:sz w:val="22"/>
                <w:szCs w:val="22"/>
              </w:rPr>
              <w:fldChar w:fldCharType="separate"/>
            </w:r>
            <w:r w:rsidRPr="002B4A8B">
              <w:rPr>
                <w:rFonts w:ascii="Arial" w:hAnsi="Arial" w:cs="Arial"/>
                <w:noProof/>
                <w:webHidden/>
                <w:sz w:val="22"/>
                <w:szCs w:val="22"/>
              </w:rPr>
              <w:t>20</w:t>
            </w:r>
            <w:r w:rsidRPr="002B4A8B">
              <w:rPr>
                <w:rFonts w:ascii="Arial" w:hAnsi="Arial" w:cs="Arial"/>
                <w:noProof/>
                <w:webHidden/>
                <w:sz w:val="22"/>
                <w:szCs w:val="22"/>
              </w:rPr>
              <w:fldChar w:fldCharType="end"/>
            </w:r>
          </w:hyperlink>
        </w:p>
        <w:p w14:paraId="37E6716F" w14:textId="3AFF5ACF" w:rsidR="002B4A8B" w:rsidRDefault="002B4A8B" w:rsidP="002B4A8B">
          <w:pPr>
            <w:widowControl w:val="0"/>
            <w:tabs>
              <w:tab w:val="right" w:leader="dot" w:pos="9360"/>
            </w:tabs>
            <w:spacing w:before="60" w:line="240" w:lineRule="auto"/>
            <w:rPr>
              <w:rFonts w:ascii="Arial" w:eastAsia="Arial" w:hAnsi="Arial" w:cs="Arial"/>
              <w:b/>
              <w:bCs/>
              <w:color w:val="000000"/>
            </w:rPr>
          </w:pPr>
          <w:r w:rsidRPr="002B4A8B">
            <w:rPr>
              <w:rFonts w:ascii="Arial" w:hAnsi="Arial" w:cs="Arial"/>
              <w:sz w:val="22"/>
              <w:szCs w:val="22"/>
            </w:rPr>
            <w:fldChar w:fldCharType="end"/>
          </w:r>
        </w:p>
      </w:sdtContent>
    </w:sdt>
    <w:p w14:paraId="1E9A8C2A" w14:textId="77777777" w:rsidR="002B4A8B" w:rsidRDefault="002B4A8B" w:rsidP="002B4A8B">
      <w:pPr>
        <w:spacing w:before="120" w:after="120" w:line="480" w:lineRule="auto"/>
        <w:jc w:val="center"/>
      </w:pPr>
      <w:r>
        <w:br w:type="page"/>
      </w:r>
    </w:p>
    <w:p w14:paraId="29FFDCC2" w14:textId="77777777" w:rsidR="002B4A8B" w:rsidRDefault="002B4A8B" w:rsidP="002B4A8B">
      <w:pPr>
        <w:pStyle w:val="Heading1"/>
      </w:pPr>
      <w:bookmarkStart w:id="0" w:name="_Toc237018664"/>
      <w:r>
        <w:lastRenderedPageBreak/>
        <w:t>Introduction</w:t>
      </w:r>
      <w:bookmarkEnd w:id="0"/>
    </w:p>
    <w:p w14:paraId="57C4CC7A" w14:textId="77777777" w:rsidR="002B4A8B" w:rsidRDefault="002B4A8B" w:rsidP="002B4A8B">
      <w:pPr>
        <w:spacing w:before="120" w:after="120" w:line="480" w:lineRule="auto"/>
        <w:jc w:val="both"/>
        <w:rPr>
          <w:rFonts w:ascii="Arial" w:eastAsia="Arial" w:hAnsi="Arial" w:cs="Arial"/>
          <w:sz w:val="22"/>
          <w:szCs w:val="22"/>
        </w:rPr>
      </w:pPr>
      <w:r>
        <w:rPr>
          <w:rFonts w:ascii="Arial" w:eastAsia="Arial" w:hAnsi="Arial" w:cs="Arial"/>
          <w:sz w:val="22"/>
          <w:szCs w:val="22"/>
        </w:rPr>
        <w:t>On 12 April 2025 at Kota Medical College Hospital in Rajasthan, India, Jagdish Panchal, 60, was waiting near the operating room where his son was undergoing surgery for his injuries that he sustained in a road accident. This is when the hospital staff called out for another patient named “Jagdish”, who was scheduled for a dialysis fistula procedure. After Panchal had raised his hand, he was taken into the operation theatre without any kind of proper identity verification. He was then anesthetised, alongside receiving an incision on his arm. It was only after his son emerged from surgery and found out that his father was missing from the waiting area that the mix-up was discovered. After that, when doctors who were treating Manish Panchal’s son were alerted and entered the operation theatre, the procedure was halted, and the incision was sutured (SCMP, 2025).</w:t>
      </w:r>
    </w:p>
    <w:p w14:paraId="33E54188" w14:textId="77777777" w:rsidR="002B4A8B" w:rsidRDefault="002B4A8B" w:rsidP="002B4A8B">
      <w:pPr>
        <w:spacing w:before="120" w:after="120" w:line="480" w:lineRule="auto"/>
        <w:jc w:val="both"/>
        <w:rPr>
          <w:rFonts w:ascii="Arial" w:eastAsia="Arial" w:hAnsi="Arial" w:cs="Arial"/>
          <w:sz w:val="22"/>
          <w:szCs w:val="22"/>
        </w:rPr>
      </w:pPr>
      <w:r>
        <w:rPr>
          <w:rFonts w:ascii="Arial" w:eastAsia="Arial" w:hAnsi="Arial" w:cs="Arial"/>
          <w:sz w:val="22"/>
          <w:szCs w:val="22"/>
        </w:rPr>
        <w:t xml:space="preserve">Such a case results in exemplifying a classic “never event,” which is known as an adverse medical error, that is serious, alongside usually avoidable, including performing a procedure on the wrong patient or wrong body part (Fortier </w:t>
      </w:r>
      <w:r>
        <w:rPr>
          <w:rFonts w:ascii="Arial" w:eastAsia="Arial" w:hAnsi="Arial" w:cs="Arial"/>
          <w:i/>
          <w:iCs/>
          <w:sz w:val="22"/>
          <w:szCs w:val="22"/>
        </w:rPr>
        <w:t>et al.,</w:t>
      </w:r>
      <w:r>
        <w:rPr>
          <w:rFonts w:ascii="Arial" w:eastAsia="Arial" w:hAnsi="Arial" w:cs="Arial"/>
          <w:sz w:val="22"/>
          <w:szCs w:val="22"/>
        </w:rPr>
        <w:t xml:space="preserve"> 2023).  This is also driven by communication failure, along with absent verification protocols, in addition to weak oversight. It is essential to note that leadership in health and social care is defined by influencing individuals and teams for achieving shared goals of safe and high-quality patient care through vision, motivation and also accountability (Singh </w:t>
      </w:r>
      <w:r>
        <w:rPr>
          <w:rFonts w:ascii="Arial" w:eastAsia="Arial" w:hAnsi="Arial" w:cs="Arial"/>
          <w:i/>
          <w:iCs/>
          <w:sz w:val="22"/>
          <w:szCs w:val="22"/>
        </w:rPr>
        <w:t>et al.,</w:t>
      </w:r>
      <w:r>
        <w:rPr>
          <w:rFonts w:ascii="Arial" w:eastAsia="Arial" w:hAnsi="Arial" w:cs="Arial"/>
          <w:sz w:val="22"/>
          <w:szCs w:val="22"/>
        </w:rPr>
        <w:t xml:space="preserve"> 2024). Centralisation is known for reducing financial and operational managerial autonomy, thus leading to delays in decision-making and local responses (</w:t>
      </w:r>
      <w:proofErr w:type="spellStart"/>
      <w:r>
        <w:rPr>
          <w:rFonts w:ascii="Arial" w:eastAsia="Arial" w:hAnsi="Arial" w:cs="Arial"/>
          <w:sz w:val="22"/>
          <w:szCs w:val="22"/>
        </w:rPr>
        <w:t>Krenyacz</w:t>
      </w:r>
      <w:proofErr w:type="spellEnd"/>
      <w:r>
        <w:rPr>
          <w:rFonts w:ascii="Arial" w:eastAsia="Arial" w:hAnsi="Arial" w:cs="Arial"/>
          <w:sz w:val="22"/>
          <w:szCs w:val="22"/>
        </w:rPr>
        <w:t xml:space="preserve"> and Revesz, 2025). Decentralisation, on the other hand, is able to distribute authority, along with encouraging local ownership, in addition to responsiveness; however, it also develops inconsistency (Sapkota </w:t>
      </w:r>
      <w:r>
        <w:rPr>
          <w:rFonts w:ascii="Arial" w:eastAsia="Arial" w:hAnsi="Arial" w:cs="Arial"/>
          <w:i/>
          <w:iCs/>
          <w:sz w:val="22"/>
          <w:szCs w:val="22"/>
        </w:rPr>
        <w:t xml:space="preserve">et al., </w:t>
      </w:r>
      <w:r>
        <w:rPr>
          <w:rFonts w:ascii="Arial" w:eastAsia="Arial" w:hAnsi="Arial" w:cs="Arial"/>
          <w:sz w:val="22"/>
          <w:szCs w:val="22"/>
        </w:rPr>
        <w:t>2023). There are several key theories, such as transformational leadership, transactional leadership, along with situational leadership.</w:t>
      </w:r>
    </w:p>
    <w:p w14:paraId="7D0FD6BE" w14:textId="77777777" w:rsidR="002B4A8B" w:rsidRDefault="002B4A8B" w:rsidP="002B4A8B">
      <w:pPr>
        <w:spacing w:before="120" w:after="120" w:line="480" w:lineRule="auto"/>
        <w:jc w:val="both"/>
        <w:rPr>
          <w:rFonts w:ascii="Arial" w:eastAsia="Arial" w:hAnsi="Arial" w:cs="Arial"/>
          <w:sz w:val="22"/>
          <w:szCs w:val="22"/>
        </w:rPr>
      </w:pPr>
      <w:r>
        <w:rPr>
          <w:rFonts w:ascii="Arial" w:eastAsia="Arial" w:hAnsi="Arial" w:cs="Arial"/>
          <w:sz w:val="22"/>
          <w:szCs w:val="22"/>
        </w:rPr>
        <w:t xml:space="preserve">It is essential to select the appropriate leadership style in crises or change, as rigid hierarchical or purely reactive approaches are able to perpetuate system failures. While adaptive, distributed </w:t>
      </w:r>
      <w:r>
        <w:rPr>
          <w:rFonts w:ascii="Arial" w:eastAsia="Arial" w:hAnsi="Arial" w:cs="Arial"/>
          <w:sz w:val="22"/>
          <w:szCs w:val="22"/>
        </w:rPr>
        <w:lastRenderedPageBreak/>
        <w:t>and emotionally intelligent leadership is able to enable rapid learning, along with providing psychological safety and sustained improvement (</w:t>
      </w:r>
      <w:proofErr w:type="spellStart"/>
      <w:r>
        <w:rPr>
          <w:rFonts w:ascii="Arial" w:eastAsia="Arial" w:hAnsi="Arial" w:cs="Arial"/>
          <w:sz w:val="22"/>
          <w:szCs w:val="22"/>
        </w:rPr>
        <w:t>Polestina</w:t>
      </w:r>
      <w:proofErr w:type="spellEnd"/>
      <w:r>
        <w:rPr>
          <w:rFonts w:ascii="Arial" w:eastAsia="Arial" w:hAnsi="Arial" w:cs="Arial"/>
          <w:sz w:val="22"/>
          <w:szCs w:val="22"/>
        </w:rPr>
        <w:t xml:space="preserve"> </w:t>
      </w:r>
      <w:r>
        <w:rPr>
          <w:rFonts w:ascii="Arial" w:eastAsia="Arial" w:hAnsi="Arial" w:cs="Arial"/>
          <w:i/>
          <w:iCs/>
          <w:sz w:val="22"/>
          <w:szCs w:val="22"/>
        </w:rPr>
        <w:t>et al.,</w:t>
      </w:r>
      <w:r>
        <w:rPr>
          <w:rFonts w:ascii="Arial" w:eastAsia="Arial" w:hAnsi="Arial" w:cs="Arial"/>
          <w:sz w:val="22"/>
          <w:szCs w:val="22"/>
        </w:rPr>
        <w:t xml:space="preserve"> 2025). This report will be applying systems thinking, analyse centralisation compared to decentralisation, critique various leadership theories against the case study, evaluate various improvement opportunities, and lastly, offer evidence-based recommendations for the Kota Medical College Hospital.</w:t>
      </w:r>
    </w:p>
    <w:p w14:paraId="63AE3D25" w14:textId="77777777" w:rsidR="002B4A8B" w:rsidRDefault="002B4A8B" w:rsidP="002B4A8B">
      <w:pPr>
        <w:pStyle w:val="Heading1"/>
      </w:pPr>
      <w:bookmarkStart w:id="1" w:name="_Toc237018665"/>
      <w:r>
        <w:t>Main Body and Analysis</w:t>
      </w:r>
      <w:bookmarkEnd w:id="1"/>
    </w:p>
    <w:p w14:paraId="2E6C93AD" w14:textId="77777777" w:rsidR="002B4A8B" w:rsidRDefault="002B4A8B" w:rsidP="002B4A8B">
      <w:pPr>
        <w:pStyle w:val="Heading2"/>
      </w:pPr>
      <w:bookmarkStart w:id="2" w:name="_Toc237018666"/>
      <w:r>
        <w:t>a. Identifying the Problem and Setting the System Context – Applying Systems Thinking and the Rich Picture</w:t>
      </w:r>
      <w:bookmarkEnd w:id="2"/>
    </w:p>
    <w:p w14:paraId="166A2885" w14:textId="77777777" w:rsidR="002B4A8B" w:rsidRDefault="002B4A8B" w:rsidP="002B4A8B">
      <w:pPr>
        <w:spacing w:before="120" w:after="120" w:line="480" w:lineRule="auto"/>
        <w:jc w:val="both"/>
        <w:rPr>
          <w:rFonts w:ascii="Arial" w:eastAsia="Arial" w:hAnsi="Arial" w:cs="Arial"/>
          <w:sz w:val="22"/>
          <w:szCs w:val="22"/>
        </w:rPr>
      </w:pPr>
      <w:r>
        <w:rPr>
          <w:rFonts w:ascii="Arial" w:eastAsia="Arial" w:hAnsi="Arial" w:cs="Arial"/>
          <w:sz w:val="22"/>
          <w:szCs w:val="22"/>
        </w:rPr>
        <w:t xml:space="preserve">The core problem can be defined as a preventable wrong-patient invasive procedure, which was mainly caused due to failure of identity verification, name-based calling without any kind of secondary identifiers, no presence of pre-procedure checks, such as gowning, wristband or consent, along with inadequate communication between departments and a non-verbal patient (Algie </w:t>
      </w:r>
      <w:r>
        <w:rPr>
          <w:rFonts w:ascii="Arial" w:eastAsia="Arial" w:hAnsi="Arial" w:cs="Arial"/>
          <w:i/>
          <w:iCs/>
          <w:sz w:val="22"/>
          <w:szCs w:val="22"/>
        </w:rPr>
        <w:t>et al.,</w:t>
      </w:r>
      <w:r>
        <w:rPr>
          <w:rFonts w:ascii="Arial" w:eastAsia="Arial" w:hAnsi="Arial" w:cs="Arial"/>
          <w:sz w:val="22"/>
          <w:szCs w:val="22"/>
        </w:rPr>
        <w:t xml:space="preserve"> 2015). The incident is known to have occurred in a busy government tertiary teaching hospital, where 60-year-old Jagdish Panchal, who had facial paralysis and limited speech, waiting outside, was mistakenly treated as a patient similar to his name scheduled for Cardio-Thoracic and Vascular Surgery dialysis fistula, while at the same time the attendant’s own son is known to have undergone orthopaedic surgery in another department (Kumari Singh, 2025). The error was discovered after his son is known to have emerged from surgery and found his father missing.</w:t>
      </w:r>
    </w:p>
    <w:p w14:paraId="01A13389" w14:textId="77777777" w:rsidR="002B4A8B" w:rsidRDefault="002B4A8B" w:rsidP="002B4A8B">
      <w:pPr>
        <w:spacing w:before="120" w:after="120" w:line="480" w:lineRule="auto"/>
        <w:jc w:val="both"/>
        <w:rPr>
          <w:rFonts w:ascii="Arial" w:eastAsia="Arial" w:hAnsi="Arial" w:cs="Arial"/>
          <w:sz w:val="22"/>
          <w:szCs w:val="22"/>
        </w:rPr>
      </w:pPr>
      <w:r>
        <w:rPr>
          <w:rFonts w:ascii="Arial" w:eastAsia="Arial" w:hAnsi="Arial" w:cs="Arial"/>
          <w:sz w:val="22"/>
          <w:szCs w:val="22"/>
        </w:rPr>
        <w:t>According to WHO (2023), globally, around 1 in every 10 patients is known for being harmed in health care, with more than 3 million deaths known for occurring yearly due to unsafe care. In addition to that, in low-to-middle-income countries, the figure reaches as many as 4 in 100 people. WHO (2023) also reports that above 50% of harm, which is 1 in every 20 patients, is preventable, as half of this harm is attributed to medications. It is also essential to note that over 300 million surgical procedures are performed every year around the world, of which surgical errors are known to contribute around 10% of preventable harm in health care (WHO, 2023). A well-</w:t>
      </w:r>
      <w:r>
        <w:rPr>
          <w:rFonts w:ascii="Arial" w:eastAsia="Arial" w:hAnsi="Arial" w:cs="Arial"/>
          <w:sz w:val="22"/>
          <w:szCs w:val="22"/>
        </w:rPr>
        <w:lastRenderedPageBreak/>
        <w:t>recognised root cause of catastrophic events is known for being patient misidentification, which includes wrong-site or wrong-patient surgery. A Joint Commission report published in 2018 which resulted in identifying 409 sentinel events of patient identification out of 3326 incidents between 2014 and 2017, which is equivalent to 12.3% (WHO, 2023). Such "wrong-site, wrong-procedure, wrong-patient errors," also known as WSPEs, are rightly termed as “never events”, which are errors that should never occur, along with indicating serious underlying safety problems. According to a seminal study, it is estimated that such errors are known to occur in around 1 of 112,000 surgical procedures; however, rates are expected to rise when non-OR settings are included (AHRQ, 2019). It is essential to note that the persistence of such events in spite of the availability of widespread knowledge of prevention strategies results in underscoring deeper systemic vulnerabilities in leadership, communication and lastly, accountability.</w:t>
      </w:r>
    </w:p>
    <w:p w14:paraId="2042D19C" w14:textId="77777777" w:rsidR="002B4A8B" w:rsidRDefault="002B4A8B" w:rsidP="002B4A8B">
      <w:pPr>
        <w:spacing w:before="120" w:after="120" w:line="480" w:lineRule="auto"/>
        <w:jc w:val="both"/>
        <w:rPr>
          <w:rFonts w:ascii="Arial" w:eastAsia="Arial" w:hAnsi="Arial" w:cs="Arial"/>
          <w:sz w:val="22"/>
          <w:szCs w:val="22"/>
        </w:rPr>
      </w:pPr>
      <w:r>
        <w:rPr>
          <w:rFonts w:ascii="Arial" w:eastAsia="Arial" w:hAnsi="Arial" w:cs="Arial"/>
          <w:sz w:val="22"/>
          <w:szCs w:val="22"/>
        </w:rPr>
        <w:t xml:space="preserve">Nationally, NHS England data is known for illustrating persistence of such events despite being a highly regulated system. Provisional figures between 2025 and 2026 are known to have recorded dozens to hundreds of never events yearly. Between April 2014 and March 2015, there were 124 cases of wrong-site surgery recorded in the UK (Geraghty </w:t>
      </w:r>
      <w:r>
        <w:rPr>
          <w:rFonts w:ascii="Arial" w:eastAsia="Arial" w:hAnsi="Arial" w:cs="Arial"/>
          <w:i/>
          <w:iCs/>
          <w:sz w:val="22"/>
          <w:szCs w:val="22"/>
        </w:rPr>
        <w:t xml:space="preserve">et al., </w:t>
      </w:r>
      <w:r>
        <w:rPr>
          <w:rFonts w:ascii="Arial" w:eastAsia="Arial" w:hAnsi="Arial" w:cs="Arial"/>
          <w:sz w:val="22"/>
          <w:szCs w:val="22"/>
        </w:rPr>
        <w:t>2020). It is also essential to note that cases of wrong-site surgery in England are known to have risen from 69 in 2020 to 101 last year, which is a 46% increase during that time, with 7% involving serious harm to patients (Ferris, 2026). Such figures result in showcasing that even systems that are well-resourced have the possibility to continue experiencing never events when verification processes remain incomplete or applied inconsistently.</w:t>
      </w:r>
    </w:p>
    <w:p w14:paraId="3E70020C" w14:textId="77777777" w:rsidR="002B4A8B" w:rsidRDefault="002B4A8B" w:rsidP="002B4A8B">
      <w:pPr>
        <w:spacing w:before="120" w:after="120" w:line="480" w:lineRule="auto"/>
        <w:jc w:val="both"/>
        <w:rPr>
          <w:rFonts w:ascii="Arial" w:eastAsia="Arial" w:hAnsi="Arial" w:cs="Arial"/>
          <w:sz w:val="22"/>
          <w:szCs w:val="22"/>
        </w:rPr>
      </w:pPr>
      <w:r>
        <w:rPr>
          <w:rFonts w:ascii="Arial" w:eastAsia="Arial" w:hAnsi="Arial" w:cs="Arial"/>
          <w:sz w:val="22"/>
          <w:szCs w:val="22"/>
        </w:rPr>
        <w:t xml:space="preserve">In the case of India, comprehensive national never-event registries are known for being less mature; however, studies are known for documenting high burdens of preventable harm. In India, medical errors, alongside their consequences, are estimated to result in around 5.2 million injuries per year. Additionally, medication-error reviews are known to report median incidence rates of around 34% in various sampled Indian hospital settings (Govil </w:t>
      </w:r>
      <w:r>
        <w:rPr>
          <w:rFonts w:ascii="Arial" w:eastAsia="Arial" w:hAnsi="Arial" w:cs="Arial"/>
          <w:i/>
          <w:iCs/>
          <w:sz w:val="22"/>
          <w:szCs w:val="22"/>
        </w:rPr>
        <w:t>et al.,</w:t>
      </w:r>
      <w:r>
        <w:rPr>
          <w:rFonts w:ascii="Arial" w:eastAsia="Arial" w:hAnsi="Arial" w:cs="Arial"/>
          <w:sz w:val="22"/>
          <w:szCs w:val="22"/>
        </w:rPr>
        <w:t xml:space="preserve"> 2025). The various patient-</w:t>
      </w:r>
      <w:r>
        <w:rPr>
          <w:rFonts w:ascii="Arial" w:eastAsia="Arial" w:hAnsi="Arial" w:cs="Arial"/>
          <w:sz w:val="22"/>
          <w:szCs w:val="22"/>
        </w:rPr>
        <w:lastRenderedPageBreak/>
        <w:t xml:space="preserve">identification errors are known for appearing in laboratory, pathology, in addition to procedural contexts. It is also essential to note that there is also evidence of incomplete compliance with the WHO Surgical Safety Checklist in various Indian centres (Kausar </w:t>
      </w:r>
      <w:r>
        <w:rPr>
          <w:rFonts w:ascii="Arial" w:eastAsia="Arial" w:hAnsi="Arial" w:cs="Arial"/>
          <w:i/>
          <w:iCs/>
          <w:sz w:val="22"/>
          <w:szCs w:val="22"/>
        </w:rPr>
        <w:t>et al.,</w:t>
      </w:r>
      <w:r>
        <w:rPr>
          <w:rFonts w:ascii="Arial" w:eastAsia="Arial" w:hAnsi="Arial" w:cs="Arial"/>
          <w:sz w:val="22"/>
          <w:szCs w:val="22"/>
        </w:rPr>
        <w:t xml:space="preserve"> 2025). Rajasthan government data is known to have acknowledged several medical-negligence deaths in recent years, numbering up to 12 in the past two years, including transfusion errors, with often disciplinary action remaining incomplete (The Print, 2026).</w:t>
      </w:r>
    </w:p>
    <w:p w14:paraId="6A0B6A6D" w14:textId="2205BDE9" w:rsidR="002B4A8B" w:rsidRDefault="002B4A8B" w:rsidP="002B4A8B">
      <w:pPr>
        <w:spacing w:before="120" w:after="120" w:line="480" w:lineRule="auto"/>
        <w:jc w:val="both"/>
        <w:rPr>
          <w:rFonts w:ascii="Arial" w:eastAsia="Arial" w:hAnsi="Arial" w:cs="Arial"/>
          <w:sz w:val="22"/>
          <w:szCs w:val="22"/>
        </w:rPr>
      </w:pPr>
      <w:r>
        <w:rPr>
          <w:rFonts w:ascii="Arial" w:eastAsia="Arial" w:hAnsi="Arial" w:cs="Arial"/>
          <w:sz w:val="22"/>
          <w:szCs w:val="22"/>
        </w:rPr>
        <w:t>Such figures result in positioning the Kota incident as a local failure, in addition to a manifestation of various systemic weaknesses, such as fragmented communication, over-reliance on verbal name-calling, improper utilisation of unique identifiers, along with variable protocol adherence. It is essential to note that governance influence is known to have primarily operated at the local level, such as the hospital, along with the state levels, which are the Rajasthan medical education and health departments. Despite national standards such as NMC and patient-safety guidelines existing, implementation and enforcement strongly depend on institutional leadership and resources (NMC, 2026; NHSRC India, 2021). Several underlying challenges are known to include higher patient volumes in various government teaching hospitals, along with staff workload pressures, in addition to variable training in human-factors approaches and, lastly, limited real-time audit feedback.</w:t>
      </w:r>
    </w:p>
    <w:p w14:paraId="51535C40" w14:textId="77091E89" w:rsidR="0055025F" w:rsidRDefault="0055025F" w:rsidP="002B4A8B">
      <w:pPr>
        <w:spacing w:before="120" w:after="120" w:line="480" w:lineRule="auto"/>
        <w:jc w:val="both"/>
        <w:rPr>
          <w:rFonts w:ascii="Arial" w:eastAsia="Arial" w:hAnsi="Arial" w:cs="Arial"/>
          <w:sz w:val="22"/>
          <w:szCs w:val="22"/>
        </w:rPr>
      </w:pPr>
      <w:r w:rsidRPr="0055025F">
        <w:rPr>
          <w:rFonts w:ascii="Arial" w:eastAsia="Arial" w:hAnsi="Arial" w:cs="Arial"/>
          <w:sz w:val="22"/>
          <w:szCs w:val="22"/>
        </w:rPr>
        <w:t>This incident can also be interpreted using the Donabedian Structure–Process–Outcome model. From a structural perspective, weaknesses included shared waiting areas, inadequate patient-identification systems, staffing pressures and limited governance oversight</w:t>
      </w:r>
      <w:r w:rsidR="00717EEE">
        <w:rPr>
          <w:rFonts w:ascii="Arial" w:eastAsia="Arial" w:hAnsi="Arial" w:cs="Arial"/>
          <w:sz w:val="22"/>
          <w:szCs w:val="22"/>
        </w:rPr>
        <w:t xml:space="preserve"> (</w:t>
      </w:r>
      <w:r w:rsidR="00717EEE" w:rsidRPr="00717EEE">
        <w:rPr>
          <w:rFonts w:ascii="Arial" w:eastAsia="Arial" w:hAnsi="Arial" w:cs="Arial"/>
          <w:sz w:val="22"/>
          <w:szCs w:val="22"/>
        </w:rPr>
        <w:t>Goenka</w:t>
      </w:r>
      <w:r w:rsidR="00717EEE">
        <w:rPr>
          <w:rFonts w:ascii="Arial" w:eastAsia="Arial" w:hAnsi="Arial" w:cs="Arial"/>
          <w:sz w:val="22"/>
          <w:szCs w:val="22"/>
        </w:rPr>
        <w:t xml:space="preserve"> </w:t>
      </w:r>
      <w:r w:rsidR="00717EEE">
        <w:rPr>
          <w:rFonts w:ascii="Arial" w:eastAsia="Arial" w:hAnsi="Arial" w:cs="Arial"/>
          <w:i/>
          <w:iCs/>
          <w:sz w:val="22"/>
          <w:szCs w:val="22"/>
        </w:rPr>
        <w:t>et al.</w:t>
      </w:r>
      <w:r w:rsidR="00717EEE">
        <w:rPr>
          <w:rFonts w:ascii="Arial" w:eastAsia="Arial" w:hAnsi="Arial" w:cs="Arial"/>
          <w:sz w:val="22"/>
          <w:szCs w:val="22"/>
        </w:rPr>
        <w:t xml:space="preserve"> 2024)</w:t>
      </w:r>
      <w:r w:rsidRPr="0055025F">
        <w:rPr>
          <w:rFonts w:ascii="Arial" w:eastAsia="Arial" w:hAnsi="Arial" w:cs="Arial"/>
          <w:sz w:val="22"/>
          <w:szCs w:val="22"/>
        </w:rPr>
        <w:t>. Process failures involved reliance on verbal name-calling, absence of two-identifier verification, and incomplete implementation of the WHO Surgical Safety Checklist. These structural and process deficiencies ultimately produced an adverse outcome, namely wrong-patient surgery, highlighting how improvements in organisational infrastructure and standardised clinical processes are essential to achieving safer patient outcomes.</w:t>
      </w:r>
    </w:p>
    <w:p w14:paraId="52FEB482" w14:textId="77777777" w:rsidR="002B4A8B" w:rsidRDefault="002B4A8B" w:rsidP="002B4A8B">
      <w:pPr>
        <w:spacing w:before="120" w:after="120" w:line="480" w:lineRule="auto"/>
        <w:jc w:val="center"/>
        <w:rPr>
          <w:rFonts w:ascii="Arial" w:eastAsia="Arial" w:hAnsi="Arial" w:cs="Arial"/>
          <w:sz w:val="22"/>
          <w:szCs w:val="22"/>
        </w:rPr>
      </w:pPr>
      <w:r>
        <w:rPr>
          <w:rFonts w:ascii="Arial" w:eastAsia="Arial" w:hAnsi="Arial" w:cs="Arial"/>
          <w:noProof/>
          <w:sz w:val="22"/>
          <w:szCs w:val="22"/>
        </w:rPr>
        <w:lastRenderedPageBreak/>
        <w:drawing>
          <wp:inline distT="114300" distB="114300" distL="114300" distR="114300" wp14:anchorId="6A9006AD" wp14:editId="325D1282">
            <wp:extent cx="5943600" cy="31623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943600" cy="3162300"/>
                    </a:xfrm>
                    <a:prstGeom prst="rect">
                      <a:avLst/>
                    </a:prstGeom>
                    <a:ln/>
                  </pic:spPr>
                </pic:pic>
              </a:graphicData>
            </a:graphic>
          </wp:inline>
        </w:drawing>
      </w:r>
    </w:p>
    <w:p w14:paraId="105FC20F" w14:textId="77777777" w:rsidR="002B4A8B" w:rsidRDefault="002B4A8B" w:rsidP="002B4A8B">
      <w:pPr>
        <w:spacing w:before="120" w:after="120" w:line="480" w:lineRule="auto"/>
        <w:jc w:val="center"/>
        <w:rPr>
          <w:rFonts w:ascii="Arial" w:eastAsia="Arial" w:hAnsi="Arial" w:cs="Arial"/>
          <w:sz w:val="22"/>
          <w:szCs w:val="22"/>
        </w:rPr>
      </w:pPr>
      <w:r>
        <w:rPr>
          <w:rFonts w:ascii="Arial" w:eastAsia="Arial" w:hAnsi="Arial" w:cs="Arial"/>
          <w:b/>
          <w:bCs/>
          <w:sz w:val="22"/>
          <w:szCs w:val="22"/>
        </w:rPr>
        <w:t>Figure 1: Rich Picture</w:t>
      </w:r>
    </w:p>
    <w:p w14:paraId="44A48354" w14:textId="77777777" w:rsidR="002B4A8B" w:rsidRDefault="002B4A8B" w:rsidP="002B4A8B">
      <w:pPr>
        <w:spacing w:before="120" w:after="120" w:line="480" w:lineRule="auto"/>
        <w:jc w:val="center"/>
        <w:rPr>
          <w:rFonts w:ascii="Arial" w:eastAsia="Arial" w:hAnsi="Arial" w:cs="Arial"/>
          <w:sz w:val="22"/>
          <w:szCs w:val="22"/>
        </w:rPr>
      </w:pPr>
      <w:r>
        <w:rPr>
          <w:rFonts w:ascii="Arial" w:eastAsia="Arial" w:hAnsi="Arial" w:cs="Arial"/>
          <w:sz w:val="22"/>
          <w:szCs w:val="22"/>
        </w:rPr>
        <w:t>(Self-Created)</w:t>
      </w:r>
    </w:p>
    <w:p w14:paraId="764F0B19" w14:textId="77777777" w:rsidR="002B4A8B" w:rsidRDefault="002B4A8B" w:rsidP="002B4A8B">
      <w:pPr>
        <w:pStyle w:val="Heading2"/>
      </w:pPr>
      <w:bookmarkStart w:id="3" w:name="_Toc237018667"/>
      <w:r>
        <w:t>b. Centralisation or Decentralisation within the Case Study</w:t>
      </w:r>
      <w:bookmarkEnd w:id="3"/>
    </w:p>
    <w:p w14:paraId="5169B943" w14:textId="77777777" w:rsidR="002B4A8B" w:rsidRDefault="002B4A8B" w:rsidP="002B4A8B">
      <w:pPr>
        <w:spacing w:before="120" w:after="120" w:line="480" w:lineRule="auto"/>
        <w:jc w:val="both"/>
        <w:rPr>
          <w:rFonts w:ascii="Arial" w:eastAsia="Arial" w:hAnsi="Arial" w:cs="Arial"/>
          <w:sz w:val="22"/>
          <w:szCs w:val="22"/>
        </w:rPr>
      </w:pPr>
      <w:r>
        <w:rPr>
          <w:rFonts w:ascii="Arial" w:eastAsia="Arial" w:hAnsi="Arial" w:cs="Arial"/>
          <w:sz w:val="22"/>
          <w:szCs w:val="22"/>
        </w:rPr>
        <w:t xml:space="preserve">Indian public-sector tertiary hospitals, such as government medical-college hospitals, which include Kota Medical College Hospital, are known for operating within a predominantly hierarchical and relatively centralised structure at the institutional level. Such a structure is also nested inside the federal system of India, in which health is known for being constitutionally a state subject under the Seventh Schedule (MEA India, 2026). However, despite this, the structure is known to remain significantly influenced by various central standards and funding schemes, such as the National Health Mission, in addition to various regulatory bodies, such as the National Medical Commission (NHM India, 2026; NMC, 2026). It is essential to note that decision-making authority regarding clinical protocols, staffing allocations, along with theatre scheduling, in addition to disciplinary action is known for being concentrated with the principal, medical </w:t>
      </w:r>
      <w:r>
        <w:rPr>
          <w:rFonts w:ascii="Arial" w:eastAsia="Arial" w:hAnsi="Arial" w:cs="Arial"/>
          <w:sz w:val="22"/>
          <w:szCs w:val="22"/>
        </w:rPr>
        <w:lastRenderedPageBreak/>
        <w:t>superintendent and lastly, various departmental heads. Staff working at the frontline are expected to implement various directives compared to redesigning core safety processes.</w:t>
      </w:r>
    </w:p>
    <w:p w14:paraId="5FF530DB" w14:textId="77777777" w:rsidR="002B4A8B" w:rsidRDefault="002B4A8B" w:rsidP="002B4A8B">
      <w:pPr>
        <w:pStyle w:val="Heading3"/>
      </w:pPr>
      <w:bookmarkStart w:id="4" w:name="_Toc237018668"/>
      <w:r>
        <w:t>Centralised Features and Example</w:t>
      </w:r>
      <w:bookmarkEnd w:id="4"/>
    </w:p>
    <w:p w14:paraId="5C602284" w14:textId="77777777" w:rsidR="002B4A8B" w:rsidRDefault="002B4A8B" w:rsidP="002B4A8B">
      <w:pPr>
        <w:spacing w:before="120" w:after="120" w:line="480" w:lineRule="auto"/>
        <w:jc w:val="both"/>
        <w:rPr>
          <w:rFonts w:ascii="Arial" w:eastAsia="Arial" w:hAnsi="Arial" w:cs="Arial"/>
          <w:sz w:val="22"/>
          <w:szCs w:val="22"/>
        </w:rPr>
      </w:pPr>
      <w:r>
        <w:rPr>
          <w:rFonts w:ascii="Arial" w:eastAsia="Arial" w:hAnsi="Arial" w:cs="Arial"/>
          <w:sz w:val="22"/>
          <w:szCs w:val="22"/>
        </w:rPr>
        <w:t>In Kota Medical College Hospital’s case, centralised features are clearly visible. At the hospital or state level, standard operating procedures, along with identity-verification expectations, in addition to post-incident accountability mechanisms, are set. In the incident at Kota, the principal, Dr Sangeeta Saxena, is known to have ordered the hospital superintendent to form a three-member committee for investigating the incident, along with submitting a report within 72 hours (SCMP, 2025). This is an archetypal example of top-down accountability, which is triggered by external pressures (Zhong and Zeng, 2024). It is essential to note that the various advantages of such a centralised approach are known to include the potential regarding rapid, uniform directives, along with clear lines of hierarchical responsibility following an adverse event. It also holds the potential for the ability to impose consistent standards across various departments. Centralisation is required to enable the consistent enforcement of various patient-identification protocols, in addition to the WHO Surgical Safety Checklist (WHO, 2009). However, there are also various apparent disadvantages, such as centralisation often being known for reducing local ownership of safety routines, along with slowing adaptation to real-time frontline conditions, which is similar to the case of a non-verbal patient sitting in a shared waiting area, in addition to encouraging staff to not treat checklists as safety-critical tools but rather bureaucratic requirements (</w:t>
      </w:r>
      <w:proofErr w:type="spellStart"/>
      <w:r>
        <w:rPr>
          <w:rFonts w:ascii="Arial" w:eastAsia="Arial" w:hAnsi="Arial" w:cs="Arial"/>
          <w:sz w:val="22"/>
          <w:szCs w:val="22"/>
        </w:rPr>
        <w:t>Krenyacz</w:t>
      </w:r>
      <w:proofErr w:type="spellEnd"/>
      <w:r>
        <w:rPr>
          <w:rFonts w:ascii="Arial" w:eastAsia="Arial" w:hAnsi="Arial" w:cs="Arial"/>
          <w:sz w:val="22"/>
          <w:szCs w:val="22"/>
        </w:rPr>
        <w:t xml:space="preserve"> and Revesz, 2025). Various Indian studies of Surgical Safety Checklist compliance are also known for showcasing variables, alongside incomplete adherence despite the existence of formal policies. This results in indicating that central mandates without accompanying local empowerment, along with training, in addition to monitoring, produce partial adoption.</w:t>
      </w:r>
    </w:p>
    <w:p w14:paraId="6F18FD70" w14:textId="77777777" w:rsidR="002B4A8B" w:rsidRDefault="002B4A8B" w:rsidP="002B4A8B">
      <w:pPr>
        <w:pStyle w:val="Heading3"/>
      </w:pPr>
      <w:bookmarkStart w:id="5" w:name="_Toc237018669"/>
      <w:r>
        <w:lastRenderedPageBreak/>
        <w:t>Decentralised Features and Example</w:t>
      </w:r>
      <w:bookmarkEnd w:id="5"/>
    </w:p>
    <w:p w14:paraId="2CBFA993" w14:textId="77777777" w:rsidR="002B4A8B" w:rsidRDefault="002B4A8B" w:rsidP="002B4A8B">
      <w:pPr>
        <w:spacing w:before="120" w:after="120" w:line="480" w:lineRule="auto"/>
        <w:jc w:val="both"/>
        <w:rPr>
          <w:rFonts w:ascii="Arial" w:eastAsia="Arial" w:hAnsi="Arial" w:cs="Arial"/>
          <w:sz w:val="22"/>
          <w:szCs w:val="22"/>
        </w:rPr>
      </w:pPr>
      <w:r>
        <w:rPr>
          <w:rFonts w:ascii="Arial" w:eastAsia="Arial" w:hAnsi="Arial" w:cs="Arial"/>
          <w:sz w:val="22"/>
          <w:szCs w:val="22"/>
        </w:rPr>
        <w:t>Various decentralised features are also known for existing within the same system, such as day-to-day clinical decision-making, along with patient flow management, and immediate threat coordination. These are delegated to speciality teams, in addition to nursing staff. In principle, such distribution of authority is known for allowing contextual responsiveness, in addition to the potential for frontline innovation. Speciality teams are able to adapt workflows to the particular demands of their caseload, along with local problem-solving is also able to occur in a rapid space compared to if each of the decisions is required for senior approval. However, the disadvantages of decentralisation without the presence of strong coordination are also evident in the case of Kota. Various departments, such as the Cardio-Thoracic and Vascular Surgery versus plastic/orthopaedic surgery department, are known to have operated with limited cross-team communication despite sharing a similar operating-theatre complex alongside waiting areas (SCMP, 2025). It is also essential to note that overall accountability regarding patient identification is also known to have become diluted due to the absence of any single local owner being clearly responsible for the enforcement of any verification protocols.  There are also various indicators of system strain which reinforce this picture. There are higher patient volumes in Rajasthan government hospitals, along with reported shortages in specialised clinical cadres, in addition to incomplete disciplinary closure, which is also followed by acknowledged medical-negligence deaths, and persistently incomplete checklist compliance. These combined together point to a system that is under pressure (Maheshwari, 2026; Gupta and Meena, 2025).</w:t>
      </w:r>
    </w:p>
    <w:p w14:paraId="4FD937DB" w14:textId="77777777" w:rsidR="002B4A8B" w:rsidRDefault="002B4A8B" w:rsidP="002B4A8B">
      <w:pPr>
        <w:pStyle w:val="Heading3"/>
      </w:pPr>
      <w:bookmarkStart w:id="6" w:name="_Toc237018670"/>
      <w:r>
        <w:t>Critical Analysis</w:t>
      </w:r>
      <w:bookmarkEnd w:id="6"/>
    </w:p>
    <w:p w14:paraId="5B40A306" w14:textId="77777777" w:rsidR="002B4A8B" w:rsidRDefault="002B4A8B" w:rsidP="002B4A8B">
      <w:pPr>
        <w:spacing w:before="120" w:after="120" w:line="480" w:lineRule="auto"/>
        <w:jc w:val="both"/>
        <w:rPr>
          <w:rFonts w:ascii="Arial" w:eastAsia="Arial" w:hAnsi="Arial" w:cs="Arial"/>
          <w:sz w:val="22"/>
          <w:szCs w:val="22"/>
        </w:rPr>
      </w:pPr>
      <w:r>
        <w:rPr>
          <w:rFonts w:ascii="Arial" w:eastAsia="Arial" w:hAnsi="Arial" w:cs="Arial"/>
          <w:sz w:val="22"/>
          <w:szCs w:val="22"/>
        </w:rPr>
        <w:t xml:space="preserve">Such a hybrid structure hinders crisis prevention. Centralised hierarchy resulted in enabling post-hoc investigation; however, it did not embed reliable local safety behaviours. Decentralised operational autonomy without the presence of strong local leadership accountability or standardised forcing functions led to allowing the name-call error to proceed. It is also essential </w:t>
      </w:r>
      <w:r>
        <w:rPr>
          <w:rFonts w:ascii="Arial" w:eastAsia="Arial" w:hAnsi="Arial" w:cs="Arial"/>
          <w:sz w:val="22"/>
          <w:szCs w:val="22"/>
        </w:rPr>
        <w:lastRenderedPageBreak/>
        <w:t>to note that comparative safety performance metrics, such as incomplete SSC adherence, along with ongoing never-event reports in various better-resourced systems, including the NHS also indicate the fact that neither pure centralisation nor pure decentralisation is consistently sufficient. Thus, effective systems can be defined as those which combine clear central standards with empowered local execution and continuous feedback.</w:t>
      </w:r>
    </w:p>
    <w:p w14:paraId="59BB0E8C" w14:textId="77777777" w:rsidR="002B4A8B" w:rsidRDefault="002B4A8B" w:rsidP="002B4A8B">
      <w:pPr>
        <w:pStyle w:val="Heading2"/>
      </w:pPr>
      <w:bookmarkStart w:id="7" w:name="_Toc237018671"/>
      <w:r>
        <w:t>c. Leadership Theories and Application to the Case Study</w:t>
      </w:r>
      <w:bookmarkEnd w:id="7"/>
    </w:p>
    <w:p w14:paraId="7829E3E0" w14:textId="77777777" w:rsidR="002B4A8B" w:rsidRDefault="002B4A8B" w:rsidP="002B4A8B">
      <w:pPr>
        <w:spacing w:before="120" w:after="120" w:line="480" w:lineRule="auto"/>
        <w:jc w:val="both"/>
        <w:rPr>
          <w:rFonts w:ascii="Arial" w:eastAsia="Arial" w:hAnsi="Arial" w:cs="Arial"/>
          <w:sz w:val="22"/>
          <w:szCs w:val="22"/>
        </w:rPr>
      </w:pPr>
      <w:r>
        <w:rPr>
          <w:rFonts w:ascii="Arial" w:eastAsia="Arial" w:hAnsi="Arial" w:cs="Arial"/>
          <w:sz w:val="22"/>
          <w:szCs w:val="22"/>
        </w:rPr>
        <w:t>Three relevant leadership theories are chosen which are able to illuminate the various events at Kota Medical College Hospital. These theories will also be able to explain the occurrence of the wrong-patient incision, alongside the nature of the organisational response that followed.</w:t>
      </w:r>
    </w:p>
    <w:p w14:paraId="7A181277" w14:textId="77777777" w:rsidR="002B4A8B" w:rsidRDefault="002B4A8B" w:rsidP="002B4A8B">
      <w:pPr>
        <w:pStyle w:val="Heading3"/>
      </w:pPr>
      <w:bookmarkStart w:id="8" w:name="_Toc237018672"/>
      <w:r>
        <w:t>Transactional leadership</w:t>
      </w:r>
      <w:bookmarkEnd w:id="8"/>
    </w:p>
    <w:p w14:paraId="08895672" w14:textId="77777777" w:rsidR="002B4A8B" w:rsidRDefault="002B4A8B" w:rsidP="002B4A8B">
      <w:pPr>
        <w:spacing w:before="120" w:after="120" w:line="480" w:lineRule="auto"/>
        <w:jc w:val="both"/>
        <w:rPr>
          <w:rFonts w:ascii="Arial" w:eastAsia="Arial" w:hAnsi="Arial" w:cs="Arial"/>
          <w:sz w:val="22"/>
          <w:szCs w:val="22"/>
        </w:rPr>
      </w:pPr>
      <w:r>
        <w:rPr>
          <w:rFonts w:ascii="Arial" w:eastAsia="Arial" w:hAnsi="Arial" w:cs="Arial"/>
          <w:sz w:val="22"/>
          <w:szCs w:val="22"/>
        </w:rPr>
        <w:t xml:space="preserve">Transactional leadership style is known for focusing on exchanges between leader and follower. In the case of healthcare, nurses and doctors are able to be motivated by rewards in addition to punishments (Mekonnen and Bayissa, 2023). In the case of </w:t>
      </w:r>
      <w:proofErr w:type="gramStart"/>
      <w:r>
        <w:rPr>
          <w:rFonts w:ascii="Arial" w:eastAsia="Arial" w:hAnsi="Arial" w:cs="Arial"/>
          <w:sz w:val="22"/>
          <w:szCs w:val="22"/>
        </w:rPr>
        <w:t>Kota,  leadership</w:t>
      </w:r>
      <w:proofErr w:type="gramEnd"/>
      <w:r>
        <w:rPr>
          <w:rFonts w:ascii="Arial" w:eastAsia="Arial" w:hAnsi="Arial" w:cs="Arial"/>
          <w:sz w:val="22"/>
          <w:szCs w:val="22"/>
        </w:rPr>
        <w:t xml:space="preserve"> behaviour is known to have closely aligned with such style, in addition to being predominantly reactive. It is essential to note that only after media coverage, alongside a formal political complaint, the principal ordered a three-member inquiry committee with a tight 48–72-hour reporting deadline (SCMP, 2025). Such a response results in showcasing classic transactional management-by-exception, as action was only taken once the failure was publicly exposed rather than through ongoing prevention.</w:t>
      </w:r>
    </w:p>
    <w:p w14:paraId="17C60698" w14:textId="77777777" w:rsidR="002B4A8B" w:rsidRDefault="002B4A8B" w:rsidP="002B4A8B">
      <w:pPr>
        <w:spacing w:before="120" w:after="120" w:line="480" w:lineRule="auto"/>
        <w:jc w:val="both"/>
        <w:rPr>
          <w:rFonts w:ascii="Arial" w:eastAsia="Arial" w:hAnsi="Arial" w:cs="Arial"/>
          <w:sz w:val="22"/>
          <w:szCs w:val="22"/>
        </w:rPr>
      </w:pPr>
      <w:r>
        <w:rPr>
          <w:rFonts w:ascii="Arial" w:eastAsia="Arial" w:hAnsi="Arial" w:cs="Arial"/>
          <w:sz w:val="22"/>
          <w:szCs w:val="22"/>
        </w:rPr>
        <w:t xml:space="preserve">Although transactional approaches are able to enforce compliance after an incident, along with developing visible lines of accountability, at the same time they are also poorly suited for building a proactive safety culture (Richards, 2020). There is supporting evidence from Rajasthan that indicates a pattern of various late-stage transactional responses. A total of 12 people died due to medical negligence in Rajasthan between January 2023 and December 31, 2025, which are due to medical negligence (The Print, 2026). Disciplinary proceedings are often known to remain </w:t>
      </w:r>
      <w:r>
        <w:rPr>
          <w:rFonts w:ascii="Arial" w:eastAsia="Arial" w:hAnsi="Arial" w:cs="Arial"/>
          <w:sz w:val="22"/>
          <w:szCs w:val="22"/>
        </w:rPr>
        <w:lastRenderedPageBreak/>
        <w:t xml:space="preserve">incomplete, and compensation is rarely paid. It is also essential to note that staff engagement, alongside safety-climate surveys that are conducted in comparable Indian public hospitals, often describes hierarchical cultures. In those, speaking up about near-misses or process weaknesses is quite challenging (Marathe </w:t>
      </w:r>
      <w:r>
        <w:rPr>
          <w:rFonts w:ascii="Arial" w:eastAsia="Arial" w:hAnsi="Arial" w:cs="Arial"/>
          <w:i/>
          <w:iCs/>
          <w:sz w:val="22"/>
          <w:szCs w:val="22"/>
        </w:rPr>
        <w:t>et al.,</w:t>
      </w:r>
      <w:r>
        <w:rPr>
          <w:rFonts w:ascii="Arial" w:eastAsia="Arial" w:hAnsi="Arial" w:cs="Arial"/>
          <w:sz w:val="22"/>
          <w:szCs w:val="22"/>
        </w:rPr>
        <w:t xml:space="preserve"> 2026). In these kinds of environments, staff are often known for waiting for senior direction rather than focusing on challenging unsafe routines, including name-only patient calling. Similarly, transactional leadership in Kota resulted in addressing the symptom, which is public complaint without transforming the underlying conditions that allowed the error to occur.</w:t>
      </w:r>
    </w:p>
    <w:p w14:paraId="22F7AB05" w14:textId="77777777" w:rsidR="002B4A8B" w:rsidRDefault="002B4A8B" w:rsidP="002B4A8B">
      <w:pPr>
        <w:pStyle w:val="Heading3"/>
      </w:pPr>
      <w:bookmarkStart w:id="9" w:name="_Toc237018673"/>
      <w:r>
        <w:t>Transformational leadership</w:t>
      </w:r>
      <w:bookmarkEnd w:id="9"/>
      <w:r>
        <w:t xml:space="preserve"> </w:t>
      </w:r>
    </w:p>
    <w:p w14:paraId="1268A254" w14:textId="77777777" w:rsidR="002B4A8B" w:rsidRDefault="002B4A8B" w:rsidP="002B4A8B">
      <w:pPr>
        <w:spacing w:before="120" w:after="120" w:line="480" w:lineRule="auto"/>
        <w:jc w:val="both"/>
        <w:rPr>
          <w:rFonts w:ascii="Arial" w:eastAsia="Arial" w:hAnsi="Arial" w:cs="Arial"/>
          <w:sz w:val="22"/>
          <w:szCs w:val="22"/>
        </w:rPr>
      </w:pPr>
      <w:r>
        <w:rPr>
          <w:rFonts w:ascii="Arial" w:eastAsia="Arial" w:hAnsi="Arial" w:cs="Arial"/>
          <w:sz w:val="22"/>
          <w:szCs w:val="22"/>
        </w:rPr>
        <w:t>In the case of transformational leadership, on the other hand, leaders are known for focusing on inspiring and motivating their followers, along with creating a vision for the future, and fostering an environment of empowerment, trust, and innovation (Al-</w:t>
      </w:r>
      <w:proofErr w:type="spellStart"/>
      <w:r>
        <w:rPr>
          <w:rFonts w:ascii="Arial" w:eastAsia="Arial" w:hAnsi="Arial" w:cs="Arial"/>
          <w:sz w:val="22"/>
          <w:szCs w:val="22"/>
        </w:rPr>
        <w:t>Rjoub</w:t>
      </w:r>
      <w:proofErr w:type="spellEnd"/>
      <w:r>
        <w:rPr>
          <w:rFonts w:ascii="Arial" w:eastAsia="Arial" w:hAnsi="Arial" w:cs="Arial"/>
          <w:sz w:val="22"/>
          <w:szCs w:val="22"/>
        </w:rPr>
        <w:t xml:space="preserve"> </w:t>
      </w:r>
      <w:r>
        <w:rPr>
          <w:rFonts w:ascii="Arial" w:eastAsia="Arial" w:hAnsi="Arial" w:cs="Arial"/>
          <w:i/>
          <w:iCs/>
          <w:sz w:val="22"/>
          <w:szCs w:val="22"/>
        </w:rPr>
        <w:t>et al.,</w:t>
      </w:r>
      <w:r>
        <w:rPr>
          <w:rFonts w:ascii="Arial" w:eastAsia="Arial" w:hAnsi="Arial" w:cs="Arial"/>
          <w:sz w:val="22"/>
          <w:szCs w:val="22"/>
        </w:rPr>
        <w:t xml:space="preserve"> 2024). Leaders who are known for adopting such a style focus on motivating their team to transcend routine compliance, while at the same time also pursuing higher-order goals such as zero preventable harm. If transformational leadership was present at the time of the Kota Medical College Hospital, senior figures might have focused on cultivating a compelling and visible patient-safety vision, encouraged various multidisciplinary teams for questioning adequacy of name-only identification, along with invested in simulation drills that are focused on non-verbal patients.</w:t>
      </w:r>
    </w:p>
    <w:p w14:paraId="53283D3E" w14:textId="77777777" w:rsidR="002B4A8B" w:rsidRDefault="002B4A8B" w:rsidP="002B4A8B">
      <w:pPr>
        <w:spacing w:before="120" w:after="120" w:line="480" w:lineRule="auto"/>
        <w:jc w:val="both"/>
        <w:rPr>
          <w:rFonts w:ascii="Arial" w:eastAsia="Arial" w:hAnsi="Arial" w:cs="Arial"/>
          <w:sz w:val="22"/>
          <w:szCs w:val="22"/>
        </w:rPr>
      </w:pPr>
      <w:r>
        <w:rPr>
          <w:rFonts w:ascii="Arial" w:eastAsia="Arial" w:hAnsi="Arial" w:cs="Arial"/>
          <w:sz w:val="22"/>
          <w:szCs w:val="22"/>
        </w:rPr>
        <w:t xml:space="preserve">The WHO Surgical Safety Checklist is known for demonstrating such transformational elements, such as visible senior leadership commitment, along with multidisciplinary ownership of the checklist, in addition to continuous reinforcement (Reddy </w:t>
      </w:r>
      <w:r>
        <w:rPr>
          <w:rFonts w:ascii="Arial" w:eastAsia="Arial" w:hAnsi="Arial" w:cs="Arial"/>
          <w:i/>
          <w:iCs/>
          <w:sz w:val="22"/>
          <w:szCs w:val="22"/>
        </w:rPr>
        <w:t xml:space="preserve">et al., </w:t>
      </w:r>
      <w:r>
        <w:rPr>
          <w:rFonts w:ascii="Arial" w:eastAsia="Arial" w:hAnsi="Arial" w:cs="Arial"/>
          <w:sz w:val="22"/>
          <w:szCs w:val="22"/>
        </w:rPr>
        <w:t xml:space="preserve">2025). These are known for being strongly associated with higher sustained compliance, in addition to significant reductions in complications and mortality. In the case of Kota, the absence of such a proactive and vision-driven leadership resulted in leaving the system quite vulnerable. Overall safety was known to have been treated as a set of administrative requirements compared to treating it as a shared </w:t>
      </w:r>
      <w:r>
        <w:rPr>
          <w:rFonts w:ascii="Arial" w:eastAsia="Arial" w:hAnsi="Arial" w:cs="Arial"/>
          <w:sz w:val="22"/>
          <w:szCs w:val="22"/>
        </w:rPr>
        <w:lastRenderedPageBreak/>
        <w:t>organisational purpose. This led to the allowing of various predictable risks to remain unaddressed until an actual incision was already made, such as name similarity combined with a non-communicating attendant</w:t>
      </w:r>
    </w:p>
    <w:p w14:paraId="49C24D5D" w14:textId="77777777" w:rsidR="002B4A8B" w:rsidRDefault="002B4A8B" w:rsidP="002B4A8B">
      <w:pPr>
        <w:pStyle w:val="Heading3"/>
      </w:pPr>
      <w:bookmarkStart w:id="10" w:name="_Toc237018674"/>
      <w:r>
        <w:t>Situational / Adaptive leadership</w:t>
      </w:r>
      <w:bookmarkEnd w:id="10"/>
    </w:p>
    <w:p w14:paraId="3E1EBA75" w14:textId="77777777" w:rsidR="002B4A8B" w:rsidRDefault="002B4A8B" w:rsidP="002B4A8B">
      <w:pPr>
        <w:spacing w:before="120" w:after="120" w:line="480" w:lineRule="auto"/>
        <w:jc w:val="both"/>
        <w:rPr>
          <w:rFonts w:ascii="Arial" w:eastAsia="Arial" w:hAnsi="Arial" w:cs="Arial"/>
          <w:sz w:val="22"/>
          <w:szCs w:val="22"/>
        </w:rPr>
      </w:pPr>
      <w:r>
        <w:rPr>
          <w:rFonts w:ascii="Arial" w:eastAsia="Arial" w:hAnsi="Arial" w:cs="Arial"/>
          <w:sz w:val="22"/>
          <w:szCs w:val="22"/>
        </w:rPr>
        <w:t>The situational or adaptive leadership style is based on leaders to always try on keeping situations balanced in an organisation, along with being flexible in adapting to the motivation and work environment of the people they lead (Alvi</w:t>
      </w:r>
      <w:r>
        <w:rPr>
          <w:rFonts w:ascii="Arial" w:eastAsia="Arial" w:hAnsi="Arial" w:cs="Arial"/>
          <w:i/>
          <w:iCs/>
          <w:sz w:val="22"/>
          <w:szCs w:val="22"/>
        </w:rPr>
        <w:t xml:space="preserve"> et al., </w:t>
      </w:r>
      <w:r>
        <w:rPr>
          <w:rFonts w:ascii="Arial" w:eastAsia="Arial" w:hAnsi="Arial" w:cs="Arial"/>
          <w:sz w:val="22"/>
          <w:szCs w:val="22"/>
        </w:rPr>
        <w:t>2024). In various high-volume operating-theatre environments, particularly those which are known for involving non-verbal patients or potential name duplication, are known for requiring combination of directive clarity on non-negotiable safety steps and supportive coaching, which helps in enabling staff under pressure to speak up (Wright, Kernen and Kouevi, 2024). The leadership style at Kota was quite insufficiently adaptive. Various routine processes are known to have continued without adjustment for the particular vulnerabilities present on the day of the incident.</w:t>
      </w:r>
    </w:p>
    <w:p w14:paraId="3BE3F3E5" w14:textId="77777777" w:rsidR="002B4A8B" w:rsidRDefault="002B4A8B" w:rsidP="002B4A8B">
      <w:pPr>
        <w:spacing w:before="120" w:after="120" w:line="480" w:lineRule="auto"/>
        <w:jc w:val="both"/>
        <w:rPr>
          <w:rFonts w:ascii="Arial" w:eastAsia="Arial" w:hAnsi="Arial" w:cs="Arial"/>
          <w:sz w:val="22"/>
          <w:szCs w:val="22"/>
        </w:rPr>
      </w:pPr>
      <w:r>
        <w:rPr>
          <w:rFonts w:ascii="Arial" w:eastAsia="Arial" w:hAnsi="Arial" w:cs="Arial"/>
          <w:sz w:val="22"/>
          <w:szCs w:val="22"/>
        </w:rPr>
        <w:t>It is essential to note that indirect, however consistent, data is able to support such assessment. There are persistent never events, along with incomplete surgical safety checklist adherence across several Indian centres (Ravikumar, 2020). This results in indicating that already existing leadership approaches are unable to produce reliable safety outcomes. It would have been better to adopt a more distributed leadership, which would empower nurses and junior doctors to halt processes when verification is incomplete, combined with emotionally intelligent leadership, which will be able to recognise the vulnerability of various non-verbal patients. Such an adaptive approach could have helped in interrupting the error chain at various points, such as during the name call or at the point of transfer to theatre, or even before the incision was done.</w:t>
      </w:r>
    </w:p>
    <w:p w14:paraId="572816F7" w14:textId="35C58620" w:rsidR="0055025F" w:rsidRDefault="002B4A8B" w:rsidP="002B4A8B">
      <w:pPr>
        <w:spacing w:before="120" w:after="120" w:line="480" w:lineRule="auto"/>
        <w:jc w:val="both"/>
        <w:rPr>
          <w:rFonts w:ascii="Arial" w:eastAsia="Arial" w:hAnsi="Arial" w:cs="Arial"/>
          <w:sz w:val="22"/>
          <w:szCs w:val="22"/>
        </w:rPr>
      </w:pPr>
      <w:r>
        <w:rPr>
          <w:rFonts w:ascii="Arial" w:eastAsia="Arial" w:hAnsi="Arial" w:cs="Arial"/>
          <w:sz w:val="22"/>
          <w:szCs w:val="22"/>
        </w:rPr>
        <w:t xml:space="preserve">It can be stated that leaders were predominantly reactive, such as command-driven after the event, compared to being proactive, such as focused on purpose-driven prevention. On the other hand, staff surveys, alongside safety-outcome data gathered from comparable Indian and global </w:t>
      </w:r>
      <w:r>
        <w:rPr>
          <w:rFonts w:ascii="Arial" w:eastAsia="Arial" w:hAnsi="Arial" w:cs="Arial"/>
          <w:sz w:val="22"/>
          <w:szCs w:val="22"/>
        </w:rPr>
        <w:lastRenderedPageBreak/>
        <w:t>settings also results in revealing that hierarchical and low-psychological-safety environments are able to correlate with under-reporting and continued error. The error chain could have been interrupted if a different approach, such as an explicit safety vision, distributed authority or regular multidisciplinary huddles, were focused on.</w:t>
      </w:r>
      <w:r w:rsidR="0055025F">
        <w:rPr>
          <w:rFonts w:ascii="Arial" w:eastAsia="Arial" w:hAnsi="Arial" w:cs="Arial"/>
          <w:sz w:val="22"/>
          <w:szCs w:val="22"/>
        </w:rPr>
        <w:t xml:space="preserve"> </w:t>
      </w:r>
      <w:r w:rsidR="0055025F" w:rsidRPr="0055025F">
        <w:rPr>
          <w:rFonts w:ascii="Arial" w:eastAsia="Arial" w:hAnsi="Arial" w:cs="Arial"/>
          <w:sz w:val="22"/>
          <w:szCs w:val="22"/>
        </w:rPr>
        <w:t>This interpretation is further reinforced by Reason's Swiss Cheese Model, which proposes that serious patient safety incidents occur when multiple organisational safety barriers simultaneously fail</w:t>
      </w:r>
      <w:r w:rsidR="00717EEE">
        <w:rPr>
          <w:rFonts w:ascii="Arial" w:eastAsia="Arial" w:hAnsi="Arial" w:cs="Arial"/>
          <w:sz w:val="22"/>
          <w:szCs w:val="22"/>
        </w:rPr>
        <w:t xml:space="preserve"> (</w:t>
      </w:r>
      <w:r w:rsidR="00717EEE" w:rsidRPr="00717EEE">
        <w:rPr>
          <w:rFonts w:ascii="Arial" w:eastAsia="Arial" w:hAnsi="Arial" w:cs="Arial"/>
          <w:sz w:val="22"/>
          <w:szCs w:val="22"/>
        </w:rPr>
        <w:t>Shabani, Jerie and Shabani</w:t>
      </w:r>
      <w:r w:rsidR="00717EEE">
        <w:rPr>
          <w:rFonts w:ascii="Arial" w:eastAsia="Arial" w:hAnsi="Arial" w:cs="Arial"/>
          <w:sz w:val="22"/>
          <w:szCs w:val="22"/>
        </w:rPr>
        <w:t>, 2024)</w:t>
      </w:r>
      <w:r w:rsidR="0055025F" w:rsidRPr="0055025F">
        <w:rPr>
          <w:rFonts w:ascii="Arial" w:eastAsia="Arial" w:hAnsi="Arial" w:cs="Arial"/>
          <w:sz w:val="22"/>
          <w:szCs w:val="22"/>
        </w:rPr>
        <w:t>. In the Kota case, the "holes" included inadequate patient-identification procedures, over-reliance on verbal name-calling, incomplete implementation of the WHO Surgical Safety Checklist, weak communication, hierarchical decision-making, and limited psychological safety for staff to challenge unsafe practice. Rather than representing an isolated human error, the wrong-patient incision resulted from the alignment of several latent organisational failures, highlighting the need for leadership that proactively strengthens every layer of the healthcare safety system.</w:t>
      </w:r>
    </w:p>
    <w:p w14:paraId="1735E2A0" w14:textId="77777777" w:rsidR="002B4A8B" w:rsidRDefault="002B4A8B" w:rsidP="002B4A8B">
      <w:pPr>
        <w:pStyle w:val="Heading2"/>
      </w:pPr>
      <w:bookmarkStart w:id="11" w:name="_Toc237018675"/>
      <w:r>
        <w:t>d. Improvement and Lessons Learned</w:t>
      </w:r>
      <w:bookmarkEnd w:id="11"/>
    </w:p>
    <w:p w14:paraId="0943E01B" w14:textId="77777777" w:rsidR="002B4A8B" w:rsidRDefault="002B4A8B" w:rsidP="002B4A8B">
      <w:pPr>
        <w:spacing w:before="120" w:after="120" w:line="480" w:lineRule="auto"/>
        <w:jc w:val="both"/>
        <w:rPr>
          <w:rFonts w:ascii="Arial" w:eastAsia="Arial" w:hAnsi="Arial" w:cs="Arial"/>
          <w:sz w:val="22"/>
          <w:szCs w:val="22"/>
        </w:rPr>
      </w:pPr>
      <w:r>
        <w:rPr>
          <w:rFonts w:ascii="Arial" w:eastAsia="Arial" w:hAnsi="Arial" w:cs="Arial"/>
          <w:sz w:val="22"/>
          <w:szCs w:val="22"/>
        </w:rPr>
        <w:t xml:space="preserve">Leadership, alongside governance are known to have interacted in various ways, which allowed a preventable near-miss to become an actual incision. It was the hierarchical authority at Kota Medical College Hospital which resulted in enabling a relatively rapid formal investigation once external political and media pressure was mounted. The principal was known to have ordered a three-member committee with a short reporting deadline, which resulted in demonstrating the existing system has the possibility to mobilise when it is publicly challenged (SCMP, 2025). However, the same hierarchical structure was previously not known to have enforced robust patient-verification processes or even created the psychological safety required for staff to challenge unsafe routines. Frontline teams are known to have continued to rely on only verbal name-calling, in addition to the absence of any kind of effective mechanism for nurses or junior doctors for halting a process when identity remained unsure. Such a combination of post-event reactivity, alongside pre-event inaction, can be defined as a characteristic of various organisations </w:t>
      </w:r>
      <w:r>
        <w:rPr>
          <w:rFonts w:ascii="Arial" w:eastAsia="Arial" w:hAnsi="Arial" w:cs="Arial"/>
          <w:sz w:val="22"/>
          <w:szCs w:val="22"/>
        </w:rPr>
        <w:lastRenderedPageBreak/>
        <w:t xml:space="preserve">in which overall accountability is focused at the top, while at the same time regular safety ownership remains significantly weak. Workplace psychological safety is known to have been recognised as crucial in mitigating organisational stressors. It also enhances positive workplace outcomes, particularly in high-risk occupations such as healthcare and public safety (Ip </w:t>
      </w:r>
      <w:r>
        <w:rPr>
          <w:rFonts w:ascii="Arial" w:eastAsia="Arial" w:hAnsi="Arial" w:cs="Arial"/>
          <w:i/>
          <w:iCs/>
          <w:sz w:val="22"/>
          <w:szCs w:val="22"/>
        </w:rPr>
        <w:t>et al.,</w:t>
      </w:r>
      <w:r>
        <w:rPr>
          <w:rFonts w:ascii="Arial" w:eastAsia="Arial" w:hAnsi="Arial" w:cs="Arial"/>
          <w:sz w:val="22"/>
          <w:szCs w:val="22"/>
        </w:rPr>
        <w:t xml:space="preserve"> 2025).  </w:t>
      </w:r>
    </w:p>
    <w:p w14:paraId="0BF92655" w14:textId="77777777" w:rsidR="002B4A8B" w:rsidRDefault="002B4A8B" w:rsidP="002B4A8B">
      <w:pPr>
        <w:spacing w:before="120" w:after="120" w:line="480" w:lineRule="auto"/>
        <w:jc w:val="both"/>
        <w:rPr>
          <w:rFonts w:ascii="Arial" w:eastAsia="Arial" w:hAnsi="Arial" w:cs="Arial"/>
          <w:sz w:val="22"/>
          <w:szCs w:val="22"/>
        </w:rPr>
      </w:pPr>
      <w:r>
        <w:rPr>
          <w:rFonts w:ascii="Arial" w:eastAsia="Arial" w:hAnsi="Arial" w:cs="Arial"/>
          <w:sz w:val="22"/>
          <w:szCs w:val="22"/>
        </w:rPr>
        <w:t>There were multiple clear missed opportunities which are known to have contributed to the incident. There was no sign of routine audit of two-identifier rules, wristband utilisation or full application of the WHO Surgical Safety Checklist (</w:t>
      </w:r>
      <w:proofErr w:type="spellStart"/>
      <w:r>
        <w:rPr>
          <w:rFonts w:ascii="Arial" w:eastAsia="Arial" w:hAnsi="Arial" w:cs="Arial"/>
          <w:sz w:val="22"/>
          <w:szCs w:val="22"/>
        </w:rPr>
        <w:t>PhleboPrep</w:t>
      </w:r>
      <w:proofErr w:type="spellEnd"/>
      <w:r>
        <w:rPr>
          <w:rFonts w:ascii="Arial" w:eastAsia="Arial" w:hAnsi="Arial" w:cs="Arial"/>
          <w:sz w:val="22"/>
          <w:szCs w:val="22"/>
        </w:rPr>
        <w:t>, 2026). It is also essential to mention the particular critical steps of patient confirmation before incision, which were also inadequately implemented. On the other hand, there was no sign of any visual cues for distinguishing attendants from scheduled patients in the shared waiting area, in addition to the absence of real-time feedback systems that would have helped in highlighting repeated deviations from safe practice. Such significant gaps lead to a predictable risk, which was name similarity combined with a non-verbal individual remaining unmitigated until harm was already done.</w:t>
      </w:r>
    </w:p>
    <w:p w14:paraId="70403908" w14:textId="77777777" w:rsidR="002B4A8B" w:rsidRDefault="002B4A8B" w:rsidP="002B4A8B">
      <w:pPr>
        <w:pStyle w:val="Heading3"/>
      </w:pPr>
      <w:bookmarkStart w:id="12" w:name="_Toc237018676"/>
      <w:r>
        <w:t>Evidence-Based Solutions</w:t>
      </w:r>
      <w:bookmarkEnd w:id="12"/>
    </w:p>
    <w:p w14:paraId="6AD8E3E9" w14:textId="77777777" w:rsidR="002B4A8B" w:rsidRDefault="002B4A8B" w:rsidP="002B4A8B">
      <w:pPr>
        <w:pStyle w:val="Heading4"/>
      </w:pPr>
      <w:bookmarkStart w:id="13" w:name="_Toc237018677"/>
      <w:r>
        <w:t>Strengthening Patient Identification through Engineered Defences</w:t>
      </w:r>
      <w:bookmarkEnd w:id="13"/>
    </w:p>
    <w:p w14:paraId="1DAC532A" w14:textId="77777777" w:rsidR="002B4A8B" w:rsidRDefault="002B4A8B" w:rsidP="002B4A8B">
      <w:pPr>
        <w:spacing w:before="120" w:after="120" w:line="480" w:lineRule="auto"/>
        <w:jc w:val="both"/>
        <w:rPr>
          <w:rFonts w:ascii="Arial" w:eastAsia="Arial" w:hAnsi="Arial" w:cs="Arial"/>
          <w:sz w:val="22"/>
          <w:szCs w:val="22"/>
        </w:rPr>
      </w:pPr>
      <w:r>
        <w:rPr>
          <w:rFonts w:ascii="Arial" w:eastAsia="Arial" w:hAnsi="Arial" w:cs="Arial"/>
          <w:sz w:val="22"/>
          <w:szCs w:val="22"/>
        </w:rPr>
        <w:t xml:space="preserve">There was significant reliance on verbal name-only identification, alongside incomplete pre-procedure verification, which are required to be replaced by engineered defences. According to various global and national never-event statistics, in addition to Indian studies of Surgical Safety Checklist compliance, indicate the fact that there are numerous persistent gaps, particularly in the time-out and sign-out phases (Kausar </w:t>
      </w:r>
      <w:r>
        <w:rPr>
          <w:rFonts w:ascii="Arial" w:eastAsia="Arial" w:hAnsi="Arial" w:cs="Arial"/>
          <w:i/>
          <w:iCs/>
          <w:sz w:val="22"/>
          <w:szCs w:val="22"/>
        </w:rPr>
        <w:t xml:space="preserve">et al., </w:t>
      </w:r>
      <w:r>
        <w:rPr>
          <w:rFonts w:ascii="Arial" w:eastAsia="Arial" w:hAnsi="Arial" w:cs="Arial"/>
          <w:sz w:val="22"/>
          <w:szCs w:val="22"/>
        </w:rPr>
        <w:t xml:space="preserve">2025). This results in demonstrating that exhortation is not enough. In order to make proper improvements, it will require mandatory utilisation of two unique identifiers, which could be name plus hospital number or date of birth, along with various colour-coded wristbands that will be able to clearly distinguish patients from attendants (Joint Commission, 2025). Verbal confirmation involving the patient or family will also be required </w:t>
      </w:r>
      <w:r>
        <w:rPr>
          <w:rFonts w:ascii="Arial" w:eastAsia="Arial" w:hAnsi="Arial" w:cs="Arial"/>
          <w:sz w:val="22"/>
          <w:szCs w:val="22"/>
        </w:rPr>
        <w:lastRenderedPageBreak/>
        <w:t>whenever possible, in addition to a structured multidisciplinary time-out before anaesthesia. If possible, digital or barcode verification can also significantly reduce dependence on memory and verbal exchange (Campbell, 2023).</w:t>
      </w:r>
    </w:p>
    <w:p w14:paraId="76FF2CEC" w14:textId="77777777" w:rsidR="002B4A8B" w:rsidRDefault="002B4A8B" w:rsidP="002B4A8B">
      <w:pPr>
        <w:pStyle w:val="Heading4"/>
      </w:pPr>
      <w:bookmarkStart w:id="14" w:name="_Toc237018678"/>
      <w:r>
        <w:t>Building Local Ownership within a Hierarchical Structure</w:t>
      </w:r>
      <w:bookmarkEnd w:id="14"/>
    </w:p>
    <w:p w14:paraId="366B628E" w14:textId="77777777" w:rsidR="002B4A8B" w:rsidRDefault="002B4A8B" w:rsidP="002B4A8B">
      <w:pPr>
        <w:spacing w:before="120" w:after="120" w:line="480" w:lineRule="auto"/>
        <w:jc w:val="both"/>
        <w:rPr>
          <w:rFonts w:ascii="Arial" w:eastAsia="Arial" w:hAnsi="Arial" w:cs="Arial"/>
          <w:sz w:val="22"/>
          <w:szCs w:val="22"/>
        </w:rPr>
      </w:pPr>
      <w:r>
        <w:rPr>
          <w:rFonts w:ascii="Arial" w:eastAsia="Arial" w:hAnsi="Arial" w:cs="Arial"/>
          <w:sz w:val="22"/>
          <w:szCs w:val="22"/>
        </w:rPr>
        <w:t xml:space="preserve">It is also essential to address weak local ownership within a hierarchical structure. Data from Rajasthan results in indicating incomplete disciplinary closure, along with rare compensation even after acknowledged medical-negligence deaths (The Print, 2026). This results in illustrating the significant limitations of purely top-down accountability. It is essential to mention a much more effective approach, which will be combining clear central standards with decentralised empowerment. The hospital can focus on implementing local safety champions in every speciality, along with providing explicit authority for nurses, which can help in leading identity verification (Frankel </w:t>
      </w:r>
      <w:r>
        <w:rPr>
          <w:rFonts w:ascii="Arial" w:eastAsia="Arial" w:hAnsi="Arial" w:cs="Arial"/>
          <w:i/>
          <w:iCs/>
          <w:sz w:val="22"/>
          <w:szCs w:val="22"/>
        </w:rPr>
        <w:t xml:space="preserve">et al., </w:t>
      </w:r>
      <w:r>
        <w:rPr>
          <w:rFonts w:ascii="Arial" w:eastAsia="Arial" w:hAnsi="Arial" w:cs="Arial"/>
          <w:sz w:val="22"/>
          <w:szCs w:val="22"/>
        </w:rPr>
        <w:t xml:space="preserve">2003). Another is to implement rapid-cycle audit-and-feedback of various compliance rates, which can help in distributing responsibility while at the same time also retaining hierarchical oversight (Ivers </w:t>
      </w:r>
      <w:r>
        <w:rPr>
          <w:rFonts w:ascii="Arial" w:eastAsia="Arial" w:hAnsi="Arial" w:cs="Arial"/>
          <w:i/>
          <w:iCs/>
          <w:sz w:val="22"/>
          <w:szCs w:val="22"/>
        </w:rPr>
        <w:t>et al.,</w:t>
      </w:r>
      <w:r>
        <w:rPr>
          <w:rFonts w:ascii="Arial" w:eastAsia="Arial" w:hAnsi="Arial" w:cs="Arial"/>
          <w:sz w:val="22"/>
          <w:szCs w:val="22"/>
        </w:rPr>
        <w:t xml:space="preserve"> 2012). Such a hybrid model will be significantly helpful in improving accountability and frontline ownership.</w:t>
      </w:r>
    </w:p>
    <w:p w14:paraId="50B0AF23" w14:textId="77777777" w:rsidR="002B4A8B" w:rsidRDefault="002B4A8B" w:rsidP="002B4A8B">
      <w:pPr>
        <w:pStyle w:val="Heading4"/>
      </w:pPr>
      <w:bookmarkStart w:id="15" w:name="_Toc237018679"/>
      <w:r>
        <w:t>Shifting Governance from Reactive Investigation to Learning-Oriented Redesign</w:t>
      </w:r>
      <w:bookmarkEnd w:id="15"/>
    </w:p>
    <w:p w14:paraId="253BAB7B" w14:textId="77777777" w:rsidR="002B4A8B" w:rsidRDefault="002B4A8B" w:rsidP="002B4A8B">
      <w:pPr>
        <w:spacing w:before="120" w:after="120" w:line="480" w:lineRule="auto"/>
        <w:jc w:val="both"/>
        <w:rPr>
          <w:rFonts w:ascii="Arial" w:eastAsia="Arial" w:hAnsi="Arial" w:cs="Arial"/>
          <w:sz w:val="22"/>
          <w:szCs w:val="22"/>
        </w:rPr>
      </w:pPr>
      <w:r>
        <w:rPr>
          <w:rFonts w:ascii="Arial" w:eastAsia="Arial" w:hAnsi="Arial" w:cs="Arial"/>
          <w:sz w:val="22"/>
          <w:szCs w:val="22"/>
        </w:rPr>
        <w:t xml:space="preserve">Governance, on the other hand, is required to shift from reactive investigation to learning-oriented redesign. According to WHO (2023), more than 50% of harm is preventable, along with multi-country studies of the Surgical Safety Checklist indicate that consistent implementation is able to significantly reduce deaths and is required to reduce complications (Haynes </w:t>
      </w:r>
      <w:r>
        <w:rPr>
          <w:rFonts w:ascii="Arial" w:eastAsia="Arial" w:hAnsi="Arial" w:cs="Arial"/>
          <w:i/>
          <w:iCs/>
          <w:sz w:val="22"/>
          <w:szCs w:val="22"/>
        </w:rPr>
        <w:t xml:space="preserve">et al., </w:t>
      </w:r>
      <w:r>
        <w:rPr>
          <w:rFonts w:ascii="Arial" w:eastAsia="Arial" w:hAnsi="Arial" w:cs="Arial"/>
          <w:sz w:val="22"/>
          <w:szCs w:val="22"/>
        </w:rPr>
        <w:t xml:space="preserve">2009). The inquiry that was ordered after the Kota incident is required to be converted into a structured system-redesign process that will be applying human-factors methods, along with examining communication pathways, in addition to environmental design and producing de-identified learning shared across the entire organisation system-wide (Dekker, 2011). There are several leading indicators, such as checklist compliance rates, along with near-miss reports, in addition </w:t>
      </w:r>
      <w:r>
        <w:rPr>
          <w:rFonts w:ascii="Arial" w:eastAsia="Arial" w:hAnsi="Arial" w:cs="Arial"/>
          <w:sz w:val="22"/>
          <w:szCs w:val="22"/>
        </w:rPr>
        <w:lastRenderedPageBreak/>
        <w:t xml:space="preserve">to verification audits, which are also required to be tracked routinely, the same as outcome measures. This will help in monitoring improvements before </w:t>
      </w:r>
      <w:proofErr w:type="spellStart"/>
      <w:r>
        <w:rPr>
          <w:rFonts w:ascii="Arial" w:eastAsia="Arial" w:hAnsi="Arial" w:cs="Arial"/>
          <w:sz w:val="22"/>
          <w:szCs w:val="22"/>
        </w:rPr>
        <w:t>teh</w:t>
      </w:r>
      <w:proofErr w:type="spellEnd"/>
      <w:r>
        <w:rPr>
          <w:rFonts w:ascii="Arial" w:eastAsia="Arial" w:hAnsi="Arial" w:cs="Arial"/>
          <w:sz w:val="22"/>
          <w:szCs w:val="22"/>
        </w:rPr>
        <w:t xml:space="preserve"> next serious event occurs.</w:t>
      </w:r>
    </w:p>
    <w:p w14:paraId="7D2E5862" w14:textId="77777777" w:rsidR="002B4A8B" w:rsidRDefault="002B4A8B" w:rsidP="002B4A8B">
      <w:pPr>
        <w:pStyle w:val="Heading4"/>
      </w:pPr>
      <w:bookmarkStart w:id="16" w:name="_Toc237018680"/>
      <w:r>
        <w:t>Integrating Lessons across System, Leadership and Feedback</w:t>
      </w:r>
      <w:bookmarkEnd w:id="16"/>
    </w:p>
    <w:p w14:paraId="7601AB79" w14:textId="77777777" w:rsidR="002B4A8B" w:rsidRDefault="002B4A8B" w:rsidP="002B4A8B">
      <w:pPr>
        <w:spacing w:before="120" w:after="120" w:line="480" w:lineRule="auto"/>
        <w:jc w:val="both"/>
        <w:rPr>
          <w:rFonts w:ascii="Arial" w:eastAsia="Arial" w:hAnsi="Arial" w:cs="Arial"/>
          <w:sz w:val="22"/>
          <w:szCs w:val="22"/>
        </w:rPr>
      </w:pPr>
      <w:r>
        <w:rPr>
          <w:rFonts w:ascii="Arial" w:eastAsia="Arial" w:hAnsi="Arial" w:cs="Arial"/>
          <w:sz w:val="22"/>
          <w:szCs w:val="22"/>
        </w:rPr>
        <w:t>It is also essential to note that, combined together, the hybrid centralised and decentralised system structure, along with predominantly transactional and reactive leadership style, in addition to weak feedback loops, resulted in permitting the error. Various other healthcare organisations are also able to learn from this case that such a combination of name similarity and non-verbal patients is able to constitute a foreseeable high-risk scenario that is known for requiring engineered defences compared to relying on individual vigilance. It is also essential to note that continuous improvement will also depend on the routine collection, along with transparent reporting of various process measures, such as verification rates and checklist adherence, combined with outcome data and psychological safety cultivation. This will help staff feel able to surface problems in an early manner. Organisations will only be able to move from repeated near-misses to reliable prevention when leadership, governance and system design are able to reinforce one another in such a method (WHO, 2021).</w:t>
      </w:r>
    </w:p>
    <w:p w14:paraId="391C352C" w14:textId="77777777" w:rsidR="002B4A8B" w:rsidRDefault="002B4A8B" w:rsidP="002B4A8B">
      <w:pPr>
        <w:pStyle w:val="Heading1"/>
      </w:pPr>
      <w:bookmarkStart w:id="17" w:name="_Toc237018681"/>
      <w:r>
        <w:t>Recommendation</w:t>
      </w:r>
      <w:bookmarkEnd w:id="17"/>
    </w:p>
    <w:p w14:paraId="0A30A856" w14:textId="77777777" w:rsidR="002B4A8B" w:rsidRDefault="002B4A8B" w:rsidP="002B4A8B">
      <w:pPr>
        <w:pStyle w:val="Heading2"/>
      </w:pPr>
      <w:bookmarkStart w:id="18" w:name="_Toc237018682"/>
      <w:r>
        <w:t>Immediate Strengthening of Patient Identification and Surgical Safety Protocols</w:t>
      </w:r>
      <w:bookmarkEnd w:id="18"/>
    </w:p>
    <w:p w14:paraId="07B6AC6F" w14:textId="77777777" w:rsidR="002B4A8B" w:rsidRDefault="002B4A8B" w:rsidP="002B4A8B">
      <w:pPr>
        <w:spacing w:before="120" w:after="120" w:line="480" w:lineRule="auto"/>
        <w:jc w:val="both"/>
        <w:rPr>
          <w:rFonts w:ascii="Arial" w:eastAsia="Arial" w:hAnsi="Arial" w:cs="Arial"/>
          <w:sz w:val="22"/>
          <w:szCs w:val="22"/>
        </w:rPr>
      </w:pPr>
      <w:r>
        <w:rPr>
          <w:rFonts w:ascii="Arial" w:eastAsia="Arial" w:hAnsi="Arial" w:cs="Arial"/>
          <w:sz w:val="22"/>
          <w:szCs w:val="22"/>
        </w:rPr>
        <w:t xml:space="preserve">Kota Medical College Hospital is recommended to immediately focus on institutionalising a robust patient-identification system, along with a surgical-safety protocol, which will be fully aligned with the guidelines of WHO. It should also, at the same time, remain realistic for a high-volume government teaching hospital. The protocol will also be required to mandate the utilisation of two unique identifiers, such as the patient’s name combined with a unique hospital identification number or even date of birth. Another recommendation is colour-coded wristbands that will be able to clearly distinguish scheduled patients from attendants (Joint Commission, 2025. In </w:t>
      </w:r>
      <w:r>
        <w:rPr>
          <w:rFonts w:ascii="Arial" w:eastAsia="Arial" w:hAnsi="Arial" w:cs="Arial"/>
          <w:sz w:val="22"/>
          <w:szCs w:val="22"/>
        </w:rPr>
        <w:lastRenderedPageBreak/>
        <w:t>addition to that, the hospital should focus on implementing unambiguous surgical site marking and a structured multidisciplinary timeout conducted before both anaesthesia and incision (WHO, 2009). It will also be necessary to focus on weekly audit compliance with these steps for the first six months, alongside monthly thereafter. The results of the audit are also recommended to be displayed visibly in various operating theatres, along with being formally reviewed by the principal and clinical directors themselves. This will help in keeping accountability visible and continuous.</w:t>
      </w:r>
    </w:p>
    <w:p w14:paraId="0601D2DA" w14:textId="77777777" w:rsidR="002B4A8B" w:rsidRDefault="002B4A8B" w:rsidP="002B4A8B">
      <w:pPr>
        <w:pStyle w:val="Heading2"/>
      </w:pPr>
      <w:bookmarkStart w:id="19" w:name="_Toc237018683"/>
      <w:r>
        <w:t>Adopting Transformational and Situational Leadership</w:t>
      </w:r>
      <w:bookmarkEnd w:id="19"/>
    </w:p>
    <w:p w14:paraId="0F02B556" w14:textId="77777777" w:rsidR="002B4A8B" w:rsidRDefault="002B4A8B" w:rsidP="002B4A8B">
      <w:pPr>
        <w:spacing w:before="120" w:after="120" w:line="480" w:lineRule="auto"/>
        <w:jc w:val="both"/>
        <w:rPr>
          <w:rFonts w:ascii="Arial" w:eastAsia="Arial" w:hAnsi="Arial" w:cs="Arial"/>
          <w:sz w:val="22"/>
          <w:szCs w:val="22"/>
        </w:rPr>
      </w:pPr>
      <w:r>
        <w:rPr>
          <w:rFonts w:ascii="Arial" w:eastAsia="Arial" w:hAnsi="Arial" w:cs="Arial"/>
          <w:sz w:val="22"/>
          <w:szCs w:val="22"/>
        </w:rPr>
        <w:t xml:space="preserve">Although transformational leadership is quite an effective style overall, the most effective leadership approach for sustaining improvement will be to adopt a blend of both situational and transformational leadership (Patel, 2026). Senior leaders are recommended to articulate a clear and non-negotiable patient-safety vision, along with focusing on implementing speaking-up behaviour. They should also adapt their style according to the pressure levels and readiness of various teams. On the other hand, frontline staff, especially nurses, are also recommended to be provided with explicit authority for halting any kind of process when identity verification cannot be completed. Rather than only focusing on replacing hierarchical accountability, distributed leadership, which will be expressed through the appointment of safety champions, should be focused on (Frankel </w:t>
      </w:r>
      <w:r>
        <w:rPr>
          <w:rFonts w:ascii="Arial" w:eastAsia="Arial" w:hAnsi="Arial" w:cs="Arial"/>
          <w:i/>
          <w:iCs/>
          <w:sz w:val="22"/>
          <w:szCs w:val="22"/>
        </w:rPr>
        <w:t>et al.,</w:t>
      </w:r>
      <w:r>
        <w:rPr>
          <w:rFonts w:ascii="Arial" w:eastAsia="Arial" w:hAnsi="Arial" w:cs="Arial"/>
          <w:sz w:val="22"/>
          <w:szCs w:val="22"/>
        </w:rPr>
        <w:t xml:space="preserve"> 2003). Such a combination will be able to develop inspirational direction from the top, while at the same time empowering ownership at the point of care.</w:t>
      </w:r>
    </w:p>
    <w:p w14:paraId="75F36A4C" w14:textId="77777777" w:rsidR="002B4A8B" w:rsidRDefault="002B4A8B" w:rsidP="002B4A8B">
      <w:pPr>
        <w:pStyle w:val="Heading2"/>
      </w:pPr>
      <w:bookmarkStart w:id="20" w:name="_Toc237018684"/>
      <w:r>
        <w:t>Strengthening Governance and Systems Integration</w:t>
      </w:r>
      <w:bookmarkEnd w:id="20"/>
    </w:p>
    <w:p w14:paraId="1641DF72" w14:textId="77777777" w:rsidR="002B4A8B" w:rsidRDefault="002B4A8B" w:rsidP="002B4A8B">
      <w:pPr>
        <w:spacing w:before="120" w:after="120" w:line="480" w:lineRule="auto"/>
        <w:jc w:val="both"/>
        <w:rPr>
          <w:rFonts w:ascii="Arial" w:eastAsia="Arial" w:hAnsi="Arial" w:cs="Arial"/>
          <w:sz w:val="22"/>
          <w:szCs w:val="22"/>
        </w:rPr>
      </w:pPr>
      <w:r>
        <w:rPr>
          <w:rFonts w:ascii="Arial" w:eastAsia="Arial" w:hAnsi="Arial" w:cs="Arial"/>
          <w:sz w:val="22"/>
          <w:szCs w:val="22"/>
        </w:rPr>
        <w:t xml:space="preserve">Another recommendation is to significantly reinforce governance arrangements. The hospital should focus on establishing a permanent multidisciplinary patient-safety committee, which will be able to directly report to the principal, with clear authority to implement changes if required. It is essential to integrate systems thinking into routine morbidity-and-mortality meetings, which will significantly help in examining every serious incident through a human-factor lens, in addition to generating tracked action plans (Schwarz </w:t>
      </w:r>
      <w:r>
        <w:rPr>
          <w:rFonts w:ascii="Arial" w:eastAsia="Arial" w:hAnsi="Arial" w:cs="Arial"/>
          <w:i/>
          <w:iCs/>
          <w:sz w:val="22"/>
          <w:szCs w:val="22"/>
        </w:rPr>
        <w:t>et al.,</w:t>
      </w:r>
      <w:r>
        <w:rPr>
          <w:rFonts w:ascii="Arial" w:eastAsia="Arial" w:hAnsi="Arial" w:cs="Arial"/>
          <w:sz w:val="22"/>
          <w:szCs w:val="22"/>
        </w:rPr>
        <w:t xml:space="preserve"> 2011). On the other hand, in order to improve </w:t>
      </w:r>
      <w:r>
        <w:rPr>
          <w:rFonts w:ascii="Arial" w:eastAsia="Arial" w:hAnsi="Arial" w:cs="Arial"/>
          <w:sz w:val="22"/>
          <w:szCs w:val="22"/>
        </w:rPr>
        <w:lastRenderedPageBreak/>
        <w:t>communication, standardised handover tools, electronic alerts, which will be able to flag similar patient names, in addition to formal family engagement protocols for non-verbal or vulnerable individuals, can be implemented.</w:t>
      </w:r>
    </w:p>
    <w:p w14:paraId="7825D960" w14:textId="77777777" w:rsidR="002B4A8B" w:rsidRDefault="002B4A8B" w:rsidP="002B4A8B">
      <w:pPr>
        <w:pStyle w:val="Heading2"/>
      </w:pPr>
      <w:bookmarkStart w:id="21" w:name="_Toc237018685"/>
      <w:r>
        <w:t>Enhancing Efficiency and Continuous Learning</w:t>
      </w:r>
      <w:bookmarkEnd w:id="21"/>
    </w:p>
    <w:p w14:paraId="5F112438" w14:textId="77777777" w:rsidR="002B4A8B" w:rsidRDefault="002B4A8B" w:rsidP="002B4A8B">
      <w:pPr>
        <w:spacing w:before="120" w:after="120" w:line="480" w:lineRule="auto"/>
        <w:jc w:val="both"/>
        <w:rPr>
          <w:rFonts w:ascii="Arial" w:eastAsia="Arial" w:hAnsi="Arial" w:cs="Arial"/>
          <w:sz w:val="22"/>
          <w:szCs w:val="22"/>
        </w:rPr>
      </w:pPr>
      <w:r>
        <w:rPr>
          <w:rFonts w:ascii="Arial" w:eastAsia="Arial" w:hAnsi="Arial" w:cs="Arial"/>
          <w:sz w:val="22"/>
          <w:szCs w:val="22"/>
        </w:rPr>
        <w:t xml:space="preserve">Technical efficiency can also be enhanced by putting higher priorities in high-reliability verification processes, which in return will be able to help in reducing waste associated with rework, complications, along with complaints. On the other hand, allocative efficiency can also be improved by focusing on directing various limited resources toward training based on high-impact safety interventions, along with utilising simple technologies such as barcode scanners, in addition to dedicated audit capacity. This will be more effective compared to solely focusing on increasing surgical volume. It is also essential to note that continuous-learning mechanisms should also include regular simulation training (González-Sanz </w:t>
      </w:r>
      <w:r>
        <w:rPr>
          <w:rFonts w:ascii="Arial" w:eastAsia="Arial" w:hAnsi="Arial" w:cs="Arial"/>
          <w:i/>
          <w:iCs/>
          <w:sz w:val="22"/>
          <w:szCs w:val="22"/>
        </w:rPr>
        <w:t>et al.,</w:t>
      </w:r>
      <w:r>
        <w:rPr>
          <w:rFonts w:ascii="Arial" w:eastAsia="Arial" w:hAnsi="Arial" w:cs="Arial"/>
          <w:sz w:val="22"/>
          <w:szCs w:val="22"/>
        </w:rPr>
        <w:t xml:space="preserve"> 2026). It is recommended for such training to be focused on identity verification and communication with non-verbal patients and attendants. A near-miss reporting system should also be implemented, which will be providing timely feedback to staff. Lastly, the hospital should focus on creating patient-safety advisory groups, which will help in gaining legitimate co-production with patients and families. Another essential recommendation is meaningful stakeholder engagement. It will also be necessary for staff at every level, patient representatives, alongside state health authorities to be involved, which will help in aligning incentives, resources and expectations. </w:t>
      </w:r>
    </w:p>
    <w:p w14:paraId="2FA76B5C" w14:textId="77777777" w:rsidR="002B4A8B" w:rsidRDefault="002B4A8B" w:rsidP="002B4A8B">
      <w:pPr>
        <w:spacing w:before="120" w:after="120" w:line="480" w:lineRule="auto"/>
        <w:jc w:val="both"/>
        <w:rPr>
          <w:rFonts w:ascii="Arial" w:eastAsia="Arial" w:hAnsi="Arial" w:cs="Arial"/>
          <w:sz w:val="22"/>
          <w:szCs w:val="22"/>
        </w:rPr>
      </w:pPr>
      <w:r>
        <w:rPr>
          <w:rFonts w:ascii="Arial" w:eastAsia="Arial" w:hAnsi="Arial" w:cs="Arial"/>
          <w:sz w:val="22"/>
          <w:szCs w:val="22"/>
        </w:rPr>
        <w:t xml:space="preserve">Such practical and evidence-based recommendations, which are also grounded in WHO Surgical Safety Checklist efficacy data, never-event analyses, and systems-thinking principles, will be able to offer a clear and effective pathway for converting the present reactive inquiry culture of the hospital into a proactive learning system. If implemented with proper consistency and visible leadership commitment, these recommendations will be able to significantly reduce the </w:t>
      </w:r>
      <w:r>
        <w:rPr>
          <w:rFonts w:ascii="Arial" w:eastAsia="Arial" w:hAnsi="Arial" w:cs="Arial"/>
          <w:sz w:val="22"/>
          <w:szCs w:val="22"/>
        </w:rPr>
        <w:lastRenderedPageBreak/>
        <w:t>recurrence risk, along with improving overall patient-safety performance across the entire organisation.</w:t>
      </w:r>
    </w:p>
    <w:p w14:paraId="44CE7B4B" w14:textId="77777777" w:rsidR="002B4A8B" w:rsidRDefault="002B4A8B" w:rsidP="002B4A8B">
      <w:pPr>
        <w:pStyle w:val="Heading1"/>
      </w:pPr>
      <w:bookmarkStart w:id="22" w:name="_Toc237018686"/>
      <w:r>
        <w:t>Conclusion</w:t>
      </w:r>
      <w:bookmarkEnd w:id="22"/>
    </w:p>
    <w:p w14:paraId="405CC20A" w14:textId="77777777" w:rsidR="002B4A8B" w:rsidRDefault="002B4A8B" w:rsidP="002B4A8B">
      <w:pPr>
        <w:spacing w:before="120" w:after="120" w:line="480" w:lineRule="auto"/>
        <w:jc w:val="both"/>
        <w:rPr>
          <w:rFonts w:ascii="Arial" w:eastAsia="Arial" w:hAnsi="Arial" w:cs="Arial"/>
          <w:sz w:val="22"/>
          <w:szCs w:val="22"/>
        </w:rPr>
      </w:pPr>
      <w:r>
        <w:rPr>
          <w:rFonts w:ascii="Arial" w:eastAsia="Arial" w:hAnsi="Arial" w:cs="Arial"/>
          <w:sz w:val="22"/>
          <w:szCs w:val="22"/>
        </w:rPr>
        <w:t>The Kota incident can be defined as a preventable wrong-patient procedure which is rooted in failed identity verification, along with communication gaps, in addition to insufficient proactive leadership within a hybrid centralised-decentralised governance structure. It is also demonstrated by various global statistics by WHO, NHS never-event data, along with Indian studies on harm and checklist compliance that such failures keep on remaining persistent, along with a largely avoidable threat. Systems thinking, which is also illustrated by the rich picture that consists of interacting people, processes, along with feedback loops, results in revealing the method in which local weaknesses are able to mirror wider systemic vulnerabilities. It is also essential to note that leadership that is predominantly reactive and transactional in nature is known to have proved inadequate, while on the other hand, transformational and situational approaches that also combine empowerment, vision and adaptation are considered to be essential. Improving governance, embedding reliable verification, in addition to encouraging continuous learning and co-production, will be able to offer a practical path forward.  Without properly investing in such interconnected elements, similar events such as Kota’s will have more possibilities to recur across various resource-constrained health systems. Thus, it can be stated that effective leadership, robust governance, along with systems thinking, are all important for the purpose of converting isolated tragedies into various sustained improvements in patient safety.</w:t>
      </w:r>
      <w:r>
        <w:br w:type="page"/>
      </w:r>
    </w:p>
    <w:p w14:paraId="418CD2A6" w14:textId="77777777" w:rsidR="002B4A8B" w:rsidRDefault="002B4A8B" w:rsidP="002B4A8B">
      <w:pPr>
        <w:pStyle w:val="Heading1"/>
      </w:pPr>
      <w:bookmarkStart w:id="23" w:name="_Toc237018687"/>
      <w:r>
        <w:lastRenderedPageBreak/>
        <w:t>References</w:t>
      </w:r>
      <w:bookmarkEnd w:id="23"/>
    </w:p>
    <w:p w14:paraId="18E59850" w14:textId="77777777" w:rsidR="00717EEE" w:rsidRDefault="00717EEE" w:rsidP="002B4A8B">
      <w:pPr>
        <w:spacing w:before="120" w:after="120" w:line="480" w:lineRule="auto"/>
        <w:jc w:val="both"/>
        <w:rPr>
          <w:rFonts w:ascii="Arial" w:eastAsia="Arial" w:hAnsi="Arial" w:cs="Arial"/>
          <w:sz w:val="22"/>
          <w:szCs w:val="22"/>
        </w:rPr>
      </w:pPr>
      <w:r>
        <w:rPr>
          <w:rFonts w:ascii="Arial" w:eastAsia="Arial" w:hAnsi="Arial" w:cs="Arial"/>
          <w:sz w:val="22"/>
          <w:szCs w:val="22"/>
        </w:rPr>
        <w:t xml:space="preserve">AHRQ (2019). </w:t>
      </w:r>
      <w:r>
        <w:rPr>
          <w:rFonts w:ascii="Arial" w:eastAsia="Arial" w:hAnsi="Arial" w:cs="Arial"/>
          <w:i/>
          <w:iCs/>
          <w:sz w:val="22"/>
          <w:szCs w:val="22"/>
        </w:rPr>
        <w:t xml:space="preserve">Wrong-site, wrong-procedure, and wrong-patient surgery | </w:t>
      </w:r>
      <w:proofErr w:type="spellStart"/>
      <w:r>
        <w:rPr>
          <w:rFonts w:ascii="Arial" w:eastAsia="Arial" w:hAnsi="Arial" w:cs="Arial"/>
          <w:i/>
          <w:iCs/>
          <w:sz w:val="22"/>
          <w:szCs w:val="22"/>
        </w:rPr>
        <w:t>PSNet</w:t>
      </w:r>
      <w:proofErr w:type="spellEnd"/>
      <w:r>
        <w:rPr>
          <w:rFonts w:ascii="Arial" w:eastAsia="Arial" w:hAnsi="Arial" w:cs="Arial"/>
          <w:sz w:val="22"/>
          <w:szCs w:val="22"/>
        </w:rPr>
        <w:t xml:space="preserve">. [online] </w:t>
      </w:r>
      <w:r>
        <w:rPr>
          <w:rFonts w:ascii="Arial" w:eastAsia="Arial" w:hAnsi="Arial" w:cs="Arial"/>
          <w:i/>
          <w:iCs/>
          <w:sz w:val="22"/>
          <w:szCs w:val="22"/>
        </w:rPr>
        <w:t>Ahrq.gov</w:t>
      </w:r>
      <w:r>
        <w:rPr>
          <w:rFonts w:ascii="Arial" w:eastAsia="Arial" w:hAnsi="Arial" w:cs="Arial"/>
          <w:sz w:val="22"/>
          <w:szCs w:val="22"/>
        </w:rPr>
        <w:t>. Available at: https://psnet.ahrq.gov/primer/wrong-site-wrong-procedure-and-wrong-patient-surgery [Accessed 5 Aug. 2026].</w:t>
      </w:r>
    </w:p>
    <w:p w14:paraId="3B10EAE6" w14:textId="77777777" w:rsidR="00717EEE" w:rsidRDefault="00717EEE" w:rsidP="002B4A8B">
      <w:pPr>
        <w:spacing w:before="120" w:after="120" w:line="480" w:lineRule="auto"/>
        <w:jc w:val="both"/>
        <w:rPr>
          <w:rFonts w:ascii="Arial" w:eastAsia="Arial" w:hAnsi="Arial" w:cs="Arial"/>
          <w:sz w:val="22"/>
          <w:szCs w:val="22"/>
        </w:rPr>
      </w:pPr>
      <w:r>
        <w:rPr>
          <w:rFonts w:ascii="Arial" w:eastAsia="Arial" w:hAnsi="Arial" w:cs="Arial"/>
          <w:sz w:val="22"/>
          <w:szCs w:val="22"/>
        </w:rPr>
        <w:t xml:space="preserve">Algie, C.M., Mahar, R.K., Wasiak, J., Batty, L., Gruen, R.L. and Mahar, P. D (2015). Interventions for reducing wrong-site surgery and invasive clinical procedures. </w:t>
      </w:r>
      <w:r>
        <w:rPr>
          <w:rFonts w:ascii="Arial" w:eastAsia="Arial" w:hAnsi="Arial" w:cs="Arial"/>
          <w:i/>
          <w:iCs/>
          <w:sz w:val="22"/>
          <w:szCs w:val="22"/>
        </w:rPr>
        <w:t>Cochrane Database of Systematic Reviews</w:t>
      </w:r>
      <w:r>
        <w:rPr>
          <w:rFonts w:ascii="Arial" w:eastAsia="Arial" w:hAnsi="Arial" w:cs="Arial"/>
          <w:sz w:val="22"/>
          <w:szCs w:val="22"/>
        </w:rPr>
        <w:t xml:space="preserve">, (3). </w:t>
      </w:r>
      <w:proofErr w:type="gramStart"/>
      <w:r>
        <w:rPr>
          <w:rFonts w:ascii="Arial" w:eastAsia="Arial" w:hAnsi="Arial" w:cs="Arial"/>
          <w:sz w:val="22"/>
          <w:szCs w:val="22"/>
        </w:rPr>
        <w:t>doi:10.1002/14651858.cd009404.pub3</w:t>
      </w:r>
      <w:proofErr w:type="gramEnd"/>
      <w:r>
        <w:rPr>
          <w:rFonts w:ascii="Arial" w:eastAsia="Arial" w:hAnsi="Arial" w:cs="Arial"/>
          <w:sz w:val="22"/>
          <w:szCs w:val="22"/>
        </w:rPr>
        <w:t>.</w:t>
      </w:r>
    </w:p>
    <w:p w14:paraId="131053BC" w14:textId="77777777" w:rsidR="00717EEE" w:rsidRDefault="00717EEE" w:rsidP="002B4A8B">
      <w:pPr>
        <w:spacing w:before="120" w:after="120" w:line="480" w:lineRule="auto"/>
        <w:jc w:val="both"/>
        <w:rPr>
          <w:rFonts w:ascii="Arial" w:eastAsia="Arial" w:hAnsi="Arial" w:cs="Arial"/>
          <w:sz w:val="22"/>
          <w:szCs w:val="22"/>
        </w:rPr>
      </w:pPr>
      <w:r>
        <w:rPr>
          <w:rFonts w:ascii="Arial" w:eastAsia="Arial" w:hAnsi="Arial" w:cs="Arial"/>
          <w:sz w:val="22"/>
          <w:szCs w:val="22"/>
        </w:rPr>
        <w:t>Al-</w:t>
      </w:r>
      <w:proofErr w:type="spellStart"/>
      <w:r>
        <w:rPr>
          <w:rFonts w:ascii="Arial" w:eastAsia="Arial" w:hAnsi="Arial" w:cs="Arial"/>
          <w:sz w:val="22"/>
          <w:szCs w:val="22"/>
        </w:rPr>
        <w:t>Rjoub</w:t>
      </w:r>
      <w:proofErr w:type="spellEnd"/>
      <w:r>
        <w:rPr>
          <w:rFonts w:ascii="Arial" w:eastAsia="Arial" w:hAnsi="Arial" w:cs="Arial"/>
          <w:sz w:val="22"/>
          <w:szCs w:val="22"/>
        </w:rPr>
        <w:t xml:space="preserve">, S., </w:t>
      </w:r>
      <w:proofErr w:type="spellStart"/>
      <w:r>
        <w:rPr>
          <w:rFonts w:ascii="Arial" w:eastAsia="Arial" w:hAnsi="Arial" w:cs="Arial"/>
          <w:sz w:val="22"/>
          <w:szCs w:val="22"/>
        </w:rPr>
        <w:t>Alsharawneh</w:t>
      </w:r>
      <w:proofErr w:type="spellEnd"/>
      <w:r>
        <w:rPr>
          <w:rFonts w:ascii="Arial" w:eastAsia="Arial" w:hAnsi="Arial" w:cs="Arial"/>
          <w:sz w:val="22"/>
          <w:szCs w:val="22"/>
        </w:rPr>
        <w:t xml:space="preserve">, A., </w:t>
      </w:r>
      <w:proofErr w:type="spellStart"/>
      <w:r>
        <w:rPr>
          <w:rFonts w:ascii="Arial" w:eastAsia="Arial" w:hAnsi="Arial" w:cs="Arial"/>
          <w:sz w:val="22"/>
          <w:szCs w:val="22"/>
        </w:rPr>
        <w:t>Alhawajreh</w:t>
      </w:r>
      <w:proofErr w:type="spellEnd"/>
      <w:r>
        <w:rPr>
          <w:rFonts w:ascii="Arial" w:eastAsia="Arial" w:hAnsi="Arial" w:cs="Arial"/>
          <w:sz w:val="22"/>
          <w:szCs w:val="22"/>
        </w:rPr>
        <w:t xml:space="preserve">, M. and Othman, E. (2024). Exploring the impact of transformational and transactional style of leadership on nursing care performance and patient outcomes. </w:t>
      </w:r>
      <w:r>
        <w:rPr>
          <w:rFonts w:ascii="Arial" w:eastAsia="Arial" w:hAnsi="Arial" w:cs="Arial"/>
          <w:i/>
          <w:iCs/>
          <w:sz w:val="22"/>
          <w:szCs w:val="22"/>
        </w:rPr>
        <w:t>Journal of Healthcare Leadership</w:t>
      </w:r>
      <w:r>
        <w:rPr>
          <w:rFonts w:ascii="Arial" w:eastAsia="Arial" w:hAnsi="Arial" w:cs="Arial"/>
          <w:sz w:val="22"/>
          <w:szCs w:val="22"/>
        </w:rPr>
        <w:t>, [online] 16(16), pp.557–568. doi:10.2147/</w:t>
      </w:r>
      <w:proofErr w:type="gramStart"/>
      <w:r>
        <w:rPr>
          <w:rFonts w:ascii="Arial" w:eastAsia="Arial" w:hAnsi="Arial" w:cs="Arial"/>
          <w:sz w:val="22"/>
          <w:szCs w:val="22"/>
        </w:rPr>
        <w:t>jhl.s</w:t>
      </w:r>
      <w:proofErr w:type="gramEnd"/>
      <w:r>
        <w:rPr>
          <w:rFonts w:ascii="Arial" w:eastAsia="Arial" w:hAnsi="Arial" w:cs="Arial"/>
          <w:sz w:val="22"/>
          <w:szCs w:val="22"/>
        </w:rPr>
        <w:t>496266.</w:t>
      </w:r>
    </w:p>
    <w:p w14:paraId="74690ABE" w14:textId="77777777" w:rsidR="00717EEE" w:rsidRDefault="00717EEE" w:rsidP="002B4A8B">
      <w:pPr>
        <w:spacing w:before="120" w:after="120" w:line="480" w:lineRule="auto"/>
        <w:jc w:val="both"/>
        <w:rPr>
          <w:rFonts w:ascii="Arial" w:eastAsia="Arial" w:hAnsi="Arial" w:cs="Arial"/>
          <w:sz w:val="22"/>
          <w:szCs w:val="22"/>
        </w:rPr>
      </w:pPr>
      <w:r>
        <w:rPr>
          <w:rFonts w:ascii="Arial" w:eastAsia="Arial" w:hAnsi="Arial" w:cs="Arial"/>
          <w:sz w:val="22"/>
          <w:szCs w:val="22"/>
        </w:rPr>
        <w:t xml:space="preserve">Alvi, L., </w:t>
      </w:r>
      <w:proofErr w:type="spellStart"/>
      <w:r>
        <w:rPr>
          <w:rFonts w:ascii="Arial" w:eastAsia="Arial" w:hAnsi="Arial" w:cs="Arial"/>
          <w:sz w:val="22"/>
          <w:szCs w:val="22"/>
        </w:rPr>
        <w:t>Nudzulul</w:t>
      </w:r>
      <w:proofErr w:type="spellEnd"/>
      <w:r>
        <w:rPr>
          <w:rFonts w:ascii="Arial" w:eastAsia="Arial" w:hAnsi="Arial" w:cs="Arial"/>
          <w:sz w:val="22"/>
          <w:szCs w:val="22"/>
        </w:rPr>
        <w:t xml:space="preserve">, F., Arifin, M. and </w:t>
      </w:r>
      <w:proofErr w:type="spellStart"/>
      <w:r>
        <w:rPr>
          <w:rFonts w:ascii="Arial" w:eastAsia="Arial" w:hAnsi="Arial" w:cs="Arial"/>
          <w:sz w:val="22"/>
          <w:szCs w:val="22"/>
        </w:rPr>
        <w:t>Anshori</w:t>
      </w:r>
      <w:proofErr w:type="spellEnd"/>
      <w:r>
        <w:rPr>
          <w:rFonts w:ascii="Arial" w:eastAsia="Arial" w:hAnsi="Arial" w:cs="Arial"/>
          <w:sz w:val="22"/>
          <w:szCs w:val="22"/>
        </w:rPr>
        <w:t xml:space="preserve">, M.I., (2024). Situational leadership: leader adaptation strategies in various organizational contexts. </w:t>
      </w:r>
      <w:r>
        <w:rPr>
          <w:rFonts w:ascii="Arial" w:eastAsia="Arial" w:hAnsi="Arial" w:cs="Arial"/>
          <w:i/>
          <w:iCs/>
          <w:sz w:val="22"/>
          <w:szCs w:val="22"/>
        </w:rPr>
        <w:t>International Journal Business, Management and Innovation Review</w:t>
      </w:r>
      <w:r>
        <w:rPr>
          <w:rFonts w:ascii="Arial" w:eastAsia="Arial" w:hAnsi="Arial" w:cs="Arial"/>
          <w:sz w:val="22"/>
          <w:szCs w:val="22"/>
        </w:rPr>
        <w:t xml:space="preserve">, </w:t>
      </w:r>
      <w:r>
        <w:rPr>
          <w:rFonts w:ascii="Arial" w:eastAsia="Arial" w:hAnsi="Arial" w:cs="Arial"/>
          <w:i/>
          <w:iCs/>
          <w:sz w:val="22"/>
          <w:szCs w:val="22"/>
        </w:rPr>
        <w:t>1</w:t>
      </w:r>
      <w:r>
        <w:rPr>
          <w:rFonts w:ascii="Arial" w:eastAsia="Arial" w:hAnsi="Arial" w:cs="Arial"/>
          <w:sz w:val="22"/>
          <w:szCs w:val="22"/>
        </w:rPr>
        <w:t xml:space="preserve">(2), pp.34-48. </w:t>
      </w:r>
    </w:p>
    <w:p w14:paraId="7CCE04BE" w14:textId="77777777" w:rsidR="00717EEE" w:rsidRDefault="00717EEE" w:rsidP="002B4A8B">
      <w:pPr>
        <w:spacing w:before="120" w:after="120" w:line="480" w:lineRule="auto"/>
        <w:jc w:val="both"/>
        <w:rPr>
          <w:rFonts w:ascii="Arial" w:eastAsia="Arial" w:hAnsi="Arial" w:cs="Arial"/>
          <w:sz w:val="22"/>
          <w:szCs w:val="22"/>
        </w:rPr>
      </w:pPr>
      <w:r>
        <w:rPr>
          <w:rFonts w:ascii="Arial" w:eastAsia="Arial" w:hAnsi="Arial" w:cs="Arial"/>
          <w:sz w:val="22"/>
          <w:szCs w:val="22"/>
        </w:rPr>
        <w:t xml:space="preserve">Campbell, J. (2023). </w:t>
      </w:r>
      <w:r>
        <w:rPr>
          <w:rFonts w:ascii="Arial" w:eastAsia="Arial" w:hAnsi="Arial" w:cs="Arial"/>
          <w:i/>
          <w:iCs/>
          <w:sz w:val="22"/>
          <w:szCs w:val="22"/>
        </w:rPr>
        <w:t>Bar code technology in healthcare | EBSCO</w:t>
      </w:r>
      <w:r>
        <w:rPr>
          <w:rFonts w:ascii="Arial" w:eastAsia="Arial" w:hAnsi="Arial" w:cs="Arial"/>
          <w:sz w:val="22"/>
          <w:szCs w:val="22"/>
        </w:rPr>
        <w:t xml:space="preserve">. [online] </w:t>
      </w:r>
      <w:r>
        <w:rPr>
          <w:rFonts w:ascii="Arial" w:eastAsia="Arial" w:hAnsi="Arial" w:cs="Arial"/>
          <w:i/>
          <w:iCs/>
          <w:sz w:val="22"/>
          <w:szCs w:val="22"/>
        </w:rPr>
        <w:t>EBSCO Information Services, Inc. | www.ebsco.com</w:t>
      </w:r>
      <w:r>
        <w:rPr>
          <w:rFonts w:ascii="Arial" w:eastAsia="Arial" w:hAnsi="Arial" w:cs="Arial"/>
          <w:sz w:val="22"/>
          <w:szCs w:val="22"/>
        </w:rPr>
        <w:t>. Available at: https://www.ebsco.com/research-starters/technology/bar-code-technology-healthcare [Accessed 6 Aug. 2026].</w:t>
      </w:r>
    </w:p>
    <w:p w14:paraId="0698F89E" w14:textId="77777777" w:rsidR="00717EEE" w:rsidRDefault="00717EEE" w:rsidP="002B4A8B">
      <w:pPr>
        <w:spacing w:before="120" w:after="120" w:line="480" w:lineRule="auto"/>
        <w:jc w:val="both"/>
        <w:rPr>
          <w:rFonts w:ascii="Arial" w:eastAsia="Arial" w:hAnsi="Arial" w:cs="Arial"/>
          <w:sz w:val="22"/>
          <w:szCs w:val="22"/>
        </w:rPr>
      </w:pPr>
      <w:r>
        <w:rPr>
          <w:rFonts w:ascii="Arial" w:eastAsia="Arial" w:hAnsi="Arial" w:cs="Arial"/>
          <w:sz w:val="22"/>
          <w:szCs w:val="22"/>
        </w:rPr>
        <w:t xml:space="preserve">Dekker, S. (2011). Patient safety: A human factors approach. </w:t>
      </w:r>
      <w:r>
        <w:rPr>
          <w:rFonts w:ascii="Arial" w:eastAsia="Arial" w:hAnsi="Arial" w:cs="Arial"/>
          <w:i/>
          <w:iCs/>
          <w:sz w:val="22"/>
          <w:szCs w:val="22"/>
        </w:rPr>
        <w:t>Journal of Nursing Regulation</w:t>
      </w:r>
      <w:r>
        <w:rPr>
          <w:rFonts w:ascii="Arial" w:eastAsia="Arial" w:hAnsi="Arial" w:cs="Arial"/>
          <w:sz w:val="22"/>
          <w:szCs w:val="22"/>
        </w:rPr>
        <w:t>, 2(3), p.64. doi:10.1016/s2155-8256(15)30263-5.</w:t>
      </w:r>
    </w:p>
    <w:p w14:paraId="35868829" w14:textId="77777777" w:rsidR="00717EEE" w:rsidRDefault="00717EEE" w:rsidP="002B4A8B">
      <w:pPr>
        <w:spacing w:before="120" w:after="120" w:line="480" w:lineRule="auto"/>
        <w:jc w:val="both"/>
        <w:rPr>
          <w:rFonts w:ascii="Arial" w:eastAsia="Arial" w:hAnsi="Arial" w:cs="Arial"/>
          <w:sz w:val="22"/>
          <w:szCs w:val="22"/>
        </w:rPr>
      </w:pPr>
      <w:r>
        <w:rPr>
          <w:rFonts w:ascii="Arial" w:eastAsia="Arial" w:hAnsi="Arial" w:cs="Arial"/>
          <w:sz w:val="22"/>
          <w:szCs w:val="22"/>
        </w:rPr>
        <w:t xml:space="preserve">Ferris, G. (2026). </w:t>
      </w:r>
      <w:r>
        <w:rPr>
          <w:rFonts w:ascii="Arial" w:eastAsia="Arial" w:hAnsi="Arial" w:cs="Arial"/>
          <w:i/>
          <w:iCs/>
          <w:sz w:val="22"/>
          <w:szCs w:val="22"/>
        </w:rPr>
        <w:t>Wrong-site surgery cases in England jump 46% - healthcare today</w:t>
      </w:r>
      <w:r>
        <w:rPr>
          <w:rFonts w:ascii="Arial" w:eastAsia="Arial" w:hAnsi="Arial" w:cs="Arial"/>
          <w:sz w:val="22"/>
          <w:szCs w:val="22"/>
        </w:rPr>
        <w:t>. [online] Healthcare Today. Available at: https://healthcaretoday.com/article/wrong-site-surgery-cases-in-england-jump-46 [Accessed 5 Aug. 2026].</w:t>
      </w:r>
    </w:p>
    <w:p w14:paraId="052260AB" w14:textId="77777777" w:rsidR="00717EEE" w:rsidRDefault="00717EEE" w:rsidP="002B4A8B">
      <w:pPr>
        <w:spacing w:before="120" w:after="120" w:line="480" w:lineRule="auto"/>
        <w:jc w:val="both"/>
        <w:rPr>
          <w:rFonts w:ascii="Arial" w:eastAsia="Arial" w:hAnsi="Arial" w:cs="Arial"/>
          <w:sz w:val="22"/>
          <w:szCs w:val="22"/>
        </w:rPr>
      </w:pPr>
      <w:r>
        <w:rPr>
          <w:rFonts w:ascii="Arial" w:eastAsia="Arial" w:hAnsi="Arial" w:cs="Arial"/>
          <w:sz w:val="22"/>
          <w:szCs w:val="22"/>
        </w:rPr>
        <w:lastRenderedPageBreak/>
        <w:t xml:space="preserve">Fortier, J.H., Garber, G., Gorter, R. De, Bowman, C.L. and Zaslow, J. (2023). Identifying a list of healthcare ‘never events’ to effect system change: A systematic review and narrative synthesis. </w:t>
      </w:r>
      <w:r>
        <w:rPr>
          <w:rFonts w:ascii="Arial" w:eastAsia="Arial" w:hAnsi="Arial" w:cs="Arial"/>
          <w:i/>
          <w:iCs/>
          <w:sz w:val="22"/>
          <w:szCs w:val="22"/>
        </w:rPr>
        <w:t>BMJ Open Quality</w:t>
      </w:r>
      <w:r>
        <w:rPr>
          <w:rFonts w:ascii="Arial" w:eastAsia="Arial" w:hAnsi="Arial" w:cs="Arial"/>
          <w:sz w:val="22"/>
          <w:szCs w:val="22"/>
        </w:rPr>
        <w:t>, [online] 12(2). doi:10.1136/bmjoq-2023-002264.</w:t>
      </w:r>
    </w:p>
    <w:p w14:paraId="12E33672" w14:textId="77777777" w:rsidR="00717EEE" w:rsidRDefault="00717EEE" w:rsidP="002B4A8B">
      <w:pPr>
        <w:spacing w:before="120" w:after="120" w:line="480" w:lineRule="auto"/>
        <w:jc w:val="both"/>
        <w:rPr>
          <w:rFonts w:ascii="Arial" w:eastAsia="Arial" w:hAnsi="Arial" w:cs="Arial"/>
          <w:sz w:val="22"/>
          <w:szCs w:val="22"/>
        </w:rPr>
      </w:pPr>
      <w:r>
        <w:rPr>
          <w:rFonts w:ascii="Arial" w:eastAsia="Arial" w:hAnsi="Arial" w:cs="Arial"/>
          <w:sz w:val="22"/>
          <w:szCs w:val="22"/>
        </w:rPr>
        <w:t xml:space="preserve">Frankel, A., Graydon-Baker, E., Neppl, C., Simmonds, T., Gustafson, M. and Gandhi, T.K. (2003). Patient safety leadership </w:t>
      </w:r>
      <w:proofErr w:type="spellStart"/>
      <w:r>
        <w:rPr>
          <w:rFonts w:ascii="Arial" w:eastAsia="Arial" w:hAnsi="Arial" w:cs="Arial"/>
          <w:sz w:val="22"/>
          <w:szCs w:val="22"/>
        </w:rPr>
        <w:t>WalkRounds</w:t>
      </w:r>
      <w:r>
        <w:rPr>
          <w:rFonts w:ascii="Arial" w:eastAsia="Arial" w:hAnsi="Arial" w:cs="Arial"/>
          <w:sz w:val="22"/>
          <w:szCs w:val="22"/>
          <w:vertAlign w:val="superscript"/>
        </w:rPr>
        <w:t>TM</w:t>
      </w:r>
      <w:proofErr w:type="spellEnd"/>
      <w:r>
        <w:rPr>
          <w:rFonts w:ascii="Arial" w:eastAsia="Arial" w:hAnsi="Arial" w:cs="Arial"/>
          <w:sz w:val="22"/>
          <w:szCs w:val="22"/>
        </w:rPr>
        <w:t xml:space="preserve">. </w:t>
      </w:r>
      <w:r>
        <w:rPr>
          <w:rFonts w:ascii="Arial" w:eastAsia="Arial" w:hAnsi="Arial" w:cs="Arial"/>
          <w:i/>
          <w:iCs/>
          <w:sz w:val="22"/>
          <w:szCs w:val="22"/>
        </w:rPr>
        <w:t>The Joint Commission Journal on Quality and Safety</w:t>
      </w:r>
      <w:r>
        <w:rPr>
          <w:rFonts w:ascii="Arial" w:eastAsia="Arial" w:hAnsi="Arial" w:cs="Arial"/>
          <w:sz w:val="22"/>
          <w:szCs w:val="22"/>
        </w:rPr>
        <w:t>, 29(1), pp.16–26. doi:10.1016/s1549-3741(03)29003-1.</w:t>
      </w:r>
    </w:p>
    <w:p w14:paraId="31AC8157" w14:textId="77777777" w:rsidR="00717EEE" w:rsidRDefault="00717EEE" w:rsidP="002B4A8B">
      <w:pPr>
        <w:spacing w:before="120" w:after="120" w:line="480" w:lineRule="auto"/>
        <w:jc w:val="both"/>
        <w:rPr>
          <w:rFonts w:ascii="Arial" w:eastAsia="Arial" w:hAnsi="Arial" w:cs="Arial"/>
          <w:sz w:val="22"/>
          <w:szCs w:val="22"/>
        </w:rPr>
      </w:pPr>
      <w:r>
        <w:rPr>
          <w:rFonts w:ascii="Arial" w:eastAsia="Arial" w:hAnsi="Arial" w:cs="Arial"/>
          <w:sz w:val="22"/>
          <w:szCs w:val="22"/>
        </w:rPr>
        <w:t xml:space="preserve">Geraghty, A., Ferguson, L., McIlhenny, C. and Bowie, P. (2020). Incidence of wrong-site surgery list errors for a 2-Year period in a single National Health Service Board. </w:t>
      </w:r>
      <w:r>
        <w:rPr>
          <w:rFonts w:ascii="Arial" w:eastAsia="Arial" w:hAnsi="Arial" w:cs="Arial"/>
          <w:i/>
          <w:iCs/>
          <w:sz w:val="22"/>
          <w:szCs w:val="22"/>
        </w:rPr>
        <w:t>Journal of Patient Safety</w:t>
      </w:r>
      <w:r>
        <w:rPr>
          <w:rFonts w:ascii="Arial" w:eastAsia="Arial" w:hAnsi="Arial" w:cs="Arial"/>
          <w:sz w:val="22"/>
          <w:szCs w:val="22"/>
        </w:rPr>
        <w:t>, [online] 16(1), p.1. doi:10.1097/pts.0000000000000426.</w:t>
      </w:r>
    </w:p>
    <w:p w14:paraId="41EABCD9" w14:textId="77777777" w:rsidR="00717EEE" w:rsidRDefault="00717EEE" w:rsidP="002B4A8B">
      <w:pPr>
        <w:spacing w:before="120" w:after="120" w:line="480" w:lineRule="auto"/>
        <w:jc w:val="both"/>
        <w:rPr>
          <w:rFonts w:ascii="Arial" w:eastAsia="Arial" w:hAnsi="Arial" w:cs="Arial"/>
          <w:sz w:val="22"/>
          <w:szCs w:val="22"/>
        </w:rPr>
      </w:pPr>
      <w:r w:rsidRPr="00717EEE">
        <w:rPr>
          <w:rFonts w:ascii="Arial" w:eastAsia="Arial" w:hAnsi="Arial" w:cs="Arial"/>
          <w:sz w:val="22"/>
          <w:szCs w:val="22"/>
        </w:rPr>
        <w:t xml:space="preserve">Goenka, A., </w:t>
      </w:r>
      <w:proofErr w:type="spellStart"/>
      <w:r w:rsidRPr="00717EEE">
        <w:rPr>
          <w:rFonts w:ascii="Arial" w:eastAsia="Arial" w:hAnsi="Arial" w:cs="Arial"/>
          <w:sz w:val="22"/>
          <w:szCs w:val="22"/>
        </w:rPr>
        <w:t>Mundkur</w:t>
      </w:r>
      <w:proofErr w:type="spellEnd"/>
      <w:r w:rsidRPr="00717EEE">
        <w:rPr>
          <w:rFonts w:ascii="Arial" w:eastAsia="Arial" w:hAnsi="Arial" w:cs="Arial"/>
          <w:sz w:val="22"/>
          <w:szCs w:val="22"/>
        </w:rPr>
        <w:t xml:space="preserve">, S., Sujir Nayak, S., Shetty, A., Thomas, J., </w:t>
      </w:r>
      <w:proofErr w:type="spellStart"/>
      <w:r w:rsidRPr="00717EEE">
        <w:rPr>
          <w:rFonts w:ascii="Arial" w:eastAsia="Arial" w:hAnsi="Arial" w:cs="Arial"/>
          <w:sz w:val="22"/>
          <w:szCs w:val="22"/>
        </w:rPr>
        <w:t>Mymbilly</w:t>
      </w:r>
      <w:proofErr w:type="spellEnd"/>
      <w:r w:rsidRPr="00717EEE">
        <w:rPr>
          <w:rFonts w:ascii="Arial" w:eastAsia="Arial" w:hAnsi="Arial" w:cs="Arial"/>
          <w:sz w:val="22"/>
          <w:szCs w:val="22"/>
        </w:rPr>
        <w:t xml:space="preserve"> Balakrishnan, J., Chandra Sekaran, V. and Dsouza, B., 2024. Improving the emergency services using quality improvement project and Donabedian model in a quaternary teaching hospital in South India. </w:t>
      </w:r>
      <w:r w:rsidRPr="00717EEE">
        <w:rPr>
          <w:rFonts w:ascii="Arial" w:eastAsia="Arial" w:hAnsi="Arial" w:cs="Arial"/>
          <w:i/>
          <w:iCs/>
          <w:sz w:val="22"/>
          <w:szCs w:val="22"/>
        </w:rPr>
        <w:t>BMJ open quality</w:t>
      </w:r>
      <w:r w:rsidRPr="00717EEE">
        <w:rPr>
          <w:rFonts w:ascii="Arial" w:eastAsia="Arial" w:hAnsi="Arial" w:cs="Arial"/>
          <w:sz w:val="22"/>
          <w:szCs w:val="22"/>
        </w:rPr>
        <w:t xml:space="preserve">, </w:t>
      </w:r>
      <w:r w:rsidRPr="00717EEE">
        <w:rPr>
          <w:rFonts w:ascii="Arial" w:eastAsia="Arial" w:hAnsi="Arial" w:cs="Arial"/>
          <w:i/>
          <w:iCs/>
          <w:sz w:val="22"/>
          <w:szCs w:val="22"/>
        </w:rPr>
        <w:t>13</w:t>
      </w:r>
      <w:r w:rsidRPr="00717EEE">
        <w:rPr>
          <w:rFonts w:ascii="Arial" w:eastAsia="Arial" w:hAnsi="Arial" w:cs="Arial"/>
          <w:sz w:val="22"/>
          <w:szCs w:val="22"/>
        </w:rPr>
        <w:t>(1), p.e002246.</w:t>
      </w:r>
    </w:p>
    <w:p w14:paraId="655BAD4B" w14:textId="77777777" w:rsidR="00717EEE" w:rsidRDefault="00717EEE" w:rsidP="002B4A8B">
      <w:pPr>
        <w:spacing w:before="120" w:after="120" w:line="480" w:lineRule="auto"/>
        <w:jc w:val="both"/>
        <w:rPr>
          <w:rFonts w:ascii="Arial" w:eastAsia="Arial" w:hAnsi="Arial" w:cs="Arial"/>
          <w:sz w:val="22"/>
          <w:szCs w:val="22"/>
        </w:rPr>
      </w:pPr>
      <w:r>
        <w:rPr>
          <w:rFonts w:ascii="Arial" w:eastAsia="Arial" w:hAnsi="Arial" w:cs="Arial"/>
          <w:sz w:val="22"/>
          <w:szCs w:val="22"/>
        </w:rPr>
        <w:t xml:space="preserve">González-Sanz, A., López-García, J.C., </w:t>
      </w:r>
      <w:proofErr w:type="spellStart"/>
      <w:r>
        <w:rPr>
          <w:rFonts w:ascii="Arial" w:eastAsia="Arial" w:hAnsi="Arial" w:cs="Arial"/>
          <w:sz w:val="22"/>
          <w:szCs w:val="22"/>
        </w:rPr>
        <w:t>Sutil</w:t>
      </w:r>
      <w:proofErr w:type="spellEnd"/>
      <w:r>
        <w:rPr>
          <w:rFonts w:ascii="Arial" w:eastAsia="Arial" w:hAnsi="Arial" w:cs="Arial"/>
          <w:sz w:val="22"/>
          <w:szCs w:val="22"/>
        </w:rPr>
        <w:t>-Rodríguez, E., Juárez-Vela, R., Santos-Sánchez, J.Á., Navas-</w:t>
      </w:r>
      <w:proofErr w:type="spellStart"/>
      <w:r>
        <w:rPr>
          <w:rFonts w:ascii="Arial" w:eastAsia="Arial" w:hAnsi="Arial" w:cs="Arial"/>
          <w:sz w:val="22"/>
          <w:szCs w:val="22"/>
        </w:rPr>
        <w:t>Echazarreta</w:t>
      </w:r>
      <w:proofErr w:type="spellEnd"/>
      <w:r>
        <w:rPr>
          <w:rFonts w:ascii="Arial" w:eastAsia="Arial" w:hAnsi="Arial" w:cs="Arial"/>
          <w:sz w:val="22"/>
          <w:szCs w:val="22"/>
        </w:rPr>
        <w:t xml:space="preserve">, N., Martínez-Sabater, A. and Sancho-Sanchez, C. (2026). Simulation-based training for nursing students to improve patient safety: Systematic review. </w:t>
      </w:r>
      <w:r>
        <w:rPr>
          <w:rFonts w:ascii="Arial" w:eastAsia="Arial" w:hAnsi="Arial" w:cs="Arial"/>
          <w:i/>
          <w:iCs/>
          <w:sz w:val="22"/>
          <w:szCs w:val="22"/>
        </w:rPr>
        <w:t>JMIR Nursing</w:t>
      </w:r>
      <w:r>
        <w:rPr>
          <w:rFonts w:ascii="Arial" w:eastAsia="Arial" w:hAnsi="Arial" w:cs="Arial"/>
          <w:sz w:val="22"/>
          <w:szCs w:val="22"/>
        </w:rPr>
        <w:t xml:space="preserve">, [online] 9, </w:t>
      </w:r>
      <w:proofErr w:type="gramStart"/>
      <w:r>
        <w:rPr>
          <w:rFonts w:ascii="Arial" w:eastAsia="Arial" w:hAnsi="Arial" w:cs="Arial"/>
          <w:sz w:val="22"/>
          <w:szCs w:val="22"/>
        </w:rPr>
        <w:t>pp.e</w:t>
      </w:r>
      <w:proofErr w:type="gramEnd"/>
      <w:r>
        <w:rPr>
          <w:rFonts w:ascii="Arial" w:eastAsia="Arial" w:hAnsi="Arial" w:cs="Arial"/>
          <w:sz w:val="22"/>
          <w:szCs w:val="22"/>
        </w:rPr>
        <w:t>87898-e87898. doi:10.2196/87898.</w:t>
      </w:r>
    </w:p>
    <w:p w14:paraId="0913F5A2" w14:textId="77777777" w:rsidR="00717EEE" w:rsidRDefault="00717EEE" w:rsidP="002B4A8B">
      <w:pPr>
        <w:spacing w:before="120" w:after="120" w:line="480" w:lineRule="auto"/>
        <w:jc w:val="both"/>
        <w:rPr>
          <w:rFonts w:ascii="Arial" w:eastAsia="Arial" w:hAnsi="Arial" w:cs="Arial"/>
          <w:sz w:val="22"/>
          <w:szCs w:val="22"/>
        </w:rPr>
      </w:pPr>
      <w:r>
        <w:rPr>
          <w:rFonts w:ascii="Arial" w:eastAsia="Arial" w:hAnsi="Arial" w:cs="Arial"/>
          <w:sz w:val="22"/>
          <w:szCs w:val="22"/>
        </w:rPr>
        <w:t xml:space="preserve">Govil, D., Khan, R.A., Agarwal, A. and Ghosh, P. (2025). </w:t>
      </w:r>
      <w:r>
        <w:rPr>
          <w:rFonts w:ascii="Arial" w:eastAsia="Arial" w:hAnsi="Arial" w:cs="Arial"/>
          <w:i/>
          <w:iCs/>
          <w:sz w:val="22"/>
          <w:szCs w:val="22"/>
        </w:rPr>
        <w:t>Epidemiology of medication errors in Indian hospital settings: A systematic literature review</w:t>
      </w:r>
      <w:r>
        <w:rPr>
          <w:rFonts w:ascii="Arial" w:eastAsia="Arial" w:hAnsi="Arial" w:cs="Arial"/>
          <w:sz w:val="22"/>
          <w:szCs w:val="22"/>
        </w:rPr>
        <w:t>. [online] Ijccm.org. Available at: https://www.ijccm.org/abstractArticleContentBrowse/IJCCM/42777/JPJ/fullText [Accessed 5 Aug. 2026].</w:t>
      </w:r>
    </w:p>
    <w:p w14:paraId="5DC30418" w14:textId="77777777" w:rsidR="00717EEE" w:rsidRDefault="00717EEE" w:rsidP="002B4A8B">
      <w:pPr>
        <w:spacing w:before="120" w:after="120" w:line="480" w:lineRule="auto"/>
        <w:jc w:val="both"/>
        <w:rPr>
          <w:rFonts w:ascii="Arial" w:eastAsia="Arial" w:hAnsi="Arial" w:cs="Arial"/>
          <w:sz w:val="22"/>
          <w:szCs w:val="22"/>
        </w:rPr>
      </w:pPr>
      <w:r>
        <w:rPr>
          <w:rFonts w:ascii="Arial" w:eastAsia="Arial" w:hAnsi="Arial" w:cs="Arial"/>
          <w:sz w:val="22"/>
          <w:szCs w:val="22"/>
        </w:rPr>
        <w:t xml:space="preserve">Gupta, G. and Meena, S. (2025). Patient Preferences and Overcrowding Pressures at Sawai Man Singh Hospital, Jaipur: A Survey-Based Analysis of Government Healthcare Choices in </w:t>
      </w:r>
      <w:r>
        <w:rPr>
          <w:rFonts w:ascii="Arial" w:eastAsia="Arial" w:hAnsi="Arial" w:cs="Arial"/>
          <w:sz w:val="22"/>
          <w:szCs w:val="22"/>
        </w:rPr>
        <w:lastRenderedPageBreak/>
        <w:t xml:space="preserve">Rajasthan. </w:t>
      </w:r>
      <w:r>
        <w:rPr>
          <w:rFonts w:ascii="Arial" w:eastAsia="Arial" w:hAnsi="Arial" w:cs="Arial"/>
          <w:i/>
          <w:iCs/>
          <w:sz w:val="22"/>
          <w:szCs w:val="22"/>
        </w:rPr>
        <w:t>Sijmds.com</w:t>
      </w:r>
      <w:r>
        <w:rPr>
          <w:rFonts w:ascii="Arial" w:eastAsia="Arial" w:hAnsi="Arial" w:cs="Arial"/>
          <w:sz w:val="22"/>
          <w:szCs w:val="22"/>
        </w:rPr>
        <w:t>, [online] 3(1). Available at: https://sijmds.com/index.php/pub/article/download/81/67 [Accessed 6 Aug. 2026].</w:t>
      </w:r>
    </w:p>
    <w:p w14:paraId="1D80E80F" w14:textId="77777777" w:rsidR="00717EEE" w:rsidRDefault="00717EEE" w:rsidP="002B4A8B">
      <w:pPr>
        <w:spacing w:before="120" w:after="120" w:line="480" w:lineRule="auto"/>
        <w:jc w:val="both"/>
        <w:rPr>
          <w:rFonts w:ascii="Arial" w:eastAsia="Arial" w:hAnsi="Arial" w:cs="Arial"/>
          <w:sz w:val="22"/>
          <w:szCs w:val="22"/>
        </w:rPr>
      </w:pPr>
      <w:r>
        <w:rPr>
          <w:rFonts w:ascii="Arial" w:eastAsia="Arial" w:hAnsi="Arial" w:cs="Arial"/>
          <w:sz w:val="22"/>
          <w:szCs w:val="22"/>
        </w:rPr>
        <w:t xml:space="preserve">Haynes, A.B., Weiser, T.G., Berry, W.R., Lipsitz, S.R., </w:t>
      </w:r>
      <w:proofErr w:type="spellStart"/>
      <w:r>
        <w:rPr>
          <w:rFonts w:ascii="Arial" w:eastAsia="Arial" w:hAnsi="Arial" w:cs="Arial"/>
          <w:sz w:val="22"/>
          <w:szCs w:val="22"/>
        </w:rPr>
        <w:t>Breizat</w:t>
      </w:r>
      <w:proofErr w:type="spellEnd"/>
      <w:r>
        <w:rPr>
          <w:rFonts w:ascii="Arial" w:eastAsia="Arial" w:hAnsi="Arial" w:cs="Arial"/>
          <w:sz w:val="22"/>
          <w:szCs w:val="22"/>
        </w:rPr>
        <w:t xml:space="preserve">, A.-H.S., Dellinger, E.P., Herbosa, T., Joseph, S., </w:t>
      </w:r>
      <w:proofErr w:type="spellStart"/>
      <w:r>
        <w:rPr>
          <w:rFonts w:ascii="Arial" w:eastAsia="Arial" w:hAnsi="Arial" w:cs="Arial"/>
          <w:sz w:val="22"/>
          <w:szCs w:val="22"/>
        </w:rPr>
        <w:t>Kibatala</w:t>
      </w:r>
      <w:proofErr w:type="spellEnd"/>
      <w:r>
        <w:rPr>
          <w:rFonts w:ascii="Arial" w:eastAsia="Arial" w:hAnsi="Arial" w:cs="Arial"/>
          <w:sz w:val="22"/>
          <w:szCs w:val="22"/>
        </w:rPr>
        <w:t xml:space="preserve">, P.L., Lapitan, M.C.M., Merry, A.F., Moorthy, K., Reznick, R.K., Taylor, B. and Gawande, A.A. (2009). A surgical safety checklist to reduce morbidity and mortality in a global population. </w:t>
      </w:r>
      <w:r>
        <w:rPr>
          <w:rFonts w:ascii="Arial" w:eastAsia="Arial" w:hAnsi="Arial" w:cs="Arial"/>
          <w:i/>
          <w:iCs/>
          <w:sz w:val="22"/>
          <w:szCs w:val="22"/>
        </w:rPr>
        <w:t>New England Journal of Medicine</w:t>
      </w:r>
      <w:r>
        <w:rPr>
          <w:rFonts w:ascii="Arial" w:eastAsia="Arial" w:hAnsi="Arial" w:cs="Arial"/>
          <w:sz w:val="22"/>
          <w:szCs w:val="22"/>
        </w:rPr>
        <w:t>, [online] 360(5), pp.491–499. doi:10.1056/nejmsa0810119.</w:t>
      </w:r>
    </w:p>
    <w:p w14:paraId="75534B08" w14:textId="77777777" w:rsidR="00717EEE" w:rsidRDefault="00717EEE" w:rsidP="002B4A8B">
      <w:pPr>
        <w:spacing w:before="120" w:after="120" w:line="480" w:lineRule="auto"/>
        <w:jc w:val="both"/>
        <w:rPr>
          <w:rFonts w:ascii="Arial" w:eastAsia="Arial" w:hAnsi="Arial" w:cs="Arial"/>
          <w:sz w:val="22"/>
          <w:szCs w:val="22"/>
        </w:rPr>
      </w:pPr>
      <w:r>
        <w:rPr>
          <w:rFonts w:ascii="Arial" w:eastAsia="Arial" w:hAnsi="Arial" w:cs="Arial"/>
          <w:sz w:val="22"/>
          <w:szCs w:val="22"/>
        </w:rPr>
        <w:t xml:space="preserve">Ip, E., Srivastava, R., Lentz, L., </w:t>
      </w:r>
      <w:proofErr w:type="spellStart"/>
      <w:r>
        <w:rPr>
          <w:rFonts w:ascii="Arial" w:eastAsia="Arial" w:hAnsi="Arial" w:cs="Arial"/>
          <w:sz w:val="22"/>
          <w:szCs w:val="22"/>
        </w:rPr>
        <w:t>Jasinoski</w:t>
      </w:r>
      <w:proofErr w:type="spellEnd"/>
      <w:r>
        <w:rPr>
          <w:rFonts w:ascii="Arial" w:eastAsia="Arial" w:hAnsi="Arial" w:cs="Arial"/>
          <w:sz w:val="22"/>
          <w:szCs w:val="22"/>
        </w:rPr>
        <w:t xml:space="preserve">, S. and Anderson, G.S. (2025). Antecedents of Workplace Psychological Safety in Public Safety and Frontline Healthcare: A scoping review. </w:t>
      </w:r>
      <w:r>
        <w:rPr>
          <w:rFonts w:ascii="Arial" w:eastAsia="Arial" w:hAnsi="Arial" w:cs="Arial"/>
          <w:i/>
          <w:iCs/>
          <w:sz w:val="22"/>
          <w:szCs w:val="22"/>
        </w:rPr>
        <w:t>International Journal of Environmental Research and Public Health</w:t>
      </w:r>
      <w:r>
        <w:rPr>
          <w:rFonts w:ascii="Arial" w:eastAsia="Arial" w:hAnsi="Arial" w:cs="Arial"/>
          <w:sz w:val="22"/>
          <w:szCs w:val="22"/>
        </w:rPr>
        <w:t>, [online] 22(6), p.820. doi:10.3390/ijerph22060820.</w:t>
      </w:r>
    </w:p>
    <w:p w14:paraId="17726BF8" w14:textId="77777777" w:rsidR="00717EEE" w:rsidRDefault="00717EEE" w:rsidP="002B4A8B">
      <w:pPr>
        <w:spacing w:before="120" w:after="120" w:line="480" w:lineRule="auto"/>
        <w:jc w:val="both"/>
        <w:rPr>
          <w:rFonts w:ascii="Arial" w:eastAsia="Arial" w:hAnsi="Arial" w:cs="Arial"/>
          <w:sz w:val="22"/>
          <w:szCs w:val="22"/>
        </w:rPr>
      </w:pPr>
      <w:r>
        <w:rPr>
          <w:rFonts w:ascii="Arial" w:eastAsia="Arial" w:hAnsi="Arial" w:cs="Arial"/>
          <w:sz w:val="22"/>
          <w:szCs w:val="22"/>
        </w:rPr>
        <w:t xml:space="preserve">Ivers, N., </w:t>
      </w:r>
      <w:proofErr w:type="spellStart"/>
      <w:r>
        <w:rPr>
          <w:rFonts w:ascii="Arial" w:eastAsia="Arial" w:hAnsi="Arial" w:cs="Arial"/>
          <w:sz w:val="22"/>
          <w:szCs w:val="22"/>
        </w:rPr>
        <w:t>Jamtvedt</w:t>
      </w:r>
      <w:proofErr w:type="spellEnd"/>
      <w:r>
        <w:rPr>
          <w:rFonts w:ascii="Arial" w:eastAsia="Arial" w:hAnsi="Arial" w:cs="Arial"/>
          <w:sz w:val="22"/>
          <w:szCs w:val="22"/>
        </w:rPr>
        <w:t xml:space="preserve">, G., </w:t>
      </w:r>
      <w:proofErr w:type="spellStart"/>
      <w:r>
        <w:rPr>
          <w:rFonts w:ascii="Arial" w:eastAsia="Arial" w:hAnsi="Arial" w:cs="Arial"/>
          <w:sz w:val="22"/>
          <w:szCs w:val="22"/>
        </w:rPr>
        <w:t>Flottorp</w:t>
      </w:r>
      <w:proofErr w:type="spellEnd"/>
      <w:r>
        <w:rPr>
          <w:rFonts w:ascii="Arial" w:eastAsia="Arial" w:hAnsi="Arial" w:cs="Arial"/>
          <w:sz w:val="22"/>
          <w:szCs w:val="22"/>
        </w:rPr>
        <w:t xml:space="preserve">, S., Young, J., Odgaard-Jensen, J., French, S., O’Brien, M., Johansen, M., Grimshaw, J. and Oxman, A. (2012). Audit and feedback: Effects on professional practice and healthcare outcomes. </w:t>
      </w:r>
      <w:r>
        <w:rPr>
          <w:rFonts w:ascii="Arial" w:eastAsia="Arial" w:hAnsi="Arial" w:cs="Arial"/>
          <w:i/>
          <w:iCs/>
          <w:sz w:val="22"/>
          <w:szCs w:val="22"/>
        </w:rPr>
        <w:t>Cochrane Database of Systematic Reviews</w:t>
      </w:r>
      <w:r>
        <w:rPr>
          <w:rFonts w:ascii="Arial" w:eastAsia="Arial" w:hAnsi="Arial" w:cs="Arial"/>
          <w:sz w:val="22"/>
          <w:szCs w:val="22"/>
        </w:rPr>
        <w:t xml:space="preserve">, 6(6). </w:t>
      </w:r>
      <w:proofErr w:type="gramStart"/>
      <w:r>
        <w:rPr>
          <w:rFonts w:ascii="Arial" w:eastAsia="Arial" w:hAnsi="Arial" w:cs="Arial"/>
          <w:sz w:val="22"/>
          <w:szCs w:val="22"/>
        </w:rPr>
        <w:t>doi:10.1002/14651858.cd000259.pub3</w:t>
      </w:r>
      <w:proofErr w:type="gramEnd"/>
      <w:r>
        <w:rPr>
          <w:rFonts w:ascii="Arial" w:eastAsia="Arial" w:hAnsi="Arial" w:cs="Arial"/>
          <w:sz w:val="22"/>
          <w:szCs w:val="22"/>
        </w:rPr>
        <w:t>.</w:t>
      </w:r>
    </w:p>
    <w:p w14:paraId="1BA4B887" w14:textId="77777777" w:rsidR="00717EEE" w:rsidRDefault="00717EEE" w:rsidP="002B4A8B">
      <w:pPr>
        <w:spacing w:before="120" w:after="120" w:line="480" w:lineRule="auto"/>
        <w:jc w:val="both"/>
        <w:rPr>
          <w:rFonts w:ascii="Arial" w:eastAsia="Arial" w:hAnsi="Arial" w:cs="Arial"/>
          <w:sz w:val="22"/>
          <w:szCs w:val="22"/>
        </w:rPr>
      </w:pPr>
      <w:r>
        <w:rPr>
          <w:rFonts w:ascii="Arial" w:eastAsia="Arial" w:hAnsi="Arial" w:cs="Arial"/>
          <w:sz w:val="22"/>
          <w:szCs w:val="22"/>
        </w:rPr>
        <w:t xml:space="preserve">Joint Commission (2025). </w:t>
      </w:r>
      <w:r>
        <w:rPr>
          <w:rFonts w:ascii="Arial" w:eastAsia="Arial" w:hAnsi="Arial" w:cs="Arial"/>
          <w:i/>
          <w:iCs/>
          <w:sz w:val="22"/>
          <w:szCs w:val="22"/>
        </w:rPr>
        <w:t>Identify patients correctly</w:t>
      </w:r>
      <w:r>
        <w:rPr>
          <w:rFonts w:ascii="Arial" w:eastAsia="Arial" w:hAnsi="Arial" w:cs="Arial"/>
          <w:sz w:val="22"/>
          <w:szCs w:val="22"/>
        </w:rPr>
        <w:t>. [online] digitalassets.jointcommission.org. Available at: https://digitalassets.jointcommission.org/api/public/content/98c01cec668645838d7a8bd0513b2061?v=163bc473 [Accessed 7 Aug. 2026].</w:t>
      </w:r>
    </w:p>
    <w:p w14:paraId="1947C5B2" w14:textId="77777777" w:rsidR="00717EEE" w:rsidRDefault="00717EEE" w:rsidP="002B4A8B">
      <w:pPr>
        <w:spacing w:before="120" w:after="120" w:line="480" w:lineRule="auto"/>
        <w:jc w:val="both"/>
        <w:rPr>
          <w:rFonts w:ascii="Arial" w:eastAsia="Arial" w:hAnsi="Arial" w:cs="Arial"/>
          <w:sz w:val="22"/>
          <w:szCs w:val="22"/>
        </w:rPr>
      </w:pPr>
      <w:r>
        <w:rPr>
          <w:rFonts w:ascii="Arial" w:eastAsia="Arial" w:hAnsi="Arial" w:cs="Arial"/>
          <w:sz w:val="22"/>
          <w:szCs w:val="22"/>
        </w:rPr>
        <w:t xml:space="preserve">Kausar, M., Jamwal, T., Gupta, A., </w:t>
      </w:r>
      <w:proofErr w:type="spellStart"/>
      <w:r>
        <w:rPr>
          <w:rFonts w:ascii="Arial" w:eastAsia="Arial" w:hAnsi="Arial" w:cs="Arial"/>
          <w:sz w:val="22"/>
          <w:szCs w:val="22"/>
        </w:rPr>
        <w:t>Gopathoti</w:t>
      </w:r>
      <w:proofErr w:type="spellEnd"/>
      <w:r>
        <w:rPr>
          <w:rFonts w:ascii="Arial" w:eastAsia="Arial" w:hAnsi="Arial" w:cs="Arial"/>
          <w:sz w:val="22"/>
          <w:szCs w:val="22"/>
        </w:rPr>
        <w:t xml:space="preserve">, P. and Gupta, B. (2025). Evaluating the WHO surgical safety checklist compliance at Level 1 Trauma Centre, India: A descriptive study. </w:t>
      </w:r>
      <w:r>
        <w:rPr>
          <w:rFonts w:ascii="Arial" w:eastAsia="Arial" w:hAnsi="Arial" w:cs="Arial"/>
          <w:i/>
          <w:iCs/>
          <w:sz w:val="22"/>
          <w:szCs w:val="22"/>
        </w:rPr>
        <w:t>Indian Journal of Surgery</w:t>
      </w:r>
      <w:r>
        <w:rPr>
          <w:rFonts w:ascii="Arial" w:eastAsia="Arial" w:hAnsi="Arial" w:cs="Arial"/>
          <w:sz w:val="22"/>
          <w:szCs w:val="22"/>
        </w:rPr>
        <w:t>, 87(4), pp.729–735. doi:10.1007/s12262-025-04287-y.</w:t>
      </w:r>
    </w:p>
    <w:p w14:paraId="71780F68" w14:textId="77777777" w:rsidR="00717EEE" w:rsidRDefault="00717EEE" w:rsidP="002B4A8B">
      <w:pPr>
        <w:spacing w:before="120" w:after="120" w:line="480" w:lineRule="auto"/>
        <w:jc w:val="both"/>
        <w:rPr>
          <w:rFonts w:ascii="Arial" w:eastAsia="Arial" w:hAnsi="Arial" w:cs="Arial"/>
          <w:sz w:val="22"/>
          <w:szCs w:val="22"/>
        </w:rPr>
      </w:pPr>
      <w:proofErr w:type="spellStart"/>
      <w:r>
        <w:rPr>
          <w:rFonts w:ascii="Arial" w:eastAsia="Arial" w:hAnsi="Arial" w:cs="Arial"/>
          <w:sz w:val="22"/>
          <w:szCs w:val="22"/>
        </w:rPr>
        <w:t>Krenyacz</w:t>
      </w:r>
      <w:proofErr w:type="spellEnd"/>
      <w:r>
        <w:rPr>
          <w:rFonts w:ascii="Arial" w:eastAsia="Arial" w:hAnsi="Arial" w:cs="Arial"/>
          <w:sz w:val="22"/>
          <w:szCs w:val="22"/>
        </w:rPr>
        <w:t xml:space="preserve">, E. and Revesz, E.E. (2025). Consequences of centralized healthcare systems: Changing role and autonomy of hospital managers – insights from a Hungarian case. </w:t>
      </w:r>
      <w:r>
        <w:rPr>
          <w:rFonts w:ascii="Arial" w:eastAsia="Arial" w:hAnsi="Arial" w:cs="Arial"/>
          <w:i/>
          <w:iCs/>
          <w:sz w:val="22"/>
          <w:szCs w:val="22"/>
        </w:rPr>
        <w:t xml:space="preserve">Journal of </w:t>
      </w:r>
      <w:r>
        <w:rPr>
          <w:rFonts w:ascii="Arial" w:eastAsia="Arial" w:hAnsi="Arial" w:cs="Arial"/>
          <w:i/>
          <w:iCs/>
          <w:sz w:val="22"/>
          <w:szCs w:val="22"/>
        </w:rPr>
        <w:lastRenderedPageBreak/>
        <w:t>Health Organization and Management</w:t>
      </w:r>
      <w:r>
        <w:rPr>
          <w:rFonts w:ascii="Arial" w:eastAsia="Arial" w:hAnsi="Arial" w:cs="Arial"/>
          <w:sz w:val="22"/>
          <w:szCs w:val="22"/>
        </w:rPr>
        <w:t>, [online] 39(9), pp.177–191. doi:10.1108/jhom-08-2024-0358.</w:t>
      </w:r>
    </w:p>
    <w:p w14:paraId="25F40F81" w14:textId="77777777" w:rsidR="00717EEE" w:rsidRDefault="00717EEE" w:rsidP="002B4A8B">
      <w:pPr>
        <w:spacing w:before="120" w:after="120" w:line="480" w:lineRule="auto"/>
        <w:jc w:val="both"/>
        <w:rPr>
          <w:rFonts w:ascii="Arial" w:eastAsia="Arial" w:hAnsi="Arial" w:cs="Arial"/>
          <w:sz w:val="22"/>
          <w:szCs w:val="22"/>
        </w:rPr>
      </w:pPr>
      <w:r>
        <w:rPr>
          <w:rFonts w:ascii="Arial" w:eastAsia="Arial" w:hAnsi="Arial" w:cs="Arial"/>
          <w:sz w:val="22"/>
          <w:szCs w:val="22"/>
        </w:rPr>
        <w:t xml:space="preserve">Kumari Singh, H. (2025). </w:t>
      </w:r>
      <w:r>
        <w:rPr>
          <w:rFonts w:ascii="Arial" w:eastAsia="Arial" w:hAnsi="Arial" w:cs="Arial"/>
          <w:i/>
          <w:iCs/>
          <w:sz w:val="22"/>
          <w:szCs w:val="22"/>
        </w:rPr>
        <w:t>Tale of 2 “</w:t>
      </w:r>
      <w:proofErr w:type="spellStart"/>
      <w:r>
        <w:rPr>
          <w:rFonts w:ascii="Arial" w:eastAsia="Arial" w:hAnsi="Arial" w:cs="Arial"/>
          <w:i/>
          <w:iCs/>
          <w:sz w:val="22"/>
          <w:szCs w:val="22"/>
        </w:rPr>
        <w:t>jagdishes</w:t>
      </w:r>
      <w:proofErr w:type="spellEnd"/>
      <w:r>
        <w:rPr>
          <w:rFonts w:ascii="Arial" w:eastAsia="Arial" w:hAnsi="Arial" w:cs="Arial"/>
          <w:i/>
          <w:iCs/>
          <w:sz w:val="22"/>
          <w:szCs w:val="22"/>
        </w:rPr>
        <w:t>”: Hospital mix-up could have led to unwanted surgery</w:t>
      </w:r>
      <w:r>
        <w:rPr>
          <w:rFonts w:ascii="Arial" w:eastAsia="Arial" w:hAnsi="Arial" w:cs="Arial"/>
          <w:sz w:val="22"/>
          <w:szCs w:val="22"/>
        </w:rPr>
        <w:t>. [online] www.ndtv.com. Available at: https://www.ndtv.com/india-news/kota-medical-college-tale-of-2-jagdishes-hospital-mix-up-could-have-led-to-unwanted-surgery-8187530 [Accessed 5 Aug. 2026].</w:t>
      </w:r>
    </w:p>
    <w:p w14:paraId="1F03921F" w14:textId="77777777" w:rsidR="00717EEE" w:rsidRDefault="00717EEE" w:rsidP="002B4A8B">
      <w:pPr>
        <w:spacing w:before="120" w:after="120" w:line="480" w:lineRule="auto"/>
        <w:jc w:val="both"/>
        <w:rPr>
          <w:rFonts w:ascii="Arial" w:eastAsia="Arial" w:hAnsi="Arial" w:cs="Arial"/>
          <w:sz w:val="22"/>
          <w:szCs w:val="22"/>
        </w:rPr>
      </w:pPr>
      <w:r>
        <w:rPr>
          <w:rFonts w:ascii="Arial" w:eastAsia="Arial" w:hAnsi="Arial" w:cs="Arial"/>
          <w:sz w:val="22"/>
          <w:szCs w:val="22"/>
        </w:rPr>
        <w:t xml:space="preserve">Maheshwari, D. (2026). </w:t>
      </w:r>
      <w:r>
        <w:rPr>
          <w:rFonts w:ascii="Arial" w:eastAsia="Arial" w:hAnsi="Arial" w:cs="Arial"/>
          <w:i/>
          <w:iCs/>
          <w:sz w:val="22"/>
          <w:szCs w:val="22"/>
        </w:rPr>
        <w:t>Rajasthan Health Department admits 14 negligence related deaths, no compensation paid to families</w:t>
      </w:r>
      <w:r>
        <w:rPr>
          <w:rFonts w:ascii="Arial" w:eastAsia="Arial" w:hAnsi="Arial" w:cs="Arial"/>
          <w:sz w:val="22"/>
          <w:szCs w:val="22"/>
        </w:rPr>
        <w:t xml:space="preserve">. [online] </w:t>
      </w:r>
      <w:proofErr w:type="spellStart"/>
      <w:r>
        <w:rPr>
          <w:rFonts w:ascii="Arial" w:eastAsia="Arial" w:hAnsi="Arial" w:cs="Arial"/>
          <w:sz w:val="22"/>
          <w:szCs w:val="22"/>
        </w:rPr>
        <w:t>Medicaldrafts</w:t>
      </w:r>
      <w:proofErr w:type="spellEnd"/>
      <w:r>
        <w:rPr>
          <w:rFonts w:ascii="Arial" w:eastAsia="Arial" w:hAnsi="Arial" w:cs="Arial"/>
          <w:sz w:val="22"/>
          <w:szCs w:val="22"/>
        </w:rPr>
        <w:t>. Available at: https://medicaldrafts.com/rajasthan-health-department-admits-14-negligence-related-deaths-no-compensation-paid-to-families [Accessed 6 Aug. 2026].</w:t>
      </w:r>
    </w:p>
    <w:p w14:paraId="670962F6" w14:textId="77777777" w:rsidR="00717EEE" w:rsidRDefault="00717EEE" w:rsidP="002B4A8B">
      <w:pPr>
        <w:spacing w:before="120" w:after="120" w:line="480" w:lineRule="auto"/>
        <w:jc w:val="both"/>
        <w:rPr>
          <w:rFonts w:ascii="Arial" w:eastAsia="Arial" w:hAnsi="Arial" w:cs="Arial"/>
          <w:sz w:val="22"/>
          <w:szCs w:val="22"/>
        </w:rPr>
      </w:pPr>
      <w:r>
        <w:rPr>
          <w:rFonts w:ascii="Arial" w:eastAsia="Arial" w:hAnsi="Arial" w:cs="Arial"/>
          <w:sz w:val="22"/>
          <w:szCs w:val="22"/>
        </w:rPr>
        <w:t xml:space="preserve">Marathe, N., Varghese, A., Patil, D., George, G., SR, Q., Singh, V., B, T.R. and Rawat, S. (2026). Patient safety culture in a public tertiary care teaching hospital in Central India: A cross-sectional study using the hospital survey on patient safety culture (HSOPSC) version 2.0. </w:t>
      </w:r>
      <w:r>
        <w:rPr>
          <w:rFonts w:ascii="Arial" w:eastAsia="Arial" w:hAnsi="Arial" w:cs="Arial"/>
          <w:i/>
          <w:iCs/>
          <w:sz w:val="22"/>
          <w:szCs w:val="22"/>
        </w:rPr>
        <w:t>Cureus</w:t>
      </w:r>
      <w:r>
        <w:rPr>
          <w:rFonts w:ascii="Arial" w:eastAsia="Arial" w:hAnsi="Arial" w:cs="Arial"/>
          <w:sz w:val="22"/>
          <w:szCs w:val="22"/>
        </w:rPr>
        <w:t>. doi:10.7759/cureus.105740.</w:t>
      </w:r>
    </w:p>
    <w:p w14:paraId="6E265DF1" w14:textId="77777777" w:rsidR="00717EEE" w:rsidRDefault="00717EEE" w:rsidP="002B4A8B">
      <w:pPr>
        <w:spacing w:before="120" w:after="120" w:line="480" w:lineRule="auto"/>
        <w:jc w:val="both"/>
        <w:rPr>
          <w:rFonts w:ascii="Arial" w:eastAsia="Arial" w:hAnsi="Arial" w:cs="Arial"/>
          <w:sz w:val="22"/>
          <w:szCs w:val="22"/>
        </w:rPr>
      </w:pPr>
      <w:r>
        <w:rPr>
          <w:rFonts w:ascii="Arial" w:eastAsia="Arial" w:hAnsi="Arial" w:cs="Arial"/>
          <w:sz w:val="22"/>
          <w:szCs w:val="22"/>
        </w:rPr>
        <w:t xml:space="preserve">MEA India (2026). </w:t>
      </w:r>
      <w:r>
        <w:rPr>
          <w:rFonts w:ascii="Arial" w:eastAsia="Arial" w:hAnsi="Arial" w:cs="Arial"/>
          <w:i/>
          <w:iCs/>
          <w:sz w:val="22"/>
          <w:szCs w:val="22"/>
        </w:rPr>
        <w:t>Seventh schedule</w:t>
      </w:r>
      <w:r>
        <w:rPr>
          <w:rFonts w:ascii="Arial" w:eastAsia="Arial" w:hAnsi="Arial" w:cs="Arial"/>
          <w:sz w:val="22"/>
          <w:szCs w:val="22"/>
        </w:rPr>
        <w:t>. [online] mea.gov.in. Available at: https://www.mea.gov.in/Images/pdf1/S7.pdf [Accessed 5 Aug. 2026].</w:t>
      </w:r>
    </w:p>
    <w:p w14:paraId="50EED9F1" w14:textId="77777777" w:rsidR="00717EEE" w:rsidRDefault="00717EEE" w:rsidP="002B4A8B">
      <w:pPr>
        <w:spacing w:before="120" w:after="120" w:line="480" w:lineRule="auto"/>
        <w:jc w:val="both"/>
        <w:rPr>
          <w:rFonts w:ascii="Arial" w:eastAsia="Arial" w:hAnsi="Arial" w:cs="Arial"/>
          <w:sz w:val="22"/>
          <w:szCs w:val="22"/>
        </w:rPr>
      </w:pPr>
      <w:r>
        <w:rPr>
          <w:rFonts w:ascii="Arial" w:eastAsia="Arial" w:hAnsi="Arial" w:cs="Arial"/>
          <w:sz w:val="22"/>
          <w:szCs w:val="22"/>
        </w:rPr>
        <w:t xml:space="preserve">Mekonnen, M. and Bayissa, Z. (2023). The effect of transformational and transactional leadership styles on organizational readiness for change among health professionals. </w:t>
      </w:r>
      <w:r>
        <w:rPr>
          <w:rFonts w:ascii="Arial" w:eastAsia="Arial" w:hAnsi="Arial" w:cs="Arial"/>
          <w:i/>
          <w:iCs/>
          <w:sz w:val="22"/>
          <w:szCs w:val="22"/>
        </w:rPr>
        <w:t>The Effect of Transformational and Transactional Leadership Styles on Organizational Readiness for Change Among Health Professionals</w:t>
      </w:r>
      <w:r>
        <w:rPr>
          <w:rFonts w:ascii="Arial" w:eastAsia="Arial" w:hAnsi="Arial" w:cs="Arial"/>
          <w:sz w:val="22"/>
          <w:szCs w:val="22"/>
        </w:rPr>
        <w:t>, 9(9). doi:10.1177/23779608231185923.</w:t>
      </w:r>
    </w:p>
    <w:p w14:paraId="762BC1E6" w14:textId="77777777" w:rsidR="00717EEE" w:rsidRDefault="00717EEE" w:rsidP="002B4A8B">
      <w:pPr>
        <w:spacing w:before="120" w:after="120" w:line="480" w:lineRule="auto"/>
        <w:jc w:val="both"/>
        <w:rPr>
          <w:rFonts w:ascii="Arial" w:eastAsia="Arial" w:hAnsi="Arial" w:cs="Arial"/>
          <w:sz w:val="22"/>
          <w:szCs w:val="22"/>
        </w:rPr>
      </w:pPr>
      <w:r>
        <w:rPr>
          <w:rFonts w:ascii="Arial" w:eastAsia="Arial" w:hAnsi="Arial" w:cs="Arial"/>
          <w:sz w:val="22"/>
          <w:szCs w:val="22"/>
        </w:rPr>
        <w:t xml:space="preserve">NHM India (2026). </w:t>
      </w:r>
      <w:proofErr w:type="gramStart"/>
      <w:r>
        <w:rPr>
          <w:rFonts w:ascii="Arial" w:eastAsia="Arial" w:hAnsi="Arial" w:cs="Arial"/>
          <w:i/>
          <w:iCs/>
          <w:sz w:val="22"/>
          <w:szCs w:val="22"/>
        </w:rPr>
        <w:t>Home :</w:t>
      </w:r>
      <w:proofErr w:type="gramEnd"/>
      <w:r>
        <w:rPr>
          <w:rFonts w:ascii="Arial" w:eastAsia="Arial" w:hAnsi="Arial" w:cs="Arial"/>
          <w:i/>
          <w:iCs/>
          <w:sz w:val="22"/>
          <w:szCs w:val="22"/>
        </w:rPr>
        <w:t>: National health mission</w:t>
      </w:r>
      <w:r>
        <w:rPr>
          <w:rFonts w:ascii="Arial" w:eastAsia="Arial" w:hAnsi="Arial" w:cs="Arial"/>
          <w:sz w:val="22"/>
          <w:szCs w:val="22"/>
        </w:rPr>
        <w:t xml:space="preserve">. [online] </w:t>
      </w:r>
      <w:r>
        <w:rPr>
          <w:rFonts w:ascii="Arial" w:eastAsia="Arial" w:hAnsi="Arial" w:cs="Arial"/>
          <w:i/>
          <w:iCs/>
          <w:sz w:val="22"/>
          <w:szCs w:val="22"/>
        </w:rPr>
        <w:t>nhm.gov.in</w:t>
      </w:r>
      <w:r>
        <w:rPr>
          <w:rFonts w:ascii="Arial" w:eastAsia="Arial" w:hAnsi="Arial" w:cs="Arial"/>
          <w:sz w:val="22"/>
          <w:szCs w:val="22"/>
        </w:rPr>
        <w:t>. Available at: https://nhm.gov.in/ [Accessed 5 Aug. 2026].</w:t>
      </w:r>
    </w:p>
    <w:p w14:paraId="07BA7C1C" w14:textId="77777777" w:rsidR="00717EEE" w:rsidRDefault="00717EEE" w:rsidP="002B4A8B">
      <w:pPr>
        <w:spacing w:before="120" w:after="120" w:line="480" w:lineRule="auto"/>
        <w:jc w:val="both"/>
        <w:rPr>
          <w:rFonts w:ascii="Arial" w:eastAsia="Arial" w:hAnsi="Arial" w:cs="Arial"/>
          <w:sz w:val="22"/>
          <w:szCs w:val="22"/>
        </w:rPr>
      </w:pPr>
      <w:r>
        <w:rPr>
          <w:rFonts w:ascii="Arial" w:eastAsia="Arial" w:hAnsi="Arial" w:cs="Arial"/>
          <w:sz w:val="22"/>
          <w:szCs w:val="22"/>
        </w:rPr>
        <w:lastRenderedPageBreak/>
        <w:t xml:space="preserve">NHSRC India (2021). </w:t>
      </w:r>
      <w:r>
        <w:rPr>
          <w:rFonts w:ascii="Arial" w:eastAsia="Arial" w:hAnsi="Arial" w:cs="Arial"/>
          <w:i/>
          <w:iCs/>
          <w:sz w:val="22"/>
          <w:szCs w:val="22"/>
        </w:rPr>
        <w:t>Patient safety guidelines | national health systems resource centre</w:t>
      </w:r>
      <w:r>
        <w:rPr>
          <w:rFonts w:ascii="Arial" w:eastAsia="Arial" w:hAnsi="Arial" w:cs="Arial"/>
          <w:sz w:val="22"/>
          <w:szCs w:val="22"/>
        </w:rPr>
        <w:t>. [online] Nhsrcindia.org. Available at: https://qps.nhsrcindia.org/patient-safety/patient-safety-guidelines [Accessed 5 Aug. 2026].</w:t>
      </w:r>
    </w:p>
    <w:p w14:paraId="1837F2D9" w14:textId="77777777" w:rsidR="00717EEE" w:rsidRDefault="00717EEE" w:rsidP="002B4A8B">
      <w:pPr>
        <w:spacing w:before="120" w:after="120" w:line="480" w:lineRule="auto"/>
        <w:jc w:val="both"/>
        <w:rPr>
          <w:rFonts w:ascii="Arial" w:eastAsia="Arial" w:hAnsi="Arial" w:cs="Arial"/>
          <w:sz w:val="22"/>
          <w:szCs w:val="22"/>
        </w:rPr>
      </w:pPr>
      <w:r>
        <w:rPr>
          <w:rFonts w:ascii="Arial" w:eastAsia="Arial" w:hAnsi="Arial" w:cs="Arial"/>
          <w:sz w:val="22"/>
          <w:szCs w:val="22"/>
        </w:rPr>
        <w:t xml:space="preserve">NMC (2026). </w:t>
      </w:r>
      <w:r>
        <w:rPr>
          <w:rFonts w:ascii="Arial" w:eastAsia="Arial" w:hAnsi="Arial" w:cs="Arial"/>
          <w:i/>
          <w:iCs/>
          <w:sz w:val="22"/>
          <w:szCs w:val="22"/>
        </w:rPr>
        <w:t>NMC</w:t>
      </w:r>
      <w:r>
        <w:rPr>
          <w:rFonts w:ascii="Arial" w:eastAsia="Arial" w:hAnsi="Arial" w:cs="Arial"/>
          <w:sz w:val="22"/>
          <w:szCs w:val="22"/>
        </w:rPr>
        <w:t xml:space="preserve">. [online] </w:t>
      </w:r>
      <w:r>
        <w:rPr>
          <w:rFonts w:ascii="Arial" w:eastAsia="Arial" w:hAnsi="Arial" w:cs="Arial"/>
          <w:i/>
          <w:iCs/>
          <w:sz w:val="22"/>
          <w:szCs w:val="22"/>
        </w:rPr>
        <w:t>National Medical Commission</w:t>
      </w:r>
      <w:r>
        <w:rPr>
          <w:rFonts w:ascii="Arial" w:eastAsia="Arial" w:hAnsi="Arial" w:cs="Arial"/>
          <w:sz w:val="22"/>
          <w:szCs w:val="22"/>
        </w:rPr>
        <w:t>. Available at: https://www.nmc.org.in/ [Accessed 5 Aug. 2026].</w:t>
      </w:r>
    </w:p>
    <w:p w14:paraId="356C3CE9" w14:textId="77777777" w:rsidR="00717EEE" w:rsidRDefault="00717EEE" w:rsidP="002B4A8B">
      <w:pPr>
        <w:spacing w:before="120" w:after="120" w:line="480" w:lineRule="auto"/>
        <w:jc w:val="both"/>
        <w:rPr>
          <w:rFonts w:ascii="Arial" w:eastAsia="Arial" w:hAnsi="Arial" w:cs="Arial"/>
          <w:sz w:val="22"/>
          <w:szCs w:val="22"/>
        </w:rPr>
      </w:pPr>
      <w:r>
        <w:rPr>
          <w:rFonts w:ascii="Arial" w:eastAsia="Arial" w:hAnsi="Arial" w:cs="Arial"/>
          <w:sz w:val="22"/>
          <w:szCs w:val="22"/>
        </w:rPr>
        <w:t xml:space="preserve">Patel, N. (2026). Leadership in healthcare organizations: Leadership styles and their impact on employee performance, morale, and patient outcomes. </w:t>
      </w:r>
      <w:r>
        <w:rPr>
          <w:rFonts w:ascii="Arial" w:eastAsia="Arial" w:hAnsi="Arial" w:cs="Arial"/>
          <w:i/>
          <w:iCs/>
          <w:sz w:val="22"/>
          <w:szCs w:val="22"/>
        </w:rPr>
        <w:t>Journal of Health, Medicine, and Clinical Studies</w:t>
      </w:r>
      <w:r>
        <w:rPr>
          <w:rFonts w:ascii="Arial" w:eastAsia="Arial" w:hAnsi="Arial" w:cs="Arial"/>
          <w:sz w:val="22"/>
          <w:szCs w:val="22"/>
        </w:rPr>
        <w:t>, 5(1), pp.1–26. doi:10.58425/</w:t>
      </w:r>
      <w:proofErr w:type="gramStart"/>
      <w:r>
        <w:rPr>
          <w:rFonts w:ascii="Arial" w:eastAsia="Arial" w:hAnsi="Arial" w:cs="Arial"/>
          <w:sz w:val="22"/>
          <w:szCs w:val="22"/>
        </w:rPr>
        <w:t>jhmcs.v</w:t>
      </w:r>
      <w:proofErr w:type="gramEnd"/>
      <w:r>
        <w:rPr>
          <w:rFonts w:ascii="Arial" w:eastAsia="Arial" w:hAnsi="Arial" w:cs="Arial"/>
          <w:sz w:val="22"/>
          <w:szCs w:val="22"/>
        </w:rPr>
        <w:t>5i1.479.</w:t>
      </w:r>
    </w:p>
    <w:p w14:paraId="14697477" w14:textId="77777777" w:rsidR="00717EEE" w:rsidRDefault="00717EEE" w:rsidP="002B4A8B">
      <w:pPr>
        <w:spacing w:before="120" w:after="120" w:line="480" w:lineRule="auto"/>
        <w:jc w:val="both"/>
        <w:rPr>
          <w:rFonts w:ascii="Arial" w:eastAsia="Arial" w:hAnsi="Arial" w:cs="Arial"/>
          <w:sz w:val="22"/>
          <w:szCs w:val="22"/>
        </w:rPr>
      </w:pPr>
      <w:proofErr w:type="spellStart"/>
      <w:r>
        <w:rPr>
          <w:rFonts w:ascii="Arial" w:eastAsia="Arial" w:hAnsi="Arial" w:cs="Arial"/>
          <w:sz w:val="22"/>
          <w:szCs w:val="22"/>
        </w:rPr>
        <w:t>PhleboPrep</w:t>
      </w:r>
      <w:proofErr w:type="spellEnd"/>
      <w:r>
        <w:rPr>
          <w:rFonts w:ascii="Arial" w:eastAsia="Arial" w:hAnsi="Arial" w:cs="Arial"/>
          <w:sz w:val="22"/>
          <w:szCs w:val="22"/>
        </w:rPr>
        <w:t xml:space="preserve"> (2026). </w:t>
      </w:r>
      <w:r>
        <w:rPr>
          <w:rFonts w:ascii="Arial" w:eastAsia="Arial" w:hAnsi="Arial" w:cs="Arial"/>
          <w:i/>
          <w:iCs/>
          <w:sz w:val="22"/>
          <w:szCs w:val="22"/>
        </w:rPr>
        <w:t>Patient identification protocol in phlebotomy: Two-identifier rule</w:t>
      </w:r>
      <w:r>
        <w:rPr>
          <w:rFonts w:ascii="Arial" w:eastAsia="Arial" w:hAnsi="Arial" w:cs="Arial"/>
          <w:sz w:val="22"/>
          <w:szCs w:val="22"/>
        </w:rPr>
        <w:t>. [online] Phleboprep.com. Available at: https://www.phleboprep.com/learn/patient-identification-protocol [Accessed 6 Aug. 2026].</w:t>
      </w:r>
    </w:p>
    <w:p w14:paraId="2CA5A717" w14:textId="77777777" w:rsidR="00717EEE" w:rsidRPr="002B4A8B" w:rsidRDefault="00717EEE" w:rsidP="002B4A8B">
      <w:pPr>
        <w:spacing w:before="120" w:after="120" w:line="480" w:lineRule="auto"/>
        <w:jc w:val="both"/>
        <w:rPr>
          <w:rFonts w:ascii="Arial" w:eastAsia="Arial" w:hAnsi="Arial" w:cs="Arial"/>
          <w:sz w:val="22"/>
          <w:szCs w:val="22"/>
        </w:rPr>
      </w:pPr>
      <w:proofErr w:type="spellStart"/>
      <w:r>
        <w:rPr>
          <w:rFonts w:ascii="Arial" w:eastAsia="Arial" w:hAnsi="Arial" w:cs="Arial"/>
          <w:sz w:val="22"/>
          <w:szCs w:val="22"/>
        </w:rPr>
        <w:t>Polestina</w:t>
      </w:r>
      <w:proofErr w:type="spellEnd"/>
      <w:r>
        <w:rPr>
          <w:rFonts w:ascii="Arial" w:eastAsia="Arial" w:hAnsi="Arial" w:cs="Arial"/>
          <w:sz w:val="22"/>
          <w:szCs w:val="22"/>
        </w:rPr>
        <w:t xml:space="preserve">, M.A.M., Canlas, J.P., </w:t>
      </w:r>
      <w:proofErr w:type="spellStart"/>
      <w:r>
        <w:rPr>
          <w:rFonts w:ascii="Arial" w:eastAsia="Arial" w:hAnsi="Arial" w:cs="Arial"/>
          <w:sz w:val="22"/>
          <w:szCs w:val="22"/>
        </w:rPr>
        <w:t>Mongao</w:t>
      </w:r>
      <w:proofErr w:type="spellEnd"/>
      <w:r>
        <w:rPr>
          <w:rFonts w:ascii="Arial" w:eastAsia="Arial" w:hAnsi="Arial" w:cs="Arial"/>
          <w:sz w:val="22"/>
          <w:szCs w:val="22"/>
        </w:rPr>
        <w:t xml:space="preserve">, D.D., Delapuerta, K.F., Ganancial, A.G., </w:t>
      </w:r>
      <w:proofErr w:type="spellStart"/>
      <w:r>
        <w:rPr>
          <w:rFonts w:ascii="Arial" w:eastAsia="Arial" w:hAnsi="Arial" w:cs="Arial"/>
          <w:sz w:val="22"/>
          <w:szCs w:val="22"/>
        </w:rPr>
        <w:t>Acha</w:t>
      </w:r>
      <w:proofErr w:type="spellEnd"/>
      <w:r>
        <w:rPr>
          <w:rFonts w:ascii="Arial" w:eastAsia="Arial" w:hAnsi="Arial" w:cs="Arial"/>
          <w:sz w:val="22"/>
          <w:szCs w:val="22"/>
        </w:rPr>
        <w:t xml:space="preserve">, </w:t>
      </w:r>
      <w:proofErr w:type="spellStart"/>
      <w:r>
        <w:rPr>
          <w:rFonts w:ascii="Arial" w:eastAsia="Arial" w:hAnsi="Arial" w:cs="Arial"/>
          <w:sz w:val="22"/>
          <w:szCs w:val="22"/>
        </w:rPr>
        <w:t>Ma.C.M</w:t>
      </w:r>
      <w:proofErr w:type="spellEnd"/>
      <w:r>
        <w:rPr>
          <w:rFonts w:ascii="Arial" w:eastAsia="Arial" w:hAnsi="Arial" w:cs="Arial"/>
          <w:sz w:val="22"/>
          <w:szCs w:val="22"/>
        </w:rPr>
        <w:t xml:space="preserve">., </w:t>
      </w:r>
      <w:proofErr w:type="spellStart"/>
      <w:r>
        <w:rPr>
          <w:rFonts w:ascii="Arial" w:eastAsia="Arial" w:hAnsi="Arial" w:cs="Arial"/>
          <w:sz w:val="22"/>
          <w:szCs w:val="22"/>
        </w:rPr>
        <w:t>Derequito</w:t>
      </w:r>
      <w:proofErr w:type="spellEnd"/>
      <w:r>
        <w:rPr>
          <w:rFonts w:ascii="Arial" w:eastAsia="Arial" w:hAnsi="Arial" w:cs="Arial"/>
          <w:sz w:val="22"/>
          <w:szCs w:val="22"/>
        </w:rPr>
        <w:t xml:space="preserve">, P.D., </w:t>
      </w:r>
      <w:proofErr w:type="spellStart"/>
      <w:r>
        <w:rPr>
          <w:rFonts w:ascii="Arial" w:eastAsia="Arial" w:hAnsi="Arial" w:cs="Arial"/>
          <w:sz w:val="22"/>
          <w:szCs w:val="22"/>
        </w:rPr>
        <w:t>Habagat</w:t>
      </w:r>
      <w:proofErr w:type="spellEnd"/>
      <w:r>
        <w:rPr>
          <w:rFonts w:ascii="Arial" w:eastAsia="Arial" w:hAnsi="Arial" w:cs="Arial"/>
          <w:sz w:val="22"/>
          <w:szCs w:val="22"/>
        </w:rPr>
        <w:t xml:space="preserve">, R.D., </w:t>
      </w:r>
      <w:proofErr w:type="spellStart"/>
      <w:r>
        <w:rPr>
          <w:rFonts w:ascii="Arial" w:eastAsia="Arial" w:hAnsi="Arial" w:cs="Arial"/>
          <w:sz w:val="22"/>
          <w:szCs w:val="22"/>
        </w:rPr>
        <w:t>Subibe</w:t>
      </w:r>
      <w:proofErr w:type="spellEnd"/>
      <w:r>
        <w:rPr>
          <w:rFonts w:ascii="Arial" w:eastAsia="Arial" w:hAnsi="Arial" w:cs="Arial"/>
          <w:sz w:val="22"/>
          <w:szCs w:val="22"/>
        </w:rPr>
        <w:t xml:space="preserve">, L.L., Dimzon, S.D. and Chavez, J.V. (2025). Leading with emotion: Emotional Intelligence and its influence on leadership effectiveness among school leaders in higher education. </w:t>
      </w:r>
      <w:r>
        <w:rPr>
          <w:rFonts w:ascii="Arial" w:eastAsia="Arial" w:hAnsi="Arial" w:cs="Arial"/>
          <w:i/>
          <w:iCs/>
          <w:sz w:val="22"/>
          <w:szCs w:val="22"/>
        </w:rPr>
        <w:t>Environment and Social Psychology</w:t>
      </w:r>
      <w:r>
        <w:rPr>
          <w:rFonts w:ascii="Arial" w:eastAsia="Arial" w:hAnsi="Arial" w:cs="Arial"/>
          <w:sz w:val="22"/>
          <w:szCs w:val="22"/>
        </w:rPr>
        <w:t>, 10(12). doi:10.59429/</w:t>
      </w:r>
      <w:proofErr w:type="gramStart"/>
      <w:r>
        <w:rPr>
          <w:rFonts w:ascii="Arial" w:eastAsia="Arial" w:hAnsi="Arial" w:cs="Arial"/>
          <w:sz w:val="22"/>
          <w:szCs w:val="22"/>
        </w:rPr>
        <w:t>esp.v</w:t>
      </w:r>
      <w:proofErr w:type="gramEnd"/>
      <w:r>
        <w:rPr>
          <w:rFonts w:ascii="Arial" w:eastAsia="Arial" w:hAnsi="Arial" w:cs="Arial"/>
          <w:sz w:val="22"/>
          <w:szCs w:val="22"/>
        </w:rPr>
        <w:t>10i12.3914.</w:t>
      </w:r>
    </w:p>
    <w:p w14:paraId="6A07D71F" w14:textId="77777777" w:rsidR="00717EEE" w:rsidRDefault="00717EEE" w:rsidP="002B4A8B">
      <w:pPr>
        <w:spacing w:before="120" w:after="120" w:line="480" w:lineRule="auto"/>
        <w:jc w:val="both"/>
        <w:rPr>
          <w:rFonts w:ascii="Arial" w:eastAsia="Arial" w:hAnsi="Arial" w:cs="Arial"/>
          <w:sz w:val="22"/>
          <w:szCs w:val="22"/>
        </w:rPr>
      </w:pPr>
      <w:r>
        <w:rPr>
          <w:rFonts w:ascii="Arial" w:eastAsia="Arial" w:hAnsi="Arial" w:cs="Arial"/>
          <w:sz w:val="22"/>
          <w:szCs w:val="22"/>
        </w:rPr>
        <w:t xml:space="preserve">Ravikumar, T.S. (2020). </w:t>
      </w:r>
      <w:r>
        <w:rPr>
          <w:rFonts w:ascii="Arial" w:eastAsia="Arial" w:hAnsi="Arial" w:cs="Arial"/>
          <w:i/>
          <w:iCs/>
          <w:sz w:val="22"/>
          <w:szCs w:val="22"/>
        </w:rPr>
        <w:t>When a ‘never event’ hits a patient</w:t>
      </w:r>
      <w:r>
        <w:rPr>
          <w:rFonts w:ascii="Arial" w:eastAsia="Arial" w:hAnsi="Arial" w:cs="Arial"/>
          <w:sz w:val="22"/>
          <w:szCs w:val="22"/>
        </w:rPr>
        <w:t>. [online] The Hindu. Available at: https://www.thehindu.com/opinion/open-page/when-a-never-event-hits-a-patient/article30544001.ece [Accessed 6 Aug. 2026].</w:t>
      </w:r>
    </w:p>
    <w:p w14:paraId="49D4C230" w14:textId="77777777" w:rsidR="00717EEE" w:rsidRDefault="00717EEE" w:rsidP="002B4A8B">
      <w:pPr>
        <w:spacing w:before="120" w:after="120" w:line="480" w:lineRule="auto"/>
        <w:jc w:val="both"/>
        <w:rPr>
          <w:rFonts w:ascii="Arial" w:eastAsia="Arial" w:hAnsi="Arial" w:cs="Arial"/>
          <w:sz w:val="22"/>
          <w:szCs w:val="22"/>
        </w:rPr>
      </w:pPr>
      <w:r>
        <w:rPr>
          <w:rFonts w:ascii="Arial" w:eastAsia="Arial" w:hAnsi="Arial" w:cs="Arial"/>
          <w:sz w:val="22"/>
          <w:szCs w:val="22"/>
        </w:rPr>
        <w:t xml:space="preserve">Reddy, C., Bains, L., Kumar, P.K. and Zadey, S. (2025). Transforming surgical care and safety: Dissecting the impact of checklists in the global south. </w:t>
      </w:r>
      <w:r>
        <w:rPr>
          <w:rFonts w:ascii="Arial" w:eastAsia="Arial" w:hAnsi="Arial" w:cs="Arial"/>
          <w:i/>
          <w:iCs/>
          <w:sz w:val="22"/>
          <w:szCs w:val="22"/>
        </w:rPr>
        <w:t>Frontiers in Surgery</w:t>
      </w:r>
      <w:r>
        <w:rPr>
          <w:rFonts w:ascii="Arial" w:eastAsia="Arial" w:hAnsi="Arial" w:cs="Arial"/>
          <w:sz w:val="22"/>
          <w:szCs w:val="22"/>
        </w:rPr>
        <w:t>, 12. doi:10.3389/fsurg.2025.1664277.</w:t>
      </w:r>
    </w:p>
    <w:p w14:paraId="022A83EF" w14:textId="77777777" w:rsidR="00717EEE" w:rsidRDefault="00717EEE" w:rsidP="002B4A8B">
      <w:pPr>
        <w:spacing w:before="120" w:after="120" w:line="480" w:lineRule="auto"/>
        <w:jc w:val="both"/>
        <w:rPr>
          <w:rFonts w:ascii="Arial" w:eastAsia="Arial" w:hAnsi="Arial" w:cs="Arial"/>
          <w:sz w:val="22"/>
          <w:szCs w:val="22"/>
        </w:rPr>
      </w:pPr>
      <w:r>
        <w:rPr>
          <w:rFonts w:ascii="Arial" w:eastAsia="Arial" w:hAnsi="Arial" w:cs="Arial"/>
          <w:sz w:val="22"/>
          <w:szCs w:val="22"/>
        </w:rPr>
        <w:lastRenderedPageBreak/>
        <w:t xml:space="preserve">Richards, A. (2020). Exploring the benefits and limitations of transactional leadership in healthcare. </w:t>
      </w:r>
      <w:r>
        <w:rPr>
          <w:rFonts w:ascii="Arial" w:eastAsia="Arial" w:hAnsi="Arial" w:cs="Arial"/>
          <w:i/>
          <w:iCs/>
          <w:sz w:val="22"/>
          <w:szCs w:val="22"/>
        </w:rPr>
        <w:t>Nursing Standard</w:t>
      </w:r>
      <w:r>
        <w:rPr>
          <w:rFonts w:ascii="Arial" w:eastAsia="Arial" w:hAnsi="Arial" w:cs="Arial"/>
          <w:sz w:val="22"/>
          <w:szCs w:val="22"/>
        </w:rPr>
        <w:t>, [online] 35(12), pp.46–50. Available at: https://insight.cumbria.ac.uk/id/eprint/5755/ [Accessed 6 Aug. 2026].</w:t>
      </w:r>
    </w:p>
    <w:p w14:paraId="341408CB" w14:textId="77777777" w:rsidR="00717EEE" w:rsidRDefault="00717EEE" w:rsidP="002B4A8B">
      <w:pPr>
        <w:spacing w:before="120" w:after="120" w:line="480" w:lineRule="auto"/>
        <w:jc w:val="both"/>
        <w:rPr>
          <w:rFonts w:ascii="Arial" w:eastAsia="Arial" w:hAnsi="Arial" w:cs="Arial"/>
          <w:sz w:val="22"/>
          <w:szCs w:val="22"/>
        </w:rPr>
      </w:pPr>
      <w:r>
        <w:rPr>
          <w:rFonts w:ascii="Arial" w:eastAsia="Arial" w:hAnsi="Arial" w:cs="Arial"/>
          <w:sz w:val="22"/>
          <w:szCs w:val="22"/>
        </w:rPr>
        <w:t xml:space="preserve">Sapkota, S., Dhakal, A., Rushton, S., </w:t>
      </w:r>
      <w:proofErr w:type="spellStart"/>
      <w:r>
        <w:rPr>
          <w:rFonts w:ascii="Arial" w:eastAsia="Arial" w:hAnsi="Arial" w:cs="Arial"/>
          <w:sz w:val="22"/>
          <w:szCs w:val="22"/>
        </w:rPr>
        <w:t>Teijlingen</w:t>
      </w:r>
      <w:proofErr w:type="spellEnd"/>
      <w:r>
        <w:rPr>
          <w:rFonts w:ascii="Arial" w:eastAsia="Arial" w:hAnsi="Arial" w:cs="Arial"/>
          <w:sz w:val="22"/>
          <w:szCs w:val="22"/>
        </w:rPr>
        <w:t xml:space="preserve">, E. van, Marahatta, S.B., Balen, J. and Lee, A.C. (2023). The impact of decentralisation on health systems: A systematic review of reviews. </w:t>
      </w:r>
      <w:r>
        <w:rPr>
          <w:rFonts w:ascii="Arial" w:eastAsia="Arial" w:hAnsi="Arial" w:cs="Arial"/>
          <w:i/>
          <w:iCs/>
          <w:sz w:val="22"/>
          <w:szCs w:val="22"/>
        </w:rPr>
        <w:t>BMJ Global Health</w:t>
      </w:r>
      <w:r>
        <w:rPr>
          <w:rFonts w:ascii="Arial" w:eastAsia="Arial" w:hAnsi="Arial" w:cs="Arial"/>
          <w:sz w:val="22"/>
          <w:szCs w:val="22"/>
        </w:rPr>
        <w:t xml:space="preserve">, 8(12), </w:t>
      </w:r>
      <w:proofErr w:type="gramStart"/>
      <w:r>
        <w:rPr>
          <w:rFonts w:ascii="Arial" w:eastAsia="Arial" w:hAnsi="Arial" w:cs="Arial"/>
          <w:sz w:val="22"/>
          <w:szCs w:val="22"/>
        </w:rPr>
        <w:t>pp.e</w:t>
      </w:r>
      <w:proofErr w:type="gramEnd"/>
      <w:r>
        <w:rPr>
          <w:rFonts w:ascii="Arial" w:eastAsia="Arial" w:hAnsi="Arial" w:cs="Arial"/>
          <w:sz w:val="22"/>
          <w:szCs w:val="22"/>
        </w:rPr>
        <w:t>013317-e013317. doi:10.1136/bmjgh-2023-013317.</w:t>
      </w:r>
    </w:p>
    <w:p w14:paraId="7FA22A96" w14:textId="77777777" w:rsidR="00717EEE" w:rsidRDefault="00717EEE" w:rsidP="002B4A8B">
      <w:pPr>
        <w:spacing w:before="120" w:after="120" w:line="480" w:lineRule="auto"/>
        <w:jc w:val="both"/>
        <w:rPr>
          <w:rFonts w:ascii="Arial" w:eastAsia="Arial" w:hAnsi="Arial" w:cs="Arial"/>
          <w:sz w:val="22"/>
          <w:szCs w:val="22"/>
        </w:rPr>
      </w:pPr>
      <w:r>
        <w:rPr>
          <w:rFonts w:ascii="Arial" w:eastAsia="Arial" w:hAnsi="Arial" w:cs="Arial"/>
          <w:sz w:val="22"/>
          <w:szCs w:val="22"/>
        </w:rPr>
        <w:t xml:space="preserve">Schwarz, D., Schwarz, R., </w:t>
      </w:r>
      <w:proofErr w:type="spellStart"/>
      <w:r>
        <w:rPr>
          <w:rFonts w:ascii="Arial" w:eastAsia="Arial" w:hAnsi="Arial" w:cs="Arial"/>
          <w:sz w:val="22"/>
          <w:szCs w:val="22"/>
        </w:rPr>
        <w:t>Gauchan</w:t>
      </w:r>
      <w:proofErr w:type="spellEnd"/>
      <w:r>
        <w:rPr>
          <w:rFonts w:ascii="Arial" w:eastAsia="Arial" w:hAnsi="Arial" w:cs="Arial"/>
          <w:sz w:val="22"/>
          <w:szCs w:val="22"/>
        </w:rPr>
        <w:t xml:space="preserve">, B., Andrews, J., Sharma, R., </w:t>
      </w:r>
      <w:proofErr w:type="spellStart"/>
      <w:r>
        <w:rPr>
          <w:rFonts w:ascii="Arial" w:eastAsia="Arial" w:hAnsi="Arial" w:cs="Arial"/>
          <w:sz w:val="22"/>
          <w:szCs w:val="22"/>
        </w:rPr>
        <w:t>Karelas</w:t>
      </w:r>
      <w:proofErr w:type="spellEnd"/>
      <w:r>
        <w:rPr>
          <w:rFonts w:ascii="Arial" w:eastAsia="Arial" w:hAnsi="Arial" w:cs="Arial"/>
          <w:sz w:val="22"/>
          <w:szCs w:val="22"/>
        </w:rPr>
        <w:t xml:space="preserve">, G., Rajbhandari, R., Acharya, B., Mate, K., Bista, A., Bista, M.G., Sox, C. and Smith-Rohrberg Maru, D. (2011). Implementing a systems-oriented morbidity and mortality conference in remote rural Nepal for quality improvement. </w:t>
      </w:r>
      <w:r>
        <w:rPr>
          <w:rFonts w:ascii="Arial" w:eastAsia="Arial" w:hAnsi="Arial" w:cs="Arial"/>
          <w:i/>
          <w:iCs/>
          <w:sz w:val="22"/>
          <w:szCs w:val="22"/>
        </w:rPr>
        <w:t>BMJ Quality &amp; Safety</w:t>
      </w:r>
      <w:r>
        <w:rPr>
          <w:rFonts w:ascii="Arial" w:eastAsia="Arial" w:hAnsi="Arial" w:cs="Arial"/>
          <w:sz w:val="22"/>
          <w:szCs w:val="22"/>
        </w:rPr>
        <w:t>, 20(12), pp.1082–1088. doi:10.1136/bmjqs-2011-000273.</w:t>
      </w:r>
    </w:p>
    <w:p w14:paraId="0B48C158" w14:textId="77777777" w:rsidR="00717EEE" w:rsidRDefault="00717EEE" w:rsidP="002B4A8B">
      <w:pPr>
        <w:spacing w:before="120" w:after="120" w:line="480" w:lineRule="auto"/>
        <w:jc w:val="both"/>
        <w:rPr>
          <w:rFonts w:ascii="Arial" w:eastAsia="Arial" w:hAnsi="Arial" w:cs="Arial"/>
          <w:sz w:val="22"/>
          <w:szCs w:val="22"/>
        </w:rPr>
      </w:pPr>
      <w:r>
        <w:rPr>
          <w:rFonts w:ascii="Arial" w:eastAsia="Arial" w:hAnsi="Arial" w:cs="Arial"/>
          <w:sz w:val="22"/>
          <w:szCs w:val="22"/>
        </w:rPr>
        <w:t xml:space="preserve">SCMP (2025). </w:t>
      </w:r>
      <w:r>
        <w:rPr>
          <w:rFonts w:ascii="Arial" w:eastAsia="Arial" w:hAnsi="Arial" w:cs="Arial"/>
          <w:i/>
          <w:iCs/>
          <w:sz w:val="22"/>
          <w:szCs w:val="22"/>
        </w:rPr>
        <w:t>Indian hospital probed after man mistakenly operated on while waiting on son’s surgery</w:t>
      </w:r>
      <w:r>
        <w:rPr>
          <w:rFonts w:ascii="Arial" w:eastAsia="Arial" w:hAnsi="Arial" w:cs="Arial"/>
          <w:sz w:val="22"/>
          <w:szCs w:val="22"/>
        </w:rPr>
        <w:t>. [online] South China Morning Post. Available at: https://www.scmp.com/week-asia/health-environment/article/3307457/indian-hospital-probed-after-man-mistakenly-operated-while-waiting-sons-surgery [Accessed 5 Aug. 2026].</w:t>
      </w:r>
    </w:p>
    <w:p w14:paraId="012E0266" w14:textId="77777777" w:rsidR="00717EEE" w:rsidRDefault="00717EEE" w:rsidP="002B4A8B">
      <w:pPr>
        <w:spacing w:before="120" w:after="120" w:line="480" w:lineRule="auto"/>
        <w:jc w:val="both"/>
        <w:rPr>
          <w:rFonts w:ascii="Arial" w:eastAsia="Arial" w:hAnsi="Arial" w:cs="Arial"/>
          <w:sz w:val="22"/>
          <w:szCs w:val="22"/>
        </w:rPr>
      </w:pPr>
      <w:r w:rsidRPr="00717EEE">
        <w:rPr>
          <w:rFonts w:ascii="Arial" w:eastAsia="Arial" w:hAnsi="Arial" w:cs="Arial"/>
          <w:sz w:val="22"/>
          <w:szCs w:val="22"/>
        </w:rPr>
        <w:t xml:space="preserve">Shabani, T., Jerie, S. and Shabani, T., 2024. A comprehensive review of the Swiss cheese model in risk management. </w:t>
      </w:r>
      <w:r w:rsidRPr="00717EEE">
        <w:rPr>
          <w:rFonts w:ascii="Arial" w:eastAsia="Arial" w:hAnsi="Arial" w:cs="Arial"/>
          <w:i/>
          <w:iCs/>
          <w:sz w:val="22"/>
          <w:szCs w:val="22"/>
        </w:rPr>
        <w:t>Safety in extreme environments</w:t>
      </w:r>
      <w:r w:rsidRPr="00717EEE">
        <w:rPr>
          <w:rFonts w:ascii="Arial" w:eastAsia="Arial" w:hAnsi="Arial" w:cs="Arial"/>
          <w:sz w:val="22"/>
          <w:szCs w:val="22"/>
        </w:rPr>
        <w:t xml:space="preserve">, </w:t>
      </w:r>
      <w:r w:rsidRPr="00717EEE">
        <w:rPr>
          <w:rFonts w:ascii="Arial" w:eastAsia="Arial" w:hAnsi="Arial" w:cs="Arial"/>
          <w:i/>
          <w:iCs/>
          <w:sz w:val="22"/>
          <w:szCs w:val="22"/>
        </w:rPr>
        <w:t>6</w:t>
      </w:r>
      <w:r w:rsidRPr="00717EEE">
        <w:rPr>
          <w:rFonts w:ascii="Arial" w:eastAsia="Arial" w:hAnsi="Arial" w:cs="Arial"/>
          <w:sz w:val="22"/>
          <w:szCs w:val="22"/>
        </w:rPr>
        <w:t>(1), pp.43-57.</w:t>
      </w:r>
    </w:p>
    <w:p w14:paraId="5D1EA3B9" w14:textId="77777777" w:rsidR="00717EEE" w:rsidRDefault="00717EEE" w:rsidP="002B4A8B">
      <w:pPr>
        <w:spacing w:before="120" w:after="120" w:line="480" w:lineRule="auto"/>
        <w:jc w:val="both"/>
        <w:rPr>
          <w:rFonts w:ascii="Arial" w:eastAsia="Arial" w:hAnsi="Arial" w:cs="Arial"/>
          <w:sz w:val="22"/>
          <w:szCs w:val="22"/>
        </w:rPr>
      </w:pPr>
      <w:r>
        <w:rPr>
          <w:rFonts w:ascii="Arial" w:eastAsia="Arial" w:hAnsi="Arial" w:cs="Arial"/>
          <w:sz w:val="22"/>
          <w:szCs w:val="22"/>
        </w:rPr>
        <w:t xml:space="preserve">Singh, P., Singh, S., Kumari, V. and Tiwari, M. (2024). Navigating healthcare leadership: Theories, challenges, and practical insights for the future. </w:t>
      </w:r>
      <w:r>
        <w:rPr>
          <w:rFonts w:ascii="Arial" w:eastAsia="Arial" w:hAnsi="Arial" w:cs="Arial"/>
          <w:i/>
          <w:iCs/>
          <w:sz w:val="22"/>
          <w:szCs w:val="22"/>
        </w:rPr>
        <w:t>Journal of Postgraduate Medicine</w:t>
      </w:r>
      <w:r>
        <w:rPr>
          <w:rFonts w:ascii="Arial" w:eastAsia="Arial" w:hAnsi="Arial" w:cs="Arial"/>
          <w:sz w:val="22"/>
          <w:szCs w:val="22"/>
        </w:rPr>
        <w:t xml:space="preserve">, [online] 70(4), pp.232–241. </w:t>
      </w:r>
      <w:proofErr w:type="gramStart"/>
      <w:r>
        <w:rPr>
          <w:rFonts w:ascii="Arial" w:eastAsia="Arial" w:hAnsi="Arial" w:cs="Arial"/>
          <w:sz w:val="22"/>
          <w:szCs w:val="22"/>
        </w:rPr>
        <w:t>doi:10.4103/jpgm.jpgm</w:t>
      </w:r>
      <w:proofErr w:type="gramEnd"/>
      <w:r>
        <w:rPr>
          <w:rFonts w:ascii="Arial" w:eastAsia="Arial" w:hAnsi="Arial" w:cs="Arial"/>
          <w:sz w:val="22"/>
          <w:szCs w:val="22"/>
        </w:rPr>
        <w:t>_533_24.</w:t>
      </w:r>
    </w:p>
    <w:p w14:paraId="7B7BD189" w14:textId="77777777" w:rsidR="00717EEE" w:rsidRDefault="00717EEE" w:rsidP="002B4A8B">
      <w:pPr>
        <w:spacing w:before="120" w:after="120" w:line="480" w:lineRule="auto"/>
        <w:jc w:val="both"/>
        <w:rPr>
          <w:rFonts w:ascii="Arial" w:eastAsia="Arial" w:hAnsi="Arial" w:cs="Arial"/>
          <w:sz w:val="22"/>
          <w:szCs w:val="22"/>
        </w:rPr>
      </w:pPr>
      <w:r>
        <w:rPr>
          <w:rFonts w:ascii="Arial" w:eastAsia="Arial" w:hAnsi="Arial" w:cs="Arial"/>
          <w:sz w:val="22"/>
          <w:szCs w:val="22"/>
        </w:rPr>
        <w:t xml:space="preserve">The Print (2026). </w:t>
      </w:r>
      <w:r>
        <w:rPr>
          <w:rFonts w:ascii="Arial" w:eastAsia="Arial" w:hAnsi="Arial" w:cs="Arial"/>
          <w:i/>
          <w:iCs/>
          <w:sz w:val="22"/>
          <w:szCs w:val="22"/>
        </w:rPr>
        <w:t>12 Deaths due to medical negligence in Rajasthan in past two years: State govt</w:t>
      </w:r>
      <w:r>
        <w:rPr>
          <w:rFonts w:ascii="Arial" w:eastAsia="Arial" w:hAnsi="Arial" w:cs="Arial"/>
          <w:sz w:val="22"/>
          <w:szCs w:val="22"/>
        </w:rPr>
        <w:t xml:space="preserve">. [online] </w:t>
      </w:r>
      <w:proofErr w:type="spellStart"/>
      <w:r>
        <w:rPr>
          <w:rFonts w:ascii="Arial" w:eastAsia="Arial" w:hAnsi="Arial" w:cs="Arial"/>
          <w:sz w:val="22"/>
          <w:szCs w:val="22"/>
        </w:rPr>
        <w:t>ThePrint</w:t>
      </w:r>
      <w:proofErr w:type="spellEnd"/>
      <w:r>
        <w:rPr>
          <w:rFonts w:ascii="Arial" w:eastAsia="Arial" w:hAnsi="Arial" w:cs="Arial"/>
          <w:sz w:val="22"/>
          <w:szCs w:val="22"/>
        </w:rPr>
        <w:t>. Available at: https://theprint.in/india/12-deaths-due-to-medical-negligence-in-rajasthan-in-past-two-years-state-govt/2841066/ [Accessed 5 Aug. 2026].</w:t>
      </w:r>
    </w:p>
    <w:p w14:paraId="58227E90" w14:textId="77777777" w:rsidR="00717EEE" w:rsidRDefault="00717EEE" w:rsidP="002B4A8B">
      <w:pPr>
        <w:spacing w:before="120" w:after="120" w:line="480" w:lineRule="auto"/>
        <w:jc w:val="both"/>
        <w:rPr>
          <w:rFonts w:ascii="Arial" w:eastAsia="Arial" w:hAnsi="Arial" w:cs="Arial"/>
          <w:sz w:val="22"/>
          <w:szCs w:val="22"/>
        </w:rPr>
      </w:pPr>
      <w:r>
        <w:rPr>
          <w:rFonts w:ascii="Arial" w:eastAsia="Arial" w:hAnsi="Arial" w:cs="Arial"/>
          <w:sz w:val="22"/>
          <w:szCs w:val="22"/>
        </w:rPr>
        <w:lastRenderedPageBreak/>
        <w:t xml:space="preserve">WHO (2009). </w:t>
      </w:r>
      <w:r>
        <w:rPr>
          <w:rFonts w:ascii="Arial" w:eastAsia="Arial" w:hAnsi="Arial" w:cs="Arial"/>
          <w:i/>
          <w:iCs/>
          <w:sz w:val="22"/>
          <w:szCs w:val="22"/>
        </w:rPr>
        <w:t>WHO surgical safety checklist</w:t>
      </w:r>
      <w:r>
        <w:rPr>
          <w:rFonts w:ascii="Arial" w:eastAsia="Arial" w:hAnsi="Arial" w:cs="Arial"/>
          <w:sz w:val="22"/>
          <w:szCs w:val="22"/>
        </w:rPr>
        <w:t xml:space="preserve">. [online] </w:t>
      </w:r>
      <w:r>
        <w:rPr>
          <w:rFonts w:ascii="Arial" w:eastAsia="Arial" w:hAnsi="Arial" w:cs="Arial"/>
          <w:i/>
          <w:iCs/>
          <w:sz w:val="22"/>
          <w:szCs w:val="22"/>
        </w:rPr>
        <w:t>World Health Organisation</w:t>
      </w:r>
      <w:r>
        <w:rPr>
          <w:rFonts w:ascii="Arial" w:eastAsia="Arial" w:hAnsi="Arial" w:cs="Arial"/>
          <w:sz w:val="22"/>
          <w:szCs w:val="22"/>
        </w:rPr>
        <w:t>. Available at: https://www.who.int/teams/integrated-health-services/patient-safety/research/safe-surgery/tool-and-resources [Accessed 5 Aug. 2026].</w:t>
      </w:r>
    </w:p>
    <w:p w14:paraId="3E5E35A7" w14:textId="77777777" w:rsidR="00717EEE" w:rsidRDefault="00717EEE" w:rsidP="002B4A8B">
      <w:pPr>
        <w:spacing w:before="120" w:after="120" w:line="480" w:lineRule="auto"/>
        <w:jc w:val="both"/>
        <w:rPr>
          <w:rFonts w:ascii="Arial" w:eastAsia="Arial" w:hAnsi="Arial" w:cs="Arial"/>
          <w:sz w:val="22"/>
          <w:szCs w:val="22"/>
        </w:rPr>
      </w:pPr>
      <w:r>
        <w:rPr>
          <w:rFonts w:ascii="Arial" w:eastAsia="Arial" w:hAnsi="Arial" w:cs="Arial"/>
          <w:sz w:val="22"/>
          <w:szCs w:val="22"/>
        </w:rPr>
        <w:t xml:space="preserve">WHO (2021). </w:t>
      </w:r>
      <w:r>
        <w:rPr>
          <w:rFonts w:ascii="Arial" w:eastAsia="Arial" w:hAnsi="Arial" w:cs="Arial"/>
          <w:i/>
          <w:iCs/>
          <w:sz w:val="22"/>
          <w:szCs w:val="22"/>
        </w:rPr>
        <w:t>Global patient safety action plan 2021-2030</w:t>
      </w:r>
      <w:r>
        <w:rPr>
          <w:rFonts w:ascii="Arial" w:eastAsia="Arial" w:hAnsi="Arial" w:cs="Arial"/>
          <w:sz w:val="22"/>
          <w:szCs w:val="22"/>
        </w:rPr>
        <w:t xml:space="preserve">. [online] </w:t>
      </w:r>
      <w:r>
        <w:rPr>
          <w:rFonts w:ascii="Arial" w:eastAsia="Arial" w:hAnsi="Arial" w:cs="Arial"/>
          <w:i/>
          <w:iCs/>
          <w:sz w:val="22"/>
          <w:szCs w:val="22"/>
        </w:rPr>
        <w:t>World Health Organization</w:t>
      </w:r>
      <w:r>
        <w:rPr>
          <w:rFonts w:ascii="Arial" w:eastAsia="Arial" w:hAnsi="Arial" w:cs="Arial"/>
          <w:sz w:val="22"/>
          <w:szCs w:val="22"/>
        </w:rPr>
        <w:t>. Available at: https://www.who.int/teams/integrated-health-services/patient-safety/policy/global-patient-safety-action-plan [Accessed 7 Aug. 2026].</w:t>
      </w:r>
    </w:p>
    <w:p w14:paraId="3F3D0B41" w14:textId="77777777" w:rsidR="00717EEE" w:rsidRDefault="00717EEE" w:rsidP="002B4A8B">
      <w:pPr>
        <w:spacing w:before="120" w:after="120" w:line="480" w:lineRule="auto"/>
        <w:jc w:val="both"/>
        <w:rPr>
          <w:rFonts w:ascii="Arial" w:eastAsia="Arial" w:hAnsi="Arial" w:cs="Arial"/>
          <w:sz w:val="22"/>
          <w:szCs w:val="22"/>
        </w:rPr>
      </w:pPr>
      <w:r>
        <w:rPr>
          <w:rFonts w:ascii="Arial" w:eastAsia="Arial" w:hAnsi="Arial" w:cs="Arial"/>
          <w:sz w:val="22"/>
          <w:szCs w:val="22"/>
        </w:rPr>
        <w:t xml:space="preserve">WHO (2023). </w:t>
      </w:r>
      <w:r>
        <w:rPr>
          <w:rFonts w:ascii="Arial" w:eastAsia="Arial" w:hAnsi="Arial" w:cs="Arial"/>
          <w:i/>
          <w:iCs/>
          <w:sz w:val="22"/>
          <w:szCs w:val="22"/>
        </w:rPr>
        <w:t>Patient safety</w:t>
      </w:r>
      <w:r>
        <w:rPr>
          <w:rFonts w:ascii="Arial" w:eastAsia="Arial" w:hAnsi="Arial" w:cs="Arial"/>
          <w:sz w:val="22"/>
          <w:szCs w:val="22"/>
        </w:rPr>
        <w:t xml:space="preserve">. [online] </w:t>
      </w:r>
      <w:r>
        <w:rPr>
          <w:rFonts w:ascii="Arial" w:eastAsia="Arial" w:hAnsi="Arial" w:cs="Arial"/>
          <w:i/>
          <w:iCs/>
          <w:sz w:val="22"/>
          <w:szCs w:val="22"/>
        </w:rPr>
        <w:t>World Health Organization</w:t>
      </w:r>
      <w:r>
        <w:rPr>
          <w:rFonts w:ascii="Arial" w:eastAsia="Arial" w:hAnsi="Arial" w:cs="Arial"/>
          <w:sz w:val="22"/>
          <w:szCs w:val="22"/>
        </w:rPr>
        <w:t>. Available at: https://www.who.int/news-room/fact-sheets/detail/patient-safety [Accessed 5 Aug. 2026].</w:t>
      </w:r>
    </w:p>
    <w:p w14:paraId="23E5904F" w14:textId="77777777" w:rsidR="00717EEE" w:rsidRDefault="00717EEE" w:rsidP="002B4A8B">
      <w:pPr>
        <w:spacing w:before="120" w:after="120" w:line="480" w:lineRule="auto"/>
        <w:jc w:val="both"/>
        <w:rPr>
          <w:rFonts w:ascii="Arial" w:eastAsia="Arial" w:hAnsi="Arial" w:cs="Arial"/>
          <w:sz w:val="22"/>
          <w:szCs w:val="22"/>
        </w:rPr>
      </w:pPr>
      <w:r>
        <w:rPr>
          <w:rFonts w:ascii="Arial" w:eastAsia="Arial" w:hAnsi="Arial" w:cs="Arial"/>
          <w:sz w:val="22"/>
          <w:szCs w:val="22"/>
        </w:rPr>
        <w:t xml:space="preserve">Wright, M.I., Kernen, K. and </w:t>
      </w:r>
      <w:proofErr w:type="spellStart"/>
      <w:r>
        <w:rPr>
          <w:rFonts w:ascii="Arial" w:eastAsia="Arial" w:hAnsi="Arial" w:cs="Arial"/>
          <w:sz w:val="22"/>
          <w:szCs w:val="22"/>
        </w:rPr>
        <w:t>Kouevi</w:t>
      </w:r>
      <w:proofErr w:type="spellEnd"/>
      <w:r>
        <w:rPr>
          <w:rFonts w:ascii="Arial" w:eastAsia="Arial" w:hAnsi="Arial" w:cs="Arial"/>
          <w:sz w:val="22"/>
          <w:szCs w:val="22"/>
        </w:rPr>
        <w:t>, D. (2024). The art of speaking up: Supporting a culture of safety in the &lt;</w:t>
      </w:r>
      <w:proofErr w:type="spellStart"/>
      <w:r>
        <w:rPr>
          <w:rFonts w:ascii="Arial" w:eastAsia="Arial" w:hAnsi="Arial" w:cs="Arial"/>
          <w:sz w:val="22"/>
          <w:szCs w:val="22"/>
        </w:rPr>
        <w:t>scp</w:t>
      </w:r>
      <w:proofErr w:type="spellEnd"/>
      <w:r>
        <w:rPr>
          <w:rFonts w:ascii="Arial" w:eastAsia="Arial" w:hAnsi="Arial" w:cs="Arial"/>
          <w:sz w:val="22"/>
          <w:szCs w:val="22"/>
        </w:rPr>
        <w:t>&gt;OR&lt;/</w:t>
      </w:r>
      <w:proofErr w:type="spellStart"/>
      <w:r>
        <w:rPr>
          <w:rFonts w:ascii="Arial" w:eastAsia="Arial" w:hAnsi="Arial" w:cs="Arial"/>
          <w:sz w:val="22"/>
          <w:szCs w:val="22"/>
        </w:rPr>
        <w:t>scp</w:t>
      </w:r>
      <w:proofErr w:type="spellEnd"/>
      <w:r>
        <w:rPr>
          <w:rFonts w:ascii="Arial" w:eastAsia="Arial" w:hAnsi="Arial" w:cs="Arial"/>
          <w:sz w:val="22"/>
          <w:szCs w:val="22"/>
        </w:rPr>
        <w:t xml:space="preserve">&gt;. </w:t>
      </w:r>
      <w:r>
        <w:rPr>
          <w:rFonts w:ascii="Arial" w:eastAsia="Arial" w:hAnsi="Arial" w:cs="Arial"/>
          <w:i/>
          <w:iCs/>
          <w:sz w:val="22"/>
          <w:szCs w:val="22"/>
        </w:rPr>
        <w:t>AORN Journal</w:t>
      </w:r>
      <w:r>
        <w:rPr>
          <w:rFonts w:ascii="Arial" w:eastAsia="Arial" w:hAnsi="Arial" w:cs="Arial"/>
          <w:sz w:val="22"/>
          <w:szCs w:val="22"/>
        </w:rPr>
        <w:t>, 120(3), pp.134–142. doi:10.1002/aorn.14202.</w:t>
      </w:r>
    </w:p>
    <w:p w14:paraId="38DDFC6B" w14:textId="77777777" w:rsidR="00717EEE" w:rsidRDefault="00717EEE" w:rsidP="002B4A8B">
      <w:pPr>
        <w:spacing w:before="120" w:after="120" w:line="480" w:lineRule="auto"/>
        <w:jc w:val="both"/>
        <w:rPr>
          <w:rFonts w:ascii="Arial" w:eastAsia="Arial" w:hAnsi="Arial" w:cs="Arial"/>
          <w:sz w:val="22"/>
          <w:szCs w:val="22"/>
        </w:rPr>
      </w:pPr>
      <w:r>
        <w:rPr>
          <w:rFonts w:ascii="Arial" w:eastAsia="Arial" w:hAnsi="Arial" w:cs="Arial"/>
          <w:sz w:val="22"/>
          <w:szCs w:val="22"/>
        </w:rPr>
        <w:t xml:space="preserve">Zhong, P. and Zeng, Y. (2024). Does top-down accountability promote responsiveness? Evidence from a survey experiment in China. </w:t>
      </w:r>
      <w:r>
        <w:rPr>
          <w:rFonts w:ascii="Arial" w:eastAsia="Arial" w:hAnsi="Arial" w:cs="Arial"/>
          <w:i/>
          <w:iCs/>
          <w:sz w:val="22"/>
          <w:szCs w:val="22"/>
        </w:rPr>
        <w:t>Journal of Chinese Governance</w:t>
      </w:r>
      <w:r>
        <w:rPr>
          <w:rFonts w:ascii="Arial" w:eastAsia="Arial" w:hAnsi="Arial" w:cs="Arial"/>
          <w:sz w:val="22"/>
          <w:szCs w:val="22"/>
        </w:rPr>
        <w:t>, 9(1), pp.1–22. doi:10.1080/23812346.2023.2300181.</w:t>
      </w:r>
    </w:p>
    <w:sectPr w:rsidR="00717EEE" w:rsidSect="001502EA">
      <w:footerReference w:type="default" r:id="rId8"/>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95A924" w14:textId="77777777" w:rsidR="00487A8B" w:rsidRDefault="00487A8B">
      <w:pPr>
        <w:spacing w:line="240" w:lineRule="auto"/>
      </w:pPr>
      <w:r>
        <w:separator/>
      </w:r>
    </w:p>
  </w:endnote>
  <w:endnote w:type="continuationSeparator" w:id="0">
    <w:p w14:paraId="00F1A187" w14:textId="77777777" w:rsidR="00487A8B" w:rsidRDefault="00487A8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9BE223" w14:textId="77777777" w:rsidR="00000000" w:rsidRDefault="00717EEE">
    <w:pPr>
      <w:jc w:val="right"/>
      <w:rPr>
        <w:rFonts w:ascii="Arial" w:eastAsia="Arial" w:hAnsi="Arial" w:cs="Arial"/>
        <w:sz w:val="22"/>
        <w:szCs w:val="22"/>
      </w:rPr>
    </w:pPr>
    <w:r>
      <w:rPr>
        <w:rFonts w:ascii="Arial" w:eastAsia="Arial" w:hAnsi="Arial" w:cs="Arial"/>
        <w:sz w:val="22"/>
        <w:szCs w:val="22"/>
      </w:rPr>
      <w:fldChar w:fldCharType="begin"/>
    </w:r>
    <w:r>
      <w:rPr>
        <w:rFonts w:ascii="Arial" w:eastAsia="Arial" w:hAnsi="Arial" w:cs="Arial"/>
        <w:sz w:val="22"/>
        <w:szCs w:val="22"/>
      </w:rPr>
      <w:instrText>PAGE</w:instrText>
    </w:r>
    <w:r>
      <w:rPr>
        <w:rFonts w:ascii="Arial" w:eastAsia="Arial" w:hAnsi="Arial" w:cs="Arial"/>
        <w:sz w:val="22"/>
        <w:szCs w:val="22"/>
      </w:rPr>
      <w:fldChar w:fldCharType="separate"/>
    </w:r>
    <w:r>
      <w:rPr>
        <w:rFonts w:ascii="Arial" w:eastAsia="Arial" w:hAnsi="Arial" w:cs="Arial"/>
        <w:noProof/>
        <w:sz w:val="22"/>
        <w:szCs w:val="22"/>
      </w:rPr>
      <w:t>1</w:t>
    </w:r>
    <w:r>
      <w:rPr>
        <w:rFonts w:ascii="Arial" w:eastAsia="Arial" w:hAnsi="Arial" w:cs="Arial"/>
        <w:sz w:val="22"/>
        <w:szCs w:val="22"/>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C84AE5" w14:textId="77777777" w:rsidR="00487A8B" w:rsidRDefault="00487A8B">
      <w:pPr>
        <w:spacing w:line="240" w:lineRule="auto"/>
      </w:pPr>
      <w:r>
        <w:separator/>
      </w:r>
    </w:p>
  </w:footnote>
  <w:footnote w:type="continuationSeparator" w:id="0">
    <w:p w14:paraId="244A1BBB" w14:textId="77777777" w:rsidR="00487A8B" w:rsidRDefault="00487A8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4A8B"/>
    <w:rsid w:val="001139BD"/>
    <w:rsid w:val="001502EA"/>
    <w:rsid w:val="002B4A8B"/>
    <w:rsid w:val="00487A8B"/>
    <w:rsid w:val="0055025F"/>
    <w:rsid w:val="00717EEE"/>
    <w:rsid w:val="00822BB0"/>
    <w:rsid w:val="008B2AA1"/>
    <w:rsid w:val="00CD0B98"/>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458854"/>
  <w15:chartTrackingRefBased/>
  <w15:docId w15:val="{9AAF865F-ED05-4622-AF79-A5DEEBEAD0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4A8B"/>
    <w:pPr>
      <w:spacing w:after="0" w:line="276" w:lineRule="auto"/>
    </w:pPr>
    <w:rPr>
      <w:rFonts w:ascii="Calibri" w:eastAsia="Calibri" w:hAnsi="Calibri" w:cs="Calibri"/>
      <w:sz w:val="24"/>
      <w:szCs w:val="24"/>
      <w:lang w:val="en-GB"/>
    </w:rPr>
  </w:style>
  <w:style w:type="paragraph" w:styleId="Heading1">
    <w:name w:val="heading 1"/>
    <w:basedOn w:val="Normal"/>
    <w:next w:val="Normal"/>
    <w:link w:val="Heading1Char"/>
    <w:uiPriority w:val="9"/>
    <w:qFormat/>
    <w:rsid w:val="002B4A8B"/>
    <w:pPr>
      <w:keepNext/>
      <w:keepLines/>
      <w:spacing w:before="120" w:after="120" w:line="480" w:lineRule="auto"/>
      <w:jc w:val="both"/>
      <w:outlineLvl w:val="0"/>
    </w:pPr>
    <w:rPr>
      <w:rFonts w:ascii="Arial" w:eastAsia="Arial" w:hAnsi="Arial" w:cs="Arial"/>
      <w:b/>
      <w:bCs/>
      <w:sz w:val="22"/>
      <w:szCs w:val="22"/>
    </w:rPr>
  </w:style>
  <w:style w:type="paragraph" w:styleId="Heading2">
    <w:name w:val="heading 2"/>
    <w:basedOn w:val="Normal"/>
    <w:next w:val="Normal"/>
    <w:link w:val="Heading2Char"/>
    <w:uiPriority w:val="9"/>
    <w:unhideWhenUsed/>
    <w:qFormat/>
    <w:rsid w:val="002B4A8B"/>
    <w:pPr>
      <w:keepNext/>
      <w:keepLines/>
      <w:spacing w:before="120" w:after="120" w:line="480" w:lineRule="auto"/>
      <w:jc w:val="both"/>
      <w:outlineLvl w:val="1"/>
    </w:pPr>
    <w:rPr>
      <w:rFonts w:ascii="Arial" w:eastAsia="Arial" w:hAnsi="Arial" w:cs="Arial"/>
      <w:b/>
      <w:bCs/>
      <w:sz w:val="22"/>
      <w:szCs w:val="22"/>
    </w:rPr>
  </w:style>
  <w:style w:type="paragraph" w:styleId="Heading3">
    <w:name w:val="heading 3"/>
    <w:basedOn w:val="Normal"/>
    <w:next w:val="Normal"/>
    <w:link w:val="Heading3Char"/>
    <w:uiPriority w:val="9"/>
    <w:unhideWhenUsed/>
    <w:qFormat/>
    <w:rsid w:val="002B4A8B"/>
    <w:pPr>
      <w:keepNext/>
      <w:keepLines/>
      <w:spacing w:before="120" w:after="120" w:line="480" w:lineRule="auto"/>
      <w:jc w:val="both"/>
      <w:outlineLvl w:val="2"/>
    </w:pPr>
    <w:rPr>
      <w:rFonts w:ascii="Arial" w:eastAsia="Arial" w:hAnsi="Arial" w:cs="Arial"/>
      <w:b/>
      <w:bCs/>
      <w:i/>
      <w:iCs/>
      <w:sz w:val="22"/>
      <w:szCs w:val="22"/>
    </w:rPr>
  </w:style>
  <w:style w:type="paragraph" w:styleId="Heading4">
    <w:name w:val="heading 4"/>
    <w:basedOn w:val="Normal"/>
    <w:next w:val="Normal"/>
    <w:link w:val="Heading4Char"/>
    <w:uiPriority w:val="9"/>
    <w:unhideWhenUsed/>
    <w:qFormat/>
    <w:rsid w:val="002B4A8B"/>
    <w:pPr>
      <w:keepNext/>
      <w:keepLines/>
      <w:spacing w:before="120" w:after="120" w:line="480" w:lineRule="auto"/>
      <w:jc w:val="both"/>
      <w:outlineLvl w:val="3"/>
    </w:pPr>
    <w:rPr>
      <w:rFonts w:ascii="Arial" w:eastAsia="Arial" w:hAnsi="Arial" w:cs="Arial"/>
      <w:b/>
      <w:bCs/>
      <w:i/>
      <w:iCs/>
      <w:sz w:val="22"/>
      <w:szCs w:val="22"/>
    </w:rPr>
  </w:style>
  <w:style w:type="paragraph" w:styleId="Heading5">
    <w:name w:val="heading 5"/>
    <w:basedOn w:val="Normal"/>
    <w:next w:val="Normal"/>
    <w:link w:val="Heading5Char"/>
    <w:uiPriority w:val="9"/>
    <w:semiHidden/>
    <w:unhideWhenUsed/>
    <w:qFormat/>
    <w:rsid w:val="002B4A8B"/>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2B4A8B"/>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4A8B"/>
    <w:rPr>
      <w:rFonts w:ascii="Arial" w:eastAsia="Arial" w:hAnsi="Arial" w:cs="Arial"/>
      <w:b/>
      <w:bCs/>
      <w:lang w:val="en-GB"/>
    </w:rPr>
  </w:style>
  <w:style w:type="character" w:customStyle="1" w:styleId="Heading2Char">
    <w:name w:val="Heading 2 Char"/>
    <w:basedOn w:val="DefaultParagraphFont"/>
    <w:link w:val="Heading2"/>
    <w:uiPriority w:val="9"/>
    <w:rsid w:val="002B4A8B"/>
    <w:rPr>
      <w:rFonts w:ascii="Arial" w:eastAsia="Arial" w:hAnsi="Arial" w:cs="Arial"/>
      <w:b/>
      <w:bCs/>
      <w:lang w:val="en-GB"/>
    </w:rPr>
  </w:style>
  <w:style w:type="character" w:customStyle="1" w:styleId="Heading3Char">
    <w:name w:val="Heading 3 Char"/>
    <w:basedOn w:val="DefaultParagraphFont"/>
    <w:link w:val="Heading3"/>
    <w:uiPriority w:val="9"/>
    <w:rsid w:val="002B4A8B"/>
    <w:rPr>
      <w:rFonts w:ascii="Arial" w:eastAsia="Arial" w:hAnsi="Arial" w:cs="Arial"/>
      <w:b/>
      <w:bCs/>
      <w:i/>
      <w:iCs/>
      <w:lang w:val="en-GB"/>
    </w:rPr>
  </w:style>
  <w:style w:type="character" w:customStyle="1" w:styleId="Heading4Char">
    <w:name w:val="Heading 4 Char"/>
    <w:basedOn w:val="DefaultParagraphFont"/>
    <w:link w:val="Heading4"/>
    <w:uiPriority w:val="9"/>
    <w:rsid w:val="002B4A8B"/>
    <w:rPr>
      <w:rFonts w:ascii="Arial" w:eastAsia="Arial" w:hAnsi="Arial" w:cs="Arial"/>
      <w:b/>
      <w:bCs/>
      <w:i/>
      <w:iCs/>
      <w:lang w:val="en-GB"/>
    </w:rPr>
  </w:style>
  <w:style w:type="character" w:customStyle="1" w:styleId="Heading5Char">
    <w:name w:val="Heading 5 Char"/>
    <w:basedOn w:val="DefaultParagraphFont"/>
    <w:link w:val="Heading5"/>
    <w:uiPriority w:val="9"/>
    <w:semiHidden/>
    <w:rsid w:val="002B4A8B"/>
    <w:rPr>
      <w:rFonts w:asciiTheme="majorHAnsi" w:eastAsiaTheme="majorEastAsia" w:hAnsiTheme="majorHAnsi" w:cstheme="majorBidi"/>
      <w:color w:val="2F5496" w:themeColor="accent1" w:themeShade="BF"/>
      <w:sz w:val="24"/>
      <w:szCs w:val="24"/>
      <w:lang w:val="en-GB"/>
    </w:rPr>
  </w:style>
  <w:style w:type="character" w:customStyle="1" w:styleId="Heading6Char">
    <w:name w:val="Heading 6 Char"/>
    <w:basedOn w:val="DefaultParagraphFont"/>
    <w:link w:val="Heading6"/>
    <w:uiPriority w:val="9"/>
    <w:semiHidden/>
    <w:rsid w:val="002B4A8B"/>
    <w:rPr>
      <w:rFonts w:asciiTheme="majorHAnsi" w:eastAsiaTheme="majorEastAsia" w:hAnsiTheme="majorHAnsi" w:cstheme="majorBidi"/>
      <w:color w:val="1F3763" w:themeColor="accent1" w:themeShade="7F"/>
      <w:sz w:val="24"/>
      <w:szCs w:val="24"/>
      <w:lang w:val="en-GB"/>
    </w:rPr>
  </w:style>
  <w:style w:type="paragraph" w:styleId="TOC1">
    <w:name w:val="toc 1"/>
    <w:basedOn w:val="Normal"/>
    <w:next w:val="Normal"/>
    <w:autoRedefine/>
    <w:uiPriority w:val="39"/>
    <w:unhideWhenUsed/>
    <w:rsid w:val="002B4A8B"/>
    <w:pPr>
      <w:spacing w:after="100"/>
    </w:pPr>
  </w:style>
  <w:style w:type="paragraph" w:styleId="TOC2">
    <w:name w:val="toc 2"/>
    <w:basedOn w:val="Normal"/>
    <w:next w:val="Normal"/>
    <w:autoRedefine/>
    <w:uiPriority w:val="39"/>
    <w:unhideWhenUsed/>
    <w:rsid w:val="002B4A8B"/>
    <w:pPr>
      <w:spacing w:after="100"/>
      <w:ind w:left="240"/>
    </w:pPr>
  </w:style>
  <w:style w:type="paragraph" w:styleId="TOC3">
    <w:name w:val="toc 3"/>
    <w:basedOn w:val="Normal"/>
    <w:next w:val="Normal"/>
    <w:autoRedefine/>
    <w:uiPriority w:val="39"/>
    <w:unhideWhenUsed/>
    <w:rsid w:val="002B4A8B"/>
    <w:pPr>
      <w:spacing w:after="100"/>
      <w:ind w:left="480"/>
    </w:pPr>
  </w:style>
  <w:style w:type="paragraph" w:styleId="TOC4">
    <w:name w:val="toc 4"/>
    <w:basedOn w:val="Normal"/>
    <w:next w:val="Normal"/>
    <w:autoRedefine/>
    <w:uiPriority w:val="39"/>
    <w:unhideWhenUsed/>
    <w:rsid w:val="002B4A8B"/>
    <w:pPr>
      <w:spacing w:after="100"/>
      <w:ind w:left="720"/>
    </w:pPr>
  </w:style>
  <w:style w:type="character" w:styleId="Hyperlink">
    <w:name w:val="Hyperlink"/>
    <w:basedOn w:val="DefaultParagraphFont"/>
    <w:uiPriority w:val="99"/>
    <w:unhideWhenUsed/>
    <w:rsid w:val="002B4A8B"/>
    <w:rPr>
      <w:color w:val="0563C1" w:themeColor="hyperlink"/>
      <w:u w:val="single"/>
    </w:rPr>
  </w:style>
  <w:style w:type="paragraph" w:styleId="ListParagraph">
    <w:name w:val="List Paragraph"/>
    <w:basedOn w:val="Normal"/>
    <w:uiPriority w:val="34"/>
    <w:qFormat/>
    <w:rsid w:val="0055025F"/>
    <w:pPr>
      <w:ind w:left="720"/>
      <w:contextualSpacing/>
    </w:pPr>
  </w:style>
  <w:style w:type="paragraph" w:styleId="Header">
    <w:name w:val="header"/>
    <w:basedOn w:val="Normal"/>
    <w:link w:val="HeaderChar"/>
    <w:uiPriority w:val="99"/>
    <w:unhideWhenUsed/>
    <w:rsid w:val="001502EA"/>
    <w:pPr>
      <w:tabs>
        <w:tab w:val="center" w:pos="4513"/>
        <w:tab w:val="right" w:pos="9026"/>
      </w:tabs>
      <w:spacing w:line="240" w:lineRule="auto"/>
    </w:pPr>
  </w:style>
  <w:style w:type="character" w:customStyle="1" w:styleId="HeaderChar">
    <w:name w:val="Header Char"/>
    <w:basedOn w:val="DefaultParagraphFont"/>
    <w:link w:val="Header"/>
    <w:uiPriority w:val="99"/>
    <w:rsid w:val="001502EA"/>
    <w:rPr>
      <w:rFonts w:ascii="Calibri" w:eastAsia="Calibri" w:hAnsi="Calibri" w:cs="Calibri"/>
      <w:sz w:val="24"/>
      <w:szCs w:val="24"/>
      <w:lang w:val="en-GB"/>
    </w:rPr>
  </w:style>
  <w:style w:type="paragraph" w:styleId="Footer">
    <w:name w:val="footer"/>
    <w:basedOn w:val="Normal"/>
    <w:link w:val="FooterChar"/>
    <w:uiPriority w:val="99"/>
    <w:unhideWhenUsed/>
    <w:rsid w:val="001502EA"/>
    <w:pPr>
      <w:tabs>
        <w:tab w:val="center" w:pos="4513"/>
        <w:tab w:val="right" w:pos="9026"/>
      </w:tabs>
      <w:spacing w:line="240" w:lineRule="auto"/>
    </w:pPr>
  </w:style>
  <w:style w:type="character" w:customStyle="1" w:styleId="FooterChar">
    <w:name w:val="Footer Char"/>
    <w:basedOn w:val="DefaultParagraphFont"/>
    <w:link w:val="Footer"/>
    <w:uiPriority w:val="99"/>
    <w:rsid w:val="001502EA"/>
    <w:rPr>
      <w:rFonts w:ascii="Calibri" w:eastAsia="Calibri" w:hAnsi="Calibri" w:cs="Calibri"/>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26</Pages>
  <Words>7502</Words>
  <Characters>42765</Characters>
  <Application>Microsoft Office Word</Application>
  <DocSecurity>0</DocSecurity>
  <Lines>356</Lines>
  <Paragraphs>100</Paragraphs>
  <ScaleCrop>false</ScaleCrop>
  <Company/>
  <LinksUpToDate>false</LinksUpToDate>
  <CharactersWithSpaces>50167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Gnanu Bhatt</cp:lastModifiedBy>
  <cp:revision>2</cp:revision>
  <dcterms:created xsi:type="dcterms:W3CDTF">2026-08-07T12:40:00Z</dcterms:created>
  <dcterms:modified xsi:type="dcterms:W3CDTF">2026-08-10T12:26:00Z</dcterms:modified>
</cp:coreProperties>
</file>