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120" w:after="120"/>
        <w:rPr>
          <w:rFonts w:ascii="Calibri" w:cs="Calibri" w:hAnsi="Calibri" w:eastAsia="Calibri"/>
          <w:outline w:val="0"/>
          <w:color w:val="000000"/>
          <w:u w:color="000000"/>
          <w14:textFill>
            <w14:solidFill>
              <w14:srgbClr w14:val="000000"/>
            </w14:solidFill>
          </w14:textFill>
        </w:rPr>
      </w:pPr>
      <w:r>
        <w:rPr>
          <w:rFonts w:ascii="Calibri" w:hAnsi="Calibri"/>
          <w:outline w:val="0"/>
          <w:color w:val="000000"/>
          <w:u w:color="000000"/>
          <w:rtl w:val="0"/>
          <w:lang w:val="en-US"/>
          <w14:textFill>
            <w14:solidFill>
              <w14:srgbClr w14:val="000000"/>
            </w14:solidFill>
          </w14:textFill>
        </w:rPr>
        <w:t>The issue of diversity in the judiciary is one that can be seen in the contexts of both equality as well as achievement of justice outcomes and this is reflected in the recent diversity strategy unveiled by the Supreme Court and the Judicial Committee of the Privy Council</w:t>
      </w:r>
      <w:r>
        <w:rPr>
          <w:rFonts w:ascii="Calibri" w:cs="Calibri" w:hAnsi="Calibri" w:eastAsia="Calibri"/>
          <w:outline w:val="0"/>
          <w:color w:val="000000"/>
          <w:u w:color="000000"/>
          <w14:textFill>
            <w14:solidFill>
              <w14:srgbClr w14:val="000000"/>
            </w14:solidFill>
          </w14:textFill>
        </w:rPr>
        <w:fldChar w:fldCharType="begin" w:fldLock="0"/>
      </w:r>
      <w:r>
        <w:rPr>
          <w:rFonts w:ascii="Calibri" w:cs="Calibri" w:hAnsi="Calibri" w:eastAsia="Calibri"/>
          <w:outline w:val="0"/>
          <w:color w:val="000000"/>
          <w:u w:color="000000"/>
          <w14:textFill>
            <w14:solidFill>
              <w14:srgbClr w14:val="000000"/>
            </w14:solidFill>
          </w14:textFill>
        </w:rPr>
        <w:instrText xml:space="preserve"> ADDIN EN.CITE &lt;EndNote&gt;&lt;Cite ExcludeAuth="1" &gt;&lt;Year&gt;2021&lt;/Year&gt;&lt;DisplayText&gt; (UKSC &amp; JCPC, 2021)&lt;/DisplayText&gt;&lt;record&gt;&lt;ref-type name="Report"&gt;27&lt;/ref-type&gt;&lt;contributors&gt;&lt;authors/&gt;&lt;/contributors&gt;&lt;titles/&gt;&lt;title&gt;The Supreme Court of the  United Kingdom and the  Judicial Committee  of the Privy Council: Judicial Diversity and Inclusion Strategy  2021-2025&lt;/title&gt;&lt;periodical/&gt;&lt;dates&gt;&lt;year&gt;2021&lt;/year&gt;&lt;pub-dates/&gt;&lt;/dates&gt;&lt;/record&gt;&lt;/Cite&gt;&lt;/EndNote&gt;</w:instrText>
      </w:r>
      <w:r>
        <w:rPr>
          <w:rFonts w:ascii="Calibri" w:cs="Calibri" w:hAnsi="Calibri" w:eastAsia="Calibri"/>
          <w:outline w:val="0"/>
          <w:color w:val="000000"/>
          <w:u w:color="000000"/>
          <w14:textFill>
            <w14:solidFill>
              <w14:srgbClr w14:val="000000"/>
            </w14:solidFill>
          </w14:textFill>
        </w:rPr>
        <w:fldChar w:fldCharType="separate" w:fldLock="0"/>
      </w:r>
      <w:r>
        <w:rPr>
          <w:rFonts w:ascii="Calibri" w:hAnsi="Calibri"/>
          <w:outline w:val="0"/>
          <w:color w:val="000000"/>
          <w:u w:color="000000"/>
          <w:rtl w:val="0"/>
          <w:lang w:val="en-US"/>
          <w14:textFill>
            <w14:solidFill>
              <w14:srgbClr w14:val="000000"/>
            </w14:solidFill>
          </w14:textFill>
        </w:rPr>
        <w:t xml:space="preserve"> (UKSC &amp; JCPC, 2021)</w:t>
      </w:r>
      <w:r>
        <w:rPr>
          <w:rFonts w:ascii="Calibri" w:cs="Calibri" w:hAnsi="Calibri" w:eastAsia="Calibri"/>
          <w:outline w:val="0"/>
          <w:color w:val="000000"/>
          <w:u w:color="000000"/>
          <w14:textFill>
            <w14:solidFill>
              <w14:srgbClr w14:val="000000"/>
            </w14:solidFill>
          </w14:textFill>
        </w:rPr>
        <w:fldChar w:fldCharType="end" w:fldLock="0"/>
      </w:r>
      <w:r>
        <w:rPr>
          <w:rFonts w:ascii="Calibri" w:hAnsi="Calibri"/>
          <w:outline w:val="0"/>
          <w:color w:val="000000"/>
          <w:u w:color="000000"/>
          <w:rtl w:val="0"/>
          <w:lang w:val="en-US"/>
          <w14:textFill>
            <w14:solidFill>
              <w14:srgbClr w14:val="000000"/>
            </w14:solidFill>
          </w14:textFill>
        </w:rPr>
        <w:t xml:space="preserve">. In this strategy, the court and the JCPC link the need to develop a more diverse judiciary with the Equality Act 2010 and also note that diversity of </w:t>
      </w:r>
      <w:r>
        <w:rPr>
          <w:rFonts w:ascii="Calibri" w:hAnsi="Calibri"/>
          <w:outline w:val="0"/>
          <w:color w:val="000000"/>
          <w:u w:color="000000"/>
          <w:rtl w:val="0"/>
          <w:lang w:val="en-US"/>
          <w14:textFill>
            <w14:solidFill>
              <w14:srgbClr w14:val="000000"/>
            </w14:solidFill>
          </w14:textFill>
        </w:rPr>
        <w:t xml:space="preserve">the </w:t>
      </w:r>
      <w:r>
        <w:rPr>
          <w:rFonts w:ascii="Calibri" w:hAnsi="Calibri"/>
          <w:outline w:val="0"/>
          <w:color w:val="000000"/>
          <w:u w:color="000000"/>
          <w:rtl w:val="0"/>
          <w:lang w:val="en-US"/>
          <w14:textFill>
            <w14:solidFill>
              <w14:srgbClr w14:val="000000"/>
            </w14:solidFill>
          </w14:textFill>
        </w:rPr>
        <w:t xml:space="preserve">judiciary would be necessary for achieving appropriate outcomes in cases that are decided by the courts </w:t>
      </w:r>
      <w:r>
        <w:rPr>
          <w:rFonts w:ascii="Calibri" w:cs="Calibri" w:hAnsi="Calibri" w:eastAsia="Calibri"/>
          <w:outline w:val="0"/>
          <w:color w:val="000000"/>
          <w:u w:color="000000"/>
          <w14:textFill>
            <w14:solidFill>
              <w14:srgbClr w14:val="000000"/>
            </w14:solidFill>
          </w14:textFill>
        </w:rPr>
        <w:fldChar w:fldCharType="begin" w:fldLock="0"/>
      </w:r>
      <w:r>
        <w:rPr>
          <w:rFonts w:ascii="Calibri" w:cs="Calibri" w:hAnsi="Calibri" w:eastAsia="Calibri"/>
          <w:outline w:val="0"/>
          <w:color w:val="000000"/>
          <w:u w:color="000000"/>
          <w14:textFill>
            <w14:solidFill>
              <w14:srgbClr w14:val="000000"/>
            </w14:solidFill>
          </w14:textFill>
        </w:rPr>
        <w:instrText xml:space="preserve"> ADDIN EN.CITE &lt;EndNote&gt;&lt;Cite ExcludeAuth="1" &gt;&lt;Year&gt;2021&lt;/Year&gt;&lt;DisplayText&gt;(UKSC &amp; JCPC, 2021)&lt;/DisplayText&gt;&lt;record&gt;&lt;ref-type name="Report"&gt;27&lt;/ref-type&gt;&lt;contributors&gt;&lt;authors/&gt;&lt;/contributors&gt;&lt;titles/&gt;&lt;title&gt;The Supreme Court of the  United Kingdom and the  Judicial Committee  of the Privy Council: Judicial Diversity and Inclusion Strategy  2021-2025&lt;/title&gt;&lt;periodical/&gt;&lt;dates&gt;&lt;year&gt;2021&lt;/year&gt;&lt;pub-dates/&gt;&lt;/dates&gt;&lt;/record&gt;&lt;/Cite&gt;&lt;/EndNote&gt;</w:instrText>
      </w:r>
      <w:r>
        <w:rPr>
          <w:rFonts w:ascii="Calibri" w:cs="Calibri" w:hAnsi="Calibri" w:eastAsia="Calibri"/>
          <w:outline w:val="0"/>
          <w:color w:val="000000"/>
          <w:u w:color="000000"/>
          <w14:textFill>
            <w14:solidFill>
              <w14:srgbClr w14:val="000000"/>
            </w14:solidFill>
          </w14:textFill>
        </w:rPr>
        <w:fldChar w:fldCharType="separate" w:fldLock="0"/>
      </w:r>
      <w:r>
        <w:rPr>
          <w:rFonts w:ascii="Calibri" w:hAnsi="Calibri"/>
          <w:outline w:val="0"/>
          <w:color w:val="000000"/>
          <w:u w:color="000000"/>
          <w:rtl w:val="0"/>
          <w:lang w:val="en-US"/>
          <w14:textFill>
            <w14:solidFill>
              <w14:srgbClr w14:val="000000"/>
            </w14:solidFill>
          </w14:textFill>
        </w:rPr>
        <w:t>(UKSC &amp; JCPC, 2021)</w:t>
      </w:r>
      <w:r>
        <w:rPr>
          <w:rFonts w:ascii="Calibri" w:cs="Calibri" w:hAnsi="Calibri" w:eastAsia="Calibri"/>
          <w:outline w:val="0"/>
          <w:color w:val="000000"/>
          <w:u w:color="000000"/>
          <w14:textFill>
            <w14:solidFill>
              <w14:srgbClr w14:val="000000"/>
            </w14:solidFill>
          </w14:textFill>
        </w:rPr>
        <w:fldChar w:fldCharType="end" w:fldLock="0"/>
      </w:r>
      <w:r>
        <w:rPr>
          <w:rFonts w:ascii="Calibri" w:hAnsi="Calibri"/>
          <w:outline w:val="0"/>
          <w:color w:val="000000"/>
          <w:u w:color="000000"/>
          <w:rtl w:val="0"/>
          <w:lang w:val="en-US"/>
          <w14:textFill>
            <w14:solidFill>
              <w14:srgbClr w14:val="000000"/>
            </w14:solidFill>
          </w14:textFill>
        </w:rPr>
        <w:t xml:space="preserve">. While this issue may have many complex layers, one of the important aspects of this discussion can be related to the impact of diversity on </w:t>
      </w:r>
      <w:r>
        <w:rPr>
          <w:rFonts w:ascii="Calibri" w:hAnsi="Calibri"/>
          <w:outline w:val="0"/>
          <w:color w:val="000000"/>
          <w:u w:color="000000"/>
          <w:rtl w:val="0"/>
          <w:lang w:val="en-US"/>
          <w14:textFill>
            <w14:solidFill>
              <w14:srgbClr w14:val="000000"/>
            </w14:solidFill>
          </w14:textFill>
        </w:rPr>
        <w:t>decision-making</w:t>
      </w:r>
      <w:r>
        <w:rPr>
          <w:rFonts w:ascii="Calibri" w:hAnsi="Calibri"/>
          <w:outline w:val="0"/>
          <w:color w:val="000000"/>
          <w:u w:color="000000"/>
          <w:rtl w:val="0"/>
          <w:lang w:val="en-US"/>
          <w14:textFill>
            <w14:solidFill>
              <w14:srgbClr w14:val="000000"/>
            </w14:solidFill>
          </w14:textFill>
        </w:rPr>
        <w:t xml:space="preserve"> outcomes in the Supreme Court especially since there is a point of view, which argues that what is needed in the Supreme Court is </w:t>
      </w:r>
      <w:r>
        <w:rPr>
          <w:rFonts w:ascii="Calibri" w:hAnsi="Calibri"/>
          <w:outline w:val="0"/>
          <w:color w:val="000000"/>
          <w:u w:color="000000"/>
          <w:rtl w:val="0"/>
          <w:lang w:val="en-US"/>
          <w14:textFill>
            <w14:solidFill>
              <w14:srgbClr w14:val="000000"/>
            </w14:solidFill>
          </w14:textFill>
        </w:rPr>
        <w:t xml:space="preserve">the </w:t>
      </w:r>
      <w:r>
        <w:rPr>
          <w:rFonts w:ascii="Calibri" w:hAnsi="Calibri"/>
          <w:outline w:val="0"/>
          <w:color w:val="000000"/>
          <w:u w:color="000000"/>
          <w:rtl w:val="0"/>
          <w:lang w:val="en-US"/>
          <w14:textFill>
            <w14:solidFill>
              <w14:srgbClr w14:val="000000"/>
            </w14:solidFill>
          </w14:textFill>
        </w:rPr>
        <w:t>appointment of the most meritorious and expert judges irrespective of their ethnicity and gender. While this is a laudable opinion, an important objection to this opinion may be made with reference to the argument that judges do not decide cases solely on the basis of legal reasoning and that there is a scope for value judgments in cases involving moral and social issues. This begs the question of whether it would not be more pertinent to have diversity in the judiciary since a diverse judiciary can counterbalance dominant worldviews on moral and social issues. This essay discusses the reasons for increasing judicial diversity in the UK Supreme Court with an emphasis on existing arguments made in the literature.</w:t>
      </w:r>
    </w:p>
    <w:p>
      <w:pPr>
        <w:pStyle w:val="Body"/>
        <w:spacing w:before="120" w:after="120"/>
        <w:rPr>
          <w:rFonts w:ascii="Calibri" w:cs="Calibri" w:hAnsi="Calibri" w:eastAsia="Calibri"/>
          <w:outline w:val="0"/>
          <w:color w:val="000000"/>
          <w:u w:color="000000"/>
          <w:shd w:val="clear" w:color="auto" w:fill="ffffff"/>
          <w14:textFill>
            <w14:solidFill>
              <w14:srgbClr w14:val="000000"/>
            </w14:solidFill>
          </w14:textFill>
        </w:rPr>
      </w:pPr>
      <w:r>
        <w:rPr>
          <w:rFonts w:ascii="Calibri" w:hAnsi="Calibri"/>
          <w:outline w:val="0"/>
          <w:color w:val="000000"/>
          <w:u w:color="000000"/>
          <w:rtl w:val="0"/>
          <w:lang w:val="en-US"/>
          <w14:textFill>
            <w14:solidFill>
              <w14:srgbClr w14:val="000000"/>
            </w14:solidFill>
          </w14:textFill>
        </w:rPr>
        <w:t xml:space="preserve">Relevant to the discussion is the question </w:t>
      </w:r>
      <w:r>
        <w:rPr>
          <w:rFonts w:ascii="Calibri" w:hAnsi="Calibri"/>
          <w:outline w:val="0"/>
          <w:color w:val="000000"/>
          <w:u w:color="000000"/>
          <w:rtl w:val="0"/>
          <w:lang w:val="en-US"/>
          <w14:textFill>
            <w14:solidFill>
              <w14:srgbClr w14:val="000000"/>
            </w14:solidFill>
          </w14:textFill>
        </w:rPr>
        <w:t xml:space="preserve">of </w:t>
      </w:r>
      <w:r>
        <w:rPr>
          <w:rFonts w:ascii="Calibri" w:hAnsi="Calibri"/>
          <w:outline w:val="0"/>
          <w:color w:val="000000"/>
          <w:u w:color="000000"/>
          <w:rtl w:val="0"/>
          <w:lang w:val="en-US"/>
          <w14:textFill>
            <w14:solidFill>
              <w14:srgbClr w14:val="000000"/>
            </w14:solidFill>
          </w14:textFill>
        </w:rPr>
        <w:t xml:space="preserve">whether judges of the Supreme Court can be expected to not have any bias or </w:t>
      </w:r>
      <w:r>
        <w:rPr>
          <w:rFonts w:ascii="Calibri" w:hAnsi="Calibri"/>
          <w:outline w:val="0"/>
          <w:color w:val="000000"/>
          <w:u w:color="000000"/>
          <w:rtl w:val="0"/>
          <w:lang w:val="en-US"/>
          <w14:textFill>
            <w14:solidFill>
              <w14:srgbClr w14:val="000000"/>
            </w14:solidFill>
          </w14:textFill>
        </w:rPr>
        <w:t>prejudice</w:t>
      </w:r>
      <w:r>
        <w:rPr>
          <w:rFonts w:ascii="Calibri" w:hAnsi="Calibri"/>
          <w:outline w:val="0"/>
          <w:color w:val="000000"/>
          <w:u w:color="000000"/>
          <w:rtl w:val="0"/>
          <w:lang w:val="en-US"/>
          <w14:textFill>
            <w14:solidFill>
              <w14:srgbClr w14:val="000000"/>
            </w14:solidFill>
          </w14:textFill>
        </w:rPr>
        <w:t xml:space="preserve"> when they are arbiters of disputes involving questions that have some moral or social angle. In this context, an argument is made by Malleson (2022) that judges do make value judgments</w:t>
      </w:r>
      <w:r>
        <w:rPr>
          <w:rFonts w:ascii="Calibri" w:hAnsi="Calibri"/>
          <w:outline w:val="0"/>
          <w:color w:val="000000"/>
          <w:u w:color="000000"/>
          <w:rtl w:val="0"/>
          <w:lang w:val="en-US"/>
          <w14:textFill>
            <w14:solidFill>
              <w14:srgbClr w14:val="000000"/>
            </w14:solidFill>
          </w14:textFill>
        </w:rPr>
        <w:t>,</w:t>
      </w:r>
      <w:r>
        <w:rPr>
          <w:rFonts w:ascii="Calibri" w:hAnsi="Calibri"/>
          <w:outline w:val="0"/>
          <w:color w:val="000000"/>
          <w:u w:color="000000"/>
          <w:rtl w:val="0"/>
          <w:lang w:val="en-US"/>
          <w14:textFill>
            <w14:solidFill>
              <w14:srgbClr w14:val="000000"/>
            </w14:solidFill>
          </w14:textFill>
        </w:rPr>
        <w:t xml:space="preserve"> especially in matters involving</w:t>
      </w:r>
      <w:r>
        <w:rPr>
          <w:rFonts w:ascii="Calibri" w:hAnsi="Calibri"/>
          <w:outline w:val="0"/>
          <w:color w:val="000000"/>
          <w:u w:color="000000"/>
          <w:shd w:val="clear" w:color="auto" w:fill="ffffff"/>
          <w:rtl w:val="0"/>
          <w:lang w:val="en-US"/>
          <w14:textFill>
            <w14:solidFill>
              <w14:srgbClr w14:val="000000"/>
            </w14:solidFill>
          </w14:textFill>
        </w:rPr>
        <w:t xml:space="preserve"> social or political issues since such matters cannot only be resolved only on the basis of technical legal arguments and may in fact allow scope for personal values of the judges to impact their decisions. This argument makes sense considering that cases often have dissenting opinions, which reflects </w:t>
      </w:r>
      <w:r>
        <w:rPr>
          <w:rFonts w:ascii="Calibri" w:hAnsi="Calibri"/>
          <w:outline w:val="0"/>
          <w:color w:val="000000"/>
          <w:u w:color="000000"/>
          <w:shd w:val="clear" w:color="auto" w:fill="ffffff"/>
          <w:rtl w:val="0"/>
          <w:lang w:val="en-US"/>
          <w14:textFill>
            <w14:solidFill>
              <w14:srgbClr w14:val="000000"/>
            </w14:solidFill>
          </w14:textFill>
        </w:rPr>
        <w:t xml:space="preserve">the </w:t>
      </w:r>
      <w:r>
        <w:rPr>
          <w:rFonts w:ascii="Calibri" w:hAnsi="Calibri"/>
          <w:outline w:val="0"/>
          <w:color w:val="000000"/>
          <w:u w:color="000000"/>
          <w:shd w:val="clear" w:color="auto" w:fill="ffffff"/>
          <w:rtl w:val="0"/>
          <w:lang w:val="en-US"/>
          <w14:textFill>
            <w14:solidFill>
              <w14:srgbClr w14:val="000000"/>
            </w14:solidFill>
          </w14:textFill>
        </w:rPr>
        <w:t xml:space="preserve">divergence of judicial opinion on important questions. Judges are not expected to have uniform views and interpretations </w:t>
      </w:r>
      <w:r>
        <w:rPr>
          <w:rFonts w:ascii="Calibri" w:hAnsi="Calibri"/>
          <w:outline w:val="0"/>
          <w:color w:val="000000"/>
          <w:u w:color="000000"/>
          <w:shd w:val="clear" w:color="auto" w:fill="ffffff"/>
          <w:rtl w:val="0"/>
          <w:lang w:val="en-US"/>
          <w14:textFill>
            <w14:solidFill>
              <w14:srgbClr w14:val="000000"/>
            </w14:solidFill>
          </w14:textFill>
        </w:rPr>
        <w:t>of</w:t>
      </w:r>
      <w:r>
        <w:rPr>
          <w:rFonts w:ascii="Calibri" w:hAnsi="Calibri"/>
          <w:outline w:val="0"/>
          <w:color w:val="000000"/>
          <w:u w:color="000000"/>
          <w:shd w:val="clear" w:color="auto" w:fill="ffffff"/>
          <w:rtl w:val="0"/>
          <w:lang w:val="en-US"/>
          <w14:textFill>
            <w14:solidFill>
              <w14:srgbClr w14:val="000000"/>
            </w14:solidFill>
          </w14:textFill>
        </w:rPr>
        <w:t xml:space="preserve"> the legal issues that come up before them. This is the reason why judges are allowed to make individual judgments even when they are sitting on the same bench and judges are also allowed to give their dissenting opinions. This shows that judges are expected to have </w:t>
      </w:r>
      <w:r>
        <w:rPr>
          <w:rFonts w:ascii="Calibri" w:hAnsi="Calibri"/>
          <w:outline w:val="0"/>
          <w:color w:val="000000"/>
          <w:u w:color="000000"/>
          <w:shd w:val="clear" w:color="auto" w:fill="ffffff"/>
          <w:rtl w:val="0"/>
          <w:lang w:val="en-US"/>
          <w14:textFill>
            <w14:solidFill>
              <w14:srgbClr w14:val="000000"/>
            </w14:solidFill>
          </w14:textFill>
        </w:rPr>
        <w:t xml:space="preserve">an </w:t>
      </w:r>
      <w:r>
        <w:rPr>
          <w:rFonts w:ascii="Calibri" w:hAnsi="Calibri"/>
          <w:outline w:val="0"/>
          <w:color w:val="000000"/>
          <w:u w:color="000000"/>
          <w:shd w:val="clear" w:color="auto" w:fill="ffffff"/>
          <w:rtl w:val="0"/>
          <w:lang w:val="en-US"/>
          <w14:textFill>
            <w14:solidFill>
              <w14:srgbClr w14:val="000000"/>
            </w14:solidFill>
          </w14:textFill>
        </w:rPr>
        <w:t xml:space="preserve">individual approach to deciding cases and it can be reasonably expected that judges are influenced by personal views as well when they adopt said individual approaches to decision making. </w:t>
      </w:r>
    </w:p>
    <w:p>
      <w:pPr>
        <w:pStyle w:val="Body"/>
        <w:spacing w:before="120" w:after="120"/>
        <w:rPr>
          <w:rFonts w:ascii="Calibri" w:cs="Calibri" w:hAnsi="Calibri" w:eastAsia="Calibri"/>
          <w:outline w:val="0"/>
          <w:color w:val="000000"/>
          <w:u w:color="000000"/>
          <w14:textFill>
            <w14:solidFill>
              <w14:srgbClr w14:val="000000"/>
            </w14:solidFill>
          </w14:textFill>
        </w:rPr>
      </w:pPr>
      <w:r>
        <w:rPr>
          <w:rFonts w:ascii="Calibri" w:hAnsi="Calibri"/>
          <w:outline w:val="0"/>
          <w:color w:val="000000"/>
          <w:u w:color="000000"/>
          <w:shd w:val="clear" w:color="auto" w:fill="ffffff"/>
          <w:rtl w:val="0"/>
          <w:lang w:val="en-US"/>
          <w14:textFill>
            <w14:solidFill>
              <w14:srgbClr w14:val="000000"/>
            </w14:solidFill>
          </w14:textFill>
        </w:rPr>
        <w:t xml:space="preserve">Considering that the judges in the Supreme Court occupy </w:t>
      </w:r>
      <w:r>
        <w:rPr>
          <w:rFonts w:ascii="Calibri" w:hAnsi="Calibri"/>
          <w:outline w:val="0"/>
          <w:color w:val="000000"/>
          <w:u w:color="000000"/>
          <w:shd w:val="clear" w:color="auto" w:fill="ffffff"/>
          <w:rtl w:val="0"/>
          <w:lang w:val="en-US"/>
          <w14:textFill>
            <w14:solidFill>
              <w14:srgbClr w14:val="000000"/>
            </w14:solidFill>
          </w14:textFill>
        </w:rPr>
        <w:t xml:space="preserve">the </w:t>
      </w:r>
      <w:r>
        <w:rPr>
          <w:rFonts w:ascii="Calibri" w:hAnsi="Calibri"/>
          <w:outline w:val="0"/>
          <w:color w:val="000000"/>
          <w:u w:color="000000"/>
          <w:shd w:val="clear" w:color="auto" w:fill="ffffff"/>
          <w:rtl w:val="0"/>
          <w:lang w:val="en-US"/>
          <w14:textFill>
            <w14:solidFill>
              <w14:srgbClr w14:val="000000"/>
            </w14:solidFill>
          </w14:textFill>
        </w:rPr>
        <w:t>prominent public position as being constituents of the UK</w:t>
      </w:r>
      <w:r>
        <w:rPr>
          <w:rFonts w:ascii="Calibri" w:hAnsi="Calibri" w:hint="default"/>
          <w:outline w:val="0"/>
          <w:color w:val="000000"/>
          <w:u w:color="000000"/>
          <w:shd w:val="clear" w:color="auto" w:fill="ffffff"/>
          <w:rtl w:val="1"/>
          <w14:textFill>
            <w14:solidFill>
              <w14:srgbClr w14:val="000000"/>
            </w14:solidFill>
          </w14:textFill>
        </w:rPr>
        <w:t>’</w:t>
      </w:r>
      <w:r>
        <w:rPr>
          <w:rFonts w:ascii="Calibri" w:hAnsi="Calibri"/>
          <w:outline w:val="0"/>
          <w:color w:val="000000"/>
          <w:u w:color="000000"/>
          <w:shd w:val="clear" w:color="auto" w:fill="ffffff"/>
          <w:rtl w:val="0"/>
          <w14:textFill>
            <w14:solidFill>
              <w14:srgbClr w14:val="000000"/>
            </w14:solidFill>
          </w14:textFill>
        </w:rPr>
        <w:t xml:space="preserve">s </w:t>
      </w:r>
      <w:r>
        <w:rPr>
          <w:rFonts w:ascii="Calibri" w:hAnsi="Calibri"/>
          <w:outline w:val="0"/>
          <w:color w:val="000000"/>
          <w:u w:color="000000"/>
          <w:rtl w:val="0"/>
          <w:lang w:val="en-US"/>
          <w14:textFill>
            <w14:solidFill>
              <w14:srgbClr w14:val="000000"/>
            </w14:solidFill>
          </w14:textFill>
        </w:rPr>
        <w:t xml:space="preserve">final court of appeal, the criteria for their appointment </w:t>
      </w:r>
      <w:r>
        <w:rPr>
          <w:rFonts w:ascii="Calibri" w:hAnsi="Calibri"/>
          <w:outline w:val="0"/>
          <w:color w:val="000000"/>
          <w:u w:color="000000"/>
          <w:rtl w:val="0"/>
          <w:lang w:val="en-US"/>
          <w14:textFill>
            <w14:solidFill>
              <w14:srgbClr w14:val="000000"/>
            </w14:solidFill>
          </w14:textFill>
        </w:rPr>
        <w:t>include</w:t>
      </w:r>
      <w:r>
        <w:rPr>
          <w:rFonts w:ascii="Calibri" w:hAnsi="Calibri"/>
          <w:outline w:val="0"/>
          <w:color w:val="000000"/>
          <w:u w:color="000000"/>
          <w:rtl w:val="0"/>
          <w:lang w:val="en-US"/>
          <w14:textFill>
            <w14:solidFill>
              <w14:srgbClr w14:val="000000"/>
            </w14:solidFill>
          </w14:textFill>
        </w:rPr>
        <w:t xml:space="preserve"> that they have exceptional </w:t>
      </w:r>
      <w:r>
        <w:rPr>
          <w:rFonts w:ascii="Calibri" w:hAnsi="Calibri" w:hint="default"/>
          <w:outline w:val="0"/>
          <w:color w:val="000000"/>
          <w:u w:color="000000"/>
          <w:rtl w:val="1"/>
          <w:lang w:val="ar-SA" w:bidi="ar-SA"/>
          <w14:textFill>
            <w14:solidFill>
              <w14:srgbClr w14:val="000000"/>
            </w14:solidFill>
          </w14:textFill>
        </w:rPr>
        <w:t>“</w:t>
      </w:r>
      <w:r>
        <w:rPr>
          <w:rFonts w:ascii="Calibri" w:hAnsi="Calibri"/>
          <w:outline w:val="0"/>
          <w:color w:val="000000"/>
          <w:u w:color="000000"/>
          <w:rtl w:val="0"/>
          <w:lang w:val="en-US"/>
          <w14:textFill>
            <w14:solidFill>
              <w14:srgbClr w14:val="000000"/>
            </w14:solidFill>
          </w14:textFill>
        </w:rPr>
        <w:t>intellectual ability and interest in the law</w:t>
      </w:r>
      <w:r>
        <w:rPr>
          <w:rFonts w:ascii="Calibri" w:hAnsi="Calibri" w:hint="default"/>
          <w:outline w:val="0"/>
          <w:color w:val="000000"/>
          <w:u w:color="000000"/>
          <w:rtl w:val="0"/>
          <w14:textFill>
            <w14:solidFill>
              <w14:srgbClr w14:val="000000"/>
            </w14:solidFill>
          </w14:textFill>
        </w:rPr>
        <w:t xml:space="preserve">” </w:t>
      </w:r>
      <w:r>
        <w:rPr>
          <w:rFonts w:ascii="Calibri" w:hAnsi="Calibri"/>
          <w:outline w:val="0"/>
          <w:color w:val="000000"/>
          <w:u w:color="000000"/>
          <w:rtl w:val="0"/>
          <w:lang w:val="en-US"/>
          <w14:textFill>
            <w14:solidFill>
              <w14:srgbClr w14:val="000000"/>
            </w14:solidFill>
          </w14:textFill>
        </w:rPr>
        <w:t xml:space="preserve">and </w:t>
      </w:r>
      <w:r>
        <w:rPr>
          <w:rFonts w:ascii="Calibri" w:hAnsi="Calibri" w:hint="default"/>
          <w:outline w:val="0"/>
          <w:color w:val="000000"/>
          <w:u w:color="000000"/>
          <w:rtl w:val="1"/>
          <w:lang w:val="ar-SA" w:bidi="ar-SA"/>
          <w14:textFill>
            <w14:solidFill>
              <w14:srgbClr w14:val="000000"/>
            </w14:solidFill>
          </w14:textFill>
        </w:rPr>
        <w:t>“</w:t>
      </w:r>
      <w:r>
        <w:rPr>
          <w:rFonts w:ascii="Calibri" w:hAnsi="Calibri"/>
          <w:outline w:val="0"/>
          <w:color w:val="000000"/>
          <w:u w:color="000000"/>
          <w:rtl w:val="0"/>
          <w:lang w:val="en-US"/>
          <w14:textFill>
            <w14:solidFill>
              <w14:srgbClr w14:val="000000"/>
            </w14:solidFill>
          </w14:textFill>
        </w:rPr>
        <w:t>appreciation of the developing nature of the constitution and law</w:t>
      </w:r>
      <w:r>
        <w:rPr>
          <w:rFonts w:ascii="Calibri" w:hAnsi="Calibri" w:hint="default"/>
          <w:outline w:val="0"/>
          <w:color w:val="000000"/>
          <w:u w:color="000000"/>
          <w:rtl w:val="0"/>
          <w14:textFill>
            <w14:solidFill>
              <w14:srgbClr w14:val="000000"/>
            </w14:solidFill>
          </w14:textFill>
        </w:rPr>
        <w:t>”</w:t>
      </w:r>
      <w:r>
        <w:rPr>
          <w:rFonts w:ascii="Calibri" w:cs="Calibri" w:hAnsi="Calibri" w:eastAsia="Calibri"/>
          <w:outline w:val="0"/>
          <w:color w:val="000000"/>
          <w:u w:color="000000"/>
          <w14:textFill>
            <w14:solidFill>
              <w14:srgbClr w14:val="000000"/>
            </w14:solidFill>
          </w14:textFill>
        </w:rPr>
        <w:fldChar w:fldCharType="begin" w:fldLock="0"/>
      </w:r>
      <w:r>
        <w:rPr>
          <w:rFonts w:ascii="Calibri" w:cs="Calibri" w:hAnsi="Calibri" w:eastAsia="Calibri"/>
          <w:outline w:val="0"/>
          <w:color w:val="000000"/>
          <w:u w:color="000000"/>
          <w14:textFill>
            <w14:solidFill>
              <w14:srgbClr w14:val="000000"/>
            </w14:solidFill>
          </w14:textFill>
        </w:rPr>
        <w:instrText xml:space="preserve"> ADDIN EN.CITE &lt;EndNote&gt;&lt;Cite ExcludeAuth="1" &gt;&lt;Year&gt;2017 &lt;/Year&gt;&lt;DisplayText&gt; (UK Supreme Court, 2017 )&lt;/DisplayText&gt;&lt;record&gt;&lt;ref-type name="Electronic Article"&gt;43&lt;/ref-type&gt;&lt;contributors&gt;&lt;authors/&gt;&lt;/contributors&gt;&lt;titles/&gt;&lt;title&gt;Information Pack: Vacancies for Appointment as President of the Supreme Court [and] Justice of The Supreme Court&lt;/title&gt;&lt;periodical/&gt;&lt;dates&gt;&lt;year&gt;2017 &lt;/year&gt;&lt;pub-dates/&gt;&lt;/dates&gt;&lt;/record&gt;&lt;/Cite&gt;&lt;/EndNote&gt;</w:instrText>
      </w:r>
      <w:r>
        <w:rPr>
          <w:rFonts w:ascii="Calibri" w:cs="Calibri" w:hAnsi="Calibri" w:eastAsia="Calibri"/>
          <w:outline w:val="0"/>
          <w:color w:val="000000"/>
          <w:u w:color="000000"/>
          <w14:textFill>
            <w14:solidFill>
              <w14:srgbClr w14:val="000000"/>
            </w14:solidFill>
          </w14:textFill>
        </w:rPr>
        <w:fldChar w:fldCharType="separate" w:fldLock="0"/>
      </w:r>
      <w:r>
        <w:rPr>
          <w:rFonts w:ascii="Calibri" w:hAnsi="Calibri"/>
          <w:outline w:val="0"/>
          <w:color w:val="000000"/>
          <w:u w:color="000000"/>
          <w:rtl w:val="0"/>
          <w:lang w:val="en-US"/>
          <w14:textFill>
            <w14:solidFill>
              <w14:srgbClr w14:val="000000"/>
            </w14:solidFill>
          </w14:textFill>
        </w:rPr>
        <w:t xml:space="preserve"> (UK Supreme Court, 2017 )</w:t>
      </w:r>
      <w:r>
        <w:rPr>
          <w:rFonts w:ascii="Calibri" w:cs="Calibri" w:hAnsi="Calibri" w:eastAsia="Calibri"/>
          <w:outline w:val="0"/>
          <w:color w:val="000000"/>
          <w:u w:color="000000"/>
          <w14:textFill>
            <w14:solidFill>
              <w14:srgbClr w14:val="000000"/>
            </w14:solidFill>
          </w14:textFill>
        </w:rPr>
        <w:fldChar w:fldCharType="end" w:fldLock="0"/>
      </w:r>
      <w:r>
        <w:rPr>
          <w:rFonts w:ascii="Calibri" w:hAnsi="Calibri"/>
          <w:outline w:val="0"/>
          <w:color w:val="000000"/>
          <w:u w:color="000000"/>
          <w:rtl w:val="0"/>
          <w:lang w:val="en-US"/>
          <w14:textFill>
            <w14:solidFill>
              <w14:srgbClr w14:val="000000"/>
            </w14:solidFill>
          </w14:textFill>
        </w:rPr>
        <w:t xml:space="preserve">. Also significant is the fact that the mandate of the </w:t>
      </w:r>
      <w:r>
        <w:rPr>
          <w:rStyle w:val="legamendingtext"/>
          <w:rtl w:val="0"/>
          <w:lang w:val="en-US"/>
        </w:rPr>
        <w:t xml:space="preserve">Judicial Appointments Commission </w:t>
      </w:r>
      <w:r>
        <w:rPr>
          <w:rStyle w:val="legamendingtext"/>
          <w:rtl w:val="1"/>
          <w:lang w:val="ar-SA" w:bidi="ar-SA"/>
        </w:rPr>
        <w:t>“</w:t>
      </w:r>
      <w:r>
        <w:rPr>
          <w:rStyle w:val="legamendingtext"/>
          <w:rtl w:val="0"/>
          <w:lang w:val="en-US"/>
        </w:rPr>
        <w:t>is to operate a transparent system based on applications and appointment on merit, and to increase the diversity of those applying for judicial office</w:t>
      </w:r>
      <w:r>
        <w:rPr>
          <w:rStyle w:val="legamendingtext"/>
          <w:rtl w:val="0"/>
        </w:rPr>
        <w:t>”</w:t>
      </w:r>
      <w:r>
        <w:rPr>
          <w:rStyle w:val="legamendingtext"/>
        </w:rPr>
        <w:fldChar w:fldCharType="begin" w:fldLock="0"/>
      </w:r>
      <w:r>
        <w:rPr>
          <w:rStyle w:val="legamendingtext"/>
        </w:rPr>
        <w:instrText xml:space="preserve"> ADDIN EN.CITE &lt;EndNote&gt;&lt;Cite  &gt;&lt;Author&gt;Rosemary Hunter&lt;/Author&gt;&lt;Year&gt;2015&lt;/Year&gt;&lt;Pages&gt;119-141&lt;/Pages&gt;&lt;DisplayText&gt; (Hunter, 2015, p. 119)&lt;/DisplayText&gt;&lt;record&gt;&lt;ref-type name="Journal Article"&gt;17&lt;/ref-type&gt;&lt;contributors&gt;&lt;authors&gt;&lt;author&gt;Rosemary Hunter&lt;/author&gt;&lt;/authors&gt;&lt;/contributors&gt;&lt;titles/&gt;&lt;title&gt;More than just a different face? Judicial diversity and decision-making&lt;/title&gt;&lt;periodical/&gt;&lt;pages&gt;119-141&lt;/pages&gt;&lt;volume&gt;68&lt;/volume&gt;&lt;dates&gt;&lt;year&gt;2015&lt;/year&gt;&lt;pub-dates/&gt;&lt;/dates&gt;&lt;/record&gt;&lt;/Cite&gt;&lt;/EndNote&gt;</w:instrText>
      </w:r>
      <w:r>
        <w:rPr>
          <w:rStyle w:val="legamendingtext"/>
        </w:rPr>
        <w:fldChar w:fldCharType="separate" w:fldLock="0"/>
      </w:r>
      <w:r>
        <w:rPr>
          <w:rStyle w:val="legamendingtext"/>
          <w:rtl w:val="0"/>
          <w:lang w:val="de-DE"/>
        </w:rPr>
        <w:t xml:space="preserve"> (Hunter, 2015, p. 119)</w:t>
      </w:r>
      <w:r>
        <w:rPr>
          <w:rStyle w:val="legamendingtext"/>
        </w:rPr>
        <w:fldChar w:fldCharType="end" w:fldLock="0"/>
      </w:r>
      <w:r>
        <w:rPr>
          <w:rStyle w:val="legamendingtext"/>
          <w:rtl w:val="0"/>
        </w:rPr>
        <w:t>.</w:t>
      </w:r>
      <w:r>
        <w:rPr>
          <w:rFonts w:ascii="Calibri" w:hAnsi="Calibri"/>
          <w:outline w:val="0"/>
          <w:color w:val="000000"/>
          <w:u w:color="000000"/>
          <w:rtl w:val="0"/>
          <w:lang w:val="en-US"/>
          <w14:textFill>
            <w14:solidFill>
              <w14:srgbClr w14:val="000000"/>
            </w14:solidFill>
          </w14:textFill>
        </w:rPr>
        <w:t xml:space="preserve"> Apart from this, there are laws that regulate the method of appointment of Supreme Court judges, which also indicate that there is already building consensus on increasing diversity in the Supreme Court. </w:t>
      </w:r>
    </w:p>
    <w:p>
      <w:pPr>
        <w:pStyle w:val="Body"/>
        <w:spacing w:before="120" w:after="120"/>
        <w:rPr>
          <w:rFonts w:ascii="Calibri" w:cs="Calibri" w:hAnsi="Calibri" w:eastAsia="Calibri"/>
          <w:outline w:val="0"/>
          <w:color w:val="000000"/>
          <w:u w:color="000000"/>
          <w14:textFill>
            <w14:solidFill>
              <w14:srgbClr w14:val="000000"/>
            </w14:solidFill>
          </w14:textFill>
        </w:rPr>
      </w:pPr>
      <w:r>
        <w:rPr>
          <w:rFonts w:ascii="Calibri" w:hAnsi="Calibri"/>
          <w:outline w:val="0"/>
          <w:color w:val="000000"/>
          <w:u w:color="000000"/>
          <w:rtl w:val="0"/>
          <w:lang w:val="en-US"/>
          <w14:textFill>
            <w14:solidFill>
              <w14:srgbClr w14:val="000000"/>
            </w14:solidFill>
          </w14:textFill>
        </w:rPr>
        <w:t xml:space="preserve">The Constitutional Reform Act 2005, which has been amended by the Crime and Courts Act 2013 provides the relevant procedure for </w:t>
      </w:r>
      <w:r>
        <w:rPr>
          <w:rFonts w:ascii="Calibri" w:hAnsi="Calibri"/>
          <w:outline w:val="0"/>
          <w:color w:val="000000"/>
          <w:u w:color="000000"/>
          <w:rtl w:val="0"/>
          <w:lang w:val="en-US"/>
          <w14:textFill>
            <w14:solidFill>
              <w14:srgbClr w14:val="000000"/>
            </w14:solidFill>
          </w14:textFill>
        </w:rPr>
        <w:t xml:space="preserve">the </w:t>
      </w:r>
      <w:r>
        <w:rPr>
          <w:rFonts w:ascii="Calibri" w:hAnsi="Calibri"/>
          <w:outline w:val="0"/>
          <w:color w:val="000000"/>
          <w:u w:color="000000"/>
          <w:rtl w:val="0"/>
          <w:lang w:val="en-US"/>
          <w14:textFill>
            <w14:solidFill>
              <w14:srgbClr w14:val="000000"/>
            </w14:solidFill>
          </w14:textFill>
        </w:rPr>
        <w:t xml:space="preserve">appointment of Supreme Court judges. Of special significance is Section 27(5A), which was inserted by the Crime and Courts Act 2013, and which provides that in the event that the </w:t>
      </w:r>
      <w:r>
        <w:rPr>
          <w:rFonts w:ascii="Calibri" w:hAnsi="Calibri"/>
          <w:outline w:val="0"/>
          <w:color w:val="000000"/>
          <w:u w:color="000000"/>
          <w:rtl w:val="0"/>
          <w:lang w:val="en-US"/>
          <w14:textFill>
            <w14:solidFill>
              <w14:srgbClr w14:val="000000"/>
            </w14:solidFill>
          </w14:textFill>
        </w:rPr>
        <w:t>election</w:t>
      </w:r>
      <w:r>
        <w:rPr>
          <w:rFonts w:ascii="Calibri" w:hAnsi="Calibri"/>
          <w:outline w:val="0"/>
          <w:color w:val="000000"/>
          <w:u w:color="000000"/>
          <w:rtl w:val="0"/>
          <w:lang w:val="en-US"/>
          <w14:textFill>
            <w14:solidFill>
              <w14:srgbClr w14:val="000000"/>
            </w14:solidFill>
          </w14:textFill>
        </w:rPr>
        <w:t xml:space="preserve"> commission of the Supreme Court finds that there are two candidates for the appointment as justices and they are of equal merit, the commission may make a choice of preferring one candidate over the other on the ground of increasing diversity in the Supreme Court. Clearly then, there is building consensus on increasing diversity in the Supreme Court. This developing consensus reflects the understanding that increasing diversity in the Supreme Court is important and relevant and that it is not enough that the judges are legal experts but also that there is </w:t>
      </w:r>
      <w:r>
        <w:rPr>
          <w:rFonts w:ascii="Calibri" w:hAnsi="Calibri"/>
          <w:outline w:val="0"/>
          <w:color w:val="000000"/>
          <w:u w:color="000000"/>
          <w:rtl w:val="0"/>
          <w:lang w:val="en-US"/>
          <w14:textFill>
            <w14:solidFill>
              <w14:srgbClr w14:val="000000"/>
            </w14:solidFill>
          </w14:textFill>
        </w:rPr>
        <w:t xml:space="preserve">a </w:t>
      </w:r>
      <w:r>
        <w:rPr>
          <w:rFonts w:ascii="Calibri" w:hAnsi="Calibri"/>
          <w:outline w:val="0"/>
          <w:color w:val="000000"/>
          <w:u w:color="000000"/>
          <w:rtl w:val="0"/>
          <w:lang w:val="en-US"/>
          <w14:textFill>
            <w14:solidFill>
              <w14:srgbClr w14:val="000000"/>
            </w14:solidFill>
          </w14:textFill>
        </w:rPr>
        <w:t xml:space="preserve">representation of certain groups in the Supreme Court. </w:t>
      </w:r>
    </w:p>
    <w:p>
      <w:pPr>
        <w:pStyle w:val="Body"/>
        <w:spacing w:before="120" w:after="120"/>
        <w:rPr>
          <w:rFonts w:ascii="Calibri" w:cs="Calibri" w:hAnsi="Calibri" w:eastAsia="Calibri"/>
        </w:rPr>
      </w:pPr>
      <w:r>
        <w:rPr>
          <w:rFonts w:ascii="Calibri" w:hAnsi="Calibri"/>
          <w:outline w:val="0"/>
          <w:color w:val="000000"/>
          <w:u w:color="000000"/>
          <w:rtl w:val="0"/>
          <w:lang w:val="en-US"/>
          <w14:textFill>
            <w14:solidFill>
              <w14:srgbClr w14:val="000000"/>
            </w14:solidFill>
          </w14:textFill>
        </w:rPr>
        <w:t xml:space="preserve">Does that mean that increasing </w:t>
      </w:r>
      <w:r>
        <w:rPr>
          <w:rFonts w:ascii="Calibri" w:hAnsi="Calibri"/>
          <w:outline w:val="0"/>
          <w:color w:val="000000"/>
          <w:u w:color="000000"/>
          <w:rtl w:val="0"/>
          <w:lang w:val="en-US"/>
          <w14:textFill>
            <w14:solidFill>
              <w14:srgbClr w14:val="000000"/>
            </w14:solidFill>
          </w14:textFill>
        </w:rPr>
        <w:t xml:space="preserve">the </w:t>
      </w:r>
      <w:r>
        <w:rPr>
          <w:rFonts w:ascii="Calibri" w:hAnsi="Calibri"/>
          <w:outline w:val="0"/>
          <w:color w:val="000000"/>
          <w:u w:color="000000"/>
          <w:rtl w:val="0"/>
          <w:lang w:val="en-US"/>
          <w14:textFill>
            <w14:solidFill>
              <w14:srgbClr w14:val="000000"/>
            </w14:solidFill>
          </w14:textFill>
        </w:rPr>
        <w:t xml:space="preserve">representation of certain groups may lead to an impact on outcomes in cases before the Supreme Court? This is a relevant question since there may be an argument that certain unrepresented groups, particularly, groups on the basis of gender and ethnicity, will be better served in the protection of their interests if there is increased representation for them in the Supreme Court. In this context, there is literature that suggests that </w:t>
      </w:r>
      <w:r>
        <w:rPr>
          <w:rFonts w:ascii="Calibri" w:hAnsi="Calibri"/>
          <w:rtl w:val="0"/>
          <w:lang w:val="en-US"/>
        </w:rPr>
        <w:t xml:space="preserve">judges are impacted by their moral opinions and personal views </w:t>
      </w:r>
      <w:r>
        <w:rPr>
          <w:rFonts w:ascii="Calibri" w:cs="Calibri" w:hAnsi="Calibri" w:eastAsia="Calibri"/>
        </w:rPr>
        <w:fldChar w:fldCharType="begin" w:fldLock="0"/>
      </w:r>
      <w:r>
        <w:rPr>
          <w:rFonts w:ascii="Calibri" w:cs="Calibri" w:hAnsi="Calibri" w:eastAsia="Calibri"/>
        </w:rPr>
        <w:instrText xml:space="preserve"> ADDIN EN.CITE &lt;EndNote&gt;&lt;Cite  &gt;&lt;Author&gt;Brice Dickson&lt;/Author&gt;&lt;Year&gt;2007&lt;/Year&gt;&lt;Pages&gt;571&lt;/Pages&gt;&lt;DisplayText&gt;(Dickson, 2007)&lt;/DisplayText&gt;&lt;record&gt;&lt;ref-type name="Journal Article"&gt;17&lt;/ref-type&gt;&lt;contributors&gt;&lt;authors&gt;&lt;author&gt;Brice Dickson&lt;/author&gt;&lt;/authors&gt;&lt;/contributors&gt;&lt;titles/&gt;&lt;title&gt;The Processing of Appeals in the House of Lords&lt;/title&gt;&lt;periodical/&gt;&lt;pages&gt;571&lt;/pages&gt;&lt;volume&gt;123&lt;/volume&gt;&lt;dates&gt;&lt;year&gt;2007&lt;/year&gt;&lt;pub-dates/&gt;&lt;/dates&gt;&lt;/record&gt;&lt;/Cite&gt;&lt;/EndNote&gt;</w:instrText>
      </w:r>
      <w:r>
        <w:rPr>
          <w:rFonts w:ascii="Calibri" w:cs="Calibri" w:hAnsi="Calibri" w:eastAsia="Calibri"/>
        </w:rPr>
        <w:fldChar w:fldCharType="separate" w:fldLock="0"/>
      </w:r>
      <w:r>
        <w:rPr>
          <w:rFonts w:ascii="Calibri" w:hAnsi="Calibri"/>
          <w:rtl w:val="0"/>
        </w:rPr>
        <w:t>(Dickson, 2007)</w:t>
      </w:r>
      <w:r>
        <w:rPr>
          <w:rFonts w:ascii="Calibri" w:cs="Calibri" w:hAnsi="Calibri" w:eastAsia="Calibri"/>
        </w:rPr>
        <w:fldChar w:fldCharType="end" w:fldLock="0"/>
      </w:r>
      <w:r>
        <w:rPr>
          <w:rFonts w:ascii="Calibri" w:hAnsi="Calibri"/>
          <w:rtl w:val="0"/>
          <w:lang w:val="en-US"/>
        </w:rPr>
        <w:t>. Although judges in the UK may not be as apparently driven by their personal ideology as is the case in the US Supreme Court, which is often divided into groups of conservative and liberal judges</w:t>
      </w:r>
      <w:r>
        <w:rPr>
          <w:rFonts w:ascii="Calibri" w:hAnsi="Calibri"/>
          <w:outline w:val="0"/>
          <w:color w:val="000000"/>
          <w:u w:color="000000"/>
          <w:shd w:val="clear" w:color="auto" w:fill="ffffff"/>
          <w:rtl w:val="0"/>
          <w14:textFill>
            <w14:solidFill>
              <w14:srgbClr w14:val="000000"/>
            </w14:solidFill>
          </w14:textFill>
        </w:rPr>
        <w:t xml:space="preserve"> </w:t>
      </w:r>
      <w:r>
        <w:rPr>
          <w:rFonts w:ascii="Calibri" w:cs="Calibri" w:hAnsi="Calibri" w:eastAsia="Calibri"/>
        </w:rPr>
        <w:fldChar w:fldCharType="begin" w:fldLock="0"/>
      </w:r>
      <w:r>
        <w:rPr>
          <w:rFonts w:ascii="Calibri" w:cs="Calibri" w:hAnsi="Calibri" w:eastAsia="Calibri"/>
        </w:rPr>
        <w:instrText xml:space="preserve"> ADDIN EN.CITE &lt;EndNote&gt;&lt;Cite  &gt;&lt;Author&gt;T. Arvind&lt;/Author&gt;&lt;Year&gt;2016 &lt;/Year&gt;&lt;Pages&gt;418&lt;/Pages&gt;&lt;DisplayText&gt;(Arvind &amp; Stirton, 2016 )&lt;/DisplayText&gt;&lt;record&gt;&lt;ref-type name="Journal Article"&gt;17&lt;/ref-type&gt;&lt;contributors&gt;&lt;authors&gt;&lt;author&gt;T. Arvind&lt;/author&gt;&lt;/authors&gt;&lt;/contributors&gt;&lt;titles/&gt;&lt;title&gt;Legal Ideology, Legal Doctrine and the UK's Top Judges&lt;/title&gt;&lt;periodical/&gt;&lt;pages&gt;418&lt;/pages&gt;&lt;dates&gt;&lt;year&gt;2016 &lt;/year&gt;&lt;pub-dates/&gt;&lt;/dates&gt;&lt;/record&gt;&lt;/Cite&gt;&lt;/EndNote&gt;</w:instrText>
      </w:r>
      <w:r>
        <w:rPr>
          <w:rFonts w:ascii="Calibri" w:cs="Calibri" w:hAnsi="Calibri" w:eastAsia="Calibri"/>
        </w:rPr>
        <w:fldChar w:fldCharType="separate" w:fldLock="0"/>
      </w:r>
      <w:r>
        <w:rPr>
          <w:rFonts w:ascii="Calibri" w:hAnsi="Calibri"/>
          <w:rtl w:val="0"/>
          <w:lang w:val="da-DK"/>
        </w:rPr>
        <w:t>(Arvind &amp; Stirton, 2016 )</w:t>
      </w:r>
      <w:r>
        <w:rPr>
          <w:rFonts w:ascii="Calibri" w:cs="Calibri" w:hAnsi="Calibri" w:eastAsia="Calibri"/>
        </w:rPr>
        <w:fldChar w:fldCharType="end" w:fldLock="0"/>
      </w:r>
      <w:r>
        <w:rPr>
          <w:rFonts w:ascii="Calibri" w:hAnsi="Calibri"/>
          <w:rtl w:val="0"/>
          <w:lang w:val="en-US"/>
        </w:rPr>
        <w:t xml:space="preserve">, personal philosophy or premises of the judges in the UK Supreme Court is also a possibility </w:t>
      </w:r>
      <w:r>
        <w:rPr>
          <w:rFonts w:ascii="Calibri" w:cs="Calibri" w:hAnsi="Calibri" w:eastAsia="Calibri"/>
        </w:rPr>
        <w:fldChar w:fldCharType="begin" w:fldLock="0"/>
      </w:r>
      <w:r>
        <w:rPr>
          <w:rFonts w:ascii="Calibri" w:cs="Calibri" w:hAnsi="Calibri" w:eastAsia="Calibri"/>
        </w:rPr>
        <w:instrText xml:space="preserve"> ADDIN EN.CITE &lt;EndNote&gt;&lt;Cite  &gt;&lt;Author&gt;R. Stevens&lt;/Author&gt;&lt;Year&gt;2005&lt;/Year&gt;&lt;DisplayText&gt;(Stevens, 2005)&lt;/DisplayText&gt;&lt;record&gt;&lt;ref-type name="Book"&gt;6&lt;/ref-type&gt;&lt;contributors&gt;&lt;authors&gt;&lt;author&gt;R. Stevens&lt;/author&gt;&lt;/authors&gt;&lt;/contributors&gt;&lt;titles/&gt;&lt;title&gt;The English Judges: Their Role in the Changing Constitution &lt;/title&gt;&lt;periodical/&gt;&lt;dates&gt;&lt;year&gt;2005&lt;/year&gt;&lt;pub-dates/&gt;&lt;/dates&gt;&lt;/record&gt;&lt;/Cite&gt;&lt;/EndNote&gt;</w:instrText>
      </w:r>
      <w:r>
        <w:rPr>
          <w:rFonts w:ascii="Calibri" w:cs="Calibri" w:hAnsi="Calibri" w:eastAsia="Calibri"/>
        </w:rPr>
        <w:fldChar w:fldCharType="separate" w:fldLock="0"/>
      </w:r>
      <w:r>
        <w:rPr>
          <w:rFonts w:ascii="Calibri" w:hAnsi="Calibri"/>
          <w:rtl w:val="0"/>
        </w:rPr>
        <w:t>(Stevens, 2005)</w:t>
      </w:r>
      <w:r>
        <w:rPr>
          <w:rFonts w:ascii="Calibri" w:cs="Calibri" w:hAnsi="Calibri" w:eastAsia="Calibri"/>
        </w:rPr>
        <w:fldChar w:fldCharType="end" w:fldLock="0"/>
      </w:r>
      <w:r>
        <w:rPr>
          <w:rFonts w:ascii="Calibri" w:hAnsi="Calibri"/>
          <w:rtl w:val="0"/>
          <w:lang w:val="en-US"/>
        </w:rPr>
        <w:t xml:space="preserve">. In such a scenario, a case can be made for increasing diversity in the UK Supreme Court on the basis that there can be diversity in values when there is diversity in demographics </w:t>
      </w:r>
      <w:r>
        <w:rPr>
          <w:rFonts w:ascii="Calibri" w:cs="Calibri" w:hAnsi="Calibri" w:eastAsia="Calibri"/>
        </w:rPr>
        <w:fldChar w:fldCharType="begin" w:fldLock="0"/>
      </w:r>
      <w:r>
        <w:rPr>
          <w:rFonts w:ascii="Calibri" w:cs="Calibri" w:hAnsi="Calibri" w:eastAsia="Calibri"/>
        </w:rPr>
        <w:instrText xml:space="preserve"> ADDIN EN.CITE &lt;EndNote&gt;&lt;Cite  &gt;&lt;Author&gt;Kate Malleson&lt;/Author&gt;&lt;Year&gt;2022&lt;/Year&gt;&lt;Pages&gt;3-22&lt;/Pages&gt;&lt;DisplayText&gt;(Malleson, 2022)&lt;/DisplayText&gt;&lt;record&gt;&lt;ref-type name="Journal Article"&gt;17&lt;/ref-type&gt;&lt;contributors&gt;&lt;authors&gt;&lt;author&gt;Kate Malleson&lt;/author&gt;&lt;/authors&gt;&lt;/contributors&gt;&lt;titles/&gt;&lt;title&gt;Values diversity in the United Kingdom Supreme Court: abandoning the ‘don't-ask-don't-tell’ policy&lt;/title&gt;&lt;periodical/&gt;&lt;pages&gt;3-22&lt;/pages&gt;&lt;volume&gt;49&lt;/volume&gt;&lt;dates&gt;&lt;year&gt;2022&lt;/year&gt;&lt;pub-dates/&gt;&lt;/dates&gt;&lt;/record&gt;&lt;/Cite&gt;&lt;/EndNote&gt;</w:instrText>
      </w:r>
      <w:r>
        <w:rPr>
          <w:rFonts w:ascii="Calibri" w:cs="Calibri" w:hAnsi="Calibri" w:eastAsia="Calibri"/>
        </w:rPr>
        <w:fldChar w:fldCharType="separate" w:fldLock="0"/>
      </w:r>
      <w:r>
        <w:rPr>
          <w:rFonts w:ascii="Calibri" w:hAnsi="Calibri"/>
          <w:rtl w:val="0"/>
          <w:lang w:val="it-IT"/>
        </w:rPr>
        <w:t>(Malleson, 2022)</w:t>
      </w:r>
      <w:r>
        <w:rPr>
          <w:rFonts w:ascii="Calibri" w:cs="Calibri" w:hAnsi="Calibri" w:eastAsia="Calibri"/>
        </w:rPr>
        <w:fldChar w:fldCharType="end" w:fldLock="0"/>
      </w:r>
      <w:r>
        <w:rPr>
          <w:rFonts w:ascii="Calibri" w:hAnsi="Calibri"/>
          <w:rtl w:val="0"/>
        </w:rPr>
        <w:t xml:space="preserve">. </w:t>
      </w:r>
    </w:p>
    <w:p>
      <w:pPr>
        <w:pStyle w:val="Body"/>
        <w:spacing w:before="120" w:after="120"/>
        <w:rPr>
          <w:rFonts w:ascii="Calibri" w:cs="Calibri" w:hAnsi="Calibri" w:eastAsia="Calibri"/>
          <w:outline w:val="0"/>
          <w:color w:val="000000"/>
          <w:u w:color="000000"/>
          <w:shd w:val="clear" w:color="auto" w:fill="ffffff"/>
          <w14:textFill>
            <w14:solidFill>
              <w14:srgbClr w14:val="000000"/>
            </w14:solidFill>
          </w14:textFill>
        </w:rPr>
      </w:pPr>
      <w:r>
        <w:rPr>
          <w:rFonts w:ascii="Calibri" w:hAnsi="Calibri"/>
          <w:rtl w:val="0"/>
          <w:lang w:val="en-US"/>
        </w:rPr>
        <w:t xml:space="preserve">There is some evidence of ideological influence in Supreme Courts across the world, which is explained as </w:t>
      </w:r>
      <w:r>
        <w:rPr>
          <w:rFonts w:ascii="Calibri" w:hAnsi="Calibri" w:hint="default"/>
          <w:rtl w:val="1"/>
        </w:rPr>
        <w:t>‘</w:t>
      </w:r>
      <w:r>
        <w:rPr>
          <w:rFonts w:ascii="Calibri" w:hAnsi="Calibri"/>
          <w:rtl w:val="0"/>
          <w:lang w:val="en-US"/>
        </w:rPr>
        <w:t>attitudinal influence,</w:t>
      </w:r>
      <w:r>
        <w:rPr>
          <w:rFonts w:ascii="Calibri" w:hAnsi="Calibri" w:hint="default"/>
          <w:rtl w:val="1"/>
        </w:rPr>
        <w:t xml:space="preserve">’ </w:t>
      </w:r>
      <w:r>
        <w:rPr>
          <w:rFonts w:ascii="Calibri" w:hAnsi="Calibri"/>
          <w:rtl w:val="0"/>
          <w:lang w:val="en-US"/>
        </w:rPr>
        <w:t xml:space="preserve">that is, </w:t>
      </w:r>
      <w:r>
        <w:rPr>
          <w:rFonts w:ascii="Calibri" w:hAnsi="Calibri"/>
          <w:rtl w:val="0"/>
          <w:lang w:val="en-US"/>
        </w:rPr>
        <w:t xml:space="preserve">the </w:t>
      </w:r>
      <w:r>
        <w:rPr>
          <w:rFonts w:ascii="Calibri" w:hAnsi="Calibri"/>
          <w:rtl w:val="0"/>
          <w:lang w:val="en-US"/>
        </w:rPr>
        <w:t xml:space="preserve">influence of personal attitudes in judicial </w:t>
      </w:r>
      <w:r>
        <w:rPr>
          <w:rFonts w:ascii="Calibri" w:hAnsi="Calibri"/>
          <w:rtl w:val="0"/>
          <w:lang w:val="en-US"/>
        </w:rPr>
        <w:t>law-making</w:t>
      </w:r>
      <w:r>
        <w:rPr>
          <w:rFonts w:ascii="Calibri" w:hAnsi="Calibri"/>
          <w:rtl w:val="0"/>
        </w:rPr>
        <w:t xml:space="preserve"> </w:t>
      </w:r>
      <w:r>
        <w:rPr>
          <w:rFonts w:ascii="Calibri" w:cs="Calibri" w:hAnsi="Calibri" w:eastAsia="Calibri"/>
          <w:outline w:val="0"/>
          <w:color w:val="000000"/>
          <w:u w:color="000000"/>
          <w:shd w:val="clear" w:color="auto" w:fill="ffffff"/>
          <w14:textFill>
            <w14:solidFill>
              <w14:srgbClr w14:val="000000"/>
            </w14:solidFill>
          </w14:textFill>
        </w:rPr>
        <w:fldChar w:fldCharType="begin" w:fldLock="0"/>
      </w:r>
      <w:r>
        <w:rPr>
          <w:rFonts w:ascii="Calibri" w:cs="Calibri" w:hAnsi="Calibri" w:eastAsia="Calibri"/>
          <w:outline w:val="0"/>
          <w:color w:val="000000"/>
          <w:u w:color="000000"/>
          <w:shd w:val="clear" w:color="auto" w:fill="ffffff"/>
          <w14:textFill>
            <w14:solidFill>
              <w14:srgbClr w14:val="000000"/>
            </w14:solidFill>
          </w14:textFill>
        </w:rPr>
        <w:instrText xml:space="preserve"> ADDIN EN.CITE &lt;EndNote&gt;&lt;Cite  &gt;&lt;Author&gt;Keren Weinshall&lt;/Author&gt;&lt;Year&gt;2018&lt;/Year&gt;&lt;Pages&gt;334-352&lt;/Pages&gt;&lt;DisplayText&gt;(Weinshall, et al., 2018)&lt;/DisplayText&gt;&lt;record&gt;&lt;ref-type name="Journal Article"&gt;17&lt;/ref-type&gt;&lt;contributors&gt;&lt;authors&gt;&lt;author&gt;Keren Weinshall&lt;/author&gt;&lt;/authors&gt;&lt;/contributors&gt;&lt;titles/&gt;&lt;title&gt;Ideological influences on governance and regulation: The comparative case of supreme courts&lt;/title&gt;&lt;periodical/&gt;&lt;pages&gt;334-352&lt;/pages&gt;&lt;volume&gt;12&lt;/volume&gt;&lt;dates&gt;&lt;year&gt;2018&lt;/year&gt;&lt;pub-dates/&gt;&lt;/dates&gt;&lt;/record&gt;&lt;/Cite&gt;&lt;/EndNote&gt;</w:instrText>
      </w:r>
      <w:r>
        <w:rPr>
          <w:rFonts w:ascii="Calibri" w:cs="Calibri" w:hAnsi="Calibri" w:eastAsia="Calibri"/>
          <w:outline w:val="0"/>
          <w:color w:val="000000"/>
          <w:u w:color="000000"/>
          <w:shd w:val="clear" w:color="auto" w:fill="ffffff"/>
          <w14:textFill>
            <w14:solidFill>
              <w14:srgbClr w14:val="000000"/>
            </w14:solidFill>
          </w14:textFill>
        </w:rPr>
        <w:fldChar w:fldCharType="separate" w:fldLock="0"/>
      </w:r>
      <w:r>
        <w:rPr>
          <w:rFonts w:ascii="Calibri" w:hAnsi="Calibri"/>
          <w:outline w:val="0"/>
          <w:color w:val="000000"/>
          <w:u w:color="000000"/>
          <w:shd w:val="clear" w:color="auto" w:fill="ffffff"/>
          <w:rtl w:val="0"/>
          <w14:textFill>
            <w14:solidFill>
              <w14:srgbClr w14:val="000000"/>
            </w14:solidFill>
          </w14:textFill>
        </w:rPr>
        <w:t>(Weinshall, et al., 2018)</w:t>
      </w:r>
      <w:r>
        <w:rPr>
          <w:rFonts w:ascii="Calibri" w:cs="Calibri" w:hAnsi="Calibri" w:eastAsia="Calibri"/>
          <w:outline w:val="0"/>
          <w:color w:val="000000"/>
          <w:u w:color="000000"/>
          <w:shd w:val="clear" w:color="auto" w:fill="ffffff"/>
          <w14:textFill>
            <w14:solidFill>
              <w14:srgbClr w14:val="000000"/>
            </w14:solidFill>
          </w14:textFill>
        </w:rPr>
        <w:fldChar w:fldCharType="end" w:fldLock="0"/>
      </w:r>
      <w:r>
        <w:rPr>
          <w:rFonts w:ascii="Calibri" w:hAnsi="Calibri"/>
          <w:outline w:val="0"/>
          <w:color w:val="000000"/>
          <w:u w:color="000000"/>
          <w:shd w:val="clear" w:color="auto" w:fill="ffffff"/>
          <w:rtl w:val="0"/>
          <w:lang w:val="en-US"/>
          <w14:textFill>
            <w14:solidFill>
              <w14:srgbClr w14:val="000000"/>
            </w14:solidFill>
          </w14:textFill>
        </w:rPr>
        <w:t xml:space="preserve">. For instance, US Supreme Court judges have been found to demonstrate high levels of attitudinal influence in their </w:t>
      </w:r>
      <w:r>
        <w:rPr>
          <w:rFonts w:ascii="Calibri" w:hAnsi="Calibri"/>
          <w:outline w:val="0"/>
          <w:color w:val="000000"/>
          <w:u w:color="000000"/>
          <w:shd w:val="clear" w:color="auto" w:fill="ffffff"/>
          <w:rtl w:val="0"/>
          <w:lang w:val="en-US"/>
          <w14:textFill>
            <w14:solidFill>
              <w14:srgbClr w14:val="000000"/>
            </w14:solidFill>
          </w14:textFill>
        </w:rPr>
        <w:t>decision-making</w:t>
      </w:r>
      <w:r>
        <w:rPr>
          <w:rFonts w:ascii="Calibri" w:hAnsi="Calibri"/>
          <w:outline w:val="0"/>
          <w:color w:val="000000"/>
          <w:u w:color="000000"/>
          <w:shd w:val="clear" w:color="auto" w:fill="ffffff"/>
          <w:rtl w:val="0"/>
          <w14:textFill>
            <w14:solidFill>
              <w14:srgbClr w14:val="000000"/>
            </w14:solidFill>
          </w14:textFill>
        </w:rPr>
        <w:t xml:space="preserve"> </w:t>
      </w:r>
      <w:r>
        <w:rPr>
          <w:rFonts w:ascii="Calibri" w:cs="Calibri" w:hAnsi="Calibri" w:eastAsia="Calibri"/>
          <w:outline w:val="0"/>
          <w:color w:val="000000"/>
          <w:u w:color="000000"/>
          <w:shd w:val="clear" w:color="auto" w:fill="ffffff"/>
          <w14:textFill>
            <w14:solidFill>
              <w14:srgbClr w14:val="000000"/>
            </w14:solidFill>
          </w14:textFill>
        </w:rPr>
        <w:fldChar w:fldCharType="begin" w:fldLock="0"/>
      </w:r>
      <w:r>
        <w:rPr>
          <w:rFonts w:ascii="Calibri" w:cs="Calibri" w:hAnsi="Calibri" w:eastAsia="Calibri"/>
          <w:outline w:val="0"/>
          <w:color w:val="000000"/>
          <w:u w:color="000000"/>
          <w:shd w:val="clear" w:color="auto" w:fill="ffffff"/>
          <w14:textFill>
            <w14:solidFill>
              <w14:srgbClr w14:val="000000"/>
            </w14:solidFill>
          </w14:textFill>
        </w:rPr>
        <w:instrText xml:space="preserve"> ADDIN EN.CITE &lt;EndNote&gt;&lt;Cite  &gt;&lt;Author&gt;Keren Weinshall&lt;/Author&gt;&lt;Year&gt;2018&lt;/Year&gt;&lt;Pages&gt;334-352&lt;/Pages&gt;&lt;DisplayText&gt;(Weinshall, et al., 2018)&lt;/DisplayText&gt;&lt;record&gt;&lt;ref-type name="Journal Article"&gt;17&lt;/ref-type&gt;&lt;contributors&gt;&lt;authors&gt;&lt;author&gt;Keren Weinshall&lt;/author&gt;&lt;/authors&gt;&lt;/contributors&gt;&lt;titles/&gt;&lt;title&gt;Ideological influences on governance and regulation: The comparative case of supreme courts&lt;/title&gt;&lt;periodical/&gt;&lt;pages&gt;334-352&lt;/pages&gt;&lt;volume&gt;12&lt;/volume&gt;&lt;dates&gt;&lt;year&gt;2018&lt;/year&gt;&lt;pub-dates/&gt;&lt;/dates&gt;&lt;/record&gt;&lt;/Cite&gt;&lt;/EndNote&gt;</w:instrText>
      </w:r>
      <w:r>
        <w:rPr>
          <w:rFonts w:ascii="Calibri" w:cs="Calibri" w:hAnsi="Calibri" w:eastAsia="Calibri"/>
          <w:outline w:val="0"/>
          <w:color w:val="000000"/>
          <w:u w:color="000000"/>
          <w:shd w:val="clear" w:color="auto" w:fill="ffffff"/>
          <w14:textFill>
            <w14:solidFill>
              <w14:srgbClr w14:val="000000"/>
            </w14:solidFill>
          </w14:textFill>
        </w:rPr>
        <w:fldChar w:fldCharType="separate" w:fldLock="0"/>
      </w:r>
      <w:r>
        <w:rPr>
          <w:rFonts w:ascii="Calibri" w:hAnsi="Calibri"/>
          <w:outline w:val="0"/>
          <w:color w:val="000000"/>
          <w:u w:color="000000"/>
          <w:shd w:val="clear" w:color="auto" w:fill="ffffff"/>
          <w:rtl w:val="0"/>
          <w14:textFill>
            <w14:solidFill>
              <w14:srgbClr w14:val="000000"/>
            </w14:solidFill>
          </w14:textFill>
        </w:rPr>
        <w:t>(Weinshall, et al., 2018)</w:t>
      </w:r>
      <w:r>
        <w:rPr>
          <w:rFonts w:ascii="Calibri" w:cs="Calibri" w:hAnsi="Calibri" w:eastAsia="Calibri"/>
          <w:outline w:val="0"/>
          <w:color w:val="000000"/>
          <w:u w:color="000000"/>
          <w:shd w:val="clear" w:color="auto" w:fill="ffffff"/>
          <w14:textFill>
            <w14:solidFill>
              <w14:srgbClr w14:val="000000"/>
            </w14:solidFill>
          </w14:textFill>
        </w:rPr>
        <w:fldChar w:fldCharType="end" w:fldLock="0"/>
      </w:r>
      <w:r>
        <w:rPr>
          <w:rFonts w:ascii="Calibri" w:hAnsi="Calibri"/>
          <w:outline w:val="0"/>
          <w:color w:val="000000"/>
          <w:u w:color="000000"/>
          <w:shd w:val="clear" w:color="auto" w:fill="ffffff"/>
          <w:rtl w:val="0"/>
          <w:lang w:val="en-US"/>
          <w14:textFill>
            <w14:solidFill>
              <w14:srgbClr w14:val="000000"/>
            </w14:solidFill>
          </w14:textFill>
        </w:rPr>
        <w:t xml:space="preserve">, which can be explained by the fact that </w:t>
      </w:r>
      <w:r>
        <w:rPr>
          <w:rFonts w:ascii="Calibri" w:hAnsi="Calibri"/>
          <w:outline w:val="0"/>
          <w:color w:val="000000"/>
          <w:u w:color="000000"/>
          <w:shd w:val="clear" w:color="auto" w:fill="ffffff"/>
          <w:rtl w:val="0"/>
          <w:lang w:val="en-US"/>
          <w14:textFill>
            <w14:solidFill>
              <w14:srgbClr w14:val="000000"/>
            </w14:solidFill>
          </w14:textFill>
        </w:rPr>
        <w:t xml:space="preserve">the </w:t>
      </w:r>
      <w:r>
        <w:rPr>
          <w:rFonts w:ascii="Calibri" w:hAnsi="Calibri"/>
          <w:outline w:val="0"/>
          <w:color w:val="000000"/>
          <w:u w:color="000000"/>
          <w:shd w:val="clear" w:color="auto" w:fill="ffffff"/>
          <w:rtl w:val="0"/>
          <w:lang w:val="en-US"/>
          <w14:textFill>
            <w14:solidFill>
              <w14:srgbClr w14:val="000000"/>
            </w14:solidFill>
          </w14:textFill>
        </w:rPr>
        <w:t xml:space="preserve">appointment of judges in the US Supreme Court is a political process </w:t>
      </w:r>
      <w:r>
        <w:rPr>
          <w:rFonts w:ascii="Calibri" w:cs="Calibri" w:hAnsi="Calibri" w:eastAsia="Calibri"/>
          <w:outline w:val="0"/>
          <w:color w:val="000000"/>
          <w:u w:color="000000"/>
          <w:shd w:val="clear" w:color="auto" w:fill="ffffff"/>
          <w14:textFill>
            <w14:solidFill>
              <w14:srgbClr w14:val="000000"/>
            </w14:solidFill>
          </w14:textFill>
        </w:rPr>
        <w:fldChar w:fldCharType="begin" w:fldLock="0"/>
      </w:r>
      <w:r>
        <w:rPr>
          <w:rFonts w:ascii="Calibri" w:cs="Calibri" w:hAnsi="Calibri" w:eastAsia="Calibri"/>
          <w:outline w:val="0"/>
          <w:color w:val="000000"/>
          <w:u w:color="000000"/>
          <w:shd w:val="clear" w:color="auto" w:fill="ffffff"/>
          <w14:textFill>
            <w14:solidFill>
              <w14:srgbClr w14:val="000000"/>
            </w14:solidFill>
          </w14:textFill>
        </w:rPr>
        <w:instrText xml:space="preserve"> ADDIN EN.CITE &lt;EndNote&gt;&lt;Cite  &gt;&lt;Author&gt;T. Arvind&lt;/Author&gt;&lt;Year&gt;2016 &lt;/Year&gt;&lt;Pages&gt;418&lt;/Pages&gt;&lt;DisplayText&gt;(Arvind &amp; Stirton, 2016 )&lt;/DisplayText&gt;&lt;record&gt;&lt;ref-type name="Journal Article"&gt;17&lt;/ref-type&gt;&lt;contributors&gt;&lt;authors&gt;&lt;author&gt;T. Arvind&lt;/author&gt;&lt;/authors&gt;&lt;/contributors&gt;&lt;titles/&gt;&lt;title&gt;Legal Ideology, Legal Doctrine and the UK's Top Judges&lt;/title&gt;&lt;periodical/&gt;&lt;pages&gt;418&lt;/pages&gt;&lt;dates&gt;&lt;year&gt;2016 &lt;/year&gt;&lt;pub-dates/&gt;&lt;/dates&gt;&lt;/record&gt;&lt;/Cite&gt;&lt;/EndNote&gt;</w:instrText>
      </w:r>
      <w:r>
        <w:rPr>
          <w:rFonts w:ascii="Calibri" w:cs="Calibri" w:hAnsi="Calibri" w:eastAsia="Calibri"/>
          <w:outline w:val="0"/>
          <w:color w:val="000000"/>
          <w:u w:color="000000"/>
          <w:shd w:val="clear" w:color="auto" w:fill="ffffff"/>
          <w14:textFill>
            <w14:solidFill>
              <w14:srgbClr w14:val="000000"/>
            </w14:solidFill>
          </w14:textFill>
        </w:rPr>
        <w:fldChar w:fldCharType="separate" w:fldLock="0"/>
      </w:r>
      <w:r>
        <w:rPr>
          <w:rFonts w:ascii="Calibri" w:hAnsi="Calibri"/>
          <w:outline w:val="0"/>
          <w:color w:val="000000"/>
          <w:u w:color="000000"/>
          <w:shd w:val="clear" w:color="auto" w:fill="ffffff"/>
          <w:rtl w:val="0"/>
          <w:lang w:val="da-DK"/>
          <w14:textFill>
            <w14:solidFill>
              <w14:srgbClr w14:val="000000"/>
            </w14:solidFill>
          </w14:textFill>
        </w:rPr>
        <w:t>(Arvind &amp; Stirton, 2016 )</w:t>
      </w:r>
      <w:r>
        <w:rPr>
          <w:rFonts w:ascii="Calibri" w:cs="Calibri" w:hAnsi="Calibri" w:eastAsia="Calibri"/>
          <w:outline w:val="0"/>
          <w:color w:val="000000"/>
          <w:u w:color="000000"/>
          <w:shd w:val="clear" w:color="auto" w:fill="ffffff"/>
          <w14:textFill>
            <w14:solidFill>
              <w14:srgbClr w14:val="000000"/>
            </w14:solidFill>
          </w14:textFill>
        </w:rPr>
        <w:fldChar w:fldCharType="end" w:fldLock="0"/>
      </w:r>
      <w:r>
        <w:rPr>
          <w:rFonts w:ascii="Calibri" w:hAnsi="Calibri"/>
          <w:outline w:val="0"/>
          <w:color w:val="000000"/>
          <w:u w:color="000000"/>
          <w:shd w:val="clear" w:color="auto" w:fill="ffffff"/>
          <w:rtl w:val="0"/>
          <w:lang w:val="en-US"/>
          <w14:textFill>
            <w14:solidFill>
              <w14:srgbClr w14:val="000000"/>
            </w14:solidFill>
          </w14:textFill>
        </w:rPr>
        <w:t>. This is not the case in the UK. However, even in countries where judges are appointed through some independent processes, there can be attitudinal influences in judicial law making</w:t>
      </w:r>
      <w:r>
        <w:rPr>
          <w:rFonts w:ascii="Calibri" w:cs="Calibri" w:hAnsi="Calibri" w:eastAsia="Calibri"/>
          <w:outline w:val="0"/>
          <w:color w:val="000000"/>
          <w:u w:color="000000"/>
          <w:shd w:val="clear" w:color="auto" w:fill="ffffff"/>
          <w14:textFill>
            <w14:solidFill>
              <w14:srgbClr w14:val="000000"/>
            </w14:solidFill>
          </w14:textFill>
        </w:rPr>
        <w:fldChar w:fldCharType="begin" w:fldLock="0"/>
      </w:r>
      <w:r>
        <w:rPr>
          <w:rFonts w:ascii="Calibri" w:cs="Calibri" w:hAnsi="Calibri" w:eastAsia="Calibri"/>
          <w:outline w:val="0"/>
          <w:color w:val="000000"/>
          <w:u w:color="000000"/>
          <w:shd w:val="clear" w:color="auto" w:fill="ffffff"/>
          <w14:textFill>
            <w14:solidFill>
              <w14:srgbClr w14:val="000000"/>
            </w14:solidFill>
          </w14:textFill>
        </w:rPr>
        <w:instrText xml:space="preserve"> ADDIN EN.CITE &lt;EndNote&gt;&lt;Cite  &gt;&lt;Author&gt;Keren Weinshall&lt;/Author&gt;&lt;Year&gt;2018&lt;/Year&gt;&lt;Pages&gt;334-352&lt;/Pages&gt;&lt;DisplayText&gt; (Weinshall, et al., 2018)&lt;/DisplayText&gt;&lt;record&gt;&lt;ref-type name="Journal Article"&gt;17&lt;/ref-type&gt;&lt;contributors&gt;&lt;authors&gt;&lt;author&gt;Keren Weinshall&lt;/author&gt;&lt;/authors&gt;&lt;/contributors&gt;&lt;titles/&gt;&lt;title&gt;Ideological influences on governance and regulation: The comparative case of supreme courts&lt;/title&gt;&lt;periodical/&gt;&lt;pages&gt;334-352&lt;/pages&gt;&lt;volume&gt;12&lt;/volume&gt;&lt;dates&gt;&lt;year&gt;2018&lt;/year&gt;&lt;pub-dates/&gt;&lt;/dates&gt;&lt;/record&gt;&lt;/Cite&gt;&lt;/EndNote&gt;</w:instrText>
      </w:r>
      <w:r>
        <w:rPr>
          <w:rFonts w:ascii="Calibri" w:cs="Calibri" w:hAnsi="Calibri" w:eastAsia="Calibri"/>
          <w:outline w:val="0"/>
          <w:color w:val="000000"/>
          <w:u w:color="000000"/>
          <w:shd w:val="clear" w:color="auto" w:fill="ffffff"/>
          <w14:textFill>
            <w14:solidFill>
              <w14:srgbClr w14:val="000000"/>
            </w14:solidFill>
          </w14:textFill>
        </w:rPr>
        <w:fldChar w:fldCharType="separate" w:fldLock="0"/>
      </w:r>
      <w:r>
        <w:rPr>
          <w:rFonts w:ascii="Calibri" w:hAnsi="Calibri"/>
          <w:outline w:val="0"/>
          <w:color w:val="000000"/>
          <w:u w:color="000000"/>
          <w:shd w:val="clear" w:color="auto" w:fill="ffffff"/>
          <w:rtl w:val="0"/>
          <w14:textFill>
            <w14:solidFill>
              <w14:srgbClr w14:val="000000"/>
            </w14:solidFill>
          </w14:textFill>
        </w:rPr>
        <w:t xml:space="preserve"> (Weinshall, et al., 2018)</w:t>
      </w:r>
      <w:r>
        <w:rPr>
          <w:rFonts w:ascii="Calibri" w:cs="Calibri" w:hAnsi="Calibri" w:eastAsia="Calibri"/>
          <w:outline w:val="0"/>
          <w:color w:val="000000"/>
          <w:u w:color="000000"/>
          <w:shd w:val="clear" w:color="auto" w:fill="ffffff"/>
          <w14:textFill>
            <w14:solidFill>
              <w14:srgbClr w14:val="000000"/>
            </w14:solidFill>
          </w14:textFill>
        </w:rPr>
        <w:fldChar w:fldCharType="end" w:fldLock="0"/>
      </w:r>
      <w:r>
        <w:rPr>
          <w:rFonts w:ascii="Calibri" w:hAnsi="Calibri"/>
          <w:outline w:val="0"/>
          <w:color w:val="000000"/>
          <w:u w:color="000000"/>
          <w:shd w:val="clear" w:color="auto" w:fill="ffffff"/>
          <w:rtl w:val="0"/>
          <w:lang w:val="en-US"/>
          <w14:textFill>
            <w14:solidFill>
              <w14:srgbClr w14:val="000000"/>
            </w14:solidFill>
          </w14:textFill>
        </w:rPr>
        <w:t>. Therefore, it can be argued that even though appointments to the UK Supreme Court are made independently of political influence (since they are appointed by the selection commission), there is still some scope for attitudinal influence. In such case, would it not be pertinent to balance dominant attitudes by having a more diverse judiciary at the senior most level?</w:t>
      </w:r>
    </w:p>
    <w:p>
      <w:pPr>
        <w:pStyle w:val="Body"/>
        <w:spacing w:before="120" w:after="120"/>
        <w:rPr>
          <w:rFonts w:ascii="Calibri" w:cs="Calibri" w:hAnsi="Calibri" w:eastAsia="Calibri"/>
        </w:rPr>
      </w:pPr>
      <w:r>
        <w:rPr>
          <w:rFonts w:ascii="Calibri" w:hAnsi="Calibri"/>
          <w:rtl w:val="0"/>
          <w:lang w:val="en-US"/>
        </w:rPr>
        <w:t xml:space="preserve">A case is made for increasing diversity in the UK Supreme Court on the ground that the court decides the cases of utmost public importance and increased diversity is reflected in personal values that even the judges hold to themselves </w:t>
      </w:r>
      <w:r>
        <w:rPr>
          <w:rFonts w:ascii="Calibri" w:cs="Calibri" w:hAnsi="Calibri" w:eastAsia="Calibri"/>
        </w:rPr>
        <w:fldChar w:fldCharType="begin" w:fldLock="0"/>
      </w:r>
      <w:r>
        <w:rPr>
          <w:rFonts w:ascii="Calibri" w:cs="Calibri" w:hAnsi="Calibri" w:eastAsia="Calibri"/>
        </w:rPr>
        <w:instrText xml:space="preserve"> ADDIN EN.CITE &lt;EndNote&gt;&lt;Cite  &gt;&lt;Author&gt;Rachel O’Cahill-Callaghan&lt;/Author&gt;&lt;Year&gt;2015&lt;/Year&gt;&lt;DisplayText&gt;(O’Cahill-Callaghan, 2015)&lt;/DisplayText&gt;&lt;record&gt;&lt;ref-type name="Web Page"&gt;12&lt;/ref-type&gt;&lt;contributors&gt;&lt;authors&gt;&lt;author&gt;Rachel O’Cahill-Callaghan&lt;/author&gt;&lt;/authors&gt;&lt;/contributors&gt;&lt;titles/&gt;&lt;title&gt;Judicial diversity in the supreme court–Does it matter?&lt;/title&gt;&lt;periodical/&gt;&lt;dates&gt;&lt;year&gt;2015&lt;/year&gt;&lt;pub-dates/&gt;&lt;/dates&gt;&lt;/record&gt;&lt;/Cite&gt;&lt;/EndNote&gt;</w:instrText>
      </w:r>
      <w:r>
        <w:rPr>
          <w:rFonts w:ascii="Calibri" w:cs="Calibri" w:hAnsi="Calibri" w:eastAsia="Calibri"/>
        </w:rPr>
        <w:fldChar w:fldCharType="separate" w:fldLock="0"/>
      </w:r>
      <w:r>
        <w:rPr>
          <w:rFonts w:ascii="Calibri" w:hAnsi="Calibri"/>
          <w:rtl w:val="0"/>
        </w:rPr>
        <w:t>(O’Cahill-Callaghan, 2015)</w:t>
      </w:r>
      <w:r>
        <w:rPr>
          <w:rFonts w:ascii="Calibri" w:cs="Calibri" w:hAnsi="Calibri" w:eastAsia="Calibri"/>
        </w:rPr>
        <w:fldChar w:fldCharType="end" w:fldLock="0"/>
      </w:r>
      <w:r>
        <w:rPr>
          <w:rFonts w:ascii="Calibri" w:hAnsi="Calibri"/>
          <w:rtl w:val="0"/>
          <w:lang w:val="en-US"/>
        </w:rPr>
        <w:t>. In other words, an argument is being made not just for diversity of judges but for diversity of values</w:t>
      </w:r>
      <w:r>
        <w:rPr>
          <w:rFonts w:ascii="Calibri" w:cs="Calibri" w:hAnsi="Calibri" w:eastAsia="Calibri"/>
        </w:rPr>
        <w:fldChar w:fldCharType="begin" w:fldLock="0"/>
      </w:r>
      <w:r>
        <w:rPr>
          <w:rFonts w:ascii="Calibri" w:cs="Calibri" w:hAnsi="Calibri" w:eastAsia="Calibri"/>
        </w:rPr>
        <w:instrText xml:space="preserve"> ADDIN EN.CITE &lt;EndNote&gt;&lt;Cite  &gt;&lt;Author&gt;Rachel O’Cahill-Callaghan&lt;/Author&gt;&lt;Year&gt;2015&lt;/Year&gt;&lt;DisplayText&gt; (O’Cahill-Callaghan, 2015)&lt;/DisplayText&gt;&lt;record&gt;&lt;ref-type name="Web Page"&gt;12&lt;/ref-type&gt;&lt;contributors&gt;&lt;authors&gt;&lt;author&gt;Rachel O’Cahill-Callaghan&lt;/author&gt;&lt;/authors&gt;&lt;/contributors&gt;&lt;titles/&gt;&lt;title&gt;Judicial diversity in the supreme court–Does it matter?&lt;/title&gt;&lt;periodical/&gt;&lt;dates&gt;&lt;year&gt;2015&lt;/year&gt;&lt;pub-dates/&gt;&lt;/dates&gt;&lt;/record&gt;&lt;/Cite&gt;&lt;/EndNote&gt;</w:instrText>
      </w:r>
      <w:r>
        <w:rPr>
          <w:rFonts w:ascii="Calibri" w:cs="Calibri" w:hAnsi="Calibri" w:eastAsia="Calibri"/>
        </w:rPr>
        <w:fldChar w:fldCharType="separate" w:fldLock="0"/>
      </w:r>
      <w:r>
        <w:rPr>
          <w:rFonts w:ascii="Calibri" w:hAnsi="Calibri"/>
          <w:rtl w:val="0"/>
        </w:rPr>
        <w:t xml:space="preserve"> (O’Cahill-Callaghan, 2015)</w:t>
      </w:r>
      <w:r>
        <w:rPr>
          <w:rFonts w:ascii="Calibri" w:cs="Calibri" w:hAnsi="Calibri" w:eastAsia="Calibri"/>
        </w:rPr>
        <w:fldChar w:fldCharType="end" w:fldLock="0"/>
      </w:r>
      <w:r>
        <w:rPr>
          <w:rFonts w:ascii="Calibri" w:hAnsi="Calibri"/>
          <w:rtl w:val="0"/>
          <w:lang w:val="en-US"/>
        </w:rPr>
        <w:t xml:space="preserve">. Linking this back to the argument made by Malleson (2022) that diversity in demographics leads to diversity in values, it can be said that there is a reasonable argument made for increasing diversity in the Supreme Court since this can lead to presenting diverse values that can help to balance the dominant worldviews related to important social questions on women rights or interests of ethnic groups. In the similar vein, an argument is made that judicial diversity is more than diversity in gender, racial or ethnic composition of the Supreme Court </w:t>
      </w:r>
      <w:r>
        <w:rPr>
          <w:rFonts w:ascii="Calibri" w:cs="Calibri" w:hAnsi="Calibri" w:eastAsia="Calibri"/>
        </w:rPr>
        <w:fldChar w:fldCharType="begin" w:fldLock="0"/>
      </w:r>
      <w:r>
        <w:rPr>
          <w:rFonts w:ascii="Calibri" w:cs="Calibri" w:hAnsi="Calibri" w:eastAsia="Calibri"/>
        </w:rPr>
        <w:instrText xml:space="preserve"> ADDIN EN.CITE &lt;EndNote&gt;&lt;Cite  &gt;&lt;Author&gt;Rosemary Hunter&lt;/Author&gt;&lt;Year&gt;2015&lt;/Year&gt;&lt;Pages&gt;119-141&lt;/Pages&gt;&lt;DisplayText&gt;(Hunter, 2015)&lt;/DisplayText&gt;&lt;record&gt;&lt;ref-type name="Journal Article"&gt;17&lt;/ref-type&gt;&lt;contributors&gt;&lt;authors&gt;&lt;author&gt;Rosemary Hunter&lt;/author&gt;&lt;/authors&gt;&lt;/contributors&gt;&lt;titles/&gt;&lt;title&gt;More than just a different face? Judicial diversity and decision-making&lt;/title&gt;&lt;periodical/&gt;&lt;pages&gt;119-141&lt;/pages&gt;&lt;volume&gt;68&lt;/volume&gt;&lt;dates&gt;&lt;year&gt;2015&lt;/year&gt;&lt;pub-dates/&gt;&lt;/dates&gt;&lt;/record&gt;&lt;/Cite&gt;&lt;/EndNote&gt;</w:instrText>
      </w:r>
      <w:r>
        <w:rPr>
          <w:rFonts w:ascii="Calibri" w:cs="Calibri" w:hAnsi="Calibri" w:eastAsia="Calibri"/>
        </w:rPr>
        <w:fldChar w:fldCharType="separate" w:fldLock="0"/>
      </w:r>
      <w:r>
        <w:rPr>
          <w:rFonts w:ascii="Calibri" w:hAnsi="Calibri"/>
          <w:rtl w:val="0"/>
          <w:lang w:val="de-DE"/>
        </w:rPr>
        <w:t>(Hunter, 2015)</w:t>
      </w:r>
      <w:r>
        <w:rPr>
          <w:rFonts w:ascii="Calibri" w:cs="Calibri" w:hAnsi="Calibri" w:eastAsia="Calibri"/>
        </w:rPr>
        <w:fldChar w:fldCharType="end" w:fldLock="0"/>
      </w:r>
      <w:r>
        <w:rPr>
          <w:rFonts w:ascii="Calibri" w:hAnsi="Calibri"/>
          <w:rtl w:val="0"/>
          <w:lang w:val="en-US"/>
        </w:rPr>
        <w:t>. Such diversity can have significant impact on the outcomes for cases, especially in cases involving issues like gender rights, which may show substantive effect in terms of decision making as noted by Lady Hale</w:t>
      </w:r>
      <w:r>
        <w:rPr>
          <w:rFonts w:ascii="Calibri" w:cs="Calibri" w:hAnsi="Calibri" w:eastAsia="Calibri"/>
        </w:rPr>
        <w:fldChar w:fldCharType="begin" w:fldLock="0"/>
      </w:r>
      <w:r>
        <w:rPr>
          <w:rFonts w:ascii="Calibri" w:cs="Calibri" w:hAnsi="Calibri" w:eastAsia="Calibri"/>
        </w:rPr>
        <w:instrText xml:space="preserve"> ADDIN EN.CITE &lt;EndNote&gt;&lt;Cite  &gt;&lt;Author&gt;Rosemary Hunter&lt;/Author&gt;&lt;Year&gt;2015&lt;/Year&gt;&lt;Pages&gt;119-141&lt;/Pages&gt;&lt;DisplayText&gt; (Hunter, 2015)&lt;/DisplayText&gt;&lt;record&gt;&lt;ref-type name="Journal Article"&gt;17&lt;/ref-type&gt;&lt;contributors&gt;&lt;authors&gt;&lt;author&gt;Rosemary Hunter&lt;/author&gt;&lt;/authors&gt;&lt;/contributors&gt;&lt;titles/&gt;&lt;title&gt;More than just a different face? Judicial diversity and decision-making&lt;/title&gt;&lt;periodical/&gt;&lt;pages&gt;119-141&lt;/pages&gt;&lt;volume&gt;68&lt;/volume&gt;&lt;dates&gt;&lt;year&gt;2015&lt;/year&gt;&lt;pub-dates/&gt;&lt;/dates&gt;&lt;/record&gt;&lt;/Cite&gt;&lt;/EndNote&gt;</w:instrText>
      </w:r>
      <w:r>
        <w:rPr>
          <w:rFonts w:ascii="Calibri" w:cs="Calibri" w:hAnsi="Calibri" w:eastAsia="Calibri"/>
        </w:rPr>
        <w:fldChar w:fldCharType="separate" w:fldLock="0"/>
      </w:r>
      <w:r>
        <w:rPr>
          <w:rFonts w:ascii="Calibri" w:hAnsi="Calibri"/>
          <w:rtl w:val="0"/>
          <w:lang w:val="de-DE"/>
        </w:rPr>
        <w:t xml:space="preserve"> (Hunter, 2015)</w:t>
      </w:r>
      <w:r>
        <w:rPr>
          <w:rFonts w:ascii="Calibri" w:cs="Calibri" w:hAnsi="Calibri" w:eastAsia="Calibri"/>
        </w:rPr>
        <w:fldChar w:fldCharType="end" w:fldLock="0"/>
      </w:r>
      <w:r>
        <w:rPr>
          <w:rFonts w:ascii="Calibri" w:hAnsi="Calibri"/>
          <w:rtl w:val="0"/>
        </w:rPr>
        <w:t>.</w:t>
      </w:r>
    </w:p>
    <w:p>
      <w:pPr>
        <w:pStyle w:val="Body"/>
        <w:spacing w:before="120" w:after="120"/>
        <w:rPr>
          <w:rFonts w:ascii="Calibri" w:cs="Calibri" w:hAnsi="Calibri" w:eastAsia="Calibri"/>
        </w:rPr>
      </w:pPr>
      <w:r>
        <w:rPr>
          <w:rFonts w:ascii="Calibri" w:hAnsi="Calibri"/>
          <w:rtl w:val="0"/>
          <w:lang w:val="en-US"/>
        </w:rPr>
        <w:t xml:space="preserve">The concept of judicial diversity has found increasing support within the judiciary; this is reflected in the report of the House of Lords in 2012, where great attention was given to the issue of judicial diversity </w:t>
      </w:r>
      <w:r>
        <w:rPr>
          <w:rFonts w:ascii="Calibri" w:cs="Calibri" w:hAnsi="Calibri" w:eastAsia="Calibri"/>
        </w:rPr>
        <w:fldChar w:fldCharType="begin" w:fldLock="0"/>
      </w:r>
      <w:r>
        <w:rPr>
          <w:rFonts w:ascii="Calibri" w:cs="Calibri" w:hAnsi="Calibri" w:eastAsia="Calibri"/>
        </w:rPr>
        <w:instrText xml:space="preserve"> ADDIN EN.CITE &lt;EndNote&gt;&lt;Cite ExcludeAuth="1" &gt;&lt;Year&gt;2012&lt;/Year&gt;&lt;DisplayText&gt;(House of Lords, 2012)&lt;/DisplayText&gt;&lt;record&gt;&lt;ref-type name="Report"&gt;27&lt;/ref-type&gt;&lt;contributors&gt;&lt;authors/&gt;&lt;/contributors&gt;&lt;titles/&gt;&lt;title&gt;House of Lords Select Committee on the Constitution, Judicial Appointments &lt;/title&gt;&lt;periodical/&gt;&lt;dates&gt;&lt;year&gt;2012&lt;/year&gt;&lt;pub-dates/&gt;&lt;/dates&gt;&lt;/record&gt;&lt;/Cite&gt;&lt;/EndNote&gt;</w:instrText>
      </w:r>
      <w:r>
        <w:rPr>
          <w:rFonts w:ascii="Calibri" w:cs="Calibri" w:hAnsi="Calibri" w:eastAsia="Calibri"/>
        </w:rPr>
        <w:fldChar w:fldCharType="separate" w:fldLock="0"/>
      </w:r>
      <w:r>
        <w:rPr>
          <w:rFonts w:ascii="Calibri" w:hAnsi="Calibri"/>
          <w:rtl w:val="0"/>
          <w:lang w:val="en-US"/>
        </w:rPr>
        <w:t>(House of Lords, 2012)</w:t>
      </w:r>
      <w:r>
        <w:rPr>
          <w:rFonts w:ascii="Calibri" w:cs="Calibri" w:hAnsi="Calibri" w:eastAsia="Calibri"/>
        </w:rPr>
        <w:fldChar w:fldCharType="end" w:fldLock="0"/>
      </w:r>
      <w:r>
        <w:rPr>
          <w:rFonts w:ascii="Calibri" w:hAnsi="Calibri"/>
          <w:rtl w:val="0"/>
          <w:lang w:val="en-US"/>
        </w:rPr>
        <w:t>. Read with the introduction of Section 27 (5A) in the Constitutional Reforms Act 2005, which allows selection of judges based on diversity all things being equal, it is clear that the acceptance for increasing judicial diversity in the Supreme Court. It can be said that this acceptance is based on certain valid reasons, including the need for providing representation to underrepresented groups in the country</w:t>
      </w:r>
      <w:r>
        <w:rPr>
          <w:rFonts w:ascii="Calibri" w:hAnsi="Calibri" w:hint="default"/>
          <w:rtl w:val="1"/>
        </w:rPr>
        <w:t>’</w:t>
      </w:r>
      <w:r>
        <w:rPr>
          <w:rFonts w:ascii="Calibri" w:hAnsi="Calibri"/>
          <w:rtl w:val="0"/>
          <w:lang w:val="en-US"/>
        </w:rPr>
        <w:t xml:space="preserve">s highest court of appeal and for bringing diversity of values into the court. </w:t>
      </w:r>
    </w:p>
    <w:p>
      <w:pPr>
        <w:pStyle w:val="Body"/>
        <w:spacing w:before="120" w:after="120"/>
        <w:rPr>
          <w:rFonts w:ascii="Calibri" w:cs="Calibri" w:hAnsi="Calibri" w:eastAsia="Calibri"/>
        </w:rPr>
      </w:pPr>
      <w:r>
        <w:rPr>
          <w:rFonts w:ascii="Calibri" w:hAnsi="Calibri"/>
          <w:rtl w:val="0"/>
          <w:lang w:val="en-US"/>
        </w:rPr>
        <w:t>To conclude, judicial diversity should be seen in the context of including diverse values. This would be useful for including views that can counterbalance dominant viewpoints that have bearing on issues of public importance. Judges belonging to minority communities or women judges may bring in divergent values to the Supreme Court, which may have an impact on how cases are decided. While it is true that cases should be decided on legal reasoning, some cases may allow impact of personal values, which is where diversity would be useful.</w:t>
      </w: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Body"/>
        <w:spacing w:before="120" w:after="120"/>
        <w:rPr>
          <w:rFonts w:ascii="Calibri" w:cs="Calibri" w:hAnsi="Calibri" w:eastAsia="Calibri"/>
        </w:rPr>
      </w:pPr>
    </w:p>
    <w:p>
      <w:pPr>
        <w:pStyle w:val="Heading"/>
      </w:pPr>
      <w:r>
        <w:rPr>
          <w:rStyle w:val="legamendingtext"/>
          <w:rtl w:val="0"/>
          <w:lang w:val="fr-FR"/>
        </w:rPr>
        <w:t>References:</w:t>
      </w:r>
    </w:p>
    <w:p>
      <w:pPr>
        <w:pStyle w:val="Bibliography"/>
        <w:spacing w:before="120" w:after="120"/>
        <w:rPr>
          <w:rStyle w:val="legamendingtext"/>
        </w:rPr>
      </w:pPr>
      <w:r>
        <w:rPr>
          <w:rStyle w:val="legamendingtext"/>
          <w:rtl w:val="0"/>
          <w:lang w:val="en-US"/>
        </w:rPr>
        <w:t xml:space="preserve">Arvind, T. &amp; Stirton, L., 2016. Legal Ideology, Legal Doctrine and the UK's Top Judges. </w:t>
      </w:r>
      <w:r>
        <w:rPr>
          <w:i w:val="1"/>
          <w:iCs w:val="1"/>
          <w:rtl w:val="0"/>
          <w:lang w:val="en-US"/>
        </w:rPr>
        <w:t xml:space="preserve">July Public Law, </w:t>
      </w:r>
      <w:r>
        <w:rPr>
          <w:rStyle w:val="legamendingtext"/>
          <w:rtl w:val="0"/>
          <w:lang w:val="en-US"/>
        </w:rPr>
        <w:t>p. 418.</w:t>
      </w:r>
    </w:p>
    <w:p>
      <w:pPr>
        <w:pStyle w:val="Bibliography"/>
        <w:spacing w:before="120" w:after="120"/>
      </w:pPr>
      <w:r>
        <w:rPr>
          <w:rStyle w:val="legamendingtext"/>
        </w:rPr>
        <w:fldChar w:fldCharType="begin" w:fldLock="0"/>
      </w:r>
      <w:r>
        <w:rPr>
          <w:rStyle w:val="legamendingtext"/>
        </w:rPr>
        <w:instrText xml:space="preserve"> ADDIN EN.REFLIST </w:instrText>
      </w:r>
      <w:r>
        <w:rPr>
          <w:rStyle w:val="legamendingtext"/>
        </w:rPr>
        <w:fldChar w:fldCharType="separate" w:fldLock="0"/>
      </w:r>
    </w:p>
    <w:p>
      <w:pPr>
        <w:pStyle w:val="Bibliography"/>
        <w:spacing w:before="120" w:after="120"/>
        <w:rPr>
          <w:rStyle w:val="legamendingtext"/>
        </w:rPr>
      </w:pPr>
      <w:r>
        <w:rPr>
          <w:rStyle w:val="legamendingtext"/>
          <w:rtl w:val="0"/>
          <w:lang w:val="en-US"/>
        </w:rPr>
        <w:t xml:space="preserve">Dickson, B., 2007. The Processing of Appeals in the House of Lords. </w:t>
      </w:r>
      <w:r>
        <w:rPr>
          <w:i w:val="1"/>
          <w:iCs w:val="1"/>
          <w:rtl w:val="0"/>
          <w:lang w:val="en-US"/>
        </w:rPr>
        <w:t xml:space="preserve">Law Quarterly Review, </w:t>
      </w:r>
      <w:r>
        <w:rPr>
          <w:rStyle w:val="legamendingtext"/>
          <w:rtl w:val="0"/>
          <w:lang w:val="en-US"/>
        </w:rPr>
        <w:t>123(4), p. 571.</w:t>
      </w:r>
    </w:p>
    <w:p>
      <w:pPr>
        <w:pStyle w:val="Bibliography"/>
        <w:spacing w:before="120" w:after="120"/>
        <w:rPr>
          <w:rStyle w:val="legamendingtext"/>
        </w:rPr>
      </w:pPr>
      <w:r>
        <w:rPr>
          <w:rStyle w:val="legamendingtext"/>
          <w:rtl w:val="0"/>
          <w:lang w:val="en-US"/>
        </w:rPr>
        <w:t xml:space="preserve">House of Lords, 2012. </w:t>
      </w:r>
      <w:r>
        <w:rPr>
          <w:i w:val="1"/>
          <w:iCs w:val="1"/>
          <w:rtl w:val="0"/>
          <w:lang w:val="en-US"/>
        </w:rPr>
        <w:t xml:space="preserve">House of Lords Select Committee on the Constitution, Judicial Appointments , </w:t>
      </w:r>
      <w:r>
        <w:rPr>
          <w:rStyle w:val="legamendingtext"/>
          <w:rtl w:val="0"/>
          <w:lang w:val="en-US"/>
        </w:rPr>
        <w:t>London: House of Lords.</w:t>
      </w:r>
    </w:p>
    <w:p>
      <w:pPr>
        <w:pStyle w:val="Bibliography"/>
        <w:spacing w:before="120" w:after="120"/>
        <w:rPr>
          <w:rStyle w:val="legamendingtext"/>
        </w:rPr>
      </w:pPr>
      <w:r>
        <w:rPr>
          <w:rStyle w:val="legamendingtext"/>
          <w:rtl w:val="0"/>
          <w:lang w:val="en-US"/>
        </w:rPr>
        <w:t xml:space="preserve">Hunter, R., 2015. More than just a different face? Judicial diversity and decision-making. </w:t>
      </w:r>
      <w:r>
        <w:rPr>
          <w:i w:val="1"/>
          <w:iCs w:val="1"/>
          <w:rtl w:val="0"/>
          <w:lang w:val="en-US"/>
        </w:rPr>
        <w:t xml:space="preserve">Current legal problems , </w:t>
      </w:r>
      <w:r>
        <w:rPr>
          <w:rStyle w:val="legamendingtext"/>
          <w:rtl w:val="0"/>
          <w:lang w:val="en-US"/>
        </w:rPr>
        <w:t>68(1), pp. 119-141.</w:t>
      </w:r>
    </w:p>
    <w:p>
      <w:pPr>
        <w:pStyle w:val="Bibliography"/>
        <w:spacing w:before="120" w:after="120"/>
        <w:rPr>
          <w:rStyle w:val="legamendingtext"/>
        </w:rPr>
      </w:pPr>
      <w:r>
        <w:rPr>
          <w:rStyle w:val="legamendingtext"/>
          <w:rtl w:val="0"/>
          <w:lang w:val="en-US"/>
        </w:rPr>
        <w:t xml:space="preserve">Malleson, K., 2022. Values diversity in the United Kingdom Supreme Court: abandoning the </w:t>
      </w:r>
      <w:r>
        <w:rPr>
          <w:rStyle w:val="legamendingtext"/>
          <w:rtl w:val="0"/>
          <w:lang w:val="en-US"/>
        </w:rPr>
        <w:t>‘</w:t>
      </w:r>
      <w:r>
        <w:rPr>
          <w:rStyle w:val="legamendingtext"/>
          <w:rtl w:val="0"/>
          <w:lang w:val="en-US"/>
        </w:rPr>
        <w:t>don't-ask-don't-tell</w:t>
      </w:r>
      <w:r>
        <w:rPr>
          <w:rStyle w:val="legamendingtext"/>
          <w:rtl w:val="0"/>
          <w:lang w:val="en-US"/>
        </w:rPr>
        <w:t xml:space="preserve">’ </w:t>
      </w:r>
      <w:r>
        <w:rPr>
          <w:rStyle w:val="legamendingtext"/>
          <w:rtl w:val="0"/>
          <w:lang w:val="en-US"/>
        </w:rPr>
        <w:t xml:space="preserve">policy. </w:t>
      </w:r>
      <w:r>
        <w:rPr>
          <w:i w:val="1"/>
          <w:iCs w:val="1"/>
          <w:rtl w:val="0"/>
          <w:lang w:val="en-US"/>
        </w:rPr>
        <w:t xml:space="preserve">Journal of Law and Society, </w:t>
      </w:r>
      <w:r>
        <w:rPr>
          <w:rStyle w:val="legamendingtext"/>
          <w:rtl w:val="0"/>
          <w:lang w:val="en-US"/>
        </w:rPr>
        <w:t>49(1), pp. 3-22.</w:t>
      </w:r>
    </w:p>
    <w:p>
      <w:pPr>
        <w:pStyle w:val="Bibliography"/>
        <w:spacing w:before="120" w:after="120"/>
        <w:rPr>
          <w:rStyle w:val="legamendingtext"/>
        </w:rPr>
      </w:pPr>
      <w:r>
        <w:rPr>
          <w:rStyle w:val="legamendingtext"/>
          <w:rtl w:val="0"/>
          <w:lang w:val="en-US"/>
        </w:rPr>
        <w:t>O</w:t>
      </w:r>
      <w:r>
        <w:rPr>
          <w:rStyle w:val="legamendingtext"/>
          <w:rtl w:val="0"/>
          <w:lang w:val="en-US"/>
        </w:rPr>
        <w:t>’</w:t>
      </w:r>
      <w:r>
        <w:rPr>
          <w:rStyle w:val="legamendingtext"/>
          <w:rtl w:val="0"/>
          <w:lang w:val="en-US"/>
        </w:rPr>
        <w:t xml:space="preserve">Cahill-Callaghan, R., 2015. </w:t>
      </w:r>
      <w:r>
        <w:rPr>
          <w:i w:val="1"/>
          <w:iCs w:val="1"/>
          <w:rtl w:val="0"/>
          <w:lang w:val="en-US"/>
        </w:rPr>
        <w:t>Judicial diversity in the supreme court</w:t>
      </w:r>
      <w:r>
        <w:rPr>
          <w:i w:val="1"/>
          <w:iCs w:val="1"/>
          <w:rtl w:val="0"/>
          <w:lang w:val="en-US"/>
        </w:rPr>
        <w:t>–</w:t>
      </w:r>
      <w:r>
        <w:rPr>
          <w:i w:val="1"/>
          <w:iCs w:val="1"/>
          <w:rtl w:val="0"/>
          <w:lang w:val="en-US"/>
        </w:rPr>
        <w:t xml:space="preserve">Does it matter?. </w:t>
      </w:r>
      <w:r>
        <w:rPr>
          <w:rStyle w:val="legamendingtext"/>
          <w:rtl w:val="0"/>
          <w:lang w:val="en-US"/>
        </w:rPr>
        <w:t xml:space="preserve">[Online] </w:t>
      </w:r>
      <w:r>
        <w:rPr>
          <w:rStyle w:val="legamendingtext"/>
        </w:rPr>
        <w:br w:type="textWrapping"/>
      </w:r>
      <w:r>
        <w:rPr>
          <w:rStyle w:val="legamendingtext"/>
          <w:rtl w:val="0"/>
          <w:lang w:val="en-US"/>
        </w:rPr>
        <w:t xml:space="preserve">Available at: </w:t>
      </w:r>
      <w:r>
        <w:rPr>
          <w:u w:val="single"/>
          <w:rtl w:val="0"/>
          <w:lang w:val="en-US"/>
        </w:rPr>
        <w:t>http://eprints.lse.ac.uk/83174/1/Constitution%20UK%20_%20Judicial%20Diversity%20in%20the%20Supreme%20Court.pdf</w:t>
      </w:r>
      <w:r>
        <w:rPr>
          <w:rStyle w:val="legamendingtext"/>
        </w:rPr>
        <w:br w:type="textWrapping"/>
      </w:r>
      <w:r>
        <w:rPr>
          <w:rStyle w:val="legamendingtext"/>
          <w:rtl w:val="0"/>
          <w:lang w:val="en-US"/>
        </w:rPr>
        <w:t>[Accessed 17 June 2022].</w:t>
      </w:r>
    </w:p>
    <w:p>
      <w:pPr>
        <w:pStyle w:val="Bibliography"/>
        <w:spacing w:before="120" w:after="120"/>
        <w:rPr>
          <w:rStyle w:val="legamendingtext"/>
        </w:rPr>
      </w:pPr>
      <w:r>
        <w:rPr>
          <w:rStyle w:val="legamendingtext"/>
          <w:rtl w:val="0"/>
          <w:lang w:val="en-US"/>
        </w:rPr>
        <w:t xml:space="preserve">Stevens, R., 2005. </w:t>
      </w:r>
      <w:r>
        <w:rPr>
          <w:i w:val="1"/>
          <w:iCs w:val="1"/>
          <w:rtl w:val="0"/>
          <w:lang w:val="en-US"/>
        </w:rPr>
        <w:t xml:space="preserve">The English Judges: Their Role in the Changing Constitution. </w:t>
      </w:r>
      <w:r>
        <w:rPr>
          <w:rStyle w:val="legamendingtext"/>
          <w:rtl w:val="0"/>
          <w:lang w:val="en-US"/>
        </w:rPr>
        <w:t>s.l.:Hart Publishing.</w:t>
      </w:r>
    </w:p>
    <w:p>
      <w:pPr>
        <w:pStyle w:val="Bibliography"/>
        <w:spacing w:before="120" w:after="120"/>
        <w:rPr>
          <w:u w:val="single"/>
        </w:rPr>
      </w:pPr>
      <w:r>
        <w:rPr>
          <w:rStyle w:val="legamendingtext"/>
          <w:rtl w:val="0"/>
          <w:lang w:val="en-US"/>
        </w:rPr>
        <w:t xml:space="preserve">UK Supreme Court, 2017 . </w:t>
      </w:r>
      <w:r>
        <w:rPr>
          <w:i w:val="1"/>
          <w:iCs w:val="1"/>
          <w:rtl w:val="0"/>
          <w:lang w:val="en-US"/>
        </w:rPr>
        <w:t xml:space="preserve">Information Pack: Vacancies for Appointment as President of the Supreme Court [and] Justice of The Supreme Court. </w:t>
      </w:r>
      <w:r>
        <w:rPr>
          <w:rStyle w:val="legamendingtext"/>
          <w:rtl w:val="0"/>
          <w:lang w:val="en-US"/>
        </w:rPr>
        <w:t xml:space="preserve">[Online] </w:t>
      </w:r>
      <w:r>
        <w:rPr>
          <w:rStyle w:val="legamendingtext"/>
        </w:rPr>
        <w:br w:type="textWrapping"/>
      </w:r>
      <w:r>
        <w:rPr>
          <w:rStyle w:val="legamendingtext"/>
          <w:rtl w:val="0"/>
          <w:lang w:val="en-US"/>
        </w:rPr>
        <w:t xml:space="preserve">Available at: </w:t>
      </w:r>
      <w:r>
        <w:rPr>
          <w:u w:val="single"/>
          <w:rtl w:val="0"/>
          <w:lang w:val="en-US"/>
        </w:rPr>
        <w:t>https://www.supremecourt.uk/docs/judicial-vacancies-2017-informationpack.pdf</w:t>
      </w:r>
    </w:p>
    <w:p>
      <w:pPr>
        <w:pStyle w:val="Bibliography"/>
        <w:spacing w:before="120" w:after="120"/>
        <w:rPr>
          <w:u w:val="single"/>
        </w:rPr>
      </w:pPr>
      <w:r>
        <w:rPr>
          <w:rStyle w:val="legamendingtext"/>
          <w:rtl w:val="0"/>
          <w:lang w:val="en-US"/>
        </w:rPr>
        <w:t>[Accessed 17 June 2022].</w:t>
      </w:r>
    </w:p>
    <w:p>
      <w:pPr>
        <w:pStyle w:val="Bibliography"/>
        <w:spacing w:before="120" w:after="120"/>
        <w:rPr>
          <w:rStyle w:val="legamendingtext"/>
        </w:rPr>
      </w:pPr>
      <w:r>
        <w:rPr>
          <w:rStyle w:val="legamendingtext"/>
          <w:rtl w:val="0"/>
          <w:lang w:val="en-US"/>
        </w:rPr>
        <w:t xml:space="preserve">UKSC &amp; JCPC, 2021. </w:t>
      </w:r>
      <w:r>
        <w:rPr>
          <w:i w:val="1"/>
          <w:iCs w:val="1"/>
          <w:rtl w:val="0"/>
          <w:lang w:val="en-US"/>
        </w:rPr>
        <w:t xml:space="preserve">The Supreme Court of the United Kingdom and the Judicial Committee of the Privy Council: Judicial Diversity and Inclusion Strategy 2021-2025, </w:t>
      </w:r>
      <w:r>
        <w:rPr>
          <w:rStyle w:val="legamendingtext"/>
          <w:rtl w:val="0"/>
          <w:lang w:val="en-US"/>
        </w:rPr>
        <w:t>s.l.: The Supreme Court of the United Kingdom and the Judicial Committee of the Privy Council.</w:t>
      </w:r>
    </w:p>
    <w:p>
      <w:pPr>
        <w:pStyle w:val="Bibliography"/>
        <w:spacing w:before="120" w:after="120"/>
        <w:rPr>
          <w:rStyle w:val="legamendingtext"/>
        </w:rPr>
      </w:pPr>
      <w:r>
        <w:rPr>
          <w:rStyle w:val="legamendingtext"/>
          <w:rtl w:val="0"/>
          <w:lang w:val="en-US"/>
        </w:rPr>
        <w:t xml:space="preserve">Weinshall, K., Sommer, U. &amp; Ritov, Y., 2018. Ideological influences on governance and regulation: The comparative case of supreme courts. </w:t>
      </w:r>
      <w:r>
        <w:rPr>
          <w:i w:val="1"/>
          <w:iCs w:val="1"/>
          <w:rtl w:val="0"/>
          <w:lang w:val="en-US"/>
        </w:rPr>
        <w:t xml:space="preserve">Regulation &amp; Governance, </w:t>
      </w:r>
      <w:r>
        <w:rPr>
          <w:rStyle w:val="legamendingtext"/>
          <w:rtl w:val="0"/>
          <w:lang w:val="en-US"/>
        </w:rPr>
        <w:t>12(3), pp. 334-352.</w:t>
      </w:r>
      <w:r>
        <w:rPr/>
        <w:fldChar w:fldCharType="end" w:fldLock="0"/>
      </w:r>
    </w:p>
    <w:p>
      <w:pPr>
        <w:pStyle w:val="Body"/>
        <w:spacing w:before="120" w:after="120"/>
      </w:pPr>
    </w:p>
    <w:p>
      <w:pPr>
        <w:pStyle w:val="Body"/>
        <w:spacing w:before="120" w:after="120"/>
        <w:rPr>
          <w:rFonts w:ascii="Calibri" w:cs="Calibri" w:hAnsi="Calibri" w:eastAsia="Calibri"/>
        </w:rPr>
      </w:pPr>
    </w:p>
    <w:p>
      <w:pPr>
        <w:pStyle w:val="Body"/>
        <w:spacing w:before="120" w:after="120"/>
      </w:pPr>
      <w:r>
        <w:rPr>
          <w:rFonts w:ascii="Calibri" w:cs="Calibri" w:hAnsi="Calibri" w:eastAsia="Calibri"/>
        </w:rPr>
      </w:r>
    </w:p>
    <w:sectPr>
      <w:headerReference w:type="default" r:id="rId4"/>
      <w:footerReference w:type="default" r:id="rId5"/>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rli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character" w:styleId="legamendingtext">
    <w:name w:val="legamendingtext"/>
    <w:rPr>
      <w:lang w:val="en-US"/>
    </w:rPr>
  </w:style>
  <w:style w:type="paragraph" w:styleId="Heading">
    <w:name w:val="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0"/>
    </w:pPr>
    <w:rPr>
      <w:rFonts w:ascii="Carlito" w:cs="Arial Unicode MS" w:hAnsi="Carlito" w:eastAsia="Arial Unicode MS"/>
      <w:b w:val="1"/>
      <w:bCs w:val="1"/>
      <w:i w:val="0"/>
      <w:iCs w:val="0"/>
      <w:caps w:val="0"/>
      <w:smallCaps w:val="0"/>
      <w:strike w:val="0"/>
      <w:dstrike w:val="0"/>
      <w:outline w:val="0"/>
      <w:color w:val="2f5496"/>
      <w:spacing w:val="0"/>
      <w:kern w:val="0"/>
      <w:position w:val="0"/>
      <w:sz w:val="28"/>
      <w:szCs w:val="28"/>
      <w:u w:val="none" w:color="2f5496"/>
      <w:shd w:val="nil" w:color="auto" w:fill="auto"/>
      <w:vertAlign w:val="baseline"/>
      <w:lang w:val="fr-FR"/>
      <w14:textOutline>
        <w14:noFill/>
      </w14:textOutline>
      <w14:textFill>
        <w14:solidFill>
          <w14:srgbClr w14:val="2F5496"/>
        </w14:solidFill>
      </w14:textFill>
    </w:rPr>
  </w:style>
  <w:style w:type="paragraph" w:styleId="Bibliography">
    <w:name w:val="Bibliograph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