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2B4" w:rsidRPr="001F62B4" w:rsidRDefault="001F62B4" w:rsidP="00B5174F">
      <w:pPr>
        <w:spacing w:before="100" w:beforeAutospacing="1" w:after="100" w:afterAutospacing="1" w:line="360" w:lineRule="auto"/>
        <w:outlineLvl w:val="2"/>
        <w:rPr>
          <w:rFonts w:ascii="Arial" w:eastAsia="Times New Roman" w:hAnsi="Arial" w:cs="Arial"/>
          <w:b/>
          <w:bCs/>
          <w:kern w:val="0"/>
          <w:lang w:eastAsia="en-GB"/>
          <w14:ligatures w14:val="none"/>
        </w:rPr>
      </w:pPr>
      <w:r w:rsidRPr="00B5174F">
        <w:rPr>
          <w:rFonts w:ascii="Arial" w:eastAsia="Times New Roman" w:hAnsi="Arial" w:cs="Arial"/>
          <w:b/>
          <w:bCs/>
          <w:kern w:val="0"/>
          <w:lang w:eastAsia="en-GB"/>
          <w14:ligatures w14:val="none"/>
        </w:rPr>
        <w:t>Introduction</w:t>
      </w:r>
    </w:p>
    <w:p w:rsidR="002E082C" w:rsidRPr="007B4C70" w:rsidRDefault="002E082C" w:rsidP="002E082C">
      <w:pPr>
        <w:spacing w:line="360" w:lineRule="auto"/>
        <w:rPr>
          <w:rFonts w:ascii="Arial" w:hAnsi="Arial" w:cs="Arial"/>
        </w:rPr>
      </w:pPr>
      <w:r w:rsidRPr="007B4C70">
        <w:rPr>
          <w:rFonts w:ascii="Arial" w:hAnsi="Arial" w:cs="Arial"/>
        </w:rPr>
        <w:t>Moving from hospital care to support in the community is a crucial step in the recovery process for people who need ongoing help after serious health issues like a stroke. During this period, patients often depend on a range of health and social care professionals working together to provide coordinated care that addresses both their medical needs and everyday living requirements (</w:t>
      </w:r>
      <w:proofErr w:type="spellStart"/>
      <w:r w:rsidRPr="007B4C70">
        <w:rPr>
          <w:rFonts w:ascii="Arial" w:hAnsi="Arial" w:cs="Arial"/>
        </w:rPr>
        <w:t>Prvu</w:t>
      </w:r>
      <w:proofErr w:type="spellEnd"/>
      <w:r w:rsidRPr="007B4C70">
        <w:rPr>
          <w:rFonts w:ascii="Arial" w:hAnsi="Arial" w:cs="Arial"/>
        </w:rPr>
        <w:t xml:space="preserve"> </w:t>
      </w:r>
      <w:proofErr w:type="spellStart"/>
      <w:r w:rsidRPr="007B4C70">
        <w:rPr>
          <w:rFonts w:ascii="Arial" w:hAnsi="Arial" w:cs="Arial"/>
        </w:rPr>
        <w:t>Bettger</w:t>
      </w:r>
      <w:proofErr w:type="spellEnd"/>
      <w:r w:rsidRPr="007B4C70">
        <w:rPr>
          <w:rFonts w:ascii="Arial" w:hAnsi="Arial" w:cs="Arial"/>
        </w:rPr>
        <w:t xml:space="preserve"> et al., 2012). For this to work well, clear communications, accurate record-keeping and strong teamwork among professionals are absolutely essential. These elements help keep patients safe and minimize mistakes in care. Unfortunately, when these systems break down, </w:t>
      </w:r>
      <w:r>
        <w:rPr>
          <w:rFonts w:ascii="Arial" w:hAnsi="Arial" w:cs="Arial"/>
        </w:rPr>
        <w:t xml:space="preserve">it can lead to serious problems </w:t>
      </w:r>
      <w:r w:rsidRPr="007B4C70">
        <w:rPr>
          <w:rFonts w:ascii="Arial" w:hAnsi="Arial" w:cs="Arial"/>
        </w:rPr>
        <w:t>as we see in Mr Ahmed’s situation.</w:t>
      </w:r>
    </w:p>
    <w:p w:rsidR="002E082C" w:rsidRPr="007B4C70" w:rsidRDefault="002E082C" w:rsidP="002E082C">
      <w:pPr>
        <w:spacing w:line="360" w:lineRule="auto"/>
        <w:rPr>
          <w:rFonts w:ascii="Arial" w:hAnsi="Arial" w:cs="Arial"/>
        </w:rPr>
      </w:pPr>
      <w:r w:rsidRPr="007B4C70">
        <w:rPr>
          <w:rFonts w:ascii="Arial" w:hAnsi="Arial" w:cs="Arial"/>
        </w:rPr>
        <w:t xml:space="preserve">Good communication is also </w:t>
      </w:r>
      <w:proofErr w:type="gramStart"/>
      <w:r w:rsidRPr="007B4C70">
        <w:rPr>
          <w:rFonts w:ascii="Arial" w:hAnsi="Arial" w:cs="Arial"/>
        </w:rPr>
        <w:t>key</w:t>
      </w:r>
      <w:proofErr w:type="gramEnd"/>
      <w:r w:rsidRPr="007B4C70">
        <w:rPr>
          <w:rFonts w:ascii="Arial" w:hAnsi="Arial" w:cs="Arial"/>
        </w:rPr>
        <w:t xml:space="preserve"> in helping patients understand their treatment and get involved in decisions about their care (Forster et al., 2012). When communication, documentation, and collaboration are all functioning smoothly, they support continuous, person-centred care. </w:t>
      </w:r>
    </w:p>
    <w:p w:rsidR="002E082C" w:rsidRPr="007B4C70" w:rsidRDefault="002E082C" w:rsidP="002E082C">
      <w:pPr>
        <w:spacing w:line="360" w:lineRule="auto"/>
        <w:rPr>
          <w:rFonts w:ascii="Arial" w:hAnsi="Arial" w:cs="Arial"/>
        </w:rPr>
      </w:pPr>
      <w:r w:rsidRPr="007B4C70">
        <w:rPr>
          <w:rFonts w:ascii="Arial" w:hAnsi="Arial" w:cs="Arial"/>
        </w:rPr>
        <w:t>Mr Ahmed’s situation really highlights why these factors are so important. He’s a 68-year-old man recovering from a stroke who relies on support from a home care agency and a team of healthcare professionals from different disciplines. Unfortunately, a missed home visit caused a delay in his medication, which brought up concerns about communication, record keeping, and how well his care was coordinated. This report will take a closer look at the barriers to communication, the role of administrative systems, and why working together is crucial to pro</w:t>
      </w:r>
      <w:r>
        <w:rPr>
          <w:rFonts w:ascii="Arial" w:hAnsi="Arial" w:cs="Arial"/>
        </w:rPr>
        <w:t>viding safe and effective care.</w:t>
      </w:r>
    </w:p>
    <w:p w:rsidR="001F62B4" w:rsidRPr="001F62B4" w:rsidRDefault="001F62B4" w:rsidP="00B5174F">
      <w:pPr>
        <w:spacing w:before="100" w:beforeAutospacing="1" w:after="100" w:afterAutospacing="1" w:line="360" w:lineRule="auto"/>
        <w:outlineLvl w:val="2"/>
        <w:rPr>
          <w:rFonts w:ascii="Arial" w:eastAsia="Times New Roman" w:hAnsi="Arial" w:cs="Arial"/>
          <w:b/>
          <w:bCs/>
          <w:kern w:val="0"/>
          <w:lang w:eastAsia="en-GB"/>
          <w14:ligatures w14:val="none"/>
        </w:rPr>
      </w:pPr>
      <w:r w:rsidRPr="00B5174F">
        <w:rPr>
          <w:rFonts w:ascii="Arial" w:eastAsia="Times New Roman" w:hAnsi="Arial" w:cs="Arial"/>
          <w:b/>
          <w:bCs/>
          <w:kern w:val="0"/>
          <w:lang w:eastAsia="en-GB"/>
          <w14:ligatures w14:val="none"/>
        </w:rPr>
        <w:t>Communication</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Effective communication is an essential part of safe and person-centred health and social care. It allows professionals to share information clearly, build trust with service users, and ensure that patients understand their treatment and care needs (Silverman et al., 2016). When communication is effective, patients are more likely to take part in decisions about their care and follow treatment plans.</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 xml:space="preserve">In Mr Ahmed’s case, communication may be difficult due to both language barriers and the effects of his stroke. As Bengali is his first language, he may struggle to understand complex medical information in English. In addition, stroke can affect speech, understanding, and cognitive processing, making communication more challenging. These barriers may lead to misunderstandings about medication or treatment, which could result in errors in care and limit Mr Ahmed’s ability to give informed consent (Al </w:t>
      </w:r>
      <w:proofErr w:type="spellStart"/>
      <w:r w:rsidRPr="001F62B4">
        <w:rPr>
          <w:rFonts w:ascii="Arial" w:eastAsia="Times New Roman" w:hAnsi="Arial" w:cs="Arial"/>
          <w:kern w:val="0"/>
          <w:lang w:eastAsia="en-GB"/>
          <w14:ligatures w14:val="none"/>
        </w:rPr>
        <w:t>Shamsi</w:t>
      </w:r>
      <w:proofErr w:type="spellEnd"/>
      <w:r w:rsidRPr="001F62B4">
        <w:rPr>
          <w:rFonts w:ascii="Arial" w:eastAsia="Times New Roman" w:hAnsi="Arial" w:cs="Arial"/>
          <w:kern w:val="0"/>
          <w:lang w:eastAsia="en-GB"/>
          <w14:ligatures w14:val="none"/>
        </w:rPr>
        <w:t xml:space="preserve"> et al., 2020). If communication </w:t>
      </w:r>
      <w:r w:rsidRPr="001F62B4">
        <w:rPr>
          <w:rFonts w:ascii="Arial" w:eastAsia="Times New Roman" w:hAnsi="Arial" w:cs="Arial"/>
          <w:kern w:val="0"/>
          <w:lang w:eastAsia="en-GB"/>
          <w14:ligatures w14:val="none"/>
        </w:rPr>
        <w:lastRenderedPageBreak/>
        <w:t>is not adapted effectively, misunderstandings may affect treatment outcomes and patient safety.</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Healthcare professionals should adapt their communication to meet Mr Ahmed’s needs. This includes using clear and simple language, speaking slowly, and checking understanding regularly. Non-verbal methods such as gestures, visual aids, or written information may also support understanding. Although Mr Ahmed’s wife can help with communication, it is important that professionals speak directly to him to maintain his independence and involvement in decisions about his care. However, family involvement should not replace direct communication, as this may lead to misinterpretation of information and reduce patient autonomy. A balanced approach ensures that Mr Ahmed remains central in all discussions about his care.</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Communication can also be explained using Berlo’s SMCR model, which includes the source, message, channel, and receiver (Silverman et al., 2016). In healthcare, the professional is the source, the information about treatment is the message, and the channel may be spoken, written, or visual communication. The patient is the receiver who interprets the message. In Mr Ahmed’s case, communication may break down if the message is too complex or the channel is not appropriate. For example, using medical terminology without explanation may cause confusion. By adapting the message and using suitable communication methods, professionals can improve understanding and ensure that information is interpreted correctly. This shows that effective communication is not only about delivering information, but ensuring it is understood.</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The Equality Act 2010 requires healthcare professionals to ensure that individuals are not disadvantaged due to disability or language barriers. In this case, professionals must take reasonable steps to ensure Mr Ahmed can understand information and take part in his care. By adapting communication, healthcare professionals support patient safety, dignity, and person-centred care.</w:t>
      </w:r>
    </w:p>
    <w:p w:rsidR="001F62B4" w:rsidRPr="001F62B4" w:rsidRDefault="001F62B4" w:rsidP="00B5174F">
      <w:pPr>
        <w:spacing w:before="100" w:beforeAutospacing="1" w:after="100" w:afterAutospacing="1" w:line="360" w:lineRule="auto"/>
        <w:outlineLvl w:val="2"/>
        <w:rPr>
          <w:rFonts w:ascii="Arial" w:eastAsia="Times New Roman" w:hAnsi="Arial" w:cs="Arial"/>
          <w:b/>
          <w:bCs/>
          <w:kern w:val="0"/>
          <w:lang w:eastAsia="en-GB"/>
          <w14:ligatures w14:val="none"/>
        </w:rPr>
      </w:pPr>
      <w:r w:rsidRPr="00B5174F">
        <w:rPr>
          <w:rFonts w:ascii="Arial" w:eastAsia="Times New Roman" w:hAnsi="Arial" w:cs="Arial"/>
          <w:b/>
          <w:bCs/>
          <w:kern w:val="0"/>
          <w:lang w:eastAsia="en-GB"/>
          <w14:ligatures w14:val="none"/>
        </w:rPr>
        <w:t>Administrative Skills &amp; Record Keeping</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Administrative skills and accurate record keeping are essential in health and social care because they ensure that patient information is recorded, organised, and shared correctly. Good record keeping supports continuity of care by allowing professionals to access up-to-date information and make informed decisions (</w:t>
      </w:r>
      <w:proofErr w:type="spellStart"/>
      <w:r w:rsidRPr="001F62B4">
        <w:rPr>
          <w:rFonts w:ascii="Arial" w:eastAsia="Times New Roman" w:hAnsi="Arial" w:cs="Arial"/>
          <w:kern w:val="0"/>
          <w:lang w:eastAsia="en-GB"/>
          <w14:ligatures w14:val="none"/>
        </w:rPr>
        <w:t>Pöder</w:t>
      </w:r>
      <w:proofErr w:type="spellEnd"/>
      <w:r w:rsidRPr="001F62B4">
        <w:rPr>
          <w:rFonts w:ascii="Arial" w:eastAsia="Times New Roman" w:hAnsi="Arial" w:cs="Arial"/>
          <w:kern w:val="0"/>
          <w:lang w:eastAsia="en-GB"/>
          <w14:ligatures w14:val="none"/>
        </w:rPr>
        <w:t xml:space="preserve"> et al., 2015). Without accurate records, important information may be missed, leading to errors in care or inappropriate treatment.</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lastRenderedPageBreak/>
        <w:t>In practice, administrative systems such as care schedules, monitoring systems, and digital records help prevent these issues by ensuring that all care activities are tracked and reviewed. Scheduled visits should be recorded and regularly checked so that any missed or delayed care can be identified and addressed promptly.</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In Mr Ahmed’s case, record keeping is particularly important because multiple professionals are involved in his care. These include his GP, district nurse, speech and language therapist, and domiciliary care workers. Each professional must record the care they provide so that others are aware of any changes in his condition or treatment. This helps ensure that care is consistent and coordinated, reducing gaps or duplication in care delivery.</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The missed home care visit in the case study shows how weaknesses in administrative systems can affect care. If scheduled visits are not properly recorded or monitored, important care such as medication may be delayed, which can worsen Mr Ahmed’s condition. This also raises concerns about duty of care and organisational accountability. It suggests that systems may not have been effectively monitored, allowing the issue to occur without being identified in time.</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 xml:space="preserve">Many healthcare organisations use electronic patient record (EPR) systems to store and share information. These systems improve safety by allowing professionals to quickly access accurate patient data, reducing errors caused by missing or </w:t>
      </w:r>
      <w:proofErr w:type="spellStart"/>
      <w:r w:rsidRPr="001F62B4">
        <w:rPr>
          <w:rFonts w:ascii="Arial" w:eastAsia="Times New Roman" w:hAnsi="Arial" w:cs="Arial"/>
          <w:kern w:val="0"/>
          <w:lang w:eastAsia="en-GB"/>
          <w14:ligatures w14:val="none"/>
        </w:rPr>
        <w:t>outdated</w:t>
      </w:r>
      <w:proofErr w:type="spellEnd"/>
      <w:r w:rsidRPr="001F62B4">
        <w:rPr>
          <w:rFonts w:ascii="Arial" w:eastAsia="Times New Roman" w:hAnsi="Arial" w:cs="Arial"/>
          <w:kern w:val="0"/>
          <w:lang w:eastAsia="en-GB"/>
          <w14:ligatures w14:val="none"/>
        </w:rPr>
        <w:t xml:space="preserve"> information and supporting better coordination between services (Miller et al., 2021).</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In addition, organisations must follow standards set by bodies such as the Care Quality Commission (CQC), which promotes safe, effective and well-led care. Weaknesses in record keeping or missed visits may indicate failures in meeting these standards and could lead to further investigation or regulatory action.</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Record keeping must also follow the Data Protection Act 2018, which ensures that personal information is kept secure and only shared with authorised individuals. Healthcare professionals must maintain confidentiality and handle patient information responsibly. Failure to do so may result in legal consequences, as well as a loss of trust between patients and healthcare providers.</w:t>
      </w:r>
    </w:p>
    <w:p w:rsidR="001F62B4" w:rsidRPr="001F62B4" w:rsidRDefault="001F62B4" w:rsidP="00B5174F">
      <w:pPr>
        <w:spacing w:before="100" w:beforeAutospacing="1" w:after="100" w:afterAutospacing="1" w:line="360" w:lineRule="auto"/>
        <w:outlineLvl w:val="2"/>
        <w:rPr>
          <w:rFonts w:ascii="Arial" w:eastAsia="Times New Roman" w:hAnsi="Arial" w:cs="Arial"/>
          <w:b/>
          <w:bCs/>
          <w:kern w:val="0"/>
          <w:lang w:eastAsia="en-GB"/>
          <w14:ligatures w14:val="none"/>
        </w:rPr>
      </w:pPr>
      <w:r w:rsidRPr="00B5174F">
        <w:rPr>
          <w:rFonts w:ascii="Arial" w:eastAsia="Times New Roman" w:hAnsi="Arial" w:cs="Arial"/>
          <w:b/>
          <w:bCs/>
          <w:kern w:val="0"/>
          <w:lang w:eastAsia="en-GB"/>
          <w14:ligatures w14:val="none"/>
        </w:rPr>
        <w:t>Collaborative Working</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 xml:space="preserve">Collaborative working is an important part of health and social care, especially when individuals require support from multiple professionals. </w:t>
      </w:r>
      <w:proofErr w:type="gramStart"/>
      <w:r w:rsidRPr="001F62B4">
        <w:rPr>
          <w:rFonts w:ascii="Arial" w:eastAsia="Times New Roman" w:hAnsi="Arial" w:cs="Arial"/>
          <w:kern w:val="0"/>
          <w:lang w:eastAsia="en-GB"/>
          <w14:ligatures w14:val="none"/>
        </w:rPr>
        <w:t xml:space="preserve">When professionals work together </w:t>
      </w:r>
      <w:r w:rsidRPr="001F62B4">
        <w:rPr>
          <w:rFonts w:ascii="Arial" w:eastAsia="Times New Roman" w:hAnsi="Arial" w:cs="Arial"/>
          <w:kern w:val="0"/>
          <w:lang w:eastAsia="en-GB"/>
          <w14:ligatures w14:val="none"/>
        </w:rPr>
        <w:lastRenderedPageBreak/>
        <w:t>effectively, they can share information, coordinate their roles, and provide care that meets the needs of the individual (WHO, 2010).</w:t>
      </w:r>
      <w:proofErr w:type="gramEnd"/>
      <w:r w:rsidRPr="001F62B4">
        <w:rPr>
          <w:rFonts w:ascii="Arial" w:eastAsia="Times New Roman" w:hAnsi="Arial" w:cs="Arial"/>
          <w:kern w:val="0"/>
          <w:lang w:eastAsia="en-GB"/>
          <w14:ligatures w14:val="none"/>
        </w:rPr>
        <w:t xml:space="preserve"> This is particularly important in complex cases, where poor coordination may lead to delays or gaps in care.</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In Mr Ahmed’s case, several professionals are involved in his care, including a GP, district nurse, speech and language therapist, and domiciliary care workers. Each professional has a specific role in supporting his recovery. The GP manages his medical care, the district nurse monitors his condition, and the speech and language therapist supports communication and swallowing. Domiciliary care workers assist with daily activities such as personal care, medication, and meals.</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Effective collaboration can be supported through regular communication, shared care plans, and multidisciplinary team (MDT) meetings (Rawlinson et al., 2021). These approaches ensure that all professionals have consistent and up-to-date information, allowing them to plan care effectively and avoid misunderstandings.</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However, collaborative working can present challenges. Differences in roles, communication problems, and workload pressures may lead to confusion or missed information (Rawlinson et al., 2021). In Mr Ahmed’s case, the missed home care visit suggests that coordination between services may not have been fully effective. This indicates that communication systems or monitoring processes may not have been strong enough to prevent the issue.</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To improve collaboration, structured strategies are needed. Regular MDT meetings allow professionals to review patient progress and identify issues early. Shared digital care records ensure that all professionals can access the same information, reducing inconsistencies. Clear communication protocols, such as handover procedures and reporting systems, help ensure that important information is shared accurately.</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These strategies strengthen teamwork and accountability by ensuring that each professional understands their role. Without these systems, care may become disorganised, leading to missed care or delays in treatment (</w:t>
      </w:r>
      <w:proofErr w:type="spellStart"/>
      <w:r w:rsidRPr="001F62B4">
        <w:rPr>
          <w:rFonts w:ascii="Arial" w:eastAsia="Times New Roman" w:hAnsi="Arial" w:cs="Arial"/>
          <w:kern w:val="0"/>
          <w:lang w:eastAsia="en-GB"/>
          <w14:ligatures w14:val="none"/>
        </w:rPr>
        <w:t>Bouton</w:t>
      </w:r>
      <w:proofErr w:type="spellEnd"/>
      <w:r w:rsidRPr="001F62B4">
        <w:rPr>
          <w:rFonts w:ascii="Arial" w:eastAsia="Times New Roman" w:hAnsi="Arial" w:cs="Arial"/>
          <w:kern w:val="0"/>
          <w:lang w:eastAsia="en-GB"/>
          <w14:ligatures w14:val="none"/>
        </w:rPr>
        <w:t xml:space="preserve"> et al., 2023).</w:t>
      </w:r>
    </w:p>
    <w:p w:rsidR="001F62B4" w:rsidRPr="001F62B4"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Clear communication, defined roles, and strong leadership are also essential. A care coordinator or GP can oversee the care plan, ensuring that services are well organised and any issues are addressed quickly.</w:t>
      </w:r>
    </w:p>
    <w:p w:rsidR="001F62B4" w:rsidRPr="00B5174F"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1F62B4">
        <w:rPr>
          <w:rFonts w:ascii="Arial" w:eastAsia="Times New Roman" w:hAnsi="Arial" w:cs="Arial"/>
          <w:kern w:val="0"/>
          <w:lang w:eastAsia="en-GB"/>
          <w14:ligatures w14:val="none"/>
        </w:rPr>
        <w:t>When professionals work together effectively, it improves decision-making, strengthens coordination, and supports safe, person-centred care.</w:t>
      </w:r>
    </w:p>
    <w:p w:rsidR="001F62B4" w:rsidRPr="00B752F3" w:rsidRDefault="001F62B4" w:rsidP="00B5174F">
      <w:pPr>
        <w:spacing w:before="100" w:beforeAutospacing="1" w:after="100" w:afterAutospacing="1" w:line="360" w:lineRule="auto"/>
        <w:outlineLvl w:val="1"/>
        <w:rPr>
          <w:rFonts w:ascii="Arial" w:eastAsia="Times New Roman" w:hAnsi="Arial" w:cs="Arial"/>
          <w:b/>
          <w:bCs/>
          <w:kern w:val="0"/>
          <w:lang w:eastAsia="en-GB"/>
          <w14:ligatures w14:val="none"/>
        </w:rPr>
      </w:pPr>
      <w:r w:rsidRPr="00B5174F">
        <w:rPr>
          <w:rFonts w:ascii="Arial" w:eastAsia="Times New Roman" w:hAnsi="Arial" w:cs="Arial"/>
          <w:b/>
          <w:bCs/>
          <w:kern w:val="0"/>
          <w:lang w:eastAsia="en-GB"/>
          <w14:ligatures w14:val="none"/>
        </w:rPr>
        <w:lastRenderedPageBreak/>
        <w:t>Conclusion</w:t>
      </w:r>
    </w:p>
    <w:p w:rsidR="001F62B4" w:rsidRPr="00B752F3"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B752F3">
        <w:rPr>
          <w:rFonts w:ascii="Arial" w:eastAsia="Times New Roman" w:hAnsi="Arial" w:cs="Arial"/>
          <w:kern w:val="0"/>
          <w:lang w:eastAsia="en-GB"/>
          <w14:ligatures w14:val="none"/>
        </w:rPr>
        <w:t>In conclusion, effective communication, accurate record keeping, and collaborative working are essential for safe and high-quality health and social care. These factors are especially important when supporting individuals with complex needs, such as Mr Ahmed.</w:t>
      </w:r>
    </w:p>
    <w:p w:rsidR="001F62B4" w:rsidRPr="00B752F3"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B752F3">
        <w:rPr>
          <w:rFonts w:ascii="Arial" w:eastAsia="Times New Roman" w:hAnsi="Arial" w:cs="Arial"/>
          <w:kern w:val="0"/>
          <w:lang w:eastAsia="en-GB"/>
          <w14:ligatures w14:val="none"/>
        </w:rPr>
        <w:t>Communication must be adapted to overcome language barriers and the effects of stroke, ensuring that patients understand their care and can take part in decisions. Record keeping plays a key role in maintaining patient safety, as accurate documentation ensures that care is delivered correctly and consistently. The missed home care visit highlights how failures in administrative systems may affect patient wellbeing and raise concerns about professional accountability.</w:t>
      </w:r>
    </w:p>
    <w:p w:rsidR="001F62B4" w:rsidRPr="00B752F3" w:rsidRDefault="001F62B4" w:rsidP="00B5174F">
      <w:pPr>
        <w:spacing w:before="100" w:beforeAutospacing="1" w:after="100" w:afterAutospacing="1" w:line="360" w:lineRule="auto"/>
        <w:rPr>
          <w:rFonts w:ascii="Arial" w:eastAsia="Times New Roman" w:hAnsi="Arial" w:cs="Arial"/>
          <w:kern w:val="0"/>
          <w:lang w:eastAsia="en-GB"/>
          <w14:ligatures w14:val="none"/>
        </w:rPr>
      </w:pPr>
      <w:r w:rsidRPr="00B752F3">
        <w:rPr>
          <w:rFonts w:ascii="Arial" w:eastAsia="Times New Roman" w:hAnsi="Arial" w:cs="Arial"/>
          <w:kern w:val="0"/>
          <w:lang w:eastAsia="en-GB"/>
          <w14:ligatures w14:val="none"/>
        </w:rPr>
        <w:t>Collaborative working between professionals is also essential for providing coordinated and effective care. By improving communication, maintaining accurate records, and strengthening teamwork, healthcare professionals can ensure that patients receive safe, person-centred, and well-coordinated care. Overall, effective systems and professional responsibility are essential to prevent errors and ensure positive outcomes for individuals such as Mr Ahmed.</w:t>
      </w:r>
    </w:p>
    <w:p w:rsidR="001F62B4" w:rsidRPr="00B5174F" w:rsidRDefault="001F62B4" w:rsidP="00B5174F">
      <w:pPr>
        <w:spacing w:before="100" w:beforeAutospacing="1" w:after="100" w:afterAutospacing="1" w:line="360" w:lineRule="auto"/>
        <w:rPr>
          <w:rFonts w:ascii="Arial" w:eastAsia="Times New Roman" w:hAnsi="Arial" w:cs="Arial"/>
          <w:kern w:val="0"/>
          <w:lang w:eastAsia="en-GB"/>
          <w14:ligatures w14:val="none"/>
        </w:rPr>
      </w:pP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
    <w:p w:rsidR="00B5174F" w:rsidRPr="00B5174F" w:rsidRDefault="00B5174F" w:rsidP="00B5174F">
      <w:pPr>
        <w:spacing w:before="100" w:beforeAutospacing="1" w:after="100" w:afterAutospacing="1" w:line="360" w:lineRule="auto"/>
        <w:rPr>
          <w:rFonts w:ascii="Arial" w:eastAsia="Times New Roman" w:hAnsi="Arial" w:cs="Arial"/>
          <w:b/>
          <w:kern w:val="0"/>
          <w:lang w:eastAsia="en-GB"/>
          <w14:ligatures w14:val="none"/>
        </w:rPr>
      </w:pPr>
      <w:r w:rsidRPr="00B5174F">
        <w:rPr>
          <w:rFonts w:ascii="Arial" w:eastAsia="Times New Roman" w:hAnsi="Arial" w:cs="Arial"/>
          <w:b/>
          <w:kern w:val="0"/>
          <w:lang w:eastAsia="en-GB"/>
          <w14:ligatures w14:val="none"/>
        </w:rPr>
        <w:lastRenderedPageBreak/>
        <w:t>REFERENCES</w:t>
      </w: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roofErr w:type="gramStart"/>
      <w:r w:rsidRPr="00B5174F">
        <w:rPr>
          <w:rFonts w:ascii="Arial" w:eastAsia="Times New Roman" w:hAnsi="Arial" w:cs="Arial"/>
          <w:kern w:val="0"/>
          <w:lang w:eastAsia="en-GB"/>
          <w14:ligatures w14:val="none"/>
        </w:rPr>
        <w:t xml:space="preserve">Al </w:t>
      </w:r>
      <w:proofErr w:type="spellStart"/>
      <w:r w:rsidRPr="00B5174F">
        <w:rPr>
          <w:rFonts w:ascii="Arial" w:eastAsia="Times New Roman" w:hAnsi="Arial" w:cs="Arial"/>
          <w:kern w:val="0"/>
          <w:lang w:eastAsia="en-GB"/>
          <w14:ligatures w14:val="none"/>
        </w:rPr>
        <w:t>Shamsi</w:t>
      </w:r>
      <w:proofErr w:type="spellEnd"/>
      <w:r w:rsidRPr="00B5174F">
        <w:rPr>
          <w:rFonts w:ascii="Arial" w:eastAsia="Times New Roman" w:hAnsi="Arial" w:cs="Arial"/>
          <w:kern w:val="0"/>
          <w:lang w:eastAsia="en-GB"/>
          <w14:ligatures w14:val="none"/>
        </w:rPr>
        <w:t xml:space="preserve">, H., </w:t>
      </w:r>
      <w:proofErr w:type="spellStart"/>
      <w:r w:rsidRPr="00B5174F">
        <w:rPr>
          <w:rFonts w:ascii="Arial" w:eastAsia="Times New Roman" w:hAnsi="Arial" w:cs="Arial"/>
          <w:kern w:val="0"/>
          <w:lang w:eastAsia="en-GB"/>
          <w14:ligatures w14:val="none"/>
        </w:rPr>
        <w:t>Almutairi</w:t>
      </w:r>
      <w:proofErr w:type="spellEnd"/>
      <w:r w:rsidRPr="00B5174F">
        <w:rPr>
          <w:rFonts w:ascii="Arial" w:eastAsia="Times New Roman" w:hAnsi="Arial" w:cs="Arial"/>
          <w:kern w:val="0"/>
          <w:lang w:eastAsia="en-GB"/>
          <w14:ligatures w14:val="none"/>
        </w:rPr>
        <w:t xml:space="preserve">, A.G., Al </w:t>
      </w:r>
      <w:proofErr w:type="spellStart"/>
      <w:r w:rsidRPr="00B5174F">
        <w:rPr>
          <w:rFonts w:ascii="Arial" w:eastAsia="Times New Roman" w:hAnsi="Arial" w:cs="Arial"/>
          <w:kern w:val="0"/>
          <w:lang w:eastAsia="en-GB"/>
          <w14:ligatures w14:val="none"/>
        </w:rPr>
        <w:t>Mashrafi</w:t>
      </w:r>
      <w:proofErr w:type="spellEnd"/>
      <w:r w:rsidRPr="00B5174F">
        <w:rPr>
          <w:rFonts w:ascii="Arial" w:eastAsia="Times New Roman" w:hAnsi="Arial" w:cs="Arial"/>
          <w:kern w:val="0"/>
          <w:lang w:eastAsia="en-GB"/>
          <w14:ligatures w14:val="none"/>
        </w:rPr>
        <w:t xml:space="preserve">, S. and Al </w:t>
      </w:r>
      <w:proofErr w:type="spellStart"/>
      <w:r w:rsidRPr="00B5174F">
        <w:rPr>
          <w:rFonts w:ascii="Arial" w:eastAsia="Times New Roman" w:hAnsi="Arial" w:cs="Arial"/>
          <w:kern w:val="0"/>
          <w:lang w:eastAsia="en-GB"/>
          <w14:ligatures w14:val="none"/>
        </w:rPr>
        <w:t>Kalbani</w:t>
      </w:r>
      <w:proofErr w:type="spellEnd"/>
      <w:r w:rsidRPr="00B5174F">
        <w:rPr>
          <w:rFonts w:ascii="Arial" w:eastAsia="Times New Roman" w:hAnsi="Arial" w:cs="Arial"/>
          <w:kern w:val="0"/>
          <w:lang w:eastAsia="en-GB"/>
          <w14:ligatures w14:val="none"/>
        </w:rPr>
        <w:t>, T., 2020.</w:t>
      </w:r>
      <w:proofErr w:type="gramEnd"/>
      <w:r w:rsidRPr="00B5174F">
        <w:rPr>
          <w:rFonts w:ascii="Arial" w:eastAsia="Times New Roman" w:hAnsi="Arial" w:cs="Arial"/>
          <w:kern w:val="0"/>
          <w:lang w:eastAsia="en-GB"/>
          <w14:ligatures w14:val="none"/>
        </w:rPr>
        <w:t xml:space="preserve"> Implications of language barriers for healthcare: a systematic review. </w:t>
      </w:r>
      <w:r w:rsidRPr="00B5174F">
        <w:rPr>
          <w:rFonts w:ascii="Arial" w:eastAsia="Times New Roman" w:hAnsi="Arial" w:cs="Arial"/>
          <w:i/>
          <w:iCs/>
          <w:kern w:val="0"/>
          <w:lang w:eastAsia="en-GB"/>
          <w14:ligatures w14:val="none"/>
        </w:rPr>
        <w:t>Oman Medical Journal</w:t>
      </w:r>
      <w:r w:rsidRPr="00B5174F">
        <w:rPr>
          <w:rFonts w:ascii="Arial" w:eastAsia="Times New Roman" w:hAnsi="Arial" w:cs="Arial"/>
          <w:kern w:val="0"/>
          <w:lang w:eastAsia="en-GB"/>
          <w14:ligatures w14:val="none"/>
        </w:rPr>
        <w:t>, 35(2), p.e122.</w:t>
      </w: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roofErr w:type="spellStart"/>
      <w:proofErr w:type="gramStart"/>
      <w:r w:rsidRPr="00B5174F">
        <w:rPr>
          <w:rFonts w:ascii="Arial" w:eastAsia="Times New Roman" w:hAnsi="Arial" w:cs="Arial"/>
          <w:kern w:val="0"/>
          <w:lang w:eastAsia="en-GB"/>
          <w14:ligatures w14:val="none"/>
        </w:rPr>
        <w:t>Bouton</w:t>
      </w:r>
      <w:proofErr w:type="spellEnd"/>
      <w:r w:rsidRPr="00B5174F">
        <w:rPr>
          <w:rFonts w:ascii="Arial" w:eastAsia="Times New Roman" w:hAnsi="Arial" w:cs="Arial"/>
          <w:kern w:val="0"/>
          <w:lang w:eastAsia="en-GB"/>
          <w14:ligatures w14:val="none"/>
        </w:rPr>
        <w:t xml:space="preserve">, C., </w:t>
      </w:r>
      <w:proofErr w:type="spellStart"/>
      <w:r w:rsidRPr="00B5174F">
        <w:rPr>
          <w:rFonts w:ascii="Arial" w:eastAsia="Times New Roman" w:hAnsi="Arial" w:cs="Arial"/>
          <w:kern w:val="0"/>
          <w:lang w:eastAsia="en-GB"/>
          <w14:ligatures w14:val="none"/>
        </w:rPr>
        <w:t>Journeaux</w:t>
      </w:r>
      <w:proofErr w:type="spellEnd"/>
      <w:r w:rsidRPr="00B5174F">
        <w:rPr>
          <w:rFonts w:ascii="Arial" w:eastAsia="Times New Roman" w:hAnsi="Arial" w:cs="Arial"/>
          <w:kern w:val="0"/>
          <w:lang w:eastAsia="en-GB"/>
          <w14:ligatures w14:val="none"/>
        </w:rPr>
        <w:t xml:space="preserve">, M., </w:t>
      </w:r>
      <w:proofErr w:type="spellStart"/>
      <w:r w:rsidRPr="00B5174F">
        <w:rPr>
          <w:rFonts w:ascii="Arial" w:eastAsia="Times New Roman" w:hAnsi="Arial" w:cs="Arial"/>
          <w:kern w:val="0"/>
          <w:lang w:eastAsia="en-GB"/>
          <w14:ligatures w14:val="none"/>
        </w:rPr>
        <w:t>Jourdain</w:t>
      </w:r>
      <w:proofErr w:type="spellEnd"/>
      <w:r w:rsidRPr="00B5174F">
        <w:rPr>
          <w:rFonts w:ascii="Arial" w:eastAsia="Times New Roman" w:hAnsi="Arial" w:cs="Arial"/>
          <w:kern w:val="0"/>
          <w:lang w:eastAsia="en-GB"/>
          <w14:ligatures w14:val="none"/>
        </w:rPr>
        <w:t xml:space="preserve">, M., </w:t>
      </w:r>
      <w:proofErr w:type="spellStart"/>
      <w:r w:rsidRPr="00B5174F">
        <w:rPr>
          <w:rFonts w:ascii="Arial" w:eastAsia="Times New Roman" w:hAnsi="Arial" w:cs="Arial"/>
          <w:kern w:val="0"/>
          <w:lang w:eastAsia="en-GB"/>
          <w14:ligatures w14:val="none"/>
        </w:rPr>
        <w:t>Angibaud</w:t>
      </w:r>
      <w:proofErr w:type="spellEnd"/>
      <w:r w:rsidRPr="00B5174F">
        <w:rPr>
          <w:rFonts w:ascii="Arial" w:eastAsia="Times New Roman" w:hAnsi="Arial" w:cs="Arial"/>
          <w:kern w:val="0"/>
          <w:lang w:eastAsia="en-GB"/>
          <w14:ligatures w14:val="none"/>
        </w:rPr>
        <w:t xml:space="preserve">, M., </w:t>
      </w:r>
      <w:proofErr w:type="spellStart"/>
      <w:r w:rsidRPr="00B5174F">
        <w:rPr>
          <w:rFonts w:ascii="Arial" w:eastAsia="Times New Roman" w:hAnsi="Arial" w:cs="Arial"/>
          <w:kern w:val="0"/>
          <w:lang w:eastAsia="en-GB"/>
          <w14:ligatures w14:val="none"/>
        </w:rPr>
        <w:t>Huon</w:t>
      </w:r>
      <w:proofErr w:type="spellEnd"/>
      <w:r w:rsidRPr="00B5174F">
        <w:rPr>
          <w:rFonts w:ascii="Arial" w:eastAsia="Times New Roman" w:hAnsi="Arial" w:cs="Arial"/>
          <w:kern w:val="0"/>
          <w:lang w:eastAsia="en-GB"/>
          <w14:ligatures w14:val="none"/>
        </w:rPr>
        <w:t>, J.F. and Rat, C., 2023.</w:t>
      </w:r>
      <w:proofErr w:type="gramEnd"/>
      <w:r w:rsidRPr="00B5174F">
        <w:rPr>
          <w:rFonts w:ascii="Arial" w:eastAsia="Times New Roman" w:hAnsi="Arial" w:cs="Arial"/>
          <w:kern w:val="0"/>
          <w:lang w:eastAsia="en-GB"/>
          <w14:ligatures w14:val="none"/>
        </w:rPr>
        <w:t xml:space="preserve"> </w:t>
      </w:r>
      <w:proofErr w:type="spellStart"/>
      <w:r w:rsidRPr="00B5174F">
        <w:rPr>
          <w:rFonts w:ascii="Arial" w:eastAsia="Times New Roman" w:hAnsi="Arial" w:cs="Arial"/>
          <w:kern w:val="0"/>
          <w:lang w:eastAsia="en-GB"/>
          <w14:ligatures w14:val="none"/>
        </w:rPr>
        <w:t>Interprofessional</w:t>
      </w:r>
      <w:proofErr w:type="spellEnd"/>
      <w:r w:rsidRPr="00B5174F">
        <w:rPr>
          <w:rFonts w:ascii="Arial" w:eastAsia="Times New Roman" w:hAnsi="Arial" w:cs="Arial"/>
          <w:kern w:val="0"/>
          <w:lang w:eastAsia="en-GB"/>
          <w14:ligatures w14:val="none"/>
        </w:rPr>
        <w:t xml:space="preserve"> collaboration in primary care: what effect on patient health? </w:t>
      </w:r>
      <w:proofErr w:type="gramStart"/>
      <w:r w:rsidRPr="00B5174F">
        <w:rPr>
          <w:rFonts w:ascii="Arial" w:eastAsia="Times New Roman" w:hAnsi="Arial" w:cs="Arial"/>
          <w:kern w:val="0"/>
          <w:lang w:eastAsia="en-GB"/>
          <w14:ligatures w14:val="none"/>
        </w:rPr>
        <w:t>A systematic literature review.</w:t>
      </w:r>
      <w:proofErr w:type="gramEnd"/>
      <w:r w:rsidRPr="00B5174F">
        <w:rPr>
          <w:rFonts w:ascii="Arial" w:eastAsia="Times New Roman" w:hAnsi="Arial" w:cs="Arial"/>
          <w:kern w:val="0"/>
          <w:lang w:eastAsia="en-GB"/>
          <w14:ligatures w14:val="none"/>
        </w:rPr>
        <w:t xml:space="preserve"> </w:t>
      </w:r>
      <w:r w:rsidRPr="00B5174F">
        <w:rPr>
          <w:rFonts w:ascii="Arial" w:eastAsia="Times New Roman" w:hAnsi="Arial" w:cs="Arial"/>
          <w:i/>
          <w:iCs/>
          <w:kern w:val="0"/>
          <w:lang w:eastAsia="en-GB"/>
          <w14:ligatures w14:val="none"/>
        </w:rPr>
        <w:t>BMC Primary Care</w:t>
      </w:r>
      <w:r w:rsidRPr="00B5174F">
        <w:rPr>
          <w:rFonts w:ascii="Arial" w:eastAsia="Times New Roman" w:hAnsi="Arial" w:cs="Arial"/>
          <w:kern w:val="0"/>
          <w:lang w:eastAsia="en-GB"/>
          <w14:ligatures w14:val="none"/>
        </w:rPr>
        <w:t>, 24(1), p.253.</w:t>
      </w:r>
      <w:bookmarkStart w:id="0" w:name="_GoBack"/>
      <w:bookmarkEnd w:id="0"/>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roofErr w:type="gramStart"/>
      <w:r w:rsidRPr="00B5174F">
        <w:rPr>
          <w:rFonts w:ascii="Arial" w:eastAsia="Times New Roman" w:hAnsi="Arial" w:cs="Arial"/>
          <w:kern w:val="0"/>
          <w:lang w:eastAsia="en-GB"/>
          <w14:ligatures w14:val="none"/>
        </w:rPr>
        <w:t>Data Protection Act 2018.</w:t>
      </w:r>
      <w:proofErr w:type="gramEnd"/>
      <w:r w:rsidRPr="00B5174F">
        <w:rPr>
          <w:rFonts w:ascii="Arial" w:eastAsia="Times New Roman" w:hAnsi="Arial" w:cs="Arial"/>
          <w:kern w:val="0"/>
          <w:lang w:eastAsia="en-GB"/>
          <w14:ligatures w14:val="none"/>
        </w:rPr>
        <w:t xml:space="preserve"> London: The Stationery Office.</w:t>
      </w: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roofErr w:type="gramStart"/>
      <w:r w:rsidRPr="00B5174F">
        <w:rPr>
          <w:rFonts w:ascii="Arial" w:eastAsia="Times New Roman" w:hAnsi="Arial" w:cs="Arial"/>
          <w:kern w:val="0"/>
          <w:lang w:eastAsia="en-GB"/>
          <w14:ligatures w14:val="none"/>
        </w:rPr>
        <w:t>Equality Act 2010.</w:t>
      </w:r>
      <w:proofErr w:type="gramEnd"/>
      <w:r w:rsidRPr="00B5174F">
        <w:rPr>
          <w:rFonts w:ascii="Arial" w:eastAsia="Times New Roman" w:hAnsi="Arial" w:cs="Arial"/>
          <w:kern w:val="0"/>
          <w:lang w:eastAsia="en-GB"/>
          <w14:ligatures w14:val="none"/>
        </w:rPr>
        <w:t xml:space="preserve"> London: The Stationery Office.</w:t>
      </w: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r w:rsidRPr="00B5174F">
        <w:rPr>
          <w:rFonts w:ascii="Arial" w:eastAsia="Times New Roman" w:hAnsi="Arial" w:cs="Arial"/>
          <w:kern w:val="0"/>
          <w:lang w:eastAsia="en-GB"/>
          <w14:ligatures w14:val="none"/>
        </w:rPr>
        <w:t xml:space="preserve">Forster, A., Brown, L., Smith, J., House, A., Knapp, P., Wright, J.J. and Young, J., 2012. </w:t>
      </w:r>
      <w:proofErr w:type="gramStart"/>
      <w:r w:rsidRPr="00B5174F">
        <w:rPr>
          <w:rFonts w:ascii="Arial" w:eastAsia="Times New Roman" w:hAnsi="Arial" w:cs="Arial"/>
          <w:kern w:val="0"/>
          <w:lang w:eastAsia="en-GB"/>
          <w14:ligatures w14:val="none"/>
        </w:rPr>
        <w:t>Information provision for stroke patients and their caregivers.</w:t>
      </w:r>
      <w:proofErr w:type="gramEnd"/>
      <w:r w:rsidRPr="00B5174F">
        <w:rPr>
          <w:rFonts w:ascii="Arial" w:eastAsia="Times New Roman" w:hAnsi="Arial" w:cs="Arial"/>
          <w:kern w:val="0"/>
          <w:lang w:eastAsia="en-GB"/>
          <w14:ligatures w14:val="none"/>
        </w:rPr>
        <w:t xml:space="preserve"> </w:t>
      </w:r>
      <w:proofErr w:type="gramStart"/>
      <w:r w:rsidRPr="00B5174F">
        <w:rPr>
          <w:rFonts w:ascii="Arial" w:eastAsia="Times New Roman" w:hAnsi="Arial" w:cs="Arial"/>
          <w:i/>
          <w:iCs/>
          <w:kern w:val="0"/>
          <w:lang w:eastAsia="en-GB"/>
          <w14:ligatures w14:val="none"/>
        </w:rPr>
        <w:t>Cochrane Database of Systematic Reviews</w:t>
      </w:r>
      <w:r w:rsidRPr="00B5174F">
        <w:rPr>
          <w:rFonts w:ascii="Arial" w:eastAsia="Times New Roman" w:hAnsi="Arial" w:cs="Arial"/>
          <w:kern w:val="0"/>
          <w:lang w:eastAsia="en-GB"/>
          <w14:ligatures w14:val="none"/>
        </w:rPr>
        <w:t>, (11), p.CD001919.</w:t>
      </w:r>
      <w:proofErr w:type="gramEnd"/>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r w:rsidRPr="00B5174F">
        <w:rPr>
          <w:rFonts w:ascii="Arial" w:eastAsia="Times New Roman" w:hAnsi="Arial" w:cs="Arial"/>
          <w:kern w:val="0"/>
          <w:lang w:eastAsia="en-GB"/>
          <w14:ligatures w14:val="none"/>
        </w:rPr>
        <w:t xml:space="preserve">Miller, R., </w:t>
      </w:r>
      <w:proofErr w:type="spellStart"/>
      <w:r w:rsidRPr="00B5174F">
        <w:rPr>
          <w:rFonts w:ascii="Arial" w:eastAsia="Times New Roman" w:hAnsi="Arial" w:cs="Arial"/>
          <w:kern w:val="0"/>
          <w:lang w:eastAsia="en-GB"/>
          <w14:ligatures w14:val="none"/>
        </w:rPr>
        <w:t>Glasby</w:t>
      </w:r>
      <w:proofErr w:type="spellEnd"/>
      <w:r w:rsidRPr="00B5174F">
        <w:rPr>
          <w:rFonts w:ascii="Arial" w:eastAsia="Times New Roman" w:hAnsi="Arial" w:cs="Arial"/>
          <w:kern w:val="0"/>
          <w:lang w:eastAsia="en-GB"/>
          <w14:ligatures w14:val="none"/>
        </w:rPr>
        <w:t xml:space="preserve">, J. and Dickinson, H., 2021. Integrated health and social care in England: ten years on. </w:t>
      </w:r>
      <w:r w:rsidRPr="00B5174F">
        <w:rPr>
          <w:rFonts w:ascii="Arial" w:eastAsia="Times New Roman" w:hAnsi="Arial" w:cs="Arial"/>
          <w:i/>
          <w:iCs/>
          <w:kern w:val="0"/>
          <w:lang w:eastAsia="en-GB"/>
          <w14:ligatures w14:val="none"/>
        </w:rPr>
        <w:t>International Journal of Integrated Care</w:t>
      </w:r>
      <w:r w:rsidRPr="00B5174F">
        <w:rPr>
          <w:rFonts w:ascii="Arial" w:eastAsia="Times New Roman" w:hAnsi="Arial" w:cs="Arial"/>
          <w:kern w:val="0"/>
          <w:lang w:eastAsia="en-GB"/>
          <w14:ligatures w14:val="none"/>
        </w:rPr>
        <w:t>, 21(4), p.6.</w:t>
      </w: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roofErr w:type="spellStart"/>
      <w:r w:rsidRPr="00B5174F">
        <w:rPr>
          <w:rFonts w:ascii="Arial" w:eastAsia="Times New Roman" w:hAnsi="Arial" w:cs="Arial"/>
          <w:kern w:val="0"/>
          <w:lang w:eastAsia="en-GB"/>
          <w14:ligatures w14:val="none"/>
        </w:rPr>
        <w:t>Pöder</w:t>
      </w:r>
      <w:proofErr w:type="spellEnd"/>
      <w:r w:rsidRPr="00B5174F">
        <w:rPr>
          <w:rFonts w:ascii="Arial" w:eastAsia="Times New Roman" w:hAnsi="Arial" w:cs="Arial"/>
          <w:kern w:val="0"/>
          <w:lang w:eastAsia="en-GB"/>
          <w14:ligatures w14:val="none"/>
        </w:rPr>
        <w:t xml:space="preserve">, U., </w:t>
      </w:r>
      <w:proofErr w:type="spellStart"/>
      <w:r w:rsidRPr="00B5174F">
        <w:rPr>
          <w:rFonts w:ascii="Arial" w:eastAsia="Times New Roman" w:hAnsi="Arial" w:cs="Arial"/>
          <w:kern w:val="0"/>
          <w:lang w:eastAsia="en-GB"/>
          <w14:ligatures w14:val="none"/>
        </w:rPr>
        <w:t>Dahm</w:t>
      </w:r>
      <w:proofErr w:type="spellEnd"/>
      <w:r w:rsidRPr="00B5174F">
        <w:rPr>
          <w:rFonts w:ascii="Arial" w:eastAsia="Times New Roman" w:hAnsi="Arial" w:cs="Arial"/>
          <w:kern w:val="0"/>
          <w:lang w:eastAsia="en-GB"/>
          <w14:ligatures w14:val="none"/>
        </w:rPr>
        <w:t xml:space="preserve">, M.F., </w:t>
      </w:r>
      <w:proofErr w:type="spellStart"/>
      <w:r w:rsidRPr="00B5174F">
        <w:rPr>
          <w:rFonts w:ascii="Arial" w:eastAsia="Times New Roman" w:hAnsi="Arial" w:cs="Arial"/>
          <w:kern w:val="0"/>
          <w:lang w:eastAsia="en-GB"/>
          <w14:ligatures w14:val="none"/>
        </w:rPr>
        <w:t>Karlsson</w:t>
      </w:r>
      <w:proofErr w:type="spellEnd"/>
      <w:r w:rsidRPr="00B5174F">
        <w:rPr>
          <w:rFonts w:ascii="Arial" w:eastAsia="Times New Roman" w:hAnsi="Arial" w:cs="Arial"/>
          <w:kern w:val="0"/>
          <w:lang w:eastAsia="en-GB"/>
          <w14:ligatures w14:val="none"/>
        </w:rPr>
        <w:t xml:space="preserve">, N. and </w:t>
      </w:r>
      <w:proofErr w:type="spellStart"/>
      <w:r w:rsidRPr="00B5174F">
        <w:rPr>
          <w:rFonts w:ascii="Arial" w:eastAsia="Times New Roman" w:hAnsi="Arial" w:cs="Arial"/>
          <w:kern w:val="0"/>
          <w:lang w:eastAsia="en-GB"/>
          <w14:ligatures w14:val="none"/>
        </w:rPr>
        <w:t>Wadensten</w:t>
      </w:r>
      <w:proofErr w:type="spellEnd"/>
      <w:r w:rsidRPr="00B5174F">
        <w:rPr>
          <w:rFonts w:ascii="Arial" w:eastAsia="Times New Roman" w:hAnsi="Arial" w:cs="Arial"/>
          <w:kern w:val="0"/>
          <w:lang w:eastAsia="en-GB"/>
          <w14:ligatures w14:val="none"/>
        </w:rPr>
        <w:t xml:space="preserve">, B., 2015. Standardised care plans for in-hospital stroke care improve documentation of health care assessments. </w:t>
      </w:r>
      <w:proofErr w:type="gramStart"/>
      <w:r w:rsidRPr="00B5174F">
        <w:rPr>
          <w:rFonts w:ascii="Arial" w:eastAsia="Times New Roman" w:hAnsi="Arial" w:cs="Arial"/>
          <w:i/>
          <w:iCs/>
          <w:kern w:val="0"/>
          <w:lang w:eastAsia="en-GB"/>
          <w14:ligatures w14:val="none"/>
        </w:rPr>
        <w:t>Journal of Clinical Nursing</w:t>
      </w:r>
      <w:r w:rsidRPr="00B5174F">
        <w:rPr>
          <w:rFonts w:ascii="Arial" w:eastAsia="Times New Roman" w:hAnsi="Arial" w:cs="Arial"/>
          <w:kern w:val="0"/>
          <w:lang w:eastAsia="en-GB"/>
          <w14:ligatures w14:val="none"/>
        </w:rPr>
        <w:t>, 24(19–20), pp.2788–2796.</w:t>
      </w:r>
      <w:proofErr w:type="gramEnd"/>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roofErr w:type="spellStart"/>
      <w:r w:rsidRPr="00B5174F">
        <w:rPr>
          <w:rFonts w:ascii="Arial" w:eastAsia="Times New Roman" w:hAnsi="Arial" w:cs="Arial"/>
          <w:kern w:val="0"/>
          <w:lang w:eastAsia="en-GB"/>
          <w14:ligatures w14:val="none"/>
        </w:rPr>
        <w:t>Prvu</w:t>
      </w:r>
      <w:proofErr w:type="spellEnd"/>
      <w:r w:rsidRPr="00B5174F">
        <w:rPr>
          <w:rFonts w:ascii="Arial" w:eastAsia="Times New Roman" w:hAnsi="Arial" w:cs="Arial"/>
          <w:kern w:val="0"/>
          <w:lang w:eastAsia="en-GB"/>
          <w14:ligatures w14:val="none"/>
        </w:rPr>
        <w:t xml:space="preserve"> </w:t>
      </w:r>
      <w:proofErr w:type="spellStart"/>
      <w:r w:rsidRPr="00B5174F">
        <w:rPr>
          <w:rFonts w:ascii="Arial" w:eastAsia="Times New Roman" w:hAnsi="Arial" w:cs="Arial"/>
          <w:kern w:val="0"/>
          <w:lang w:eastAsia="en-GB"/>
          <w14:ligatures w14:val="none"/>
        </w:rPr>
        <w:t>Bettger</w:t>
      </w:r>
      <w:proofErr w:type="spellEnd"/>
      <w:r w:rsidRPr="00B5174F">
        <w:rPr>
          <w:rFonts w:ascii="Arial" w:eastAsia="Times New Roman" w:hAnsi="Arial" w:cs="Arial"/>
          <w:kern w:val="0"/>
          <w:lang w:eastAsia="en-GB"/>
          <w14:ligatures w14:val="none"/>
        </w:rPr>
        <w:t xml:space="preserve">, J., Alexander, K.P., </w:t>
      </w:r>
      <w:proofErr w:type="spellStart"/>
      <w:r w:rsidRPr="00B5174F">
        <w:rPr>
          <w:rFonts w:ascii="Arial" w:eastAsia="Times New Roman" w:hAnsi="Arial" w:cs="Arial"/>
          <w:kern w:val="0"/>
          <w:lang w:eastAsia="en-GB"/>
          <w14:ligatures w14:val="none"/>
        </w:rPr>
        <w:t>Dolor</w:t>
      </w:r>
      <w:proofErr w:type="spellEnd"/>
      <w:r w:rsidRPr="00B5174F">
        <w:rPr>
          <w:rFonts w:ascii="Arial" w:eastAsia="Times New Roman" w:hAnsi="Arial" w:cs="Arial"/>
          <w:kern w:val="0"/>
          <w:lang w:eastAsia="en-GB"/>
          <w14:ligatures w14:val="none"/>
        </w:rPr>
        <w:t xml:space="preserve">, R.J., Olson, D.M., Kendrick, A.S., Wing, L., </w:t>
      </w:r>
      <w:proofErr w:type="spellStart"/>
      <w:r w:rsidRPr="00B5174F">
        <w:rPr>
          <w:rFonts w:ascii="Arial" w:eastAsia="Times New Roman" w:hAnsi="Arial" w:cs="Arial"/>
          <w:kern w:val="0"/>
          <w:lang w:eastAsia="en-GB"/>
          <w14:ligatures w14:val="none"/>
        </w:rPr>
        <w:t>Coeytaux</w:t>
      </w:r>
      <w:proofErr w:type="spellEnd"/>
      <w:r w:rsidRPr="00B5174F">
        <w:rPr>
          <w:rFonts w:ascii="Arial" w:eastAsia="Times New Roman" w:hAnsi="Arial" w:cs="Arial"/>
          <w:kern w:val="0"/>
          <w:lang w:eastAsia="en-GB"/>
          <w14:ligatures w14:val="none"/>
        </w:rPr>
        <w:t xml:space="preserve">, R.R., </w:t>
      </w:r>
      <w:proofErr w:type="spellStart"/>
      <w:r w:rsidRPr="00B5174F">
        <w:rPr>
          <w:rFonts w:ascii="Arial" w:eastAsia="Times New Roman" w:hAnsi="Arial" w:cs="Arial"/>
          <w:kern w:val="0"/>
          <w:lang w:eastAsia="en-GB"/>
          <w14:ligatures w14:val="none"/>
        </w:rPr>
        <w:t>Graffagnino</w:t>
      </w:r>
      <w:proofErr w:type="spellEnd"/>
      <w:r w:rsidRPr="00B5174F">
        <w:rPr>
          <w:rFonts w:ascii="Arial" w:eastAsia="Times New Roman" w:hAnsi="Arial" w:cs="Arial"/>
          <w:kern w:val="0"/>
          <w:lang w:eastAsia="en-GB"/>
          <w14:ligatures w14:val="none"/>
        </w:rPr>
        <w:t xml:space="preserve">, C. and Duncan, P.W., 2012. Transitional care after hospitalization for acute stroke or myocardial infarction: a systematic review. </w:t>
      </w:r>
      <w:proofErr w:type="gramStart"/>
      <w:r w:rsidRPr="00B5174F">
        <w:rPr>
          <w:rFonts w:ascii="Arial" w:eastAsia="Times New Roman" w:hAnsi="Arial" w:cs="Arial"/>
          <w:i/>
          <w:iCs/>
          <w:kern w:val="0"/>
          <w:lang w:eastAsia="en-GB"/>
          <w14:ligatures w14:val="none"/>
        </w:rPr>
        <w:t>Annals of Internal Medicine</w:t>
      </w:r>
      <w:r w:rsidRPr="00B5174F">
        <w:rPr>
          <w:rFonts w:ascii="Arial" w:eastAsia="Times New Roman" w:hAnsi="Arial" w:cs="Arial"/>
          <w:kern w:val="0"/>
          <w:lang w:eastAsia="en-GB"/>
          <w14:ligatures w14:val="none"/>
        </w:rPr>
        <w:t>, 157(6), pp.407–416.</w:t>
      </w:r>
      <w:proofErr w:type="gramEnd"/>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roofErr w:type="gramStart"/>
      <w:r w:rsidRPr="00B5174F">
        <w:rPr>
          <w:rFonts w:ascii="Arial" w:eastAsia="Times New Roman" w:hAnsi="Arial" w:cs="Arial"/>
          <w:kern w:val="0"/>
          <w:lang w:eastAsia="en-GB"/>
          <w14:ligatures w14:val="none"/>
        </w:rPr>
        <w:t xml:space="preserve">Rawlinson, C., Carron, T., </w:t>
      </w:r>
      <w:proofErr w:type="spellStart"/>
      <w:r w:rsidRPr="00B5174F">
        <w:rPr>
          <w:rFonts w:ascii="Arial" w:eastAsia="Times New Roman" w:hAnsi="Arial" w:cs="Arial"/>
          <w:kern w:val="0"/>
          <w:lang w:eastAsia="en-GB"/>
          <w14:ligatures w14:val="none"/>
        </w:rPr>
        <w:t>Cohidon</w:t>
      </w:r>
      <w:proofErr w:type="spellEnd"/>
      <w:r w:rsidRPr="00B5174F">
        <w:rPr>
          <w:rFonts w:ascii="Arial" w:eastAsia="Times New Roman" w:hAnsi="Arial" w:cs="Arial"/>
          <w:kern w:val="0"/>
          <w:lang w:eastAsia="en-GB"/>
          <w14:ligatures w14:val="none"/>
        </w:rPr>
        <w:t xml:space="preserve">, C., </w:t>
      </w:r>
      <w:proofErr w:type="spellStart"/>
      <w:r w:rsidRPr="00B5174F">
        <w:rPr>
          <w:rFonts w:ascii="Arial" w:eastAsia="Times New Roman" w:hAnsi="Arial" w:cs="Arial"/>
          <w:kern w:val="0"/>
          <w:lang w:eastAsia="en-GB"/>
          <w14:ligatures w14:val="none"/>
        </w:rPr>
        <w:t>Arditi</w:t>
      </w:r>
      <w:proofErr w:type="spellEnd"/>
      <w:r w:rsidRPr="00B5174F">
        <w:rPr>
          <w:rFonts w:ascii="Arial" w:eastAsia="Times New Roman" w:hAnsi="Arial" w:cs="Arial"/>
          <w:kern w:val="0"/>
          <w:lang w:eastAsia="en-GB"/>
          <w14:ligatures w14:val="none"/>
        </w:rPr>
        <w:t xml:space="preserve">, C., Hong, Q.N., </w:t>
      </w:r>
      <w:proofErr w:type="spellStart"/>
      <w:r w:rsidRPr="00B5174F">
        <w:rPr>
          <w:rFonts w:ascii="Arial" w:eastAsia="Times New Roman" w:hAnsi="Arial" w:cs="Arial"/>
          <w:kern w:val="0"/>
          <w:lang w:eastAsia="en-GB"/>
          <w14:ligatures w14:val="none"/>
        </w:rPr>
        <w:t>Pluye</w:t>
      </w:r>
      <w:proofErr w:type="spellEnd"/>
      <w:r w:rsidRPr="00B5174F">
        <w:rPr>
          <w:rFonts w:ascii="Arial" w:eastAsia="Times New Roman" w:hAnsi="Arial" w:cs="Arial"/>
          <w:kern w:val="0"/>
          <w:lang w:eastAsia="en-GB"/>
          <w14:ligatures w14:val="none"/>
        </w:rPr>
        <w:t xml:space="preserve">, P., </w:t>
      </w:r>
      <w:proofErr w:type="spellStart"/>
      <w:r w:rsidRPr="00B5174F">
        <w:rPr>
          <w:rFonts w:ascii="Arial" w:eastAsia="Times New Roman" w:hAnsi="Arial" w:cs="Arial"/>
          <w:kern w:val="0"/>
          <w:lang w:eastAsia="en-GB"/>
          <w14:ligatures w14:val="none"/>
        </w:rPr>
        <w:t>Peytremann-Bridevaux</w:t>
      </w:r>
      <w:proofErr w:type="spellEnd"/>
      <w:r w:rsidRPr="00B5174F">
        <w:rPr>
          <w:rFonts w:ascii="Arial" w:eastAsia="Times New Roman" w:hAnsi="Arial" w:cs="Arial"/>
          <w:kern w:val="0"/>
          <w:lang w:eastAsia="en-GB"/>
          <w14:ligatures w14:val="none"/>
        </w:rPr>
        <w:t>, I. and Gilles, I., 2021.</w:t>
      </w:r>
      <w:proofErr w:type="gramEnd"/>
      <w:r w:rsidRPr="00B5174F">
        <w:rPr>
          <w:rFonts w:ascii="Arial" w:eastAsia="Times New Roman" w:hAnsi="Arial" w:cs="Arial"/>
          <w:kern w:val="0"/>
          <w:lang w:eastAsia="en-GB"/>
          <w14:ligatures w14:val="none"/>
        </w:rPr>
        <w:t xml:space="preserve"> An overview of reviews on </w:t>
      </w:r>
      <w:proofErr w:type="spellStart"/>
      <w:r w:rsidRPr="00B5174F">
        <w:rPr>
          <w:rFonts w:ascii="Arial" w:eastAsia="Times New Roman" w:hAnsi="Arial" w:cs="Arial"/>
          <w:kern w:val="0"/>
          <w:lang w:eastAsia="en-GB"/>
          <w14:ligatures w14:val="none"/>
        </w:rPr>
        <w:t>interprofessional</w:t>
      </w:r>
      <w:proofErr w:type="spellEnd"/>
      <w:r w:rsidRPr="00B5174F">
        <w:rPr>
          <w:rFonts w:ascii="Arial" w:eastAsia="Times New Roman" w:hAnsi="Arial" w:cs="Arial"/>
          <w:kern w:val="0"/>
          <w:lang w:eastAsia="en-GB"/>
          <w14:ligatures w14:val="none"/>
        </w:rPr>
        <w:t xml:space="preserve"> collaboration in primary care: barriers and facilitators. </w:t>
      </w:r>
      <w:r w:rsidRPr="00B5174F">
        <w:rPr>
          <w:rFonts w:ascii="Arial" w:eastAsia="Times New Roman" w:hAnsi="Arial" w:cs="Arial"/>
          <w:i/>
          <w:iCs/>
          <w:kern w:val="0"/>
          <w:lang w:eastAsia="en-GB"/>
          <w14:ligatures w14:val="none"/>
        </w:rPr>
        <w:t>International Journal of Integrated Care</w:t>
      </w:r>
      <w:r w:rsidRPr="00B5174F">
        <w:rPr>
          <w:rFonts w:ascii="Arial" w:eastAsia="Times New Roman" w:hAnsi="Arial" w:cs="Arial"/>
          <w:kern w:val="0"/>
          <w:lang w:eastAsia="en-GB"/>
          <w14:ligatures w14:val="none"/>
        </w:rPr>
        <w:t>, 21(2), p.32.</w:t>
      </w: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r w:rsidRPr="00B5174F">
        <w:rPr>
          <w:rFonts w:ascii="Arial" w:eastAsia="Times New Roman" w:hAnsi="Arial" w:cs="Arial"/>
          <w:kern w:val="0"/>
          <w:lang w:eastAsia="en-GB"/>
          <w14:ligatures w14:val="none"/>
        </w:rPr>
        <w:t xml:space="preserve">Silverman, J., Kurtz, S. and Draper, J., 2016. </w:t>
      </w:r>
      <w:proofErr w:type="gramStart"/>
      <w:r w:rsidRPr="00B5174F">
        <w:rPr>
          <w:rFonts w:ascii="Arial" w:eastAsia="Times New Roman" w:hAnsi="Arial" w:cs="Arial"/>
          <w:i/>
          <w:iCs/>
          <w:kern w:val="0"/>
          <w:lang w:eastAsia="en-GB"/>
          <w14:ligatures w14:val="none"/>
        </w:rPr>
        <w:t>Skills for communicating with patients</w:t>
      </w:r>
      <w:r w:rsidRPr="00B5174F">
        <w:rPr>
          <w:rFonts w:ascii="Arial" w:eastAsia="Times New Roman" w:hAnsi="Arial" w:cs="Arial"/>
          <w:kern w:val="0"/>
          <w:lang w:eastAsia="en-GB"/>
          <w14:ligatures w14:val="none"/>
        </w:rPr>
        <w:t>.</w:t>
      </w:r>
      <w:proofErr w:type="gramEnd"/>
      <w:r w:rsidRPr="00B5174F">
        <w:rPr>
          <w:rFonts w:ascii="Arial" w:eastAsia="Times New Roman" w:hAnsi="Arial" w:cs="Arial"/>
          <w:kern w:val="0"/>
          <w:lang w:eastAsia="en-GB"/>
          <w14:ligatures w14:val="none"/>
        </w:rPr>
        <w:t xml:space="preserve"> 3rd ed. Boca Raton: CRC Press.</w:t>
      </w:r>
    </w:p>
    <w:p w:rsidR="00B5174F" w:rsidRPr="00B5174F" w:rsidRDefault="00B5174F" w:rsidP="00B5174F">
      <w:pPr>
        <w:spacing w:before="100" w:beforeAutospacing="1" w:after="100" w:afterAutospacing="1" w:line="360" w:lineRule="auto"/>
        <w:rPr>
          <w:rFonts w:ascii="Arial" w:eastAsia="Times New Roman" w:hAnsi="Arial" w:cs="Arial"/>
          <w:kern w:val="0"/>
          <w:lang w:eastAsia="en-GB"/>
          <w14:ligatures w14:val="none"/>
        </w:rPr>
      </w:pPr>
      <w:proofErr w:type="gramStart"/>
      <w:r w:rsidRPr="00B5174F">
        <w:rPr>
          <w:rFonts w:ascii="Arial" w:eastAsia="Times New Roman" w:hAnsi="Arial" w:cs="Arial"/>
          <w:kern w:val="0"/>
          <w:lang w:eastAsia="en-GB"/>
          <w14:ligatures w14:val="none"/>
        </w:rPr>
        <w:t>World Health Organization, 2010.</w:t>
      </w:r>
      <w:proofErr w:type="gramEnd"/>
      <w:r w:rsidRPr="00B5174F">
        <w:rPr>
          <w:rFonts w:ascii="Arial" w:eastAsia="Times New Roman" w:hAnsi="Arial" w:cs="Arial"/>
          <w:kern w:val="0"/>
          <w:lang w:eastAsia="en-GB"/>
          <w14:ligatures w14:val="none"/>
        </w:rPr>
        <w:t xml:space="preserve"> </w:t>
      </w:r>
      <w:proofErr w:type="gramStart"/>
      <w:r w:rsidRPr="00B5174F">
        <w:rPr>
          <w:rFonts w:ascii="Arial" w:eastAsia="Times New Roman" w:hAnsi="Arial" w:cs="Arial"/>
          <w:i/>
          <w:iCs/>
          <w:kern w:val="0"/>
          <w:lang w:eastAsia="en-GB"/>
          <w14:ligatures w14:val="none"/>
        </w:rPr>
        <w:t xml:space="preserve">Framework for action on </w:t>
      </w:r>
      <w:proofErr w:type="spellStart"/>
      <w:r w:rsidRPr="00B5174F">
        <w:rPr>
          <w:rFonts w:ascii="Arial" w:eastAsia="Times New Roman" w:hAnsi="Arial" w:cs="Arial"/>
          <w:i/>
          <w:iCs/>
          <w:kern w:val="0"/>
          <w:lang w:eastAsia="en-GB"/>
          <w14:ligatures w14:val="none"/>
        </w:rPr>
        <w:t>interprofessional</w:t>
      </w:r>
      <w:proofErr w:type="spellEnd"/>
      <w:r w:rsidRPr="00B5174F">
        <w:rPr>
          <w:rFonts w:ascii="Arial" w:eastAsia="Times New Roman" w:hAnsi="Arial" w:cs="Arial"/>
          <w:i/>
          <w:iCs/>
          <w:kern w:val="0"/>
          <w:lang w:eastAsia="en-GB"/>
          <w14:ligatures w14:val="none"/>
        </w:rPr>
        <w:t xml:space="preserve"> education and collaborative practice</w:t>
      </w:r>
      <w:r w:rsidRPr="00B5174F">
        <w:rPr>
          <w:rFonts w:ascii="Arial" w:eastAsia="Times New Roman" w:hAnsi="Arial" w:cs="Arial"/>
          <w:kern w:val="0"/>
          <w:lang w:eastAsia="en-GB"/>
          <w14:ligatures w14:val="none"/>
        </w:rPr>
        <w:t>.</w:t>
      </w:r>
      <w:proofErr w:type="gramEnd"/>
      <w:r w:rsidRPr="00B5174F">
        <w:rPr>
          <w:rFonts w:ascii="Arial" w:eastAsia="Times New Roman" w:hAnsi="Arial" w:cs="Arial"/>
          <w:kern w:val="0"/>
          <w:lang w:eastAsia="en-GB"/>
          <w14:ligatures w14:val="none"/>
        </w:rPr>
        <w:t xml:space="preserve"> Geneva: WHO.</w:t>
      </w:r>
    </w:p>
    <w:sectPr w:rsidR="00B5174F" w:rsidRPr="00B517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EE01E1"/>
    <w:multiLevelType w:val="multilevel"/>
    <w:tmpl w:val="75D2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2B4"/>
    <w:rsid w:val="00025724"/>
    <w:rsid w:val="001579F8"/>
    <w:rsid w:val="001F62B4"/>
    <w:rsid w:val="002E082C"/>
    <w:rsid w:val="00352A94"/>
    <w:rsid w:val="00614076"/>
    <w:rsid w:val="0065200A"/>
    <w:rsid w:val="006A698F"/>
    <w:rsid w:val="00B03640"/>
    <w:rsid w:val="00B5174F"/>
    <w:rsid w:val="00DE3044"/>
    <w:rsid w:val="00FE6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F62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F62B4"/>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paragraph" w:styleId="Heading3">
    <w:name w:val="heading 3"/>
    <w:basedOn w:val="Normal"/>
    <w:link w:val="Heading3Char"/>
    <w:uiPriority w:val="9"/>
    <w:qFormat/>
    <w:rsid w:val="001F62B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2B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F62B4"/>
    <w:rPr>
      <w:rFonts w:ascii="Times New Roman" w:eastAsia="Times New Roman" w:hAnsi="Times New Roman" w:cs="Times New Roman"/>
      <w:b/>
      <w:bCs/>
      <w:kern w:val="0"/>
      <w:sz w:val="36"/>
      <w:szCs w:val="36"/>
      <w:lang w:eastAsia="en-GB"/>
    </w:rPr>
  </w:style>
  <w:style w:type="character" w:customStyle="1" w:styleId="Heading3Char">
    <w:name w:val="Heading 3 Char"/>
    <w:basedOn w:val="DefaultParagraphFont"/>
    <w:link w:val="Heading3"/>
    <w:uiPriority w:val="9"/>
    <w:rsid w:val="001F62B4"/>
    <w:rPr>
      <w:rFonts w:ascii="Times New Roman" w:eastAsia="Times New Roman" w:hAnsi="Times New Roman" w:cs="Times New Roman"/>
      <w:b/>
      <w:bCs/>
      <w:kern w:val="0"/>
      <w:sz w:val="27"/>
      <w:szCs w:val="27"/>
      <w:lang w:eastAsia="en-GB"/>
    </w:rPr>
  </w:style>
  <w:style w:type="paragraph" w:styleId="NormalWeb">
    <w:name w:val="Normal (Web)"/>
    <w:basedOn w:val="Normal"/>
    <w:uiPriority w:val="99"/>
    <w:semiHidden/>
    <w:unhideWhenUsed/>
    <w:rsid w:val="001F62B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1F62B4"/>
    <w:rPr>
      <w:b/>
      <w:bCs/>
    </w:rPr>
  </w:style>
  <w:style w:type="character" w:styleId="Emphasis">
    <w:name w:val="Emphasis"/>
    <w:basedOn w:val="DefaultParagraphFont"/>
    <w:uiPriority w:val="20"/>
    <w:qFormat/>
    <w:rsid w:val="00B5174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F62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F62B4"/>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paragraph" w:styleId="Heading3">
    <w:name w:val="heading 3"/>
    <w:basedOn w:val="Normal"/>
    <w:link w:val="Heading3Char"/>
    <w:uiPriority w:val="9"/>
    <w:qFormat/>
    <w:rsid w:val="001F62B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2B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F62B4"/>
    <w:rPr>
      <w:rFonts w:ascii="Times New Roman" w:eastAsia="Times New Roman" w:hAnsi="Times New Roman" w:cs="Times New Roman"/>
      <w:b/>
      <w:bCs/>
      <w:kern w:val="0"/>
      <w:sz w:val="36"/>
      <w:szCs w:val="36"/>
      <w:lang w:eastAsia="en-GB"/>
    </w:rPr>
  </w:style>
  <w:style w:type="character" w:customStyle="1" w:styleId="Heading3Char">
    <w:name w:val="Heading 3 Char"/>
    <w:basedOn w:val="DefaultParagraphFont"/>
    <w:link w:val="Heading3"/>
    <w:uiPriority w:val="9"/>
    <w:rsid w:val="001F62B4"/>
    <w:rPr>
      <w:rFonts w:ascii="Times New Roman" w:eastAsia="Times New Roman" w:hAnsi="Times New Roman" w:cs="Times New Roman"/>
      <w:b/>
      <w:bCs/>
      <w:kern w:val="0"/>
      <w:sz w:val="27"/>
      <w:szCs w:val="27"/>
      <w:lang w:eastAsia="en-GB"/>
    </w:rPr>
  </w:style>
  <w:style w:type="paragraph" w:styleId="NormalWeb">
    <w:name w:val="Normal (Web)"/>
    <w:basedOn w:val="Normal"/>
    <w:uiPriority w:val="99"/>
    <w:semiHidden/>
    <w:unhideWhenUsed/>
    <w:rsid w:val="001F62B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1F62B4"/>
    <w:rPr>
      <w:b/>
      <w:bCs/>
    </w:rPr>
  </w:style>
  <w:style w:type="character" w:styleId="Emphasis">
    <w:name w:val="Emphasis"/>
    <w:basedOn w:val="DefaultParagraphFont"/>
    <w:uiPriority w:val="20"/>
    <w:qFormat/>
    <w:rsid w:val="00B517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634566">
      <w:bodyDiv w:val="1"/>
      <w:marLeft w:val="0"/>
      <w:marRight w:val="0"/>
      <w:marTop w:val="0"/>
      <w:marBottom w:val="0"/>
      <w:divBdr>
        <w:top w:val="none" w:sz="0" w:space="0" w:color="auto"/>
        <w:left w:val="none" w:sz="0" w:space="0" w:color="auto"/>
        <w:bottom w:val="none" w:sz="0" w:space="0" w:color="auto"/>
        <w:right w:val="none" w:sz="0" w:space="0" w:color="auto"/>
      </w:divBdr>
    </w:div>
    <w:div w:id="115182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1831</TotalTime>
  <Pages>6</Pages>
  <Words>1968</Words>
  <Characters>11223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ADEOLA ADEKANMI</dc:creator>
  <cp:lastModifiedBy>ADEOLA ADEKANMI</cp:lastModifiedBy>
  <cp:revision>1</cp:revision>
  <dcterms:created xsi:type="dcterms:W3CDTF">2026-03-23T19:49:00Z</dcterms:created>
  <dcterms:modified xsi:type="dcterms:W3CDTF">2026-03-25T14:45:00Z</dcterms:modified>
</cp:coreProperties>
</file>