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827353598"/>
        <w:docPartObj>
          <w:docPartGallery w:val="Cover Pages"/>
          <w:docPartUnique/>
        </w:docPartObj>
      </w:sdtPr>
      <w:sdtContent>
        <w:p w14:paraId="69C4874E" w14:textId="681EDB22" w:rsidR="00376BA1" w:rsidRDefault="00376BA1"/>
        <w:p w14:paraId="35879A6F" w14:textId="494C5AC6" w:rsidR="00D52FD3" w:rsidRPr="00F35670" w:rsidRDefault="00376BA1">
          <w:r>
            <w:rPr>
              <w:noProof/>
              <w:lang w:eastAsia="zh-CN"/>
            </w:rPr>
            <mc:AlternateContent>
              <mc:Choice Requires="wps">
                <w:drawing>
                  <wp:anchor distT="0" distB="0" distL="182880" distR="182880" simplePos="0" relativeHeight="251658241" behindDoc="0" locked="0" layoutInCell="1" allowOverlap="1" wp14:anchorId="79690C58" wp14:editId="4E0B8A26">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AEC633" w14:textId="6B3414B2" w:rsidR="00376BA1" w:rsidRDefault="00E64707">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376BA1">
                                      <w:rPr>
                                        <w:color w:val="4472C4" w:themeColor="accent1"/>
                                        <w:sz w:val="72"/>
                                        <w:szCs w:val="72"/>
                                      </w:rPr>
                                      <w:t>REFORM OF NON-FATAL OFFENCES AGAINST THE PERSON</w:t>
                                    </w:r>
                                  </w:sdtContent>
                                </w:sdt>
                              </w:p>
                              <w:sdt>
                                <w:sdtPr>
                                  <w:rPr>
                                    <w:caps/>
                                    <w:color w:val="1F4E7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Content>
                                  <w:p w14:paraId="14F66C25" w14:textId="7B64F2DC" w:rsidR="00376BA1" w:rsidRDefault="00376BA1">
                                    <w:pPr>
                                      <w:pStyle w:val="NoSpacing"/>
                                      <w:spacing w:before="40" w:after="40"/>
                                      <w:rPr>
                                        <w:caps/>
                                        <w:color w:val="1F4E79" w:themeColor="accent5" w:themeShade="80"/>
                                        <w:sz w:val="28"/>
                                        <w:szCs w:val="28"/>
                                      </w:rPr>
                                    </w:pPr>
                                    <w:r>
                                      <w:rPr>
                                        <w:caps/>
                                        <w:color w:val="1F4E79" w:themeColor="accent5" w:themeShade="80"/>
                                        <w:sz w:val="28"/>
                                        <w:szCs w:val="28"/>
                                      </w:rPr>
                                      <w:t xml:space="preserve">     </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C9F8435" w14:textId="18111611" w:rsidR="00376BA1" w:rsidRDefault="00376BA1">
                                    <w:pPr>
                                      <w:pStyle w:val="NoSpacing"/>
                                      <w:spacing w:before="80" w:after="40"/>
                                      <w:rPr>
                                        <w:caps/>
                                        <w:color w:val="5B9BD5" w:themeColor="accent5"/>
                                        <w:sz w:val="24"/>
                                        <w:szCs w:val="24"/>
                                      </w:rPr>
                                    </w:pPr>
                                    <w:r>
                                      <w:rPr>
                                        <w:caps/>
                                        <w:color w:val="5B9BD5" w:themeColor="accent5"/>
                                        <w:sz w:val="24"/>
                                        <w:szCs w:val="24"/>
                                      </w:rPr>
                                      <w:t>Jacey Punter (2004350)</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xmlns:a="http://schemas.openxmlformats.org/drawingml/2006/main" xmlns:arto="http://schemas.microsoft.com/office/word/2006/arto">
                <w:pict>
                  <v:shapetype id="_x0000_t202" coordsize="21600,21600" o:spt="202" path="m,l,21600r21600,l21600,xe" w14:anchorId="79690C58">
                    <v:stroke joinstyle="miter"/>
                    <v:path gradientshapeok="t" o:connecttype="rect"/>
                  </v:shapetype>
                  <v:shape id="Text Box 131" style="position:absolute;margin-left:0;margin-top:0;width:369pt;height:529.2pt;z-index:251658241;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">
                    <v:textbox style="mso-fit-shape-to-text:t" inset="0,0,0,0">
                      <w:txbxContent>
                        <w:p w:rsidR="00376BA1" w:rsidRDefault="00CE5395" w14:paraId="5DAEC633" w14:textId="6B3414B2">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376BA1">
                                <w:rPr>
                                  <w:color w:val="4472C4" w:themeColor="accent1"/>
                                  <w:sz w:val="72"/>
                                  <w:szCs w:val="72"/>
                                </w:rPr>
                                <w:t>REFORM OF NON-FATAL OFFENCES AGAINST THE PERSON</w:t>
                              </w:r>
                            </w:sdtContent>
                          </w:sdt>
                        </w:p>
                        <w:sdt>
                          <w:sdtPr>
                            <w:rPr>
                              <w:caps/>
                              <w:color w:val="1F4E7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EndPr/>
                          <w:sdtContent>
                            <w:p w:rsidR="00376BA1" w:rsidRDefault="00376BA1" w14:paraId="14F66C25" w14:textId="7B64F2DC">
                              <w:pPr>
                                <w:pStyle w:val="NoSpacing"/>
                                <w:spacing w:before="40" w:after="40"/>
                                <w:rPr>
                                  <w:caps/>
                                  <w:color w:val="1F4E79" w:themeColor="accent5" w:themeShade="80"/>
                                  <w:sz w:val="28"/>
                                  <w:szCs w:val="28"/>
                                </w:rPr>
                              </w:pPr>
                              <w:r>
                                <w:rPr>
                                  <w:caps/>
                                  <w:color w:val="1F4E79" w:themeColor="accent5" w:themeShade="80"/>
                                  <w:sz w:val="28"/>
                                  <w:szCs w:val="28"/>
                                </w:rPr>
                                <w:t xml:space="preserve">     </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rsidR="00376BA1" w:rsidRDefault="00376BA1" w14:paraId="4C9F8435" w14:textId="18111611">
                              <w:pPr>
                                <w:pStyle w:val="NoSpacing"/>
                                <w:spacing w:before="80" w:after="40"/>
                                <w:rPr>
                                  <w:caps/>
                                  <w:color w:val="5B9BD5" w:themeColor="accent5"/>
                                  <w:sz w:val="24"/>
                                  <w:szCs w:val="24"/>
                                </w:rPr>
                              </w:pPr>
                              <w:r>
                                <w:rPr>
                                  <w:caps/>
                                  <w:color w:val="5B9BD5" w:themeColor="accent5"/>
                                  <w:sz w:val="24"/>
                                  <w:szCs w:val="24"/>
                                </w:rPr>
                                <w:t>Jacey Punter (2004350)</w:t>
                              </w:r>
                            </w:p>
                          </w:sdtContent>
                        </w:sdt>
                      </w:txbxContent>
                    </v:textbox>
                    <w10:wrap type="square" anchorx="margin" anchory="page"/>
                  </v:shape>
                </w:pict>
              </mc:Fallback>
            </mc:AlternateContent>
          </w:r>
          <w:r>
            <w:rPr>
              <w:noProof/>
              <w:lang w:eastAsia="zh-CN"/>
            </w:rPr>
            <mc:AlternateContent>
              <mc:Choice Requires="wps">
                <w:drawing>
                  <wp:anchor distT="0" distB="0" distL="114300" distR="114300" simplePos="0" relativeHeight="251658240" behindDoc="0" locked="0" layoutInCell="1" allowOverlap="1" wp14:anchorId="2BBFA926" wp14:editId="72C8EC5F">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p w14:paraId="733BD8D3" w14:textId="786AE9D7" w:rsidR="00376BA1" w:rsidRDefault="00376BA1">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xmlns:a="http://schemas.openxmlformats.org/drawingml/2006/main" xmlns:arto="http://schemas.microsoft.com/office/word/2006/arto">
                <w:pict>
                  <v:rect id="Rectangle 132" style="position:absolute;margin-left:-4.4pt;margin-top:0;width:46.8pt;height:77.75pt;z-index:25165824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spid="_x0000_s1027" fillcolor="#4472c4 [3204]" stroked="f" strokeweight="1pt" w14:anchorId="2BBFA9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">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rsidR="00376BA1" w:rsidRDefault="00376BA1" w14:paraId="733BD8D3" w14:textId="786AE9D7">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br w:type="page"/>
          </w:r>
        </w:p>
      </w:sdtContent>
    </w:sdt>
    <w:p w14:paraId="04BB157D" w14:textId="1833FEA8" w:rsidR="00376BA1" w:rsidRDefault="00376BA1">
      <w:pPr>
        <w:rPr>
          <w:b/>
          <w:bCs/>
          <w:sz w:val="32"/>
          <w:szCs w:val="32"/>
          <w:u w:val="single"/>
        </w:rPr>
      </w:pPr>
    </w:p>
    <w:p w14:paraId="28FCD5EF" w14:textId="46AF9CFA" w:rsidR="00376BA1" w:rsidRDefault="00326BA4" w:rsidP="00F35670">
      <w:pPr>
        <w:jc w:val="both"/>
      </w:pPr>
      <w:r w:rsidRPr="008614D2">
        <w:t>Non-fatal offenc</w:t>
      </w:r>
      <w:r w:rsidR="001505BE" w:rsidRPr="008614D2">
        <w:t>es</w:t>
      </w:r>
      <w:r w:rsidRPr="008614D2">
        <w:t xml:space="preserve"> </w:t>
      </w:r>
      <w:r w:rsidR="003F3D00" w:rsidRPr="008614D2">
        <w:t xml:space="preserve">are </w:t>
      </w:r>
      <w:r w:rsidRPr="008614D2">
        <w:t>offence</w:t>
      </w:r>
      <w:r w:rsidR="003F3D00" w:rsidRPr="008614D2">
        <w:t>s</w:t>
      </w:r>
      <w:r w:rsidRPr="008614D2">
        <w:t xml:space="preserve"> or </w:t>
      </w:r>
      <w:r w:rsidR="003F3D00" w:rsidRPr="008614D2">
        <w:t xml:space="preserve">an </w:t>
      </w:r>
      <w:r w:rsidRPr="008614D2">
        <w:t xml:space="preserve">act against another person </w:t>
      </w:r>
      <w:r w:rsidR="006241AE" w:rsidRPr="008614D2">
        <w:t>that can cause serious injury but not death</w:t>
      </w:r>
      <w:r w:rsidR="0064117A" w:rsidRPr="008614D2">
        <w:t>,</w:t>
      </w:r>
      <w:r w:rsidR="001254E6" w:rsidRPr="008614D2">
        <w:t xml:space="preserve"> </w:t>
      </w:r>
      <w:r w:rsidR="0064117A" w:rsidRPr="008614D2">
        <w:t>f</w:t>
      </w:r>
      <w:r w:rsidR="000F5585" w:rsidRPr="008614D2">
        <w:t>or example</w:t>
      </w:r>
      <w:r w:rsidR="0064117A" w:rsidRPr="008614D2">
        <w:t xml:space="preserve"> assault and battery. </w:t>
      </w:r>
      <w:r w:rsidR="00617FBC" w:rsidRPr="008614D2">
        <w:t>Ac</w:t>
      </w:r>
      <w:r w:rsidR="00CA7332" w:rsidRPr="008614D2">
        <w:t>c</w:t>
      </w:r>
      <w:r w:rsidR="00617FBC" w:rsidRPr="008614D2">
        <w:t xml:space="preserve">ording to </w:t>
      </w:r>
      <w:r w:rsidR="00CA7332" w:rsidRPr="008614D2">
        <w:t xml:space="preserve">Child (2017) </w:t>
      </w:r>
      <w:r w:rsidR="009343ED" w:rsidRPr="008614D2">
        <w:t>The actus reus element of an assault</w:t>
      </w:r>
      <w:r w:rsidR="006D504D" w:rsidRPr="008614D2">
        <w:t xml:space="preserve"> </w:t>
      </w:r>
      <w:r w:rsidR="001E377A" w:rsidRPr="008614D2">
        <w:t xml:space="preserve">is fulfilled </w:t>
      </w:r>
      <w:r w:rsidR="00996B1A" w:rsidRPr="008614D2">
        <w:t xml:space="preserve">when the defendant causes </w:t>
      </w:r>
      <w:r w:rsidR="00EC090F" w:rsidRPr="008614D2">
        <w:t>the victim to believe that they are about</w:t>
      </w:r>
      <w:r w:rsidR="005D0E5E" w:rsidRPr="008614D2">
        <w:t xml:space="preserve"> to suffer personal violence. </w:t>
      </w:r>
      <w:r w:rsidR="00352A23" w:rsidRPr="008614D2">
        <w:t>Whereas</w:t>
      </w:r>
      <w:r w:rsidR="00403F1A" w:rsidRPr="008614D2">
        <w:t xml:space="preserve"> the actus reus element of </w:t>
      </w:r>
      <w:r w:rsidR="00520C79" w:rsidRPr="008614D2">
        <w:t xml:space="preserve">battery is </w:t>
      </w:r>
      <w:r w:rsidR="003C0F98" w:rsidRPr="008614D2">
        <w:t xml:space="preserve">satisfied when the defendant inflicts unlawful personal violence </w:t>
      </w:r>
      <w:r w:rsidR="00204A4C" w:rsidRPr="008614D2">
        <w:t>to the victim, both of these offences may result in serious injury but are essentially non</w:t>
      </w:r>
      <w:r w:rsidR="00D26C86" w:rsidRPr="008614D2">
        <w:t>-</w:t>
      </w:r>
      <w:r w:rsidR="00204A4C" w:rsidRPr="008614D2">
        <w:t>fatal</w:t>
      </w:r>
      <w:r w:rsidR="0006519C" w:rsidRPr="008614D2">
        <w:t xml:space="preserve">. </w:t>
      </w:r>
      <w:r w:rsidR="009E4C35" w:rsidRPr="008614D2">
        <w:t>There have also been many attempts to</w:t>
      </w:r>
      <w:r w:rsidR="00914D34" w:rsidRPr="008614D2">
        <w:t xml:space="preserve"> reform the </w:t>
      </w:r>
      <w:r w:rsidR="00082539" w:rsidRPr="008614D2">
        <w:t xml:space="preserve">legislation such as the </w:t>
      </w:r>
      <w:r w:rsidR="6BB09EA4">
        <w:t>L</w:t>
      </w:r>
      <w:r w:rsidR="00082539">
        <w:t xml:space="preserve">aw </w:t>
      </w:r>
      <w:r w:rsidR="7C6B1AD4">
        <w:t>Co</w:t>
      </w:r>
      <w:r w:rsidR="00082539">
        <w:t>mmission</w:t>
      </w:r>
      <w:r w:rsidR="5F2521FF">
        <w:t xml:space="preserve"> review from 2015</w:t>
      </w:r>
      <w:r w:rsidR="00096E71">
        <w:t xml:space="preserve"> and </w:t>
      </w:r>
      <w:r w:rsidR="008F12AC">
        <w:t xml:space="preserve">the </w:t>
      </w:r>
      <w:r w:rsidR="0C0C97E9">
        <w:t>H</w:t>
      </w:r>
      <w:r w:rsidR="008F12AC">
        <w:t xml:space="preserve">ome </w:t>
      </w:r>
      <w:r w:rsidR="3A124883">
        <w:t>O</w:t>
      </w:r>
      <w:r w:rsidR="008F12AC">
        <w:t xml:space="preserve">ffice </w:t>
      </w:r>
      <w:r w:rsidR="383FDFD5">
        <w:t>B</w:t>
      </w:r>
      <w:r w:rsidR="008F12AC">
        <w:t>ill</w:t>
      </w:r>
      <w:r w:rsidR="00987D60">
        <w:t xml:space="preserve"> (1998).</w:t>
      </w:r>
    </w:p>
    <w:p w14:paraId="1D2562E8" w14:textId="3E502E9B" w:rsidR="00FB575A" w:rsidRDefault="00FB575A" w:rsidP="00F35670">
      <w:pPr>
        <w:jc w:val="both"/>
      </w:pPr>
    </w:p>
    <w:p w14:paraId="70569678" w14:textId="7692176A" w:rsidR="008226B2" w:rsidRDefault="002D3C10" w:rsidP="00F35670">
      <w:pPr>
        <w:jc w:val="both"/>
      </w:pPr>
      <w:r>
        <w:t xml:space="preserve">One main issue within the </w:t>
      </w:r>
      <w:r w:rsidR="451FC6D3">
        <w:t>O</w:t>
      </w:r>
      <w:r>
        <w:t xml:space="preserve">ffences </w:t>
      </w:r>
      <w:r w:rsidR="520846BE">
        <w:t>A</w:t>
      </w:r>
      <w:r>
        <w:t xml:space="preserve">gainst the </w:t>
      </w:r>
      <w:r w:rsidR="348E429E">
        <w:t>P</w:t>
      </w:r>
      <w:r>
        <w:t xml:space="preserve">erson </w:t>
      </w:r>
      <w:r w:rsidR="42ABCB7D">
        <w:t>A</w:t>
      </w:r>
      <w:r>
        <w:t xml:space="preserve">ct 1861 is the lack of clear structuring </w:t>
      </w:r>
      <w:r w:rsidR="00111C0B">
        <w:t>in the hierarchy of offences. A person would assume that there is a ladder</w:t>
      </w:r>
      <w:r w:rsidR="00B6426F">
        <w:t xml:space="preserve"> from least to most se</w:t>
      </w:r>
      <w:r w:rsidR="00D34577">
        <w:t>vere</w:t>
      </w:r>
      <w:r w:rsidR="00A015DA">
        <w:t>, each offence being separated by the gravity and seriousness of the offence</w:t>
      </w:r>
      <w:r w:rsidR="00D44EFA">
        <w:t>.</w:t>
      </w:r>
      <w:r w:rsidR="003C37E3">
        <w:t xml:space="preserve"> Under section 47</w:t>
      </w:r>
      <w:r w:rsidR="00FC5913">
        <w:t>,</w:t>
      </w:r>
      <w:r w:rsidR="001C200F">
        <w:t xml:space="preserve"> assault occasioning actual bodily harm (ABH)</w:t>
      </w:r>
      <w:r w:rsidR="00790868">
        <w:t xml:space="preserve"> </w:t>
      </w:r>
      <w:r w:rsidR="00913E30">
        <w:t>the defendant commits an assault or battery which causes some harm to the victim</w:t>
      </w:r>
      <w:r w:rsidR="0043403C">
        <w:t xml:space="preserve"> that interferes with the</w:t>
      </w:r>
      <w:r w:rsidR="001A78BD">
        <w:t>ir</w:t>
      </w:r>
      <w:r w:rsidR="0043403C">
        <w:t xml:space="preserve"> health </w:t>
      </w:r>
      <w:r w:rsidR="001A78BD">
        <w:t>for a short period of time such as bruises</w:t>
      </w:r>
      <w:r w:rsidR="008F2504">
        <w:t xml:space="preserve"> </w:t>
      </w:r>
      <w:r w:rsidR="000D76EA">
        <w:t xml:space="preserve">or cutting a </w:t>
      </w:r>
      <w:r w:rsidR="11BC7D8C">
        <w:t>victim's</w:t>
      </w:r>
      <w:r w:rsidR="000D76EA">
        <w:t xml:space="preserve"> hair. </w:t>
      </w:r>
      <w:r w:rsidR="00406057">
        <w:t xml:space="preserve">This appears in DDP V Smith [2006] </w:t>
      </w:r>
      <w:r w:rsidR="006F4873">
        <w:t>where the defendant had cut the victim’s hair and</w:t>
      </w:r>
      <w:r w:rsidR="0037606C">
        <w:t xml:space="preserve"> </w:t>
      </w:r>
      <w:r w:rsidR="17B20FEA">
        <w:t xml:space="preserve">it </w:t>
      </w:r>
      <w:r w:rsidR="0037606C">
        <w:t>was argued by the prosecution that hair</w:t>
      </w:r>
      <w:r w:rsidR="006F4873">
        <w:t xml:space="preserve"> is still </w:t>
      </w:r>
      <w:r w:rsidR="00775D29">
        <w:t>part of a person</w:t>
      </w:r>
      <w:r w:rsidR="0031258C">
        <w:t>’</w:t>
      </w:r>
      <w:r w:rsidR="00775D29">
        <w:t>s body</w:t>
      </w:r>
      <w:r w:rsidR="0031258C">
        <w:t xml:space="preserve"> and the harm was caused. There is no requirement under section 47 if the defendant intended or recklessly caused the harm, the o</w:t>
      </w:r>
      <w:r w:rsidR="004866CF">
        <w:t xml:space="preserve">nly condition is that the harm was caused. </w:t>
      </w:r>
      <w:r w:rsidR="00FC5913">
        <w:t xml:space="preserve">Offences under this offence would be the less serious crimes. Whereas under section 20, wounding </w:t>
      </w:r>
      <w:r w:rsidR="00942051">
        <w:t>or inflicting grievous bodily harm</w:t>
      </w:r>
      <w:r w:rsidR="007077FE">
        <w:t xml:space="preserve"> which could be </w:t>
      </w:r>
      <w:r w:rsidR="003A62DF">
        <w:t xml:space="preserve">classed as more </w:t>
      </w:r>
      <w:r w:rsidR="008E607F">
        <w:t xml:space="preserve">serious crime as the </w:t>
      </w:r>
      <w:r w:rsidR="632475D2">
        <w:t>victim's</w:t>
      </w:r>
      <w:r w:rsidR="008E607F">
        <w:t xml:space="preserve"> skin needs to be broken for it to be classed as a wound for example stabbing.</w:t>
      </w:r>
      <w:r w:rsidR="006F3817">
        <w:t xml:space="preserve"> </w:t>
      </w:r>
      <w:r w:rsidR="00371BFF">
        <w:t>An example, of a wound being cause</w:t>
      </w:r>
      <w:r w:rsidR="000A676B">
        <w:t>d</w:t>
      </w:r>
      <w:r w:rsidR="00371BFF">
        <w:t xml:space="preserve"> is Mo</w:t>
      </w:r>
      <w:r w:rsidR="00C674A4">
        <w:t xml:space="preserve">riarty v Brookes [1834] where the defendant </w:t>
      </w:r>
      <w:r w:rsidR="00162810">
        <w:t>struck the victim and caused a cut</w:t>
      </w:r>
      <w:r w:rsidR="000A676B">
        <w:t xml:space="preserve"> </w:t>
      </w:r>
      <w:r w:rsidR="00044D23">
        <w:t>due to the excessive force.</w:t>
      </w:r>
      <w:r w:rsidR="001C67A1">
        <w:t xml:space="preserve"> This can also be compared to Wood [1830]</w:t>
      </w:r>
      <w:r w:rsidR="00215EA3">
        <w:t xml:space="preserve"> when the defendant had caused </w:t>
      </w:r>
      <w:r w:rsidR="002B74E5">
        <w:t xml:space="preserve">a broken collarbone to the victim but due to the skin </w:t>
      </w:r>
      <w:r w:rsidR="00500890">
        <w:t xml:space="preserve">remaining intact, it was </w:t>
      </w:r>
      <w:r w:rsidR="00B92034">
        <w:t xml:space="preserve">not </w:t>
      </w:r>
      <w:r w:rsidR="00500890">
        <w:t>classed as a wound.</w:t>
      </w:r>
      <w:r w:rsidR="005242F0">
        <w:t xml:space="preserve"> Child (2017) points to the fact that both these offences</w:t>
      </w:r>
      <w:r w:rsidR="00451B75">
        <w:t xml:space="preserve"> have a maximum of 5 years and states that their co-</w:t>
      </w:r>
      <w:r w:rsidR="00C019D2">
        <w:t>existence</w:t>
      </w:r>
      <w:r w:rsidR="00451B75">
        <w:t xml:space="preserve"> is needless</w:t>
      </w:r>
      <w:r w:rsidR="00D76198">
        <w:t>.</w:t>
      </w:r>
      <w:r w:rsidR="008327C9">
        <w:t xml:space="preserve"> However, there is a need for a clearer separation between the offences </w:t>
      </w:r>
      <w:r w:rsidR="003E222F">
        <w:t xml:space="preserve">to be able to establish </w:t>
      </w:r>
      <w:r w:rsidR="00227A81">
        <w:t>what offence</w:t>
      </w:r>
      <w:r w:rsidR="4A3435CA">
        <w:t>s</w:t>
      </w:r>
      <w:r w:rsidR="00227A81">
        <w:t xml:space="preserve"> </w:t>
      </w:r>
      <w:r w:rsidR="00B92034">
        <w:t>are</w:t>
      </w:r>
      <w:r w:rsidR="00227A81">
        <w:t xml:space="preserve"> more serious</w:t>
      </w:r>
      <w:r w:rsidR="2C7A5D1E">
        <w:t>,</w:t>
      </w:r>
      <w:r w:rsidR="004A7516">
        <w:t xml:space="preserve"> which is why reform is desperately needed so that this is transparent within the court</w:t>
      </w:r>
      <w:r w:rsidR="0096310C">
        <w:t xml:space="preserve">. The reform is not only needed for there to be clarity to </w:t>
      </w:r>
      <w:r w:rsidR="00081F84">
        <w:t xml:space="preserve">judges but also to the public as </w:t>
      </w:r>
      <w:r w:rsidR="00375E2F">
        <w:t>this reflects badly to the current law and can create doubt of a fair justice system.</w:t>
      </w:r>
      <w:r w:rsidR="008327C9">
        <w:t xml:space="preserve"> </w:t>
      </w:r>
    </w:p>
    <w:p w14:paraId="16F5B50D" w14:textId="77777777" w:rsidR="008226B2" w:rsidRDefault="008226B2" w:rsidP="00F35670">
      <w:pPr>
        <w:jc w:val="both"/>
      </w:pPr>
    </w:p>
    <w:p w14:paraId="2518BF5C" w14:textId="7A854597" w:rsidR="00FB575A" w:rsidRPr="008614D2" w:rsidRDefault="005B6A42" w:rsidP="00F35670">
      <w:pPr>
        <w:jc w:val="both"/>
      </w:pPr>
      <w:r>
        <w:t xml:space="preserve">There is </w:t>
      </w:r>
      <w:r w:rsidR="00DA7FD6">
        <w:t xml:space="preserve">also </w:t>
      </w:r>
      <w:r>
        <w:t xml:space="preserve">section 18 </w:t>
      </w:r>
      <w:r w:rsidR="00F74E79">
        <w:t>wounding or</w:t>
      </w:r>
      <w:r w:rsidR="00C435E9">
        <w:t xml:space="preserve"> causing grievous bodily harm </w:t>
      </w:r>
      <w:r w:rsidR="00450FFA">
        <w:t xml:space="preserve">(GBH) </w:t>
      </w:r>
      <w:r w:rsidR="00C435E9">
        <w:t>with intent</w:t>
      </w:r>
      <w:r w:rsidR="00DA7FD6">
        <w:t xml:space="preserve"> which the actus reus is </w:t>
      </w:r>
      <w:r w:rsidR="00EA5427">
        <w:t>parallel to section 20</w:t>
      </w:r>
      <w:r w:rsidR="00E053B4">
        <w:t xml:space="preserve"> as </w:t>
      </w:r>
      <w:r w:rsidR="001D36D3">
        <w:t xml:space="preserve">the </w:t>
      </w:r>
      <w:r w:rsidR="00E053B4">
        <w:t>defendants conduct</w:t>
      </w:r>
      <w:r w:rsidR="0072256B">
        <w:t xml:space="preserve"> needs to have caused</w:t>
      </w:r>
      <w:r w:rsidR="001D36D3">
        <w:t xml:space="preserve"> the</w:t>
      </w:r>
      <w:r w:rsidR="0072256B">
        <w:t xml:space="preserve"> victim</w:t>
      </w:r>
      <w:r w:rsidR="001D36D3">
        <w:t>’s</w:t>
      </w:r>
      <w:r w:rsidR="00450FFA">
        <w:t xml:space="preserve"> wound or GBH</w:t>
      </w:r>
      <w:r w:rsidR="00574052">
        <w:t>. However</w:t>
      </w:r>
      <w:r w:rsidR="00F74E79">
        <w:t>,</w:t>
      </w:r>
      <w:r w:rsidR="00574052">
        <w:t xml:space="preserve"> the main difference </w:t>
      </w:r>
      <w:r w:rsidR="008226B2">
        <w:t xml:space="preserve">between these </w:t>
      </w:r>
      <w:r w:rsidR="009B5096">
        <w:t>sections is the mens r</w:t>
      </w:r>
      <w:r w:rsidR="00F011D0">
        <w:t xml:space="preserve">ea </w:t>
      </w:r>
      <w:r w:rsidR="00DA1C9C">
        <w:t>which is the intent to</w:t>
      </w:r>
      <w:r w:rsidR="00753F0D">
        <w:t xml:space="preserve"> cause the harm with malice</w:t>
      </w:r>
      <w:r w:rsidR="00283D69">
        <w:t xml:space="preserve">. </w:t>
      </w:r>
      <w:r w:rsidR="00B40E62">
        <w:t xml:space="preserve">Section 18 also </w:t>
      </w:r>
      <w:r w:rsidR="00DC16CD">
        <w:t>bears a maximum sentence</w:t>
      </w:r>
      <w:r w:rsidR="000754D9">
        <w:t xml:space="preserve"> of life imprisonment which is </w:t>
      </w:r>
      <w:r w:rsidR="00DE4C74">
        <w:t>significantly</w:t>
      </w:r>
      <w:r w:rsidR="000754D9">
        <w:t xml:space="preserve"> more than section 20</w:t>
      </w:r>
      <w:r w:rsidR="00DE4C74">
        <w:t>.</w:t>
      </w:r>
      <w:r w:rsidR="006B1C21">
        <w:t xml:space="preserve"> </w:t>
      </w:r>
      <w:r w:rsidR="00E64E33">
        <w:t xml:space="preserve">According to Gray and Co Solicitors (2011) </w:t>
      </w:r>
      <w:r w:rsidR="00E94029">
        <w:t xml:space="preserve">there </w:t>
      </w:r>
      <w:r w:rsidR="00270DB3">
        <w:t>can sometimes be a subtle difference between these offences for some defendant</w:t>
      </w:r>
      <w:r w:rsidR="0005504E">
        <w:t xml:space="preserve">s </w:t>
      </w:r>
      <w:r w:rsidR="00270DB3">
        <w:t xml:space="preserve">and </w:t>
      </w:r>
      <w:r w:rsidR="00F40590">
        <w:t xml:space="preserve">can be </w:t>
      </w:r>
      <w:r w:rsidR="0005504E">
        <w:t>very difficult for the jury to decide if there is factual evidence of the intent to cause grievous bodily harm.</w:t>
      </w:r>
      <w:r w:rsidR="00B077F7">
        <w:t xml:space="preserve"> This is </w:t>
      </w:r>
      <w:r w:rsidR="001B750B">
        <w:t xml:space="preserve">apparent in Taylor </w:t>
      </w:r>
      <w:r w:rsidR="1EFE9DD4">
        <w:t>[</w:t>
      </w:r>
      <w:r w:rsidR="001B750B">
        <w:t>2009</w:t>
      </w:r>
      <w:r w:rsidR="3D72F762">
        <w:t>]</w:t>
      </w:r>
      <w:r w:rsidR="0074286A">
        <w:t xml:space="preserve"> </w:t>
      </w:r>
      <w:r w:rsidR="0090772D">
        <w:t xml:space="preserve">where the defendant had </w:t>
      </w:r>
      <w:r w:rsidR="003A2B75">
        <w:t>stabbed the victim</w:t>
      </w:r>
      <w:r w:rsidR="00DE43F4">
        <w:t>,</w:t>
      </w:r>
      <w:r w:rsidR="003A2B75">
        <w:t xml:space="preserve"> </w:t>
      </w:r>
      <w:r w:rsidR="001A097E">
        <w:t xml:space="preserve">yet the prosecution was unable to </w:t>
      </w:r>
      <w:r w:rsidR="00326166">
        <w:t>provide proof that there was intent</w:t>
      </w:r>
      <w:r w:rsidR="00DE43F4">
        <w:t>,</w:t>
      </w:r>
      <w:r w:rsidR="0003239B">
        <w:t xml:space="preserve"> and the defendant </w:t>
      </w:r>
      <w:r w:rsidR="0097497E">
        <w:t xml:space="preserve">was therefore charged </w:t>
      </w:r>
      <w:r w:rsidR="00EE78D3">
        <w:t>under section 20.</w:t>
      </w:r>
      <w:r w:rsidR="00326166">
        <w:t xml:space="preserve"> </w:t>
      </w:r>
    </w:p>
    <w:p w14:paraId="3C0D93A9" w14:textId="77777777" w:rsidR="008614D2" w:rsidRPr="008614D2" w:rsidRDefault="008614D2" w:rsidP="00D930B9">
      <w:pPr>
        <w:jc w:val="both"/>
      </w:pPr>
    </w:p>
    <w:p w14:paraId="3C1CB7FD" w14:textId="310B7876" w:rsidR="00877C69" w:rsidRPr="008614D2" w:rsidRDefault="4F9E6441" w:rsidP="00D930B9">
      <w:pPr>
        <w:jc w:val="both"/>
      </w:pPr>
      <w:r>
        <w:t xml:space="preserve">A further issue that </w:t>
      </w:r>
      <w:r w:rsidR="401CB258">
        <w:t xml:space="preserve">is </w:t>
      </w:r>
      <w:r w:rsidR="59FC8BF7">
        <w:t xml:space="preserve">prevalent within the </w:t>
      </w:r>
      <w:r w:rsidR="0BDA1DD7">
        <w:t>O</w:t>
      </w:r>
      <w:r w:rsidR="59FC8BF7">
        <w:t xml:space="preserve">ffences </w:t>
      </w:r>
      <w:r w:rsidR="773541D3">
        <w:t>A</w:t>
      </w:r>
      <w:r w:rsidR="59FC8BF7">
        <w:t xml:space="preserve">gainst the </w:t>
      </w:r>
      <w:r w:rsidR="30D07709">
        <w:t>P</w:t>
      </w:r>
      <w:r w:rsidR="59FC8BF7">
        <w:t xml:space="preserve">erson </w:t>
      </w:r>
      <w:r w:rsidR="1EA67959">
        <w:t>A</w:t>
      </w:r>
      <w:r w:rsidR="59FC8BF7">
        <w:t xml:space="preserve">ct 1861 is that the language that is used is </w:t>
      </w:r>
      <w:r w:rsidR="6D67DAE3">
        <w:t>outdated.</w:t>
      </w:r>
      <w:r w:rsidR="361BDCCA">
        <w:t xml:space="preserve"> </w:t>
      </w:r>
      <w:r w:rsidR="17579340">
        <w:t>For example</w:t>
      </w:r>
      <w:r w:rsidR="224E0537">
        <w:t>,</w:t>
      </w:r>
      <w:r w:rsidR="58896503">
        <w:t xml:space="preserve"> the Law Commission </w:t>
      </w:r>
      <w:r w:rsidR="3C05F11A">
        <w:t>review</w:t>
      </w:r>
      <w:r w:rsidR="58896503">
        <w:t xml:space="preserve"> (2015</w:t>
      </w:r>
      <w:r w:rsidR="2B20FD5B">
        <w:t>, a</w:t>
      </w:r>
      <w:r w:rsidR="58896503">
        <w:t>)</w:t>
      </w:r>
      <w:r w:rsidR="224E0537">
        <w:t xml:space="preserve"> </w:t>
      </w:r>
      <w:r w:rsidR="07AD438A">
        <w:t xml:space="preserve">stated </w:t>
      </w:r>
      <w:r w:rsidR="636C6151">
        <w:t>the use of the word</w:t>
      </w:r>
      <w:r w:rsidR="7DADD4D4">
        <w:t xml:space="preserve"> ‘grievous’ </w:t>
      </w:r>
      <w:r w:rsidR="05FCDB3C">
        <w:t xml:space="preserve">which is </w:t>
      </w:r>
      <w:r w:rsidR="450DBADE">
        <w:t xml:space="preserve">to </w:t>
      </w:r>
      <w:r w:rsidR="420E58EB">
        <w:t>ill</w:t>
      </w:r>
      <w:r w:rsidR="419CAC48">
        <w:t>ustrate</w:t>
      </w:r>
      <w:r w:rsidR="05FCDB3C">
        <w:t xml:space="preserve"> </w:t>
      </w:r>
      <w:r w:rsidR="01799AA9">
        <w:t xml:space="preserve">a </w:t>
      </w:r>
      <w:r w:rsidR="01AE6449">
        <w:t>serious injury</w:t>
      </w:r>
      <w:r w:rsidR="58896503">
        <w:t xml:space="preserve"> </w:t>
      </w:r>
      <w:r w:rsidR="193E5FD0">
        <w:t xml:space="preserve">is not </w:t>
      </w:r>
      <w:r w:rsidR="05337E75">
        <w:t xml:space="preserve">used by many people in today’s society. This is an issue as </w:t>
      </w:r>
      <w:r w:rsidR="0DBA1B0E">
        <w:t xml:space="preserve">each </w:t>
      </w:r>
      <w:r w:rsidR="51E63C11">
        <w:t xml:space="preserve">person within the jury may have a different understanding of the word. </w:t>
      </w:r>
      <w:r w:rsidR="0105DD78">
        <w:t>This can also be argued for the word ‘ma</w:t>
      </w:r>
      <w:r w:rsidR="0CE468A5">
        <w:t xml:space="preserve">liciously’ </w:t>
      </w:r>
      <w:r w:rsidR="62209E20">
        <w:t>as it is a more subjective word and is often left for interpretation by the jury and the court</w:t>
      </w:r>
      <w:r w:rsidR="53827491">
        <w:t>.</w:t>
      </w:r>
      <w:r w:rsidR="0105DD78">
        <w:t xml:space="preserve"> </w:t>
      </w:r>
      <w:r w:rsidR="274048D8">
        <w:t>This has also been an issue in</w:t>
      </w:r>
      <w:r w:rsidR="76CD167F">
        <w:t xml:space="preserve"> </w:t>
      </w:r>
      <w:r w:rsidR="3BADC202">
        <w:t>R v Cunningham</w:t>
      </w:r>
      <w:r w:rsidR="6CE89AD8">
        <w:t xml:space="preserve"> [19</w:t>
      </w:r>
      <w:r w:rsidR="78C0C25B">
        <w:t>5</w:t>
      </w:r>
      <w:r w:rsidR="6CE89AD8">
        <w:t>7]</w:t>
      </w:r>
      <w:r w:rsidR="6C157CE8">
        <w:t xml:space="preserve"> the defendant </w:t>
      </w:r>
      <w:r w:rsidR="1A391948">
        <w:t xml:space="preserve">removed a gas meter </w:t>
      </w:r>
      <w:r w:rsidR="0CEA1CF3">
        <w:t>to be able to steal the money that was inside</w:t>
      </w:r>
      <w:r w:rsidR="52631EAB">
        <w:t>, however</w:t>
      </w:r>
      <w:r w:rsidR="54F325E4">
        <w:t xml:space="preserve"> the meter was </w:t>
      </w:r>
      <w:r w:rsidR="501CF878">
        <w:t xml:space="preserve">connected to the </w:t>
      </w:r>
      <w:r w:rsidR="76209FA0">
        <w:t>neighbour's</w:t>
      </w:r>
      <w:r w:rsidR="501CF878">
        <w:t xml:space="preserve"> house. By the defendant removing the meter</w:t>
      </w:r>
      <w:r w:rsidR="56FEFCE0">
        <w:t xml:space="preserve">, this </w:t>
      </w:r>
      <w:r w:rsidR="5A5DD568">
        <w:t>led</w:t>
      </w:r>
      <w:r w:rsidR="56FEFCE0">
        <w:t xml:space="preserve"> to </w:t>
      </w:r>
      <w:r w:rsidR="1D4FDBD2">
        <w:t>gas</w:t>
      </w:r>
      <w:r w:rsidR="56FEFCE0">
        <w:t xml:space="preserve"> being leaked into her property and </w:t>
      </w:r>
      <w:r w:rsidR="1D4FDBD2">
        <w:t>was poisoned.</w:t>
      </w:r>
      <w:r w:rsidR="27357E7C">
        <w:t xml:space="preserve"> </w:t>
      </w:r>
      <w:r w:rsidR="3B333DA8">
        <w:t>T</w:t>
      </w:r>
      <w:r w:rsidR="6BAE4140">
        <w:t>he judge had mis</w:t>
      </w:r>
      <w:r w:rsidR="729B1570">
        <w:t xml:space="preserve">used the term ‘malicious’ as </w:t>
      </w:r>
      <w:r w:rsidR="229F50D9">
        <w:t>‘wicked’</w:t>
      </w:r>
      <w:r w:rsidR="6ECE141B">
        <w:t xml:space="preserve"> </w:t>
      </w:r>
      <w:r w:rsidR="6C69CF0C">
        <w:t xml:space="preserve">which resulted </w:t>
      </w:r>
      <w:r w:rsidR="6DE2E90A">
        <w:t>in the jury being misled.</w:t>
      </w:r>
      <w:r w:rsidR="2CA85259">
        <w:t xml:space="preserve"> A</w:t>
      </w:r>
      <w:r w:rsidR="02CB5B2D">
        <w:t>n ad</w:t>
      </w:r>
      <w:r w:rsidR="65D9AA3D">
        <w:t xml:space="preserve">ditional problem with the offences against the person act 1861 is that </w:t>
      </w:r>
      <w:r w:rsidR="4DEFFFF8">
        <w:t xml:space="preserve">it lacks </w:t>
      </w:r>
      <w:r w:rsidR="26DE5288">
        <w:t>definitions of key words and phrases which can make things</w:t>
      </w:r>
      <w:r w:rsidR="54C90D82">
        <w:t xml:space="preserve"> confusing and hard </w:t>
      </w:r>
      <w:r w:rsidR="7E2002C8">
        <w:t xml:space="preserve">to interpret. </w:t>
      </w:r>
      <w:r w:rsidR="254F05C2">
        <w:t>For example, section 47 assault occasioning actual bodily harm</w:t>
      </w:r>
      <w:r w:rsidR="2FCA9991">
        <w:t xml:space="preserve"> (ABH) </w:t>
      </w:r>
      <w:r w:rsidR="11C210B4">
        <w:t xml:space="preserve"> states</w:t>
      </w:r>
      <w:r w:rsidR="0B473CC3">
        <w:t>:</w:t>
      </w:r>
      <w:r w:rsidR="62996838">
        <w:t xml:space="preserve"> </w:t>
      </w:r>
      <w:r w:rsidR="70174A67">
        <w:t>“</w:t>
      </w:r>
      <w:r w:rsidR="11C210B4">
        <w:t xml:space="preserve">Whosever shall be convicted on </w:t>
      </w:r>
      <w:r w:rsidR="2B80EEB7">
        <w:t>indi</w:t>
      </w:r>
      <w:r w:rsidR="11C210B4">
        <w:t>ctment of any assault occasioning actual bodily harm shall be liable to imprisonment for not more than five years.</w:t>
      </w:r>
      <w:r w:rsidR="70174A67">
        <w:t>”</w:t>
      </w:r>
      <w:r w:rsidR="0B473CC3">
        <w:t>(Child</w:t>
      </w:r>
      <w:r w:rsidR="1CDBA301">
        <w:t xml:space="preserve">, </w:t>
      </w:r>
      <w:r w:rsidR="0B473CC3">
        <w:t>2017</w:t>
      </w:r>
      <w:r w:rsidR="1CDBA301">
        <w:t>, p. 230</w:t>
      </w:r>
      <w:r w:rsidR="0B473CC3">
        <w:t>)</w:t>
      </w:r>
      <w:r w:rsidR="4F1D5641">
        <w:t>.</w:t>
      </w:r>
      <w:r w:rsidR="62996838">
        <w:t xml:space="preserve"> </w:t>
      </w:r>
      <w:r w:rsidR="0EEC812E">
        <w:t>In the act</w:t>
      </w:r>
      <w:r w:rsidR="4F1D5641">
        <w:t xml:space="preserve"> itself</w:t>
      </w:r>
      <w:r w:rsidR="0EEC812E">
        <w:t xml:space="preserve"> it does not define ‘actual bodily harm’</w:t>
      </w:r>
      <w:r w:rsidR="4F1D5641">
        <w:t xml:space="preserve"> which is clear in </w:t>
      </w:r>
      <w:r w:rsidR="7756E468">
        <w:t>R v Ireland</w:t>
      </w:r>
      <w:r w:rsidR="4F1D5641">
        <w:t xml:space="preserve"> [1998]. </w:t>
      </w:r>
      <w:r w:rsidR="6374BB8C">
        <w:t xml:space="preserve">The defendant had made </w:t>
      </w:r>
      <w:r w:rsidR="7912BE48">
        <w:t xml:space="preserve">silent telephone calls to </w:t>
      </w:r>
      <w:r w:rsidR="72AA9C32">
        <w:t xml:space="preserve">three </w:t>
      </w:r>
      <w:r w:rsidR="7912BE48">
        <w:t>women</w:t>
      </w:r>
      <w:r w:rsidR="72AA9C32">
        <w:t xml:space="preserve">, due to one of the women </w:t>
      </w:r>
      <w:r w:rsidR="6D1B3306">
        <w:t>suffering psychological harm such as a</w:t>
      </w:r>
      <w:r w:rsidR="717FB3CF">
        <w:t>nxiety</w:t>
      </w:r>
      <w:r w:rsidR="2A7A9DC8">
        <w:t xml:space="preserve">, this then led to the defendant being charged with </w:t>
      </w:r>
      <w:r w:rsidR="2FCA9991">
        <w:t xml:space="preserve">ABH </w:t>
      </w:r>
      <w:r w:rsidR="7E2002C8">
        <w:t>(</w:t>
      </w:r>
      <w:r w:rsidR="27508EE0">
        <w:t>Herring</w:t>
      </w:r>
      <w:r w:rsidR="7E2002C8">
        <w:t>,</w:t>
      </w:r>
      <w:r w:rsidR="27508EE0">
        <w:t xml:space="preserve"> </w:t>
      </w:r>
      <w:r w:rsidR="7BEE83FD">
        <w:t>2018).</w:t>
      </w:r>
      <w:r w:rsidR="5DFDFFF8">
        <w:t xml:space="preserve"> </w:t>
      </w:r>
      <w:r w:rsidR="5286DD65">
        <w:t>However, people may not agre</w:t>
      </w:r>
      <w:r w:rsidR="6637FAD0">
        <w:t>e that it was correct to charge the defendant under section 47</w:t>
      </w:r>
      <w:r w:rsidR="0E6AC807">
        <w:t xml:space="preserve"> </w:t>
      </w:r>
      <w:r w:rsidR="6A4517CB">
        <w:t>as psychiatric injury</w:t>
      </w:r>
      <w:r w:rsidR="73528A04">
        <w:t xml:space="preserve"> needs to be </w:t>
      </w:r>
      <w:r w:rsidR="6718A584">
        <w:t xml:space="preserve">a </w:t>
      </w:r>
      <w:r w:rsidR="395D5FCD">
        <w:t>recognised psychiatric condition</w:t>
      </w:r>
      <w:r w:rsidR="4A24C426">
        <w:t>, such as clinical depression,</w:t>
      </w:r>
      <w:r w:rsidR="38E266D5">
        <w:t xml:space="preserve"> </w:t>
      </w:r>
      <w:r w:rsidR="73528A04">
        <w:t>to</w:t>
      </w:r>
      <w:r w:rsidR="38E266D5">
        <w:t xml:space="preserve"> be able</w:t>
      </w:r>
      <w:r w:rsidR="73528A04">
        <w:t xml:space="preserve"> represent actual bodily harm</w:t>
      </w:r>
      <w:r w:rsidR="4A24C426">
        <w:t>.</w:t>
      </w:r>
      <w:r w:rsidR="070EF09B">
        <w:t xml:space="preserve"> Child (2017) has argued that simple psychological harms such as fear or anxiety should not amount to</w:t>
      </w:r>
      <w:r w:rsidR="6718A584">
        <w:t xml:space="preserve"> ABH</w:t>
      </w:r>
      <w:r w:rsidR="070EF09B">
        <w:t>.</w:t>
      </w:r>
      <w:r w:rsidR="2AD0C263">
        <w:t xml:space="preserve"> </w:t>
      </w:r>
      <w:r w:rsidR="45372A60">
        <w:t xml:space="preserve"> </w:t>
      </w:r>
    </w:p>
    <w:p w14:paraId="2B201560" w14:textId="130D6EB4" w:rsidR="57793D4D" w:rsidRDefault="57793D4D" w:rsidP="57793D4D">
      <w:pPr>
        <w:jc w:val="both"/>
      </w:pPr>
    </w:p>
    <w:p w14:paraId="063EF63C" w14:textId="2DB5704C" w:rsidR="2FF67F71" w:rsidRDefault="2FF67F71" w:rsidP="57793D4D">
      <w:pPr>
        <w:jc w:val="both"/>
      </w:pPr>
      <w:r>
        <w:t xml:space="preserve">Additionally, there is a need for reform due to the outdated </w:t>
      </w:r>
      <w:r w:rsidR="3ACF7D87">
        <w:t>legislation that i</w:t>
      </w:r>
      <w:r w:rsidR="4999895D">
        <w:t>s</w:t>
      </w:r>
      <w:r w:rsidR="3ACF7D87">
        <w:t xml:space="preserve"> included within the Offences Against the Person Act 1861 such as </w:t>
      </w:r>
      <w:r w:rsidR="44B71CE3">
        <w:t xml:space="preserve">section 17. </w:t>
      </w:r>
      <w:r w:rsidR="1418A08B">
        <w:t>Section 17 states that preventing the escape from</w:t>
      </w:r>
      <w:r w:rsidR="77FB7A2F">
        <w:t xml:space="preserve"> a shipwreck be it unlawful or malicious impediment</w:t>
      </w:r>
      <w:r w:rsidR="091532C4">
        <w:t>.</w:t>
      </w:r>
      <w:r w:rsidR="22993B11">
        <w:t xml:space="preserve"> The section also includes preventing another from rescuing those that are dis</w:t>
      </w:r>
      <w:r w:rsidR="2B39054E">
        <w:t>tressed, wrecked or stranded</w:t>
      </w:r>
      <w:r w:rsidR="48AC2AF6">
        <w:t xml:space="preserve">, which holds a maximum sentence of life imprisonment. </w:t>
      </w:r>
      <w:r w:rsidR="1923BC0C">
        <w:t>According to Eugenicos (2017)</w:t>
      </w:r>
      <w:r w:rsidR="01904E87">
        <w:t xml:space="preserve"> </w:t>
      </w:r>
      <w:r w:rsidR="1AE6C868">
        <w:t xml:space="preserve">section 17 has never been prosecuted, this showing that the legislation is irrelevant and completely old fashioned </w:t>
      </w:r>
      <w:r w:rsidR="173D97FF">
        <w:t>for today’s very modern society. Lord Thomas CJ (as cited in Eugenico</w:t>
      </w:r>
      <w:r w:rsidR="328CF346">
        <w:t xml:space="preserve">s, 2017) also expressed that by reforming the Offences </w:t>
      </w:r>
      <w:r w:rsidR="7FD76DEB">
        <w:t xml:space="preserve">Against the Person Act 1861 it could provide the government the opportunity to really modernise the law and </w:t>
      </w:r>
      <w:r w:rsidR="5F29E084">
        <w:t xml:space="preserve">create a firm foundation that is long overdue. </w:t>
      </w:r>
      <w:r w:rsidR="5999B16B">
        <w:t>The reform for this legisl</w:t>
      </w:r>
      <w:r w:rsidR="7CCA967E">
        <w:t xml:space="preserve">ation is vital to the public as </w:t>
      </w:r>
      <w:r w:rsidR="3DA8AF89">
        <w:t>it will be their lives it impacts the most</w:t>
      </w:r>
      <w:r w:rsidR="6EECD2CF">
        <w:t xml:space="preserve"> and it is important for the law to coherently mean something without the interpretation from </w:t>
      </w:r>
      <w:r w:rsidR="0622F722">
        <w:t>judges.</w:t>
      </w:r>
      <w:r w:rsidR="765641C6">
        <w:t xml:space="preserve"> </w:t>
      </w:r>
      <w:r w:rsidR="0041C9EF">
        <w:t>Love (</w:t>
      </w:r>
      <w:r w:rsidR="6E166B06">
        <w:t xml:space="preserve">2014) </w:t>
      </w:r>
      <w:r w:rsidR="44ED89C4">
        <w:t>expressed that without reform, the law is unable to reflect the principles that the public would consider</w:t>
      </w:r>
      <w:r w:rsidR="3D17B026">
        <w:t xml:space="preserve"> important, for example t</w:t>
      </w:r>
      <w:r w:rsidR="1BB8382B">
        <w:t>he 3 separate sections relati</w:t>
      </w:r>
      <w:r w:rsidR="0F50E814">
        <w:t>ng to the use of gunpowder</w:t>
      </w:r>
      <w:r w:rsidR="5291F87A">
        <w:t>.</w:t>
      </w:r>
      <w:r w:rsidR="78FD9490">
        <w:t xml:space="preserve"> Love (2014) does argue however, that the Off</w:t>
      </w:r>
      <w:r w:rsidR="34FA7D3F">
        <w:t xml:space="preserve">ences Against the Person Act 1861 does still work, </w:t>
      </w:r>
      <w:r w:rsidR="739F6270">
        <w:t>despite there being complaints about the unnecessary legislation</w:t>
      </w:r>
      <w:r w:rsidR="4C0F4C4E">
        <w:t xml:space="preserve"> and the need for some interpretations</w:t>
      </w:r>
      <w:r w:rsidR="3EE53BF6">
        <w:t xml:space="preserve"> it is still relatively suitable</w:t>
      </w:r>
      <w:r w:rsidR="27976E05">
        <w:t xml:space="preserve"> to be used throughout England and Wales</w:t>
      </w:r>
      <w:r w:rsidR="2EF33CE7">
        <w:t>.</w:t>
      </w:r>
    </w:p>
    <w:p w14:paraId="08F15DEB" w14:textId="16AFE513" w:rsidR="57793D4D" w:rsidRDefault="57793D4D" w:rsidP="57793D4D">
      <w:pPr>
        <w:jc w:val="both"/>
      </w:pPr>
    </w:p>
    <w:p w14:paraId="2025C8BC" w14:textId="3BD6C962" w:rsidR="6FFFD083" w:rsidRDefault="6FFFD083" w:rsidP="57793D4D">
      <w:pPr>
        <w:jc w:val="both"/>
      </w:pPr>
      <w:r>
        <w:t xml:space="preserve">On the other hand, there has been articles that justify the use of the </w:t>
      </w:r>
      <w:r w:rsidR="04E89567">
        <w:t xml:space="preserve">Offences Against the Person Act within England and Wales. For example, </w:t>
      </w:r>
      <w:r w:rsidR="676736A4">
        <w:t xml:space="preserve">The Law commission review argued that there was an unclear hierarchy of offences </w:t>
      </w:r>
      <w:r w:rsidR="161591C6">
        <w:t>in regard to</w:t>
      </w:r>
      <w:r w:rsidR="676736A4">
        <w:t xml:space="preserve"> section 47,</w:t>
      </w:r>
      <w:r w:rsidR="18ECC03A">
        <w:t xml:space="preserve"> 20 and 18.</w:t>
      </w:r>
      <w:r w:rsidR="512B0F07">
        <w:t xml:space="preserve"> </w:t>
      </w:r>
      <w:r w:rsidR="4A630148">
        <w:t xml:space="preserve">The Law commission review argues that the factors that will determine seriousness of the offence </w:t>
      </w:r>
      <w:r w:rsidR="0EEA4ABC">
        <w:t xml:space="preserve">is the type of injury that </w:t>
      </w:r>
      <w:r w:rsidR="2A378729">
        <w:t>has</w:t>
      </w:r>
      <w:r w:rsidR="0EEA4ABC">
        <w:t xml:space="preserve"> occurred</w:t>
      </w:r>
      <w:r w:rsidR="22A1D68C">
        <w:t>. Howev</w:t>
      </w:r>
      <w:r w:rsidR="268E56C0">
        <w:t xml:space="preserve">er, Gardner </w:t>
      </w:r>
      <w:r w:rsidR="0A75EBD2">
        <w:t>(1994) argues that as long as someone does not confuse the harm that is caused between the way in which it is caused then</w:t>
      </w:r>
      <w:r w:rsidR="6EDBE82B">
        <w:t xml:space="preserve"> </w:t>
      </w:r>
      <w:r w:rsidR="584374F1">
        <w:t xml:space="preserve">there is no issue or confusion between the offences. For example, </w:t>
      </w:r>
      <w:r w:rsidR="77C339A8">
        <w:t xml:space="preserve">if a patient has died due to a lack of medication that does not mean the doctor has murdered the patient. Gardner (1994) applies this example between </w:t>
      </w:r>
      <w:r w:rsidR="2B8F20C4">
        <w:t>section 20 and section 18, as the main difference between these sections</w:t>
      </w:r>
      <w:r w:rsidR="14A19128">
        <w:t>,</w:t>
      </w:r>
      <w:r w:rsidR="2B8F20C4">
        <w:t xml:space="preserve"> is the way in which the defendant has committed the offence.</w:t>
      </w:r>
      <w:r w:rsidR="21031189">
        <w:t xml:space="preserve"> There </w:t>
      </w:r>
      <w:r w:rsidR="47E566D0">
        <w:t>are</w:t>
      </w:r>
      <w:r w:rsidR="21031189">
        <w:t xml:space="preserve"> also justifications for the comparison of section 47 and section 20.</w:t>
      </w:r>
      <w:r w:rsidR="44E1D537">
        <w:t xml:space="preserve"> </w:t>
      </w:r>
      <w:r w:rsidR="26DF0F7C">
        <w:t>As section 47 assault occasioning actual bodily harm can happen within two forms, assault or battery</w:t>
      </w:r>
      <w:r w:rsidR="2FC23A2E">
        <w:t>.</w:t>
      </w:r>
      <w:r w:rsidR="68D8B2B4">
        <w:t xml:space="preserve"> Battery can be defined </w:t>
      </w:r>
      <w:r w:rsidR="1EC2A67F">
        <w:t xml:space="preserve">as </w:t>
      </w:r>
      <w:r w:rsidR="39099D82">
        <w:t xml:space="preserve">unlawful touching that was not consented </w:t>
      </w:r>
      <w:r w:rsidR="1273120B">
        <w:t>to;</w:t>
      </w:r>
      <w:r w:rsidR="39099D82">
        <w:t xml:space="preserve"> assault can be defined</w:t>
      </w:r>
      <w:r w:rsidR="3B52C66A">
        <w:t xml:space="preserve"> as the victim </w:t>
      </w:r>
      <w:r w:rsidR="4EE55D31">
        <w:t xml:space="preserve">must </w:t>
      </w:r>
      <w:r w:rsidR="3B52C66A">
        <w:t>apprehended</w:t>
      </w:r>
      <w:r w:rsidR="030ABBC2">
        <w:t xml:space="preserve"> unlawful </w:t>
      </w:r>
      <w:r w:rsidR="6125E9F4">
        <w:t xml:space="preserve">contact. </w:t>
      </w:r>
      <w:r w:rsidR="0A6E57B7">
        <w:t xml:space="preserve">The law commission review implies that all assault is violent and that there is not much difference between </w:t>
      </w:r>
      <w:r w:rsidR="6DEE2CDA">
        <w:t xml:space="preserve">section 47 and section 20. Yet Gardner (1994) argues that </w:t>
      </w:r>
      <w:r w:rsidR="11C7E8E7">
        <w:t>the law commission review creates an illusion that section 47 is a less serious variant to grievous bodily harm</w:t>
      </w:r>
      <w:r w:rsidR="1805751E">
        <w:t xml:space="preserve"> whereas in actuality </w:t>
      </w:r>
      <w:r w:rsidR="79911B8F">
        <w:t xml:space="preserve">assault is not always a crime of violence. Gardner (1994) further discusses that </w:t>
      </w:r>
      <w:r w:rsidR="0EE8A91D">
        <w:t xml:space="preserve">the offence could take place as an invasion of a person's personal space </w:t>
      </w:r>
      <w:r w:rsidR="3928FB8D">
        <w:t>as a form of battery. This implies that the contact was not consented to but may not have taken the form of violence</w:t>
      </w:r>
      <w:r w:rsidR="4B100D2B">
        <w:t>.</w:t>
      </w:r>
      <w:r w:rsidR="0416DB65">
        <w:t xml:space="preserve"> </w:t>
      </w:r>
      <w:r w:rsidR="5B77EC38">
        <w:t>T</w:t>
      </w:r>
      <w:r w:rsidR="0416DB65">
        <w:t xml:space="preserve">herefore there is a significant difference </w:t>
      </w:r>
      <w:r w:rsidR="726A0B66">
        <w:t>between the section 47 and section 20 and there is no need for reform to join these sections together.</w:t>
      </w:r>
    </w:p>
    <w:p w14:paraId="224CEFAA" w14:textId="017B2F21" w:rsidR="57793D4D" w:rsidRDefault="57793D4D" w:rsidP="57793D4D">
      <w:pPr>
        <w:jc w:val="both"/>
      </w:pPr>
    </w:p>
    <w:p w14:paraId="73B2E826" w14:textId="0FD09994" w:rsidR="5297B27F" w:rsidRDefault="5297B27F" w:rsidP="6E729CED">
      <w:pPr>
        <w:jc w:val="both"/>
        <w:rPr>
          <w:rFonts w:ascii="Calibri" w:eastAsia="Calibri" w:hAnsi="Calibri" w:cs="Calibri"/>
        </w:rPr>
      </w:pPr>
      <w:r>
        <w:t>The Law Commission (2015, b)</w:t>
      </w:r>
      <w:r w:rsidR="420F3687">
        <w:t xml:space="preserve"> </w:t>
      </w:r>
      <w:r w:rsidR="420F3687" w:rsidRPr="58535F3F">
        <w:rPr>
          <w:rFonts w:ascii="Calibri" w:eastAsia="Calibri" w:hAnsi="Calibri" w:cs="Calibri"/>
        </w:rPr>
        <w:t>also made a report proposing the new changes that would be made for the Offences Against the Person Act 1861. For example, the law commission suggested that section 18 wounding or causing grievous bodily harm with intent to do grievous bodily harm would be changed to intentionally causing serious injury but still keeping the maximum sentence for life imprisonment. This change would put a stop to any unnecessary confusion and would save time</w:t>
      </w:r>
      <w:r w:rsidR="07C5015F" w:rsidRPr="58535F3F">
        <w:rPr>
          <w:rFonts w:ascii="Calibri" w:eastAsia="Calibri" w:hAnsi="Calibri" w:cs="Calibri"/>
        </w:rPr>
        <w:t>,</w:t>
      </w:r>
      <w:r w:rsidR="420F3687" w:rsidRPr="58535F3F">
        <w:rPr>
          <w:rFonts w:ascii="Calibri" w:eastAsia="Calibri" w:hAnsi="Calibri" w:cs="Calibri"/>
        </w:rPr>
        <w:t xml:space="preserve"> since there is no need for any interpretation. The report also suggests that section 20 malicious wounding or causing grievous bodily harm would be changed to recklessly causing serious injury, there is also a suggestion that the sentence of this offence would change from five years and increased to seven years. This would also remove the confusion and subjectiveness of the word ‘malicious’. Additionally, the report recommended section 47 assault occasioning actual bodily harm to be split into 2 sections, the first section would become intentionally or recklessly causing injury, not definitely by assault but the defendant must anticipate a risk of injury towards the victim, which would stay as the same maximum sentence, of five years. The second section would become aggravated assault meaning assault causing injury but there is no need for the defendant to anticipate the risk of injury and is a maximum sentence of 12 months. The report argues that by introducing the aggravated assault offence it will include low level injury cases within the </w:t>
      </w:r>
      <w:r w:rsidR="5D1261E6" w:rsidRPr="58535F3F">
        <w:rPr>
          <w:rFonts w:ascii="Calibri" w:eastAsia="Calibri" w:hAnsi="Calibri" w:cs="Calibri"/>
        </w:rPr>
        <w:t>magistrate's</w:t>
      </w:r>
      <w:r w:rsidR="420F3687" w:rsidRPr="58535F3F">
        <w:rPr>
          <w:rFonts w:ascii="Calibri" w:eastAsia="Calibri" w:hAnsi="Calibri" w:cs="Calibri"/>
        </w:rPr>
        <w:t xml:space="preserve"> court while still recognising that an injury has been made. Samuels (1981) defended the Offences Against the Person Act 1861 as the act was very detailed with every imaginable method of causing harm towards a victim that was non-fatal and was a true reflection of the state of society. Unfortunately, that was 160 years ago.</w:t>
      </w:r>
    </w:p>
    <w:p w14:paraId="75DA9DA7" w14:textId="12F434F7" w:rsidR="0263A263" w:rsidRDefault="0263A263" w:rsidP="0263A263">
      <w:pPr>
        <w:jc w:val="both"/>
        <w:rPr>
          <w:rFonts w:ascii="Calibri" w:eastAsia="Calibri" w:hAnsi="Calibri" w:cs="Calibri"/>
        </w:rPr>
      </w:pPr>
    </w:p>
    <w:p w14:paraId="51BAB116" w14:textId="4663102F" w:rsidR="420F3687" w:rsidRDefault="420F3687" w:rsidP="0263A263">
      <w:pPr>
        <w:jc w:val="both"/>
      </w:pPr>
      <w:r w:rsidRPr="0263A263">
        <w:rPr>
          <w:rFonts w:ascii="Calibri" w:eastAsia="Calibri" w:hAnsi="Calibri" w:cs="Calibri"/>
        </w:rPr>
        <w:t>In conclusion, there are aspects of the Offences Against the Act 1861 that are of high quality yet if they are disconnected from today's society how effective can they really be? There is also the issue of the confusing and outdated language that could save the court and the jury a lot of time and money, especially when there are cases that could be put on trial within the magistrate's court. It is to be believed that the reason for not changing the current legislation is due to the fact that there are not many issues with sentencing as judges are able to use case laws as guidance.</w:t>
      </w:r>
    </w:p>
    <w:p w14:paraId="5D56E39A" w14:textId="18ECD5A9" w:rsidR="0263A263" w:rsidRDefault="0263A263" w:rsidP="0263A263">
      <w:pPr>
        <w:jc w:val="both"/>
        <w:rPr>
          <w:rFonts w:ascii="Calibri" w:eastAsia="Calibri" w:hAnsi="Calibri" w:cs="Calibri"/>
        </w:rPr>
      </w:pPr>
    </w:p>
    <w:p w14:paraId="0902DE32" w14:textId="5606347D" w:rsidR="00E063CF" w:rsidRPr="00D72D9C" w:rsidRDefault="001E377A" w:rsidP="0263A263">
      <w:pPr>
        <w:jc w:val="both"/>
        <w:rPr>
          <w:sz w:val="28"/>
          <w:szCs w:val="28"/>
        </w:rPr>
      </w:pPr>
      <w:r w:rsidRPr="0263A263">
        <w:rPr>
          <w:b/>
          <w:bCs/>
          <w:sz w:val="28"/>
          <w:szCs w:val="28"/>
          <w:u w:val="single"/>
        </w:rPr>
        <w:t xml:space="preserve">References </w:t>
      </w:r>
    </w:p>
    <w:p w14:paraId="4399E3BE" w14:textId="0C6BFA38" w:rsidR="00E063CF" w:rsidRPr="00420001" w:rsidRDefault="0EDDCE8D">
      <w:r>
        <w:t xml:space="preserve">Child. J, </w:t>
      </w:r>
      <w:r w:rsidR="106C1716">
        <w:t xml:space="preserve">(2017), </w:t>
      </w:r>
      <w:r w:rsidR="106C1716" w:rsidRPr="57793D4D">
        <w:rPr>
          <w:i/>
          <w:iCs/>
        </w:rPr>
        <w:t>Smith, Hogan, and Ormerod’s essentials of criminal law</w:t>
      </w:r>
      <w:r w:rsidR="106C1716">
        <w:t xml:space="preserve">, </w:t>
      </w:r>
      <w:r w:rsidR="4A356570">
        <w:t>second edition, Oxford:</w:t>
      </w:r>
      <w:r w:rsidR="52DCC3BF">
        <w:t xml:space="preserve"> </w:t>
      </w:r>
      <w:r w:rsidR="08086E9E">
        <w:t>Oxford University Press</w:t>
      </w:r>
    </w:p>
    <w:p w14:paraId="666CE723" w14:textId="5954346E" w:rsidR="57793D4D" w:rsidRDefault="57793D4D" w:rsidP="57793D4D"/>
    <w:p w14:paraId="3C5993C0" w14:textId="3DF6BF1B" w:rsidR="19522B84" w:rsidRDefault="19522B84" w:rsidP="57793D4D">
      <w:r>
        <w:t xml:space="preserve">Eugenicos. A. M, (2017), </w:t>
      </w:r>
      <w:r w:rsidR="10E3FCD3">
        <w:t>‘</w:t>
      </w:r>
      <w:r>
        <w:t>Should we reform the Offences Against the Person Act 1861?</w:t>
      </w:r>
      <w:r w:rsidR="08D18241">
        <w:t>’</w:t>
      </w:r>
      <w:r>
        <w:t xml:space="preserve">, </w:t>
      </w:r>
      <w:r w:rsidR="4C3C1867">
        <w:t xml:space="preserve">The journal of Criminal law, </w:t>
      </w:r>
      <w:r w:rsidR="0CF07A22">
        <w:t>Volume 81, Issue 1</w:t>
      </w:r>
      <w:r w:rsidR="648C77FA">
        <w:t xml:space="preserve">, </w:t>
      </w:r>
      <w:r w:rsidR="46A78303">
        <w:t>pp. 26-37, [accessed 3</w:t>
      </w:r>
      <w:r w:rsidR="46A78303" w:rsidRPr="57793D4D">
        <w:rPr>
          <w:vertAlign w:val="superscript"/>
        </w:rPr>
        <w:t>rd</w:t>
      </w:r>
      <w:r w:rsidR="46A78303">
        <w:t xml:space="preserve"> March</w:t>
      </w:r>
      <w:r w:rsidR="4346A5DB">
        <w:t xml:space="preserve"> 2021</w:t>
      </w:r>
      <w:r w:rsidR="23C0C1C3">
        <w:t>], DOI: 10.1177/00220</w:t>
      </w:r>
      <w:r w:rsidR="70E7D573">
        <w:t>18316685478</w:t>
      </w:r>
    </w:p>
    <w:p w14:paraId="63B66D0F" w14:textId="3C263A1E" w:rsidR="57793D4D" w:rsidRDefault="57793D4D" w:rsidP="57793D4D"/>
    <w:p w14:paraId="75DA1B95" w14:textId="471388F7" w:rsidR="5D17A3D6" w:rsidRDefault="5D17A3D6" w:rsidP="57793D4D">
      <w:r>
        <w:t xml:space="preserve">Gardner. J, (1994), </w:t>
      </w:r>
      <w:r w:rsidR="752C975E">
        <w:t>‘</w:t>
      </w:r>
      <w:r>
        <w:t xml:space="preserve">Rationality and the rule of law in </w:t>
      </w:r>
      <w:r w:rsidR="0D3A5A89">
        <w:t xml:space="preserve">Offences Against the Person’, The </w:t>
      </w:r>
      <w:r w:rsidR="0D3A5A89" w:rsidRPr="57793D4D">
        <w:rPr>
          <w:i/>
          <w:iCs/>
        </w:rPr>
        <w:t>Cambridge Law Journal</w:t>
      </w:r>
      <w:r w:rsidR="6F630B32" w:rsidRPr="57793D4D">
        <w:rPr>
          <w:i/>
          <w:iCs/>
        </w:rPr>
        <w:t xml:space="preserve">, </w:t>
      </w:r>
      <w:r w:rsidR="6F630B32" w:rsidRPr="57793D4D">
        <w:t>Vol.</w:t>
      </w:r>
      <w:r w:rsidR="6F630B32" w:rsidRPr="57793D4D">
        <w:rPr>
          <w:i/>
          <w:iCs/>
        </w:rPr>
        <w:t xml:space="preserve"> </w:t>
      </w:r>
      <w:r w:rsidR="6F630B32" w:rsidRPr="57793D4D">
        <w:t>53</w:t>
      </w:r>
      <w:r w:rsidR="6F630B32" w:rsidRPr="57793D4D">
        <w:rPr>
          <w:i/>
          <w:iCs/>
        </w:rPr>
        <w:t xml:space="preserve">, </w:t>
      </w:r>
      <w:r w:rsidR="254F4E11" w:rsidRPr="57793D4D">
        <w:t xml:space="preserve">Issue 3, pp. 502-523, </w:t>
      </w:r>
      <w:r w:rsidR="0749BD2D" w:rsidRPr="57793D4D">
        <w:t xml:space="preserve">[accessed </w:t>
      </w:r>
      <w:r w:rsidR="7EA3A370" w:rsidRPr="57793D4D">
        <w:t>3</w:t>
      </w:r>
      <w:r w:rsidR="7EA3A370" w:rsidRPr="57793D4D">
        <w:rPr>
          <w:vertAlign w:val="superscript"/>
        </w:rPr>
        <w:t>rd</w:t>
      </w:r>
      <w:r w:rsidR="7EA3A370" w:rsidRPr="57793D4D">
        <w:t xml:space="preserve"> March 2021], DOI: 10.</w:t>
      </w:r>
      <w:r w:rsidR="16501DCE" w:rsidRPr="57793D4D">
        <w:t>1017/S0008197300080934</w:t>
      </w:r>
    </w:p>
    <w:p w14:paraId="50C6CDE8" w14:textId="75D62CC6" w:rsidR="0005504E" w:rsidRDefault="0005504E"/>
    <w:p w14:paraId="34808C8F" w14:textId="5C5BFC81" w:rsidR="0005504E" w:rsidRDefault="0005504E">
      <w:r>
        <w:t xml:space="preserve">Gray and Co Solicitors, (2011), </w:t>
      </w:r>
      <w:r w:rsidR="00647DC8" w:rsidRPr="00B927B7">
        <w:rPr>
          <w:i/>
          <w:iCs/>
        </w:rPr>
        <w:t>Section 20 and Section 18 assault – Grievous bodily harm</w:t>
      </w:r>
      <w:r w:rsidR="00647DC8">
        <w:t xml:space="preserve">, </w:t>
      </w:r>
      <w:r w:rsidR="00B927B7">
        <w:t xml:space="preserve">Available at: </w:t>
      </w:r>
      <w:hyperlink r:id="rId5" w:history="1">
        <w:r w:rsidR="00B927B7" w:rsidRPr="00352184">
          <w:rPr>
            <w:rStyle w:val="Hyperlink"/>
          </w:rPr>
          <w:t>https://www.grayandcosolicitors.co.uk/section-20-assault-and-section-18-assault-grievous-bodily-harm/</w:t>
        </w:r>
      </w:hyperlink>
      <w:r w:rsidR="00B927B7">
        <w:t xml:space="preserve"> , [accessed on 1</w:t>
      </w:r>
      <w:r w:rsidR="00B927B7" w:rsidRPr="00B927B7">
        <w:rPr>
          <w:vertAlign w:val="superscript"/>
        </w:rPr>
        <w:t>st</w:t>
      </w:r>
      <w:r w:rsidR="00B927B7">
        <w:t xml:space="preserve"> March 2021]</w:t>
      </w:r>
    </w:p>
    <w:p w14:paraId="3B89F2D9" w14:textId="36364EE4" w:rsidR="00007DC6" w:rsidRDefault="00007DC6"/>
    <w:p w14:paraId="5C7D556C" w14:textId="7ECEFCD5" w:rsidR="00007DC6" w:rsidRPr="00420001" w:rsidRDefault="56F22010">
      <w:r>
        <w:t>Herring</w:t>
      </w:r>
      <w:r w:rsidR="55B81D46">
        <w:t xml:space="preserve">. J, (2018), </w:t>
      </w:r>
      <w:r w:rsidR="0E0FA216" w:rsidRPr="57793D4D">
        <w:rPr>
          <w:i/>
          <w:iCs/>
        </w:rPr>
        <w:t>Criminal Law: text, cases, and materials</w:t>
      </w:r>
      <w:r w:rsidR="0E0FA216">
        <w:t xml:space="preserve">, </w:t>
      </w:r>
      <w:r w:rsidR="16EE836C">
        <w:t>eighth edition, Oxford: O</w:t>
      </w:r>
      <w:r w:rsidR="05730986">
        <w:t>xford university press</w:t>
      </w:r>
    </w:p>
    <w:p w14:paraId="4851F53D" w14:textId="1EAF1224" w:rsidR="57793D4D" w:rsidRDefault="57793D4D" w:rsidP="57793D4D"/>
    <w:p w14:paraId="094462D5" w14:textId="43AEE48A" w:rsidR="478F36E1" w:rsidRDefault="478F36E1" w:rsidP="57793D4D">
      <w:r>
        <w:t>Love. S, (2014), THE Massively outdated Offences Against the Person Act</w:t>
      </w:r>
      <w:r w:rsidR="41ACD29F">
        <w:t xml:space="preserve">, Available at: </w:t>
      </w:r>
      <w:hyperlink r:id="rId6">
        <w:r w:rsidR="41ACD29F" w:rsidRPr="0263A263">
          <w:rPr>
            <w:rStyle w:val="Hyperlink"/>
          </w:rPr>
          <w:t>https://www.oxford-royale.com/articles/offences-against-the-person-act-1861-needs-reform/</w:t>
        </w:r>
      </w:hyperlink>
      <w:r w:rsidR="41ACD29F">
        <w:t xml:space="preserve"> , [accessed 3</w:t>
      </w:r>
      <w:r w:rsidR="41ACD29F" w:rsidRPr="0263A263">
        <w:rPr>
          <w:vertAlign w:val="superscript"/>
        </w:rPr>
        <w:t>rd</w:t>
      </w:r>
      <w:r w:rsidR="41ACD29F">
        <w:t xml:space="preserve"> March 2021]</w:t>
      </w:r>
    </w:p>
    <w:p w14:paraId="7BCDD430" w14:textId="3A68C7AA" w:rsidR="0263A263" w:rsidRDefault="0263A263" w:rsidP="0263A263"/>
    <w:p w14:paraId="7B255A13" w14:textId="49E47D80" w:rsidR="1B895DA9" w:rsidRDefault="1B895DA9" w:rsidP="0263A263">
      <w:r w:rsidRPr="0263A263">
        <w:rPr>
          <w:rFonts w:ascii="Calibri" w:eastAsia="Calibri" w:hAnsi="Calibri" w:cs="Calibri"/>
        </w:rPr>
        <w:t xml:space="preserve">Samuels. A, (1981), ‘The significance for Statue Law of the fourteenth report of the Criminal Law revision committee’, </w:t>
      </w:r>
      <w:r w:rsidRPr="0263A263">
        <w:rPr>
          <w:rFonts w:ascii="Calibri" w:eastAsia="Calibri" w:hAnsi="Calibri" w:cs="Calibri"/>
          <w:i/>
          <w:iCs/>
        </w:rPr>
        <w:t>Statue Law Review</w:t>
      </w:r>
      <w:r w:rsidRPr="0263A263">
        <w:rPr>
          <w:rFonts w:ascii="Calibri" w:eastAsia="Calibri" w:hAnsi="Calibri" w:cs="Calibri"/>
        </w:rPr>
        <w:t>, Vol. 2, Issue 1, pp. 25-38, [accessed 4</w:t>
      </w:r>
      <w:r w:rsidRPr="0263A263">
        <w:rPr>
          <w:rFonts w:ascii="Calibri" w:eastAsia="Calibri" w:hAnsi="Calibri" w:cs="Calibri"/>
          <w:vertAlign w:val="superscript"/>
        </w:rPr>
        <w:t>th</w:t>
      </w:r>
      <w:r w:rsidRPr="0263A263">
        <w:rPr>
          <w:rFonts w:ascii="Calibri" w:eastAsia="Calibri" w:hAnsi="Calibri" w:cs="Calibri"/>
        </w:rPr>
        <w:t xml:space="preserve"> March], </w:t>
      </w:r>
      <w:hyperlink r:id="rId7">
        <w:r w:rsidRPr="0263A263">
          <w:rPr>
            <w:rStyle w:val="Hyperlink"/>
            <w:rFonts w:ascii="Calibri" w:eastAsia="Calibri" w:hAnsi="Calibri" w:cs="Calibri"/>
          </w:rPr>
          <w:t>https://watermark.silverchair.com/2-1-25.pdf?token=AQECAHi208BE49Ooan9kkhW_Ercy7Dm3ZL_9Cf3qfKAc485ysgAAApYwggKSBgkqhkiG9w0BBwagggKDMIICfwIBADCCAngGCSqGSIb3DQEHATAeBglghkgBZQMEAS4wEQQMDkpCA-BaRDR3YgrjAgEQgIICSYxu0yzshg54oQfcgXZVo-ubLKAaPxRgozY8pZHsncGUyRZeD3iDjjVNCPoArbP2-Qg-wELPUErFpfKsaxnXIkD9DutnBL5HmDxuz3y_yekDZ06fy1tZYg8rrFiwVtdyUskFZrK_a7QEKOHQj5f9FUtIkLj8nOGnrGNc7v045kj8EHwg7ecfj4HScnnPLQs7AICZmocnxwEyOOg7wskBzSwPSiXOWcdM-1R412dIf149G6XHrnZq-3u0TpOqbSzhrkvnwTWQ8wMUfwedb9OVVtZtEjh3rJBMGY94UZt-_qKLxZq9R6ScU6dsFc273OWKy1SdMsXkJART0QUbVt9g2HyHAulfO2RBCMgtgtky23Yso9rDbW4LuM82dQlTd-FCRSS57Rg4jdFeNsU3zPrhC7EFYhaOyQj-lf940imDSMdcnZOrYr7VE654Vn64s53kTr1HmDXIZMh6_6GxAWMcQ2-6-MT7LWt7TMOQ-SCVAb90OsWOV-a7tC0Zlk0rGnH91qZ-SiMBeE19KX7yYiEBDn1zdW91M3D_J5WmLxasTTvDIQvYLW2Nz3W8MQrLYrvPYjN3hnNuYz1bZFMzEIu8rZZmUocpaJeg9x7t7ZdKiqtlMV2tMT2Yd_lX2T8tx18DbY_lig-zPzmqMWvbJk1x1gwVMk8O1oBUVKjgkoOrE0NYqVpzTxx0gWZRrDqTo1Zz0i8cTlPz7AKjniqZK7ZhP3sUdUyea7w4k738jE_w9mRnXZBumPo2ydVBMbR8XghyNR0YDlKe5KCLww</w:t>
        </w:r>
      </w:hyperlink>
    </w:p>
    <w:p w14:paraId="7F930312" w14:textId="5A03B48B" w:rsidR="004D59E2" w:rsidRDefault="004D59E2">
      <w:pPr>
        <w:rPr>
          <w:sz w:val="28"/>
          <w:szCs w:val="28"/>
        </w:rPr>
      </w:pPr>
    </w:p>
    <w:p w14:paraId="4F62ADC8" w14:textId="763B9A10" w:rsidR="004552E9" w:rsidRPr="005E3A31" w:rsidRDefault="51BC06FA">
      <w:r>
        <w:t>The Law Commission, (2015</w:t>
      </w:r>
      <w:r w:rsidR="6CF51B57">
        <w:t>, a</w:t>
      </w:r>
      <w:r>
        <w:t>)</w:t>
      </w:r>
      <w:r w:rsidR="2B599937">
        <w:t xml:space="preserve">, </w:t>
      </w:r>
      <w:r w:rsidR="2B599937" w:rsidRPr="57793D4D">
        <w:rPr>
          <w:i/>
          <w:iCs/>
        </w:rPr>
        <w:t>Reform of offences against the person</w:t>
      </w:r>
      <w:r w:rsidR="2B599937">
        <w:t xml:space="preserve">, </w:t>
      </w:r>
      <w:r w:rsidR="6E578413">
        <w:t xml:space="preserve">Available at: </w:t>
      </w:r>
      <w:hyperlink r:id="rId8">
        <w:r w:rsidR="26813120" w:rsidRPr="57793D4D">
          <w:rPr>
            <w:rStyle w:val="Hyperlink"/>
          </w:rPr>
          <w:t>https://s3-eu-west-2.amazonaws.com/lawcom-prod-storage-11jsxou24uy7q/uploads/2015/11/51950-LC-HC555_Web.pdf</w:t>
        </w:r>
      </w:hyperlink>
      <w:r w:rsidR="26813120">
        <w:t xml:space="preserve"> , [accessed on 28</w:t>
      </w:r>
      <w:r w:rsidR="26813120" w:rsidRPr="57793D4D">
        <w:rPr>
          <w:vertAlign w:val="superscript"/>
        </w:rPr>
        <w:t>th</w:t>
      </w:r>
      <w:r w:rsidR="26813120">
        <w:t xml:space="preserve"> February 2021]</w:t>
      </w:r>
      <w:r w:rsidR="6E578413">
        <w:t xml:space="preserve"> </w:t>
      </w:r>
    </w:p>
    <w:p w14:paraId="7872AC91" w14:textId="6253415E" w:rsidR="002A52C0" w:rsidRDefault="002A52C0">
      <w:pPr>
        <w:rPr>
          <w:sz w:val="28"/>
          <w:szCs w:val="28"/>
        </w:rPr>
      </w:pPr>
    </w:p>
    <w:p w14:paraId="1F23C1D7" w14:textId="1D249E5A" w:rsidR="14E5C81A" w:rsidRDefault="14E5C81A" w:rsidP="57793D4D">
      <w:r w:rsidRPr="57793D4D">
        <w:t xml:space="preserve">The Law Commission, (2015, b), </w:t>
      </w:r>
      <w:r w:rsidRPr="57793D4D">
        <w:rPr>
          <w:i/>
          <w:iCs/>
        </w:rPr>
        <w:t>Overview of reform of offences against t</w:t>
      </w:r>
      <w:r w:rsidR="032931DC" w:rsidRPr="57793D4D">
        <w:rPr>
          <w:i/>
          <w:iCs/>
        </w:rPr>
        <w:t>he person (2015) Law Com No 361</w:t>
      </w:r>
      <w:r w:rsidR="032931DC" w:rsidRPr="57793D4D">
        <w:t xml:space="preserve">, Available at: </w:t>
      </w:r>
      <w:hyperlink r:id="rId9">
        <w:r w:rsidR="70FDD2F3" w:rsidRPr="57793D4D">
          <w:rPr>
            <w:rStyle w:val="Hyperlink"/>
          </w:rPr>
          <w:t>https://s3-eu-west-2.amazonaws.com/lawcom-prod-storage-11jsxou24uy7q/uploads/2015/11/lc361_offences_against_the_person_overview_new-1.pdf</w:t>
        </w:r>
      </w:hyperlink>
      <w:r w:rsidR="70FDD2F3" w:rsidRPr="57793D4D">
        <w:t xml:space="preserve"> , [accessed on 4</w:t>
      </w:r>
      <w:r w:rsidR="70FDD2F3" w:rsidRPr="57793D4D">
        <w:rPr>
          <w:vertAlign w:val="superscript"/>
        </w:rPr>
        <w:t>th</w:t>
      </w:r>
      <w:r w:rsidR="70FDD2F3" w:rsidRPr="57793D4D">
        <w:t xml:space="preserve"> March 2021]</w:t>
      </w:r>
    </w:p>
    <w:p w14:paraId="61307EC3" w14:textId="4B8376FF" w:rsidR="57793D4D" w:rsidRDefault="57793D4D" w:rsidP="57793D4D">
      <w:pPr>
        <w:rPr>
          <w:sz w:val="28"/>
          <w:szCs w:val="28"/>
        </w:rPr>
      </w:pPr>
    </w:p>
    <w:p w14:paraId="3651BFBC" w14:textId="48A77390" w:rsidR="004D59E2" w:rsidRPr="005E3A31" w:rsidRDefault="00420001">
      <w:pPr>
        <w:rPr>
          <w:b/>
          <w:bCs/>
          <w:u w:val="single"/>
        </w:rPr>
      </w:pPr>
      <w:r w:rsidRPr="005E3A31">
        <w:rPr>
          <w:b/>
          <w:bCs/>
          <w:sz w:val="28"/>
          <w:szCs w:val="28"/>
          <w:u w:val="single"/>
        </w:rPr>
        <w:t xml:space="preserve">Case law </w:t>
      </w:r>
      <w:r w:rsidR="00192DF1" w:rsidRPr="005E3A31">
        <w:rPr>
          <w:b/>
          <w:bCs/>
          <w:sz w:val="28"/>
          <w:szCs w:val="28"/>
          <w:u w:val="single"/>
        </w:rPr>
        <w:t>R</w:t>
      </w:r>
      <w:r w:rsidRPr="005E3A31">
        <w:rPr>
          <w:b/>
          <w:bCs/>
          <w:sz w:val="28"/>
          <w:szCs w:val="28"/>
          <w:u w:val="single"/>
        </w:rPr>
        <w:t>eferences</w:t>
      </w:r>
    </w:p>
    <w:p w14:paraId="485FE0EA" w14:textId="201E62AD" w:rsidR="00420001" w:rsidRDefault="00420001">
      <w:pPr>
        <w:rPr>
          <w:b/>
          <w:bCs/>
          <w:sz w:val="32"/>
          <w:szCs w:val="32"/>
          <w:u w:val="single"/>
        </w:rPr>
      </w:pPr>
    </w:p>
    <w:p w14:paraId="48BC3FF1" w14:textId="7AD1D2BE" w:rsidR="00261541" w:rsidRPr="00261541" w:rsidRDefault="3B2C3975">
      <w:pPr>
        <w:rPr>
          <w:sz w:val="28"/>
          <w:szCs w:val="28"/>
        </w:rPr>
      </w:pPr>
      <w:r w:rsidRPr="57793D4D">
        <w:rPr>
          <w:sz w:val="28"/>
          <w:szCs w:val="28"/>
        </w:rPr>
        <w:t>Wood [1830]</w:t>
      </w:r>
      <w:r w:rsidR="54FF8B2B" w:rsidRPr="57793D4D">
        <w:rPr>
          <w:sz w:val="28"/>
          <w:szCs w:val="28"/>
        </w:rPr>
        <w:t xml:space="preserve"> 1 Mood CC 278</w:t>
      </w:r>
    </w:p>
    <w:p w14:paraId="55CCC36C" w14:textId="7A5A8F94" w:rsidR="00420001" w:rsidRDefault="44A6CEAC">
      <w:pPr>
        <w:rPr>
          <w:sz w:val="28"/>
          <w:szCs w:val="28"/>
        </w:rPr>
      </w:pPr>
      <w:r w:rsidRPr="57793D4D">
        <w:rPr>
          <w:sz w:val="28"/>
          <w:szCs w:val="28"/>
        </w:rPr>
        <w:t xml:space="preserve">R v </w:t>
      </w:r>
      <w:r w:rsidR="100F651E" w:rsidRPr="57793D4D">
        <w:rPr>
          <w:sz w:val="28"/>
          <w:szCs w:val="28"/>
        </w:rPr>
        <w:t>Cunningham</w:t>
      </w:r>
      <w:r w:rsidR="461BD16C" w:rsidRPr="57793D4D">
        <w:rPr>
          <w:sz w:val="28"/>
          <w:szCs w:val="28"/>
        </w:rPr>
        <w:t xml:space="preserve"> </w:t>
      </w:r>
      <w:r w:rsidR="4498E0B8" w:rsidRPr="57793D4D">
        <w:rPr>
          <w:sz w:val="28"/>
          <w:szCs w:val="28"/>
        </w:rPr>
        <w:t>[19</w:t>
      </w:r>
      <w:r w:rsidR="0ECA1A2A" w:rsidRPr="57793D4D">
        <w:rPr>
          <w:sz w:val="28"/>
          <w:szCs w:val="28"/>
        </w:rPr>
        <w:t>5</w:t>
      </w:r>
      <w:r w:rsidR="4498E0B8" w:rsidRPr="57793D4D">
        <w:rPr>
          <w:sz w:val="28"/>
          <w:szCs w:val="28"/>
        </w:rPr>
        <w:t>7]</w:t>
      </w:r>
      <w:r w:rsidR="2D1418E9" w:rsidRPr="57793D4D">
        <w:rPr>
          <w:sz w:val="28"/>
          <w:szCs w:val="28"/>
        </w:rPr>
        <w:t xml:space="preserve"> 2 QB 396</w:t>
      </w:r>
    </w:p>
    <w:p w14:paraId="60648BED" w14:textId="4C501D8C" w:rsidR="008B64FD" w:rsidRDefault="7756E468">
      <w:pPr>
        <w:rPr>
          <w:sz w:val="28"/>
          <w:szCs w:val="28"/>
        </w:rPr>
      </w:pPr>
      <w:r w:rsidRPr="57793D4D">
        <w:rPr>
          <w:sz w:val="28"/>
          <w:szCs w:val="28"/>
        </w:rPr>
        <w:t>R v Ir</w:t>
      </w:r>
      <w:r w:rsidR="26C7A6B4" w:rsidRPr="57793D4D">
        <w:rPr>
          <w:sz w:val="28"/>
          <w:szCs w:val="28"/>
        </w:rPr>
        <w:t>eland</w:t>
      </w:r>
      <w:r w:rsidR="4F1D5641" w:rsidRPr="57793D4D">
        <w:rPr>
          <w:sz w:val="28"/>
          <w:szCs w:val="28"/>
        </w:rPr>
        <w:t xml:space="preserve"> [1998]</w:t>
      </w:r>
      <w:r w:rsidR="6D1803D9" w:rsidRPr="57793D4D">
        <w:rPr>
          <w:sz w:val="28"/>
          <w:szCs w:val="28"/>
        </w:rPr>
        <w:t xml:space="preserve"> AC 147</w:t>
      </w:r>
    </w:p>
    <w:p w14:paraId="1AF20C1D" w14:textId="610F7804" w:rsidR="004866CF" w:rsidRDefault="089CDEF5">
      <w:pPr>
        <w:rPr>
          <w:sz w:val="28"/>
          <w:szCs w:val="28"/>
        </w:rPr>
      </w:pPr>
      <w:r w:rsidRPr="57793D4D">
        <w:rPr>
          <w:sz w:val="28"/>
          <w:szCs w:val="28"/>
        </w:rPr>
        <w:t>DDP v Smith [2006]</w:t>
      </w:r>
      <w:r w:rsidR="1B38BAB0" w:rsidRPr="57793D4D">
        <w:rPr>
          <w:sz w:val="28"/>
          <w:szCs w:val="28"/>
        </w:rPr>
        <w:t xml:space="preserve"> Crim LR 528</w:t>
      </w:r>
    </w:p>
    <w:p w14:paraId="4A529B36" w14:textId="25CC349B" w:rsidR="00CC51EA" w:rsidRDefault="19387301">
      <w:pPr>
        <w:rPr>
          <w:sz w:val="28"/>
          <w:szCs w:val="28"/>
        </w:rPr>
      </w:pPr>
      <w:r w:rsidRPr="57793D4D">
        <w:rPr>
          <w:sz w:val="28"/>
          <w:szCs w:val="28"/>
        </w:rPr>
        <w:t>Moriarty</w:t>
      </w:r>
      <w:r w:rsidR="7CB740F9" w:rsidRPr="57793D4D">
        <w:rPr>
          <w:sz w:val="28"/>
          <w:szCs w:val="28"/>
        </w:rPr>
        <w:t xml:space="preserve"> v Brookes [1834]</w:t>
      </w:r>
      <w:r w:rsidR="1511B8D2" w:rsidRPr="57793D4D">
        <w:rPr>
          <w:sz w:val="28"/>
          <w:szCs w:val="28"/>
        </w:rPr>
        <w:t xml:space="preserve"> EWHC Exch J79</w:t>
      </w:r>
    </w:p>
    <w:p w14:paraId="1BED8E68" w14:textId="7BB2F561" w:rsidR="001B750B" w:rsidRPr="00E31D8D" w:rsidRDefault="50CCB3C6">
      <w:pPr>
        <w:rPr>
          <w:sz w:val="32"/>
          <w:szCs w:val="32"/>
        </w:rPr>
      </w:pPr>
      <w:r w:rsidRPr="57793D4D">
        <w:rPr>
          <w:sz w:val="28"/>
          <w:szCs w:val="28"/>
        </w:rPr>
        <w:t xml:space="preserve">R v </w:t>
      </w:r>
      <w:r w:rsidR="016D49F7" w:rsidRPr="57793D4D">
        <w:rPr>
          <w:sz w:val="28"/>
          <w:szCs w:val="28"/>
        </w:rPr>
        <w:t>Taylor</w:t>
      </w:r>
      <w:r w:rsidR="041F5B25" w:rsidRPr="57793D4D">
        <w:rPr>
          <w:sz w:val="28"/>
          <w:szCs w:val="28"/>
        </w:rPr>
        <w:t xml:space="preserve"> (Mark Richard)</w:t>
      </w:r>
      <w:r w:rsidR="016D49F7" w:rsidRPr="57793D4D">
        <w:rPr>
          <w:sz w:val="28"/>
          <w:szCs w:val="28"/>
        </w:rPr>
        <w:t xml:space="preserve"> [2009]</w:t>
      </w:r>
      <w:r w:rsidR="50884477" w:rsidRPr="57793D4D">
        <w:rPr>
          <w:sz w:val="28"/>
          <w:szCs w:val="28"/>
        </w:rPr>
        <w:t xml:space="preserve"> EWCA Crim 544</w:t>
      </w:r>
    </w:p>
    <w:sectPr w:rsidR="001B750B" w:rsidRPr="00E31D8D" w:rsidSect="00376BA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6BA1"/>
    <w:rsid w:val="00001D3C"/>
    <w:rsid w:val="00007DC6"/>
    <w:rsid w:val="000107C6"/>
    <w:rsid w:val="00022076"/>
    <w:rsid w:val="00023A79"/>
    <w:rsid w:val="00023B2A"/>
    <w:rsid w:val="00024FBE"/>
    <w:rsid w:val="0003239B"/>
    <w:rsid w:val="00034203"/>
    <w:rsid w:val="00037922"/>
    <w:rsid w:val="0004031D"/>
    <w:rsid w:val="00044D23"/>
    <w:rsid w:val="0005504E"/>
    <w:rsid w:val="0005678D"/>
    <w:rsid w:val="000634EF"/>
    <w:rsid w:val="0006519C"/>
    <w:rsid w:val="000754D9"/>
    <w:rsid w:val="00081BC7"/>
    <w:rsid w:val="00081F84"/>
    <w:rsid w:val="00082539"/>
    <w:rsid w:val="0008271F"/>
    <w:rsid w:val="00096E71"/>
    <w:rsid w:val="000A23B2"/>
    <w:rsid w:val="000A558E"/>
    <w:rsid w:val="000A676B"/>
    <w:rsid w:val="000C3CB2"/>
    <w:rsid w:val="000C53A0"/>
    <w:rsid w:val="000D62D8"/>
    <w:rsid w:val="000D76EA"/>
    <w:rsid w:val="000F0C18"/>
    <w:rsid w:val="000F5585"/>
    <w:rsid w:val="000F7026"/>
    <w:rsid w:val="000F79F0"/>
    <w:rsid w:val="000F7A49"/>
    <w:rsid w:val="00111C0B"/>
    <w:rsid w:val="0011372C"/>
    <w:rsid w:val="001254E6"/>
    <w:rsid w:val="00144732"/>
    <w:rsid w:val="001505BE"/>
    <w:rsid w:val="00162810"/>
    <w:rsid w:val="00166BFC"/>
    <w:rsid w:val="0018251C"/>
    <w:rsid w:val="0018386B"/>
    <w:rsid w:val="0018465B"/>
    <w:rsid w:val="00192DF1"/>
    <w:rsid w:val="001A097E"/>
    <w:rsid w:val="001A78BD"/>
    <w:rsid w:val="001A7A53"/>
    <w:rsid w:val="001B750B"/>
    <w:rsid w:val="001C200F"/>
    <w:rsid w:val="001C67A1"/>
    <w:rsid w:val="001D1D33"/>
    <w:rsid w:val="001D22BC"/>
    <w:rsid w:val="001D36D3"/>
    <w:rsid w:val="001E377A"/>
    <w:rsid w:val="00200761"/>
    <w:rsid w:val="002010DB"/>
    <w:rsid w:val="002011DB"/>
    <w:rsid w:val="002045EC"/>
    <w:rsid w:val="00204A4C"/>
    <w:rsid w:val="00212F50"/>
    <w:rsid w:val="00215EA3"/>
    <w:rsid w:val="0022262C"/>
    <w:rsid w:val="00227A81"/>
    <w:rsid w:val="002330FC"/>
    <w:rsid w:val="002424B4"/>
    <w:rsid w:val="00250695"/>
    <w:rsid w:val="00254736"/>
    <w:rsid w:val="00260435"/>
    <w:rsid w:val="00261541"/>
    <w:rsid w:val="002626B7"/>
    <w:rsid w:val="00266344"/>
    <w:rsid w:val="00270DB3"/>
    <w:rsid w:val="00271B54"/>
    <w:rsid w:val="002720EE"/>
    <w:rsid w:val="00283D69"/>
    <w:rsid w:val="002966BB"/>
    <w:rsid w:val="002A52C0"/>
    <w:rsid w:val="002B4327"/>
    <w:rsid w:val="002B74E5"/>
    <w:rsid w:val="002D1551"/>
    <w:rsid w:val="002D38C8"/>
    <w:rsid w:val="002D3C10"/>
    <w:rsid w:val="002E1B50"/>
    <w:rsid w:val="002F6978"/>
    <w:rsid w:val="0031258C"/>
    <w:rsid w:val="0031482E"/>
    <w:rsid w:val="00320E78"/>
    <w:rsid w:val="003246B3"/>
    <w:rsid w:val="00326166"/>
    <w:rsid w:val="00326BA4"/>
    <w:rsid w:val="00340071"/>
    <w:rsid w:val="00352A23"/>
    <w:rsid w:val="00360327"/>
    <w:rsid w:val="00371BFF"/>
    <w:rsid w:val="003732C4"/>
    <w:rsid w:val="00375B41"/>
    <w:rsid w:val="00375E2F"/>
    <w:rsid w:val="0037606C"/>
    <w:rsid w:val="00376BA1"/>
    <w:rsid w:val="00386147"/>
    <w:rsid w:val="0038689A"/>
    <w:rsid w:val="0038697C"/>
    <w:rsid w:val="003901B6"/>
    <w:rsid w:val="00390F6E"/>
    <w:rsid w:val="00396DB5"/>
    <w:rsid w:val="003A2B75"/>
    <w:rsid w:val="003A62DF"/>
    <w:rsid w:val="003B4C8E"/>
    <w:rsid w:val="003C0C91"/>
    <w:rsid w:val="003C0F98"/>
    <w:rsid w:val="003C3057"/>
    <w:rsid w:val="003C37E3"/>
    <w:rsid w:val="003D00FA"/>
    <w:rsid w:val="003E1361"/>
    <w:rsid w:val="003E222F"/>
    <w:rsid w:val="003E694A"/>
    <w:rsid w:val="003E7F6B"/>
    <w:rsid w:val="003F3D00"/>
    <w:rsid w:val="003F6E32"/>
    <w:rsid w:val="00403F1A"/>
    <w:rsid w:val="00406057"/>
    <w:rsid w:val="004128FC"/>
    <w:rsid w:val="0041C9EF"/>
    <w:rsid w:val="00420001"/>
    <w:rsid w:val="0043403C"/>
    <w:rsid w:val="00437A29"/>
    <w:rsid w:val="0044141B"/>
    <w:rsid w:val="004422A7"/>
    <w:rsid w:val="00443CED"/>
    <w:rsid w:val="00450FFA"/>
    <w:rsid w:val="00451B75"/>
    <w:rsid w:val="004552E9"/>
    <w:rsid w:val="0045593E"/>
    <w:rsid w:val="00472A2C"/>
    <w:rsid w:val="00480762"/>
    <w:rsid w:val="004866CF"/>
    <w:rsid w:val="00497396"/>
    <w:rsid w:val="004A7516"/>
    <w:rsid w:val="004B206D"/>
    <w:rsid w:val="004B5B6A"/>
    <w:rsid w:val="004C27C9"/>
    <w:rsid w:val="004C711A"/>
    <w:rsid w:val="004C7C44"/>
    <w:rsid w:val="004D59E2"/>
    <w:rsid w:val="004E65B3"/>
    <w:rsid w:val="004E68CF"/>
    <w:rsid w:val="004F546A"/>
    <w:rsid w:val="004F61BC"/>
    <w:rsid w:val="0050029D"/>
    <w:rsid w:val="00500890"/>
    <w:rsid w:val="00514111"/>
    <w:rsid w:val="00520C79"/>
    <w:rsid w:val="005242F0"/>
    <w:rsid w:val="0052721E"/>
    <w:rsid w:val="005306AA"/>
    <w:rsid w:val="00536F3D"/>
    <w:rsid w:val="00543082"/>
    <w:rsid w:val="00547378"/>
    <w:rsid w:val="00554178"/>
    <w:rsid w:val="00574052"/>
    <w:rsid w:val="00584CD4"/>
    <w:rsid w:val="00593E33"/>
    <w:rsid w:val="005A0707"/>
    <w:rsid w:val="005A2CB8"/>
    <w:rsid w:val="005B6A42"/>
    <w:rsid w:val="005C360E"/>
    <w:rsid w:val="005D0E5E"/>
    <w:rsid w:val="005D152D"/>
    <w:rsid w:val="005E3A31"/>
    <w:rsid w:val="005F6C62"/>
    <w:rsid w:val="005F70F4"/>
    <w:rsid w:val="00600707"/>
    <w:rsid w:val="00605274"/>
    <w:rsid w:val="006119CA"/>
    <w:rsid w:val="00613357"/>
    <w:rsid w:val="00614084"/>
    <w:rsid w:val="006142F5"/>
    <w:rsid w:val="00617FBC"/>
    <w:rsid w:val="006241AE"/>
    <w:rsid w:val="006245CD"/>
    <w:rsid w:val="00640295"/>
    <w:rsid w:val="0064117A"/>
    <w:rsid w:val="00641A80"/>
    <w:rsid w:val="00647DC8"/>
    <w:rsid w:val="00650321"/>
    <w:rsid w:val="00673574"/>
    <w:rsid w:val="006800CC"/>
    <w:rsid w:val="00687740"/>
    <w:rsid w:val="006918D0"/>
    <w:rsid w:val="00696AE9"/>
    <w:rsid w:val="006A619D"/>
    <w:rsid w:val="006B1C21"/>
    <w:rsid w:val="006C3380"/>
    <w:rsid w:val="006D22B4"/>
    <w:rsid w:val="006D504D"/>
    <w:rsid w:val="006E1DCD"/>
    <w:rsid w:val="006F3817"/>
    <w:rsid w:val="006F4873"/>
    <w:rsid w:val="00702FFD"/>
    <w:rsid w:val="007077FE"/>
    <w:rsid w:val="0071476F"/>
    <w:rsid w:val="00720E52"/>
    <w:rsid w:val="0072256B"/>
    <w:rsid w:val="00725308"/>
    <w:rsid w:val="00734102"/>
    <w:rsid w:val="00740705"/>
    <w:rsid w:val="0074286A"/>
    <w:rsid w:val="00753F0D"/>
    <w:rsid w:val="00755D17"/>
    <w:rsid w:val="007615F2"/>
    <w:rsid w:val="0076681D"/>
    <w:rsid w:val="00767EE7"/>
    <w:rsid w:val="00775D29"/>
    <w:rsid w:val="00778174"/>
    <w:rsid w:val="00790868"/>
    <w:rsid w:val="00795723"/>
    <w:rsid w:val="007A6198"/>
    <w:rsid w:val="007B782F"/>
    <w:rsid w:val="007BEAA7"/>
    <w:rsid w:val="007C48EF"/>
    <w:rsid w:val="007D33C1"/>
    <w:rsid w:val="007E3BF0"/>
    <w:rsid w:val="007E42DE"/>
    <w:rsid w:val="007F321A"/>
    <w:rsid w:val="007F547E"/>
    <w:rsid w:val="007F7DA2"/>
    <w:rsid w:val="00810AA3"/>
    <w:rsid w:val="00814400"/>
    <w:rsid w:val="008226B2"/>
    <w:rsid w:val="008327C9"/>
    <w:rsid w:val="008614D2"/>
    <w:rsid w:val="00877C69"/>
    <w:rsid w:val="008B2E8D"/>
    <w:rsid w:val="008B465D"/>
    <w:rsid w:val="008B64FD"/>
    <w:rsid w:val="008D0D79"/>
    <w:rsid w:val="008D1F56"/>
    <w:rsid w:val="008E0D7D"/>
    <w:rsid w:val="008E607F"/>
    <w:rsid w:val="008E6960"/>
    <w:rsid w:val="008F12AC"/>
    <w:rsid w:val="008F2504"/>
    <w:rsid w:val="00901C44"/>
    <w:rsid w:val="0090772D"/>
    <w:rsid w:val="009124A9"/>
    <w:rsid w:val="00913E30"/>
    <w:rsid w:val="00914D34"/>
    <w:rsid w:val="00931488"/>
    <w:rsid w:val="00933580"/>
    <w:rsid w:val="009343ED"/>
    <w:rsid w:val="00934D3A"/>
    <w:rsid w:val="00941AB2"/>
    <w:rsid w:val="00942051"/>
    <w:rsid w:val="009504CF"/>
    <w:rsid w:val="0096176D"/>
    <w:rsid w:val="0096310C"/>
    <w:rsid w:val="0097477B"/>
    <w:rsid w:val="0097497E"/>
    <w:rsid w:val="00980FE7"/>
    <w:rsid w:val="00987D60"/>
    <w:rsid w:val="00996B1A"/>
    <w:rsid w:val="009A44D4"/>
    <w:rsid w:val="009A513B"/>
    <w:rsid w:val="009A6666"/>
    <w:rsid w:val="009B5096"/>
    <w:rsid w:val="009C36D7"/>
    <w:rsid w:val="009C6425"/>
    <w:rsid w:val="009D018C"/>
    <w:rsid w:val="009D7E57"/>
    <w:rsid w:val="009E139B"/>
    <w:rsid w:val="009E1E35"/>
    <w:rsid w:val="009E4C35"/>
    <w:rsid w:val="009E5A1E"/>
    <w:rsid w:val="009F25D2"/>
    <w:rsid w:val="009F6867"/>
    <w:rsid w:val="00A015DA"/>
    <w:rsid w:val="00A148F2"/>
    <w:rsid w:val="00A16FA1"/>
    <w:rsid w:val="00A31D7F"/>
    <w:rsid w:val="00A32FB7"/>
    <w:rsid w:val="00A504D6"/>
    <w:rsid w:val="00A60083"/>
    <w:rsid w:val="00A70BDC"/>
    <w:rsid w:val="00A75198"/>
    <w:rsid w:val="00A8070A"/>
    <w:rsid w:val="00A85EA4"/>
    <w:rsid w:val="00A932A8"/>
    <w:rsid w:val="00A97AEF"/>
    <w:rsid w:val="00AE1EC9"/>
    <w:rsid w:val="00B050F6"/>
    <w:rsid w:val="00B077F7"/>
    <w:rsid w:val="00B10DB8"/>
    <w:rsid w:val="00B23D6F"/>
    <w:rsid w:val="00B31A3D"/>
    <w:rsid w:val="00B40E62"/>
    <w:rsid w:val="00B43DF3"/>
    <w:rsid w:val="00B56A74"/>
    <w:rsid w:val="00B60310"/>
    <w:rsid w:val="00B6426F"/>
    <w:rsid w:val="00B702BB"/>
    <w:rsid w:val="00B752B1"/>
    <w:rsid w:val="00B7638F"/>
    <w:rsid w:val="00B83F4B"/>
    <w:rsid w:val="00B92034"/>
    <w:rsid w:val="00B927B7"/>
    <w:rsid w:val="00BA3CEA"/>
    <w:rsid w:val="00BA6F5E"/>
    <w:rsid w:val="00BB49CD"/>
    <w:rsid w:val="00BB5BF5"/>
    <w:rsid w:val="00BC072A"/>
    <w:rsid w:val="00BC2575"/>
    <w:rsid w:val="00BD0E89"/>
    <w:rsid w:val="00BD3BFF"/>
    <w:rsid w:val="00BD4AC7"/>
    <w:rsid w:val="00BF2F86"/>
    <w:rsid w:val="00C019D2"/>
    <w:rsid w:val="00C10B26"/>
    <w:rsid w:val="00C234D8"/>
    <w:rsid w:val="00C31736"/>
    <w:rsid w:val="00C40C40"/>
    <w:rsid w:val="00C435E9"/>
    <w:rsid w:val="00C4D334"/>
    <w:rsid w:val="00C51C43"/>
    <w:rsid w:val="00C674A4"/>
    <w:rsid w:val="00C85DF0"/>
    <w:rsid w:val="00C874E1"/>
    <w:rsid w:val="00CA7332"/>
    <w:rsid w:val="00CB0839"/>
    <w:rsid w:val="00CC0064"/>
    <w:rsid w:val="00CC51EA"/>
    <w:rsid w:val="00CC5205"/>
    <w:rsid w:val="00CC6536"/>
    <w:rsid w:val="00CD3DC9"/>
    <w:rsid w:val="00CE5395"/>
    <w:rsid w:val="00D02492"/>
    <w:rsid w:val="00D03047"/>
    <w:rsid w:val="00D06133"/>
    <w:rsid w:val="00D26C86"/>
    <w:rsid w:val="00D34577"/>
    <w:rsid w:val="00D4049E"/>
    <w:rsid w:val="00D44EFA"/>
    <w:rsid w:val="00D50D50"/>
    <w:rsid w:val="00D52FD3"/>
    <w:rsid w:val="00D61E20"/>
    <w:rsid w:val="00D667E8"/>
    <w:rsid w:val="00D6749B"/>
    <w:rsid w:val="00D72D9C"/>
    <w:rsid w:val="00D76198"/>
    <w:rsid w:val="00D7730C"/>
    <w:rsid w:val="00D930B9"/>
    <w:rsid w:val="00DA005D"/>
    <w:rsid w:val="00DA1C9C"/>
    <w:rsid w:val="00DA6F62"/>
    <w:rsid w:val="00DA7FD6"/>
    <w:rsid w:val="00DC16CD"/>
    <w:rsid w:val="00DC44CD"/>
    <w:rsid w:val="00DD4077"/>
    <w:rsid w:val="00DE0E4A"/>
    <w:rsid w:val="00DE43F4"/>
    <w:rsid w:val="00DE4C74"/>
    <w:rsid w:val="00DF7B72"/>
    <w:rsid w:val="00E01E9E"/>
    <w:rsid w:val="00E053B4"/>
    <w:rsid w:val="00E063CF"/>
    <w:rsid w:val="00E128E2"/>
    <w:rsid w:val="00E148F0"/>
    <w:rsid w:val="00E16F1A"/>
    <w:rsid w:val="00E229AA"/>
    <w:rsid w:val="00E31D8D"/>
    <w:rsid w:val="00E5102E"/>
    <w:rsid w:val="00E56143"/>
    <w:rsid w:val="00E64707"/>
    <w:rsid w:val="00E64E33"/>
    <w:rsid w:val="00E66C1F"/>
    <w:rsid w:val="00E7102D"/>
    <w:rsid w:val="00E86256"/>
    <w:rsid w:val="00E94029"/>
    <w:rsid w:val="00E96DBC"/>
    <w:rsid w:val="00EA0200"/>
    <w:rsid w:val="00EA46B2"/>
    <w:rsid w:val="00EA5427"/>
    <w:rsid w:val="00EA6193"/>
    <w:rsid w:val="00EAACC0"/>
    <w:rsid w:val="00EB08EE"/>
    <w:rsid w:val="00EC090F"/>
    <w:rsid w:val="00ED3584"/>
    <w:rsid w:val="00ED3820"/>
    <w:rsid w:val="00EE3ACE"/>
    <w:rsid w:val="00EE78D3"/>
    <w:rsid w:val="00EF1937"/>
    <w:rsid w:val="00EF3FAB"/>
    <w:rsid w:val="00EF6A7A"/>
    <w:rsid w:val="00F011D0"/>
    <w:rsid w:val="00F04D55"/>
    <w:rsid w:val="00F059B4"/>
    <w:rsid w:val="00F1267D"/>
    <w:rsid w:val="00F236E0"/>
    <w:rsid w:val="00F35670"/>
    <w:rsid w:val="00F40590"/>
    <w:rsid w:val="00F467CA"/>
    <w:rsid w:val="00F61468"/>
    <w:rsid w:val="00F74E79"/>
    <w:rsid w:val="00F758AC"/>
    <w:rsid w:val="00F776F1"/>
    <w:rsid w:val="00F801DF"/>
    <w:rsid w:val="00F82AEE"/>
    <w:rsid w:val="00F87798"/>
    <w:rsid w:val="00FA0586"/>
    <w:rsid w:val="00FB09F1"/>
    <w:rsid w:val="00FB575A"/>
    <w:rsid w:val="00FC253E"/>
    <w:rsid w:val="00FC5913"/>
    <w:rsid w:val="00FD0331"/>
    <w:rsid w:val="00FE1124"/>
    <w:rsid w:val="0105DD78"/>
    <w:rsid w:val="016D49F7"/>
    <w:rsid w:val="01799AA9"/>
    <w:rsid w:val="01904E87"/>
    <w:rsid w:val="019D6BED"/>
    <w:rsid w:val="01AE6449"/>
    <w:rsid w:val="0263A263"/>
    <w:rsid w:val="02CB5B2D"/>
    <w:rsid w:val="02DFD8C2"/>
    <w:rsid w:val="030ABBC2"/>
    <w:rsid w:val="032931DC"/>
    <w:rsid w:val="04160D92"/>
    <w:rsid w:val="0416DB65"/>
    <w:rsid w:val="041BFCBB"/>
    <w:rsid w:val="041F5B25"/>
    <w:rsid w:val="04E89567"/>
    <w:rsid w:val="05337E75"/>
    <w:rsid w:val="05730986"/>
    <w:rsid w:val="05FCDB3C"/>
    <w:rsid w:val="0622F722"/>
    <w:rsid w:val="070EF09B"/>
    <w:rsid w:val="071178C5"/>
    <w:rsid w:val="0749BD2D"/>
    <w:rsid w:val="07AD438A"/>
    <w:rsid w:val="07C5015F"/>
    <w:rsid w:val="07DFD72D"/>
    <w:rsid w:val="08086E9E"/>
    <w:rsid w:val="08278510"/>
    <w:rsid w:val="0880521F"/>
    <w:rsid w:val="089CDEF5"/>
    <w:rsid w:val="08D18241"/>
    <w:rsid w:val="091532C4"/>
    <w:rsid w:val="094440E0"/>
    <w:rsid w:val="0A6E57B7"/>
    <w:rsid w:val="0A75EBD2"/>
    <w:rsid w:val="0A97E00F"/>
    <w:rsid w:val="0AF9A060"/>
    <w:rsid w:val="0B473CC3"/>
    <w:rsid w:val="0BA15F52"/>
    <w:rsid w:val="0BDA1DD7"/>
    <w:rsid w:val="0BE71B72"/>
    <w:rsid w:val="0BEA8009"/>
    <w:rsid w:val="0BEB3427"/>
    <w:rsid w:val="0C0C97E9"/>
    <w:rsid w:val="0C0F20C6"/>
    <w:rsid w:val="0C413E9F"/>
    <w:rsid w:val="0CE468A5"/>
    <w:rsid w:val="0CEA1CF3"/>
    <w:rsid w:val="0CF07A22"/>
    <w:rsid w:val="0D3A5A89"/>
    <w:rsid w:val="0D3E81C4"/>
    <w:rsid w:val="0DBA1B0E"/>
    <w:rsid w:val="0E0FA216"/>
    <w:rsid w:val="0E6AC807"/>
    <w:rsid w:val="0ECA1A2A"/>
    <w:rsid w:val="0EDDCE8D"/>
    <w:rsid w:val="0EE8A91D"/>
    <w:rsid w:val="0EEA4ABC"/>
    <w:rsid w:val="0EEC812E"/>
    <w:rsid w:val="0F50E814"/>
    <w:rsid w:val="0F83B9DE"/>
    <w:rsid w:val="0F90CD4B"/>
    <w:rsid w:val="100F651E"/>
    <w:rsid w:val="105B6AAF"/>
    <w:rsid w:val="106C1716"/>
    <w:rsid w:val="10E3FCD3"/>
    <w:rsid w:val="10F7E32A"/>
    <w:rsid w:val="1116D9E6"/>
    <w:rsid w:val="11BC7D8C"/>
    <w:rsid w:val="11C210B4"/>
    <w:rsid w:val="11C7E8E7"/>
    <w:rsid w:val="1225D478"/>
    <w:rsid w:val="1259C18D"/>
    <w:rsid w:val="1273120B"/>
    <w:rsid w:val="12857AEF"/>
    <w:rsid w:val="129FBD07"/>
    <w:rsid w:val="1331614B"/>
    <w:rsid w:val="138155C8"/>
    <w:rsid w:val="13B70925"/>
    <w:rsid w:val="13FE2C1C"/>
    <w:rsid w:val="1418A08B"/>
    <w:rsid w:val="1477B606"/>
    <w:rsid w:val="14A19128"/>
    <w:rsid w:val="14E5C81A"/>
    <w:rsid w:val="1511B8D2"/>
    <w:rsid w:val="159EF7DD"/>
    <w:rsid w:val="15DB323C"/>
    <w:rsid w:val="161591C6"/>
    <w:rsid w:val="1648B256"/>
    <w:rsid w:val="16501DCE"/>
    <w:rsid w:val="1668984E"/>
    <w:rsid w:val="16EE836C"/>
    <w:rsid w:val="173D97FF"/>
    <w:rsid w:val="17579340"/>
    <w:rsid w:val="17746E0E"/>
    <w:rsid w:val="17B20FEA"/>
    <w:rsid w:val="1805751E"/>
    <w:rsid w:val="18B2FB67"/>
    <w:rsid w:val="18ECC03A"/>
    <w:rsid w:val="1923BC0C"/>
    <w:rsid w:val="19387301"/>
    <w:rsid w:val="193E5FD0"/>
    <w:rsid w:val="19522B84"/>
    <w:rsid w:val="1974BE12"/>
    <w:rsid w:val="19A03910"/>
    <w:rsid w:val="1A391948"/>
    <w:rsid w:val="1AE6C868"/>
    <w:rsid w:val="1B38BAB0"/>
    <w:rsid w:val="1B45F352"/>
    <w:rsid w:val="1B895DA9"/>
    <w:rsid w:val="1BB8382B"/>
    <w:rsid w:val="1CDBA301"/>
    <w:rsid w:val="1CF466C6"/>
    <w:rsid w:val="1D4FDBD2"/>
    <w:rsid w:val="1D824520"/>
    <w:rsid w:val="1E86A4F7"/>
    <w:rsid w:val="1E92AE67"/>
    <w:rsid w:val="1EA67959"/>
    <w:rsid w:val="1EC2A67F"/>
    <w:rsid w:val="1EFE9DD4"/>
    <w:rsid w:val="1FC9810B"/>
    <w:rsid w:val="201D7B0F"/>
    <w:rsid w:val="205C0F92"/>
    <w:rsid w:val="2084F042"/>
    <w:rsid w:val="20C386C7"/>
    <w:rsid w:val="20F963F7"/>
    <w:rsid w:val="21031189"/>
    <w:rsid w:val="21033D87"/>
    <w:rsid w:val="223EFDF5"/>
    <w:rsid w:val="224E0537"/>
    <w:rsid w:val="2268CA15"/>
    <w:rsid w:val="22993B11"/>
    <w:rsid w:val="229F50D9"/>
    <w:rsid w:val="22A1D68C"/>
    <w:rsid w:val="23010BA2"/>
    <w:rsid w:val="2354490B"/>
    <w:rsid w:val="2363A84A"/>
    <w:rsid w:val="23C0C1C3"/>
    <w:rsid w:val="23F79505"/>
    <w:rsid w:val="254F05C2"/>
    <w:rsid w:val="254F4E11"/>
    <w:rsid w:val="265F1E21"/>
    <w:rsid w:val="26813120"/>
    <w:rsid w:val="268E56C0"/>
    <w:rsid w:val="26C7A6B4"/>
    <w:rsid w:val="26DE5288"/>
    <w:rsid w:val="26DF0F7C"/>
    <w:rsid w:val="26FE198C"/>
    <w:rsid w:val="2711D009"/>
    <w:rsid w:val="27357E7C"/>
    <w:rsid w:val="274048D8"/>
    <w:rsid w:val="27508EE0"/>
    <w:rsid w:val="27976E05"/>
    <w:rsid w:val="27A03B43"/>
    <w:rsid w:val="28121EA1"/>
    <w:rsid w:val="288A327F"/>
    <w:rsid w:val="29AB34F8"/>
    <w:rsid w:val="29B65CDA"/>
    <w:rsid w:val="29BA758F"/>
    <w:rsid w:val="29DCFAED"/>
    <w:rsid w:val="29EC0698"/>
    <w:rsid w:val="2A378729"/>
    <w:rsid w:val="2A7A9DC8"/>
    <w:rsid w:val="2AD0C263"/>
    <w:rsid w:val="2B20FD5B"/>
    <w:rsid w:val="2B39054E"/>
    <w:rsid w:val="2B599937"/>
    <w:rsid w:val="2B80EEB7"/>
    <w:rsid w:val="2B8F20C4"/>
    <w:rsid w:val="2C43E8DF"/>
    <w:rsid w:val="2C7A5D1E"/>
    <w:rsid w:val="2CA85259"/>
    <w:rsid w:val="2D1418E9"/>
    <w:rsid w:val="2D59CAEF"/>
    <w:rsid w:val="2D94FDCF"/>
    <w:rsid w:val="2DC901F1"/>
    <w:rsid w:val="2E59D08B"/>
    <w:rsid w:val="2E5CD498"/>
    <w:rsid w:val="2E69088C"/>
    <w:rsid w:val="2E74BE55"/>
    <w:rsid w:val="2EF33CE7"/>
    <w:rsid w:val="2F64D252"/>
    <w:rsid w:val="2FC23A2E"/>
    <w:rsid w:val="2FCA9991"/>
    <w:rsid w:val="2FF67F71"/>
    <w:rsid w:val="3045896E"/>
    <w:rsid w:val="30D07709"/>
    <w:rsid w:val="30F41B41"/>
    <w:rsid w:val="311658CB"/>
    <w:rsid w:val="31F1C3F8"/>
    <w:rsid w:val="32812B4E"/>
    <w:rsid w:val="328CF346"/>
    <w:rsid w:val="329E5C9D"/>
    <w:rsid w:val="3456E332"/>
    <w:rsid w:val="348E429E"/>
    <w:rsid w:val="34FA7D3F"/>
    <w:rsid w:val="35E6A4DB"/>
    <w:rsid w:val="361BDCCA"/>
    <w:rsid w:val="361EC1A9"/>
    <w:rsid w:val="362E9324"/>
    <w:rsid w:val="3693BC85"/>
    <w:rsid w:val="36E09567"/>
    <w:rsid w:val="37447FF2"/>
    <w:rsid w:val="37483F6D"/>
    <w:rsid w:val="374A7612"/>
    <w:rsid w:val="383FDFD5"/>
    <w:rsid w:val="38E266D5"/>
    <w:rsid w:val="39099D82"/>
    <w:rsid w:val="3915E270"/>
    <w:rsid w:val="3928FB8D"/>
    <w:rsid w:val="395D5FCD"/>
    <w:rsid w:val="39B770FC"/>
    <w:rsid w:val="3A124883"/>
    <w:rsid w:val="3ACF7D87"/>
    <w:rsid w:val="3B2C3975"/>
    <w:rsid w:val="3B333DA8"/>
    <w:rsid w:val="3B52C66A"/>
    <w:rsid w:val="3BADC202"/>
    <w:rsid w:val="3C05F11A"/>
    <w:rsid w:val="3C23430C"/>
    <w:rsid w:val="3C42EB9B"/>
    <w:rsid w:val="3C84AC4B"/>
    <w:rsid w:val="3D17B026"/>
    <w:rsid w:val="3D72F762"/>
    <w:rsid w:val="3DA8AF89"/>
    <w:rsid w:val="3EAE3C5E"/>
    <w:rsid w:val="3EE53BF6"/>
    <w:rsid w:val="3F5AE3CE"/>
    <w:rsid w:val="3FAC7B92"/>
    <w:rsid w:val="401CB258"/>
    <w:rsid w:val="41165CBE"/>
    <w:rsid w:val="419CAC48"/>
    <w:rsid w:val="41ACD29F"/>
    <w:rsid w:val="41CCDCFC"/>
    <w:rsid w:val="420E58EB"/>
    <w:rsid w:val="420F3687"/>
    <w:rsid w:val="42ABCB7D"/>
    <w:rsid w:val="42EBC854"/>
    <w:rsid w:val="42F9D38E"/>
    <w:rsid w:val="4346A5DB"/>
    <w:rsid w:val="4368AD5D"/>
    <w:rsid w:val="437B5070"/>
    <w:rsid w:val="43D79DC1"/>
    <w:rsid w:val="4498E0B8"/>
    <w:rsid w:val="44A6CEAC"/>
    <w:rsid w:val="44B71CE3"/>
    <w:rsid w:val="44E1D537"/>
    <w:rsid w:val="44ED89C4"/>
    <w:rsid w:val="450DBADE"/>
    <w:rsid w:val="451FC6D3"/>
    <w:rsid w:val="45372A60"/>
    <w:rsid w:val="45700BC5"/>
    <w:rsid w:val="45EDE696"/>
    <w:rsid w:val="461BD16C"/>
    <w:rsid w:val="46A78303"/>
    <w:rsid w:val="46F6B931"/>
    <w:rsid w:val="478F36E1"/>
    <w:rsid w:val="47DCFEF8"/>
    <w:rsid w:val="47E566D0"/>
    <w:rsid w:val="48928992"/>
    <w:rsid w:val="48AC2AF6"/>
    <w:rsid w:val="48E362A0"/>
    <w:rsid w:val="49495C7C"/>
    <w:rsid w:val="4999895D"/>
    <w:rsid w:val="4A0358CC"/>
    <w:rsid w:val="4A24C426"/>
    <w:rsid w:val="4A3435CA"/>
    <w:rsid w:val="4A356570"/>
    <w:rsid w:val="4A630148"/>
    <w:rsid w:val="4A7853A8"/>
    <w:rsid w:val="4B100D2B"/>
    <w:rsid w:val="4C0F4C4E"/>
    <w:rsid w:val="4C3C1867"/>
    <w:rsid w:val="4D0C6EF0"/>
    <w:rsid w:val="4DDE1549"/>
    <w:rsid w:val="4DEFFFF8"/>
    <w:rsid w:val="4E63FE82"/>
    <w:rsid w:val="4EE55D31"/>
    <w:rsid w:val="4F1D5641"/>
    <w:rsid w:val="4F75D888"/>
    <w:rsid w:val="4F989DAD"/>
    <w:rsid w:val="4F9E6441"/>
    <w:rsid w:val="4FC5E760"/>
    <w:rsid w:val="4FE532AB"/>
    <w:rsid w:val="501CF878"/>
    <w:rsid w:val="5046F2FC"/>
    <w:rsid w:val="50884477"/>
    <w:rsid w:val="50AF7C7B"/>
    <w:rsid w:val="50CCB3C6"/>
    <w:rsid w:val="50EEB1EE"/>
    <w:rsid w:val="5105457D"/>
    <w:rsid w:val="512B0F07"/>
    <w:rsid w:val="51BC06FA"/>
    <w:rsid w:val="51E63C11"/>
    <w:rsid w:val="520846BE"/>
    <w:rsid w:val="524B4CDC"/>
    <w:rsid w:val="52631EAB"/>
    <w:rsid w:val="5286DD65"/>
    <w:rsid w:val="5291F87A"/>
    <w:rsid w:val="5297B27F"/>
    <w:rsid w:val="52DCC3BF"/>
    <w:rsid w:val="535D5570"/>
    <w:rsid w:val="53827491"/>
    <w:rsid w:val="53FB4D6C"/>
    <w:rsid w:val="546B70DD"/>
    <w:rsid w:val="54C90D82"/>
    <w:rsid w:val="54F325E4"/>
    <w:rsid w:val="54FF8B2B"/>
    <w:rsid w:val="553D7013"/>
    <w:rsid w:val="55B81D46"/>
    <w:rsid w:val="56E427B9"/>
    <w:rsid w:val="56F22010"/>
    <w:rsid w:val="56FEFCE0"/>
    <w:rsid w:val="57793D4D"/>
    <w:rsid w:val="584374F1"/>
    <w:rsid w:val="58535F3F"/>
    <w:rsid w:val="58896503"/>
    <w:rsid w:val="58B6F7F3"/>
    <w:rsid w:val="59265796"/>
    <w:rsid w:val="592A704B"/>
    <w:rsid w:val="595E01E2"/>
    <w:rsid w:val="5999B16B"/>
    <w:rsid w:val="59FC8BF7"/>
    <w:rsid w:val="5A5DD568"/>
    <w:rsid w:val="5A9DD036"/>
    <w:rsid w:val="5B379DA5"/>
    <w:rsid w:val="5B77EC38"/>
    <w:rsid w:val="5D1261E6"/>
    <w:rsid w:val="5D17A3D6"/>
    <w:rsid w:val="5DEB37F3"/>
    <w:rsid w:val="5DFDFFF8"/>
    <w:rsid w:val="5F06BEA1"/>
    <w:rsid w:val="5F2521FF"/>
    <w:rsid w:val="5F29E084"/>
    <w:rsid w:val="5F4FDCFA"/>
    <w:rsid w:val="6010918B"/>
    <w:rsid w:val="60A15997"/>
    <w:rsid w:val="60FCBCD7"/>
    <w:rsid w:val="611DC3E4"/>
    <w:rsid w:val="6125E9F4"/>
    <w:rsid w:val="618D7E7B"/>
    <w:rsid w:val="61E57D24"/>
    <w:rsid w:val="62209E20"/>
    <w:rsid w:val="622DA091"/>
    <w:rsid w:val="6252E8A6"/>
    <w:rsid w:val="62996838"/>
    <w:rsid w:val="62D52762"/>
    <w:rsid w:val="632475D2"/>
    <w:rsid w:val="636C6151"/>
    <w:rsid w:val="6374BB8C"/>
    <w:rsid w:val="643C10D8"/>
    <w:rsid w:val="648C77FA"/>
    <w:rsid w:val="64DEC171"/>
    <w:rsid w:val="64F2F1A0"/>
    <w:rsid w:val="653B76B7"/>
    <w:rsid w:val="65D9AA3D"/>
    <w:rsid w:val="6637FAD0"/>
    <w:rsid w:val="66BF8F3C"/>
    <w:rsid w:val="6718A584"/>
    <w:rsid w:val="676586CD"/>
    <w:rsid w:val="676736A4"/>
    <w:rsid w:val="68D8B2B4"/>
    <w:rsid w:val="69A11BF6"/>
    <w:rsid w:val="69EFDAEB"/>
    <w:rsid w:val="6A4517CB"/>
    <w:rsid w:val="6A9470BB"/>
    <w:rsid w:val="6BAE4140"/>
    <w:rsid w:val="6BB09EA4"/>
    <w:rsid w:val="6BD2E6AA"/>
    <w:rsid w:val="6C0FCB5D"/>
    <w:rsid w:val="6C157CE8"/>
    <w:rsid w:val="6C171E58"/>
    <w:rsid w:val="6C18A3B2"/>
    <w:rsid w:val="6C69CF0C"/>
    <w:rsid w:val="6CBFD1A7"/>
    <w:rsid w:val="6CE89AD8"/>
    <w:rsid w:val="6CF51B57"/>
    <w:rsid w:val="6D1803D9"/>
    <w:rsid w:val="6D1B3306"/>
    <w:rsid w:val="6D67DAE3"/>
    <w:rsid w:val="6D6BF7CA"/>
    <w:rsid w:val="6D9DF5CA"/>
    <w:rsid w:val="6DBEA1D8"/>
    <w:rsid w:val="6DE2E90A"/>
    <w:rsid w:val="6DEE2CDA"/>
    <w:rsid w:val="6E0B526D"/>
    <w:rsid w:val="6E166B06"/>
    <w:rsid w:val="6E578413"/>
    <w:rsid w:val="6E729CED"/>
    <w:rsid w:val="6EA48D90"/>
    <w:rsid w:val="6ECE141B"/>
    <w:rsid w:val="6EDBE82B"/>
    <w:rsid w:val="6EECD2CF"/>
    <w:rsid w:val="6F5FFCC7"/>
    <w:rsid w:val="6F630B32"/>
    <w:rsid w:val="6FFFD083"/>
    <w:rsid w:val="70174A67"/>
    <w:rsid w:val="704914C5"/>
    <w:rsid w:val="7090EF11"/>
    <w:rsid w:val="70E7D573"/>
    <w:rsid w:val="70FDD2F3"/>
    <w:rsid w:val="717FB3CF"/>
    <w:rsid w:val="726A0B66"/>
    <w:rsid w:val="7270F9F6"/>
    <w:rsid w:val="729B1570"/>
    <w:rsid w:val="72AA9C32"/>
    <w:rsid w:val="734F7D94"/>
    <w:rsid w:val="73528A04"/>
    <w:rsid w:val="735FD370"/>
    <w:rsid w:val="739F6270"/>
    <w:rsid w:val="752C975E"/>
    <w:rsid w:val="76209FA0"/>
    <w:rsid w:val="7632932E"/>
    <w:rsid w:val="76470B5E"/>
    <w:rsid w:val="765641C6"/>
    <w:rsid w:val="76CAE655"/>
    <w:rsid w:val="76CD167F"/>
    <w:rsid w:val="773541D3"/>
    <w:rsid w:val="7756E468"/>
    <w:rsid w:val="77A593F2"/>
    <w:rsid w:val="77C339A8"/>
    <w:rsid w:val="77FB7A2F"/>
    <w:rsid w:val="78C0C25B"/>
    <w:rsid w:val="78FD9490"/>
    <w:rsid w:val="7912BE48"/>
    <w:rsid w:val="79911B8F"/>
    <w:rsid w:val="7A315275"/>
    <w:rsid w:val="7B1EF564"/>
    <w:rsid w:val="7B33F777"/>
    <w:rsid w:val="7B3A2510"/>
    <w:rsid w:val="7BC1EEAD"/>
    <w:rsid w:val="7BEE83FD"/>
    <w:rsid w:val="7BF1D776"/>
    <w:rsid w:val="7C6B1AD4"/>
    <w:rsid w:val="7C7ECBA9"/>
    <w:rsid w:val="7C81A373"/>
    <w:rsid w:val="7CB740F9"/>
    <w:rsid w:val="7CBCCD14"/>
    <w:rsid w:val="7CC6B6F5"/>
    <w:rsid w:val="7CCA967E"/>
    <w:rsid w:val="7DADD4D4"/>
    <w:rsid w:val="7DF52CE7"/>
    <w:rsid w:val="7E2002C8"/>
    <w:rsid w:val="7EA3A370"/>
    <w:rsid w:val="7EB462FE"/>
    <w:rsid w:val="7F3654A1"/>
    <w:rsid w:val="7FA4E898"/>
    <w:rsid w:val="7FB40A6E"/>
    <w:rsid w:val="7FD76DE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815402"/>
  <w15:chartTrackingRefBased/>
  <w15:docId w15:val="{0E551FBC-8F41-43F2-A704-5CFC68034F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76BA1"/>
    <w:rPr>
      <w:rFonts w:eastAsiaTheme="minorEastAsia"/>
      <w:sz w:val="22"/>
      <w:szCs w:val="22"/>
      <w:lang w:val="en-US" w:eastAsia="zh-CN"/>
    </w:rPr>
  </w:style>
  <w:style w:type="character" w:customStyle="1" w:styleId="NoSpacingChar">
    <w:name w:val="No Spacing Char"/>
    <w:basedOn w:val="DefaultParagraphFont"/>
    <w:link w:val="NoSpacing"/>
    <w:uiPriority w:val="1"/>
    <w:rsid w:val="00376BA1"/>
    <w:rPr>
      <w:rFonts w:eastAsiaTheme="minorEastAsia"/>
      <w:sz w:val="22"/>
      <w:szCs w:val="22"/>
      <w:lang w:val="en-US" w:eastAsia="zh-CN"/>
    </w:rPr>
  </w:style>
  <w:style w:type="paragraph" w:styleId="BalloonText">
    <w:name w:val="Balloon Text"/>
    <w:basedOn w:val="Normal"/>
    <w:link w:val="BalloonTextChar"/>
    <w:uiPriority w:val="99"/>
    <w:semiHidden/>
    <w:unhideWhenUsed/>
    <w:rsid w:val="00D50D50"/>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50D50"/>
    <w:rPr>
      <w:rFonts w:ascii="Times New Roman" w:hAnsi="Times New Roman" w:cs="Times New Roman"/>
      <w:sz w:val="18"/>
      <w:szCs w:val="18"/>
    </w:rPr>
  </w:style>
  <w:style w:type="character" w:styleId="Hyperlink">
    <w:name w:val="Hyperlink"/>
    <w:basedOn w:val="DefaultParagraphFont"/>
    <w:uiPriority w:val="99"/>
    <w:unhideWhenUsed/>
    <w:rsid w:val="00584CD4"/>
    <w:rPr>
      <w:color w:val="0563C1" w:themeColor="hyperlink"/>
      <w:u w:val="single"/>
    </w:rPr>
  </w:style>
  <w:style w:type="character" w:styleId="UnresolvedMention">
    <w:name w:val="Unresolved Mention"/>
    <w:basedOn w:val="DefaultParagraphFont"/>
    <w:uiPriority w:val="99"/>
    <w:semiHidden/>
    <w:unhideWhenUsed/>
    <w:rsid w:val="00584CD4"/>
    <w:rPr>
      <w:color w:val="605E5C"/>
      <w:shd w:val="clear" w:color="auto" w:fill="E1DFDD"/>
    </w:rPr>
  </w:style>
  <w:style w:type="character" w:styleId="FollowedHyperlink">
    <w:name w:val="FollowedHyperlink"/>
    <w:basedOn w:val="DefaultParagraphFont"/>
    <w:uiPriority w:val="99"/>
    <w:semiHidden/>
    <w:unhideWhenUsed/>
    <w:rsid w:val="005B6A4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3-eu-west-2.amazonaws.com/lawcom-prod-storage-11jsxou24uy7q/uploads/2015/11/51950-LC-HC555_Web.pdf" TargetMode="External"/><Relationship Id="rId3" Type="http://schemas.openxmlformats.org/officeDocument/2006/relationships/settings" Target="settings.xml"/><Relationship Id="rId7" Type="http://schemas.openxmlformats.org/officeDocument/2006/relationships/hyperlink" Target="https://watermark.silverchair.com/2-1-25.pdf?token=AQECAHi208BE49Ooan9kkhW_Ercy7Dm3ZL_9Cf3qfKAc485ysgAAApYwggKSBgkqhkiG9w0BBwagggKDMIICfwIBADCCAngGCSqGSIb3DQEHATAeBglghkgBZQMEAS4wEQQMDkpCA-BaRDR3YgrjAgEQgIICSYxu0yzshg54oQfcgXZVo-ubLKAaPxRgozY8pZHsncGUyRZeD3iDjjVNCPoArbP2-Qg-wELPUErFpfKsaxnXIkD9DutnBL5HmDxuz3y_yekDZ06fy1tZYg8rrFiwVtdyUskFZrK_a7QEKOHQj5f9FUtIkLj8nOGnrGNc7v045kj8EHwg7ecfj4HScnnPLQs7AICZmocnxwEyOOg7wskBzSwPSiXOWcdM-1R412dIf149G6XHrnZq-3u0TpOqbSzhrkvnwTWQ8wMUfwedb9OVVtZtEjh3rJBMGY94UZt-_qKLxZq9R6ScU6dsFc273OWKy1SdMsXkJART0QUbVt9g2HyHAulfO2RBCMgtgtky23Yso9rDbW4LuM82dQlTd-FCRSS57Rg4jdFeNsU3zPrhC7EFYhaOyQj-lf940imDSMdcnZOrYr7VE654Vn64s53kTr1HmDXIZMh6_6GxAWMcQ2-6-MT7LWt7TMOQ-SCVAb90OsWOV-a7tC0Zlk0rGnH91qZ-SiMBeE19KX7yYiEBDn1zdW91M3D_J5WmLxasTTvDIQvYLW2Nz3W8MQrLYrvPYjN3hnNuYz1bZFMzEIu8rZZmUocpaJeg9x7t7ZdKiqtlMV2tMT2Yd_lX2T8tx18DbY_lig-zPzmqMWvbJk1x1gwVMk8O1oBUVKjgkoOrE0NYqVpzTxx0gWZRrDqTo1Zz0i8cTlPz7AKjniqZK7ZhP3sUdUyea7w4k738jE_w9mRnXZBumPo2ydVBMbR8XghyNR0YDlKe5KCLww"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oxford-royale.com/articles/offences-against-the-person-act-1861-needs-reform/" TargetMode="External"/><Relationship Id="rId11" Type="http://schemas.openxmlformats.org/officeDocument/2006/relationships/theme" Target="theme/theme1.xml"/><Relationship Id="rId5" Type="http://schemas.openxmlformats.org/officeDocument/2006/relationships/hyperlink" Target="https://www.grayandcosolicitors.co.uk/section-20-assault-and-section-18-assault-grievous-bodily-harm/"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s3-eu-west-2.amazonaws.com/lawcom-prod-storage-11jsxou24uy7q/uploads/2015/11/lc361_offences_against_the_person_overview_new-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2385</Words>
  <Characters>13599</Characters>
  <Application>Microsoft Office Word</Application>
  <DocSecurity>4</DocSecurity>
  <Lines>113</Lines>
  <Paragraphs>31</Paragraphs>
  <ScaleCrop>false</ScaleCrop>
  <Company/>
  <LinksUpToDate>false</LinksUpToDate>
  <CharactersWithSpaces>15953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REFORM OF NON-FATAL OFFENCES AGAINST THE PERSON</dc:title>
  <dc:subject/>
  <dc:creator>Jacey Punter (2004350)</dc:creator>
  <cp:keywords/>
  <dc:description/>
  <cp:lastModifiedBy>Jacey Punter (2004350)</cp:lastModifiedBy>
  <cp:revision>402</cp:revision>
  <dcterms:created xsi:type="dcterms:W3CDTF">2021-02-25T11:11:00Z</dcterms:created>
  <dcterms:modified xsi:type="dcterms:W3CDTF">2021-03-05T12:41:00Z</dcterms:modified>
</cp:coreProperties>
</file>