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19" w:type="dxa"/>
        <w:tblInd w:w="-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019"/>
      </w:tblGrid>
      <w:tr w:rsidR="00893BB5" w:rsidRPr="00A406E5" w:rsidTr="00893BB5">
        <w:tc>
          <w:tcPr>
            <w:tcW w:w="10019" w:type="dxa"/>
            <w:shd w:val="clear" w:color="auto" w:fill="C0C0C0"/>
          </w:tcPr>
          <w:p w:rsidR="00893BB5" w:rsidRPr="00A406E5" w:rsidRDefault="00893BB5" w:rsidP="00973A17">
            <w:pPr>
              <w:pStyle w:val="Heading4"/>
              <w:rPr>
                <w:rFonts w:ascii="Arial" w:hAnsi="Arial" w:cs="Arial"/>
                <w:b/>
              </w:rPr>
            </w:pPr>
            <w:r>
              <w:rPr>
                <w:rFonts w:ascii="Arial" w:hAnsi="Arial" w:cs="Arial"/>
                <w:b/>
              </w:rPr>
              <w:t>LEVEL 4</w:t>
            </w:r>
            <w:r w:rsidRPr="00A406E5">
              <w:rPr>
                <w:rFonts w:ascii="Arial" w:hAnsi="Arial" w:cs="Arial"/>
                <w:b/>
              </w:rPr>
              <w:t xml:space="preserve">ASSESSMENT SPECIFICATION </w:t>
            </w:r>
          </w:p>
        </w:tc>
      </w:tr>
    </w:tbl>
    <w:p w:rsidR="00893BB5" w:rsidRPr="00A406E5" w:rsidRDefault="00893BB5" w:rsidP="00893BB5">
      <w:pPr>
        <w:jc w:val="center"/>
        <w:rPr>
          <w:rFonts w:ascii="Arial" w:hAnsi="Arial" w:cs="Arial"/>
          <w:b/>
          <w:i/>
          <w:sz w:val="32"/>
        </w:rPr>
      </w:pPr>
    </w:p>
    <w:tbl>
      <w:tblPr>
        <w:tblW w:w="9922" w:type="dxa"/>
        <w:tblInd w:w="-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3293"/>
        <w:gridCol w:w="2268"/>
        <w:gridCol w:w="2268"/>
      </w:tblGrid>
      <w:tr w:rsidR="00893BB5" w:rsidRPr="00A406E5" w:rsidTr="00893BB5">
        <w:tc>
          <w:tcPr>
            <w:tcW w:w="2093" w:type="dxa"/>
            <w:shd w:val="pct15" w:color="auto" w:fill="auto"/>
          </w:tcPr>
          <w:p w:rsidR="00893BB5" w:rsidRPr="00A406E5" w:rsidRDefault="00893BB5" w:rsidP="00973A17">
            <w:pPr>
              <w:spacing w:before="120" w:after="120"/>
              <w:jc w:val="both"/>
              <w:rPr>
                <w:rFonts w:ascii="Arial" w:hAnsi="Arial" w:cs="Arial"/>
                <w:b/>
              </w:rPr>
            </w:pPr>
            <w:r w:rsidRPr="00A406E5">
              <w:rPr>
                <w:rFonts w:ascii="Arial" w:hAnsi="Arial" w:cs="Arial"/>
                <w:b/>
              </w:rPr>
              <w:t>Student name:</w:t>
            </w:r>
          </w:p>
        </w:tc>
        <w:tc>
          <w:tcPr>
            <w:tcW w:w="3293" w:type="dxa"/>
          </w:tcPr>
          <w:p w:rsidR="00893BB5" w:rsidRPr="00893BB5" w:rsidRDefault="00893BB5" w:rsidP="00973A17">
            <w:pPr>
              <w:spacing w:before="120" w:after="120"/>
              <w:jc w:val="both"/>
              <w:rPr>
                <w:rFonts w:ascii="Arial" w:hAnsi="Arial" w:cs="Arial"/>
              </w:rPr>
            </w:pPr>
            <w:r w:rsidRPr="00893BB5">
              <w:rPr>
                <w:rFonts w:ascii="Arial" w:hAnsi="Arial" w:cs="Arial"/>
              </w:rPr>
              <w:t>Mohammad Ali</w:t>
            </w:r>
          </w:p>
        </w:tc>
        <w:tc>
          <w:tcPr>
            <w:tcW w:w="2268" w:type="dxa"/>
            <w:shd w:val="clear" w:color="auto" w:fill="D9D9D9"/>
          </w:tcPr>
          <w:p w:rsidR="00893BB5" w:rsidRPr="00A406E5" w:rsidRDefault="00893BB5" w:rsidP="00973A17">
            <w:pPr>
              <w:spacing w:before="120" w:after="120"/>
              <w:jc w:val="both"/>
              <w:rPr>
                <w:rFonts w:ascii="Arial" w:hAnsi="Arial" w:cs="Arial"/>
                <w:b/>
              </w:rPr>
            </w:pPr>
            <w:r w:rsidRPr="00A406E5">
              <w:rPr>
                <w:rFonts w:ascii="Arial" w:hAnsi="Arial" w:cs="Arial"/>
                <w:b/>
              </w:rPr>
              <w:t>Student ID number:</w:t>
            </w:r>
          </w:p>
        </w:tc>
        <w:tc>
          <w:tcPr>
            <w:tcW w:w="2268" w:type="dxa"/>
          </w:tcPr>
          <w:p w:rsidR="00893BB5" w:rsidRPr="00893BB5" w:rsidRDefault="00893BB5" w:rsidP="00973A17">
            <w:pPr>
              <w:spacing w:before="120" w:after="120"/>
              <w:jc w:val="both"/>
              <w:rPr>
                <w:rFonts w:ascii="Arial" w:hAnsi="Arial" w:cs="Arial"/>
              </w:rPr>
            </w:pPr>
            <w:r w:rsidRPr="00893BB5">
              <w:rPr>
                <w:rFonts w:ascii="Arial" w:hAnsi="Arial" w:cs="Arial"/>
              </w:rPr>
              <w:t>2015805</w:t>
            </w:r>
          </w:p>
        </w:tc>
      </w:tr>
      <w:tr w:rsidR="00893BB5" w:rsidRPr="00A406E5" w:rsidTr="00893BB5">
        <w:tc>
          <w:tcPr>
            <w:tcW w:w="2093" w:type="dxa"/>
            <w:shd w:val="pct15" w:color="auto" w:fill="auto"/>
          </w:tcPr>
          <w:p w:rsidR="00893BB5" w:rsidRPr="00A406E5" w:rsidRDefault="00893BB5" w:rsidP="00973A17">
            <w:pPr>
              <w:spacing w:before="120" w:after="120"/>
              <w:jc w:val="both"/>
              <w:rPr>
                <w:rFonts w:ascii="Arial" w:hAnsi="Arial" w:cs="Arial"/>
                <w:b/>
              </w:rPr>
            </w:pPr>
            <w:r w:rsidRPr="00A406E5">
              <w:rPr>
                <w:rFonts w:ascii="Arial" w:hAnsi="Arial" w:cs="Arial"/>
                <w:b/>
              </w:rPr>
              <w:t>Programme:</w:t>
            </w:r>
          </w:p>
        </w:tc>
        <w:tc>
          <w:tcPr>
            <w:tcW w:w="7829" w:type="dxa"/>
            <w:gridSpan w:val="3"/>
          </w:tcPr>
          <w:p w:rsidR="00893BB5" w:rsidRPr="00A406E5" w:rsidRDefault="00893BB5" w:rsidP="00973A17">
            <w:pPr>
              <w:spacing w:before="120" w:after="120"/>
              <w:jc w:val="both"/>
              <w:rPr>
                <w:rFonts w:ascii="Arial" w:hAnsi="Arial" w:cs="Arial"/>
                <w:b/>
              </w:rPr>
            </w:pPr>
          </w:p>
        </w:tc>
      </w:tr>
      <w:tr w:rsidR="00893BB5" w:rsidRPr="00A406E5" w:rsidTr="00893BB5">
        <w:tc>
          <w:tcPr>
            <w:tcW w:w="2093" w:type="dxa"/>
            <w:shd w:val="pct15" w:color="auto" w:fill="auto"/>
          </w:tcPr>
          <w:p w:rsidR="00893BB5" w:rsidRPr="00A406E5" w:rsidRDefault="00893BB5" w:rsidP="00973A17">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rsidR="00893BB5" w:rsidRPr="00A406E5" w:rsidRDefault="00893BB5" w:rsidP="00973A17">
            <w:pPr>
              <w:spacing w:before="120" w:after="120"/>
              <w:jc w:val="both"/>
              <w:rPr>
                <w:rFonts w:ascii="Arial" w:hAnsi="Arial" w:cs="Arial"/>
                <w:b/>
              </w:rPr>
            </w:pPr>
            <w:r>
              <w:rPr>
                <w:rFonts w:ascii="Arial" w:hAnsi="Arial" w:cs="Arial"/>
                <w:b/>
              </w:rPr>
              <w:t>PUBLIC LAW</w:t>
            </w:r>
          </w:p>
        </w:tc>
      </w:tr>
      <w:tr w:rsidR="00893BB5" w:rsidRPr="00A406E5" w:rsidTr="00893BB5">
        <w:tc>
          <w:tcPr>
            <w:tcW w:w="2093" w:type="dxa"/>
            <w:shd w:val="pct15" w:color="auto" w:fill="auto"/>
          </w:tcPr>
          <w:p w:rsidR="00893BB5" w:rsidRPr="00A406E5" w:rsidRDefault="00893BB5" w:rsidP="00973A17">
            <w:pPr>
              <w:spacing w:before="120" w:after="120"/>
              <w:jc w:val="both"/>
              <w:rPr>
                <w:rFonts w:ascii="Arial" w:hAnsi="Arial" w:cs="Arial"/>
                <w:b/>
              </w:rPr>
            </w:pPr>
            <w:r w:rsidRPr="00A406E5">
              <w:rPr>
                <w:rFonts w:ascii="Arial" w:hAnsi="Arial" w:cs="Arial"/>
                <w:b/>
              </w:rPr>
              <w:t>Module code:</w:t>
            </w:r>
          </w:p>
        </w:tc>
        <w:tc>
          <w:tcPr>
            <w:tcW w:w="3293" w:type="dxa"/>
          </w:tcPr>
          <w:p w:rsidR="00893BB5" w:rsidRPr="00893BB5" w:rsidRDefault="00893BB5" w:rsidP="00973A17">
            <w:pPr>
              <w:spacing w:before="120" w:after="120"/>
              <w:jc w:val="both"/>
              <w:rPr>
                <w:rFonts w:ascii="Arial" w:hAnsi="Arial" w:cs="Arial"/>
              </w:rPr>
            </w:pPr>
            <w:r w:rsidRPr="00893BB5">
              <w:rPr>
                <w:rFonts w:ascii="Arial" w:hAnsi="Arial" w:cs="Arial"/>
              </w:rPr>
              <w:t>BMLW4004</w:t>
            </w:r>
          </w:p>
        </w:tc>
        <w:tc>
          <w:tcPr>
            <w:tcW w:w="2268" w:type="dxa"/>
            <w:shd w:val="clear" w:color="auto" w:fill="D9D9D9"/>
          </w:tcPr>
          <w:p w:rsidR="00893BB5" w:rsidRPr="004D5E9B" w:rsidRDefault="00893BB5" w:rsidP="00973A1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893BB5" w:rsidRPr="00893BB5" w:rsidRDefault="00893BB5" w:rsidP="00973A17">
            <w:pPr>
              <w:spacing w:before="120" w:after="120"/>
              <w:jc w:val="both"/>
              <w:rPr>
                <w:rFonts w:ascii="Arial" w:hAnsi="Arial" w:cs="Arial"/>
              </w:rPr>
            </w:pPr>
            <w:r w:rsidRPr="00893BB5">
              <w:rPr>
                <w:rFonts w:ascii="Arial" w:hAnsi="Arial" w:cs="Arial"/>
              </w:rPr>
              <w:t>50%</w:t>
            </w:r>
          </w:p>
        </w:tc>
      </w:tr>
      <w:tr w:rsidR="00893BB5" w:rsidRPr="00A406E5" w:rsidTr="00893BB5">
        <w:tc>
          <w:tcPr>
            <w:tcW w:w="2093" w:type="dxa"/>
            <w:shd w:val="pct15" w:color="auto" w:fill="auto"/>
          </w:tcPr>
          <w:p w:rsidR="00893BB5" w:rsidRPr="00A406E5" w:rsidRDefault="00893BB5" w:rsidP="00973A17">
            <w:pPr>
              <w:spacing w:before="120" w:after="120"/>
              <w:jc w:val="both"/>
              <w:rPr>
                <w:rFonts w:ascii="Arial" w:hAnsi="Arial" w:cs="Arial"/>
                <w:b/>
              </w:rPr>
            </w:pPr>
            <w:r w:rsidRPr="00A406E5">
              <w:rPr>
                <w:rFonts w:ascii="Arial" w:hAnsi="Arial" w:cs="Arial"/>
                <w:b/>
              </w:rPr>
              <w:t>Lecturer:</w:t>
            </w:r>
          </w:p>
        </w:tc>
        <w:tc>
          <w:tcPr>
            <w:tcW w:w="3293" w:type="dxa"/>
          </w:tcPr>
          <w:p w:rsidR="00893BB5" w:rsidRPr="00893BB5" w:rsidRDefault="00893BB5" w:rsidP="00973A17">
            <w:pPr>
              <w:spacing w:before="120" w:after="120"/>
              <w:jc w:val="both"/>
              <w:rPr>
                <w:rFonts w:ascii="Arial" w:hAnsi="Arial" w:cs="Arial"/>
              </w:rPr>
            </w:pPr>
            <w:r w:rsidRPr="00893BB5">
              <w:rPr>
                <w:rFonts w:ascii="Arial" w:hAnsi="Arial" w:cs="Arial"/>
              </w:rPr>
              <w:t>LAURA KNIGHT</w:t>
            </w:r>
          </w:p>
        </w:tc>
        <w:tc>
          <w:tcPr>
            <w:tcW w:w="2268" w:type="dxa"/>
            <w:shd w:val="clear" w:color="auto" w:fill="D9D9D9"/>
          </w:tcPr>
          <w:p w:rsidR="00893BB5" w:rsidRPr="00A406E5" w:rsidRDefault="00893BB5" w:rsidP="00973A17">
            <w:pPr>
              <w:spacing w:before="120" w:after="120"/>
              <w:jc w:val="both"/>
              <w:rPr>
                <w:rFonts w:ascii="Arial" w:hAnsi="Arial" w:cs="Arial"/>
                <w:b/>
              </w:rPr>
            </w:pPr>
            <w:r w:rsidRPr="00A406E5">
              <w:rPr>
                <w:rFonts w:ascii="Arial" w:hAnsi="Arial" w:cs="Arial"/>
                <w:b/>
              </w:rPr>
              <w:t>Internal Verifier:</w:t>
            </w:r>
          </w:p>
        </w:tc>
        <w:tc>
          <w:tcPr>
            <w:tcW w:w="2268" w:type="dxa"/>
          </w:tcPr>
          <w:p w:rsidR="00893BB5" w:rsidRPr="00893BB5" w:rsidRDefault="00893BB5" w:rsidP="00973A17">
            <w:pPr>
              <w:spacing w:before="120" w:after="120"/>
              <w:jc w:val="both"/>
              <w:rPr>
                <w:rFonts w:ascii="Arial" w:hAnsi="Arial" w:cs="Arial"/>
              </w:rPr>
            </w:pPr>
            <w:r w:rsidRPr="00893BB5">
              <w:rPr>
                <w:rFonts w:ascii="Arial" w:hAnsi="Arial" w:cs="Arial"/>
              </w:rPr>
              <w:t>LOUISE HOLMES</w:t>
            </w:r>
          </w:p>
        </w:tc>
      </w:tr>
      <w:tr w:rsidR="00893BB5" w:rsidRPr="00A406E5" w:rsidTr="00893BB5">
        <w:tc>
          <w:tcPr>
            <w:tcW w:w="2093" w:type="dxa"/>
            <w:shd w:val="pct15" w:color="auto" w:fill="auto"/>
          </w:tcPr>
          <w:p w:rsidR="00893BB5" w:rsidRPr="00A406E5" w:rsidRDefault="00893BB5" w:rsidP="00973A17">
            <w:pPr>
              <w:spacing w:before="120" w:after="120"/>
              <w:jc w:val="both"/>
              <w:rPr>
                <w:rFonts w:ascii="Arial" w:hAnsi="Arial" w:cs="Arial"/>
                <w:b/>
              </w:rPr>
            </w:pPr>
            <w:r w:rsidRPr="00A406E5">
              <w:rPr>
                <w:rFonts w:ascii="Arial" w:hAnsi="Arial" w:cs="Arial"/>
                <w:b/>
              </w:rPr>
              <w:t>Assignment Title:</w:t>
            </w:r>
          </w:p>
        </w:tc>
        <w:tc>
          <w:tcPr>
            <w:tcW w:w="3293" w:type="dxa"/>
          </w:tcPr>
          <w:p w:rsidR="00893BB5" w:rsidRPr="00893BB5" w:rsidRDefault="00893BB5" w:rsidP="00973A17">
            <w:pPr>
              <w:spacing w:before="120" w:after="120"/>
              <w:jc w:val="both"/>
              <w:rPr>
                <w:rFonts w:ascii="Arial" w:hAnsi="Arial" w:cs="Arial"/>
              </w:rPr>
            </w:pPr>
            <w:r w:rsidRPr="00893BB5">
              <w:rPr>
                <w:rFonts w:ascii="Arial" w:hAnsi="Arial" w:cs="Arial"/>
              </w:rPr>
              <w:t xml:space="preserve">JUDICIAL INDEPENDENCE </w:t>
            </w:r>
          </w:p>
        </w:tc>
        <w:tc>
          <w:tcPr>
            <w:tcW w:w="2268" w:type="dxa"/>
            <w:shd w:val="pct15" w:color="auto" w:fill="auto"/>
          </w:tcPr>
          <w:p w:rsidR="00893BB5" w:rsidRPr="00A406E5" w:rsidRDefault="00893BB5" w:rsidP="00973A17">
            <w:pPr>
              <w:spacing w:before="120" w:after="120"/>
              <w:jc w:val="both"/>
              <w:rPr>
                <w:rFonts w:ascii="Arial" w:hAnsi="Arial" w:cs="Arial"/>
                <w:b/>
              </w:rPr>
            </w:pPr>
            <w:r>
              <w:rPr>
                <w:rFonts w:ascii="Arial" w:hAnsi="Arial" w:cs="Arial"/>
                <w:b/>
              </w:rPr>
              <w:t>Word count (or equivalent):</w:t>
            </w:r>
          </w:p>
        </w:tc>
        <w:tc>
          <w:tcPr>
            <w:tcW w:w="2268" w:type="dxa"/>
          </w:tcPr>
          <w:p w:rsidR="00893BB5" w:rsidRPr="00893BB5" w:rsidRDefault="00893BB5" w:rsidP="00973A17">
            <w:pPr>
              <w:spacing w:before="120" w:after="120"/>
              <w:jc w:val="both"/>
              <w:rPr>
                <w:rFonts w:ascii="Arial" w:hAnsi="Arial" w:cs="Arial"/>
              </w:rPr>
            </w:pPr>
            <w:r w:rsidRPr="00893BB5">
              <w:rPr>
                <w:rFonts w:ascii="Arial" w:hAnsi="Arial" w:cs="Arial"/>
              </w:rPr>
              <w:t>2000</w:t>
            </w:r>
          </w:p>
        </w:tc>
      </w:tr>
      <w:tr w:rsidR="00893BB5" w:rsidRPr="00A406E5" w:rsidTr="00893BB5">
        <w:tc>
          <w:tcPr>
            <w:tcW w:w="2093" w:type="dxa"/>
            <w:shd w:val="pct15" w:color="auto" w:fill="auto"/>
          </w:tcPr>
          <w:p w:rsidR="00893BB5" w:rsidRPr="00A406E5" w:rsidRDefault="00893BB5" w:rsidP="00973A17">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rsidR="00893BB5" w:rsidRPr="00893BB5" w:rsidRDefault="00893BB5" w:rsidP="00973A17">
            <w:pPr>
              <w:spacing w:before="120" w:after="120"/>
              <w:jc w:val="both"/>
              <w:rPr>
                <w:rFonts w:ascii="Arial" w:hAnsi="Arial" w:cs="Arial"/>
              </w:rPr>
            </w:pPr>
            <w:r w:rsidRPr="00893BB5">
              <w:rPr>
                <w:rFonts w:ascii="Arial" w:hAnsi="Arial" w:cs="Arial"/>
              </w:rPr>
              <w:t>Friday 6</w:t>
            </w:r>
            <w:r w:rsidRPr="00893BB5">
              <w:rPr>
                <w:rFonts w:ascii="Arial" w:hAnsi="Arial" w:cs="Arial"/>
                <w:vertAlign w:val="superscript"/>
              </w:rPr>
              <w:t>th</w:t>
            </w:r>
            <w:r w:rsidRPr="00893BB5">
              <w:rPr>
                <w:rFonts w:ascii="Arial" w:hAnsi="Arial" w:cs="Arial"/>
              </w:rPr>
              <w:t xml:space="preserve"> November 2020 23:59</w:t>
            </w:r>
          </w:p>
        </w:tc>
        <w:tc>
          <w:tcPr>
            <w:tcW w:w="2268" w:type="dxa"/>
            <w:shd w:val="pct15" w:color="auto" w:fill="auto"/>
          </w:tcPr>
          <w:p w:rsidR="00893BB5" w:rsidRPr="00A406E5" w:rsidRDefault="00893BB5" w:rsidP="00973A17">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rsidR="00893BB5" w:rsidRPr="00893BB5" w:rsidRDefault="00893BB5" w:rsidP="00973A17">
            <w:pPr>
              <w:spacing w:before="120" w:after="120"/>
              <w:jc w:val="both"/>
              <w:rPr>
                <w:rFonts w:ascii="Arial" w:hAnsi="Arial" w:cs="Arial"/>
              </w:rPr>
            </w:pPr>
            <w:r w:rsidRPr="00893BB5">
              <w:rPr>
                <w:rFonts w:ascii="Arial" w:hAnsi="Arial" w:cs="Arial"/>
              </w:rPr>
              <w:t>Friday 4</w:t>
            </w:r>
            <w:r w:rsidRPr="00893BB5">
              <w:rPr>
                <w:rFonts w:ascii="Arial" w:hAnsi="Arial" w:cs="Arial"/>
                <w:vertAlign w:val="superscript"/>
              </w:rPr>
              <w:t>th</w:t>
            </w:r>
            <w:r w:rsidRPr="00893BB5">
              <w:rPr>
                <w:rFonts w:ascii="Arial" w:hAnsi="Arial" w:cs="Arial"/>
              </w:rPr>
              <w:t xml:space="preserve"> December 2020</w:t>
            </w:r>
          </w:p>
        </w:tc>
      </w:tr>
      <w:tr w:rsidR="00893BB5" w:rsidRPr="00A406E5" w:rsidTr="00893BB5">
        <w:tc>
          <w:tcPr>
            <w:tcW w:w="2093" w:type="dxa"/>
            <w:shd w:val="pct15" w:color="auto" w:fill="auto"/>
          </w:tcPr>
          <w:p w:rsidR="00893BB5" w:rsidRPr="00A406E5" w:rsidRDefault="00893BB5" w:rsidP="00973A17">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rsidR="00893BB5" w:rsidRPr="00A406E5" w:rsidRDefault="00893BB5" w:rsidP="00973A17">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893BB5" w:rsidRPr="00A406E5" w:rsidRDefault="00893BB5" w:rsidP="00973A17">
            <w:pPr>
              <w:spacing w:before="120" w:after="120"/>
              <w:jc w:val="both"/>
              <w:rPr>
                <w:rFonts w:ascii="Arial" w:hAnsi="Arial" w:cs="Arial"/>
                <w:b/>
              </w:rPr>
            </w:pPr>
            <w:r w:rsidRPr="00A406E5">
              <w:rPr>
                <w:rFonts w:ascii="Arial" w:hAnsi="Arial" w:cs="Arial"/>
                <w:b/>
              </w:rPr>
              <w:t xml:space="preserve">Alternative submission method (if applicable): </w:t>
            </w:r>
          </w:p>
          <w:p w:rsidR="00893BB5" w:rsidRPr="00A406E5" w:rsidRDefault="00893BB5" w:rsidP="00973A17">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893BB5" w:rsidRPr="00A406E5" w:rsidTr="00893BB5">
        <w:tc>
          <w:tcPr>
            <w:tcW w:w="2093" w:type="dxa"/>
            <w:shd w:val="pct15" w:color="auto" w:fill="auto"/>
          </w:tcPr>
          <w:p w:rsidR="00893BB5" w:rsidRPr="00A406E5" w:rsidRDefault="00893BB5" w:rsidP="00973A17">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rsidR="00893BB5" w:rsidRPr="00A406E5" w:rsidRDefault="00893BB5" w:rsidP="00973A17">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rsidR="00893BB5" w:rsidRPr="00A406E5" w:rsidRDefault="00893BB5" w:rsidP="00893BB5">
      <w:pPr>
        <w:rPr>
          <w:rFonts w:ascii="Arial" w:hAnsi="Arial" w:cs="Arial"/>
          <w:sz w:val="32"/>
        </w:rPr>
      </w:pPr>
    </w:p>
    <w:p w:rsidR="00192B40" w:rsidRPr="00AE7BF0" w:rsidRDefault="00192B40" w:rsidP="00192B40">
      <w:pPr>
        <w:jc w:val="both"/>
        <w:rPr>
          <w:rFonts w:ascii="Arial" w:hAnsi="Arial" w:cs="Arial"/>
          <w:b/>
          <w:sz w:val="20"/>
        </w:rPr>
      </w:pPr>
      <w:r w:rsidRPr="00AE7BF0">
        <w:rPr>
          <w:rFonts w:ascii="Arial" w:hAnsi="Arial" w:cs="Arial"/>
          <w:b/>
          <w:szCs w:val="24"/>
        </w:rPr>
        <w:t xml:space="preserve">With reference to the constitution of the United Kingdom, </w:t>
      </w:r>
      <w:r w:rsidRPr="000D160F">
        <w:rPr>
          <w:rFonts w:ascii="Arial" w:hAnsi="Arial" w:cs="Arial"/>
          <w:b/>
          <w:szCs w:val="24"/>
          <w:highlight w:val="yellow"/>
        </w:rPr>
        <w:t>consider the importance of judicial independence.</w:t>
      </w:r>
      <w:r w:rsidRPr="00AE7BF0">
        <w:rPr>
          <w:rFonts w:ascii="Arial" w:hAnsi="Arial" w:cs="Arial"/>
          <w:b/>
          <w:szCs w:val="24"/>
        </w:rPr>
        <w:t xml:space="preserve"> You will need to </w:t>
      </w:r>
      <w:r w:rsidRPr="00631536">
        <w:rPr>
          <w:rFonts w:ascii="Arial" w:hAnsi="Arial" w:cs="Arial"/>
          <w:b/>
          <w:szCs w:val="24"/>
          <w:u w:val="single"/>
        </w:rPr>
        <w:t>discuss the extent to which</w:t>
      </w:r>
      <w:r w:rsidRPr="00AE7BF0">
        <w:rPr>
          <w:rFonts w:ascii="Arial" w:hAnsi="Arial" w:cs="Arial"/>
          <w:b/>
          <w:szCs w:val="24"/>
        </w:rPr>
        <w:t xml:space="preserve"> constitution allows for separation between the judiciary and the other branches </w:t>
      </w:r>
    </w:p>
    <w:p w:rsidR="00893BB5" w:rsidRDefault="00893BB5"/>
    <w:p w:rsidR="00192B40" w:rsidRDefault="00192B40">
      <w:pPr>
        <w:rPr>
          <w:rFonts w:ascii="Arial" w:hAnsi="Arial" w:cs="Arial"/>
          <w:b/>
        </w:rPr>
      </w:pPr>
    </w:p>
    <w:p w:rsidR="00192B40" w:rsidRDefault="00192B40">
      <w:pPr>
        <w:rPr>
          <w:rFonts w:ascii="Arial" w:hAnsi="Arial" w:cs="Arial"/>
          <w:b/>
        </w:rPr>
      </w:pPr>
    </w:p>
    <w:p w:rsidR="00893BB5" w:rsidRDefault="00AE7BF0">
      <w:pPr>
        <w:rPr>
          <w:rFonts w:ascii="Arial" w:hAnsi="Arial" w:cs="Arial"/>
          <w:b/>
        </w:rPr>
      </w:pPr>
      <w:r w:rsidRPr="00AE7BF0">
        <w:rPr>
          <w:rFonts w:ascii="Arial" w:hAnsi="Arial" w:cs="Arial"/>
          <w:b/>
        </w:rPr>
        <w:lastRenderedPageBreak/>
        <w:t xml:space="preserve">Judicial Independence </w:t>
      </w:r>
    </w:p>
    <w:p w:rsidR="000D160F" w:rsidRDefault="00192B40" w:rsidP="003D003C">
      <w:pPr>
        <w:spacing w:after="0" w:line="360" w:lineRule="auto"/>
        <w:jc w:val="both"/>
        <w:rPr>
          <w:rFonts w:ascii="Arial" w:hAnsi="Arial" w:cs="Arial"/>
        </w:rPr>
      </w:pPr>
      <w:r w:rsidRPr="00192B40">
        <w:rPr>
          <w:rFonts w:ascii="Arial" w:hAnsi="Arial" w:cs="Arial"/>
        </w:rPr>
        <w:t xml:space="preserve">In the United Kingdom, it is </w:t>
      </w:r>
      <w:r>
        <w:rPr>
          <w:rFonts w:ascii="Arial" w:hAnsi="Arial" w:cs="Arial"/>
        </w:rPr>
        <w:t>an essential</w:t>
      </w:r>
      <w:r w:rsidRPr="00192B40">
        <w:rPr>
          <w:rFonts w:ascii="Arial" w:hAnsi="Arial" w:cs="Arial"/>
        </w:rPr>
        <w:t xml:space="preserve"> requirement that the judiciary is independent from the central government</w:t>
      </w:r>
      <w:r>
        <w:rPr>
          <w:rFonts w:ascii="Arial" w:hAnsi="Arial" w:cs="Arial"/>
        </w:rPr>
        <w:t xml:space="preserve">; this is an important element when it comes to the rule of law. </w:t>
      </w:r>
      <w:r w:rsidR="00703A11">
        <w:rPr>
          <w:rFonts w:ascii="Arial" w:hAnsi="Arial" w:cs="Arial"/>
        </w:rPr>
        <w:t>This is the “</w:t>
      </w:r>
      <w:r w:rsidR="00703A11" w:rsidRPr="00703A11">
        <w:rPr>
          <w:rFonts w:ascii="Arial" w:hAnsi="Arial" w:cs="Arial"/>
        </w:rPr>
        <w:t>norm that supports the equality of all citizens before the law, secures a no arbitrary form of government, and more generally prevents the arbitrary use of power</w:t>
      </w:r>
      <w:r w:rsidR="00703A11">
        <w:rPr>
          <w:rFonts w:ascii="Arial" w:hAnsi="Arial" w:cs="Arial"/>
        </w:rPr>
        <w:t xml:space="preserve">”. (Choi, Britannica, 2010). The law is imposed routinely despite the person who is in charge. </w:t>
      </w:r>
      <w:r w:rsidR="003D003C">
        <w:rPr>
          <w:rFonts w:ascii="Arial" w:hAnsi="Arial" w:cs="Arial"/>
        </w:rPr>
        <w:t xml:space="preserve">Judicial independence is important in the UK because there is a separation between the executive and the legislature and they do not take over each other. </w:t>
      </w:r>
    </w:p>
    <w:p w:rsidR="00973A17" w:rsidRDefault="003D003C" w:rsidP="00792944">
      <w:pPr>
        <w:spacing w:after="0" w:line="360" w:lineRule="auto"/>
        <w:jc w:val="both"/>
        <w:rPr>
          <w:rFonts w:ascii="Arial" w:hAnsi="Arial" w:cs="Arial"/>
        </w:rPr>
      </w:pPr>
      <w:r>
        <w:rPr>
          <w:rFonts w:ascii="Arial" w:hAnsi="Arial" w:cs="Arial"/>
        </w:rPr>
        <w:tab/>
        <w:t xml:space="preserve">The British constitution allows for judicial independence during trials, for example. This is very important because without this, the extent of their power would be compromised. </w:t>
      </w:r>
      <w:r w:rsidR="00792944">
        <w:rPr>
          <w:rFonts w:ascii="Arial" w:hAnsi="Arial" w:cs="Arial"/>
        </w:rPr>
        <w:t xml:space="preserve">It implies that judges and the court must be allowed to use their powers without the executive and the legislature overriding them. For instance, with the case of </w:t>
      </w:r>
      <w:r w:rsidR="00792944" w:rsidRPr="00792944">
        <w:rPr>
          <w:rFonts w:ascii="Arial" w:hAnsi="Arial" w:cs="Arial"/>
        </w:rPr>
        <w:t xml:space="preserve">Darnley v Croydon Health Services NHS </w:t>
      </w:r>
      <w:r w:rsidR="007A1F54">
        <w:rPr>
          <w:rFonts w:ascii="Arial" w:hAnsi="Arial" w:cs="Arial"/>
        </w:rPr>
        <w:t xml:space="preserve">Trust (Metzer, UK Human Rights Blog, 2018), the judge in charge was not allowed by any means to let the government or parliament influence the trial and vice versa. Thus, if the Prime Minister or the cabinet somehow tried to influence the judge to come to a conclusion and take sides in order to highlight certain evidence, then the trial would have been unfair. Here, the judiciary’s independence was important because they were able to appeal the claimant’s case. The affected individual “suffered a catastrophic </w:t>
      </w:r>
      <w:r w:rsidR="007A1F54" w:rsidRPr="007A1F54">
        <w:rPr>
          <w:rFonts w:ascii="Arial" w:hAnsi="Arial" w:cs="Arial"/>
        </w:rPr>
        <w:t xml:space="preserve">catastrophic deterioration after leaving A&amp;E without being seen when he had been given incorrect information by the receptionist who told him that </w:t>
      </w:r>
      <w:r w:rsidR="007A1F54">
        <w:rPr>
          <w:rFonts w:ascii="Arial" w:hAnsi="Arial" w:cs="Arial"/>
        </w:rPr>
        <w:t>he would have to wait 4-5 hours” (Metzer, UK Human Rights Blog, 2018).</w:t>
      </w:r>
      <w:r w:rsidR="00973A17">
        <w:rPr>
          <w:rFonts w:ascii="Arial" w:hAnsi="Arial" w:cs="Arial"/>
        </w:rPr>
        <w:t xml:space="preserve"> </w:t>
      </w:r>
    </w:p>
    <w:p w:rsidR="00E242AC" w:rsidRDefault="00973A17" w:rsidP="00792944">
      <w:pPr>
        <w:spacing w:after="0" w:line="360" w:lineRule="auto"/>
        <w:jc w:val="both"/>
        <w:rPr>
          <w:rFonts w:ascii="Arial" w:hAnsi="Arial" w:cs="Arial"/>
        </w:rPr>
      </w:pPr>
      <w:r>
        <w:rPr>
          <w:rFonts w:ascii="Arial" w:hAnsi="Arial" w:cs="Arial"/>
        </w:rPr>
        <w:tab/>
        <w:t>From this we can see the signi</w:t>
      </w:r>
      <w:r w:rsidR="003241D2">
        <w:rPr>
          <w:rFonts w:ascii="Arial" w:hAnsi="Arial" w:cs="Arial"/>
        </w:rPr>
        <w:t xml:space="preserve">ficance of judicial importance, despite the type of case the judiciary is dealing with (civil or criminal). For instance, with another case, </w:t>
      </w:r>
      <w:r w:rsidR="003241D2" w:rsidRPr="003241D2">
        <w:rPr>
          <w:rFonts w:ascii="Arial" w:hAnsi="Arial" w:cs="Arial"/>
        </w:rPr>
        <w:t>Serafin (Res</w:t>
      </w:r>
      <w:r w:rsidR="003241D2">
        <w:rPr>
          <w:rFonts w:ascii="Arial" w:hAnsi="Arial" w:cs="Arial"/>
        </w:rPr>
        <w:t>pondent) v Malkiewicz (2020, The Supreme Court), the individuals involved before the court such as Mr Serafin, had to make sure that the justices such as Lord Reed and</w:t>
      </w:r>
      <w:r w:rsidR="003241D2" w:rsidRPr="003241D2">
        <w:rPr>
          <w:rFonts w:ascii="Arial" w:hAnsi="Arial" w:cs="Arial"/>
        </w:rPr>
        <w:t xml:space="preserve"> Lord Wilson</w:t>
      </w:r>
      <w:r w:rsidR="003241D2">
        <w:rPr>
          <w:rFonts w:ascii="Arial" w:hAnsi="Arial" w:cs="Arial"/>
        </w:rPr>
        <w:t xml:space="preserve"> were not influenced by any party members in the House of Commons or the cabinet members. This truly allows for a separation of powers between the judiciary and the other branches. Moreover, it is also important to point out that the judges and justices must not be influenced by their personal biases or interests.</w:t>
      </w:r>
      <w:r w:rsidR="00E242AC">
        <w:rPr>
          <w:rFonts w:ascii="Arial" w:hAnsi="Arial" w:cs="Arial"/>
        </w:rPr>
        <w:t xml:space="preserve"> Therefore, the constitution allows for judicial independence between the judiciary and other branches as judges are not allowed to let their interests or other branches over take their work. </w:t>
      </w:r>
    </w:p>
    <w:p w:rsidR="00973A17" w:rsidRDefault="00E242AC" w:rsidP="00792944">
      <w:pPr>
        <w:spacing w:after="0" w:line="360" w:lineRule="auto"/>
        <w:jc w:val="both"/>
        <w:rPr>
          <w:rFonts w:ascii="Arial" w:hAnsi="Arial" w:cs="Arial"/>
        </w:rPr>
      </w:pPr>
      <w:r>
        <w:rPr>
          <w:rFonts w:ascii="Arial" w:hAnsi="Arial" w:cs="Arial"/>
        </w:rPr>
        <w:tab/>
      </w: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973A17" w:rsidRDefault="00973A17" w:rsidP="00792944">
      <w:pPr>
        <w:spacing w:after="0" w:line="360" w:lineRule="auto"/>
        <w:jc w:val="both"/>
        <w:rPr>
          <w:rFonts w:ascii="Arial" w:hAnsi="Arial" w:cs="Arial"/>
        </w:rPr>
      </w:pPr>
    </w:p>
    <w:p w:rsidR="00703A11" w:rsidRPr="003D003C" w:rsidRDefault="00703A11">
      <w:pPr>
        <w:rPr>
          <w:rFonts w:ascii="Arial" w:hAnsi="Arial" w:cs="Arial"/>
          <w:color w:val="000000"/>
          <w:sz w:val="24"/>
          <w:szCs w:val="30"/>
          <w:shd w:val="clear" w:color="auto" w:fill="FFFFFF"/>
        </w:rPr>
      </w:pPr>
    </w:p>
    <w:p w:rsidR="00703A11" w:rsidRPr="003D003C" w:rsidRDefault="00703A11">
      <w:pPr>
        <w:rPr>
          <w:rFonts w:ascii="Arial" w:hAnsi="Arial" w:cs="Arial"/>
          <w:color w:val="000000"/>
          <w:sz w:val="24"/>
          <w:szCs w:val="30"/>
          <w:shd w:val="clear" w:color="auto" w:fill="FFFFFF"/>
        </w:rPr>
      </w:pPr>
    </w:p>
    <w:p w:rsidR="00703A11" w:rsidRDefault="00703A11">
      <w:pPr>
        <w:rPr>
          <w:rFonts w:ascii="Arial" w:hAnsi="Arial" w:cs="Arial"/>
          <w:color w:val="000000"/>
          <w:sz w:val="30"/>
          <w:szCs w:val="30"/>
          <w:shd w:val="clear" w:color="auto" w:fill="FFFFFF"/>
        </w:rPr>
      </w:pPr>
    </w:p>
    <w:p w:rsidR="00703A11" w:rsidRDefault="00703A11">
      <w:pPr>
        <w:rPr>
          <w:rFonts w:ascii="Arial" w:hAnsi="Arial" w:cs="Arial"/>
          <w:color w:val="000000"/>
          <w:sz w:val="30"/>
          <w:szCs w:val="30"/>
          <w:shd w:val="clear" w:color="auto" w:fill="FFFFFF"/>
        </w:rPr>
      </w:pPr>
    </w:p>
    <w:p w:rsidR="00703A11" w:rsidRDefault="00703A11">
      <w:pPr>
        <w:rPr>
          <w:rFonts w:ascii="Arial" w:hAnsi="Arial" w:cs="Arial"/>
          <w:color w:val="000000"/>
          <w:sz w:val="30"/>
          <w:szCs w:val="30"/>
          <w:shd w:val="clear" w:color="auto" w:fill="FFFFFF"/>
        </w:rPr>
      </w:pPr>
    </w:p>
    <w:p w:rsidR="00703A11" w:rsidRDefault="00703A11">
      <w:pPr>
        <w:rPr>
          <w:rFonts w:ascii="Arial" w:hAnsi="Arial" w:cs="Arial"/>
          <w:color w:val="000000"/>
          <w:sz w:val="30"/>
          <w:szCs w:val="30"/>
          <w:shd w:val="clear" w:color="auto" w:fill="FFFFFF"/>
        </w:rPr>
      </w:pPr>
    </w:p>
    <w:p w:rsidR="00703A11" w:rsidRDefault="00703A11">
      <w:pPr>
        <w:rPr>
          <w:rFonts w:ascii="Arial" w:hAnsi="Arial" w:cs="Arial"/>
          <w:color w:val="000000"/>
          <w:sz w:val="30"/>
          <w:szCs w:val="30"/>
          <w:shd w:val="clear" w:color="auto" w:fill="FFFFFF"/>
        </w:rPr>
      </w:pPr>
    </w:p>
    <w:p w:rsidR="00703A11" w:rsidRPr="00703A11" w:rsidRDefault="00703A11">
      <w:pPr>
        <w:rPr>
          <w:rFonts w:ascii="Arial" w:hAnsi="Arial" w:cs="Arial"/>
          <w:b/>
          <w:color w:val="000000"/>
          <w:szCs w:val="30"/>
          <w:shd w:val="clear" w:color="auto" w:fill="FFFFFF"/>
        </w:rPr>
      </w:pPr>
      <w:r w:rsidRPr="00703A11">
        <w:rPr>
          <w:rFonts w:ascii="Arial" w:hAnsi="Arial" w:cs="Arial"/>
          <w:b/>
          <w:color w:val="000000"/>
          <w:szCs w:val="30"/>
          <w:shd w:val="clear" w:color="auto" w:fill="FFFFFF"/>
        </w:rPr>
        <w:lastRenderedPageBreak/>
        <w:t>Bibliography</w:t>
      </w:r>
    </w:p>
    <w:p w:rsidR="00703A11" w:rsidRDefault="00C02E60">
      <w:pPr>
        <w:rPr>
          <w:rFonts w:ascii="Arial" w:hAnsi="Arial" w:cs="Arial"/>
          <w:color w:val="000000"/>
          <w:szCs w:val="30"/>
          <w:shd w:val="clear" w:color="auto" w:fill="FFFFFF"/>
        </w:rPr>
      </w:pPr>
      <w:hyperlink r:id="rId6" w:history="1">
        <w:r w:rsidR="00703A11" w:rsidRPr="00703A11">
          <w:rPr>
            <w:rStyle w:val="Hyperlink"/>
            <w:rFonts w:ascii="Arial" w:hAnsi="Arial" w:cs="Arial"/>
            <w:szCs w:val="30"/>
            <w:shd w:val="clear" w:color="auto" w:fill="FFFFFF"/>
          </w:rPr>
          <w:t>https://www.britannica.com/topic/rule-of-law</w:t>
        </w:r>
      </w:hyperlink>
      <w:r w:rsidR="00703A11" w:rsidRPr="00703A11">
        <w:rPr>
          <w:rFonts w:ascii="Arial" w:hAnsi="Arial" w:cs="Arial"/>
          <w:color w:val="000000"/>
          <w:szCs w:val="30"/>
          <w:shd w:val="clear" w:color="auto" w:fill="FFFFFF"/>
        </w:rPr>
        <w:t xml:space="preserve"> </w:t>
      </w:r>
    </w:p>
    <w:p w:rsidR="007A1F54" w:rsidRDefault="003241D2">
      <w:pPr>
        <w:rPr>
          <w:rFonts w:ascii="Arial" w:hAnsi="Arial" w:cs="Arial"/>
          <w:color w:val="000000"/>
          <w:szCs w:val="30"/>
          <w:shd w:val="clear" w:color="auto" w:fill="FFFFFF"/>
        </w:rPr>
      </w:pPr>
      <w:r w:rsidRPr="003241D2">
        <w:rPr>
          <w:rFonts w:ascii="Arial" w:hAnsi="Arial" w:cs="Arial"/>
          <w:color w:val="000000"/>
          <w:szCs w:val="30"/>
          <w:shd w:val="clear" w:color="auto" w:fill="FFFFFF"/>
        </w:rPr>
        <w:t>https://www.supremecourt.uk/cases/uksc-2019-0156.html</w:t>
      </w:r>
    </w:p>
    <w:p w:rsidR="007A1F54" w:rsidRDefault="00F14474">
      <w:pPr>
        <w:rPr>
          <w:rFonts w:ascii="Arial" w:hAnsi="Arial" w:cs="Arial"/>
          <w:color w:val="000000"/>
          <w:szCs w:val="30"/>
          <w:shd w:val="clear" w:color="auto" w:fill="FFFFFF"/>
        </w:rPr>
      </w:pPr>
      <w:hyperlink r:id="rId7" w:history="1">
        <w:r w:rsidRPr="00D9519E">
          <w:rPr>
            <w:rStyle w:val="Hyperlink"/>
            <w:rFonts w:ascii="Arial" w:hAnsi="Arial" w:cs="Arial"/>
            <w:szCs w:val="30"/>
            <w:shd w:val="clear" w:color="auto" w:fill="FFFFFF"/>
          </w:rPr>
          <w:t>https://ukhumanrightsblog.com/2018/12/20/10-cases-that-defined-2018/</w:t>
        </w:r>
      </w:hyperlink>
    </w:p>
    <w:p w:rsidR="00F14474" w:rsidRDefault="00F14474">
      <w:pPr>
        <w:rPr>
          <w:rFonts w:ascii="Arial" w:hAnsi="Arial" w:cs="Arial"/>
          <w:color w:val="000000"/>
          <w:szCs w:val="30"/>
          <w:shd w:val="clear" w:color="auto" w:fill="FFFFFF"/>
        </w:rPr>
      </w:pPr>
      <w:hyperlink r:id="rId8" w:history="1">
        <w:r w:rsidRPr="00D9519E">
          <w:rPr>
            <w:rStyle w:val="Hyperlink"/>
            <w:rFonts w:ascii="Arial" w:hAnsi="Arial" w:cs="Arial"/>
            <w:szCs w:val="30"/>
            <w:shd w:val="clear" w:color="auto" w:fill="FFFFFF"/>
          </w:rPr>
          <w:t>https://www.judiciary.uk/about-the-judiciary/the-judiciary-the-government-and-the-constitution/jud-acc-ind/independence/</w:t>
        </w:r>
      </w:hyperlink>
    </w:p>
    <w:p w:rsidR="00F14474" w:rsidRPr="00703A11" w:rsidRDefault="00F14474">
      <w:pPr>
        <w:rPr>
          <w:rFonts w:ascii="Arial" w:hAnsi="Arial" w:cs="Arial"/>
          <w:color w:val="000000"/>
          <w:szCs w:val="30"/>
          <w:shd w:val="clear" w:color="auto" w:fill="FFFFFF"/>
        </w:rPr>
      </w:pPr>
    </w:p>
    <w:sectPr w:rsidR="00F14474" w:rsidRPr="00703A11" w:rsidSect="005E07B0">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2236" w:rsidRDefault="007B2236" w:rsidP="00893BB5">
      <w:pPr>
        <w:spacing w:after="0" w:line="240" w:lineRule="auto"/>
      </w:pPr>
      <w:r>
        <w:separator/>
      </w:r>
    </w:p>
  </w:endnote>
  <w:endnote w:type="continuationSeparator" w:id="1">
    <w:p w:rsidR="007B2236" w:rsidRDefault="007B2236" w:rsidP="00893BB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69983454"/>
      <w:docPartObj>
        <w:docPartGallery w:val="Page Numbers (Bottom of Page)"/>
        <w:docPartUnique/>
      </w:docPartObj>
    </w:sdtPr>
    <w:sdtEndPr>
      <w:rPr>
        <w:rFonts w:ascii="Arial" w:hAnsi="Arial" w:cs="Arial"/>
      </w:rPr>
    </w:sdtEndPr>
    <w:sdtContent>
      <w:p w:rsidR="00973A17" w:rsidRPr="00893BB5" w:rsidRDefault="00973A17">
        <w:pPr>
          <w:pStyle w:val="Footer"/>
          <w:jc w:val="right"/>
          <w:rPr>
            <w:rFonts w:ascii="Arial" w:hAnsi="Arial" w:cs="Arial"/>
          </w:rPr>
        </w:pPr>
        <w:r w:rsidRPr="00893BB5">
          <w:rPr>
            <w:rFonts w:ascii="Arial" w:hAnsi="Arial" w:cs="Arial"/>
          </w:rPr>
          <w:fldChar w:fldCharType="begin"/>
        </w:r>
        <w:r w:rsidRPr="00893BB5">
          <w:rPr>
            <w:rFonts w:ascii="Arial" w:hAnsi="Arial" w:cs="Arial"/>
          </w:rPr>
          <w:instrText xml:space="preserve"> PAGE   \* MERGEFORMAT </w:instrText>
        </w:r>
        <w:r w:rsidRPr="00893BB5">
          <w:rPr>
            <w:rFonts w:ascii="Arial" w:hAnsi="Arial" w:cs="Arial"/>
          </w:rPr>
          <w:fldChar w:fldCharType="separate"/>
        </w:r>
        <w:r w:rsidR="00F14474">
          <w:rPr>
            <w:rFonts w:ascii="Arial" w:hAnsi="Arial" w:cs="Arial"/>
            <w:noProof/>
          </w:rPr>
          <w:t>2</w:t>
        </w:r>
        <w:r w:rsidRPr="00893BB5">
          <w:rPr>
            <w:rFonts w:ascii="Arial" w:hAnsi="Arial" w:cs="Arial"/>
          </w:rPr>
          <w:fldChar w:fldCharType="end"/>
        </w:r>
      </w:p>
    </w:sdtContent>
  </w:sdt>
  <w:p w:rsidR="00973A17" w:rsidRDefault="00973A1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2236" w:rsidRDefault="007B2236" w:rsidP="00893BB5">
      <w:pPr>
        <w:spacing w:after="0" w:line="240" w:lineRule="auto"/>
      </w:pPr>
      <w:r>
        <w:separator/>
      </w:r>
    </w:p>
  </w:footnote>
  <w:footnote w:type="continuationSeparator" w:id="1">
    <w:p w:rsidR="007B2236" w:rsidRDefault="007B2236" w:rsidP="00893BB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3A17" w:rsidRPr="00893BB5" w:rsidRDefault="00973A17" w:rsidP="00893BB5">
    <w:pPr>
      <w:pStyle w:val="Header"/>
      <w:jc w:val="right"/>
      <w:rPr>
        <w:rFonts w:ascii="Arial" w:hAnsi="Arial" w:cs="Arial"/>
      </w:rPr>
    </w:pPr>
    <w:r w:rsidRPr="00893BB5">
      <w:rPr>
        <w:rFonts w:ascii="Arial" w:hAnsi="Arial" w:cs="Arial"/>
      </w:rPr>
      <w:t>Mohammad Ali 2015805</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hdrShapeDefaults>
    <o:shapedefaults v:ext="edit" spidmax="9218"/>
  </w:hdrShapeDefaults>
  <w:footnotePr>
    <w:footnote w:id="0"/>
    <w:footnote w:id="1"/>
  </w:footnotePr>
  <w:endnotePr>
    <w:endnote w:id="0"/>
    <w:endnote w:id="1"/>
  </w:endnotePr>
  <w:compat>
    <w:useFELayout/>
  </w:compat>
  <w:rsids>
    <w:rsidRoot w:val="00893BB5"/>
    <w:rsid w:val="000D160F"/>
    <w:rsid w:val="00192B40"/>
    <w:rsid w:val="003241D2"/>
    <w:rsid w:val="003D003C"/>
    <w:rsid w:val="00485766"/>
    <w:rsid w:val="004F5BC9"/>
    <w:rsid w:val="005E07B0"/>
    <w:rsid w:val="00631536"/>
    <w:rsid w:val="00703A11"/>
    <w:rsid w:val="00792944"/>
    <w:rsid w:val="007A1F54"/>
    <w:rsid w:val="007B2236"/>
    <w:rsid w:val="00893BB5"/>
    <w:rsid w:val="0090683E"/>
    <w:rsid w:val="00973A17"/>
    <w:rsid w:val="00AE7BF0"/>
    <w:rsid w:val="00C02E60"/>
    <w:rsid w:val="00E242AC"/>
    <w:rsid w:val="00F1447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7B0"/>
  </w:style>
  <w:style w:type="paragraph" w:styleId="Heading2">
    <w:name w:val="heading 2"/>
    <w:basedOn w:val="Normal"/>
    <w:next w:val="Normal"/>
    <w:link w:val="Heading2Char"/>
    <w:qFormat/>
    <w:rsid w:val="00893BB5"/>
    <w:pPr>
      <w:keepNext/>
      <w:spacing w:after="0" w:line="240" w:lineRule="auto"/>
      <w:jc w:val="both"/>
      <w:outlineLvl w:val="1"/>
    </w:pPr>
    <w:rPr>
      <w:rFonts w:ascii="Times New Roman" w:eastAsia="Times New Roman" w:hAnsi="Times New Roman" w:cs="Times New Roman"/>
      <w:b/>
      <w:sz w:val="24"/>
      <w:szCs w:val="20"/>
    </w:rPr>
  </w:style>
  <w:style w:type="paragraph" w:styleId="Heading4">
    <w:name w:val="heading 4"/>
    <w:basedOn w:val="Normal"/>
    <w:next w:val="Normal"/>
    <w:link w:val="Heading4Char"/>
    <w:qFormat/>
    <w:rsid w:val="00893BB5"/>
    <w:pPr>
      <w:keepNext/>
      <w:spacing w:before="120" w:after="120" w:line="240" w:lineRule="auto"/>
      <w:jc w:val="center"/>
      <w:outlineLvl w:val="3"/>
    </w:pPr>
    <w:rPr>
      <w:rFonts w:ascii="Times New Roman" w:eastAsia="Times New Roman" w:hAnsi="Times New Roman" w:cs="Times New Roman"/>
      <w:sz w:val="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93BB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93BB5"/>
  </w:style>
  <w:style w:type="paragraph" w:styleId="Footer">
    <w:name w:val="footer"/>
    <w:basedOn w:val="Normal"/>
    <w:link w:val="FooterChar"/>
    <w:uiPriority w:val="99"/>
    <w:unhideWhenUsed/>
    <w:rsid w:val="00893B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3BB5"/>
  </w:style>
  <w:style w:type="character" w:customStyle="1" w:styleId="Heading2Char">
    <w:name w:val="Heading 2 Char"/>
    <w:basedOn w:val="DefaultParagraphFont"/>
    <w:link w:val="Heading2"/>
    <w:rsid w:val="00893BB5"/>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893BB5"/>
    <w:rPr>
      <w:rFonts w:ascii="Times New Roman" w:eastAsia="Times New Roman" w:hAnsi="Times New Roman" w:cs="Times New Roman"/>
      <w:sz w:val="40"/>
      <w:szCs w:val="20"/>
    </w:rPr>
  </w:style>
  <w:style w:type="character" w:styleId="Hyperlink">
    <w:name w:val="Hyperlink"/>
    <w:basedOn w:val="DefaultParagraphFont"/>
    <w:uiPriority w:val="99"/>
    <w:unhideWhenUsed/>
    <w:rsid w:val="00703A11"/>
    <w:rPr>
      <w:color w:val="0000FF" w:themeColor="hyperlink"/>
      <w:u w:val="single"/>
    </w:rPr>
  </w:style>
  <w:style w:type="paragraph" w:styleId="NormalWeb">
    <w:name w:val="Normal (Web)"/>
    <w:basedOn w:val="Normal"/>
    <w:uiPriority w:val="99"/>
    <w:unhideWhenUsed/>
    <w:rsid w:val="0079294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92944"/>
    <w:rPr>
      <w:b/>
      <w:bCs/>
    </w:rPr>
  </w:style>
</w:styles>
</file>

<file path=word/webSettings.xml><?xml version="1.0" encoding="utf-8"?>
<w:webSettings xmlns:r="http://schemas.openxmlformats.org/officeDocument/2006/relationships" xmlns:w="http://schemas.openxmlformats.org/wordprocessingml/2006/main">
  <w:divs>
    <w:div w:id="1019310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judiciary.uk/about-the-judiciary/the-judiciary-the-government-and-the-constitution/jud-acc-ind/independence/" TargetMode="External"/><Relationship Id="rId3" Type="http://schemas.openxmlformats.org/officeDocument/2006/relationships/webSettings" Target="webSettings.xml"/><Relationship Id="rId7" Type="http://schemas.openxmlformats.org/officeDocument/2006/relationships/hyperlink" Target="https://ukhumanrightsblog.com/2018/12/20/10-cases-that-defined-2018/"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ritannica.com/topic/rule-of-law"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4</Pages>
  <Words>725</Words>
  <Characters>4135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7</cp:revision>
  <dcterms:created xsi:type="dcterms:W3CDTF">2020-10-25T16:30:00Z</dcterms:created>
  <dcterms:modified xsi:type="dcterms:W3CDTF">2020-10-26T18:27:00Z</dcterms:modified>
</cp:coreProperties>
</file>