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91450394"/>
        <w:docPartObj>
          <w:docPartGallery w:val="Cover Pages"/>
          <w:docPartUnique/>
        </w:docPartObj>
      </w:sdtPr>
      <w:sdtEndPr/>
      <w:sdtContent>
        <w:p w14:paraId="038B9D37" w14:textId="39466430" w:rsidR="00632CC0" w:rsidRPr="00862EC9" w:rsidRDefault="00632CC0" w:rsidP="00862EC9">
          <w:pPr>
            <w:pStyle w:val="NoSpacing"/>
            <w:spacing w:line="360" w:lineRule="auto"/>
          </w:pPr>
          <w:r w:rsidRPr="00862EC9">
            <w:rPr>
              <w:noProof/>
            </w:rPr>
            <mc:AlternateContent>
              <mc:Choice Requires="wpg">
                <w:drawing>
                  <wp:anchor distT="0" distB="0" distL="114300" distR="114300" simplePos="0" relativeHeight="251659264" behindDoc="1" locked="0" layoutInCell="1" allowOverlap="1" wp14:anchorId="1E1B01F4" wp14:editId="0D269F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EndPr/>
                                  <w:sdtContent>
                                    <w:p w14:paraId="2325C813" w14:textId="64E929F8" w:rsidR="00632CC0" w:rsidRDefault="00B97D66">
                                      <w:pPr>
                                        <w:pStyle w:val="NoSpacing"/>
                                        <w:jc w:val="right"/>
                                        <w:rPr>
                                          <w:color w:val="FFFFFF" w:themeColor="background1"/>
                                          <w:sz w:val="28"/>
                                          <w:szCs w:val="28"/>
                                        </w:rPr>
                                      </w:pPr>
                                      <w:r>
                                        <w:rPr>
                                          <w:color w:val="FFFFFF" w:themeColor="background1"/>
                                          <w:sz w:val="28"/>
                                          <w:szCs w:val="28"/>
                                          <w:lang w:val="en-US"/>
                                        </w:rPr>
                                        <w:t>11/20/2025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E1B01F4"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0T00:00:00Z">
                                <w:dateFormat w:val="M/d/yyyy"/>
                                <w:lid w:val="en-US"/>
                                <w:storeMappedDataAs w:val="dateTime"/>
                                <w:calendar w:val="gregorian"/>
                              </w:date>
                            </w:sdtPr>
                            <w:sdtEndPr/>
                            <w:sdtContent>
                              <w:p w14:paraId="2325C813" w14:textId="64E929F8" w:rsidR="00632CC0" w:rsidRDefault="00B97D66">
                                <w:pPr>
                                  <w:pStyle w:val="NoSpacing"/>
                                  <w:jc w:val="right"/>
                                  <w:rPr>
                                    <w:color w:val="FFFFFF" w:themeColor="background1"/>
                                    <w:sz w:val="28"/>
                                    <w:szCs w:val="28"/>
                                  </w:rPr>
                                </w:pPr>
                                <w:r>
                                  <w:rPr>
                                    <w:color w:val="FFFFFF" w:themeColor="background1"/>
                                    <w:sz w:val="28"/>
                                    <w:szCs w:val="28"/>
                                    <w:lang w:val="en-US"/>
                                  </w:rPr>
                                  <w:t>11/20/2025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862EC9">
            <w:rPr>
              <w:noProof/>
            </w:rPr>
            <mc:AlternateContent>
              <mc:Choice Requires="wps">
                <w:drawing>
                  <wp:anchor distT="0" distB="0" distL="114300" distR="114300" simplePos="0" relativeHeight="251661312" behindDoc="0" locked="0" layoutInCell="1" allowOverlap="1" wp14:anchorId="1DB7F0CE" wp14:editId="349DDC2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79545F" w14:textId="5B67ED8C" w:rsidR="00632CC0" w:rsidRDefault="0008529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2CC0">
                                      <w:rPr>
                                        <w:color w:val="156082" w:themeColor="accent1"/>
                                        <w:sz w:val="26"/>
                                        <w:szCs w:val="26"/>
                                      </w:rPr>
                                      <w:t>William David Davies - 2114617</w:t>
                                    </w:r>
                                  </w:sdtContent>
                                </w:sdt>
                              </w:p>
                              <w:p w14:paraId="78A6A7AF" w14:textId="4DF65324" w:rsidR="00632CC0" w:rsidRDefault="0008529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32CC0">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DB7F0C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B79545F" w14:textId="5B67ED8C" w:rsidR="00632CC0" w:rsidRDefault="00085299">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2CC0">
                                <w:rPr>
                                  <w:color w:val="156082" w:themeColor="accent1"/>
                                  <w:sz w:val="26"/>
                                  <w:szCs w:val="26"/>
                                </w:rPr>
                                <w:t>William David Davies - 2114617</w:t>
                              </w:r>
                            </w:sdtContent>
                          </w:sdt>
                        </w:p>
                        <w:p w14:paraId="78A6A7AF" w14:textId="4DF65324" w:rsidR="00632CC0" w:rsidRDefault="0008529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32CC0">
                                <w:rPr>
                                  <w:caps/>
                                  <w:color w:val="595959" w:themeColor="text1" w:themeTint="A6"/>
                                  <w:sz w:val="20"/>
                                  <w:szCs w:val="20"/>
                                </w:rPr>
                                <w:t>University Of Wales Trinity Saint David</w:t>
                              </w:r>
                            </w:sdtContent>
                          </w:sdt>
                        </w:p>
                      </w:txbxContent>
                    </v:textbox>
                    <w10:wrap anchorx="page" anchory="page"/>
                  </v:shape>
                </w:pict>
              </mc:Fallback>
            </mc:AlternateContent>
          </w:r>
          <w:r w:rsidRPr="00862EC9">
            <w:rPr>
              <w:noProof/>
            </w:rPr>
            <mc:AlternateContent>
              <mc:Choice Requires="wps">
                <w:drawing>
                  <wp:anchor distT="0" distB="0" distL="114300" distR="114300" simplePos="0" relativeHeight="251660288" behindDoc="0" locked="0" layoutInCell="1" allowOverlap="1" wp14:anchorId="2713FC1E" wp14:editId="44BBE1F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BE96C" w14:textId="7BB8406E" w:rsidR="00632CC0" w:rsidRPr="009F682B" w:rsidRDefault="00085299">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A339E">
                                      <w:rPr>
                                        <w:rFonts w:asciiTheme="majorHAnsi" w:eastAsiaTheme="majorEastAsia" w:hAnsiTheme="majorHAnsi" w:cstheme="majorBidi"/>
                                        <w:sz w:val="72"/>
                                        <w:szCs w:val="72"/>
                                      </w:rPr>
                                      <w:t xml:space="preserve">Procurement </w:t>
                                    </w:r>
                                    <w:r w:rsidR="00467D78">
                                      <w:rPr>
                                        <w:rFonts w:asciiTheme="majorHAnsi" w:eastAsiaTheme="majorEastAsia" w:hAnsiTheme="majorHAnsi" w:cstheme="majorBidi"/>
                                        <w:sz w:val="72"/>
                                        <w:szCs w:val="72"/>
                                      </w:rPr>
                                      <w:t xml:space="preserve">and Supply Chain Management </w:t>
                                    </w:r>
                                  </w:sdtContent>
                                </w:sdt>
                              </w:p>
                              <w:p w14:paraId="28B6B006" w14:textId="7F1257DA" w:rsidR="00632CC0" w:rsidRPr="009F682B" w:rsidRDefault="00085299">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32CC0" w:rsidRPr="009F682B">
                                      <w:rPr>
                                        <w:sz w:val="36"/>
                                        <w:szCs w:val="36"/>
                                      </w:rPr>
                                      <w:t xml:space="preserve">Module: L7 – </w:t>
                                    </w:r>
                                    <w:r w:rsidR="00D01099">
                                      <w:rPr>
                                        <w:sz w:val="36"/>
                                        <w:szCs w:val="36"/>
                                      </w:rPr>
                                      <w:t>Improving Supply Chain Performance</w:t>
                                    </w:r>
                                    <w:r w:rsidR="009F682B" w:rsidRPr="009F682B">
                                      <w:rPr>
                                        <w:sz w:val="36"/>
                                        <w:szCs w:val="36"/>
                                      </w:rPr>
                                      <w:t xml:space="preserve"> </w:t>
                                    </w:r>
                                    <w:r w:rsidR="00632CC0" w:rsidRPr="009F682B">
                                      <w:rPr>
                                        <w:sz w:val="36"/>
                                        <w:szCs w:val="36"/>
                                      </w:rPr>
                                      <w:t>(AC</w:t>
                                    </w:r>
                                    <w:r w:rsidR="00F116A7" w:rsidRPr="009F682B">
                                      <w:rPr>
                                        <w:sz w:val="36"/>
                                        <w:szCs w:val="36"/>
                                      </w:rPr>
                                      <w:t>E</w:t>
                                    </w:r>
                                    <w:r w:rsidR="00632CC0" w:rsidRPr="009F682B">
                                      <w:rPr>
                                        <w:sz w:val="36"/>
                                        <w:szCs w:val="36"/>
                                      </w:rPr>
                                      <w:t>A 70</w:t>
                                    </w:r>
                                    <w:r w:rsidR="00D01099">
                                      <w:rPr>
                                        <w:sz w:val="36"/>
                                        <w:szCs w:val="36"/>
                                      </w:rPr>
                                      <w:t>24</w:t>
                                    </w:r>
                                    <w:r w:rsidR="00632CC0" w:rsidRPr="009F682B">
                                      <w:rPr>
                                        <w:sz w:val="36"/>
                                        <w:szCs w:val="36"/>
                                      </w:rPr>
                                      <w: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713FC1E"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7BE96C" w14:textId="7BB8406E" w:rsidR="00632CC0" w:rsidRPr="009F682B" w:rsidRDefault="00085299">
                          <w:pPr>
                            <w:pStyle w:val="NoSpacing"/>
                            <w:rPr>
                              <w:rFonts w:asciiTheme="majorHAnsi" w:eastAsiaTheme="majorEastAsia" w:hAnsiTheme="majorHAnsi" w:cstheme="majorBidi"/>
                              <w:sz w:val="72"/>
                            </w:rPr>
                          </w:pPr>
                          <w:sdt>
                            <w:sdtPr>
                              <w:rPr>
                                <w:rFonts w:asciiTheme="majorHAnsi" w:eastAsiaTheme="majorEastAsia" w:hAnsiTheme="majorHAnsi" w:cstheme="majorBidi"/>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A339E">
                                <w:rPr>
                                  <w:rFonts w:asciiTheme="majorHAnsi" w:eastAsiaTheme="majorEastAsia" w:hAnsiTheme="majorHAnsi" w:cstheme="majorBidi"/>
                                  <w:sz w:val="72"/>
                                  <w:szCs w:val="72"/>
                                </w:rPr>
                                <w:t xml:space="preserve">Procurement </w:t>
                              </w:r>
                              <w:r w:rsidR="00467D78">
                                <w:rPr>
                                  <w:rFonts w:asciiTheme="majorHAnsi" w:eastAsiaTheme="majorEastAsia" w:hAnsiTheme="majorHAnsi" w:cstheme="majorBidi"/>
                                  <w:sz w:val="72"/>
                                  <w:szCs w:val="72"/>
                                </w:rPr>
                                <w:t xml:space="preserve">and Supply Chain Management </w:t>
                              </w:r>
                            </w:sdtContent>
                          </w:sdt>
                        </w:p>
                        <w:p w14:paraId="28B6B006" w14:textId="7F1257DA" w:rsidR="00632CC0" w:rsidRPr="009F682B" w:rsidRDefault="00085299">
                          <w:pPr>
                            <w:spacing w:before="120"/>
                            <w:rPr>
                              <w:sz w:val="36"/>
                              <w:szCs w:val="36"/>
                            </w:rPr>
                          </w:pPr>
                          <w:sdt>
                            <w:sdtPr>
                              <w:rPr>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32CC0" w:rsidRPr="009F682B">
                                <w:rPr>
                                  <w:sz w:val="36"/>
                                  <w:szCs w:val="36"/>
                                </w:rPr>
                                <w:t xml:space="preserve">Module: L7 – </w:t>
                              </w:r>
                              <w:r w:rsidR="00D01099">
                                <w:rPr>
                                  <w:sz w:val="36"/>
                                  <w:szCs w:val="36"/>
                                </w:rPr>
                                <w:t>Improving Supply Chain Performance</w:t>
                              </w:r>
                              <w:r w:rsidR="009F682B" w:rsidRPr="009F682B">
                                <w:rPr>
                                  <w:sz w:val="36"/>
                                  <w:szCs w:val="36"/>
                                </w:rPr>
                                <w:t xml:space="preserve"> </w:t>
                              </w:r>
                              <w:r w:rsidR="00632CC0" w:rsidRPr="009F682B">
                                <w:rPr>
                                  <w:sz w:val="36"/>
                                  <w:szCs w:val="36"/>
                                </w:rPr>
                                <w:t>(AC</w:t>
                              </w:r>
                              <w:r w:rsidR="00F116A7" w:rsidRPr="009F682B">
                                <w:rPr>
                                  <w:sz w:val="36"/>
                                  <w:szCs w:val="36"/>
                                </w:rPr>
                                <w:t>E</w:t>
                              </w:r>
                              <w:r w:rsidR="00632CC0" w:rsidRPr="009F682B">
                                <w:rPr>
                                  <w:sz w:val="36"/>
                                  <w:szCs w:val="36"/>
                                </w:rPr>
                                <w:t>A 70</w:t>
                              </w:r>
                              <w:r w:rsidR="00D01099">
                                <w:rPr>
                                  <w:sz w:val="36"/>
                                  <w:szCs w:val="36"/>
                                </w:rPr>
                                <w:t>24</w:t>
                              </w:r>
                              <w:r w:rsidR="00632CC0" w:rsidRPr="009F682B">
                                <w:rPr>
                                  <w:sz w:val="36"/>
                                  <w:szCs w:val="36"/>
                                </w:rPr>
                                <w:t>)</w:t>
                              </w:r>
                            </w:sdtContent>
                          </w:sdt>
                        </w:p>
                      </w:txbxContent>
                    </v:textbox>
                    <w10:wrap anchorx="page" anchory="page"/>
                  </v:shape>
                </w:pict>
              </mc:Fallback>
            </mc:AlternateContent>
          </w:r>
        </w:p>
        <w:p w14:paraId="7DE8139A" w14:textId="77C0C4AF" w:rsidR="00632CC0" w:rsidRPr="00862EC9" w:rsidRDefault="00632CC0" w:rsidP="00862EC9">
          <w:pPr>
            <w:spacing w:line="360" w:lineRule="auto"/>
          </w:pPr>
          <w:r w:rsidRPr="00862EC9">
            <w:br w:type="page"/>
          </w:r>
        </w:p>
      </w:sdtContent>
    </w:sdt>
    <w:sdt>
      <w:sdtPr>
        <w:rPr>
          <w:rFonts w:eastAsiaTheme="minorHAnsi"/>
          <w:color w:val="auto"/>
          <w:sz w:val="22"/>
          <w:szCs w:val="22"/>
        </w:rPr>
        <w:id w:val="-310873656"/>
        <w:docPartObj>
          <w:docPartGallery w:val="Table of Contents"/>
          <w:docPartUnique/>
        </w:docPartObj>
      </w:sdtPr>
      <w:sdtEndPr>
        <w:rPr>
          <w:b/>
          <w:bCs/>
          <w:noProof/>
        </w:rPr>
      </w:sdtEndPr>
      <w:sdtContent>
        <w:p w14:paraId="7892777C" w14:textId="5C3BA1D6" w:rsidR="00632CC0" w:rsidRPr="00862EC9" w:rsidRDefault="00632CC0" w:rsidP="00862EC9">
          <w:pPr>
            <w:pStyle w:val="TOCHeading"/>
            <w:spacing w:line="360" w:lineRule="auto"/>
            <w:rPr>
              <w:sz w:val="22"/>
              <w:szCs w:val="22"/>
            </w:rPr>
          </w:pPr>
          <w:r w:rsidRPr="00862EC9">
            <w:rPr>
              <w:sz w:val="22"/>
              <w:szCs w:val="22"/>
            </w:rPr>
            <w:t>Contents</w:t>
          </w:r>
        </w:p>
        <w:p w14:paraId="2D851B68" w14:textId="609B0F52" w:rsidR="00085299" w:rsidRDefault="00632CC0">
          <w:pPr>
            <w:pStyle w:val="TOC1"/>
            <w:tabs>
              <w:tab w:val="left" w:pos="660"/>
              <w:tab w:val="right" w:leader="dot" w:pos="9016"/>
            </w:tabs>
            <w:rPr>
              <w:rFonts w:asciiTheme="minorHAnsi" w:eastAsiaTheme="minorEastAsia" w:hAnsiTheme="minorHAnsi" w:cstheme="minorBidi"/>
              <w:noProof/>
              <w:sz w:val="24"/>
              <w:szCs w:val="24"/>
              <w:lang w:eastAsia="en-GB"/>
            </w:rPr>
          </w:pPr>
          <w:r w:rsidRPr="00862EC9">
            <w:fldChar w:fldCharType="begin"/>
          </w:r>
          <w:r w:rsidRPr="00862EC9">
            <w:instrText xml:space="preserve"> TOC \o "1-3" \h \z \u </w:instrText>
          </w:r>
          <w:r w:rsidRPr="00862EC9">
            <w:fldChar w:fldCharType="separate"/>
          </w:r>
          <w:hyperlink w:anchor="_Toc214571987" w:history="1">
            <w:r w:rsidR="00085299" w:rsidRPr="0060063C">
              <w:rPr>
                <w:rStyle w:val="Hyperlink"/>
                <w:noProof/>
              </w:rPr>
              <w:t>1.0</w:t>
            </w:r>
            <w:r w:rsidR="00085299">
              <w:rPr>
                <w:rFonts w:asciiTheme="minorHAnsi" w:eastAsiaTheme="minorEastAsia" w:hAnsiTheme="minorHAnsi" w:cstheme="minorBidi"/>
                <w:noProof/>
                <w:sz w:val="24"/>
                <w:szCs w:val="24"/>
                <w:lang w:eastAsia="en-GB"/>
              </w:rPr>
              <w:tab/>
            </w:r>
            <w:r w:rsidR="00085299" w:rsidRPr="0060063C">
              <w:rPr>
                <w:rStyle w:val="Hyperlink"/>
                <w:noProof/>
              </w:rPr>
              <w:t>Introduction</w:t>
            </w:r>
            <w:r w:rsidR="00085299">
              <w:rPr>
                <w:noProof/>
                <w:webHidden/>
              </w:rPr>
              <w:tab/>
            </w:r>
            <w:r w:rsidR="00085299">
              <w:rPr>
                <w:noProof/>
                <w:webHidden/>
              </w:rPr>
              <w:fldChar w:fldCharType="begin"/>
            </w:r>
            <w:r w:rsidR="00085299">
              <w:rPr>
                <w:noProof/>
                <w:webHidden/>
              </w:rPr>
              <w:instrText xml:space="preserve"> PAGEREF _Toc214571987 \h </w:instrText>
            </w:r>
            <w:r w:rsidR="00085299">
              <w:rPr>
                <w:noProof/>
                <w:webHidden/>
              </w:rPr>
            </w:r>
            <w:r w:rsidR="00085299">
              <w:rPr>
                <w:noProof/>
                <w:webHidden/>
              </w:rPr>
              <w:fldChar w:fldCharType="separate"/>
            </w:r>
            <w:r w:rsidR="00085299">
              <w:rPr>
                <w:noProof/>
                <w:webHidden/>
              </w:rPr>
              <w:t>2</w:t>
            </w:r>
            <w:r w:rsidR="00085299">
              <w:rPr>
                <w:noProof/>
                <w:webHidden/>
              </w:rPr>
              <w:fldChar w:fldCharType="end"/>
            </w:r>
          </w:hyperlink>
        </w:p>
        <w:p w14:paraId="66794357" w14:textId="34EB3D69"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1988" w:history="1">
            <w:r w:rsidRPr="0060063C">
              <w:rPr>
                <w:rStyle w:val="Hyperlink"/>
                <w:rFonts w:eastAsia="Times New Roman"/>
                <w:noProof/>
              </w:rPr>
              <w:t>1.1 MOVICOL Supply Chain</w:t>
            </w:r>
            <w:r>
              <w:rPr>
                <w:noProof/>
                <w:webHidden/>
              </w:rPr>
              <w:tab/>
            </w:r>
            <w:r>
              <w:rPr>
                <w:noProof/>
                <w:webHidden/>
              </w:rPr>
              <w:fldChar w:fldCharType="begin"/>
            </w:r>
            <w:r>
              <w:rPr>
                <w:noProof/>
                <w:webHidden/>
              </w:rPr>
              <w:instrText xml:space="preserve"> PAGEREF _Toc214571988 \h </w:instrText>
            </w:r>
            <w:r>
              <w:rPr>
                <w:noProof/>
                <w:webHidden/>
              </w:rPr>
            </w:r>
            <w:r>
              <w:rPr>
                <w:noProof/>
                <w:webHidden/>
              </w:rPr>
              <w:fldChar w:fldCharType="separate"/>
            </w:r>
            <w:r>
              <w:rPr>
                <w:noProof/>
                <w:webHidden/>
              </w:rPr>
              <w:t>3</w:t>
            </w:r>
            <w:r>
              <w:rPr>
                <w:noProof/>
                <w:webHidden/>
              </w:rPr>
              <w:fldChar w:fldCharType="end"/>
            </w:r>
          </w:hyperlink>
        </w:p>
        <w:p w14:paraId="55194349" w14:textId="6B0D6225" w:rsidR="00085299" w:rsidRDefault="00085299">
          <w:pPr>
            <w:pStyle w:val="TOC3"/>
            <w:tabs>
              <w:tab w:val="right" w:leader="dot" w:pos="9016"/>
            </w:tabs>
            <w:rPr>
              <w:rFonts w:asciiTheme="minorHAnsi" w:eastAsiaTheme="minorEastAsia" w:hAnsiTheme="minorHAnsi" w:cstheme="minorBidi"/>
              <w:noProof/>
              <w:sz w:val="24"/>
              <w:szCs w:val="24"/>
              <w:lang w:eastAsia="en-GB"/>
            </w:rPr>
          </w:pPr>
          <w:hyperlink w:anchor="_Toc214571989" w:history="1">
            <w:r w:rsidRPr="0060063C">
              <w:rPr>
                <w:rStyle w:val="Hyperlink"/>
                <w:rFonts w:eastAsia="Times New Roman"/>
                <w:noProof/>
              </w:rPr>
              <w:t>1.1.1 Suppliers</w:t>
            </w:r>
            <w:r>
              <w:rPr>
                <w:noProof/>
                <w:webHidden/>
              </w:rPr>
              <w:tab/>
            </w:r>
            <w:r>
              <w:rPr>
                <w:noProof/>
                <w:webHidden/>
              </w:rPr>
              <w:fldChar w:fldCharType="begin"/>
            </w:r>
            <w:r>
              <w:rPr>
                <w:noProof/>
                <w:webHidden/>
              </w:rPr>
              <w:instrText xml:space="preserve"> PAGEREF _Toc214571989 \h </w:instrText>
            </w:r>
            <w:r>
              <w:rPr>
                <w:noProof/>
                <w:webHidden/>
              </w:rPr>
            </w:r>
            <w:r>
              <w:rPr>
                <w:noProof/>
                <w:webHidden/>
              </w:rPr>
              <w:fldChar w:fldCharType="separate"/>
            </w:r>
            <w:r>
              <w:rPr>
                <w:noProof/>
                <w:webHidden/>
              </w:rPr>
              <w:t>3</w:t>
            </w:r>
            <w:r>
              <w:rPr>
                <w:noProof/>
                <w:webHidden/>
              </w:rPr>
              <w:fldChar w:fldCharType="end"/>
            </w:r>
          </w:hyperlink>
        </w:p>
        <w:p w14:paraId="453729D3" w14:textId="3A7A897D" w:rsidR="00085299" w:rsidRDefault="00085299">
          <w:pPr>
            <w:pStyle w:val="TOC3"/>
            <w:tabs>
              <w:tab w:val="right" w:leader="dot" w:pos="9016"/>
            </w:tabs>
            <w:rPr>
              <w:rFonts w:asciiTheme="minorHAnsi" w:eastAsiaTheme="minorEastAsia" w:hAnsiTheme="minorHAnsi" w:cstheme="minorBidi"/>
              <w:noProof/>
              <w:sz w:val="24"/>
              <w:szCs w:val="24"/>
              <w:lang w:eastAsia="en-GB"/>
            </w:rPr>
          </w:pPr>
          <w:hyperlink w:anchor="_Toc214571990" w:history="1">
            <w:r w:rsidRPr="0060063C">
              <w:rPr>
                <w:rStyle w:val="Hyperlink"/>
                <w:rFonts w:eastAsia="Times New Roman"/>
                <w:noProof/>
              </w:rPr>
              <w:t>1.1.2 Manufacturing (EU GMP Facilities)</w:t>
            </w:r>
            <w:r>
              <w:rPr>
                <w:noProof/>
                <w:webHidden/>
              </w:rPr>
              <w:tab/>
            </w:r>
            <w:r>
              <w:rPr>
                <w:noProof/>
                <w:webHidden/>
              </w:rPr>
              <w:fldChar w:fldCharType="begin"/>
            </w:r>
            <w:r>
              <w:rPr>
                <w:noProof/>
                <w:webHidden/>
              </w:rPr>
              <w:instrText xml:space="preserve"> PAGEREF _Toc214571990 \h </w:instrText>
            </w:r>
            <w:r>
              <w:rPr>
                <w:noProof/>
                <w:webHidden/>
              </w:rPr>
            </w:r>
            <w:r>
              <w:rPr>
                <w:noProof/>
                <w:webHidden/>
              </w:rPr>
              <w:fldChar w:fldCharType="separate"/>
            </w:r>
            <w:r>
              <w:rPr>
                <w:noProof/>
                <w:webHidden/>
              </w:rPr>
              <w:t>3</w:t>
            </w:r>
            <w:r>
              <w:rPr>
                <w:noProof/>
                <w:webHidden/>
              </w:rPr>
              <w:fldChar w:fldCharType="end"/>
            </w:r>
          </w:hyperlink>
        </w:p>
        <w:p w14:paraId="704C697A" w14:textId="3F8F0955" w:rsidR="00085299" w:rsidRDefault="00085299">
          <w:pPr>
            <w:pStyle w:val="TOC3"/>
            <w:tabs>
              <w:tab w:val="right" w:leader="dot" w:pos="9016"/>
            </w:tabs>
            <w:rPr>
              <w:rFonts w:asciiTheme="minorHAnsi" w:eastAsiaTheme="minorEastAsia" w:hAnsiTheme="minorHAnsi" w:cstheme="minorBidi"/>
              <w:noProof/>
              <w:sz w:val="24"/>
              <w:szCs w:val="24"/>
              <w:lang w:eastAsia="en-GB"/>
            </w:rPr>
          </w:pPr>
          <w:hyperlink w:anchor="_Toc214571991" w:history="1">
            <w:r w:rsidRPr="0060063C">
              <w:rPr>
                <w:rStyle w:val="Hyperlink"/>
                <w:rFonts w:eastAsia="Times New Roman"/>
                <w:noProof/>
              </w:rPr>
              <w:t>1.1.3 Quality Control &amp; QP Release</w:t>
            </w:r>
            <w:r>
              <w:rPr>
                <w:noProof/>
                <w:webHidden/>
              </w:rPr>
              <w:tab/>
            </w:r>
            <w:r>
              <w:rPr>
                <w:noProof/>
                <w:webHidden/>
              </w:rPr>
              <w:fldChar w:fldCharType="begin"/>
            </w:r>
            <w:r>
              <w:rPr>
                <w:noProof/>
                <w:webHidden/>
              </w:rPr>
              <w:instrText xml:space="preserve"> PAGEREF _Toc214571991 \h </w:instrText>
            </w:r>
            <w:r>
              <w:rPr>
                <w:noProof/>
                <w:webHidden/>
              </w:rPr>
            </w:r>
            <w:r>
              <w:rPr>
                <w:noProof/>
                <w:webHidden/>
              </w:rPr>
              <w:fldChar w:fldCharType="separate"/>
            </w:r>
            <w:r>
              <w:rPr>
                <w:noProof/>
                <w:webHidden/>
              </w:rPr>
              <w:t>3</w:t>
            </w:r>
            <w:r>
              <w:rPr>
                <w:noProof/>
                <w:webHidden/>
              </w:rPr>
              <w:fldChar w:fldCharType="end"/>
            </w:r>
          </w:hyperlink>
        </w:p>
        <w:p w14:paraId="3E7767C1" w14:textId="79D89A6C" w:rsidR="00085299" w:rsidRDefault="00085299">
          <w:pPr>
            <w:pStyle w:val="TOC3"/>
            <w:tabs>
              <w:tab w:val="right" w:leader="dot" w:pos="9016"/>
            </w:tabs>
            <w:rPr>
              <w:rFonts w:asciiTheme="minorHAnsi" w:eastAsiaTheme="minorEastAsia" w:hAnsiTheme="minorHAnsi" w:cstheme="minorBidi"/>
              <w:noProof/>
              <w:sz w:val="24"/>
              <w:szCs w:val="24"/>
              <w:lang w:eastAsia="en-GB"/>
            </w:rPr>
          </w:pPr>
          <w:hyperlink w:anchor="_Toc214571992" w:history="1">
            <w:r w:rsidRPr="0060063C">
              <w:rPr>
                <w:rStyle w:val="Hyperlink"/>
                <w:rFonts w:eastAsia="Times New Roman"/>
                <w:noProof/>
              </w:rPr>
              <w:t>1.1.4 International Logistics</w:t>
            </w:r>
            <w:r>
              <w:rPr>
                <w:noProof/>
                <w:webHidden/>
              </w:rPr>
              <w:tab/>
            </w:r>
            <w:r>
              <w:rPr>
                <w:noProof/>
                <w:webHidden/>
              </w:rPr>
              <w:fldChar w:fldCharType="begin"/>
            </w:r>
            <w:r>
              <w:rPr>
                <w:noProof/>
                <w:webHidden/>
              </w:rPr>
              <w:instrText xml:space="preserve"> PAGEREF _Toc214571992 \h </w:instrText>
            </w:r>
            <w:r>
              <w:rPr>
                <w:noProof/>
                <w:webHidden/>
              </w:rPr>
            </w:r>
            <w:r>
              <w:rPr>
                <w:noProof/>
                <w:webHidden/>
              </w:rPr>
              <w:fldChar w:fldCharType="separate"/>
            </w:r>
            <w:r>
              <w:rPr>
                <w:noProof/>
                <w:webHidden/>
              </w:rPr>
              <w:t>3</w:t>
            </w:r>
            <w:r>
              <w:rPr>
                <w:noProof/>
                <w:webHidden/>
              </w:rPr>
              <w:fldChar w:fldCharType="end"/>
            </w:r>
          </w:hyperlink>
        </w:p>
        <w:p w14:paraId="05D42977" w14:textId="454F0D9B" w:rsidR="00085299" w:rsidRDefault="00085299">
          <w:pPr>
            <w:pStyle w:val="TOC3"/>
            <w:tabs>
              <w:tab w:val="right" w:leader="dot" w:pos="9016"/>
            </w:tabs>
            <w:rPr>
              <w:rFonts w:asciiTheme="minorHAnsi" w:eastAsiaTheme="minorEastAsia" w:hAnsiTheme="minorHAnsi" w:cstheme="minorBidi"/>
              <w:noProof/>
              <w:sz w:val="24"/>
              <w:szCs w:val="24"/>
              <w:lang w:eastAsia="en-GB"/>
            </w:rPr>
          </w:pPr>
          <w:hyperlink w:anchor="_Toc214571993" w:history="1">
            <w:r w:rsidRPr="0060063C">
              <w:rPr>
                <w:rStyle w:val="Hyperlink"/>
                <w:rFonts w:eastAsia="Times New Roman"/>
                <w:noProof/>
              </w:rPr>
              <w:t>1.1.5 Wholesalers &amp; Distributors</w:t>
            </w:r>
            <w:r>
              <w:rPr>
                <w:noProof/>
                <w:webHidden/>
              </w:rPr>
              <w:tab/>
            </w:r>
            <w:r>
              <w:rPr>
                <w:noProof/>
                <w:webHidden/>
              </w:rPr>
              <w:fldChar w:fldCharType="begin"/>
            </w:r>
            <w:r>
              <w:rPr>
                <w:noProof/>
                <w:webHidden/>
              </w:rPr>
              <w:instrText xml:space="preserve"> PAGEREF _Toc214571993 \h </w:instrText>
            </w:r>
            <w:r>
              <w:rPr>
                <w:noProof/>
                <w:webHidden/>
              </w:rPr>
            </w:r>
            <w:r>
              <w:rPr>
                <w:noProof/>
                <w:webHidden/>
              </w:rPr>
              <w:fldChar w:fldCharType="separate"/>
            </w:r>
            <w:r>
              <w:rPr>
                <w:noProof/>
                <w:webHidden/>
              </w:rPr>
              <w:t>3</w:t>
            </w:r>
            <w:r>
              <w:rPr>
                <w:noProof/>
                <w:webHidden/>
              </w:rPr>
              <w:fldChar w:fldCharType="end"/>
            </w:r>
          </w:hyperlink>
        </w:p>
        <w:p w14:paraId="37475F3F" w14:textId="4CD89C17" w:rsidR="00085299" w:rsidRDefault="00085299">
          <w:pPr>
            <w:pStyle w:val="TOC1"/>
            <w:tabs>
              <w:tab w:val="left" w:pos="660"/>
              <w:tab w:val="right" w:leader="dot" w:pos="9016"/>
            </w:tabs>
            <w:rPr>
              <w:rFonts w:asciiTheme="minorHAnsi" w:eastAsiaTheme="minorEastAsia" w:hAnsiTheme="minorHAnsi" w:cstheme="minorBidi"/>
              <w:noProof/>
              <w:sz w:val="24"/>
              <w:szCs w:val="24"/>
              <w:lang w:eastAsia="en-GB"/>
            </w:rPr>
          </w:pPr>
          <w:hyperlink w:anchor="_Toc214571994" w:history="1">
            <w:r w:rsidRPr="0060063C">
              <w:rPr>
                <w:rStyle w:val="Hyperlink"/>
                <w:rFonts w:eastAsia="Times New Roman"/>
                <w:noProof/>
              </w:rPr>
              <w:t>2.0</w:t>
            </w:r>
            <w:r>
              <w:rPr>
                <w:rFonts w:asciiTheme="minorHAnsi" w:eastAsiaTheme="minorEastAsia" w:hAnsiTheme="minorHAnsi" w:cstheme="minorBidi"/>
                <w:noProof/>
                <w:sz w:val="24"/>
                <w:szCs w:val="24"/>
                <w:lang w:eastAsia="en-GB"/>
              </w:rPr>
              <w:tab/>
            </w:r>
            <w:r w:rsidRPr="0060063C">
              <w:rPr>
                <w:rStyle w:val="Hyperlink"/>
                <w:rFonts w:eastAsia="Times New Roman"/>
                <w:noProof/>
              </w:rPr>
              <w:t>International Supply Chain Vulnerability Analysis</w:t>
            </w:r>
            <w:r>
              <w:rPr>
                <w:noProof/>
                <w:webHidden/>
              </w:rPr>
              <w:tab/>
            </w:r>
            <w:r>
              <w:rPr>
                <w:noProof/>
                <w:webHidden/>
              </w:rPr>
              <w:fldChar w:fldCharType="begin"/>
            </w:r>
            <w:r>
              <w:rPr>
                <w:noProof/>
                <w:webHidden/>
              </w:rPr>
              <w:instrText xml:space="preserve"> PAGEREF _Toc214571994 \h </w:instrText>
            </w:r>
            <w:r>
              <w:rPr>
                <w:noProof/>
                <w:webHidden/>
              </w:rPr>
            </w:r>
            <w:r>
              <w:rPr>
                <w:noProof/>
                <w:webHidden/>
              </w:rPr>
              <w:fldChar w:fldCharType="separate"/>
            </w:r>
            <w:r>
              <w:rPr>
                <w:noProof/>
                <w:webHidden/>
              </w:rPr>
              <w:t>4</w:t>
            </w:r>
            <w:r>
              <w:rPr>
                <w:noProof/>
                <w:webHidden/>
              </w:rPr>
              <w:fldChar w:fldCharType="end"/>
            </w:r>
          </w:hyperlink>
        </w:p>
        <w:p w14:paraId="481DC363" w14:textId="7E9ADDF2" w:rsidR="00085299" w:rsidRDefault="00085299">
          <w:pPr>
            <w:pStyle w:val="TOC1"/>
            <w:tabs>
              <w:tab w:val="right" w:leader="dot" w:pos="9016"/>
            </w:tabs>
            <w:rPr>
              <w:rFonts w:asciiTheme="minorHAnsi" w:eastAsiaTheme="minorEastAsia" w:hAnsiTheme="minorHAnsi" w:cstheme="minorBidi"/>
              <w:noProof/>
              <w:sz w:val="24"/>
              <w:szCs w:val="24"/>
              <w:lang w:eastAsia="en-GB"/>
            </w:rPr>
          </w:pPr>
          <w:hyperlink w:anchor="_Toc214571995" w:history="1">
            <w:r w:rsidRPr="0060063C">
              <w:rPr>
                <w:rStyle w:val="Hyperlink"/>
                <w:noProof/>
              </w:rPr>
              <w:t>3.0 FMEA Analysis of the MOVICOL International Supply Chain</w:t>
            </w:r>
            <w:r>
              <w:rPr>
                <w:noProof/>
                <w:webHidden/>
              </w:rPr>
              <w:tab/>
            </w:r>
            <w:r>
              <w:rPr>
                <w:noProof/>
                <w:webHidden/>
              </w:rPr>
              <w:fldChar w:fldCharType="begin"/>
            </w:r>
            <w:r>
              <w:rPr>
                <w:noProof/>
                <w:webHidden/>
              </w:rPr>
              <w:instrText xml:space="preserve"> PAGEREF _Toc214571995 \h </w:instrText>
            </w:r>
            <w:r>
              <w:rPr>
                <w:noProof/>
                <w:webHidden/>
              </w:rPr>
            </w:r>
            <w:r>
              <w:rPr>
                <w:noProof/>
                <w:webHidden/>
              </w:rPr>
              <w:fldChar w:fldCharType="separate"/>
            </w:r>
            <w:r>
              <w:rPr>
                <w:noProof/>
                <w:webHidden/>
              </w:rPr>
              <w:t>0</w:t>
            </w:r>
            <w:r>
              <w:rPr>
                <w:noProof/>
                <w:webHidden/>
              </w:rPr>
              <w:fldChar w:fldCharType="end"/>
            </w:r>
          </w:hyperlink>
        </w:p>
        <w:p w14:paraId="38DD7C17" w14:textId="6DDD920D" w:rsidR="00085299" w:rsidRDefault="00085299">
          <w:pPr>
            <w:pStyle w:val="TOC1"/>
            <w:tabs>
              <w:tab w:val="right" w:leader="dot" w:pos="9016"/>
            </w:tabs>
            <w:rPr>
              <w:rFonts w:asciiTheme="minorHAnsi" w:eastAsiaTheme="minorEastAsia" w:hAnsiTheme="minorHAnsi" w:cstheme="minorBidi"/>
              <w:noProof/>
              <w:sz w:val="24"/>
              <w:szCs w:val="24"/>
              <w:lang w:eastAsia="en-GB"/>
            </w:rPr>
          </w:pPr>
          <w:hyperlink w:anchor="_Toc214571996" w:history="1">
            <w:r w:rsidRPr="0060063C">
              <w:rPr>
                <w:rStyle w:val="Hyperlink"/>
                <w:noProof/>
              </w:rPr>
              <w:t>4.0 Supply Network Resilience Strategies</w:t>
            </w:r>
            <w:r>
              <w:rPr>
                <w:noProof/>
                <w:webHidden/>
              </w:rPr>
              <w:tab/>
            </w:r>
            <w:r>
              <w:rPr>
                <w:noProof/>
                <w:webHidden/>
              </w:rPr>
              <w:fldChar w:fldCharType="begin"/>
            </w:r>
            <w:r>
              <w:rPr>
                <w:noProof/>
                <w:webHidden/>
              </w:rPr>
              <w:instrText xml:space="preserve"> PAGEREF _Toc214571996 \h </w:instrText>
            </w:r>
            <w:r>
              <w:rPr>
                <w:noProof/>
                <w:webHidden/>
              </w:rPr>
            </w:r>
            <w:r>
              <w:rPr>
                <w:noProof/>
                <w:webHidden/>
              </w:rPr>
              <w:fldChar w:fldCharType="separate"/>
            </w:r>
            <w:r>
              <w:rPr>
                <w:noProof/>
                <w:webHidden/>
              </w:rPr>
              <w:t>0</w:t>
            </w:r>
            <w:r>
              <w:rPr>
                <w:noProof/>
                <w:webHidden/>
              </w:rPr>
              <w:fldChar w:fldCharType="end"/>
            </w:r>
          </w:hyperlink>
        </w:p>
        <w:p w14:paraId="23EE5101" w14:textId="6B889639"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1997" w:history="1">
            <w:r w:rsidRPr="0060063C">
              <w:rPr>
                <w:rStyle w:val="Hyperlink"/>
                <w:rFonts w:eastAsia="Times New Roman"/>
                <w:noProof/>
              </w:rPr>
              <w:t>4.1 Supplier Diversification</w:t>
            </w:r>
            <w:r>
              <w:rPr>
                <w:noProof/>
                <w:webHidden/>
              </w:rPr>
              <w:tab/>
            </w:r>
            <w:r>
              <w:rPr>
                <w:noProof/>
                <w:webHidden/>
              </w:rPr>
              <w:fldChar w:fldCharType="begin"/>
            </w:r>
            <w:r>
              <w:rPr>
                <w:noProof/>
                <w:webHidden/>
              </w:rPr>
              <w:instrText xml:space="preserve"> PAGEREF _Toc214571997 \h </w:instrText>
            </w:r>
            <w:r>
              <w:rPr>
                <w:noProof/>
                <w:webHidden/>
              </w:rPr>
            </w:r>
            <w:r>
              <w:rPr>
                <w:noProof/>
                <w:webHidden/>
              </w:rPr>
              <w:fldChar w:fldCharType="separate"/>
            </w:r>
            <w:r>
              <w:rPr>
                <w:noProof/>
                <w:webHidden/>
              </w:rPr>
              <w:t>0</w:t>
            </w:r>
            <w:r>
              <w:rPr>
                <w:noProof/>
                <w:webHidden/>
              </w:rPr>
              <w:fldChar w:fldCharType="end"/>
            </w:r>
          </w:hyperlink>
        </w:p>
        <w:p w14:paraId="08A65441" w14:textId="4EF9F853"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1998" w:history="1">
            <w:r w:rsidRPr="0060063C">
              <w:rPr>
                <w:rStyle w:val="Hyperlink"/>
                <w:rFonts w:eastAsia="Times New Roman"/>
                <w:noProof/>
              </w:rPr>
              <w:t>4.2 Manufacturing Redundancy</w:t>
            </w:r>
            <w:r>
              <w:rPr>
                <w:noProof/>
                <w:webHidden/>
              </w:rPr>
              <w:tab/>
            </w:r>
            <w:r>
              <w:rPr>
                <w:noProof/>
                <w:webHidden/>
              </w:rPr>
              <w:fldChar w:fldCharType="begin"/>
            </w:r>
            <w:r>
              <w:rPr>
                <w:noProof/>
                <w:webHidden/>
              </w:rPr>
              <w:instrText xml:space="preserve"> PAGEREF _Toc214571998 \h </w:instrText>
            </w:r>
            <w:r>
              <w:rPr>
                <w:noProof/>
                <w:webHidden/>
              </w:rPr>
            </w:r>
            <w:r>
              <w:rPr>
                <w:noProof/>
                <w:webHidden/>
              </w:rPr>
              <w:fldChar w:fldCharType="separate"/>
            </w:r>
            <w:r>
              <w:rPr>
                <w:noProof/>
                <w:webHidden/>
              </w:rPr>
              <w:t>0</w:t>
            </w:r>
            <w:r>
              <w:rPr>
                <w:noProof/>
                <w:webHidden/>
              </w:rPr>
              <w:fldChar w:fldCharType="end"/>
            </w:r>
          </w:hyperlink>
        </w:p>
        <w:p w14:paraId="6FFB00A0" w14:textId="4D0C827E"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1999" w:history="1">
            <w:r w:rsidRPr="0060063C">
              <w:rPr>
                <w:rStyle w:val="Hyperlink"/>
                <w:rFonts w:eastAsia="Times New Roman"/>
                <w:noProof/>
              </w:rPr>
              <w:t>4.3 Logistics Flexibility</w:t>
            </w:r>
            <w:r>
              <w:rPr>
                <w:noProof/>
                <w:webHidden/>
              </w:rPr>
              <w:tab/>
            </w:r>
            <w:r>
              <w:rPr>
                <w:noProof/>
                <w:webHidden/>
              </w:rPr>
              <w:fldChar w:fldCharType="begin"/>
            </w:r>
            <w:r>
              <w:rPr>
                <w:noProof/>
                <w:webHidden/>
              </w:rPr>
              <w:instrText xml:space="preserve"> PAGEREF _Toc214571999 \h </w:instrText>
            </w:r>
            <w:r>
              <w:rPr>
                <w:noProof/>
                <w:webHidden/>
              </w:rPr>
            </w:r>
            <w:r>
              <w:rPr>
                <w:noProof/>
                <w:webHidden/>
              </w:rPr>
              <w:fldChar w:fldCharType="separate"/>
            </w:r>
            <w:r>
              <w:rPr>
                <w:noProof/>
                <w:webHidden/>
              </w:rPr>
              <w:t>1</w:t>
            </w:r>
            <w:r>
              <w:rPr>
                <w:noProof/>
                <w:webHidden/>
              </w:rPr>
              <w:fldChar w:fldCharType="end"/>
            </w:r>
          </w:hyperlink>
        </w:p>
        <w:p w14:paraId="0B53F11D" w14:textId="6644822B"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2000" w:history="1">
            <w:r w:rsidRPr="0060063C">
              <w:rPr>
                <w:rStyle w:val="Hyperlink"/>
                <w:rFonts w:eastAsia="Times New Roman"/>
                <w:noProof/>
              </w:rPr>
              <w:t>4.4 Digital Quality System Modernisation</w:t>
            </w:r>
            <w:r>
              <w:rPr>
                <w:noProof/>
                <w:webHidden/>
              </w:rPr>
              <w:tab/>
            </w:r>
            <w:r>
              <w:rPr>
                <w:noProof/>
                <w:webHidden/>
              </w:rPr>
              <w:fldChar w:fldCharType="begin"/>
            </w:r>
            <w:r>
              <w:rPr>
                <w:noProof/>
                <w:webHidden/>
              </w:rPr>
              <w:instrText xml:space="preserve"> PAGEREF _Toc214572000 \h </w:instrText>
            </w:r>
            <w:r>
              <w:rPr>
                <w:noProof/>
                <w:webHidden/>
              </w:rPr>
            </w:r>
            <w:r>
              <w:rPr>
                <w:noProof/>
                <w:webHidden/>
              </w:rPr>
              <w:fldChar w:fldCharType="separate"/>
            </w:r>
            <w:r>
              <w:rPr>
                <w:noProof/>
                <w:webHidden/>
              </w:rPr>
              <w:t>1</w:t>
            </w:r>
            <w:r>
              <w:rPr>
                <w:noProof/>
                <w:webHidden/>
              </w:rPr>
              <w:fldChar w:fldCharType="end"/>
            </w:r>
          </w:hyperlink>
        </w:p>
        <w:p w14:paraId="2E55AA19" w14:textId="2E8AB492"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2001" w:history="1">
            <w:r w:rsidRPr="0060063C">
              <w:rPr>
                <w:rStyle w:val="Hyperlink"/>
                <w:rFonts w:eastAsia="Times New Roman"/>
                <w:noProof/>
              </w:rPr>
              <w:t>4.5 Advanced Forecasting Capability</w:t>
            </w:r>
            <w:r>
              <w:rPr>
                <w:noProof/>
                <w:webHidden/>
              </w:rPr>
              <w:tab/>
            </w:r>
            <w:r>
              <w:rPr>
                <w:noProof/>
                <w:webHidden/>
              </w:rPr>
              <w:fldChar w:fldCharType="begin"/>
            </w:r>
            <w:r>
              <w:rPr>
                <w:noProof/>
                <w:webHidden/>
              </w:rPr>
              <w:instrText xml:space="preserve"> PAGEREF _Toc214572001 \h </w:instrText>
            </w:r>
            <w:r>
              <w:rPr>
                <w:noProof/>
                <w:webHidden/>
              </w:rPr>
            </w:r>
            <w:r>
              <w:rPr>
                <w:noProof/>
                <w:webHidden/>
              </w:rPr>
              <w:fldChar w:fldCharType="separate"/>
            </w:r>
            <w:r>
              <w:rPr>
                <w:noProof/>
                <w:webHidden/>
              </w:rPr>
              <w:t>1</w:t>
            </w:r>
            <w:r>
              <w:rPr>
                <w:noProof/>
                <w:webHidden/>
              </w:rPr>
              <w:fldChar w:fldCharType="end"/>
            </w:r>
          </w:hyperlink>
        </w:p>
        <w:p w14:paraId="276B3C47" w14:textId="5BCBF411" w:rsidR="00085299" w:rsidRDefault="00085299">
          <w:pPr>
            <w:pStyle w:val="TOC2"/>
            <w:tabs>
              <w:tab w:val="right" w:leader="dot" w:pos="9016"/>
            </w:tabs>
            <w:rPr>
              <w:rFonts w:asciiTheme="minorHAnsi" w:eastAsiaTheme="minorEastAsia" w:hAnsiTheme="minorHAnsi" w:cstheme="minorBidi"/>
              <w:noProof/>
              <w:sz w:val="24"/>
              <w:szCs w:val="24"/>
              <w:lang w:eastAsia="en-GB"/>
            </w:rPr>
          </w:pPr>
          <w:hyperlink w:anchor="_Toc214572002" w:history="1">
            <w:r w:rsidRPr="0060063C">
              <w:rPr>
                <w:rStyle w:val="Hyperlink"/>
                <w:rFonts w:eastAsia="Times New Roman"/>
                <w:noProof/>
              </w:rPr>
              <w:t>4.6 End-to-End Digital Visibility</w:t>
            </w:r>
            <w:r>
              <w:rPr>
                <w:noProof/>
                <w:webHidden/>
              </w:rPr>
              <w:tab/>
            </w:r>
            <w:r>
              <w:rPr>
                <w:noProof/>
                <w:webHidden/>
              </w:rPr>
              <w:fldChar w:fldCharType="begin"/>
            </w:r>
            <w:r>
              <w:rPr>
                <w:noProof/>
                <w:webHidden/>
              </w:rPr>
              <w:instrText xml:space="preserve"> PAGEREF _Toc214572002 \h </w:instrText>
            </w:r>
            <w:r>
              <w:rPr>
                <w:noProof/>
                <w:webHidden/>
              </w:rPr>
            </w:r>
            <w:r>
              <w:rPr>
                <w:noProof/>
                <w:webHidden/>
              </w:rPr>
              <w:fldChar w:fldCharType="separate"/>
            </w:r>
            <w:r>
              <w:rPr>
                <w:noProof/>
                <w:webHidden/>
              </w:rPr>
              <w:t>2</w:t>
            </w:r>
            <w:r>
              <w:rPr>
                <w:noProof/>
                <w:webHidden/>
              </w:rPr>
              <w:fldChar w:fldCharType="end"/>
            </w:r>
          </w:hyperlink>
        </w:p>
        <w:p w14:paraId="57F4364D" w14:textId="6A3B56B1" w:rsidR="00085299" w:rsidRDefault="00085299">
          <w:pPr>
            <w:pStyle w:val="TOC1"/>
            <w:tabs>
              <w:tab w:val="right" w:leader="dot" w:pos="9016"/>
            </w:tabs>
            <w:rPr>
              <w:rFonts w:asciiTheme="minorHAnsi" w:eastAsiaTheme="minorEastAsia" w:hAnsiTheme="minorHAnsi" w:cstheme="minorBidi"/>
              <w:noProof/>
              <w:sz w:val="24"/>
              <w:szCs w:val="24"/>
              <w:lang w:eastAsia="en-GB"/>
            </w:rPr>
          </w:pPr>
          <w:hyperlink w:anchor="_Toc214572003" w:history="1">
            <w:r w:rsidRPr="0060063C">
              <w:rPr>
                <w:rStyle w:val="Hyperlink"/>
                <w:noProof/>
              </w:rPr>
              <w:t>5.0 Conclusion and Suggestions For Further Work/Research</w:t>
            </w:r>
            <w:r>
              <w:rPr>
                <w:noProof/>
                <w:webHidden/>
              </w:rPr>
              <w:tab/>
            </w:r>
            <w:r>
              <w:rPr>
                <w:noProof/>
                <w:webHidden/>
              </w:rPr>
              <w:fldChar w:fldCharType="begin"/>
            </w:r>
            <w:r>
              <w:rPr>
                <w:noProof/>
                <w:webHidden/>
              </w:rPr>
              <w:instrText xml:space="preserve"> PAGEREF _Toc214572003 \h </w:instrText>
            </w:r>
            <w:r>
              <w:rPr>
                <w:noProof/>
                <w:webHidden/>
              </w:rPr>
            </w:r>
            <w:r>
              <w:rPr>
                <w:noProof/>
                <w:webHidden/>
              </w:rPr>
              <w:fldChar w:fldCharType="separate"/>
            </w:r>
            <w:r>
              <w:rPr>
                <w:noProof/>
                <w:webHidden/>
              </w:rPr>
              <w:t>3</w:t>
            </w:r>
            <w:r>
              <w:rPr>
                <w:noProof/>
                <w:webHidden/>
              </w:rPr>
              <w:fldChar w:fldCharType="end"/>
            </w:r>
          </w:hyperlink>
        </w:p>
        <w:p w14:paraId="4ED3FEE4" w14:textId="37185EAD" w:rsidR="00085299" w:rsidRDefault="00085299">
          <w:pPr>
            <w:pStyle w:val="TOC1"/>
            <w:tabs>
              <w:tab w:val="right" w:leader="dot" w:pos="9016"/>
            </w:tabs>
            <w:rPr>
              <w:rFonts w:asciiTheme="minorHAnsi" w:eastAsiaTheme="minorEastAsia" w:hAnsiTheme="minorHAnsi" w:cstheme="minorBidi"/>
              <w:noProof/>
              <w:sz w:val="24"/>
              <w:szCs w:val="24"/>
              <w:lang w:eastAsia="en-GB"/>
            </w:rPr>
          </w:pPr>
          <w:hyperlink w:anchor="_Toc214572004" w:history="1">
            <w:r w:rsidRPr="0060063C">
              <w:rPr>
                <w:rStyle w:val="Hyperlink"/>
                <w:rFonts w:eastAsia="Times New Roman"/>
                <w:noProof/>
              </w:rPr>
              <w:t>6.0 References</w:t>
            </w:r>
            <w:r>
              <w:rPr>
                <w:noProof/>
                <w:webHidden/>
              </w:rPr>
              <w:tab/>
            </w:r>
            <w:r>
              <w:rPr>
                <w:noProof/>
                <w:webHidden/>
              </w:rPr>
              <w:fldChar w:fldCharType="begin"/>
            </w:r>
            <w:r>
              <w:rPr>
                <w:noProof/>
                <w:webHidden/>
              </w:rPr>
              <w:instrText xml:space="preserve"> PAGEREF _Toc214572004 \h </w:instrText>
            </w:r>
            <w:r>
              <w:rPr>
                <w:noProof/>
                <w:webHidden/>
              </w:rPr>
            </w:r>
            <w:r>
              <w:rPr>
                <w:noProof/>
                <w:webHidden/>
              </w:rPr>
              <w:fldChar w:fldCharType="separate"/>
            </w:r>
            <w:r>
              <w:rPr>
                <w:noProof/>
                <w:webHidden/>
              </w:rPr>
              <w:t>6</w:t>
            </w:r>
            <w:r>
              <w:rPr>
                <w:noProof/>
                <w:webHidden/>
              </w:rPr>
              <w:fldChar w:fldCharType="end"/>
            </w:r>
          </w:hyperlink>
        </w:p>
        <w:p w14:paraId="65B543B4" w14:textId="35E63F47" w:rsidR="00800226" w:rsidRPr="00E5719F" w:rsidRDefault="00632CC0" w:rsidP="00E5719F">
          <w:pPr>
            <w:spacing w:line="360" w:lineRule="auto"/>
            <w:rPr>
              <w:b/>
              <w:bCs/>
              <w:noProof/>
            </w:rPr>
          </w:pPr>
          <w:r w:rsidRPr="00862EC9">
            <w:rPr>
              <w:b/>
              <w:bCs/>
              <w:noProof/>
            </w:rPr>
            <w:fldChar w:fldCharType="end"/>
          </w:r>
        </w:p>
      </w:sdtContent>
    </w:sdt>
    <w:p w14:paraId="102E8280" w14:textId="77777777" w:rsidR="00800226" w:rsidRDefault="00800226" w:rsidP="00800226"/>
    <w:p w14:paraId="3B26866C" w14:textId="77777777" w:rsidR="00800226" w:rsidRDefault="00800226" w:rsidP="00800226"/>
    <w:p w14:paraId="1F057240" w14:textId="77777777" w:rsidR="00800226" w:rsidRDefault="00800226" w:rsidP="00800226"/>
    <w:p w14:paraId="32A4F31A" w14:textId="77777777" w:rsidR="00800226" w:rsidRDefault="00800226" w:rsidP="00800226"/>
    <w:p w14:paraId="424EC8C3" w14:textId="77777777" w:rsidR="00800226" w:rsidRDefault="00800226" w:rsidP="00800226"/>
    <w:p w14:paraId="2BE8DC80" w14:textId="77777777" w:rsidR="00800226" w:rsidRDefault="00800226" w:rsidP="00800226"/>
    <w:p w14:paraId="3F9ABA5D" w14:textId="77777777" w:rsidR="00800226" w:rsidRDefault="00800226" w:rsidP="00800226"/>
    <w:p w14:paraId="5EF9E101" w14:textId="77777777" w:rsidR="00800226" w:rsidRDefault="00800226" w:rsidP="00800226"/>
    <w:p w14:paraId="49F0FBFE" w14:textId="77777777" w:rsidR="00800226" w:rsidRDefault="00800226" w:rsidP="00800226"/>
    <w:p w14:paraId="4809BC9F" w14:textId="77777777" w:rsidR="00800226" w:rsidRDefault="00800226" w:rsidP="00800226"/>
    <w:p w14:paraId="6BA9A538" w14:textId="77777777" w:rsidR="00800226" w:rsidRDefault="00800226" w:rsidP="00800226"/>
    <w:p w14:paraId="7F97BB0D" w14:textId="77777777" w:rsidR="00800226" w:rsidRDefault="00800226" w:rsidP="00800226"/>
    <w:p w14:paraId="61B21C49" w14:textId="77777777" w:rsidR="00800226" w:rsidRDefault="00800226" w:rsidP="00800226"/>
    <w:p w14:paraId="006AA6F2" w14:textId="77777777" w:rsidR="00E720FA" w:rsidRDefault="00E720FA" w:rsidP="00AA2689">
      <w:pPr>
        <w:spacing w:after="240" w:line="360" w:lineRule="auto"/>
        <w:rPr>
          <w:sz w:val="32"/>
          <w:szCs w:val="32"/>
        </w:rPr>
      </w:pPr>
    </w:p>
    <w:p w14:paraId="27BDA2D4" w14:textId="1D18FFF4" w:rsidR="00E720FA" w:rsidRDefault="00FC2AC1" w:rsidP="00FC2AC1">
      <w:pPr>
        <w:pStyle w:val="Heading1"/>
        <w:numPr>
          <w:ilvl w:val="0"/>
          <w:numId w:val="22"/>
        </w:numPr>
      </w:pPr>
      <w:bookmarkStart w:id="0" w:name="_Toc214571987"/>
      <w:r>
        <w:lastRenderedPageBreak/>
        <w:t>Introduction</w:t>
      </w:r>
      <w:bookmarkEnd w:id="0"/>
      <w:r>
        <w:t xml:space="preserve"> </w:t>
      </w:r>
    </w:p>
    <w:p w14:paraId="7F2A840E" w14:textId="77777777" w:rsidR="00FC2AC1" w:rsidRPr="00FC2AC1" w:rsidRDefault="00FC2AC1" w:rsidP="00FC2AC1"/>
    <w:p w14:paraId="3060467D" w14:textId="11CFCB3F" w:rsidR="00750394" w:rsidRDefault="00750394" w:rsidP="0005005A">
      <w:pPr>
        <w:spacing w:line="360" w:lineRule="auto"/>
        <w:rPr>
          <w:rFonts w:eastAsia="Times New Roman"/>
        </w:rPr>
      </w:pPr>
      <w:r>
        <w:rPr>
          <w:rFonts w:eastAsia="Times New Roman"/>
        </w:rPr>
        <w:t xml:space="preserve">MOVICOL is a widely used osmotic laxative manufactured and distributed internationally by </w:t>
      </w:r>
      <w:proofErr w:type="spellStart"/>
      <w:r>
        <w:rPr>
          <w:rFonts w:eastAsia="Times New Roman"/>
        </w:rPr>
        <w:t>Norgine</w:t>
      </w:r>
      <w:proofErr w:type="spellEnd"/>
      <w:r>
        <w:rPr>
          <w:rFonts w:eastAsia="Times New Roman"/>
        </w:rPr>
        <w:t xml:space="preserve"> B.V., a European pharmaceutical organisation operating across more than twenty global markets. As a regulated medicinal product used to treat chronic constipation and faecal impaction, MOVICOL must meet stringent quality, safety, and regulatory standards set by authorities such as the European Medicines Agency (EMA), the Medicines and Healthcare products Regulatory Agency (MHRA), and the U.S. Food and Drug Administration (FDA). These regulatory frameworks enforce strict oversight of material sourcing, manufacturing, packaging, quality control, release procedures, storage, and international distribution.</w:t>
      </w:r>
    </w:p>
    <w:p w14:paraId="19050DF2" w14:textId="1CB317B2" w:rsidR="00750394" w:rsidRDefault="00750394" w:rsidP="0005005A">
      <w:pPr>
        <w:spacing w:line="360" w:lineRule="auto"/>
        <w:rPr>
          <w:rFonts w:eastAsia="Times New Roman"/>
        </w:rPr>
      </w:pPr>
      <w:r>
        <w:rPr>
          <w:rFonts w:eastAsia="Times New Roman"/>
        </w:rPr>
        <w:t>Because MOVICOL is produced using specialised pharmaceutical-grade raw materials in controlled facilities within the EU and the UK, its supply network spans multiple jurisdictions. Each jurisdiction has its own regulatory standards, logistics infrastructure, environmental conditions, and political factors. These differences create varying levels of complexity, uncertainty, and risk, aligning with global pharmaceutical supply chain research, which increasingly highlights vulnerability in a world characterised by geopolitical instability, pandemics, and trade disruptions (Ivanov and Dolgui, 2020).</w:t>
      </w:r>
    </w:p>
    <w:p w14:paraId="2F9E7200" w14:textId="75EA05D1" w:rsidR="00750394" w:rsidRDefault="00750394" w:rsidP="0005005A">
      <w:pPr>
        <w:spacing w:line="360" w:lineRule="auto"/>
        <w:rPr>
          <w:rFonts w:eastAsia="Times New Roman"/>
        </w:rPr>
      </w:pPr>
      <w:r>
        <w:rPr>
          <w:rFonts w:eastAsia="Times New Roman"/>
        </w:rPr>
        <w:t xml:space="preserve">This report critically evaluates the MOVICOL international supply network through a structured Failure Mode and Effects Analysis (FMEA). The FMEA offers a systematic approach for identifying and assessing failures by evaluating severity, likelihood, and detectability. These measures enable </w:t>
      </w:r>
      <w:r w:rsidR="002F30C7">
        <w:rPr>
          <w:rFonts w:eastAsia="Times New Roman"/>
        </w:rPr>
        <w:t>prioritising</w:t>
      </w:r>
      <w:r>
        <w:rPr>
          <w:rFonts w:eastAsia="Times New Roman"/>
        </w:rPr>
        <w:t xml:space="preserve"> vulnerabilities across the </w:t>
      </w:r>
      <w:r w:rsidR="002F30C7">
        <w:rPr>
          <w:rFonts w:eastAsia="Times New Roman"/>
        </w:rPr>
        <w:t xml:space="preserve">MOVICOL </w:t>
      </w:r>
      <w:r>
        <w:rPr>
          <w:rFonts w:eastAsia="Times New Roman"/>
        </w:rPr>
        <w:t>supply chain.</w:t>
      </w:r>
    </w:p>
    <w:p w14:paraId="4342F541" w14:textId="4830938F" w:rsidR="00750394" w:rsidRDefault="00750394" w:rsidP="0005005A">
      <w:pPr>
        <w:spacing w:line="360" w:lineRule="auto"/>
        <w:rPr>
          <w:rFonts w:eastAsia="Times New Roman"/>
        </w:rPr>
      </w:pPr>
      <w:r>
        <w:rPr>
          <w:rFonts w:eastAsia="Times New Roman"/>
        </w:rPr>
        <w:t>The report then proposes six evidence-based resilience strategies to enhance robustness, flexibility, agility, and continuity within the supply chain. These strategies align with proven supply chain resilience frameworks discussed in academic research</w:t>
      </w:r>
      <w:r w:rsidR="002F30C7">
        <w:rPr>
          <w:rFonts w:eastAsia="Times New Roman"/>
        </w:rPr>
        <w:t xml:space="preserve">; </w:t>
      </w:r>
      <w:r>
        <w:rPr>
          <w:rFonts w:eastAsia="Times New Roman"/>
        </w:rPr>
        <w:t>including the Adaptive Cycle Framework, the SCOR model, and the Resilience Triangle. Increasing supply chain resilience is vital for operational continuity, especially in the pharmaceutical sector where shortages can directly impact patient health and safety.</w:t>
      </w:r>
    </w:p>
    <w:p w14:paraId="7AC7929B" w14:textId="3D7645BD" w:rsidR="00750394" w:rsidRDefault="00750394" w:rsidP="0005005A">
      <w:pPr>
        <w:spacing w:line="360" w:lineRule="auto"/>
        <w:rPr>
          <w:rFonts w:eastAsia="Times New Roman"/>
        </w:rPr>
      </w:pPr>
      <w:r>
        <w:rPr>
          <w:rFonts w:eastAsia="Times New Roman"/>
        </w:rPr>
        <w:t xml:space="preserve">MOVICOL represents a meaningful case study due to its dependence on specialised raw materials, multi-step European manufacturing processes, strict regulatory oversight, and reliance on global logistics networks. Each of these stages introduces the potential for disruption, and any sustained interruption can lead to production downtime, reduced market availability, regulatory non-compliance, or risks to patient health. This report aims to provide </w:t>
      </w:r>
      <w:r>
        <w:rPr>
          <w:rFonts w:eastAsia="Times New Roman"/>
        </w:rPr>
        <w:lastRenderedPageBreak/>
        <w:t>a comprehensive and critical assessment to support strategic decision-making and risk mitigation within the MOVICOL supply chain.</w:t>
      </w:r>
    </w:p>
    <w:p w14:paraId="6C2DBD19" w14:textId="664CD494" w:rsidR="00052E56" w:rsidRDefault="006A08DF" w:rsidP="00052E56">
      <w:pPr>
        <w:pStyle w:val="Heading2"/>
        <w:numPr>
          <w:ilvl w:val="0"/>
          <w:numId w:val="0"/>
        </w:numPr>
        <w:rPr>
          <w:rFonts w:eastAsia="Times New Roman"/>
        </w:rPr>
      </w:pPr>
      <w:bookmarkStart w:id="1" w:name="_Toc214571988"/>
      <w:r>
        <w:rPr>
          <w:rFonts w:eastAsia="Times New Roman"/>
        </w:rPr>
        <w:t xml:space="preserve">1.1 </w:t>
      </w:r>
      <w:r w:rsidR="0035562C">
        <w:rPr>
          <w:rFonts w:eastAsia="Times New Roman"/>
        </w:rPr>
        <w:t>MOVICOL Supply Chain</w:t>
      </w:r>
      <w:bookmarkEnd w:id="1"/>
      <w:r w:rsidR="0035562C">
        <w:rPr>
          <w:rFonts w:eastAsia="Times New Roman"/>
        </w:rPr>
        <w:t xml:space="preserve"> </w:t>
      </w:r>
    </w:p>
    <w:p w14:paraId="73D231BF" w14:textId="77777777" w:rsidR="0072014D" w:rsidRPr="0072014D" w:rsidRDefault="0072014D" w:rsidP="0072014D"/>
    <w:p w14:paraId="31BC5122" w14:textId="6F0D335D" w:rsidR="00052E56" w:rsidRDefault="00052E56" w:rsidP="0072014D">
      <w:pPr>
        <w:pStyle w:val="Heading3"/>
        <w:numPr>
          <w:ilvl w:val="0"/>
          <w:numId w:val="0"/>
        </w:numPr>
        <w:rPr>
          <w:rFonts w:eastAsia="Times New Roman"/>
        </w:rPr>
      </w:pPr>
      <w:bookmarkStart w:id="2" w:name="_Toc214571989"/>
      <w:r>
        <w:rPr>
          <w:rFonts w:eastAsia="Times New Roman"/>
        </w:rPr>
        <w:t>1.</w:t>
      </w:r>
      <w:r w:rsidR="0072014D">
        <w:rPr>
          <w:rFonts w:eastAsia="Times New Roman"/>
        </w:rPr>
        <w:t>1.1</w:t>
      </w:r>
      <w:r>
        <w:rPr>
          <w:rFonts w:eastAsia="Times New Roman"/>
        </w:rPr>
        <w:t xml:space="preserve"> Suppliers</w:t>
      </w:r>
      <w:bookmarkEnd w:id="2"/>
    </w:p>
    <w:p w14:paraId="2081524E" w14:textId="77777777" w:rsidR="00052E56" w:rsidRDefault="00052E56" w:rsidP="00052E56">
      <w:pPr>
        <w:rPr>
          <w:rFonts w:eastAsia="Times New Roman"/>
        </w:rPr>
      </w:pPr>
      <w:r>
        <w:rPr>
          <w:rFonts w:eastAsia="Times New Roman"/>
        </w:rPr>
        <w:t>   • Supply of API (Macrogol / PEG 3350)</w:t>
      </w:r>
    </w:p>
    <w:p w14:paraId="1C3F42B8" w14:textId="77777777" w:rsidR="00052E56" w:rsidRDefault="00052E56" w:rsidP="00052E56">
      <w:pPr>
        <w:rPr>
          <w:rFonts w:eastAsia="Times New Roman"/>
        </w:rPr>
      </w:pPr>
      <w:r>
        <w:rPr>
          <w:rFonts w:eastAsia="Times New Roman"/>
        </w:rPr>
        <w:t>   • Supply of excipients (electrolytes, flavourings)</w:t>
      </w:r>
    </w:p>
    <w:p w14:paraId="41EF5227" w14:textId="77777777" w:rsidR="00052E56" w:rsidRPr="00052E56" w:rsidRDefault="00052E56" w:rsidP="00052E56">
      <w:pPr>
        <w:rPr>
          <w:rFonts w:eastAsia="Times New Roman"/>
          <w:lang w:val="fr-FR"/>
        </w:rPr>
      </w:pPr>
      <w:r>
        <w:rPr>
          <w:rFonts w:eastAsia="Times New Roman"/>
        </w:rPr>
        <w:t>   </w:t>
      </w:r>
      <w:r w:rsidRPr="00052E56">
        <w:rPr>
          <w:rFonts w:eastAsia="Times New Roman"/>
          <w:lang w:val="fr-FR"/>
        </w:rPr>
        <w:t xml:space="preserve">• Packaging components (sachets, </w:t>
      </w:r>
      <w:proofErr w:type="spellStart"/>
      <w:r w:rsidRPr="00052E56">
        <w:rPr>
          <w:rFonts w:eastAsia="Times New Roman"/>
          <w:lang w:val="fr-FR"/>
        </w:rPr>
        <w:t>laminates</w:t>
      </w:r>
      <w:proofErr w:type="spellEnd"/>
      <w:r w:rsidRPr="00052E56">
        <w:rPr>
          <w:rFonts w:eastAsia="Times New Roman"/>
          <w:lang w:val="fr-FR"/>
        </w:rPr>
        <w:t>, cartons)</w:t>
      </w:r>
    </w:p>
    <w:p w14:paraId="152F7CAF" w14:textId="77777777" w:rsidR="00052E56" w:rsidRDefault="00052E56" w:rsidP="00052E56">
      <w:pPr>
        <w:rPr>
          <w:rFonts w:eastAsia="Times New Roman"/>
        </w:rPr>
      </w:pPr>
      <w:r w:rsidRPr="00052E56">
        <w:rPr>
          <w:rFonts w:eastAsia="Times New Roman"/>
          <w:lang w:val="fr-FR"/>
        </w:rPr>
        <w:t>   </w:t>
      </w:r>
      <w:r>
        <w:rPr>
          <w:rFonts w:eastAsia="Times New Roman"/>
        </w:rPr>
        <w:t>• Vulnerabilities: Limited suppliers, raw material volatility, geopolitical risk</w:t>
      </w:r>
    </w:p>
    <w:p w14:paraId="44510977" w14:textId="77777777" w:rsidR="00052E56" w:rsidRDefault="00052E56" w:rsidP="00052E56">
      <w:pPr>
        <w:rPr>
          <w:rFonts w:eastAsia="Times New Roman"/>
        </w:rPr>
      </w:pPr>
    </w:p>
    <w:p w14:paraId="73E4ECB9" w14:textId="7B649C07" w:rsidR="00052E56" w:rsidRDefault="007D5E75" w:rsidP="007D5E75">
      <w:pPr>
        <w:pStyle w:val="Heading3"/>
        <w:numPr>
          <w:ilvl w:val="0"/>
          <w:numId w:val="0"/>
        </w:numPr>
        <w:rPr>
          <w:rFonts w:eastAsia="Times New Roman"/>
        </w:rPr>
      </w:pPr>
      <w:bookmarkStart w:id="3" w:name="_Toc214571990"/>
      <w:r>
        <w:rPr>
          <w:rFonts w:eastAsia="Times New Roman"/>
        </w:rPr>
        <w:t>1.1.</w:t>
      </w:r>
      <w:r w:rsidR="00052E56">
        <w:rPr>
          <w:rFonts w:eastAsia="Times New Roman"/>
        </w:rPr>
        <w:t>2 Manufacturing (EU GMP Facilities)</w:t>
      </w:r>
      <w:bookmarkEnd w:id="3"/>
    </w:p>
    <w:p w14:paraId="305A74E3" w14:textId="77777777" w:rsidR="00052E56" w:rsidRDefault="00052E56" w:rsidP="00052E56">
      <w:pPr>
        <w:rPr>
          <w:rFonts w:eastAsia="Times New Roman"/>
        </w:rPr>
      </w:pPr>
      <w:r>
        <w:rPr>
          <w:rFonts w:eastAsia="Times New Roman"/>
        </w:rPr>
        <w:t>   • Blending, granulation, filling, and packaging operations</w:t>
      </w:r>
    </w:p>
    <w:p w14:paraId="1942EFB9" w14:textId="77777777" w:rsidR="00052E56" w:rsidRDefault="00052E56" w:rsidP="00052E56">
      <w:pPr>
        <w:rPr>
          <w:rFonts w:eastAsia="Times New Roman"/>
        </w:rPr>
      </w:pPr>
      <w:r>
        <w:rPr>
          <w:rFonts w:eastAsia="Times New Roman"/>
        </w:rPr>
        <w:t>   • GMP-regulated environments with strict process controls</w:t>
      </w:r>
    </w:p>
    <w:p w14:paraId="68A76784" w14:textId="4515304C" w:rsidR="00FC2339" w:rsidRDefault="00052E56" w:rsidP="00052E56">
      <w:pPr>
        <w:rPr>
          <w:rFonts w:eastAsia="Times New Roman"/>
        </w:rPr>
      </w:pPr>
      <w:r>
        <w:rPr>
          <w:rFonts w:eastAsia="Times New Roman"/>
        </w:rPr>
        <w:t>   • Vulnerabilities: Equipment failures, human error, GMP deviations</w:t>
      </w:r>
    </w:p>
    <w:p w14:paraId="3EB95EB1" w14:textId="77777777" w:rsidR="00FC2339" w:rsidRDefault="00FC2339" w:rsidP="00052E56">
      <w:pPr>
        <w:rPr>
          <w:rFonts w:eastAsia="Times New Roman"/>
        </w:rPr>
      </w:pPr>
    </w:p>
    <w:p w14:paraId="32098E6B" w14:textId="214771BF" w:rsidR="00052E56" w:rsidRDefault="00FC2339" w:rsidP="00FC2339">
      <w:pPr>
        <w:pStyle w:val="Heading3"/>
        <w:numPr>
          <w:ilvl w:val="0"/>
          <w:numId w:val="0"/>
        </w:numPr>
        <w:rPr>
          <w:rFonts w:eastAsia="Times New Roman"/>
        </w:rPr>
      </w:pPr>
      <w:bookmarkStart w:id="4" w:name="_Toc214571991"/>
      <w:r>
        <w:rPr>
          <w:rFonts w:eastAsia="Times New Roman"/>
        </w:rPr>
        <w:t>1.1.</w:t>
      </w:r>
      <w:r w:rsidR="00052E56">
        <w:rPr>
          <w:rFonts w:eastAsia="Times New Roman"/>
        </w:rPr>
        <w:t>3 Quality Control &amp; QP Release</w:t>
      </w:r>
      <w:bookmarkEnd w:id="4"/>
    </w:p>
    <w:p w14:paraId="33A97B8F" w14:textId="77777777" w:rsidR="00052E56" w:rsidRDefault="00052E56" w:rsidP="00052E56">
      <w:pPr>
        <w:rPr>
          <w:rFonts w:eastAsia="Times New Roman"/>
        </w:rPr>
      </w:pPr>
      <w:r>
        <w:rPr>
          <w:rFonts w:eastAsia="Times New Roman"/>
        </w:rPr>
        <w:t>   • Analytical testing, documentation review, and regulatory compliance checks</w:t>
      </w:r>
    </w:p>
    <w:p w14:paraId="07F5EAE1" w14:textId="77777777" w:rsidR="00052E56" w:rsidRDefault="00052E56" w:rsidP="00052E56">
      <w:pPr>
        <w:rPr>
          <w:rFonts w:eastAsia="Times New Roman"/>
        </w:rPr>
      </w:pPr>
      <w:r>
        <w:rPr>
          <w:rFonts w:eastAsia="Times New Roman"/>
        </w:rPr>
        <w:t>   • QP certification required before distribution</w:t>
      </w:r>
    </w:p>
    <w:p w14:paraId="7AE10D4E" w14:textId="08A9E790" w:rsidR="00052E56" w:rsidRDefault="00052E56" w:rsidP="00052E56">
      <w:pPr>
        <w:rPr>
          <w:rFonts w:eastAsia="Times New Roman"/>
        </w:rPr>
      </w:pPr>
      <w:r>
        <w:rPr>
          <w:rFonts w:eastAsia="Times New Roman"/>
        </w:rPr>
        <w:t>   • Vulnerabilities: QC backlog, documentation errors, regulatory divergence (EMA vs MHRA)</w:t>
      </w:r>
    </w:p>
    <w:p w14:paraId="26C85A54" w14:textId="77777777" w:rsidR="00052E56" w:rsidRDefault="00052E56" w:rsidP="00052E56">
      <w:pPr>
        <w:rPr>
          <w:rFonts w:eastAsia="Times New Roman"/>
        </w:rPr>
      </w:pPr>
    </w:p>
    <w:p w14:paraId="6F3E1F0E" w14:textId="774E364A" w:rsidR="00052E56" w:rsidRDefault="00FC2339" w:rsidP="00F05FE4">
      <w:pPr>
        <w:pStyle w:val="Heading3"/>
        <w:numPr>
          <w:ilvl w:val="0"/>
          <w:numId w:val="0"/>
        </w:numPr>
        <w:rPr>
          <w:rFonts w:eastAsia="Times New Roman"/>
        </w:rPr>
      </w:pPr>
      <w:bookmarkStart w:id="5" w:name="_Toc214571992"/>
      <w:r>
        <w:rPr>
          <w:rFonts w:eastAsia="Times New Roman"/>
        </w:rPr>
        <w:t>1.1.</w:t>
      </w:r>
      <w:r w:rsidR="00052E56">
        <w:rPr>
          <w:rFonts w:eastAsia="Times New Roman"/>
        </w:rPr>
        <w:t>4 International Logistics</w:t>
      </w:r>
      <w:bookmarkEnd w:id="5"/>
    </w:p>
    <w:p w14:paraId="3D3A546C" w14:textId="77777777" w:rsidR="00052E56" w:rsidRDefault="00052E56" w:rsidP="00052E56">
      <w:pPr>
        <w:rPr>
          <w:rFonts w:eastAsia="Times New Roman"/>
        </w:rPr>
      </w:pPr>
      <w:r>
        <w:rPr>
          <w:rFonts w:eastAsia="Times New Roman"/>
        </w:rPr>
        <w:t>   • Multimodal transport (road, sea, air)</w:t>
      </w:r>
    </w:p>
    <w:p w14:paraId="01C5824A" w14:textId="77777777" w:rsidR="00052E56" w:rsidRDefault="00052E56" w:rsidP="00052E56">
      <w:pPr>
        <w:rPr>
          <w:rFonts w:eastAsia="Times New Roman"/>
        </w:rPr>
      </w:pPr>
      <w:r>
        <w:rPr>
          <w:rFonts w:eastAsia="Times New Roman"/>
        </w:rPr>
        <w:t>   • Cross-border customs processes (particularly EU–UK)</w:t>
      </w:r>
    </w:p>
    <w:p w14:paraId="1123F633" w14:textId="77777777" w:rsidR="00052E56" w:rsidRDefault="00052E56" w:rsidP="00052E56">
      <w:pPr>
        <w:rPr>
          <w:rFonts w:eastAsia="Times New Roman"/>
        </w:rPr>
      </w:pPr>
      <w:r>
        <w:rPr>
          <w:rFonts w:eastAsia="Times New Roman"/>
        </w:rPr>
        <w:t>   • Vulnerabilities: Customs delays, port congestion, freight shortages, rising fuel costs</w:t>
      </w:r>
    </w:p>
    <w:p w14:paraId="4B38735F" w14:textId="77777777" w:rsidR="00052E56" w:rsidRDefault="00052E56" w:rsidP="00052E56">
      <w:pPr>
        <w:rPr>
          <w:rFonts w:eastAsia="Times New Roman"/>
        </w:rPr>
      </w:pPr>
    </w:p>
    <w:p w14:paraId="4FAEDD80" w14:textId="2DC72D9E" w:rsidR="00052E56" w:rsidRDefault="00F05FE4" w:rsidP="00F05FE4">
      <w:pPr>
        <w:pStyle w:val="Heading3"/>
        <w:numPr>
          <w:ilvl w:val="0"/>
          <w:numId w:val="0"/>
        </w:numPr>
        <w:rPr>
          <w:rFonts w:eastAsia="Times New Roman"/>
        </w:rPr>
      </w:pPr>
      <w:bookmarkStart w:id="6" w:name="_Toc214571993"/>
      <w:r>
        <w:rPr>
          <w:rFonts w:eastAsia="Times New Roman"/>
        </w:rPr>
        <w:t>1.1.</w:t>
      </w:r>
      <w:r w:rsidR="00052E56">
        <w:rPr>
          <w:rFonts w:eastAsia="Times New Roman"/>
        </w:rPr>
        <w:t>5 Wholesalers &amp; Distributors</w:t>
      </w:r>
      <w:bookmarkEnd w:id="6"/>
    </w:p>
    <w:p w14:paraId="0274571D" w14:textId="77777777" w:rsidR="00052E56" w:rsidRDefault="00052E56" w:rsidP="00052E56">
      <w:pPr>
        <w:rPr>
          <w:rFonts w:eastAsia="Times New Roman"/>
        </w:rPr>
      </w:pPr>
      <w:r>
        <w:rPr>
          <w:rFonts w:eastAsia="Times New Roman"/>
        </w:rPr>
        <w:t>   • National wholesalers, pharmacy chains, and hospital distributors</w:t>
      </w:r>
    </w:p>
    <w:p w14:paraId="443E9E52" w14:textId="77777777" w:rsidR="00052E56" w:rsidRDefault="00052E56" w:rsidP="00052E56">
      <w:pPr>
        <w:rPr>
          <w:rFonts w:eastAsia="Times New Roman"/>
        </w:rPr>
      </w:pPr>
      <w:r>
        <w:rPr>
          <w:rFonts w:eastAsia="Times New Roman"/>
        </w:rPr>
        <w:t>   • Demand forecasting and stock allocation processes</w:t>
      </w:r>
    </w:p>
    <w:p w14:paraId="314C7EC4" w14:textId="77777777" w:rsidR="00052E56" w:rsidRDefault="00052E56" w:rsidP="00052E56">
      <w:pPr>
        <w:rPr>
          <w:rFonts w:eastAsia="Times New Roman"/>
        </w:rPr>
      </w:pPr>
      <w:r>
        <w:rPr>
          <w:rFonts w:eastAsia="Times New Roman"/>
        </w:rPr>
        <w:t>   • Vulnerabilities: Forecast inaccuracies, stockouts, limited visibility of demand signals</w:t>
      </w:r>
    </w:p>
    <w:p w14:paraId="5EA800EA" w14:textId="77777777" w:rsidR="00052E56" w:rsidRDefault="00052E56" w:rsidP="00052E56">
      <w:pPr>
        <w:rPr>
          <w:rFonts w:eastAsia="Times New Roman"/>
        </w:rPr>
      </w:pPr>
    </w:p>
    <w:p w14:paraId="425936FD" w14:textId="7787A35D" w:rsidR="00466D71" w:rsidRDefault="00052E56" w:rsidP="00F05FE4">
      <w:pPr>
        <w:rPr>
          <w:rFonts w:eastAsia="Times New Roman"/>
        </w:rPr>
      </w:pPr>
      <w:r>
        <w:rPr>
          <w:rFonts w:eastAsia="Times New Roman"/>
        </w:rPr>
        <w:t>This flow diagram illustrates the interdependent nature of MOVICOL’s supply network and highlights where key vulnerabilities occur across the upstream, midstream, and downstream stages.</w:t>
      </w:r>
    </w:p>
    <w:p w14:paraId="4E5C8021" w14:textId="58503AFE" w:rsidR="0005005A" w:rsidRDefault="00315CAD" w:rsidP="00315CAD">
      <w:pPr>
        <w:pStyle w:val="Heading1"/>
        <w:numPr>
          <w:ilvl w:val="0"/>
          <w:numId w:val="23"/>
        </w:numPr>
        <w:rPr>
          <w:rFonts w:eastAsia="Times New Roman"/>
        </w:rPr>
      </w:pPr>
      <w:bookmarkStart w:id="7" w:name="_Toc214571994"/>
      <w:r>
        <w:rPr>
          <w:rFonts w:eastAsia="Times New Roman"/>
        </w:rPr>
        <w:lastRenderedPageBreak/>
        <w:t>International Supply Chain Vulnerability Analysis</w:t>
      </w:r>
      <w:bookmarkEnd w:id="7"/>
      <w:r>
        <w:rPr>
          <w:rFonts w:eastAsia="Times New Roman"/>
        </w:rPr>
        <w:t xml:space="preserve"> </w:t>
      </w:r>
    </w:p>
    <w:p w14:paraId="2961571E" w14:textId="759E3350" w:rsidR="00AA7B72" w:rsidRPr="00AA7B72" w:rsidRDefault="00AA7B72" w:rsidP="000C7B51">
      <w:pPr>
        <w:spacing w:line="360" w:lineRule="auto"/>
        <w:rPr>
          <w:rFonts w:eastAsia="Times New Roman"/>
        </w:rPr>
      </w:pPr>
      <w:r w:rsidRPr="00AA7B72">
        <w:rPr>
          <w:rFonts w:eastAsia="Times New Roman"/>
        </w:rPr>
        <w:t>Pharmaceutical supply networks such as the one supporting MOVICOL are uniquely complex because they must balance regulatory compliance, operational efficiency, cost control, and service continuity. Unlike consumer product supply chains, pharmaceutical networks face strict regulatory constraints, require full traceability, and depend heavily on validated production processes that cannot be easily modified or relocated. As a result, pharmaceutical supply networks exhibit structural rigidity, which limits agility and increases vulnerability to disruption (Pettit et al., 2019).</w:t>
      </w:r>
    </w:p>
    <w:p w14:paraId="42CA7DE6" w14:textId="4AA4F0E7" w:rsidR="00AA7B72" w:rsidRPr="00AA7B72" w:rsidRDefault="00AA7B72" w:rsidP="000C7B51">
      <w:pPr>
        <w:spacing w:line="360" w:lineRule="auto"/>
        <w:rPr>
          <w:rFonts w:eastAsia="Times New Roman"/>
        </w:rPr>
      </w:pPr>
      <w:r w:rsidRPr="00AA7B72">
        <w:rPr>
          <w:rFonts w:eastAsia="Times New Roman"/>
        </w:rPr>
        <w:t>MOVICOL relies primarily on macrogol (PEG 3350), a specialised active pharmaceutical ingredient (API) sourced from a small number of qualified European suppliers. API manufacturing is capital intensive and requires significant environmental, safety, and regulatory controls. Consequently, the supply base tends to be geographically concentrated, and disruption at a single site can generate cascading, system-wide impacts. This aligns with the “ripple effect” concept described by Ivanov (2021), in which localised disruptions propagate across upstream and downstream supply nodes, magnifying operational and financial consequences.</w:t>
      </w:r>
    </w:p>
    <w:p w14:paraId="33892703" w14:textId="78AE0237" w:rsidR="00AA7B72" w:rsidRPr="00AA7B72" w:rsidRDefault="00AA7B72" w:rsidP="000C7B51">
      <w:pPr>
        <w:spacing w:line="360" w:lineRule="auto"/>
        <w:rPr>
          <w:rFonts w:eastAsia="Times New Roman"/>
        </w:rPr>
      </w:pPr>
      <w:r w:rsidRPr="00AA7B72">
        <w:rPr>
          <w:rFonts w:eastAsia="Times New Roman"/>
        </w:rPr>
        <w:t>Beyond API risk, MOVICOL also depends on multiple excipients and packaging components such as sachets, laminates, cartons, and foil materials. These depend on global raw material markets such as pulp and polymers, which have experienced volatility due to global shortages, energy market instability, and post-pandemic demand surges. Any disruption in packaging availability can halt batch release even when the API is available, demonstrating the high degree of interdependence across supply nodes. Blackhurst et al. (2011) highlight that removal or failure of even a single critical component in a supply network can result in disproportionate impacts.</w:t>
      </w:r>
    </w:p>
    <w:p w14:paraId="3710166E" w14:textId="5ED68289" w:rsidR="00AA7B72" w:rsidRPr="00AA7B72" w:rsidRDefault="00AA7B72" w:rsidP="000C7B51">
      <w:pPr>
        <w:spacing w:line="360" w:lineRule="auto"/>
        <w:rPr>
          <w:rFonts w:eastAsia="Times New Roman"/>
        </w:rPr>
      </w:pPr>
      <w:r w:rsidRPr="00AA7B72">
        <w:rPr>
          <w:rFonts w:eastAsia="Times New Roman"/>
        </w:rPr>
        <w:t>Manufacturing operations for MOVICOL take place within controlled European GMP facilities. These facilities are subject to rigorous regulatory inspection cycles and must maintain validated equipment, trained personnel, and strict process control. Manufacturing-related risks include equipment breakdown, human error, labour shortages, and unplanned deviations. Even minor issues may trigger batch rejection, rework, or corrective action, which can significantly delay production. GMP deviation risk is further heightened by pressures on staffing in the pharmaceutical sector, where shortages of experienced operators can increase human error probability.</w:t>
      </w:r>
    </w:p>
    <w:p w14:paraId="5539B22E" w14:textId="679297F3" w:rsidR="00AA7B72" w:rsidRPr="00AA7B72" w:rsidRDefault="00AA7B72" w:rsidP="000C7B51">
      <w:pPr>
        <w:spacing w:line="360" w:lineRule="auto"/>
        <w:rPr>
          <w:rFonts w:eastAsia="Times New Roman"/>
        </w:rPr>
      </w:pPr>
      <w:r w:rsidRPr="00AA7B72">
        <w:rPr>
          <w:rFonts w:eastAsia="Times New Roman"/>
        </w:rPr>
        <w:t xml:space="preserve">Once the product is manufactured, MOVICOL undergoes comprehensive Quality Control testing and QP (Qualified Person) release. Any backlog in documentation, data review, or testing capability can delay release, thus delaying distribution. These QC bottlenecks were </w:t>
      </w:r>
      <w:r w:rsidRPr="00AA7B72">
        <w:rPr>
          <w:rFonts w:eastAsia="Times New Roman"/>
        </w:rPr>
        <w:lastRenderedPageBreak/>
        <w:t>common across the industry during the COVID-19 pandemic, highlighting the need for digital quality systems and automated documentation processes. The regulatory environment continues to evolve, and divergence between MHRA and EMA regulatory frameworks following Brexit has created additional workload for regulatory affairs and QP teams.</w:t>
      </w:r>
    </w:p>
    <w:p w14:paraId="2F5E44B9" w14:textId="10254476" w:rsidR="00AA7B72" w:rsidRPr="00AA7B72" w:rsidRDefault="00AA7B72" w:rsidP="000C7B51">
      <w:pPr>
        <w:spacing w:line="360" w:lineRule="auto"/>
        <w:rPr>
          <w:rFonts w:eastAsia="Times New Roman"/>
        </w:rPr>
      </w:pPr>
      <w:r w:rsidRPr="00AA7B72">
        <w:rPr>
          <w:rFonts w:eastAsia="Times New Roman"/>
        </w:rPr>
        <w:t xml:space="preserve">International logistics represents another major vulnerability. MOVICOL is distributed across Europe and globally through multimodal transport arrangements. Brexit has increased customs complexity and documentation requirements, particularly for shipments between the UK and EU. External shocks such as port congestion, driver shortages, container unavailability, and rising fuel prices further heighten logistics risk. Research by </w:t>
      </w:r>
      <w:proofErr w:type="spellStart"/>
      <w:r w:rsidRPr="00AA7B72">
        <w:rPr>
          <w:rFonts w:eastAsia="Times New Roman"/>
        </w:rPr>
        <w:t>Sheffi</w:t>
      </w:r>
      <w:proofErr w:type="spellEnd"/>
      <w:r w:rsidRPr="00AA7B72">
        <w:rPr>
          <w:rFonts w:eastAsia="Times New Roman"/>
        </w:rPr>
        <w:t xml:space="preserve"> (2007) suggests that modern supply networks are increasingly susceptible to extreme events due to interconnectedness and reduced slack capacity.</w:t>
      </w:r>
    </w:p>
    <w:p w14:paraId="4E7F4CE4" w14:textId="00C00BC8" w:rsidR="00AA7B72" w:rsidRPr="00AA7B72" w:rsidRDefault="00AA7B72" w:rsidP="000C7B51">
      <w:pPr>
        <w:spacing w:line="360" w:lineRule="auto"/>
        <w:rPr>
          <w:rFonts w:eastAsia="Times New Roman"/>
        </w:rPr>
      </w:pPr>
      <w:r w:rsidRPr="00AA7B72">
        <w:rPr>
          <w:rFonts w:eastAsia="Times New Roman"/>
        </w:rPr>
        <w:t>Demand-side vulnerability is also a factor. Although MOVICOL is typically a stable, predictable product, demand forecasting errors at wholesaler or distributor level can lead to stock imbalances. Limited visibility into downstream demand patterns increases the risk of understocking or overstocking. Companies such as Johnson &amp; Johnson have shown that integrating AI-enhanced forecasting systems can reduce forecast error by over 30%, highlighting the need for modern demand planning tools.</w:t>
      </w:r>
    </w:p>
    <w:p w14:paraId="6767045B" w14:textId="1D0DA8CC" w:rsidR="0005005A" w:rsidRDefault="001D64B9" w:rsidP="000C7B51">
      <w:pPr>
        <w:spacing w:line="360" w:lineRule="auto"/>
        <w:rPr>
          <w:rFonts w:eastAsia="Times New Roman"/>
        </w:rPr>
      </w:pPr>
      <w:r>
        <w:rPr>
          <w:rFonts w:eastAsia="Times New Roman"/>
        </w:rPr>
        <w:t>D</w:t>
      </w:r>
      <w:r w:rsidR="00AA7B72" w:rsidRPr="00AA7B72">
        <w:rPr>
          <w:rFonts w:eastAsia="Times New Roman"/>
        </w:rPr>
        <w:t>igital risk has become increasingly relevant. MOVICOL relies on ERP systems, QMS platforms, batch documentation systems, and scheduling software. Any cyberattack, system outage, or data integrity issue can bring the supply network to a standstill. Pharmaceutical companies have been prime targets of ransomware attacks in recent years, underscoring the importance of digital</w:t>
      </w:r>
      <w:r w:rsidR="000C7B51">
        <w:rPr>
          <w:rFonts w:eastAsia="Times New Roman"/>
        </w:rPr>
        <w:t xml:space="preserve"> systems.</w:t>
      </w:r>
    </w:p>
    <w:p w14:paraId="24F0ED1D" w14:textId="77777777" w:rsidR="000C7B51" w:rsidRDefault="000C7B51" w:rsidP="000C7B51">
      <w:pPr>
        <w:spacing w:line="360" w:lineRule="auto"/>
        <w:rPr>
          <w:rFonts w:eastAsia="Times New Roman"/>
        </w:rPr>
      </w:pPr>
    </w:p>
    <w:p w14:paraId="2B35353F" w14:textId="77777777" w:rsidR="000C7B51" w:rsidRDefault="000C7B51" w:rsidP="000C7B51">
      <w:pPr>
        <w:spacing w:line="360" w:lineRule="auto"/>
        <w:rPr>
          <w:rFonts w:eastAsia="Times New Roman"/>
        </w:rPr>
      </w:pPr>
    </w:p>
    <w:p w14:paraId="4A6ACD18" w14:textId="77777777" w:rsidR="00B74F87" w:rsidRDefault="00B74F87" w:rsidP="000C7B51">
      <w:pPr>
        <w:spacing w:line="360" w:lineRule="auto"/>
        <w:rPr>
          <w:rFonts w:eastAsia="Times New Roman"/>
        </w:rPr>
        <w:sectPr w:rsidR="00B74F87" w:rsidSect="00632CC0">
          <w:footerReference w:type="default" r:id="rId9"/>
          <w:pgSz w:w="11906" w:h="16838"/>
          <w:pgMar w:top="1440" w:right="1440" w:bottom="1440" w:left="1440" w:header="708" w:footer="708" w:gutter="0"/>
          <w:pgNumType w:start="0"/>
          <w:cols w:space="708"/>
          <w:titlePg/>
          <w:docGrid w:linePitch="360"/>
        </w:sectPr>
      </w:pPr>
    </w:p>
    <w:p w14:paraId="13E899D3" w14:textId="27185A92" w:rsidR="00E720FA" w:rsidRDefault="000C7B51" w:rsidP="000C7B51">
      <w:pPr>
        <w:pStyle w:val="Heading1"/>
        <w:numPr>
          <w:ilvl w:val="0"/>
          <w:numId w:val="0"/>
        </w:numPr>
      </w:pPr>
      <w:bookmarkStart w:id="8" w:name="_Toc214571995"/>
      <w:r>
        <w:lastRenderedPageBreak/>
        <w:t xml:space="preserve">3.0 </w:t>
      </w:r>
      <w:r w:rsidR="00196D2E">
        <w:t>FMEA Analysis of the MOVICOL International Supply Chain</w:t>
      </w:r>
      <w:bookmarkEnd w:id="8"/>
      <w:r w:rsidR="00196D2E">
        <w:t xml:space="preserve"> </w:t>
      </w:r>
    </w:p>
    <w:p w14:paraId="6C2D5CA1" w14:textId="77777777" w:rsidR="00196D2E" w:rsidRDefault="00196D2E" w:rsidP="00196D2E"/>
    <w:tbl>
      <w:tblPr>
        <w:tblStyle w:val="TableGrid"/>
        <w:tblW w:w="0" w:type="auto"/>
        <w:tblLook w:val="04A0" w:firstRow="1" w:lastRow="0" w:firstColumn="1" w:lastColumn="0" w:noHBand="0" w:noVBand="1"/>
      </w:tblPr>
      <w:tblGrid>
        <w:gridCol w:w="684"/>
        <w:gridCol w:w="1375"/>
        <w:gridCol w:w="1309"/>
        <w:gridCol w:w="1366"/>
        <w:gridCol w:w="1184"/>
        <w:gridCol w:w="1175"/>
        <w:gridCol w:w="839"/>
        <w:gridCol w:w="1203"/>
        <w:gridCol w:w="1108"/>
        <w:gridCol w:w="1174"/>
        <w:gridCol w:w="945"/>
        <w:gridCol w:w="599"/>
        <w:gridCol w:w="1347"/>
        <w:gridCol w:w="868"/>
        <w:gridCol w:w="1309"/>
        <w:gridCol w:w="705"/>
        <w:gridCol w:w="839"/>
        <w:gridCol w:w="1108"/>
        <w:gridCol w:w="945"/>
        <w:gridCol w:w="839"/>
      </w:tblGrid>
      <w:tr w:rsidR="00C66B82" w14:paraId="159F884D" w14:textId="77777777" w:rsidTr="00612323">
        <w:tc>
          <w:tcPr>
            <w:tcW w:w="655" w:type="dxa"/>
          </w:tcPr>
          <w:p w14:paraId="59E9A023" w14:textId="77777777" w:rsidR="00C66B82" w:rsidRDefault="00C66B82" w:rsidP="00612323">
            <w:bookmarkStart w:id="9" w:name="_Hlk214570954"/>
            <w:r>
              <w:t>FMEA Step</w:t>
            </w:r>
          </w:p>
        </w:tc>
        <w:tc>
          <w:tcPr>
            <w:tcW w:w="1348" w:type="dxa"/>
          </w:tcPr>
          <w:p w14:paraId="72B142E4" w14:textId="77777777" w:rsidR="00C66B82" w:rsidRDefault="00C66B82" w:rsidP="00612323">
            <w:r>
              <w:t>Sub-step</w:t>
            </w:r>
          </w:p>
        </w:tc>
        <w:tc>
          <w:tcPr>
            <w:tcW w:w="1294" w:type="dxa"/>
          </w:tcPr>
          <w:p w14:paraId="15601F6A" w14:textId="77777777" w:rsidR="00C66B82" w:rsidRDefault="00C66B82" w:rsidP="00612323">
            <w:r>
              <w:t>Process Area</w:t>
            </w:r>
          </w:p>
        </w:tc>
        <w:tc>
          <w:tcPr>
            <w:tcW w:w="1324" w:type="dxa"/>
          </w:tcPr>
          <w:p w14:paraId="23A1DF48" w14:textId="77777777" w:rsidR="00C66B82" w:rsidRDefault="00C66B82" w:rsidP="00612323">
            <w:r>
              <w:t>Process Step</w:t>
            </w:r>
          </w:p>
        </w:tc>
        <w:tc>
          <w:tcPr>
            <w:tcW w:w="1186" w:type="dxa"/>
          </w:tcPr>
          <w:p w14:paraId="13FF825C" w14:textId="77777777" w:rsidR="00C66B82" w:rsidRDefault="00C66B82" w:rsidP="00612323">
            <w:r>
              <w:t>Potential Failure Mode</w:t>
            </w:r>
          </w:p>
        </w:tc>
        <w:tc>
          <w:tcPr>
            <w:tcW w:w="1152" w:type="dxa"/>
          </w:tcPr>
          <w:p w14:paraId="4C38B58C" w14:textId="77777777" w:rsidR="00C66B82" w:rsidRDefault="00C66B82" w:rsidP="00612323">
            <w:r>
              <w:t>Potential Failure Effect</w:t>
            </w:r>
          </w:p>
        </w:tc>
        <w:tc>
          <w:tcPr>
            <w:tcW w:w="819" w:type="dxa"/>
          </w:tcPr>
          <w:p w14:paraId="3699A98E" w14:textId="77777777" w:rsidR="00C66B82" w:rsidRDefault="00C66B82" w:rsidP="00612323">
            <w:r>
              <w:t>Severity (Pre)</w:t>
            </w:r>
          </w:p>
        </w:tc>
        <w:tc>
          <w:tcPr>
            <w:tcW w:w="1163" w:type="dxa"/>
          </w:tcPr>
          <w:p w14:paraId="400A836E" w14:textId="77777777" w:rsidR="00C66B82" w:rsidRDefault="00C66B82" w:rsidP="00612323">
            <w:r>
              <w:t>Potential Failure Cause</w:t>
            </w:r>
          </w:p>
        </w:tc>
        <w:tc>
          <w:tcPr>
            <w:tcW w:w="1055" w:type="dxa"/>
          </w:tcPr>
          <w:p w14:paraId="6E60DA71" w14:textId="77777777" w:rsidR="00C66B82" w:rsidRDefault="00C66B82" w:rsidP="00612323">
            <w:r>
              <w:t>Occurrence (Pre)</w:t>
            </w:r>
          </w:p>
        </w:tc>
        <w:tc>
          <w:tcPr>
            <w:tcW w:w="1196" w:type="dxa"/>
          </w:tcPr>
          <w:p w14:paraId="14A905D5" w14:textId="77777777" w:rsidR="00C66B82" w:rsidRDefault="00C66B82" w:rsidP="00612323">
            <w:r>
              <w:t>Current Controls</w:t>
            </w:r>
          </w:p>
        </w:tc>
        <w:tc>
          <w:tcPr>
            <w:tcW w:w="923" w:type="dxa"/>
          </w:tcPr>
          <w:p w14:paraId="33517BB2" w14:textId="77777777" w:rsidR="00C66B82" w:rsidRDefault="00C66B82" w:rsidP="00612323">
            <w:r>
              <w:t>Detection (Pre)</w:t>
            </w:r>
          </w:p>
        </w:tc>
        <w:tc>
          <w:tcPr>
            <w:tcW w:w="600" w:type="dxa"/>
          </w:tcPr>
          <w:p w14:paraId="580321CC" w14:textId="77777777" w:rsidR="00C66B82" w:rsidRDefault="00C66B82" w:rsidP="00612323">
            <w:r>
              <w:t>RPN (Pre)</w:t>
            </w:r>
          </w:p>
        </w:tc>
        <w:tc>
          <w:tcPr>
            <w:tcW w:w="1330" w:type="dxa"/>
          </w:tcPr>
          <w:p w14:paraId="0B34698D" w14:textId="77777777" w:rsidR="00C66B82" w:rsidRDefault="00C66B82" w:rsidP="00612323">
            <w:r>
              <w:t>Mitigating Actions</w:t>
            </w:r>
          </w:p>
        </w:tc>
        <w:tc>
          <w:tcPr>
            <w:tcW w:w="828" w:type="dxa"/>
          </w:tcPr>
          <w:p w14:paraId="74C202E9" w14:textId="77777777" w:rsidR="00C66B82" w:rsidRDefault="00C66B82" w:rsidP="00612323">
            <w:r>
              <w:t>Target Date</w:t>
            </w:r>
          </w:p>
        </w:tc>
        <w:tc>
          <w:tcPr>
            <w:tcW w:w="1294" w:type="dxa"/>
          </w:tcPr>
          <w:p w14:paraId="51F6A9CB" w14:textId="77777777" w:rsidR="00C66B82" w:rsidRDefault="00C66B82" w:rsidP="00612323">
            <w:r>
              <w:t>Responsible</w:t>
            </w:r>
          </w:p>
        </w:tc>
        <w:tc>
          <w:tcPr>
            <w:tcW w:w="670" w:type="dxa"/>
          </w:tcPr>
          <w:p w14:paraId="7EDCA20A" w14:textId="77777777" w:rsidR="00C66B82" w:rsidRDefault="00C66B82" w:rsidP="00612323">
            <w:r>
              <w:t>Status</w:t>
            </w:r>
          </w:p>
        </w:tc>
        <w:tc>
          <w:tcPr>
            <w:tcW w:w="819" w:type="dxa"/>
          </w:tcPr>
          <w:p w14:paraId="71415CE8" w14:textId="77777777" w:rsidR="00C66B82" w:rsidRDefault="00C66B82" w:rsidP="00612323">
            <w:r>
              <w:t>Severity (Post)</w:t>
            </w:r>
          </w:p>
        </w:tc>
        <w:tc>
          <w:tcPr>
            <w:tcW w:w="1055" w:type="dxa"/>
          </w:tcPr>
          <w:p w14:paraId="7396131C" w14:textId="77777777" w:rsidR="00C66B82" w:rsidRDefault="00C66B82" w:rsidP="00612323">
            <w:r>
              <w:t>Occurrence (Post)</w:t>
            </w:r>
          </w:p>
        </w:tc>
        <w:tc>
          <w:tcPr>
            <w:tcW w:w="923" w:type="dxa"/>
          </w:tcPr>
          <w:p w14:paraId="5F68097D" w14:textId="77777777" w:rsidR="00C66B82" w:rsidRDefault="00C66B82" w:rsidP="00612323">
            <w:r>
              <w:t>Detection (Post)</w:t>
            </w:r>
          </w:p>
        </w:tc>
        <w:tc>
          <w:tcPr>
            <w:tcW w:w="793" w:type="dxa"/>
          </w:tcPr>
          <w:p w14:paraId="3540E50A" w14:textId="77777777" w:rsidR="00C66B82" w:rsidRDefault="00C66B82" w:rsidP="00612323">
            <w:r>
              <w:t>Revised RPN</w:t>
            </w:r>
          </w:p>
        </w:tc>
      </w:tr>
      <w:tr w:rsidR="00C66B82" w14:paraId="5BB2A693" w14:textId="77777777" w:rsidTr="00612323">
        <w:tc>
          <w:tcPr>
            <w:tcW w:w="655" w:type="dxa"/>
          </w:tcPr>
          <w:p w14:paraId="243CB962" w14:textId="77777777" w:rsidR="00C66B82" w:rsidRDefault="00C66B82" w:rsidP="00612323">
            <w:r>
              <w:t>1</w:t>
            </w:r>
          </w:p>
        </w:tc>
        <w:tc>
          <w:tcPr>
            <w:tcW w:w="1348" w:type="dxa"/>
          </w:tcPr>
          <w:p w14:paraId="48A09C0C" w14:textId="77777777" w:rsidR="00C66B82" w:rsidRDefault="00C66B82" w:rsidP="00612323">
            <w:r>
              <w:t>1.1.1 API Supplier Qualification Review</w:t>
            </w:r>
            <w:r>
              <w:br/>
              <w:t>1.1.2 GMP Compliance &amp; Audit Scheduling</w:t>
            </w:r>
            <w:r>
              <w:br/>
              <w:t>1.1.3 API Capacity Assessment</w:t>
            </w:r>
            <w:r>
              <w:br/>
              <w:t>1.1.4 Supplier Risk Monitoring</w:t>
            </w:r>
            <w:r>
              <w:br/>
              <w:t>1.1.5 API Contingency Sourcing</w:t>
            </w:r>
          </w:p>
        </w:tc>
        <w:tc>
          <w:tcPr>
            <w:tcW w:w="1294" w:type="dxa"/>
          </w:tcPr>
          <w:p w14:paraId="548F6215" w14:textId="77777777" w:rsidR="00C66B82" w:rsidRDefault="00C66B82" w:rsidP="00612323">
            <w:r>
              <w:t>Supplier Management</w:t>
            </w:r>
          </w:p>
        </w:tc>
        <w:tc>
          <w:tcPr>
            <w:tcW w:w="1324" w:type="dxa"/>
          </w:tcPr>
          <w:p w14:paraId="1BB2A4C9" w14:textId="77777777" w:rsidR="00C66B82" w:rsidRDefault="00C66B82" w:rsidP="00612323">
            <w:r>
              <w:t>API Sourcing, Qualification &amp; Risk Governance</w:t>
            </w:r>
          </w:p>
        </w:tc>
        <w:tc>
          <w:tcPr>
            <w:tcW w:w="1186" w:type="dxa"/>
          </w:tcPr>
          <w:p w14:paraId="2F686EBD" w14:textId="77777777" w:rsidR="00C66B82" w:rsidRDefault="00C66B82" w:rsidP="00612323">
            <w:r>
              <w:t>API delay or shortage</w:t>
            </w:r>
          </w:p>
        </w:tc>
        <w:tc>
          <w:tcPr>
            <w:tcW w:w="1152" w:type="dxa"/>
          </w:tcPr>
          <w:p w14:paraId="546D1995" w14:textId="77777777" w:rsidR="00C66B82" w:rsidRDefault="00C66B82" w:rsidP="00612323">
            <w:r>
              <w:t>Global production stoppage; stockouts; regulatory pressure; patient risk</w:t>
            </w:r>
          </w:p>
        </w:tc>
        <w:tc>
          <w:tcPr>
            <w:tcW w:w="819" w:type="dxa"/>
          </w:tcPr>
          <w:p w14:paraId="787B498F" w14:textId="77777777" w:rsidR="00C66B82" w:rsidRDefault="00C66B82" w:rsidP="00612323">
            <w:r>
              <w:t>9</w:t>
            </w:r>
          </w:p>
        </w:tc>
        <w:tc>
          <w:tcPr>
            <w:tcW w:w="1163" w:type="dxa"/>
          </w:tcPr>
          <w:p w14:paraId="2CC1EA63" w14:textId="77777777" w:rsidR="00C66B82" w:rsidRDefault="00C66B82" w:rsidP="00612323">
            <w:r>
              <w:t>Single-source reliance; geopolitical issues; GMP failures</w:t>
            </w:r>
          </w:p>
        </w:tc>
        <w:tc>
          <w:tcPr>
            <w:tcW w:w="1055" w:type="dxa"/>
          </w:tcPr>
          <w:p w14:paraId="2649A01F" w14:textId="77777777" w:rsidR="00C66B82" w:rsidRDefault="00C66B82" w:rsidP="00612323">
            <w:r>
              <w:t>7</w:t>
            </w:r>
          </w:p>
        </w:tc>
        <w:tc>
          <w:tcPr>
            <w:tcW w:w="1196" w:type="dxa"/>
          </w:tcPr>
          <w:p w14:paraId="71909C07" w14:textId="77777777" w:rsidR="00C66B82" w:rsidRDefault="00C66B82" w:rsidP="00612323">
            <w:r>
              <w:t>Supplier qualification; agreements; safety stock; monitoring</w:t>
            </w:r>
          </w:p>
        </w:tc>
        <w:tc>
          <w:tcPr>
            <w:tcW w:w="923" w:type="dxa"/>
          </w:tcPr>
          <w:p w14:paraId="53BE9F6B" w14:textId="77777777" w:rsidR="00C66B82" w:rsidRDefault="00C66B82" w:rsidP="00612323">
            <w:r>
              <w:t>6</w:t>
            </w:r>
          </w:p>
        </w:tc>
        <w:tc>
          <w:tcPr>
            <w:tcW w:w="600" w:type="dxa"/>
            <w:shd w:val="clear" w:color="auto" w:fill="FF6666"/>
          </w:tcPr>
          <w:p w14:paraId="52F6B4D8" w14:textId="77777777" w:rsidR="00C66B82" w:rsidRDefault="00C66B82" w:rsidP="00612323">
            <w:r>
              <w:t>378</w:t>
            </w:r>
          </w:p>
        </w:tc>
        <w:tc>
          <w:tcPr>
            <w:tcW w:w="1330" w:type="dxa"/>
          </w:tcPr>
          <w:p w14:paraId="5D84AEAA" w14:textId="77777777" w:rsidR="00C66B82" w:rsidRDefault="00C66B82" w:rsidP="00612323">
            <w:r>
              <w:t>Dual sourcing; API risk dashboard; increased API safety stock</w:t>
            </w:r>
          </w:p>
        </w:tc>
        <w:tc>
          <w:tcPr>
            <w:tcW w:w="828" w:type="dxa"/>
          </w:tcPr>
          <w:p w14:paraId="462D94B0" w14:textId="77777777" w:rsidR="00C66B82" w:rsidRDefault="00C66B82" w:rsidP="00612323">
            <w:r>
              <w:t>6–18 months</w:t>
            </w:r>
          </w:p>
        </w:tc>
        <w:tc>
          <w:tcPr>
            <w:tcW w:w="1294" w:type="dxa"/>
          </w:tcPr>
          <w:p w14:paraId="5DADF11D" w14:textId="77777777" w:rsidR="00C66B82" w:rsidRDefault="00C66B82" w:rsidP="00612323">
            <w:r>
              <w:t>Procurement / QA</w:t>
            </w:r>
          </w:p>
        </w:tc>
        <w:tc>
          <w:tcPr>
            <w:tcW w:w="670" w:type="dxa"/>
          </w:tcPr>
          <w:p w14:paraId="7507C2D1" w14:textId="77777777" w:rsidR="00C66B82" w:rsidRDefault="00C66B82" w:rsidP="00612323">
            <w:r>
              <w:t>Open</w:t>
            </w:r>
          </w:p>
        </w:tc>
        <w:tc>
          <w:tcPr>
            <w:tcW w:w="819" w:type="dxa"/>
          </w:tcPr>
          <w:p w14:paraId="45C9D199" w14:textId="77777777" w:rsidR="00C66B82" w:rsidRDefault="00C66B82" w:rsidP="00612323">
            <w:r>
              <w:t>9</w:t>
            </w:r>
          </w:p>
        </w:tc>
        <w:tc>
          <w:tcPr>
            <w:tcW w:w="1055" w:type="dxa"/>
          </w:tcPr>
          <w:p w14:paraId="6A7AB638" w14:textId="77777777" w:rsidR="00C66B82" w:rsidRDefault="00C66B82" w:rsidP="00612323">
            <w:r>
              <w:t>5</w:t>
            </w:r>
          </w:p>
        </w:tc>
        <w:tc>
          <w:tcPr>
            <w:tcW w:w="923" w:type="dxa"/>
          </w:tcPr>
          <w:p w14:paraId="00AD61CE" w14:textId="77777777" w:rsidR="00C66B82" w:rsidRDefault="00C66B82" w:rsidP="00612323">
            <w:r>
              <w:t>4</w:t>
            </w:r>
          </w:p>
        </w:tc>
        <w:tc>
          <w:tcPr>
            <w:tcW w:w="793" w:type="dxa"/>
            <w:shd w:val="clear" w:color="auto" w:fill="FFCC66"/>
          </w:tcPr>
          <w:p w14:paraId="168DDF0D" w14:textId="77777777" w:rsidR="00C66B82" w:rsidRDefault="00C66B82" w:rsidP="00612323">
            <w:r>
              <w:t>180</w:t>
            </w:r>
          </w:p>
        </w:tc>
      </w:tr>
      <w:tr w:rsidR="00C66B82" w14:paraId="46CC6594" w14:textId="77777777" w:rsidTr="00612323">
        <w:tc>
          <w:tcPr>
            <w:tcW w:w="655" w:type="dxa"/>
          </w:tcPr>
          <w:p w14:paraId="6FAD4B39" w14:textId="77777777" w:rsidR="00C66B82" w:rsidRDefault="00C66B82" w:rsidP="00612323">
            <w:r>
              <w:t>1</w:t>
            </w:r>
          </w:p>
        </w:tc>
        <w:tc>
          <w:tcPr>
            <w:tcW w:w="1348" w:type="dxa"/>
          </w:tcPr>
          <w:p w14:paraId="662BCEED" w14:textId="77777777" w:rsidR="00C66B82" w:rsidRDefault="00C66B82" w:rsidP="00612323">
            <w:r>
              <w:t>1.2.1 Demand Consolidation</w:t>
            </w:r>
            <w:r>
              <w:br/>
              <w:t>1.2.2 Supplier Capacity Checks</w:t>
            </w:r>
            <w:r>
              <w:br/>
              <w:t>1.2.3 Specification Approval</w:t>
            </w:r>
            <w:r>
              <w:br/>
              <w:t>1.2.4 Multi-Sourcing</w:t>
            </w:r>
            <w:r>
              <w:br/>
              <w:t>1.2.5 Supplier Monitoring</w:t>
            </w:r>
          </w:p>
        </w:tc>
        <w:tc>
          <w:tcPr>
            <w:tcW w:w="1294" w:type="dxa"/>
          </w:tcPr>
          <w:p w14:paraId="39AE58CD" w14:textId="77777777" w:rsidR="00C66B82" w:rsidRDefault="00C66B82" w:rsidP="00612323">
            <w:r>
              <w:t>Materials Procurement</w:t>
            </w:r>
          </w:p>
        </w:tc>
        <w:tc>
          <w:tcPr>
            <w:tcW w:w="1324" w:type="dxa"/>
          </w:tcPr>
          <w:p w14:paraId="7091903A" w14:textId="77777777" w:rsidR="00C66B82" w:rsidRDefault="00C66B82" w:rsidP="00612323">
            <w:r>
              <w:t>Packaging Component Sourcing &amp; Supplier Strategy</w:t>
            </w:r>
          </w:p>
        </w:tc>
        <w:tc>
          <w:tcPr>
            <w:tcW w:w="1186" w:type="dxa"/>
          </w:tcPr>
          <w:p w14:paraId="1B570685" w14:textId="77777777" w:rsidR="00C66B82" w:rsidRDefault="00C66B82" w:rsidP="00612323">
            <w:r>
              <w:t>Packaging shortages</w:t>
            </w:r>
          </w:p>
        </w:tc>
        <w:tc>
          <w:tcPr>
            <w:tcW w:w="1152" w:type="dxa"/>
          </w:tcPr>
          <w:p w14:paraId="74A1E31F" w14:textId="77777777" w:rsidR="00C66B82" w:rsidRDefault="00C66B82" w:rsidP="00612323">
            <w:r>
              <w:t>Packing delays; increased cost; inability to complete batches</w:t>
            </w:r>
          </w:p>
        </w:tc>
        <w:tc>
          <w:tcPr>
            <w:tcW w:w="819" w:type="dxa"/>
          </w:tcPr>
          <w:p w14:paraId="01930F0E" w14:textId="77777777" w:rsidR="00C66B82" w:rsidRDefault="00C66B82" w:rsidP="00612323">
            <w:r>
              <w:t>6</w:t>
            </w:r>
          </w:p>
        </w:tc>
        <w:tc>
          <w:tcPr>
            <w:tcW w:w="1163" w:type="dxa"/>
          </w:tcPr>
          <w:p w14:paraId="01B54A0E" w14:textId="77777777" w:rsidR="00C66B82" w:rsidRDefault="00C66B82" w:rsidP="00612323">
            <w:r>
              <w:t>Material shortages; limited suppliers; long lead times</w:t>
            </w:r>
          </w:p>
        </w:tc>
        <w:tc>
          <w:tcPr>
            <w:tcW w:w="1055" w:type="dxa"/>
          </w:tcPr>
          <w:p w14:paraId="22E6B6E2" w14:textId="77777777" w:rsidR="00C66B82" w:rsidRDefault="00C66B82" w:rsidP="00612323">
            <w:r>
              <w:t>6</w:t>
            </w:r>
          </w:p>
        </w:tc>
        <w:tc>
          <w:tcPr>
            <w:tcW w:w="1196" w:type="dxa"/>
          </w:tcPr>
          <w:p w14:paraId="0802B922" w14:textId="77777777" w:rsidR="00C66B82" w:rsidRDefault="00C66B82" w:rsidP="00612323">
            <w:r>
              <w:t>Forecasting; contracts; supplier reviews</w:t>
            </w:r>
          </w:p>
        </w:tc>
        <w:tc>
          <w:tcPr>
            <w:tcW w:w="923" w:type="dxa"/>
          </w:tcPr>
          <w:p w14:paraId="6B84FAF1" w14:textId="77777777" w:rsidR="00C66B82" w:rsidRDefault="00C66B82" w:rsidP="00612323">
            <w:r>
              <w:t>5</w:t>
            </w:r>
          </w:p>
        </w:tc>
        <w:tc>
          <w:tcPr>
            <w:tcW w:w="600" w:type="dxa"/>
            <w:shd w:val="clear" w:color="auto" w:fill="FFCC66"/>
          </w:tcPr>
          <w:p w14:paraId="679BF0D6" w14:textId="77777777" w:rsidR="00C66B82" w:rsidRDefault="00C66B82" w:rsidP="00612323">
            <w:r>
              <w:t>180</w:t>
            </w:r>
          </w:p>
        </w:tc>
        <w:tc>
          <w:tcPr>
            <w:tcW w:w="1330" w:type="dxa"/>
          </w:tcPr>
          <w:p w14:paraId="64733EF2" w14:textId="77777777" w:rsidR="00C66B82" w:rsidRDefault="00C66B82" w:rsidP="00612323">
            <w:r>
              <w:t>Multi-sourcing; regional suppliers; buffer stocks</w:t>
            </w:r>
          </w:p>
        </w:tc>
        <w:tc>
          <w:tcPr>
            <w:tcW w:w="828" w:type="dxa"/>
          </w:tcPr>
          <w:p w14:paraId="3442B7C3" w14:textId="77777777" w:rsidR="00C66B82" w:rsidRDefault="00C66B82" w:rsidP="00612323">
            <w:r>
              <w:t>6–12 months</w:t>
            </w:r>
          </w:p>
        </w:tc>
        <w:tc>
          <w:tcPr>
            <w:tcW w:w="1294" w:type="dxa"/>
          </w:tcPr>
          <w:p w14:paraId="7E907240" w14:textId="77777777" w:rsidR="00C66B82" w:rsidRDefault="00C66B82" w:rsidP="00612323">
            <w:r>
              <w:t>Procurement / Planning</w:t>
            </w:r>
          </w:p>
        </w:tc>
        <w:tc>
          <w:tcPr>
            <w:tcW w:w="670" w:type="dxa"/>
          </w:tcPr>
          <w:p w14:paraId="067C0D38" w14:textId="77777777" w:rsidR="00C66B82" w:rsidRDefault="00C66B82" w:rsidP="00612323">
            <w:r>
              <w:t>Open</w:t>
            </w:r>
          </w:p>
        </w:tc>
        <w:tc>
          <w:tcPr>
            <w:tcW w:w="819" w:type="dxa"/>
          </w:tcPr>
          <w:p w14:paraId="6013DC82" w14:textId="77777777" w:rsidR="00C66B82" w:rsidRDefault="00C66B82" w:rsidP="00612323">
            <w:r>
              <w:t>6</w:t>
            </w:r>
          </w:p>
        </w:tc>
        <w:tc>
          <w:tcPr>
            <w:tcW w:w="1055" w:type="dxa"/>
          </w:tcPr>
          <w:p w14:paraId="74FF45C8" w14:textId="77777777" w:rsidR="00C66B82" w:rsidRDefault="00C66B82" w:rsidP="00612323">
            <w:r>
              <w:t>4</w:t>
            </w:r>
          </w:p>
        </w:tc>
        <w:tc>
          <w:tcPr>
            <w:tcW w:w="923" w:type="dxa"/>
          </w:tcPr>
          <w:p w14:paraId="002512B4" w14:textId="77777777" w:rsidR="00C66B82" w:rsidRDefault="00C66B82" w:rsidP="00612323">
            <w:r>
              <w:t>3</w:t>
            </w:r>
          </w:p>
        </w:tc>
        <w:tc>
          <w:tcPr>
            <w:tcW w:w="793" w:type="dxa"/>
            <w:shd w:val="clear" w:color="auto" w:fill="CCFFCC"/>
          </w:tcPr>
          <w:p w14:paraId="294B3F69" w14:textId="77777777" w:rsidR="00C66B82" w:rsidRDefault="00C66B82" w:rsidP="00612323">
            <w:r>
              <w:t>72</w:t>
            </w:r>
          </w:p>
        </w:tc>
      </w:tr>
      <w:tr w:rsidR="00C66B82" w14:paraId="19C88BD5" w14:textId="77777777" w:rsidTr="00612323">
        <w:tc>
          <w:tcPr>
            <w:tcW w:w="655" w:type="dxa"/>
          </w:tcPr>
          <w:p w14:paraId="2A61BD1A" w14:textId="77777777" w:rsidR="00C66B82" w:rsidRDefault="00C66B82" w:rsidP="00612323">
            <w:r>
              <w:t>1</w:t>
            </w:r>
          </w:p>
        </w:tc>
        <w:tc>
          <w:tcPr>
            <w:tcW w:w="1348" w:type="dxa"/>
          </w:tcPr>
          <w:p w14:paraId="02A05C3A" w14:textId="77777777" w:rsidR="00C66B82" w:rsidRDefault="00C66B82" w:rsidP="00612323">
            <w:r>
              <w:t>1.3.1 Financial Check</w:t>
            </w:r>
            <w:r>
              <w:br/>
              <w:t>1.3.2 Risk Scoring</w:t>
            </w:r>
            <w:r>
              <w:br/>
              <w:t>1.3.3 Payment Monitoring</w:t>
            </w:r>
            <w:r>
              <w:br/>
              <w:t>1.3.4 Contingency Planning</w:t>
            </w:r>
            <w:r>
              <w:br/>
              <w:t xml:space="preserve">1.3.5 </w:t>
            </w:r>
            <w:r>
              <w:lastRenderedPageBreak/>
              <w:t>Backup Supplier</w:t>
            </w:r>
          </w:p>
        </w:tc>
        <w:tc>
          <w:tcPr>
            <w:tcW w:w="1294" w:type="dxa"/>
          </w:tcPr>
          <w:p w14:paraId="5CFEBF03" w14:textId="77777777" w:rsidR="00C66B82" w:rsidRDefault="00C66B82" w:rsidP="00612323">
            <w:r>
              <w:lastRenderedPageBreak/>
              <w:t>Supplier Risk &amp; Finance</w:t>
            </w:r>
          </w:p>
        </w:tc>
        <w:tc>
          <w:tcPr>
            <w:tcW w:w="1324" w:type="dxa"/>
          </w:tcPr>
          <w:p w14:paraId="33F2BACC" w14:textId="77777777" w:rsidR="00C66B82" w:rsidRDefault="00C66B82" w:rsidP="00612323">
            <w:r>
              <w:t>Financial Stability Monitoring</w:t>
            </w:r>
          </w:p>
        </w:tc>
        <w:tc>
          <w:tcPr>
            <w:tcW w:w="1186" w:type="dxa"/>
          </w:tcPr>
          <w:p w14:paraId="01F4F363" w14:textId="77777777" w:rsidR="00C66B82" w:rsidRDefault="00C66B82" w:rsidP="00612323">
            <w:r>
              <w:t>Supplier insolvency</w:t>
            </w:r>
          </w:p>
        </w:tc>
        <w:tc>
          <w:tcPr>
            <w:tcW w:w="1152" w:type="dxa"/>
          </w:tcPr>
          <w:p w14:paraId="2D29D730" w14:textId="77777777" w:rsidR="00C66B82" w:rsidRDefault="00C66B82" w:rsidP="00612323">
            <w:r>
              <w:t>Loss of supply; emergency sourcing</w:t>
            </w:r>
          </w:p>
        </w:tc>
        <w:tc>
          <w:tcPr>
            <w:tcW w:w="819" w:type="dxa"/>
          </w:tcPr>
          <w:p w14:paraId="39310516" w14:textId="77777777" w:rsidR="00C66B82" w:rsidRDefault="00C66B82" w:rsidP="00612323">
            <w:r>
              <w:t>9</w:t>
            </w:r>
          </w:p>
        </w:tc>
        <w:tc>
          <w:tcPr>
            <w:tcW w:w="1163" w:type="dxa"/>
          </w:tcPr>
          <w:p w14:paraId="289CF3C3" w14:textId="77777777" w:rsidR="00C66B82" w:rsidRDefault="00C66B82" w:rsidP="00612323">
            <w:r>
              <w:t>Economic downturn; financial weakness</w:t>
            </w:r>
          </w:p>
        </w:tc>
        <w:tc>
          <w:tcPr>
            <w:tcW w:w="1055" w:type="dxa"/>
          </w:tcPr>
          <w:p w14:paraId="2840405B" w14:textId="77777777" w:rsidR="00C66B82" w:rsidRDefault="00C66B82" w:rsidP="00612323">
            <w:r>
              <w:t>4</w:t>
            </w:r>
          </w:p>
        </w:tc>
        <w:tc>
          <w:tcPr>
            <w:tcW w:w="1196" w:type="dxa"/>
          </w:tcPr>
          <w:p w14:paraId="43F1A598" w14:textId="77777777" w:rsidR="00C66B82" w:rsidRDefault="00C66B82" w:rsidP="00612323">
            <w:r>
              <w:t>Financial checks; qualification</w:t>
            </w:r>
          </w:p>
        </w:tc>
        <w:tc>
          <w:tcPr>
            <w:tcW w:w="923" w:type="dxa"/>
          </w:tcPr>
          <w:p w14:paraId="286A9D73" w14:textId="77777777" w:rsidR="00C66B82" w:rsidRDefault="00C66B82" w:rsidP="00612323">
            <w:r>
              <w:t>7</w:t>
            </w:r>
          </w:p>
        </w:tc>
        <w:tc>
          <w:tcPr>
            <w:tcW w:w="600" w:type="dxa"/>
            <w:shd w:val="clear" w:color="auto" w:fill="FFCC66"/>
          </w:tcPr>
          <w:p w14:paraId="1D270777" w14:textId="77777777" w:rsidR="00C66B82" w:rsidRDefault="00C66B82" w:rsidP="00612323">
            <w:r>
              <w:t>252</w:t>
            </w:r>
          </w:p>
        </w:tc>
        <w:tc>
          <w:tcPr>
            <w:tcW w:w="1330" w:type="dxa"/>
          </w:tcPr>
          <w:p w14:paraId="7D562D07" w14:textId="77777777" w:rsidR="00C66B82" w:rsidRDefault="00C66B82" w:rsidP="00612323">
            <w:r>
              <w:t>Financial dashboards; alternative suppliers</w:t>
            </w:r>
          </w:p>
        </w:tc>
        <w:tc>
          <w:tcPr>
            <w:tcW w:w="828" w:type="dxa"/>
          </w:tcPr>
          <w:p w14:paraId="6E0A6CB6" w14:textId="77777777" w:rsidR="00C66B82" w:rsidRDefault="00C66B82" w:rsidP="00612323">
            <w:r>
              <w:t>6–12 months</w:t>
            </w:r>
          </w:p>
        </w:tc>
        <w:tc>
          <w:tcPr>
            <w:tcW w:w="1294" w:type="dxa"/>
          </w:tcPr>
          <w:p w14:paraId="20F97609" w14:textId="77777777" w:rsidR="00C66B82" w:rsidRDefault="00C66B82" w:rsidP="00612323">
            <w:r>
              <w:t>Procurement / Finance</w:t>
            </w:r>
          </w:p>
        </w:tc>
        <w:tc>
          <w:tcPr>
            <w:tcW w:w="670" w:type="dxa"/>
          </w:tcPr>
          <w:p w14:paraId="1D31EABF" w14:textId="77777777" w:rsidR="00C66B82" w:rsidRDefault="00C66B82" w:rsidP="00612323">
            <w:r>
              <w:t>Open</w:t>
            </w:r>
          </w:p>
        </w:tc>
        <w:tc>
          <w:tcPr>
            <w:tcW w:w="819" w:type="dxa"/>
          </w:tcPr>
          <w:p w14:paraId="1F077310" w14:textId="77777777" w:rsidR="00C66B82" w:rsidRDefault="00C66B82" w:rsidP="00612323">
            <w:r>
              <w:t>9</w:t>
            </w:r>
          </w:p>
        </w:tc>
        <w:tc>
          <w:tcPr>
            <w:tcW w:w="1055" w:type="dxa"/>
          </w:tcPr>
          <w:p w14:paraId="7BD5DFD6" w14:textId="77777777" w:rsidR="00C66B82" w:rsidRDefault="00C66B82" w:rsidP="00612323">
            <w:r>
              <w:t>3</w:t>
            </w:r>
          </w:p>
        </w:tc>
        <w:tc>
          <w:tcPr>
            <w:tcW w:w="923" w:type="dxa"/>
          </w:tcPr>
          <w:p w14:paraId="56F90954" w14:textId="77777777" w:rsidR="00C66B82" w:rsidRDefault="00C66B82" w:rsidP="00612323">
            <w:r>
              <w:t>4</w:t>
            </w:r>
          </w:p>
        </w:tc>
        <w:tc>
          <w:tcPr>
            <w:tcW w:w="793" w:type="dxa"/>
            <w:shd w:val="clear" w:color="auto" w:fill="CCFFCC"/>
          </w:tcPr>
          <w:p w14:paraId="2AE7CDA2" w14:textId="77777777" w:rsidR="00C66B82" w:rsidRDefault="00C66B82" w:rsidP="00612323">
            <w:r>
              <w:t>108</w:t>
            </w:r>
          </w:p>
        </w:tc>
      </w:tr>
      <w:tr w:rsidR="00C66B82" w14:paraId="6A3CA10C" w14:textId="77777777" w:rsidTr="00612323">
        <w:tc>
          <w:tcPr>
            <w:tcW w:w="655" w:type="dxa"/>
          </w:tcPr>
          <w:p w14:paraId="3DA924E6" w14:textId="77777777" w:rsidR="00C66B82" w:rsidRDefault="00C66B82" w:rsidP="00612323">
            <w:r>
              <w:t>2</w:t>
            </w:r>
          </w:p>
        </w:tc>
        <w:tc>
          <w:tcPr>
            <w:tcW w:w="1348" w:type="dxa"/>
          </w:tcPr>
          <w:p w14:paraId="1CF96014" w14:textId="77777777" w:rsidR="00C66B82" w:rsidRDefault="00C66B82" w:rsidP="00612323">
            <w:r>
              <w:t>2.1.1 Line Setup</w:t>
            </w:r>
            <w:r>
              <w:br/>
              <w:t>2.1.2 Weighing &amp; Dispensing</w:t>
            </w:r>
            <w:r>
              <w:br/>
              <w:t>2.1.3 Blending</w:t>
            </w:r>
            <w:r>
              <w:br/>
              <w:t>2.1.4 Filling &amp; Sealing</w:t>
            </w:r>
            <w:r>
              <w:br/>
              <w:t>2.1.5 Batch Record Review</w:t>
            </w:r>
          </w:p>
        </w:tc>
        <w:tc>
          <w:tcPr>
            <w:tcW w:w="1294" w:type="dxa"/>
          </w:tcPr>
          <w:p w14:paraId="25E78E8C" w14:textId="77777777" w:rsidR="00C66B82" w:rsidRDefault="00C66B82" w:rsidP="00612323">
            <w:r>
              <w:t>Manufacturing Operations</w:t>
            </w:r>
          </w:p>
        </w:tc>
        <w:tc>
          <w:tcPr>
            <w:tcW w:w="1324" w:type="dxa"/>
          </w:tcPr>
          <w:p w14:paraId="3F545BF0" w14:textId="77777777" w:rsidR="00C66B82" w:rsidRDefault="00C66B82" w:rsidP="00612323">
            <w:r>
              <w:t>Batch Production &amp; GMP Execution</w:t>
            </w:r>
          </w:p>
        </w:tc>
        <w:tc>
          <w:tcPr>
            <w:tcW w:w="1186" w:type="dxa"/>
          </w:tcPr>
          <w:p w14:paraId="2257E02E" w14:textId="77777777" w:rsidR="00C66B82" w:rsidRDefault="00C66B82" w:rsidP="00612323">
            <w:r>
              <w:t>GMP deviation or downtime</w:t>
            </w:r>
          </w:p>
        </w:tc>
        <w:tc>
          <w:tcPr>
            <w:tcW w:w="1152" w:type="dxa"/>
          </w:tcPr>
          <w:p w14:paraId="203FFDF5" w14:textId="77777777" w:rsidR="00C66B82" w:rsidRDefault="00C66B82" w:rsidP="00612323">
            <w:r>
              <w:t>Batch rejection; delays; regulatory impact</w:t>
            </w:r>
          </w:p>
        </w:tc>
        <w:tc>
          <w:tcPr>
            <w:tcW w:w="819" w:type="dxa"/>
          </w:tcPr>
          <w:p w14:paraId="51FE7127" w14:textId="77777777" w:rsidR="00C66B82" w:rsidRDefault="00C66B82" w:rsidP="00612323">
            <w:r>
              <w:t>8</w:t>
            </w:r>
          </w:p>
        </w:tc>
        <w:tc>
          <w:tcPr>
            <w:tcW w:w="1163" w:type="dxa"/>
          </w:tcPr>
          <w:p w14:paraId="2947B425" w14:textId="77777777" w:rsidR="00C66B82" w:rsidRDefault="00C66B82" w:rsidP="00612323">
            <w:r>
              <w:t>Equipment failure; human error; poor maintenance</w:t>
            </w:r>
          </w:p>
        </w:tc>
        <w:tc>
          <w:tcPr>
            <w:tcW w:w="1055" w:type="dxa"/>
          </w:tcPr>
          <w:p w14:paraId="3ED6B427" w14:textId="77777777" w:rsidR="00C66B82" w:rsidRDefault="00C66B82" w:rsidP="00612323">
            <w:r>
              <w:t>5</w:t>
            </w:r>
          </w:p>
        </w:tc>
        <w:tc>
          <w:tcPr>
            <w:tcW w:w="1196" w:type="dxa"/>
          </w:tcPr>
          <w:p w14:paraId="4DCA054C" w14:textId="77777777" w:rsidR="00C66B82" w:rsidRDefault="00C66B82" w:rsidP="00612323">
            <w:r>
              <w:t>SOPs; PM; training</w:t>
            </w:r>
          </w:p>
        </w:tc>
        <w:tc>
          <w:tcPr>
            <w:tcW w:w="923" w:type="dxa"/>
          </w:tcPr>
          <w:p w14:paraId="5A3A193D" w14:textId="77777777" w:rsidR="00C66B82" w:rsidRDefault="00C66B82" w:rsidP="00612323">
            <w:r>
              <w:t>4</w:t>
            </w:r>
          </w:p>
        </w:tc>
        <w:tc>
          <w:tcPr>
            <w:tcW w:w="600" w:type="dxa"/>
            <w:shd w:val="clear" w:color="auto" w:fill="FFCC66"/>
          </w:tcPr>
          <w:p w14:paraId="01E710D5" w14:textId="77777777" w:rsidR="00C66B82" w:rsidRDefault="00C66B82" w:rsidP="00612323">
            <w:r>
              <w:t>160</w:t>
            </w:r>
          </w:p>
        </w:tc>
        <w:tc>
          <w:tcPr>
            <w:tcW w:w="1330" w:type="dxa"/>
          </w:tcPr>
          <w:p w14:paraId="187D5C6D" w14:textId="77777777" w:rsidR="00C66B82" w:rsidRDefault="00C66B82" w:rsidP="00612323">
            <w:r>
              <w:t>Predictive maintenance; OEE; GMP reviews</w:t>
            </w:r>
          </w:p>
        </w:tc>
        <w:tc>
          <w:tcPr>
            <w:tcW w:w="828" w:type="dxa"/>
          </w:tcPr>
          <w:p w14:paraId="1C4F790D" w14:textId="77777777" w:rsidR="00C66B82" w:rsidRDefault="00C66B82" w:rsidP="00612323">
            <w:r>
              <w:t>6–12 months</w:t>
            </w:r>
          </w:p>
        </w:tc>
        <w:tc>
          <w:tcPr>
            <w:tcW w:w="1294" w:type="dxa"/>
          </w:tcPr>
          <w:p w14:paraId="2FE39BB9" w14:textId="77777777" w:rsidR="00C66B82" w:rsidRDefault="00C66B82" w:rsidP="00612323">
            <w:r>
              <w:t>Manufacturing / QA</w:t>
            </w:r>
          </w:p>
        </w:tc>
        <w:tc>
          <w:tcPr>
            <w:tcW w:w="670" w:type="dxa"/>
          </w:tcPr>
          <w:p w14:paraId="49D9E44B" w14:textId="77777777" w:rsidR="00C66B82" w:rsidRDefault="00C66B82" w:rsidP="00612323">
            <w:r>
              <w:t>Open</w:t>
            </w:r>
          </w:p>
        </w:tc>
        <w:tc>
          <w:tcPr>
            <w:tcW w:w="819" w:type="dxa"/>
          </w:tcPr>
          <w:p w14:paraId="4717F427" w14:textId="77777777" w:rsidR="00C66B82" w:rsidRDefault="00C66B82" w:rsidP="00612323">
            <w:r>
              <w:t>8</w:t>
            </w:r>
          </w:p>
        </w:tc>
        <w:tc>
          <w:tcPr>
            <w:tcW w:w="1055" w:type="dxa"/>
          </w:tcPr>
          <w:p w14:paraId="7CFE4D03" w14:textId="77777777" w:rsidR="00C66B82" w:rsidRDefault="00C66B82" w:rsidP="00612323">
            <w:r>
              <w:t>3</w:t>
            </w:r>
          </w:p>
        </w:tc>
        <w:tc>
          <w:tcPr>
            <w:tcW w:w="923" w:type="dxa"/>
          </w:tcPr>
          <w:p w14:paraId="42DD6BEB" w14:textId="77777777" w:rsidR="00C66B82" w:rsidRDefault="00C66B82" w:rsidP="00612323">
            <w:r>
              <w:t>3</w:t>
            </w:r>
          </w:p>
        </w:tc>
        <w:tc>
          <w:tcPr>
            <w:tcW w:w="793" w:type="dxa"/>
            <w:shd w:val="clear" w:color="auto" w:fill="CCFFCC"/>
          </w:tcPr>
          <w:p w14:paraId="4381EBB7" w14:textId="77777777" w:rsidR="00C66B82" w:rsidRDefault="00C66B82" w:rsidP="00612323">
            <w:r>
              <w:t>72</w:t>
            </w:r>
          </w:p>
        </w:tc>
      </w:tr>
      <w:tr w:rsidR="00C66B82" w14:paraId="28825E6C" w14:textId="77777777" w:rsidTr="00612323">
        <w:tc>
          <w:tcPr>
            <w:tcW w:w="655" w:type="dxa"/>
          </w:tcPr>
          <w:p w14:paraId="32FB33D5" w14:textId="77777777" w:rsidR="00C66B82" w:rsidRDefault="00C66B82" w:rsidP="00612323">
            <w:r>
              <w:t>2</w:t>
            </w:r>
          </w:p>
        </w:tc>
        <w:tc>
          <w:tcPr>
            <w:tcW w:w="1348" w:type="dxa"/>
          </w:tcPr>
          <w:p w14:paraId="6A00507D" w14:textId="77777777" w:rsidR="00C66B82" w:rsidRDefault="00C66B82" w:rsidP="00612323">
            <w:r>
              <w:t>2.2.1 Sample Logging</w:t>
            </w:r>
            <w:r>
              <w:br/>
              <w:t>2.2.2 Analytical Testing</w:t>
            </w:r>
            <w:r>
              <w:br/>
              <w:t>2.2.3 Capacity Scheduling</w:t>
            </w:r>
            <w:r>
              <w:br/>
              <w:t>2.2.4 QP Certification</w:t>
            </w:r>
            <w:r>
              <w:br/>
              <w:t>2.2.5 QC Trending</w:t>
            </w:r>
          </w:p>
        </w:tc>
        <w:tc>
          <w:tcPr>
            <w:tcW w:w="1294" w:type="dxa"/>
          </w:tcPr>
          <w:p w14:paraId="291CAAA5" w14:textId="77777777" w:rsidR="00C66B82" w:rsidRDefault="00C66B82" w:rsidP="00612323">
            <w:r>
              <w:t>QC &amp; QP Release</w:t>
            </w:r>
          </w:p>
        </w:tc>
        <w:tc>
          <w:tcPr>
            <w:tcW w:w="1324" w:type="dxa"/>
          </w:tcPr>
          <w:p w14:paraId="4BCB509C" w14:textId="77777777" w:rsidR="00C66B82" w:rsidRDefault="00C66B82" w:rsidP="00612323">
            <w:r>
              <w:t>Analytical Testing &amp; Batch Certification</w:t>
            </w:r>
          </w:p>
        </w:tc>
        <w:tc>
          <w:tcPr>
            <w:tcW w:w="1186" w:type="dxa"/>
          </w:tcPr>
          <w:p w14:paraId="51E05440" w14:textId="77777777" w:rsidR="00C66B82" w:rsidRDefault="00C66B82" w:rsidP="00612323">
            <w:r>
              <w:t>QC testing delays</w:t>
            </w:r>
          </w:p>
        </w:tc>
        <w:tc>
          <w:tcPr>
            <w:tcW w:w="1152" w:type="dxa"/>
          </w:tcPr>
          <w:p w14:paraId="260D0474" w14:textId="77777777" w:rsidR="00C66B82" w:rsidRDefault="00C66B82" w:rsidP="00612323">
            <w:r>
              <w:t>Stockouts; batch delays; logistics pressure</w:t>
            </w:r>
          </w:p>
        </w:tc>
        <w:tc>
          <w:tcPr>
            <w:tcW w:w="819" w:type="dxa"/>
          </w:tcPr>
          <w:p w14:paraId="5C708A84" w14:textId="77777777" w:rsidR="00C66B82" w:rsidRDefault="00C66B82" w:rsidP="00612323">
            <w:r>
              <w:t>7</w:t>
            </w:r>
          </w:p>
        </w:tc>
        <w:tc>
          <w:tcPr>
            <w:tcW w:w="1163" w:type="dxa"/>
          </w:tcPr>
          <w:p w14:paraId="647EC284" w14:textId="77777777" w:rsidR="00C66B82" w:rsidRDefault="00C66B82" w:rsidP="00612323">
            <w:r>
              <w:t>Lab capacity issues; backlog</w:t>
            </w:r>
          </w:p>
        </w:tc>
        <w:tc>
          <w:tcPr>
            <w:tcW w:w="1055" w:type="dxa"/>
          </w:tcPr>
          <w:p w14:paraId="6DF9369D" w14:textId="77777777" w:rsidR="00C66B82" w:rsidRDefault="00C66B82" w:rsidP="00612323">
            <w:r>
              <w:t>6</w:t>
            </w:r>
          </w:p>
        </w:tc>
        <w:tc>
          <w:tcPr>
            <w:tcW w:w="1196" w:type="dxa"/>
          </w:tcPr>
          <w:p w14:paraId="0CB11E1F" w14:textId="77777777" w:rsidR="00C66B82" w:rsidRDefault="00C66B82" w:rsidP="00612323">
            <w:r>
              <w:t>QC planning; prioritisation</w:t>
            </w:r>
          </w:p>
        </w:tc>
        <w:tc>
          <w:tcPr>
            <w:tcW w:w="923" w:type="dxa"/>
          </w:tcPr>
          <w:p w14:paraId="01DD531F" w14:textId="77777777" w:rsidR="00C66B82" w:rsidRDefault="00C66B82" w:rsidP="00612323">
            <w:r>
              <w:t>4</w:t>
            </w:r>
          </w:p>
        </w:tc>
        <w:tc>
          <w:tcPr>
            <w:tcW w:w="600" w:type="dxa"/>
            <w:shd w:val="clear" w:color="auto" w:fill="FFCC66"/>
          </w:tcPr>
          <w:p w14:paraId="22CA8728" w14:textId="77777777" w:rsidR="00C66B82" w:rsidRDefault="00C66B82" w:rsidP="00612323">
            <w:r>
              <w:t>168</w:t>
            </w:r>
          </w:p>
        </w:tc>
        <w:tc>
          <w:tcPr>
            <w:tcW w:w="1330" w:type="dxa"/>
          </w:tcPr>
          <w:p w14:paraId="4EAFDA88" w14:textId="77777777" w:rsidR="00C66B82" w:rsidRDefault="00C66B82" w:rsidP="00612323">
            <w:r>
              <w:t>EBR; contract labs; streamlined documentation</w:t>
            </w:r>
          </w:p>
        </w:tc>
        <w:tc>
          <w:tcPr>
            <w:tcW w:w="828" w:type="dxa"/>
          </w:tcPr>
          <w:p w14:paraId="4B5F6B72" w14:textId="77777777" w:rsidR="00C66B82" w:rsidRDefault="00C66B82" w:rsidP="00612323">
            <w:r>
              <w:t>12–24 months</w:t>
            </w:r>
          </w:p>
        </w:tc>
        <w:tc>
          <w:tcPr>
            <w:tcW w:w="1294" w:type="dxa"/>
          </w:tcPr>
          <w:p w14:paraId="26A9DEAA" w14:textId="77777777" w:rsidR="00C66B82" w:rsidRDefault="00C66B82" w:rsidP="00612323">
            <w:r>
              <w:t>QC / QP</w:t>
            </w:r>
          </w:p>
        </w:tc>
        <w:tc>
          <w:tcPr>
            <w:tcW w:w="670" w:type="dxa"/>
          </w:tcPr>
          <w:p w14:paraId="5DCFE8F6" w14:textId="77777777" w:rsidR="00C66B82" w:rsidRDefault="00C66B82" w:rsidP="00612323">
            <w:r>
              <w:t>Open</w:t>
            </w:r>
          </w:p>
        </w:tc>
        <w:tc>
          <w:tcPr>
            <w:tcW w:w="819" w:type="dxa"/>
          </w:tcPr>
          <w:p w14:paraId="0C2910F8" w14:textId="77777777" w:rsidR="00C66B82" w:rsidRDefault="00C66B82" w:rsidP="00612323">
            <w:r>
              <w:t>7</w:t>
            </w:r>
          </w:p>
        </w:tc>
        <w:tc>
          <w:tcPr>
            <w:tcW w:w="1055" w:type="dxa"/>
          </w:tcPr>
          <w:p w14:paraId="1E7CA747" w14:textId="77777777" w:rsidR="00C66B82" w:rsidRDefault="00C66B82" w:rsidP="00612323">
            <w:r>
              <w:t>4</w:t>
            </w:r>
          </w:p>
        </w:tc>
        <w:tc>
          <w:tcPr>
            <w:tcW w:w="923" w:type="dxa"/>
          </w:tcPr>
          <w:p w14:paraId="2F2A1693" w14:textId="77777777" w:rsidR="00C66B82" w:rsidRDefault="00C66B82" w:rsidP="00612323">
            <w:r>
              <w:t>3</w:t>
            </w:r>
          </w:p>
        </w:tc>
        <w:tc>
          <w:tcPr>
            <w:tcW w:w="793" w:type="dxa"/>
            <w:shd w:val="clear" w:color="auto" w:fill="CCFFCC"/>
          </w:tcPr>
          <w:p w14:paraId="7CB0DFB0" w14:textId="77777777" w:rsidR="00C66B82" w:rsidRDefault="00C66B82" w:rsidP="00612323">
            <w:r>
              <w:t>84</w:t>
            </w:r>
          </w:p>
        </w:tc>
      </w:tr>
      <w:tr w:rsidR="00C66B82" w14:paraId="64FFE7C5" w14:textId="77777777" w:rsidTr="00612323">
        <w:tc>
          <w:tcPr>
            <w:tcW w:w="655" w:type="dxa"/>
          </w:tcPr>
          <w:p w14:paraId="2C6D15E6" w14:textId="77777777" w:rsidR="00C66B82" w:rsidRDefault="00C66B82" w:rsidP="00612323">
            <w:r>
              <w:t>3</w:t>
            </w:r>
          </w:p>
        </w:tc>
        <w:tc>
          <w:tcPr>
            <w:tcW w:w="1348" w:type="dxa"/>
          </w:tcPr>
          <w:p w14:paraId="6FEDE906" w14:textId="77777777" w:rsidR="00C66B82" w:rsidRDefault="00C66B82" w:rsidP="00612323">
            <w:r>
              <w:t>3.1.1 Export Docs</w:t>
            </w:r>
            <w:r>
              <w:br/>
              <w:t>3.1.2 Carrier Booking</w:t>
            </w:r>
            <w:r>
              <w:br/>
              <w:t>3.1.3 GDP Checks</w:t>
            </w:r>
            <w:r>
              <w:br/>
              <w:t>3.1.4 Customs Clearance</w:t>
            </w:r>
            <w:r>
              <w:br/>
              <w:t>3.1.5 Tracking</w:t>
            </w:r>
          </w:p>
        </w:tc>
        <w:tc>
          <w:tcPr>
            <w:tcW w:w="1294" w:type="dxa"/>
          </w:tcPr>
          <w:p w14:paraId="15118E88" w14:textId="77777777" w:rsidR="00C66B82" w:rsidRDefault="00C66B82" w:rsidP="00612323">
            <w:r>
              <w:t>Global Logistics</w:t>
            </w:r>
          </w:p>
        </w:tc>
        <w:tc>
          <w:tcPr>
            <w:tcW w:w="1324" w:type="dxa"/>
          </w:tcPr>
          <w:p w14:paraId="5D95BAEA" w14:textId="77777777" w:rsidR="00C66B82" w:rsidRDefault="00C66B82" w:rsidP="00612323">
            <w:r>
              <w:t>International Freight, Customs &amp; Movement</w:t>
            </w:r>
          </w:p>
        </w:tc>
        <w:tc>
          <w:tcPr>
            <w:tcW w:w="1186" w:type="dxa"/>
          </w:tcPr>
          <w:p w14:paraId="54309619" w14:textId="77777777" w:rsidR="00C66B82" w:rsidRDefault="00C66B82" w:rsidP="00612323">
            <w:r>
              <w:t>Customs or port delays</w:t>
            </w:r>
          </w:p>
        </w:tc>
        <w:tc>
          <w:tcPr>
            <w:tcW w:w="1152" w:type="dxa"/>
          </w:tcPr>
          <w:p w14:paraId="66FB16EB" w14:textId="77777777" w:rsidR="00C66B82" w:rsidRDefault="00C66B82" w:rsidP="00612323">
            <w:r>
              <w:t>Late deliveries; stockouts; emergency shipments</w:t>
            </w:r>
          </w:p>
        </w:tc>
        <w:tc>
          <w:tcPr>
            <w:tcW w:w="819" w:type="dxa"/>
          </w:tcPr>
          <w:p w14:paraId="49AB2D68" w14:textId="77777777" w:rsidR="00C66B82" w:rsidRDefault="00C66B82" w:rsidP="00612323">
            <w:r>
              <w:t>8</w:t>
            </w:r>
          </w:p>
        </w:tc>
        <w:tc>
          <w:tcPr>
            <w:tcW w:w="1163" w:type="dxa"/>
          </w:tcPr>
          <w:p w14:paraId="46F9C82C" w14:textId="77777777" w:rsidR="00C66B82" w:rsidRDefault="00C66B82" w:rsidP="00612323">
            <w:r>
              <w:t>Brexit friction; congestion; driver shortages</w:t>
            </w:r>
          </w:p>
        </w:tc>
        <w:tc>
          <w:tcPr>
            <w:tcW w:w="1055" w:type="dxa"/>
          </w:tcPr>
          <w:p w14:paraId="77810E35" w14:textId="77777777" w:rsidR="00C66B82" w:rsidRDefault="00C66B82" w:rsidP="00612323">
            <w:r>
              <w:t>7</w:t>
            </w:r>
          </w:p>
        </w:tc>
        <w:tc>
          <w:tcPr>
            <w:tcW w:w="1196" w:type="dxa"/>
          </w:tcPr>
          <w:p w14:paraId="2D0AF95F" w14:textId="77777777" w:rsidR="00C66B82" w:rsidRDefault="00C66B82" w:rsidP="00612323">
            <w:r>
              <w:t>Contracts; tracking; buffer stock</w:t>
            </w:r>
          </w:p>
        </w:tc>
        <w:tc>
          <w:tcPr>
            <w:tcW w:w="923" w:type="dxa"/>
          </w:tcPr>
          <w:p w14:paraId="190D7D91" w14:textId="77777777" w:rsidR="00C66B82" w:rsidRDefault="00C66B82" w:rsidP="00612323">
            <w:r>
              <w:t>5</w:t>
            </w:r>
          </w:p>
        </w:tc>
        <w:tc>
          <w:tcPr>
            <w:tcW w:w="600" w:type="dxa"/>
            <w:shd w:val="clear" w:color="auto" w:fill="FF6666"/>
          </w:tcPr>
          <w:p w14:paraId="3596E52A" w14:textId="77777777" w:rsidR="00C66B82" w:rsidRDefault="00C66B82" w:rsidP="00612323">
            <w:r>
              <w:t>280</w:t>
            </w:r>
          </w:p>
        </w:tc>
        <w:tc>
          <w:tcPr>
            <w:tcW w:w="1330" w:type="dxa"/>
          </w:tcPr>
          <w:p w14:paraId="78E24CA7" w14:textId="77777777" w:rsidR="00C66B82" w:rsidRDefault="00C66B82" w:rsidP="00612323">
            <w:r>
              <w:t>Multi-route options; bonded warehousing; predictive ETA</w:t>
            </w:r>
          </w:p>
        </w:tc>
        <w:tc>
          <w:tcPr>
            <w:tcW w:w="828" w:type="dxa"/>
          </w:tcPr>
          <w:p w14:paraId="1CA39F0D" w14:textId="77777777" w:rsidR="00C66B82" w:rsidRDefault="00C66B82" w:rsidP="00612323">
            <w:r>
              <w:t>6–18 months</w:t>
            </w:r>
          </w:p>
        </w:tc>
        <w:tc>
          <w:tcPr>
            <w:tcW w:w="1294" w:type="dxa"/>
          </w:tcPr>
          <w:p w14:paraId="4C197D47" w14:textId="77777777" w:rsidR="00C66B82" w:rsidRDefault="00C66B82" w:rsidP="00612323">
            <w:r>
              <w:t>Logistics</w:t>
            </w:r>
          </w:p>
        </w:tc>
        <w:tc>
          <w:tcPr>
            <w:tcW w:w="670" w:type="dxa"/>
          </w:tcPr>
          <w:p w14:paraId="08E7F88B" w14:textId="77777777" w:rsidR="00C66B82" w:rsidRDefault="00C66B82" w:rsidP="00612323">
            <w:r>
              <w:t>Open</w:t>
            </w:r>
          </w:p>
        </w:tc>
        <w:tc>
          <w:tcPr>
            <w:tcW w:w="819" w:type="dxa"/>
          </w:tcPr>
          <w:p w14:paraId="4636A79D" w14:textId="77777777" w:rsidR="00C66B82" w:rsidRDefault="00C66B82" w:rsidP="00612323">
            <w:r>
              <w:t>8</w:t>
            </w:r>
          </w:p>
        </w:tc>
        <w:tc>
          <w:tcPr>
            <w:tcW w:w="1055" w:type="dxa"/>
          </w:tcPr>
          <w:p w14:paraId="39C917F0" w14:textId="77777777" w:rsidR="00C66B82" w:rsidRDefault="00C66B82" w:rsidP="00612323">
            <w:r>
              <w:t>4</w:t>
            </w:r>
          </w:p>
        </w:tc>
        <w:tc>
          <w:tcPr>
            <w:tcW w:w="923" w:type="dxa"/>
          </w:tcPr>
          <w:p w14:paraId="72A82D39" w14:textId="77777777" w:rsidR="00C66B82" w:rsidRDefault="00C66B82" w:rsidP="00612323">
            <w:r>
              <w:t>3</w:t>
            </w:r>
          </w:p>
        </w:tc>
        <w:tc>
          <w:tcPr>
            <w:tcW w:w="793" w:type="dxa"/>
            <w:shd w:val="clear" w:color="auto" w:fill="CCFFCC"/>
          </w:tcPr>
          <w:p w14:paraId="38DBD825" w14:textId="77777777" w:rsidR="00C66B82" w:rsidRDefault="00C66B82" w:rsidP="00612323">
            <w:r>
              <w:t>96</w:t>
            </w:r>
          </w:p>
        </w:tc>
      </w:tr>
      <w:tr w:rsidR="00C66B82" w14:paraId="630BD3F2" w14:textId="77777777" w:rsidTr="00612323">
        <w:tc>
          <w:tcPr>
            <w:tcW w:w="655" w:type="dxa"/>
          </w:tcPr>
          <w:p w14:paraId="486B52B9" w14:textId="77777777" w:rsidR="00C66B82" w:rsidRDefault="00C66B82" w:rsidP="00612323">
            <w:r>
              <w:t>3</w:t>
            </w:r>
          </w:p>
        </w:tc>
        <w:tc>
          <w:tcPr>
            <w:tcW w:w="1348" w:type="dxa"/>
          </w:tcPr>
          <w:p w14:paraId="58515B19" w14:textId="77777777" w:rsidR="00C66B82" w:rsidRDefault="00C66B82" w:rsidP="00612323">
            <w:r>
              <w:t>3.2.1 GDP Warehouse Check</w:t>
            </w:r>
            <w:r>
              <w:br/>
              <w:t>3.2.2 Monitoring Calibration</w:t>
            </w:r>
            <w:r>
              <w:br/>
              <w:t>3.2.3 Route Profiling</w:t>
            </w:r>
            <w:r>
              <w:br/>
              <w:t>3.2.4 3PL Verification</w:t>
            </w:r>
            <w:r>
              <w:br/>
              <w:t xml:space="preserve">3.2.5 Excursion </w:t>
            </w:r>
            <w:r>
              <w:lastRenderedPageBreak/>
              <w:t>Investigation</w:t>
            </w:r>
          </w:p>
        </w:tc>
        <w:tc>
          <w:tcPr>
            <w:tcW w:w="1294" w:type="dxa"/>
          </w:tcPr>
          <w:p w14:paraId="4420AA65" w14:textId="77777777" w:rsidR="00C66B82" w:rsidRDefault="00C66B82" w:rsidP="00612323">
            <w:r>
              <w:lastRenderedPageBreak/>
              <w:t>GDP Warehousing &amp; Distribution</w:t>
            </w:r>
          </w:p>
        </w:tc>
        <w:tc>
          <w:tcPr>
            <w:tcW w:w="1324" w:type="dxa"/>
          </w:tcPr>
          <w:p w14:paraId="3435B624" w14:textId="77777777" w:rsidR="00C66B82" w:rsidRDefault="00C66B82" w:rsidP="00612323">
            <w:r>
              <w:t>Storage, Handling &amp; Temperature Control</w:t>
            </w:r>
          </w:p>
        </w:tc>
        <w:tc>
          <w:tcPr>
            <w:tcW w:w="1186" w:type="dxa"/>
          </w:tcPr>
          <w:p w14:paraId="0B994791" w14:textId="77777777" w:rsidR="00C66B82" w:rsidRDefault="00C66B82" w:rsidP="00612323">
            <w:r>
              <w:t>Temperature excursions</w:t>
            </w:r>
          </w:p>
        </w:tc>
        <w:tc>
          <w:tcPr>
            <w:tcW w:w="1152" w:type="dxa"/>
          </w:tcPr>
          <w:p w14:paraId="125B39E7" w14:textId="77777777" w:rsidR="00C66B82" w:rsidRDefault="00C66B82" w:rsidP="00612323">
            <w:r>
              <w:t>Product degradation; recall; patient risk</w:t>
            </w:r>
          </w:p>
        </w:tc>
        <w:tc>
          <w:tcPr>
            <w:tcW w:w="819" w:type="dxa"/>
          </w:tcPr>
          <w:p w14:paraId="50C91D8C" w14:textId="77777777" w:rsidR="00C66B82" w:rsidRDefault="00C66B82" w:rsidP="00612323">
            <w:r>
              <w:t>8</w:t>
            </w:r>
          </w:p>
        </w:tc>
        <w:tc>
          <w:tcPr>
            <w:tcW w:w="1163" w:type="dxa"/>
          </w:tcPr>
          <w:p w14:paraId="4E7F5A67" w14:textId="77777777" w:rsidR="00C66B82" w:rsidRDefault="00C66B82" w:rsidP="00612323">
            <w:r>
              <w:t>Poor handling; equipment failure</w:t>
            </w:r>
          </w:p>
        </w:tc>
        <w:tc>
          <w:tcPr>
            <w:tcW w:w="1055" w:type="dxa"/>
          </w:tcPr>
          <w:p w14:paraId="06BBF365" w14:textId="77777777" w:rsidR="00C66B82" w:rsidRDefault="00C66B82" w:rsidP="00612323">
            <w:r>
              <w:t>5</w:t>
            </w:r>
          </w:p>
        </w:tc>
        <w:tc>
          <w:tcPr>
            <w:tcW w:w="1196" w:type="dxa"/>
          </w:tcPr>
          <w:p w14:paraId="7375123A" w14:textId="77777777" w:rsidR="00C66B82" w:rsidRDefault="00C66B82" w:rsidP="00612323">
            <w:r>
              <w:t>GDP SOPs; audits; loggers</w:t>
            </w:r>
          </w:p>
        </w:tc>
        <w:tc>
          <w:tcPr>
            <w:tcW w:w="923" w:type="dxa"/>
          </w:tcPr>
          <w:p w14:paraId="6D491F2C" w14:textId="77777777" w:rsidR="00C66B82" w:rsidRDefault="00C66B82" w:rsidP="00612323">
            <w:r>
              <w:t>6</w:t>
            </w:r>
          </w:p>
        </w:tc>
        <w:tc>
          <w:tcPr>
            <w:tcW w:w="600" w:type="dxa"/>
            <w:shd w:val="clear" w:color="auto" w:fill="FF6666"/>
          </w:tcPr>
          <w:p w14:paraId="293DCE9A" w14:textId="77777777" w:rsidR="00C66B82" w:rsidRDefault="00C66B82" w:rsidP="00612323">
            <w:r>
              <w:t>240</w:t>
            </w:r>
          </w:p>
        </w:tc>
        <w:tc>
          <w:tcPr>
            <w:tcW w:w="1330" w:type="dxa"/>
          </w:tcPr>
          <w:p w14:paraId="432BA7E9" w14:textId="77777777" w:rsidR="00C66B82" w:rsidRDefault="00C66B82" w:rsidP="00612323">
            <w:r>
              <w:t>Real-time temperature monitoring; audits</w:t>
            </w:r>
          </w:p>
        </w:tc>
        <w:tc>
          <w:tcPr>
            <w:tcW w:w="828" w:type="dxa"/>
          </w:tcPr>
          <w:p w14:paraId="7CD577CC" w14:textId="77777777" w:rsidR="00C66B82" w:rsidRDefault="00C66B82" w:rsidP="00612323">
            <w:r>
              <w:t>6–18 months</w:t>
            </w:r>
          </w:p>
        </w:tc>
        <w:tc>
          <w:tcPr>
            <w:tcW w:w="1294" w:type="dxa"/>
          </w:tcPr>
          <w:p w14:paraId="2461CB5E" w14:textId="77777777" w:rsidR="00C66B82" w:rsidRDefault="00C66B82" w:rsidP="00612323">
            <w:r>
              <w:t>Quality / Logistics</w:t>
            </w:r>
          </w:p>
        </w:tc>
        <w:tc>
          <w:tcPr>
            <w:tcW w:w="670" w:type="dxa"/>
          </w:tcPr>
          <w:p w14:paraId="56C38B2C" w14:textId="77777777" w:rsidR="00C66B82" w:rsidRDefault="00C66B82" w:rsidP="00612323">
            <w:r>
              <w:t>Open</w:t>
            </w:r>
          </w:p>
        </w:tc>
        <w:tc>
          <w:tcPr>
            <w:tcW w:w="819" w:type="dxa"/>
          </w:tcPr>
          <w:p w14:paraId="26BEEF67" w14:textId="77777777" w:rsidR="00C66B82" w:rsidRDefault="00C66B82" w:rsidP="00612323">
            <w:r>
              <w:t>8</w:t>
            </w:r>
          </w:p>
        </w:tc>
        <w:tc>
          <w:tcPr>
            <w:tcW w:w="1055" w:type="dxa"/>
          </w:tcPr>
          <w:p w14:paraId="05F302C9" w14:textId="77777777" w:rsidR="00C66B82" w:rsidRDefault="00C66B82" w:rsidP="00612323">
            <w:r>
              <w:t>3</w:t>
            </w:r>
          </w:p>
        </w:tc>
        <w:tc>
          <w:tcPr>
            <w:tcW w:w="923" w:type="dxa"/>
          </w:tcPr>
          <w:p w14:paraId="56BE8D9E" w14:textId="77777777" w:rsidR="00C66B82" w:rsidRDefault="00C66B82" w:rsidP="00612323">
            <w:r>
              <w:t>3</w:t>
            </w:r>
          </w:p>
        </w:tc>
        <w:tc>
          <w:tcPr>
            <w:tcW w:w="793" w:type="dxa"/>
            <w:shd w:val="clear" w:color="auto" w:fill="CCFFCC"/>
          </w:tcPr>
          <w:p w14:paraId="674BD3DE" w14:textId="77777777" w:rsidR="00C66B82" w:rsidRDefault="00C66B82" w:rsidP="00612323">
            <w:r>
              <w:t>72</w:t>
            </w:r>
          </w:p>
        </w:tc>
      </w:tr>
      <w:tr w:rsidR="00C66B82" w14:paraId="1163537B" w14:textId="77777777" w:rsidTr="00612323">
        <w:tc>
          <w:tcPr>
            <w:tcW w:w="655" w:type="dxa"/>
          </w:tcPr>
          <w:p w14:paraId="57CEE51F" w14:textId="77777777" w:rsidR="00C66B82" w:rsidRDefault="00C66B82" w:rsidP="00612323">
            <w:r>
              <w:t>4</w:t>
            </w:r>
          </w:p>
        </w:tc>
        <w:tc>
          <w:tcPr>
            <w:tcW w:w="1348" w:type="dxa"/>
          </w:tcPr>
          <w:p w14:paraId="3738B9EB" w14:textId="77777777" w:rsidR="00C66B82" w:rsidRDefault="00C66B82" w:rsidP="00612323">
            <w:r>
              <w:t>4.1.1 Statistical Forecast</w:t>
            </w:r>
            <w:r>
              <w:br/>
              <w:t>4.1.2 Market Intel</w:t>
            </w:r>
            <w:r>
              <w:br/>
              <w:t>4.1.3 Wholesaler Data</w:t>
            </w:r>
            <w:r>
              <w:br/>
              <w:t>4.1.4 S&amp;OP Review</w:t>
            </w:r>
            <w:r>
              <w:br/>
              <w:t>4.1.5 Forecast RCA</w:t>
            </w:r>
          </w:p>
        </w:tc>
        <w:tc>
          <w:tcPr>
            <w:tcW w:w="1294" w:type="dxa"/>
          </w:tcPr>
          <w:p w14:paraId="1641362E" w14:textId="77777777" w:rsidR="00C66B82" w:rsidRDefault="00C66B82" w:rsidP="00612323">
            <w:r>
              <w:t>Demand &amp; Supply Planning</w:t>
            </w:r>
          </w:p>
        </w:tc>
        <w:tc>
          <w:tcPr>
            <w:tcW w:w="1324" w:type="dxa"/>
          </w:tcPr>
          <w:p w14:paraId="5EC832F7" w14:textId="77777777" w:rsidR="00C66B82" w:rsidRDefault="00C66B82" w:rsidP="00612323">
            <w:r>
              <w:t>Forecasting &amp; Replenishment</w:t>
            </w:r>
          </w:p>
        </w:tc>
        <w:tc>
          <w:tcPr>
            <w:tcW w:w="1186" w:type="dxa"/>
          </w:tcPr>
          <w:p w14:paraId="415806AC" w14:textId="77777777" w:rsidR="00C66B82" w:rsidRDefault="00C66B82" w:rsidP="00612323">
            <w:r>
              <w:t>Forecast inaccuracy</w:t>
            </w:r>
          </w:p>
        </w:tc>
        <w:tc>
          <w:tcPr>
            <w:tcW w:w="1152" w:type="dxa"/>
          </w:tcPr>
          <w:p w14:paraId="6904BF43" w14:textId="77777777" w:rsidR="00C66B82" w:rsidRDefault="00C66B82" w:rsidP="00612323">
            <w:r>
              <w:t>Stockouts or excess stock</w:t>
            </w:r>
          </w:p>
        </w:tc>
        <w:tc>
          <w:tcPr>
            <w:tcW w:w="819" w:type="dxa"/>
          </w:tcPr>
          <w:p w14:paraId="762A51D1" w14:textId="77777777" w:rsidR="00C66B82" w:rsidRDefault="00C66B82" w:rsidP="00612323">
            <w:r>
              <w:t>7</w:t>
            </w:r>
          </w:p>
        </w:tc>
        <w:tc>
          <w:tcPr>
            <w:tcW w:w="1163" w:type="dxa"/>
          </w:tcPr>
          <w:p w14:paraId="5091AF05" w14:textId="77777777" w:rsidR="00C66B82" w:rsidRDefault="00C66B82" w:rsidP="00612323">
            <w:r>
              <w:t>Limited visibility; manual processes</w:t>
            </w:r>
          </w:p>
        </w:tc>
        <w:tc>
          <w:tcPr>
            <w:tcW w:w="1055" w:type="dxa"/>
          </w:tcPr>
          <w:p w14:paraId="7FF42276" w14:textId="77777777" w:rsidR="00C66B82" w:rsidRDefault="00C66B82" w:rsidP="00612323">
            <w:r>
              <w:t>6</w:t>
            </w:r>
          </w:p>
        </w:tc>
        <w:tc>
          <w:tcPr>
            <w:tcW w:w="1196" w:type="dxa"/>
          </w:tcPr>
          <w:p w14:paraId="53DB0C4A" w14:textId="77777777" w:rsidR="00C66B82" w:rsidRDefault="00C66B82" w:rsidP="00612323">
            <w:r>
              <w:t>Forecast cycles; reporting</w:t>
            </w:r>
          </w:p>
        </w:tc>
        <w:tc>
          <w:tcPr>
            <w:tcW w:w="923" w:type="dxa"/>
          </w:tcPr>
          <w:p w14:paraId="157363CD" w14:textId="77777777" w:rsidR="00C66B82" w:rsidRDefault="00C66B82" w:rsidP="00612323">
            <w:r>
              <w:t>6</w:t>
            </w:r>
          </w:p>
        </w:tc>
        <w:tc>
          <w:tcPr>
            <w:tcW w:w="600" w:type="dxa"/>
            <w:shd w:val="clear" w:color="auto" w:fill="FF6666"/>
          </w:tcPr>
          <w:p w14:paraId="06C87F0D" w14:textId="77777777" w:rsidR="00C66B82" w:rsidRDefault="00C66B82" w:rsidP="00612323">
            <w:r>
              <w:t>252</w:t>
            </w:r>
          </w:p>
        </w:tc>
        <w:tc>
          <w:tcPr>
            <w:tcW w:w="1330" w:type="dxa"/>
          </w:tcPr>
          <w:p w14:paraId="54BEC573" w14:textId="77777777" w:rsidR="00C66B82" w:rsidRDefault="00C66B82" w:rsidP="00612323">
            <w:r>
              <w:t>AI forecasting; VMI; enhanced S&amp;OP</w:t>
            </w:r>
          </w:p>
        </w:tc>
        <w:tc>
          <w:tcPr>
            <w:tcW w:w="828" w:type="dxa"/>
          </w:tcPr>
          <w:p w14:paraId="35A9C1AB" w14:textId="77777777" w:rsidR="00C66B82" w:rsidRDefault="00C66B82" w:rsidP="00612323">
            <w:r>
              <w:t>12–24 months</w:t>
            </w:r>
          </w:p>
        </w:tc>
        <w:tc>
          <w:tcPr>
            <w:tcW w:w="1294" w:type="dxa"/>
          </w:tcPr>
          <w:p w14:paraId="4C777E62" w14:textId="77777777" w:rsidR="00C66B82" w:rsidRDefault="00C66B82" w:rsidP="00612323">
            <w:r>
              <w:t>Planning</w:t>
            </w:r>
          </w:p>
        </w:tc>
        <w:tc>
          <w:tcPr>
            <w:tcW w:w="670" w:type="dxa"/>
          </w:tcPr>
          <w:p w14:paraId="1F385776" w14:textId="77777777" w:rsidR="00C66B82" w:rsidRDefault="00C66B82" w:rsidP="00612323">
            <w:r>
              <w:t>Open</w:t>
            </w:r>
          </w:p>
        </w:tc>
        <w:tc>
          <w:tcPr>
            <w:tcW w:w="819" w:type="dxa"/>
          </w:tcPr>
          <w:p w14:paraId="4F8005E2" w14:textId="77777777" w:rsidR="00C66B82" w:rsidRDefault="00C66B82" w:rsidP="00612323">
            <w:r>
              <w:t>7</w:t>
            </w:r>
          </w:p>
        </w:tc>
        <w:tc>
          <w:tcPr>
            <w:tcW w:w="1055" w:type="dxa"/>
          </w:tcPr>
          <w:p w14:paraId="7D6E9BE5" w14:textId="77777777" w:rsidR="00C66B82" w:rsidRDefault="00C66B82" w:rsidP="00612323">
            <w:r>
              <w:t>4</w:t>
            </w:r>
          </w:p>
        </w:tc>
        <w:tc>
          <w:tcPr>
            <w:tcW w:w="923" w:type="dxa"/>
          </w:tcPr>
          <w:p w14:paraId="175F9682" w14:textId="77777777" w:rsidR="00C66B82" w:rsidRDefault="00C66B82" w:rsidP="00612323">
            <w:r>
              <w:t>3</w:t>
            </w:r>
          </w:p>
        </w:tc>
        <w:tc>
          <w:tcPr>
            <w:tcW w:w="793" w:type="dxa"/>
            <w:shd w:val="clear" w:color="auto" w:fill="CCFFCC"/>
          </w:tcPr>
          <w:p w14:paraId="491DA582" w14:textId="77777777" w:rsidR="00C66B82" w:rsidRDefault="00C66B82" w:rsidP="00612323">
            <w:r>
              <w:t>84</w:t>
            </w:r>
          </w:p>
        </w:tc>
      </w:tr>
      <w:tr w:rsidR="00C66B82" w14:paraId="7AD7809C" w14:textId="77777777" w:rsidTr="00612323">
        <w:tc>
          <w:tcPr>
            <w:tcW w:w="655" w:type="dxa"/>
          </w:tcPr>
          <w:p w14:paraId="2A8654B3" w14:textId="77777777" w:rsidR="00C66B82" w:rsidRDefault="00C66B82" w:rsidP="00612323">
            <w:r>
              <w:t>5</w:t>
            </w:r>
          </w:p>
        </w:tc>
        <w:tc>
          <w:tcPr>
            <w:tcW w:w="1348" w:type="dxa"/>
          </w:tcPr>
          <w:p w14:paraId="7E6C27A6" w14:textId="77777777" w:rsidR="00C66B82" w:rsidRDefault="00C66B82" w:rsidP="00612323">
            <w:r>
              <w:t>5.1.1 Horizon Scanning</w:t>
            </w:r>
            <w:r>
              <w:br/>
              <w:t>5.1.2 Impact Assessment</w:t>
            </w:r>
            <w:r>
              <w:br/>
              <w:t>5.1.3 Artwork Review</w:t>
            </w:r>
            <w:r>
              <w:br/>
              <w:t>5.1.4 Submission Prep</w:t>
            </w:r>
            <w:r>
              <w:br/>
              <w:t>5.1.5 Documentation Control</w:t>
            </w:r>
          </w:p>
        </w:tc>
        <w:tc>
          <w:tcPr>
            <w:tcW w:w="1294" w:type="dxa"/>
          </w:tcPr>
          <w:p w14:paraId="1639F63B" w14:textId="77777777" w:rsidR="00C66B82" w:rsidRDefault="00C66B82" w:rsidP="00612323">
            <w:r>
              <w:t>Regulatory Affairs</w:t>
            </w:r>
          </w:p>
        </w:tc>
        <w:tc>
          <w:tcPr>
            <w:tcW w:w="1324" w:type="dxa"/>
          </w:tcPr>
          <w:p w14:paraId="48A7F0B4" w14:textId="77777777" w:rsidR="00C66B82" w:rsidRDefault="00C66B82" w:rsidP="00612323">
            <w:r>
              <w:t>Licence Maintenance &amp; Compliance Monitoring</w:t>
            </w:r>
          </w:p>
        </w:tc>
        <w:tc>
          <w:tcPr>
            <w:tcW w:w="1186" w:type="dxa"/>
          </w:tcPr>
          <w:p w14:paraId="6DC9F6DD" w14:textId="77777777" w:rsidR="00C66B82" w:rsidRDefault="00C66B82" w:rsidP="00612323">
            <w:r>
              <w:t>Regulatory changes</w:t>
            </w:r>
          </w:p>
        </w:tc>
        <w:tc>
          <w:tcPr>
            <w:tcW w:w="1152" w:type="dxa"/>
          </w:tcPr>
          <w:p w14:paraId="78107571" w14:textId="77777777" w:rsidR="00C66B82" w:rsidRDefault="00C66B82" w:rsidP="00612323">
            <w:r>
              <w:t>Relabelling; delays; compliance workload</w:t>
            </w:r>
          </w:p>
        </w:tc>
        <w:tc>
          <w:tcPr>
            <w:tcW w:w="819" w:type="dxa"/>
          </w:tcPr>
          <w:p w14:paraId="2A766551" w14:textId="77777777" w:rsidR="00C66B82" w:rsidRDefault="00C66B82" w:rsidP="00612323">
            <w:r>
              <w:t>6</w:t>
            </w:r>
          </w:p>
        </w:tc>
        <w:tc>
          <w:tcPr>
            <w:tcW w:w="1163" w:type="dxa"/>
          </w:tcPr>
          <w:p w14:paraId="1B19923F" w14:textId="77777777" w:rsidR="00C66B82" w:rsidRDefault="00C66B82" w:rsidP="00612323">
            <w:r>
              <w:t>Divergence EMA/MHRA; new rules</w:t>
            </w:r>
          </w:p>
        </w:tc>
        <w:tc>
          <w:tcPr>
            <w:tcW w:w="1055" w:type="dxa"/>
          </w:tcPr>
          <w:p w14:paraId="3F0C28BE" w14:textId="77777777" w:rsidR="00C66B82" w:rsidRDefault="00C66B82" w:rsidP="00612323">
            <w:r>
              <w:t>5</w:t>
            </w:r>
          </w:p>
        </w:tc>
        <w:tc>
          <w:tcPr>
            <w:tcW w:w="1196" w:type="dxa"/>
          </w:tcPr>
          <w:p w14:paraId="5083E128" w14:textId="77777777" w:rsidR="00C66B82" w:rsidRDefault="00C66B82" w:rsidP="00612323">
            <w:r>
              <w:t>Horizon scanning; change control</w:t>
            </w:r>
          </w:p>
        </w:tc>
        <w:tc>
          <w:tcPr>
            <w:tcW w:w="923" w:type="dxa"/>
          </w:tcPr>
          <w:p w14:paraId="6E619717" w14:textId="77777777" w:rsidR="00C66B82" w:rsidRDefault="00C66B82" w:rsidP="00612323">
            <w:r>
              <w:t>4</w:t>
            </w:r>
          </w:p>
        </w:tc>
        <w:tc>
          <w:tcPr>
            <w:tcW w:w="600" w:type="dxa"/>
            <w:shd w:val="clear" w:color="auto" w:fill="FFCC66"/>
          </w:tcPr>
          <w:p w14:paraId="30EE4C36" w14:textId="77777777" w:rsidR="00C66B82" w:rsidRDefault="00C66B82" w:rsidP="00612323">
            <w:r>
              <w:t>120</w:t>
            </w:r>
          </w:p>
        </w:tc>
        <w:tc>
          <w:tcPr>
            <w:tcW w:w="1330" w:type="dxa"/>
          </w:tcPr>
          <w:p w14:paraId="40EE7B06" w14:textId="77777777" w:rsidR="00C66B82" w:rsidRDefault="00C66B82" w:rsidP="00612323">
            <w:r>
              <w:t>Regulatory intelligence tools; impact register</w:t>
            </w:r>
          </w:p>
        </w:tc>
        <w:tc>
          <w:tcPr>
            <w:tcW w:w="828" w:type="dxa"/>
          </w:tcPr>
          <w:p w14:paraId="17F272FE" w14:textId="77777777" w:rsidR="00C66B82" w:rsidRDefault="00C66B82" w:rsidP="00612323">
            <w:r>
              <w:t>Ongoing</w:t>
            </w:r>
          </w:p>
        </w:tc>
        <w:tc>
          <w:tcPr>
            <w:tcW w:w="1294" w:type="dxa"/>
          </w:tcPr>
          <w:p w14:paraId="4B323DA2" w14:textId="77777777" w:rsidR="00C66B82" w:rsidRDefault="00C66B82" w:rsidP="00612323">
            <w:r>
              <w:t>Regulatory Affairs</w:t>
            </w:r>
          </w:p>
        </w:tc>
        <w:tc>
          <w:tcPr>
            <w:tcW w:w="670" w:type="dxa"/>
          </w:tcPr>
          <w:p w14:paraId="61735501" w14:textId="77777777" w:rsidR="00C66B82" w:rsidRDefault="00C66B82" w:rsidP="00612323">
            <w:r>
              <w:t>Open</w:t>
            </w:r>
          </w:p>
        </w:tc>
        <w:tc>
          <w:tcPr>
            <w:tcW w:w="819" w:type="dxa"/>
          </w:tcPr>
          <w:p w14:paraId="2090E972" w14:textId="77777777" w:rsidR="00C66B82" w:rsidRDefault="00C66B82" w:rsidP="00612323">
            <w:r>
              <w:t>6</w:t>
            </w:r>
          </w:p>
        </w:tc>
        <w:tc>
          <w:tcPr>
            <w:tcW w:w="1055" w:type="dxa"/>
          </w:tcPr>
          <w:p w14:paraId="72588B55" w14:textId="77777777" w:rsidR="00C66B82" w:rsidRDefault="00C66B82" w:rsidP="00612323">
            <w:r>
              <w:t>3</w:t>
            </w:r>
          </w:p>
        </w:tc>
        <w:tc>
          <w:tcPr>
            <w:tcW w:w="923" w:type="dxa"/>
          </w:tcPr>
          <w:p w14:paraId="49E642AD" w14:textId="77777777" w:rsidR="00C66B82" w:rsidRDefault="00C66B82" w:rsidP="00612323">
            <w:r>
              <w:t>3</w:t>
            </w:r>
          </w:p>
        </w:tc>
        <w:tc>
          <w:tcPr>
            <w:tcW w:w="793" w:type="dxa"/>
            <w:shd w:val="clear" w:color="auto" w:fill="CCFFCC"/>
          </w:tcPr>
          <w:p w14:paraId="2198B7FF" w14:textId="77777777" w:rsidR="00C66B82" w:rsidRDefault="00C66B82" w:rsidP="00612323">
            <w:r>
              <w:t>54</w:t>
            </w:r>
          </w:p>
        </w:tc>
      </w:tr>
      <w:tr w:rsidR="00C66B82" w14:paraId="5A17427C" w14:textId="77777777" w:rsidTr="00612323">
        <w:tc>
          <w:tcPr>
            <w:tcW w:w="655" w:type="dxa"/>
          </w:tcPr>
          <w:p w14:paraId="386DCBBF" w14:textId="77777777" w:rsidR="00C66B82" w:rsidRDefault="00C66B82" w:rsidP="00612323">
            <w:r>
              <w:t>6</w:t>
            </w:r>
          </w:p>
        </w:tc>
        <w:tc>
          <w:tcPr>
            <w:tcW w:w="1348" w:type="dxa"/>
          </w:tcPr>
          <w:p w14:paraId="672E2797" w14:textId="77777777" w:rsidR="00C66B82" w:rsidRDefault="00C66B82" w:rsidP="00612323">
            <w:r>
              <w:t>6.1.1 Patch Management</w:t>
            </w:r>
            <w:r>
              <w:br/>
              <w:t>6.1.2 Access Control</w:t>
            </w:r>
            <w:r>
              <w:br/>
              <w:t>6.1.3 Backup Simulation</w:t>
            </w:r>
            <w:r>
              <w:br/>
              <w:t>6.1.4 Pen-Testing</w:t>
            </w:r>
            <w:r>
              <w:br/>
              <w:t>6.1.5 Data Integrity Review</w:t>
            </w:r>
          </w:p>
        </w:tc>
        <w:tc>
          <w:tcPr>
            <w:tcW w:w="1294" w:type="dxa"/>
          </w:tcPr>
          <w:p w14:paraId="70B1B773" w14:textId="77777777" w:rsidR="00C66B82" w:rsidRDefault="00C66B82" w:rsidP="00612323">
            <w:r>
              <w:t>IT &amp; Cybersecurity</w:t>
            </w:r>
          </w:p>
        </w:tc>
        <w:tc>
          <w:tcPr>
            <w:tcW w:w="1324" w:type="dxa"/>
          </w:tcPr>
          <w:p w14:paraId="6CD7B0AF" w14:textId="77777777" w:rsidR="00C66B82" w:rsidRDefault="00C66B82" w:rsidP="00612323">
            <w:r>
              <w:t>ERP Integrity, Data Governance &amp; Cybersecurity</w:t>
            </w:r>
          </w:p>
        </w:tc>
        <w:tc>
          <w:tcPr>
            <w:tcW w:w="1186" w:type="dxa"/>
          </w:tcPr>
          <w:p w14:paraId="29A217CC" w14:textId="77777777" w:rsidR="00C66B82" w:rsidRDefault="00C66B82" w:rsidP="00612323">
            <w:r>
              <w:t>Cyberattack / IT outage</w:t>
            </w:r>
          </w:p>
        </w:tc>
        <w:tc>
          <w:tcPr>
            <w:tcW w:w="1152" w:type="dxa"/>
          </w:tcPr>
          <w:p w14:paraId="4A77A814" w14:textId="77777777" w:rsidR="00C66B82" w:rsidRDefault="00C66B82" w:rsidP="00612323">
            <w:r>
              <w:t>Loss of planning systems; data integrity concerns</w:t>
            </w:r>
          </w:p>
        </w:tc>
        <w:tc>
          <w:tcPr>
            <w:tcW w:w="819" w:type="dxa"/>
          </w:tcPr>
          <w:p w14:paraId="6B77DF3B" w14:textId="77777777" w:rsidR="00C66B82" w:rsidRDefault="00C66B82" w:rsidP="00612323">
            <w:r>
              <w:t>8</w:t>
            </w:r>
          </w:p>
        </w:tc>
        <w:tc>
          <w:tcPr>
            <w:tcW w:w="1163" w:type="dxa"/>
          </w:tcPr>
          <w:p w14:paraId="70BBBDB6" w14:textId="77777777" w:rsidR="00C66B82" w:rsidRDefault="00C66B82" w:rsidP="00612323">
            <w:r>
              <w:t>Weak controls; outdated systems</w:t>
            </w:r>
          </w:p>
        </w:tc>
        <w:tc>
          <w:tcPr>
            <w:tcW w:w="1055" w:type="dxa"/>
          </w:tcPr>
          <w:p w14:paraId="6D69E2E1" w14:textId="77777777" w:rsidR="00C66B82" w:rsidRDefault="00C66B82" w:rsidP="00612323">
            <w:r>
              <w:t>4</w:t>
            </w:r>
          </w:p>
        </w:tc>
        <w:tc>
          <w:tcPr>
            <w:tcW w:w="1196" w:type="dxa"/>
          </w:tcPr>
          <w:p w14:paraId="1231C402" w14:textId="77777777" w:rsidR="00C66B82" w:rsidRDefault="00C66B82" w:rsidP="00612323">
            <w:r>
              <w:t>Policies; antivirus; backups</w:t>
            </w:r>
          </w:p>
        </w:tc>
        <w:tc>
          <w:tcPr>
            <w:tcW w:w="923" w:type="dxa"/>
          </w:tcPr>
          <w:p w14:paraId="1A39345B" w14:textId="77777777" w:rsidR="00C66B82" w:rsidRDefault="00C66B82" w:rsidP="00612323">
            <w:r>
              <w:t>8</w:t>
            </w:r>
          </w:p>
        </w:tc>
        <w:tc>
          <w:tcPr>
            <w:tcW w:w="600" w:type="dxa"/>
            <w:shd w:val="clear" w:color="auto" w:fill="FF6666"/>
          </w:tcPr>
          <w:p w14:paraId="1F9A404E" w14:textId="77777777" w:rsidR="00C66B82" w:rsidRDefault="00C66B82" w:rsidP="00612323">
            <w:r>
              <w:t>256</w:t>
            </w:r>
          </w:p>
        </w:tc>
        <w:tc>
          <w:tcPr>
            <w:tcW w:w="1330" w:type="dxa"/>
          </w:tcPr>
          <w:p w14:paraId="7BA1C17B" w14:textId="77777777" w:rsidR="00C66B82" w:rsidRDefault="00C66B82" w:rsidP="00612323">
            <w:r>
              <w:t>MFA; cyber audits; mirrored servers</w:t>
            </w:r>
          </w:p>
        </w:tc>
        <w:tc>
          <w:tcPr>
            <w:tcW w:w="828" w:type="dxa"/>
          </w:tcPr>
          <w:p w14:paraId="07888106" w14:textId="77777777" w:rsidR="00C66B82" w:rsidRDefault="00C66B82" w:rsidP="00612323">
            <w:r>
              <w:t>6–24 months</w:t>
            </w:r>
          </w:p>
        </w:tc>
        <w:tc>
          <w:tcPr>
            <w:tcW w:w="1294" w:type="dxa"/>
          </w:tcPr>
          <w:p w14:paraId="1ACA880B" w14:textId="77777777" w:rsidR="00C66B82" w:rsidRDefault="00C66B82" w:rsidP="00612323">
            <w:r>
              <w:t>IT / Supply Chain</w:t>
            </w:r>
          </w:p>
        </w:tc>
        <w:tc>
          <w:tcPr>
            <w:tcW w:w="670" w:type="dxa"/>
          </w:tcPr>
          <w:p w14:paraId="66D1BEB3" w14:textId="77777777" w:rsidR="00C66B82" w:rsidRDefault="00C66B82" w:rsidP="00612323">
            <w:r>
              <w:t>Open</w:t>
            </w:r>
          </w:p>
        </w:tc>
        <w:tc>
          <w:tcPr>
            <w:tcW w:w="819" w:type="dxa"/>
          </w:tcPr>
          <w:p w14:paraId="178DB56B" w14:textId="77777777" w:rsidR="00C66B82" w:rsidRDefault="00C66B82" w:rsidP="00612323">
            <w:r>
              <w:t>8</w:t>
            </w:r>
          </w:p>
        </w:tc>
        <w:tc>
          <w:tcPr>
            <w:tcW w:w="1055" w:type="dxa"/>
          </w:tcPr>
          <w:p w14:paraId="32757BED" w14:textId="77777777" w:rsidR="00C66B82" w:rsidRDefault="00C66B82" w:rsidP="00612323">
            <w:r>
              <w:t>3</w:t>
            </w:r>
          </w:p>
        </w:tc>
        <w:tc>
          <w:tcPr>
            <w:tcW w:w="923" w:type="dxa"/>
          </w:tcPr>
          <w:p w14:paraId="601FF376" w14:textId="77777777" w:rsidR="00C66B82" w:rsidRDefault="00C66B82" w:rsidP="00612323">
            <w:r>
              <w:t>3</w:t>
            </w:r>
          </w:p>
        </w:tc>
        <w:tc>
          <w:tcPr>
            <w:tcW w:w="793" w:type="dxa"/>
            <w:shd w:val="clear" w:color="auto" w:fill="CCFFCC"/>
          </w:tcPr>
          <w:p w14:paraId="44CBD0D5" w14:textId="77777777" w:rsidR="00C66B82" w:rsidRDefault="00C66B82" w:rsidP="00612323">
            <w:r>
              <w:t>72</w:t>
            </w:r>
          </w:p>
        </w:tc>
      </w:tr>
      <w:bookmarkEnd w:id="9"/>
    </w:tbl>
    <w:p w14:paraId="538B8F00" w14:textId="77777777" w:rsidR="000A73DE" w:rsidRDefault="000A73DE" w:rsidP="00196D2E"/>
    <w:p w14:paraId="3D831B49" w14:textId="77777777" w:rsidR="00A22F05" w:rsidRDefault="00A22F05" w:rsidP="00196D2E"/>
    <w:p w14:paraId="3321F80E" w14:textId="77777777" w:rsidR="00A22F05" w:rsidRDefault="00A22F05" w:rsidP="00196D2E"/>
    <w:p w14:paraId="6A594BBD" w14:textId="77777777" w:rsidR="00A22F05" w:rsidRDefault="00A22F05" w:rsidP="00196D2E"/>
    <w:p w14:paraId="7CD4BD15" w14:textId="77777777" w:rsidR="00A22F05" w:rsidRDefault="00A22F05" w:rsidP="00196D2E"/>
    <w:p w14:paraId="6BA94CA8" w14:textId="77777777" w:rsidR="00A22F05" w:rsidRDefault="00A22F05" w:rsidP="00196D2E"/>
    <w:tbl>
      <w:tblPr>
        <w:tblW w:w="20104" w:type="dxa"/>
        <w:tblLook w:val="04A0" w:firstRow="1" w:lastRow="0" w:firstColumn="1" w:lastColumn="0" w:noHBand="0" w:noVBand="1"/>
      </w:tblPr>
      <w:tblGrid>
        <w:gridCol w:w="9521"/>
        <w:gridCol w:w="1623"/>
        <w:gridCol w:w="1409"/>
        <w:gridCol w:w="1500"/>
        <w:gridCol w:w="1482"/>
        <w:gridCol w:w="1061"/>
        <w:gridCol w:w="222"/>
        <w:gridCol w:w="479"/>
        <w:gridCol w:w="664"/>
        <w:gridCol w:w="990"/>
        <w:gridCol w:w="990"/>
        <w:gridCol w:w="990"/>
      </w:tblGrid>
      <w:tr w:rsidR="00A22F05" w:rsidRPr="00A22F05" w14:paraId="03E27ACE" w14:textId="77777777" w:rsidTr="00A22F05">
        <w:trPr>
          <w:trHeight w:val="280"/>
        </w:trPr>
        <w:tc>
          <w:tcPr>
            <w:tcW w:w="20104" w:type="dxa"/>
            <w:gridSpan w:val="12"/>
            <w:tcBorders>
              <w:top w:val="nil"/>
              <w:left w:val="nil"/>
              <w:bottom w:val="nil"/>
              <w:right w:val="nil"/>
            </w:tcBorders>
            <w:noWrap/>
            <w:vAlign w:val="bottom"/>
            <w:hideMark/>
          </w:tcPr>
          <w:p w14:paraId="27B91EE2" w14:textId="56910280" w:rsidR="00A22F05" w:rsidRPr="00A22F05" w:rsidRDefault="00A22F05" w:rsidP="00A22F05">
            <w:pPr>
              <w:spacing w:after="0" w:line="240" w:lineRule="auto"/>
              <w:jc w:val="center"/>
              <w:rPr>
                <w:rFonts w:eastAsia="Times New Roman"/>
                <w:b/>
                <w:bCs/>
                <w:color w:val="000000"/>
                <w:kern w:val="0"/>
                <w:lang w:eastAsia="en-GB"/>
                <w14:ligatures w14:val="none"/>
              </w:rPr>
            </w:pPr>
            <w:r w:rsidRPr="00A22F05">
              <w:rPr>
                <w:rFonts w:eastAsia="Times New Roman"/>
                <w:b/>
                <w:bCs/>
                <w:color w:val="000000"/>
                <w:kern w:val="0"/>
                <w:lang w:eastAsia="en-GB"/>
                <w14:ligatures w14:val="none"/>
              </w:rPr>
              <w:lastRenderedPageBreak/>
              <w:t>FMEA: SCORING SYSTEM</w:t>
            </w:r>
          </w:p>
        </w:tc>
      </w:tr>
      <w:tr w:rsidR="00A22F05" w:rsidRPr="00A22F05" w14:paraId="2706D46A" w14:textId="77777777" w:rsidTr="00A22F05">
        <w:trPr>
          <w:trHeight w:val="280"/>
        </w:trPr>
        <w:tc>
          <w:tcPr>
            <w:tcW w:w="9636" w:type="dxa"/>
            <w:tcBorders>
              <w:top w:val="nil"/>
              <w:left w:val="nil"/>
              <w:bottom w:val="nil"/>
              <w:right w:val="nil"/>
            </w:tcBorders>
            <w:noWrap/>
            <w:vAlign w:val="bottom"/>
            <w:hideMark/>
          </w:tcPr>
          <w:p w14:paraId="228DD4E1" w14:textId="77777777" w:rsidR="00A22F05" w:rsidRPr="00A22F05" w:rsidRDefault="00A22F05" w:rsidP="00A22F05">
            <w:pPr>
              <w:spacing w:after="0" w:line="240" w:lineRule="auto"/>
              <w:jc w:val="center"/>
              <w:rPr>
                <w:rFonts w:eastAsia="Times New Roman"/>
                <w:b/>
                <w:bCs/>
                <w:color w:val="000000"/>
                <w:kern w:val="0"/>
                <w:lang w:eastAsia="en-GB"/>
                <w14:ligatures w14:val="none"/>
              </w:rPr>
            </w:pPr>
          </w:p>
        </w:tc>
        <w:tc>
          <w:tcPr>
            <w:tcW w:w="1641" w:type="dxa"/>
            <w:tcBorders>
              <w:top w:val="nil"/>
              <w:left w:val="nil"/>
              <w:bottom w:val="nil"/>
              <w:right w:val="nil"/>
            </w:tcBorders>
            <w:noWrap/>
            <w:vAlign w:val="bottom"/>
            <w:hideMark/>
          </w:tcPr>
          <w:p w14:paraId="362C7D60"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63D2AA35"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23D8A765"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499A95FF"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4A793C57"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280CB43E"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0A6B71D0"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56F9F06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D87C5C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CBC406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CFED38F"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3A7A9787" w14:textId="77777777" w:rsidTr="00A22F05">
        <w:trPr>
          <w:trHeight w:val="280"/>
        </w:trPr>
        <w:tc>
          <w:tcPr>
            <w:tcW w:w="14217" w:type="dxa"/>
            <w:gridSpan w:val="4"/>
            <w:tcBorders>
              <w:top w:val="nil"/>
              <w:left w:val="nil"/>
              <w:bottom w:val="nil"/>
              <w:right w:val="nil"/>
            </w:tcBorders>
            <w:noWrap/>
            <w:vAlign w:val="bottom"/>
            <w:hideMark/>
          </w:tcPr>
          <w:p w14:paraId="4C0FBA94" w14:textId="77777777" w:rsidR="00A22F05" w:rsidRPr="00A22F05" w:rsidRDefault="00A22F05" w:rsidP="00A22F05">
            <w:pPr>
              <w:spacing w:after="0" w:line="240" w:lineRule="auto"/>
              <w:rPr>
                <w:rFonts w:eastAsia="Times New Roman"/>
                <w:color w:val="000000"/>
                <w:kern w:val="0"/>
                <w:lang w:eastAsia="en-GB"/>
                <w14:ligatures w14:val="none"/>
              </w:rPr>
            </w:pPr>
            <w:r w:rsidRPr="00A22F05">
              <w:rPr>
                <w:rFonts w:eastAsia="Times New Roman"/>
                <w:color w:val="000000"/>
                <w:kern w:val="0"/>
                <w:lang w:eastAsia="en-GB"/>
                <w14:ligatures w14:val="none"/>
              </w:rPr>
              <w:t>A qualitative or quantitative scoring can be used. See below</w:t>
            </w:r>
          </w:p>
        </w:tc>
        <w:tc>
          <w:tcPr>
            <w:tcW w:w="1498" w:type="dxa"/>
            <w:tcBorders>
              <w:top w:val="nil"/>
              <w:left w:val="nil"/>
              <w:bottom w:val="nil"/>
              <w:right w:val="nil"/>
            </w:tcBorders>
            <w:noWrap/>
            <w:vAlign w:val="bottom"/>
            <w:hideMark/>
          </w:tcPr>
          <w:p w14:paraId="127591F7" w14:textId="77777777" w:rsidR="00A22F05" w:rsidRPr="00A22F05" w:rsidRDefault="00A22F05" w:rsidP="00A22F05">
            <w:pPr>
              <w:spacing w:after="0" w:line="240" w:lineRule="auto"/>
              <w:rPr>
                <w:rFonts w:eastAsia="Times New Roman"/>
                <w:color w:val="000000"/>
                <w:kern w:val="0"/>
                <w:lang w:eastAsia="en-GB"/>
                <w14:ligatures w14:val="none"/>
              </w:rPr>
            </w:pPr>
          </w:p>
        </w:tc>
        <w:tc>
          <w:tcPr>
            <w:tcW w:w="1071" w:type="dxa"/>
            <w:tcBorders>
              <w:top w:val="nil"/>
              <w:left w:val="nil"/>
              <w:bottom w:val="nil"/>
              <w:right w:val="nil"/>
            </w:tcBorders>
            <w:noWrap/>
            <w:vAlign w:val="bottom"/>
            <w:hideMark/>
          </w:tcPr>
          <w:p w14:paraId="436D6E2C"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582865B9"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20D35EF3"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67EE439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3AA4550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D5F68A1"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03DB5F6"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6946E953" w14:textId="77777777" w:rsidTr="00A22F05">
        <w:trPr>
          <w:trHeight w:val="280"/>
        </w:trPr>
        <w:tc>
          <w:tcPr>
            <w:tcW w:w="9636" w:type="dxa"/>
            <w:tcBorders>
              <w:top w:val="nil"/>
              <w:left w:val="nil"/>
              <w:bottom w:val="nil"/>
              <w:right w:val="nil"/>
            </w:tcBorders>
            <w:noWrap/>
            <w:vAlign w:val="bottom"/>
            <w:hideMark/>
          </w:tcPr>
          <w:p w14:paraId="0C13E4DF"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723FF5C8"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1AC4F165"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106D6D5C"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510928B4"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676B69C3"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1EC55F05"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14DAFBFD"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3001E317"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371BC73"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D57727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ECF7EF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08737B9D" w14:textId="77777777" w:rsidTr="00A22F05">
        <w:trPr>
          <w:trHeight w:val="280"/>
        </w:trPr>
        <w:tc>
          <w:tcPr>
            <w:tcW w:w="12701" w:type="dxa"/>
            <w:gridSpan w:val="3"/>
            <w:tcBorders>
              <w:top w:val="nil"/>
              <w:left w:val="nil"/>
              <w:bottom w:val="nil"/>
              <w:right w:val="nil"/>
            </w:tcBorders>
            <w:noWrap/>
            <w:vAlign w:val="bottom"/>
            <w:hideMark/>
          </w:tcPr>
          <w:p w14:paraId="6072114F" w14:textId="77777777" w:rsidR="00A22F05" w:rsidRPr="00A22F05" w:rsidRDefault="00A22F05" w:rsidP="00A22F05">
            <w:pPr>
              <w:spacing w:after="0" w:line="240" w:lineRule="auto"/>
              <w:rPr>
                <w:rFonts w:eastAsia="Times New Roman"/>
                <w:b/>
                <w:bCs/>
                <w:color w:val="000000"/>
                <w:kern w:val="0"/>
                <w:lang w:eastAsia="en-GB"/>
                <w14:ligatures w14:val="none"/>
              </w:rPr>
            </w:pPr>
            <w:r w:rsidRPr="00A22F05">
              <w:rPr>
                <w:rFonts w:eastAsia="Times New Roman"/>
                <w:b/>
                <w:bCs/>
                <w:color w:val="000000"/>
                <w:kern w:val="0"/>
                <w:lang w:eastAsia="en-GB"/>
                <w14:ligatures w14:val="none"/>
              </w:rPr>
              <w:t>Qualitative scoring (High, Medium, Low)</w:t>
            </w:r>
          </w:p>
        </w:tc>
        <w:tc>
          <w:tcPr>
            <w:tcW w:w="1516" w:type="dxa"/>
            <w:tcBorders>
              <w:top w:val="nil"/>
              <w:left w:val="nil"/>
              <w:bottom w:val="nil"/>
              <w:right w:val="nil"/>
            </w:tcBorders>
            <w:noWrap/>
            <w:vAlign w:val="bottom"/>
            <w:hideMark/>
          </w:tcPr>
          <w:p w14:paraId="130EDCB8" w14:textId="77777777" w:rsidR="00A22F05" w:rsidRPr="00A22F05" w:rsidRDefault="00A22F05" w:rsidP="00A22F05">
            <w:pPr>
              <w:spacing w:after="0" w:line="240" w:lineRule="auto"/>
              <w:rPr>
                <w:rFonts w:eastAsia="Times New Roman"/>
                <w:b/>
                <w:bCs/>
                <w:color w:val="000000"/>
                <w:kern w:val="0"/>
                <w:lang w:eastAsia="en-GB"/>
                <w14:ligatures w14:val="none"/>
              </w:rPr>
            </w:pPr>
          </w:p>
        </w:tc>
        <w:tc>
          <w:tcPr>
            <w:tcW w:w="1498" w:type="dxa"/>
            <w:tcBorders>
              <w:top w:val="nil"/>
              <w:left w:val="nil"/>
              <w:bottom w:val="nil"/>
              <w:right w:val="nil"/>
            </w:tcBorders>
            <w:noWrap/>
            <w:vAlign w:val="bottom"/>
            <w:hideMark/>
          </w:tcPr>
          <w:p w14:paraId="3C362A3A"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04FED36F"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3F01ED11"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47F0714E"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6E3785C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3148905"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5D981B9"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452682E"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7CF017C7" w14:textId="77777777" w:rsidTr="00A22F05">
        <w:trPr>
          <w:trHeight w:val="310"/>
        </w:trPr>
        <w:tc>
          <w:tcPr>
            <w:tcW w:w="9636" w:type="dxa"/>
            <w:tcBorders>
              <w:top w:val="nil"/>
              <w:left w:val="nil"/>
              <w:bottom w:val="nil"/>
              <w:right w:val="nil"/>
            </w:tcBorders>
            <w:noWrap/>
            <w:vAlign w:val="bottom"/>
            <w:hideMark/>
          </w:tcPr>
          <w:p w14:paraId="5159F3C6"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02E9E68C" w14:textId="77777777" w:rsidR="00A22F05" w:rsidRPr="00A22F05" w:rsidRDefault="00A22F05" w:rsidP="00A22F05">
            <w:pPr>
              <w:spacing w:after="0" w:line="240" w:lineRule="auto"/>
              <w:rPr>
                <w:rFonts w:eastAsia="Times New Roman"/>
                <w:kern w:val="0"/>
                <w:lang w:eastAsia="en-GB"/>
                <w14:ligatures w14:val="none"/>
              </w:rPr>
            </w:pPr>
          </w:p>
        </w:tc>
        <w:tc>
          <w:tcPr>
            <w:tcW w:w="5509" w:type="dxa"/>
            <w:gridSpan w:val="4"/>
            <w:tcBorders>
              <w:top w:val="nil"/>
              <w:left w:val="nil"/>
              <w:bottom w:val="nil"/>
              <w:right w:val="nil"/>
            </w:tcBorders>
            <w:shd w:val="clear" w:color="000000" w:fill="C0C0C0"/>
            <w:noWrap/>
            <w:vAlign w:val="bottom"/>
            <w:hideMark/>
          </w:tcPr>
          <w:p w14:paraId="623E46C0"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Sub-rating Score</w:t>
            </w:r>
          </w:p>
        </w:tc>
        <w:tc>
          <w:tcPr>
            <w:tcW w:w="16" w:type="dxa"/>
            <w:tcBorders>
              <w:top w:val="nil"/>
              <w:left w:val="nil"/>
              <w:bottom w:val="nil"/>
              <w:right w:val="nil"/>
            </w:tcBorders>
            <w:noWrap/>
            <w:vAlign w:val="bottom"/>
            <w:hideMark/>
          </w:tcPr>
          <w:p w14:paraId="0A2D0EF2"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300" w:type="dxa"/>
            <w:tcBorders>
              <w:top w:val="nil"/>
              <w:left w:val="nil"/>
              <w:bottom w:val="nil"/>
              <w:right w:val="nil"/>
            </w:tcBorders>
            <w:noWrap/>
            <w:vAlign w:val="bottom"/>
            <w:hideMark/>
          </w:tcPr>
          <w:p w14:paraId="7DA30033" w14:textId="77777777" w:rsidR="00A22F05" w:rsidRPr="00A22F05" w:rsidRDefault="00A22F05" w:rsidP="00A22F05">
            <w:pPr>
              <w:spacing w:after="0" w:line="240" w:lineRule="auto"/>
              <w:rPr>
                <w:rFonts w:eastAsia="Times New Roman"/>
                <w:kern w:val="0"/>
                <w:lang w:eastAsia="en-GB"/>
                <w14:ligatures w14:val="none"/>
              </w:rPr>
            </w:pPr>
          </w:p>
        </w:tc>
        <w:tc>
          <w:tcPr>
            <w:tcW w:w="3002" w:type="dxa"/>
            <w:gridSpan w:val="4"/>
            <w:tcBorders>
              <w:top w:val="nil"/>
              <w:left w:val="nil"/>
              <w:bottom w:val="nil"/>
              <w:right w:val="nil"/>
            </w:tcBorders>
            <w:shd w:val="clear" w:color="000000" w:fill="C0C0C0"/>
            <w:hideMark/>
          </w:tcPr>
          <w:p w14:paraId="714B9DC2"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RPN score</w:t>
            </w:r>
          </w:p>
        </w:tc>
      </w:tr>
      <w:tr w:rsidR="00A22F05" w:rsidRPr="00A22F05" w14:paraId="0B8C32B7" w14:textId="77777777" w:rsidTr="00A22F05">
        <w:trPr>
          <w:trHeight w:val="320"/>
        </w:trPr>
        <w:tc>
          <w:tcPr>
            <w:tcW w:w="9636" w:type="dxa"/>
            <w:tcBorders>
              <w:top w:val="nil"/>
              <w:left w:val="nil"/>
              <w:bottom w:val="nil"/>
              <w:right w:val="nil"/>
            </w:tcBorders>
            <w:noWrap/>
            <w:vAlign w:val="bottom"/>
            <w:hideMark/>
          </w:tcPr>
          <w:p w14:paraId="21CD3AAF"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1641" w:type="dxa"/>
            <w:tcBorders>
              <w:top w:val="nil"/>
              <w:left w:val="nil"/>
              <w:bottom w:val="nil"/>
              <w:right w:val="nil"/>
            </w:tcBorders>
            <w:hideMark/>
          </w:tcPr>
          <w:p w14:paraId="59511C1F"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17B0B538" w14:textId="77777777" w:rsidR="00A22F05" w:rsidRPr="00A22F05" w:rsidRDefault="00A22F05" w:rsidP="00A22F05">
            <w:pPr>
              <w:spacing w:after="0" w:line="240" w:lineRule="auto"/>
              <w:rPr>
                <w:rFonts w:eastAsia="Times New Roman"/>
                <w:kern w:val="0"/>
                <w:lang w:eastAsia="en-GB"/>
                <w14:ligatures w14:val="none"/>
              </w:rPr>
            </w:pPr>
          </w:p>
        </w:tc>
        <w:tc>
          <w:tcPr>
            <w:tcW w:w="4085" w:type="dxa"/>
            <w:gridSpan w:val="3"/>
            <w:tcBorders>
              <w:top w:val="nil"/>
              <w:left w:val="nil"/>
              <w:bottom w:val="single" w:sz="8" w:space="0" w:color="auto"/>
              <w:right w:val="nil"/>
            </w:tcBorders>
            <w:vAlign w:val="bottom"/>
            <w:hideMark/>
          </w:tcPr>
          <w:p w14:paraId="7124E4A8"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(Non-)Detection</w:t>
            </w:r>
          </w:p>
        </w:tc>
        <w:tc>
          <w:tcPr>
            <w:tcW w:w="16" w:type="dxa"/>
            <w:tcBorders>
              <w:top w:val="nil"/>
              <w:left w:val="nil"/>
              <w:bottom w:val="nil"/>
              <w:right w:val="nil"/>
            </w:tcBorders>
            <w:noWrap/>
            <w:vAlign w:val="bottom"/>
            <w:hideMark/>
          </w:tcPr>
          <w:p w14:paraId="2F64ED87"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300" w:type="dxa"/>
            <w:tcBorders>
              <w:top w:val="nil"/>
              <w:left w:val="nil"/>
              <w:bottom w:val="nil"/>
              <w:right w:val="nil"/>
            </w:tcBorders>
            <w:hideMark/>
          </w:tcPr>
          <w:p w14:paraId="4DF92E7B"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6B7907BD" w14:textId="77777777" w:rsidR="00A22F05" w:rsidRPr="00A22F05" w:rsidRDefault="00A22F05" w:rsidP="00A22F05">
            <w:pPr>
              <w:spacing w:after="0" w:line="240" w:lineRule="auto"/>
              <w:rPr>
                <w:rFonts w:eastAsia="Times New Roman"/>
                <w:kern w:val="0"/>
                <w:lang w:eastAsia="en-GB"/>
                <w14:ligatures w14:val="none"/>
              </w:rPr>
            </w:pPr>
          </w:p>
        </w:tc>
        <w:tc>
          <w:tcPr>
            <w:tcW w:w="2502" w:type="dxa"/>
            <w:gridSpan w:val="3"/>
            <w:tcBorders>
              <w:top w:val="nil"/>
              <w:left w:val="nil"/>
              <w:bottom w:val="single" w:sz="8" w:space="0" w:color="auto"/>
              <w:right w:val="nil"/>
            </w:tcBorders>
            <w:vAlign w:val="bottom"/>
            <w:hideMark/>
          </w:tcPr>
          <w:p w14:paraId="1D2ABC72"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Severity</w:t>
            </w:r>
          </w:p>
        </w:tc>
      </w:tr>
      <w:tr w:rsidR="00A22F05" w:rsidRPr="00A22F05" w14:paraId="0D50A6DF" w14:textId="77777777" w:rsidTr="00A22F05">
        <w:trPr>
          <w:trHeight w:val="320"/>
        </w:trPr>
        <w:tc>
          <w:tcPr>
            <w:tcW w:w="9636" w:type="dxa"/>
            <w:tcBorders>
              <w:top w:val="nil"/>
              <w:left w:val="nil"/>
              <w:bottom w:val="nil"/>
              <w:right w:val="nil"/>
            </w:tcBorders>
            <w:noWrap/>
            <w:vAlign w:val="bottom"/>
            <w:hideMark/>
          </w:tcPr>
          <w:p w14:paraId="1C824D08"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1641" w:type="dxa"/>
            <w:vMerge w:val="restart"/>
            <w:tcBorders>
              <w:top w:val="nil"/>
              <w:left w:val="nil"/>
              <w:bottom w:val="nil"/>
              <w:right w:val="nil"/>
            </w:tcBorders>
            <w:textDirection w:val="btLr"/>
            <w:vAlign w:val="bottom"/>
            <w:hideMark/>
          </w:tcPr>
          <w:p w14:paraId="4DD1E85F"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single" w:sz="8" w:space="0" w:color="auto"/>
              <w:right w:val="single" w:sz="8" w:space="0" w:color="auto"/>
            </w:tcBorders>
            <w:hideMark/>
          </w:tcPr>
          <w:p w14:paraId="08CC74C2"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w:t>
            </w:r>
          </w:p>
        </w:tc>
        <w:tc>
          <w:tcPr>
            <w:tcW w:w="1516" w:type="dxa"/>
            <w:tcBorders>
              <w:top w:val="nil"/>
              <w:left w:val="nil"/>
              <w:bottom w:val="single" w:sz="8" w:space="0" w:color="auto"/>
              <w:right w:val="single" w:sz="8" w:space="0" w:color="auto"/>
            </w:tcBorders>
            <w:shd w:val="clear" w:color="000000" w:fill="C0C0C0"/>
            <w:vAlign w:val="bottom"/>
            <w:hideMark/>
          </w:tcPr>
          <w:p w14:paraId="26A7EDB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 (High)</w:t>
            </w:r>
          </w:p>
        </w:tc>
        <w:tc>
          <w:tcPr>
            <w:tcW w:w="1498" w:type="dxa"/>
            <w:tcBorders>
              <w:top w:val="nil"/>
              <w:left w:val="nil"/>
              <w:bottom w:val="single" w:sz="8" w:space="0" w:color="auto"/>
              <w:right w:val="single" w:sz="8" w:space="0" w:color="auto"/>
            </w:tcBorders>
            <w:shd w:val="clear" w:color="000000" w:fill="C0C0C0"/>
            <w:vAlign w:val="bottom"/>
            <w:hideMark/>
          </w:tcPr>
          <w:p w14:paraId="1356C0D9"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 (Med)</w:t>
            </w:r>
          </w:p>
        </w:tc>
        <w:tc>
          <w:tcPr>
            <w:tcW w:w="1071" w:type="dxa"/>
            <w:tcBorders>
              <w:top w:val="nil"/>
              <w:left w:val="nil"/>
              <w:bottom w:val="single" w:sz="8" w:space="0" w:color="auto"/>
              <w:right w:val="single" w:sz="8" w:space="0" w:color="auto"/>
            </w:tcBorders>
            <w:shd w:val="clear" w:color="000000" w:fill="C0C0C0"/>
            <w:vAlign w:val="bottom"/>
            <w:hideMark/>
          </w:tcPr>
          <w:p w14:paraId="02310FFD"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 (Low)</w:t>
            </w:r>
          </w:p>
        </w:tc>
        <w:tc>
          <w:tcPr>
            <w:tcW w:w="16" w:type="dxa"/>
            <w:tcBorders>
              <w:top w:val="nil"/>
              <w:left w:val="nil"/>
              <w:bottom w:val="nil"/>
              <w:right w:val="nil"/>
            </w:tcBorders>
            <w:noWrap/>
            <w:vAlign w:val="bottom"/>
            <w:hideMark/>
          </w:tcPr>
          <w:p w14:paraId="2F3F1781"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val="restart"/>
            <w:tcBorders>
              <w:top w:val="nil"/>
              <w:left w:val="nil"/>
              <w:bottom w:val="nil"/>
              <w:right w:val="nil"/>
            </w:tcBorders>
            <w:textDirection w:val="btLr"/>
            <w:vAlign w:val="bottom"/>
            <w:hideMark/>
          </w:tcPr>
          <w:p w14:paraId="22758B5B" w14:textId="77777777" w:rsidR="00A22F05" w:rsidRPr="00A22F05" w:rsidRDefault="00A22F05" w:rsidP="00A22F05">
            <w:pPr>
              <w:spacing w:after="0" w:line="240" w:lineRule="auto"/>
              <w:jc w:val="right"/>
              <w:rPr>
                <w:rFonts w:eastAsia="Times New Roman"/>
                <w:b/>
                <w:bCs/>
                <w:kern w:val="0"/>
                <w:lang w:eastAsia="en-GB"/>
                <w14:ligatures w14:val="none"/>
              </w:rPr>
            </w:pPr>
            <w:r w:rsidRPr="00A22F05">
              <w:rPr>
                <w:rFonts w:eastAsia="Times New Roman"/>
                <w:b/>
                <w:bCs/>
                <w:kern w:val="0"/>
                <w:lang w:eastAsia="en-GB"/>
                <w14:ligatures w14:val="none"/>
              </w:rPr>
              <w:t xml:space="preserve">Sub-rating </w:t>
            </w:r>
          </w:p>
        </w:tc>
        <w:tc>
          <w:tcPr>
            <w:tcW w:w="500" w:type="dxa"/>
            <w:tcBorders>
              <w:top w:val="nil"/>
              <w:left w:val="nil"/>
              <w:bottom w:val="single" w:sz="8" w:space="0" w:color="auto"/>
              <w:right w:val="single" w:sz="8" w:space="0" w:color="auto"/>
            </w:tcBorders>
            <w:hideMark/>
          </w:tcPr>
          <w:p w14:paraId="126FE439"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w:t>
            </w:r>
          </w:p>
        </w:tc>
        <w:tc>
          <w:tcPr>
            <w:tcW w:w="834" w:type="dxa"/>
            <w:tcBorders>
              <w:top w:val="nil"/>
              <w:left w:val="nil"/>
              <w:bottom w:val="single" w:sz="8" w:space="0" w:color="auto"/>
              <w:right w:val="single" w:sz="8" w:space="0" w:color="auto"/>
            </w:tcBorders>
            <w:shd w:val="clear" w:color="000000" w:fill="C0C0C0"/>
            <w:vAlign w:val="bottom"/>
            <w:hideMark/>
          </w:tcPr>
          <w:p w14:paraId="69932117"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834" w:type="dxa"/>
            <w:tcBorders>
              <w:top w:val="nil"/>
              <w:left w:val="nil"/>
              <w:bottom w:val="single" w:sz="8" w:space="0" w:color="auto"/>
              <w:right w:val="single" w:sz="8" w:space="0" w:color="auto"/>
            </w:tcBorders>
            <w:shd w:val="clear" w:color="000000" w:fill="C0C0C0"/>
            <w:vAlign w:val="bottom"/>
            <w:hideMark/>
          </w:tcPr>
          <w:p w14:paraId="4C696D0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834" w:type="dxa"/>
            <w:tcBorders>
              <w:top w:val="nil"/>
              <w:left w:val="nil"/>
              <w:bottom w:val="single" w:sz="8" w:space="0" w:color="auto"/>
              <w:right w:val="single" w:sz="8" w:space="0" w:color="auto"/>
            </w:tcBorders>
            <w:shd w:val="clear" w:color="000000" w:fill="C0C0C0"/>
            <w:vAlign w:val="bottom"/>
            <w:hideMark/>
          </w:tcPr>
          <w:p w14:paraId="0387D706"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r>
      <w:tr w:rsidR="00A22F05" w:rsidRPr="00A22F05" w14:paraId="4F93CAD7" w14:textId="77777777" w:rsidTr="00A22F05">
        <w:trPr>
          <w:trHeight w:val="320"/>
        </w:trPr>
        <w:tc>
          <w:tcPr>
            <w:tcW w:w="9636" w:type="dxa"/>
            <w:tcBorders>
              <w:top w:val="nil"/>
              <w:left w:val="nil"/>
              <w:bottom w:val="nil"/>
              <w:right w:val="nil"/>
            </w:tcBorders>
            <w:noWrap/>
            <w:vAlign w:val="bottom"/>
            <w:hideMark/>
          </w:tcPr>
          <w:p w14:paraId="6A1E7A7F"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2E4E50E6"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0D825D9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 (High)</w:t>
            </w:r>
          </w:p>
        </w:tc>
        <w:tc>
          <w:tcPr>
            <w:tcW w:w="1516" w:type="dxa"/>
            <w:tcBorders>
              <w:top w:val="nil"/>
              <w:left w:val="nil"/>
              <w:bottom w:val="single" w:sz="8" w:space="0" w:color="auto"/>
              <w:right w:val="single" w:sz="8" w:space="0" w:color="auto"/>
            </w:tcBorders>
            <w:shd w:val="clear" w:color="000000" w:fill="FFCC00"/>
            <w:vAlign w:val="bottom"/>
            <w:hideMark/>
          </w:tcPr>
          <w:p w14:paraId="5D4C97F5"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1498" w:type="dxa"/>
            <w:tcBorders>
              <w:top w:val="nil"/>
              <w:left w:val="nil"/>
              <w:bottom w:val="single" w:sz="8" w:space="0" w:color="auto"/>
              <w:right w:val="single" w:sz="8" w:space="0" w:color="auto"/>
            </w:tcBorders>
            <w:shd w:val="clear" w:color="000000" w:fill="FF0000"/>
            <w:vAlign w:val="bottom"/>
            <w:hideMark/>
          </w:tcPr>
          <w:p w14:paraId="5E6E7DC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c>
          <w:tcPr>
            <w:tcW w:w="1071" w:type="dxa"/>
            <w:tcBorders>
              <w:top w:val="nil"/>
              <w:left w:val="nil"/>
              <w:bottom w:val="single" w:sz="8" w:space="0" w:color="auto"/>
              <w:right w:val="single" w:sz="8" w:space="0" w:color="auto"/>
            </w:tcBorders>
            <w:shd w:val="clear" w:color="000000" w:fill="FF0000"/>
            <w:vAlign w:val="bottom"/>
            <w:hideMark/>
          </w:tcPr>
          <w:p w14:paraId="4FDB103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c>
          <w:tcPr>
            <w:tcW w:w="16" w:type="dxa"/>
            <w:tcBorders>
              <w:top w:val="nil"/>
              <w:left w:val="nil"/>
              <w:bottom w:val="nil"/>
              <w:right w:val="nil"/>
            </w:tcBorders>
            <w:noWrap/>
            <w:vAlign w:val="bottom"/>
            <w:hideMark/>
          </w:tcPr>
          <w:p w14:paraId="220A8D57"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09DCF749"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7D07533A"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c>
          <w:tcPr>
            <w:tcW w:w="834" w:type="dxa"/>
            <w:tcBorders>
              <w:top w:val="nil"/>
              <w:left w:val="nil"/>
              <w:bottom w:val="single" w:sz="8" w:space="0" w:color="auto"/>
              <w:right w:val="single" w:sz="8" w:space="0" w:color="auto"/>
            </w:tcBorders>
            <w:shd w:val="clear" w:color="000000" w:fill="FFCC00"/>
            <w:vAlign w:val="bottom"/>
            <w:hideMark/>
          </w:tcPr>
          <w:p w14:paraId="1D10E29D"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834" w:type="dxa"/>
            <w:tcBorders>
              <w:top w:val="nil"/>
              <w:left w:val="nil"/>
              <w:bottom w:val="single" w:sz="8" w:space="0" w:color="auto"/>
              <w:right w:val="single" w:sz="8" w:space="0" w:color="auto"/>
            </w:tcBorders>
            <w:shd w:val="clear" w:color="000000" w:fill="FF0000"/>
            <w:vAlign w:val="bottom"/>
            <w:hideMark/>
          </w:tcPr>
          <w:p w14:paraId="2BD27555"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c>
          <w:tcPr>
            <w:tcW w:w="834" w:type="dxa"/>
            <w:tcBorders>
              <w:top w:val="nil"/>
              <w:left w:val="nil"/>
              <w:bottom w:val="single" w:sz="8" w:space="0" w:color="auto"/>
              <w:right w:val="single" w:sz="8" w:space="0" w:color="auto"/>
            </w:tcBorders>
            <w:shd w:val="clear" w:color="000000" w:fill="FF0000"/>
            <w:vAlign w:val="bottom"/>
            <w:hideMark/>
          </w:tcPr>
          <w:p w14:paraId="43EBFE9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r>
      <w:tr w:rsidR="00A22F05" w:rsidRPr="00A22F05" w14:paraId="3CF9B0BA" w14:textId="77777777" w:rsidTr="00A22F05">
        <w:trPr>
          <w:trHeight w:val="320"/>
        </w:trPr>
        <w:tc>
          <w:tcPr>
            <w:tcW w:w="9636" w:type="dxa"/>
            <w:tcBorders>
              <w:top w:val="nil"/>
              <w:left w:val="nil"/>
              <w:bottom w:val="nil"/>
              <w:right w:val="nil"/>
            </w:tcBorders>
            <w:noWrap/>
            <w:vAlign w:val="bottom"/>
            <w:hideMark/>
          </w:tcPr>
          <w:p w14:paraId="73D972F8"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781C7E44"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7824DF6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 (Med)</w:t>
            </w:r>
          </w:p>
        </w:tc>
        <w:tc>
          <w:tcPr>
            <w:tcW w:w="1516" w:type="dxa"/>
            <w:tcBorders>
              <w:top w:val="nil"/>
              <w:left w:val="nil"/>
              <w:bottom w:val="single" w:sz="8" w:space="0" w:color="auto"/>
              <w:right w:val="single" w:sz="8" w:space="0" w:color="auto"/>
            </w:tcBorders>
            <w:shd w:val="clear" w:color="000000" w:fill="00FF00"/>
            <w:vAlign w:val="bottom"/>
            <w:hideMark/>
          </w:tcPr>
          <w:p w14:paraId="399A5CA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1498" w:type="dxa"/>
            <w:tcBorders>
              <w:top w:val="nil"/>
              <w:left w:val="nil"/>
              <w:bottom w:val="single" w:sz="8" w:space="0" w:color="auto"/>
              <w:right w:val="single" w:sz="8" w:space="0" w:color="auto"/>
            </w:tcBorders>
            <w:shd w:val="clear" w:color="000000" w:fill="FFCC00"/>
            <w:vAlign w:val="bottom"/>
            <w:hideMark/>
          </w:tcPr>
          <w:p w14:paraId="71E0AF4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1071" w:type="dxa"/>
            <w:tcBorders>
              <w:top w:val="nil"/>
              <w:left w:val="nil"/>
              <w:bottom w:val="single" w:sz="8" w:space="0" w:color="auto"/>
              <w:right w:val="single" w:sz="8" w:space="0" w:color="auto"/>
            </w:tcBorders>
            <w:shd w:val="clear" w:color="000000" w:fill="FF0000"/>
            <w:vAlign w:val="bottom"/>
            <w:hideMark/>
          </w:tcPr>
          <w:p w14:paraId="53B23839"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c>
          <w:tcPr>
            <w:tcW w:w="16" w:type="dxa"/>
            <w:tcBorders>
              <w:top w:val="nil"/>
              <w:left w:val="nil"/>
              <w:bottom w:val="nil"/>
              <w:right w:val="nil"/>
            </w:tcBorders>
            <w:noWrap/>
            <w:vAlign w:val="bottom"/>
            <w:hideMark/>
          </w:tcPr>
          <w:p w14:paraId="7723CA54"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331600BD"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6E270ED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w:t>
            </w:r>
          </w:p>
        </w:tc>
        <w:tc>
          <w:tcPr>
            <w:tcW w:w="834" w:type="dxa"/>
            <w:tcBorders>
              <w:top w:val="nil"/>
              <w:left w:val="nil"/>
              <w:bottom w:val="single" w:sz="8" w:space="0" w:color="auto"/>
              <w:right w:val="single" w:sz="8" w:space="0" w:color="auto"/>
            </w:tcBorders>
            <w:shd w:val="clear" w:color="000000" w:fill="00FF00"/>
            <w:vAlign w:val="bottom"/>
            <w:hideMark/>
          </w:tcPr>
          <w:p w14:paraId="6B70AF6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834" w:type="dxa"/>
            <w:tcBorders>
              <w:top w:val="nil"/>
              <w:left w:val="nil"/>
              <w:bottom w:val="single" w:sz="8" w:space="0" w:color="auto"/>
              <w:right w:val="single" w:sz="8" w:space="0" w:color="auto"/>
            </w:tcBorders>
            <w:shd w:val="clear" w:color="000000" w:fill="FFCC00"/>
            <w:vAlign w:val="bottom"/>
            <w:hideMark/>
          </w:tcPr>
          <w:p w14:paraId="5D0530D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834" w:type="dxa"/>
            <w:tcBorders>
              <w:top w:val="nil"/>
              <w:left w:val="nil"/>
              <w:bottom w:val="single" w:sz="8" w:space="0" w:color="auto"/>
              <w:right w:val="single" w:sz="8" w:space="0" w:color="auto"/>
            </w:tcBorders>
            <w:shd w:val="clear" w:color="000000" w:fill="FF0000"/>
            <w:vAlign w:val="bottom"/>
            <w:hideMark/>
          </w:tcPr>
          <w:p w14:paraId="2B2EC99F"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High</w:t>
            </w:r>
          </w:p>
        </w:tc>
      </w:tr>
      <w:tr w:rsidR="00A22F05" w:rsidRPr="00A22F05" w14:paraId="1F5C3194" w14:textId="77777777" w:rsidTr="00A22F05">
        <w:trPr>
          <w:trHeight w:val="320"/>
        </w:trPr>
        <w:tc>
          <w:tcPr>
            <w:tcW w:w="9636" w:type="dxa"/>
            <w:tcBorders>
              <w:top w:val="nil"/>
              <w:left w:val="nil"/>
              <w:bottom w:val="nil"/>
              <w:right w:val="nil"/>
            </w:tcBorders>
            <w:noWrap/>
            <w:vAlign w:val="bottom"/>
            <w:hideMark/>
          </w:tcPr>
          <w:p w14:paraId="51FDB2D9"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0CC32286"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3510338A"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 (Low)</w:t>
            </w:r>
          </w:p>
        </w:tc>
        <w:tc>
          <w:tcPr>
            <w:tcW w:w="1516" w:type="dxa"/>
            <w:tcBorders>
              <w:top w:val="nil"/>
              <w:left w:val="nil"/>
              <w:bottom w:val="single" w:sz="8" w:space="0" w:color="auto"/>
              <w:right w:val="single" w:sz="8" w:space="0" w:color="auto"/>
            </w:tcBorders>
            <w:shd w:val="clear" w:color="000000" w:fill="00FF00"/>
            <w:vAlign w:val="bottom"/>
            <w:hideMark/>
          </w:tcPr>
          <w:p w14:paraId="49960C3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1498" w:type="dxa"/>
            <w:tcBorders>
              <w:top w:val="nil"/>
              <w:left w:val="nil"/>
              <w:bottom w:val="single" w:sz="8" w:space="0" w:color="auto"/>
              <w:right w:val="single" w:sz="8" w:space="0" w:color="auto"/>
            </w:tcBorders>
            <w:shd w:val="clear" w:color="000000" w:fill="00FF00"/>
            <w:vAlign w:val="bottom"/>
            <w:hideMark/>
          </w:tcPr>
          <w:p w14:paraId="1C5EDCE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1071" w:type="dxa"/>
            <w:tcBorders>
              <w:top w:val="nil"/>
              <w:left w:val="nil"/>
              <w:bottom w:val="single" w:sz="8" w:space="0" w:color="auto"/>
              <w:right w:val="single" w:sz="8" w:space="0" w:color="auto"/>
            </w:tcBorders>
            <w:shd w:val="clear" w:color="000000" w:fill="FFCC00"/>
            <w:vAlign w:val="bottom"/>
            <w:hideMark/>
          </w:tcPr>
          <w:p w14:paraId="7E4DD56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c>
          <w:tcPr>
            <w:tcW w:w="16" w:type="dxa"/>
            <w:tcBorders>
              <w:top w:val="nil"/>
              <w:left w:val="nil"/>
              <w:bottom w:val="nil"/>
              <w:right w:val="nil"/>
            </w:tcBorders>
            <w:noWrap/>
            <w:vAlign w:val="bottom"/>
            <w:hideMark/>
          </w:tcPr>
          <w:p w14:paraId="0B0176F7"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523D9667"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1FBFE1DC"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834" w:type="dxa"/>
            <w:tcBorders>
              <w:top w:val="nil"/>
              <w:left w:val="nil"/>
              <w:bottom w:val="single" w:sz="8" w:space="0" w:color="auto"/>
              <w:right w:val="single" w:sz="8" w:space="0" w:color="auto"/>
            </w:tcBorders>
            <w:shd w:val="clear" w:color="000000" w:fill="00FF00"/>
            <w:vAlign w:val="bottom"/>
            <w:hideMark/>
          </w:tcPr>
          <w:p w14:paraId="1F4872BD"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834" w:type="dxa"/>
            <w:tcBorders>
              <w:top w:val="nil"/>
              <w:left w:val="nil"/>
              <w:bottom w:val="single" w:sz="8" w:space="0" w:color="auto"/>
              <w:right w:val="single" w:sz="8" w:space="0" w:color="auto"/>
            </w:tcBorders>
            <w:shd w:val="clear" w:color="000000" w:fill="00FF00"/>
            <w:vAlign w:val="bottom"/>
            <w:hideMark/>
          </w:tcPr>
          <w:p w14:paraId="396690E1"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Low</w:t>
            </w:r>
          </w:p>
        </w:tc>
        <w:tc>
          <w:tcPr>
            <w:tcW w:w="834" w:type="dxa"/>
            <w:tcBorders>
              <w:top w:val="nil"/>
              <w:left w:val="nil"/>
              <w:bottom w:val="single" w:sz="8" w:space="0" w:color="auto"/>
              <w:right w:val="single" w:sz="8" w:space="0" w:color="auto"/>
            </w:tcBorders>
            <w:shd w:val="clear" w:color="000000" w:fill="FFC000"/>
            <w:vAlign w:val="bottom"/>
            <w:hideMark/>
          </w:tcPr>
          <w:p w14:paraId="2ED0E7DF"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Medium</w:t>
            </w:r>
          </w:p>
        </w:tc>
      </w:tr>
      <w:tr w:rsidR="00A22F05" w:rsidRPr="00A22F05" w14:paraId="2823260C" w14:textId="77777777" w:rsidTr="00A22F05">
        <w:trPr>
          <w:trHeight w:val="310"/>
        </w:trPr>
        <w:tc>
          <w:tcPr>
            <w:tcW w:w="9636" w:type="dxa"/>
            <w:tcBorders>
              <w:top w:val="nil"/>
              <w:left w:val="nil"/>
              <w:bottom w:val="nil"/>
              <w:right w:val="nil"/>
            </w:tcBorders>
            <w:noWrap/>
            <w:vAlign w:val="bottom"/>
            <w:hideMark/>
          </w:tcPr>
          <w:p w14:paraId="2EE6ACE5"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tcBorders>
              <w:top w:val="nil"/>
              <w:left w:val="nil"/>
              <w:bottom w:val="nil"/>
              <w:right w:val="nil"/>
            </w:tcBorders>
            <w:textDirection w:val="btLr"/>
            <w:vAlign w:val="bottom"/>
            <w:hideMark/>
          </w:tcPr>
          <w:p w14:paraId="62839485"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6CE5AF85"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vAlign w:val="bottom"/>
            <w:hideMark/>
          </w:tcPr>
          <w:p w14:paraId="428B6F29" w14:textId="77777777" w:rsidR="00A22F05" w:rsidRPr="00A22F05" w:rsidRDefault="00A22F05" w:rsidP="00A22F05">
            <w:pPr>
              <w:spacing w:after="0" w:line="240" w:lineRule="auto"/>
              <w:jc w:val="center"/>
              <w:rPr>
                <w:rFonts w:eastAsia="Times New Roman"/>
                <w:kern w:val="0"/>
                <w:lang w:eastAsia="en-GB"/>
                <w14:ligatures w14:val="none"/>
              </w:rPr>
            </w:pPr>
          </w:p>
        </w:tc>
        <w:tc>
          <w:tcPr>
            <w:tcW w:w="1498" w:type="dxa"/>
            <w:tcBorders>
              <w:top w:val="nil"/>
              <w:left w:val="nil"/>
              <w:bottom w:val="nil"/>
              <w:right w:val="nil"/>
            </w:tcBorders>
            <w:vAlign w:val="bottom"/>
            <w:hideMark/>
          </w:tcPr>
          <w:p w14:paraId="7A345CD2" w14:textId="77777777" w:rsidR="00A22F05" w:rsidRPr="00A22F05" w:rsidRDefault="00A22F05" w:rsidP="00A22F05">
            <w:pPr>
              <w:spacing w:after="0" w:line="240" w:lineRule="auto"/>
              <w:jc w:val="center"/>
              <w:rPr>
                <w:rFonts w:eastAsia="Times New Roman"/>
                <w:kern w:val="0"/>
                <w:lang w:eastAsia="en-GB"/>
                <w14:ligatures w14:val="none"/>
              </w:rPr>
            </w:pPr>
          </w:p>
        </w:tc>
        <w:tc>
          <w:tcPr>
            <w:tcW w:w="1071" w:type="dxa"/>
            <w:tcBorders>
              <w:top w:val="nil"/>
              <w:left w:val="nil"/>
              <w:bottom w:val="nil"/>
              <w:right w:val="nil"/>
            </w:tcBorders>
            <w:vAlign w:val="bottom"/>
            <w:hideMark/>
          </w:tcPr>
          <w:p w14:paraId="45D9D7D4" w14:textId="77777777" w:rsidR="00A22F05" w:rsidRPr="00A22F05" w:rsidRDefault="00A22F05" w:rsidP="00A22F05">
            <w:pPr>
              <w:spacing w:after="0" w:line="240" w:lineRule="auto"/>
              <w:jc w:val="center"/>
              <w:rPr>
                <w:rFonts w:eastAsia="Times New Roman"/>
                <w:kern w:val="0"/>
                <w:lang w:eastAsia="en-GB"/>
                <w14:ligatures w14:val="none"/>
              </w:rPr>
            </w:pPr>
          </w:p>
        </w:tc>
        <w:tc>
          <w:tcPr>
            <w:tcW w:w="16" w:type="dxa"/>
            <w:tcBorders>
              <w:top w:val="nil"/>
              <w:left w:val="nil"/>
              <w:bottom w:val="nil"/>
              <w:right w:val="nil"/>
            </w:tcBorders>
            <w:noWrap/>
            <w:vAlign w:val="bottom"/>
            <w:hideMark/>
          </w:tcPr>
          <w:p w14:paraId="5139BD73"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tcBorders>
              <w:top w:val="nil"/>
              <w:left w:val="nil"/>
              <w:bottom w:val="nil"/>
              <w:right w:val="nil"/>
            </w:tcBorders>
            <w:textDirection w:val="btLr"/>
            <w:vAlign w:val="bottom"/>
            <w:hideMark/>
          </w:tcPr>
          <w:p w14:paraId="2F25D206"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58F70393"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vAlign w:val="bottom"/>
            <w:hideMark/>
          </w:tcPr>
          <w:p w14:paraId="1750FE9D" w14:textId="77777777" w:rsidR="00A22F05" w:rsidRPr="00A22F05" w:rsidRDefault="00A22F05" w:rsidP="00A22F05">
            <w:pPr>
              <w:spacing w:after="0" w:line="240" w:lineRule="auto"/>
              <w:jc w:val="center"/>
              <w:rPr>
                <w:rFonts w:eastAsia="Times New Roman"/>
                <w:kern w:val="0"/>
                <w:lang w:eastAsia="en-GB"/>
                <w14:ligatures w14:val="none"/>
              </w:rPr>
            </w:pPr>
          </w:p>
        </w:tc>
        <w:tc>
          <w:tcPr>
            <w:tcW w:w="834" w:type="dxa"/>
            <w:tcBorders>
              <w:top w:val="nil"/>
              <w:left w:val="nil"/>
              <w:bottom w:val="nil"/>
              <w:right w:val="nil"/>
            </w:tcBorders>
            <w:vAlign w:val="bottom"/>
            <w:hideMark/>
          </w:tcPr>
          <w:p w14:paraId="19448935" w14:textId="77777777" w:rsidR="00A22F05" w:rsidRPr="00A22F05" w:rsidRDefault="00A22F05" w:rsidP="00A22F05">
            <w:pPr>
              <w:spacing w:after="0" w:line="240" w:lineRule="auto"/>
              <w:jc w:val="center"/>
              <w:rPr>
                <w:rFonts w:eastAsia="Times New Roman"/>
                <w:kern w:val="0"/>
                <w:lang w:eastAsia="en-GB"/>
                <w14:ligatures w14:val="none"/>
              </w:rPr>
            </w:pPr>
          </w:p>
        </w:tc>
        <w:tc>
          <w:tcPr>
            <w:tcW w:w="834" w:type="dxa"/>
            <w:tcBorders>
              <w:top w:val="nil"/>
              <w:left w:val="nil"/>
              <w:bottom w:val="nil"/>
              <w:right w:val="nil"/>
            </w:tcBorders>
            <w:vAlign w:val="bottom"/>
            <w:hideMark/>
          </w:tcPr>
          <w:p w14:paraId="75506442" w14:textId="77777777" w:rsidR="00A22F05" w:rsidRPr="00A22F05" w:rsidRDefault="00A22F05" w:rsidP="00A22F05">
            <w:pPr>
              <w:spacing w:after="0" w:line="240" w:lineRule="auto"/>
              <w:jc w:val="center"/>
              <w:rPr>
                <w:rFonts w:eastAsia="Times New Roman"/>
                <w:kern w:val="0"/>
                <w:lang w:eastAsia="en-GB"/>
                <w14:ligatures w14:val="none"/>
              </w:rPr>
            </w:pPr>
          </w:p>
        </w:tc>
      </w:tr>
      <w:tr w:rsidR="00A22F05" w:rsidRPr="00A22F05" w14:paraId="1BF048AC" w14:textId="77777777" w:rsidTr="00A22F05">
        <w:trPr>
          <w:trHeight w:val="310"/>
        </w:trPr>
        <w:tc>
          <w:tcPr>
            <w:tcW w:w="11277" w:type="dxa"/>
            <w:gridSpan w:val="2"/>
            <w:tcBorders>
              <w:top w:val="nil"/>
              <w:left w:val="nil"/>
              <w:bottom w:val="nil"/>
              <w:right w:val="nil"/>
            </w:tcBorders>
            <w:noWrap/>
            <w:vAlign w:val="bottom"/>
            <w:hideMark/>
          </w:tcPr>
          <w:p w14:paraId="67776DC1" w14:textId="77777777" w:rsidR="00A22F05" w:rsidRPr="00A22F05" w:rsidRDefault="00A22F05" w:rsidP="00A22F05">
            <w:pPr>
              <w:spacing w:after="0" w:line="240" w:lineRule="auto"/>
              <w:rPr>
                <w:rFonts w:eastAsia="Times New Roman"/>
                <w:b/>
                <w:bCs/>
                <w:color w:val="000000"/>
                <w:kern w:val="0"/>
                <w:lang w:eastAsia="en-GB"/>
                <w14:ligatures w14:val="none"/>
              </w:rPr>
            </w:pPr>
            <w:r w:rsidRPr="00A22F05">
              <w:rPr>
                <w:rFonts w:eastAsia="Times New Roman"/>
                <w:b/>
                <w:bCs/>
                <w:color w:val="000000"/>
                <w:kern w:val="0"/>
                <w:lang w:eastAsia="en-GB"/>
                <w14:ligatures w14:val="none"/>
              </w:rPr>
              <w:t xml:space="preserve">Quantitative scoring </w:t>
            </w:r>
          </w:p>
        </w:tc>
        <w:tc>
          <w:tcPr>
            <w:tcW w:w="1424" w:type="dxa"/>
            <w:tcBorders>
              <w:top w:val="nil"/>
              <w:left w:val="nil"/>
              <w:bottom w:val="nil"/>
              <w:right w:val="nil"/>
            </w:tcBorders>
            <w:hideMark/>
          </w:tcPr>
          <w:p w14:paraId="6BBA6552" w14:textId="77777777" w:rsidR="00A22F05" w:rsidRPr="00A22F05" w:rsidRDefault="00A22F05" w:rsidP="00A22F05">
            <w:pPr>
              <w:spacing w:after="0" w:line="240" w:lineRule="auto"/>
              <w:rPr>
                <w:rFonts w:eastAsia="Times New Roman"/>
                <w:b/>
                <w:bCs/>
                <w:color w:val="000000"/>
                <w:kern w:val="0"/>
                <w:lang w:eastAsia="en-GB"/>
                <w14:ligatures w14:val="none"/>
              </w:rPr>
            </w:pPr>
          </w:p>
        </w:tc>
        <w:tc>
          <w:tcPr>
            <w:tcW w:w="1516" w:type="dxa"/>
            <w:tcBorders>
              <w:top w:val="nil"/>
              <w:left w:val="nil"/>
              <w:bottom w:val="nil"/>
              <w:right w:val="nil"/>
            </w:tcBorders>
            <w:vAlign w:val="bottom"/>
            <w:hideMark/>
          </w:tcPr>
          <w:p w14:paraId="68CDDD51" w14:textId="77777777" w:rsidR="00A22F05" w:rsidRPr="00A22F05" w:rsidRDefault="00A22F05" w:rsidP="00A22F05">
            <w:pPr>
              <w:spacing w:after="0" w:line="240" w:lineRule="auto"/>
              <w:jc w:val="center"/>
              <w:rPr>
                <w:rFonts w:eastAsia="Times New Roman"/>
                <w:kern w:val="0"/>
                <w:lang w:eastAsia="en-GB"/>
                <w14:ligatures w14:val="none"/>
              </w:rPr>
            </w:pPr>
          </w:p>
        </w:tc>
        <w:tc>
          <w:tcPr>
            <w:tcW w:w="1498" w:type="dxa"/>
            <w:tcBorders>
              <w:top w:val="nil"/>
              <w:left w:val="nil"/>
              <w:bottom w:val="nil"/>
              <w:right w:val="nil"/>
            </w:tcBorders>
            <w:vAlign w:val="bottom"/>
            <w:hideMark/>
          </w:tcPr>
          <w:p w14:paraId="3CB0673C" w14:textId="77777777" w:rsidR="00A22F05" w:rsidRPr="00A22F05" w:rsidRDefault="00A22F05" w:rsidP="00A22F05">
            <w:pPr>
              <w:spacing w:after="0" w:line="240" w:lineRule="auto"/>
              <w:jc w:val="center"/>
              <w:rPr>
                <w:rFonts w:eastAsia="Times New Roman"/>
                <w:kern w:val="0"/>
                <w:lang w:eastAsia="en-GB"/>
                <w14:ligatures w14:val="none"/>
              </w:rPr>
            </w:pPr>
          </w:p>
        </w:tc>
        <w:tc>
          <w:tcPr>
            <w:tcW w:w="1071" w:type="dxa"/>
            <w:tcBorders>
              <w:top w:val="nil"/>
              <w:left w:val="nil"/>
              <w:bottom w:val="nil"/>
              <w:right w:val="nil"/>
            </w:tcBorders>
            <w:vAlign w:val="bottom"/>
            <w:hideMark/>
          </w:tcPr>
          <w:p w14:paraId="56753778" w14:textId="77777777" w:rsidR="00A22F05" w:rsidRPr="00A22F05" w:rsidRDefault="00A22F05" w:rsidP="00A22F05">
            <w:pPr>
              <w:spacing w:after="0" w:line="240" w:lineRule="auto"/>
              <w:jc w:val="center"/>
              <w:rPr>
                <w:rFonts w:eastAsia="Times New Roman"/>
                <w:kern w:val="0"/>
                <w:lang w:eastAsia="en-GB"/>
                <w14:ligatures w14:val="none"/>
              </w:rPr>
            </w:pPr>
          </w:p>
        </w:tc>
        <w:tc>
          <w:tcPr>
            <w:tcW w:w="16" w:type="dxa"/>
            <w:tcBorders>
              <w:top w:val="nil"/>
              <w:left w:val="nil"/>
              <w:bottom w:val="nil"/>
              <w:right w:val="nil"/>
            </w:tcBorders>
            <w:noWrap/>
            <w:vAlign w:val="bottom"/>
            <w:hideMark/>
          </w:tcPr>
          <w:p w14:paraId="69DDEC27"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tcBorders>
              <w:top w:val="nil"/>
              <w:left w:val="nil"/>
              <w:bottom w:val="nil"/>
              <w:right w:val="nil"/>
            </w:tcBorders>
            <w:textDirection w:val="btLr"/>
            <w:vAlign w:val="bottom"/>
            <w:hideMark/>
          </w:tcPr>
          <w:p w14:paraId="01B99426"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4775329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vAlign w:val="bottom"/>
            <w:hideMark/>
          </w:tcPr>
          <w:p w14:paraId="7621F0CB" w14:textId="77777777" w:rsidR="00A22F05" w:rsidRPr="00A22F05" w:rsidRDefault="00A22F05" w:rsidP="00A22F05">
            <w:pPr>
              <w:spacing w:after="0" w:line="240" w:lineRule="auto"/>
              <w:jc w:val="center"/>
              <w:rPr>
                <w:rFonts w:eastAsia="Times New Roman"/>
                <w:kern w:val="0"/>
                <w:lang w:eastAsia="en-GB"/>
                <w14:ligatures w14:val="none"/>
              </w:rPr>
            </w:pPr>
          </w:p>
        </w:tc>
        <w:tc>
          <w:tcPr>
            <w:tcW w:w="834" w:type="dxa"/>
            <w:tcBorders>
              <w:top w:val="nil"/>
              <w:left w:val="nil"/>
              <w:bottom w:val="nil"/>
              <w:right w:val="nil"/>
            </w:tcBorders>
            <w:vAlign w:val="bottom"/>
            <w:hideMark/>
          </w:tcPr>
          <w:p w14:paraId="0F1F7FDB" w14:textId="77777777" w:rsidR="00A22F05" w:rsidRPr="00A22F05" w:rsidRDefault="00A22F05" w:rsidP="00A22F05">
            <w:pPr>
              <w:spacing w:after="0" w:line="240" w:lineRule="auto"/>
              <w:jc w:val="center"/>
              <w:rPr>
                <w:rFonts w:eastAsia="Times New Roman"/>
                <w:kern w:val="0"/>
                <w:lang w:eastAsia="en-GB"/>
                <w14:ligatures w14:val="none"/>
              </w:rPr>
            </w:pPr>
          </w:p>
        </w:tc>
        <w:tc>
          <w:tcPr>
            <w:tcW w:w="834" w:type="dxa"/>
            <w:tcBorders>
              <w:top w:val="nil"/>
              <w:left w:val="nil"/>
              <w:bottom w:val="nil"/>
              <w:right w:val="nil"/>
            </w:tcBorders>
            <w:vAlign w:val="bottom"/>
            <w:hideMark/>
          </w:tcPr>
          <w:p w14:paraId="46789B72" w14:textId="77777777" w:rsidR="00A22F05" w:rsidRPr="00A22F05" w:rsidRDefault="00A22F05" w:rsidP="00A22F05">
            <w:pPr>
              <w:spacing w:after="0" w:line="240" w:lineRule="auto"/>
              <w:jc w:val="center"/>
              <w:rPr>
                <w:rFonts w:eastAsia="Times New Roman"/>
                <w:kern w:val="0"/>
                <w:lang w:eastAsia="en-GB"/>
                <w14:ligatures w14:val="none"/>
              </w:rPr>
            </w:pPr>
          </w:p>
        </w:tc>
      </w:tr>
      <w:tr w:rsidR="00A22F05" w:rsidRPr="00A22F05" w14:paraId="72B28933" w14:textId="77777777" w:rsidTr="00A22F05">
        <w:trPr>
          <w:trHeight w:val="320"/>
        </w:trPr>
        <w:tc>
          <w:tcPr>
            <w:tcW w:w="9636" w:type="dxa"/>
            <w:tcBorders>
              <w:top w:val="nil"/>
              <w:left w:val="nil"/>
              <w:bottom w:val="nil"/>
              <w:right w:val="nil"/>
            </w:tcBorders>
            <w:noWrap/>
            <w:vAlign w:val="bottom"/>
            <w:hideMark/>
          </w:tcPr>
          <w:p w14:paraId="6C20A34E"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tcBorders>
              <w:top w:val="nil"/>
              <w:left w:val="nil"/>
              <w:bottom w:val="nil"/>
              <w:right w:val="nil"/>
            </w:tcBorders>
            <w:noWrap/>
            <w:vAlign w:val="bottom"/>
            <w:hideMark/>
          </w:tcPr>
          <w:p w14:paraId="3B25E9B6" w14:textId="77777777" w:rsidR="00A22F05" w:rsidRPr="00A22F05" w:rsidRDefault="00A22F05" w:rsidP="00A22F05">
            <w:pPr>
              <w:spacing w:after="0" w:line="240" w:lineRule="auto"/>
              <w:rPr>
                <w:rFonts w:eastAsia="Times New Roman"/>
                <w:kern w:val="0"/>
                <w:lang w:eastAsia="en-GB"/>
                <w14:ligatures w14:val="none"/>
              </w:rPr>
            </w:pPr>
          </w:p>
        </w:tc>
        <w:tc>
          <w:tcPr>
            <w:tcW w:w="5509" w:type="dxa"/>
            <w:gridSpan w:val="4"/>
            <w:tcBorders>
              <w:top w:val="nil"/>
              <w:left w:val="nil"/>
              <w:bottom w:val="nil"/>
              <w:right w:val="nil"/>
            </w:tcBorders>
            <w:shd w:val="clear" w:color="000000" w:fill="C0C0C0"/>
            <w:noWrap/>
            <w:vAlign w:val="bottom"/>
            <w:hideMark/>
          </w:tcPr>
          <w:p w14:paraId="3883C70E"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Sub-rating Score</w:t>
            </w:r>
          </w:p>
        </w:tc>
        <w:tc>
          <w:tcPr>
            <w:tcW w:w="16" w:type="dxa"/>
            <w:tcBorders>
              <w:top w:val="nil"/>
              <w:left w:val="nil"/>
              <w:bottom w:val="nil"/>
              <w:right w:val="nil"/>
            </w:tcBorders>
            <w:noWrap/>
            <w:vAlign w:val="bottom"/>
            <w:hideMark/>
          </w:tcPr>
          <w:p w14:paraId="3278390E"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300" w:type="dxa"/>
            <w:tcBorders>
              <w:top w:val="nil"/>
              <w:left w:val="nil"/>
              <w:bottom w:val="nil"/>
              <w:right w:val="nil"/>
            </w:tcBorders>
            <w:hideMark/>
          </w:tcPr>
          <w:p w14:paraId="4931A72D"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10E74211" w14:textId="77777777" w:rsidR="00A22F05" w:rsidRPr="00A22F05" w:rsidRDefault="00A22F05" w:rsidP="00A22F05">
            <w:pPr>
              <w:spacing w:after="0" w:line="240" w:lineRule="auto"/>
              <w:rPr>
                <w:rFonts w:eastAsia="Times New Roman"/>
                <w:kern w:val="0"/>
                <w:lang w:eastAsia="en-GB"/>
                <w14:ligatures w14:val="none"/>
              </w:rPr>
            </w:pPr>
          </w:p>
        </w:tc>
        <w:tc>
          <w:tcPr>
            <w:tcW w:w="2502" w:type="dxa"/>
            <w:gridSpan w:val="3"/>
            <w:tcBorders>
              <w:top w:val="nil"/>
              <w:left w:val="nil"/>
              <w:bottom w:val="single" w:sz="8" w:space="0" w:color="auto"/>
              <w:right w:val="nil"/>
            </w:tcBorders>
            <w:vAlign w:val="bottom"/>
            <w:hideMark/>
          </w:tcPr>
          <w:p w14:paraId="12DE3C0D"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Severity</w:t>
            </w:r>
          </w:p>
        </w:tc>
      </w:tr>
      <w:tr w:rsidR="00A22F05" w:rsidRPr="00A22F05" w14:paraId="42DDB444" w14:textId="77777777" w:rsidTr="00A22F05">
        <w:trPr>
          <w:trHeight w:val="330"/>
        </w:trPr>
        <w:tc>
          <w:tcPr>
            <w:tcW w:w="9636" w:type="dxa"/>
            <w:tcBorders>
              <w:top w:val="nil"/>
              <w:left w:val="nil"/>
              <w:bottom w:val="nil"/>
              <w:right w:val="nil"/>
            </w:tcBorders>
            <w:noWrap/>
            <w:vAlign w:val="bottom"/>
            <w:hideMark/>
          </w:tcPr>
          <w:p w14:paraId="4646587F"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1641" w:type="dxa"/>
            <w:tcBorders>
              <w:top w:val="nil"/>
              <w:left w:val="nil"/>
              <w:bottom w:val="nil"/>
              <w:right w:val="nil"/>
            </w:tcBorders>
            <w:hideMark/>
          </w:tcPr>
          <w:p w14:paraId="13BDDA6E"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75715CB7" w14:textId="77777777" w:rsidR="00A22F05" w:rsidRPr="00A22F05" w:rsidRDefault="00A22F05" w:rsidP="00A22F05">
            <w:pPr>
              <w:spacing w:after="0" w:line="240" w:lineRule="auto"/>
              <w:rPr>
                <w:rFonts w:eastAsia="Times New Roman"/>
                <w:kern w:val="0"/>
                <w:lang w:eastAsia="en-GB"/>
                <w14:ligatures w14:val="none"/>
              </w:rPr>
            </w:pPr>
          </w:p>
        </w:tc>
        <w:tc>
          <w:tcPr>
            <w:tcW w:w="4085" w:type="dxa"/>
            <w:gridSpan w:val="3"/>
            <w:tcBorders>
              <w:top w:val="nil"/>
              <w:left w:val="nil"/>
              <w:bottom w:val="single" w:sz="8" w:space="0" w:color="auto"/>
              <w:right w:val="nil"/>
            </w:tcBorders>
            <w:vAlign w:val="bottom"/>
            <w:hideMark/>
          </w:tcPr>
          <w:p w14:paraId="18FEBF82"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(Non-)Detection</w:t>
            </w:r>
          </w:p>
        </w:tc>
        <w:tc>
          <w:tcPr>
            <w:tcW w:w="16" w:type="dxa"/>
            <w:tcBorders>
              <w:top w:val="nil"/>
              <w:left w:val="nil"/>
              <w:bottom w:val="nil"/>
              <w:right w:val="nil"/>
            </w:tcBorders>
            <w:noWrap/>
            <w:vAlign w:val="bottom"/>
            <w:hideMark/>
          </w:tcPr>
          <w:p w14:paraId="0005AEC7" w14:textId="77777777" w:rsidR="00A22F05" w:rsidRPr="00A22F05" w:rsidRDefault="00A22F05" w:rsidP="00A22F05">
            <w:pPr>
              <w:spacing w:after="0" w:line="240" w:lineRule="auto"/>
              <w:jc w:val="center"/>
              <w:rPr>
                <w:rFonts w:eastAsia="Times New Roman"/>
                <w:b/>
                <w:bCs/>
                <w:kern w:val="0"/>
                <w:lang w:eastAsia="en-GB"/>
                <w14:ligatures w14:val="none"/>
              </w:rPr>
            </w:pPr>
          </w:p>
        </w:tc>
        <w:tc>
          <w:tcPr>
            <w:tcW w:w="300" w:type="dxa"/>
            <w:tcBorders>
              <w:top w:val="nil"/>
              <w:left w:val="nil"/>
              <w:bottom w:val="nil"/>
              <w:right w:val="nil"/>
            </w:tcBorders>
            <w:textDirection w:val="btLr"/>
            <w:vAlign w:val="bottom"/>
            <w:hideMark/>
          </w:tcPr>
          <w:p w14:paraId="750EC5E2"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single" w:sz="8" w:space="0" w:color="auto"/>
              <w:right w:val="single" w:sz="8" w:space="0" w:color="auto"/>
            </w:tcBorders>
            <w:hideMark/>
          </w:tcPr>
          <w:p w14:paraId="52CA54C8"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w:t>
            </w:r>
          </w:p>
        </w:tc>
        <w:tc>
          <w:tcPr>
            <w:tcW w:w="834" w:type="dxa"/>
            <w:tcBorders>
              <w:top w:val="nil"/>
              <w:left w:val="nil"/>
              <w:bottom w:val="single" w:sz="8" w:space="0" w:color="auto"/>
              <w:right w:val="single" w:sz="8" w:space="0" w:color="auto"/>
            </w:tcBorders>
            <w:shd w:val="clear" w:color="000000" w:fill="C0C0C0"/>
            <w:vAlign w:val="bottom"/>
            <w:hideMark/>
          </w:tcPr>
          <w:p w14:paraId="372350A7"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834" w:type="dxa"/>
            <w:tcBorders>
              <w:top w:val="nil"/>
              <w:left w:val="nil"/>
              <w:bottom w:val="single" w:sz="8" w:space="0" w:color="auto"/>
              <w:right w:val="single" w:sz="8" w:space="0" w:color="auto"/>
            </w:tcBorders>
            <w:shd w:val="clear" w:color="000000" w:fill="C0C0C0"/>
            <w:vAlign w:val="bottom"/>
            <w:hideMark/>
          </w:tcPr>
          <w:p w14:paraId="60D9E1E5"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834" w:type="dxa"/>
            <w:tcBorders>
              <w:top w:val="nil"/>
              <w:left w:val="nil"/>
              <w:bottom w:val="single" w:sz="8" w:space="0" w:color="auto"/>
              <w:right w:val="single" w:sz="8" w:space="0" w:color="auto"/>
            </w:tcBorders>
            <w:shd w:val="clear" w:color="000000" w:fill="C0C0C0"/>
            <w:vAlign w:val="bottom"/>
            <w:hideMark/>
          </w:tcPr>
          <w:p w14:paraId="21BBF61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r>
      <w:tr w:rsidR="00A22F05" w:rsidRPr="00A22F05" w14:paraId="0A8354A8" w14:textId="77777777" w:rsidTr="00A22F05">
        <w:trPr>
          <w:trHeight w:val="320"/>
        </w:trPr>
        <w:tc>
          <w:tcPr>
            <w:tcW w:w="9636" w:type="dxa"/>
            <w:tcBorders>
              <w:top w:val="nil"/>
              <w:left w:val="nil"/>
              <w:bottom w:val="nil"/>
              <w:right w:val="nil"/>
            </w:tcBorders>
            <w:noWrap/>
            <w:vAlign w:val="bottom"/>
            <w:hideMark/>
          </w:tcPr>
          <w:p w14:paraId="4E596699"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val="restart"/>
            <w:tcBorders>
              <w:top w:val="nil"/>
              <w:left w:val="nil"/>
              <w:bottom w:val="nil"/>
              <w:right w:val="nil"/>
            </w:tcBorders>
            <w:textDirection w:val="btLr"/>
            <w:vAlign w:val="bottom"/>
            <w:hideMark/>
          </w:tcPr>
          <w:p w14:paraId="56C1E9E0" w14:textId="77777777" w:rsidR="00A22F05" w:rsidRPr="00A22F05" w:rsidRDefault="00A22F05" w:rsidP="00A22F05">
            <w:pPr>
              <w:spacing w:after="0" w:line="240" w:lineRule="auto"/>
              <w:jc w:val="right"/>
              <w:rPr>
                <w:rFonts w:eastAsia="Times New Roman"/>
                <w:b/>
                <w:bCs/>
                <w:kern w:val="0"/>
                <w:lang w:eastAsia="en-GB"/>
                <w14:ligatures w14:val="none"/>
              </w:rPr>
            </w:pPr>
            <w:proofErr w:type="spellStart"/>
            <w:r w:rsidRPr="00A22F05">
              <w:rPr>
                <w:rFonts w:eastAsia="Times New Roman"/>
                <w:b/>
                <w:bCs/>
                <w:kern w:val="0"/>
                <w:lang w:eastAsia="en-GB"/>
                <w14:ligatures w14:val="none"/>
              </w:rPr>
              <w:t>Occurence</w:t>
            </w:r>
            <w:proofErr w:type="spellEnd"/>
          </w:p>
        </w:tc>
        <w:tc>
          <w:tcPr>
            <w:tcW w:w="1424" w:type="dxa"/>
            <w:tcBorders>
              <w:top w:val="nil"/>
              <w:left w:val="nil"/>
              <w:bottom w:val="single" w:sz="8" w:space="0" w:color="auto"/>
              <w:right w:val="single" w:sz="8" w:space="0" w:color="auto"/>
            </w:tcBorders>
            <w:hideMark/>
          </w:tcPr>
          <w:p w14:paraId="68361E99"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w:t>
            </w:r>
          </w:p>
        </w:tc>
        <w:tc>
          <w:tcPr>
            <w:tcW w:w="1516" w:type="dxa"/>
            <w:tcBorders>
              <w:top w:val="nil"/>
              <w:left w:val="nil"/>
              <w:bottom w:val="single" w:sz="8" w:space="0" w:color="auto"/>
              <w:right w:val="single" w:sz="8" w:space="0" w:color="auto"/>
            </w:tcBorders>
            <w:shd w:val="clear" w:color="000000" w:fill="C0C0C0"/>
            <w:vAlign w:val="bottom"/>
            <w:hideMark/>
          </w:tcPr>
          <w:p w14:paraId="7F40C6D1"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1498" w:type="dxa"/>
            <w:tcBorders>
              <w:top w:val="nil"/>
              <w:left w:val="nil"/>
              <w:bottom w:val="single" w:sz="8" w:space="0" w:color="auto"/>
              <w:right w:val="single" w:sz="8" w:space="0" w:color="auto"/>
            </w:tcBorders>
            <w:shd w:val="clear" w:color="000000" w:fill="C0C0C0"/>
            <w:vAlign w:val="bottom"/>
            <w:hideMark/>
          </w:tcPr>
          <w:p w14:paraId="73184E1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1071" w:type="dxa"/>
            <w:tcBorders>
              <w:top w:val="nil"/>
              <w:left w:val="nil"/>
              <w:bottom w:val="single" w:sz="8" w:space="0" w:color="auto"/>
              <w:right w:val="single" w:sz="8" w:space="0" w:color="auto"/>
            </w:tcBorders>
            <w:shd w:val="clear" w:color="000000" w:fill="C0C0C0"/>
            <w:vAlign w:val="bottom"/>
            <w:hideMark/>
          </w:tcPr>
          <w:p w14:paraId="0677ABAF"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16" w:type="dxa"/>
            <w:tcBorders>
              <w:top w:val="nil"/>
              <w:left w:val="nil"/>
              <w:bottom w:val="nil"/>
              <w:right w:val="nil"/>
            </w:tcBorders>
            <w:noWrap/>
            <w:vAlign w:val="bottom"/>
            <w:hideMark/>
          </w:tcPr>
          <w:p w14:paraId="38021365"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val="restart"/>
            <w:tcBorders>
              <w:top w:val="nil"/>
              <w:left w:val="nil"/>
              <w:bottom w:val="nil"/>
              <w:right w:val="nil"/>
            </w:tcBorders>
            <w:textDirection w:val="btLr"/>
            <w:vAlign w:val="bottom"/>
            <w:hideMark/>
          </w:tcPr>
          <w:p w14:paraId="42AED3B9" w14:textId="77777777" w:rsidR="00A22F05" w:rsidRPr="00A22F05" w:rsidRDefault="00A22F05" w:rsidP="00A22F05">
            <w:pPr>
              <w:spacing w:after="0" w:line="240" w:lineRule="auto"/>
              <w:jc w:val="right"/>
              <w:rPr>
                <w:rFonts w:eastAsia="Times New Roman"/>
                <w:b/>
                <w:bCs/>
                <w:kern w:val="0"/>
                <w:lang w:eastAsia="en-GB"/>
                <w14:ligatures w14:val="none"/>
              </w:rPr>
            </w:pPr>
            <w:r w:rsidRPr="00A22F05">
              <w:rPr>
                <w:rFonts w:eastAsia="Times New Roman"/>
                <w:b/>
                <w:bCs/>
                <w:kern w:val="0"/>
                <w:lang w:eastAsia="en-GB"/>
                <w14:ligatures w14:val="none"/>
              </w:rPr>
              <w:t>Sub-rating</w:t>
            </w:r>
          </w:p>
        </w:tc>
        <w:tc>
          <w:tcPr>
            <w:tcW w:w="500" w:type="dxa"/>
            <w:tcBorders>
              <w:top w:val="nil"/>
              <w:left w:val="single" w:sz="8" w:space="0" w:color="auto"/>
              <w:bottom w:val="single" w:sz="8" w:space="0" w:color="auto"/>
              <w:right w:val="single" w:sz="8" w:space="0" w:color="auto"/>
            </w:tcBorders>
            <w:shd w:val="clear" w:color="000000" w:fill="C0C0C0"/>
            <w:hideMark/>
          </w:tcPr>
          <w:p w14:paraId="47FD255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9</w:t>
            </w:r>
          </w:p>
        </w:tc>
        <w:tc>
          <w:tcPr>
            <w:tcW w:w="834" w:type="dxa"/>
            <w:tcBorders>
              <w:top w:val="nil"/>
              <w:left w:val="nil"/>
              <w:bottom w:val="single" w:sz="8" w:space="0" w:color="auto"/>
              <w:right w:val="single" w:sz="8" w:space="0" w:color="auto"/>
            </w:tcBorders>
            <w:shd w:val="clear" w:color="000000" w:fill="FFCC00"/>
            <w:vAlign w:val="bottom"/>
            <w:hideMark/>
          </w:tcPr>
          <w:p w14:paraId="558F53B9"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9</w:t>
            </w:r>
          </w:p>
        </w:tc>
        <w:tc>
          <w:tcPr>
            <w:tcW w:w="834" w:type="dxa"/>
            <w:tcBorders>
              <w:top w:val="nil"/>
              <w:left w:val="nil"/>
              <w:bottom w:val="single" w:sz="8" w:space="0" w:color="auto"/>
              <w:right w:val="single" w:sz="8" w:space="0" w:color="auto"/>
            </w:tcBorders>
            <w:shd w:val="clear" w:color="000000" w:fill="FF0000"/>
            <w:vAlign w:val="bottom"/>
            <w:hideMark/>
          </w:tcPr>
          <w:p w14:paraId="768BD278"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18</w:t>
            </w:r>
          </w:p>
        </w:tc>
        <w:tc>
          <w:tcPr>
            <w:tcW w:w="834" w:type="dxa"/>
            <w:tcBorders>
              <w:top w:val="nil"/>
              <w:left w:val="nil"/>
              <w:bottom w:val="single" w:sz="8" w:space="0" w:color="auto"/>
              <w:right w:val="single" w:sz="8" w:space="0" w:color="auto"/>
            </w:tcBorders>
            <w:shd w:val="clear" w:color="000000" w:fill="FF0000"/>
            <w:vAlign w:val="bottom"/>
            <w:hideMark/>
          </w:tcPr>
          <w:p w14:paraId="6D1645D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27</w:t>
            </w:r>
          </w:p>
        </w:tc>
      </w:tr>
      <w:tr w:rsidR="00A22F05" w:rsidRPr="00A22F05" w14:paraId="16A3DF06" w14:textId="77777777" w:rsidTr="00A22F05">
        <w:trPr>
          <w:trHeight w:val="320"/>
        </w:trPr>
        <w:tc>
          <w:tcPr>
            <w:tcW w:w="9636" w:type="dxa"/>
            <w:tcBorders>
              <w:top w:val="nil"/>
              <w:left w:val="nil"/>
              <w:bottom w:val="nil"/>
              <w:right w:val="nil"/>
            </w:tcBorders>
            <w:noWrap/>
            <w:vAlign w:val="bottom"/>
            <w:hideMark/>
          </w:tcPr>
          <w:p w14:paraId="6B536002"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789728A8" w14:textId="77777777" w:rsidR="00A22F05" w:rsidRPr="00A22F05" w:rsidRDefault="00A22F05" w:rsidP="00A22F05">
            <w:pPr>
              <w:spacing w:after="0" w:line="240" w:lineRule="auto"/>
              <w:rPr>
                <w:rFonts w:eastAsia="Times New Roman"/>
                <w:b/>
                <w:bCs/>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59FF9FA7"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1516" w:type="dxa"/>
            <w:tcBorders>
              <w:top w:val="nil"/>
              <w:left w:val="nil"/>
              <w:bottom w:val="single" w:sz="8" w:space="0" w:color="auto"/>
              <w:right w:val="single" w:sz="8" w:space="0" w:color="auto"/>
            </w:tcBorders>
            <w:shd w:val="clear" w:color="000000" w:fill="FFCC00"/>
            <w:vAlign w:val="bottom"/>
            <w:hideMark/>
          </w:tcPr>
          <w:p w14:paraId="3E9CB5CA"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1498" w:type="dxa"/>
            <w:tcBorders>
              <w:top w:val="nil"/>
              <w:left w:val="nil"/>
              <w:bottom w:val="single" w:sz="8" w:space="0" w:color="auto"/>
              <w:right w:val="single" w:sz="8" w:space="0" w:color="auto"/>
            </w:tcBorders>
            <w:shd w:val="clear" w:color="000000" w:fill="FF0000"/>
            <w:vAlign w:val="bottom"/>
            <w:hideMark/>
          </w:tcPr>
          <w:p w14:paraId="1CF6E458"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c>
          <w:tcPr>
            <w:tcW w:w="1071" w:type="dxa"/>
            <w:tcBorders>
              <w:top w:val="nil"/>
              <w:left w:val="nil"/>
              <w:bottom w:val="single" w:sz="8" w:space="0" w:color="auto"/>
              <w:right w:val="single" w:sz="8" w:space="0" w:color="auto"/>
            </w:tcBorders>
            <w:shd w:val="clear" w:color="000000" w:fill="FF0000"/>
            <w:vAlign w:val="bottom"/>
            <w:hideMark/>
          </w:tcPr>
          <w:p w14:paraId="46A2D544"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9</w:t>
            </w:r>
          </w:p>
        </w:tc>
        <w:tc>
          <w:tcPr>
            <w:tcW w:w="16" w:type="dxa"/>
            <w:tcBorders>
              <w:top w:val="nil"/>
              <w:left w:val="nil"/>
              <w:bottom w:val="nil"/>
              <w:right w:val="nil"/>
            </w:tcBorders>
            <w:noWrap/>
            <w:vAlign w:val="bottom"/>
            <w:hideMark/>
          </w:tcPr>
          <w:p w14:paraId="6FDC6E9D"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768C5FDD"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0246919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c>
          <w:tcPr>
            <w:tcW w:w="834" w:type="dxa"/>
            <w:tcBorders>
              <w:top w:val="nil"/>
              <w:left w:val="nil"/>
              <w:bottom w:val="single" w:sz="8" w:space="0" w:color="auto"/>
              <w:right w:val="single" w:sz="8" w:space="0" w:color="auto"/>
            </w:tcBorders>
            <w:shd w:val="clear" w:color="000000" w:fill="FFCC00"/>
            <w:vAlign w:val="bottom"/>
            <w:hideMark/>
          </w:tcPr>
          <w:p w14:paraId="684CA59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c>
          <w:tcPr>
            <w:tcW w:w="834" w:type="dxa"/>
            <w:tcBorders>
              <w:top w:val="nil"/>
              <w:left w:val="nil"/>
              <w:bottom w:val="single" w:sz="8" w:space="0" w:color="auto"/>
              <w:right w:val="single" w:sz="8" w:space="0" w:color="auto"/>
            </w:tcBorders>
            <w:shd w:val="clear" w:color="000000" w:fill="FF0000"/>
            <w:vAlign w:val="bottom"/>
            <w:hideMark/>
          </w:tcPr>
          <w:p w14:paraId="5F78D01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12</w:t>
            </w:r>
          </w:p>
        </w:tc>
        <w:tc>
          <w:tcPr>
            <w:tcW w:w="834" w:type="dxa"/>
            <w:tcBorders>
              <w:top w:val="nil"/>
              <w:left w:val="nil"/>
              <w:bottom w:val="single" w:sz="8" w:space="0" w:color="auto"/>
              <w:right w:val="single" w:sz="8" w:space="0" w:color="auto"/>
            </w:tcBorders>
            <w:shd w:val="clear" w:color="000000" w:fill="FF0000"/>
            <w:vAlign w:val="bottom"/>
            <w:hideMark/>
          </w:tcPr>
          <w:p w14:paraId="38D320F3"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18</w:t>
            </w:r>
          </w:p>
        </w:tc>
      </w:tr>
      <w:tr w:rsidR="00A22F05" w:rsidRPr="00A22F05" w14:paraId="4667FA79" w14:textId="77777777" w:rsidTr="00A22F05">
        <w:trPr>
          <w:trHeight w:val="320"/>
        </w:trPr>
        <w:tc>
          <w:tcPr>
            <w:tcW w:w="9636" w:type="dxa"/>
            <w:tcBorders>
              <w:top w:val="nil"/>
              <w:left w:val="nil"/>
              <w:bottom w:val="nil"/>
              <w:right w:val="nil"/>
            </w:tcBorders>
            <w:noWrap/>
            <w:vAlign w:val="bottom"/>
            <w:hideMark/>
          </w:tcPr>
          <w:p w14:paraId="27AFAD5E"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199AADDE" w14:textId="77777777" w:rsidR="00A22F05" w:rsidRPr="00A22F05" w:rsidRDefault="00A22F05" w:rsidP="00A22F05">
            <w:pPr>
              <w:spacing w:after="0" w:line="240" w:lineRule="auto"/>
              <w:rPr>
                <w:rFonts w:eastAsia="Times New Roman"/>
                <w:b/>
                <w:bCs/>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5E0CD265"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1516" w:type="dxa"/>
            <w:tcBorders>
              <w:top w:val="nil"/>
              <w:left w:val="nil"/>
              <w:bottom w:val="single" w:sz="8" w:space="0" w:color="auto"/>
              <w:right w:val="single" w:sz="8" w:space="0" w:color="auto"/>
            </w:tcBorders>
            <w:shd w:val="clear" w:color="000000" w:fill="00FF00"/>
            <w:vAlign w:val="bottom"/>
            <w:hideMark/>
          </w:tcPr>
          <w:p w14:paraId="2CF0681A"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1498" w:type="dxa"/>
            <w:tcBorders>
              <w:top w:val="nil"/>
              <w:left w:val="nil"/>
              <w:bottom w:val="single" w:sz="8" w:space="0" w:color="auto"/>
              <w:right w:val="single" w:sz="8" w:space="0" w:color="auto"/>
            </w:tcBorders>
            <w:shd w:val="clear" w:color="000000" w:fill="FFCC00"/>
            <w:vAlign w:val="bottom"/>
            <w:hideMark/>
          </w:tcPr>
          <w:p w14:paraId="1DD66724"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4</w:t>
            </w:r>
          </w:p>
        </w:tc>
        <w:tc>
          <w:tcPr>
            <w:tcW w:w="1071" w:type="dxa"/>
            <w:tcBorders>
              <w:top w:val="nil"/>
              <w:left w:val="nil"/>
              <w:bottom w:val="single" w:sz="8" w:space="0" w:color="auto"/>
              <w:right w:val="single" w:sz="8" w:space="0" w:color="auto"/>
            </w:tcBorders>
            <w:shd w:val="clear" w:color="000000" w:fill="FF0000"/>
            <w:vAlign w:val="bottom"/>
            <w:hideMark/>
          </w:tcPr>
          <w:p w14:paraId="453FA4AC"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c>
          <w:tcPr>
            <w:tcW w:w="16" w:type="dxa"/>
            <w:tcBorders>
              <w:top w:val="nil"/>
              <w:left w:val="nil"/>
              <w:bottom w:val="nil"/>
              <w:right w:val="nil"/>
            </w:tcBorders>
            <w:noWrap/>
            <w:vAlign w:val="bottom"/>
            <w:hideMark/>
          </w:tcPr>
          <w:p w14:paraId="359D3719"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6B578109"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16FE370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4</w:t>
            </w:r>
          </w:p>
        </w:tc>
        <w:tc>
          <w:tcPr>
            <w:tcW w:w="834" w:type="dxa"/>
            <w:tcBorders>
              <w:top w:val="nil"/>
              <w:left w:val="nil"/>
              <w:bottom w:val="single" w:sz="8" w:space="0" w:color="auto"/>
              <w:right w:val="single" w:sz="8" w:space="0" w:color="auto"/>
            </w:tcBorders>
            <w:shd w:val="clear" w:color="000000" w:fill="00FF00"/>
            <w:vAlign w:val="bottom"/>
            <w:hideMark/>
          </w:tcPr>
          <w:p w14:paraId="3190B0E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4</w:t>
            </w:r>
          </w:p>
        </w:tc>
        <w:tc>
          <w:tcPr>
            <w:tcW w:w="834" w:type="dxa"/>
            <w:tcBorders>
              <w:top w:val="nil"/>
              <w:left w:val="nil"/>
              <w:bottom w:val="single" w:sz="8" w:space="0" w:color="auto"/>
              <w:right w:val="single" w:sz="8" w:space="0" w:color="auto"/>
            </w:tcBorders>
            <w:shd w:val="clear" w:color="000000" w:fill="FFCC00"/>
            <w:vAlign w:val="bottom"/>
            <w:hideMark/>
          </w:tcPr>
          <w:p w14:paraId="16DE4BD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8</w:t>
            </w:r>
          </w:p>
        </w:tc>
        <w:tc>
          <w:tcPr>
            <w:tcW w:w="834" w:type="dxa"/>
            <w:tcBorders>
              <w:top w:val="nil"/>
              <w:left w:val="nil"/>
              <w:bottom w:val="single" w:sz="8" w:space="0" w:color="auto"/>
              <w:right w:val="single" w:sz="8" w:space="0" w:color="auto"/>
            </w:tcBorders>
            <w:shd w:val="clear" w:color="000000" w:fill="FF0000"/>
            <w:vAlign w:val="bottom"/>
            <w:hideMark/>
          </w:tcPr>
          <w:p w14:paraId="6910D929"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12</w:t>
            </w:r>
          </w:p>
        </w:tc>
      </w:tr>
      <w:tr w:rsidR="00A22F05" w:rsidRPr="00A22F05" w14:paraId="3610B8A2" w14:textId="77777777" w:rsidTr="00A22F05">
        <w:trPr>
          <w:trHeight w:val="320"/>
        </w:trPr>
        <w:tc>
          <w:tcPr>
            <w:tcW w:w="9636" w:type="dxa"/>
            <w:tcBorders>
              <w:top w:val="nil"/>
              <w:left w:val="nil"/>
              <w:bottom w:val="nil"/>
              <w:right w:val="nil"/>
            </w:tcBorders>
            <w:noWrap/>
            <w:vAlign w:val="bottom"/>
            <w:hideMark/>
          </w:tcPr>
          <w:p w14:paraId="1E00C21C"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vMerge/>
            <w:tcBorders>
              <w:top w:val="nil"/>
              <w:left w:val="nil"/>
              <w:bottom w:val="nil"/>
              <w:right w:val="nil"/>
            </w:tcBorders>
            <w:vAlign w:val="center"/>
            <w:hideMark/>
          </w:tcPr>
          <w:p w14:paraId="1E2370F5" w14:textId="77777777" w:rsidR="00A22F05" w:rsidRPr="00A22F05" w:rsidRDefault="00A22F05" w:rsidP="00A22F05">
            <w:pPr>
              <w:spacing w:after="0" w:line="240" w:lineRule="auto"/>
              <w:rPr>
                <w:rFonts w:eastAsia="Times New Roman"/>
                <w:b/>
                <w:bCs/>
                <w:kern w:val="0"/>
                <w:lang w:eastAsia="en-GB"/>
                <w14:ligatures w14:val="none"/>
              </w:rPr>
            </w:pPr>
          </w:p>
        </w:tc>
        <w:tc>
          <w:tcPr>
            <w:tcW w:w="1424" w:type="dxa"/>
            <w:tcBorders>
              <w:top w:val="nil"/>
              <w:left w:val="single" w:sz="8" w:space="0" w:color="auto"/>
              <w:bottom w:val="single" w:sz="8" w:space="0" w:color="auto"/>
              <w:right w:val="single" w:sz="8" w:space="0" w:color="auto"/>
            </w:tcBorders>
            <w:shd w:val="clear" w:color="000000" w:fill="C0C0C0"/>
            <w:hideMark/>
          </w:tcPr>
          <w:p w14:paraId="50B1371A"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1516" w:type="dxa"/>
            <w:tcBorders>
              <w:top w:val="nil"/>
              <w:left w:val="nil"/>
              <w:bottom w:val="single" w:sz="8" w:space="0" w:color="auto"/>
              <w:right w:val="single" w:sz="8" w:space="0" w:color="auto"/>
            </w:tcBorders>
            <w:shd w:val="clear" w:color="000000" w:fill="00FF00"/>
            <w:vAlign w:val="bottom"/>
            <w:hideMark/>
          </w:tcPr>
          <w:p w14:paraId="399BC0F4"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1498" w:type="dxa"/>
            <w:tcBorders>
              <w:top w:val="nil"/>
              <w:left w:val="nil"/>
              <w:bottom w:val="single" w:sz="8" w:space="0" w:color="auto"/>
              <w:right w:val="single" w:sz="8" w:space="0" w:color="auto"/>
            </w:tcBorders>
            <w:shd w:val="clear" w:color="000000" w:fill="00FF00"/>
            <w:vAlign w:val="bottom"/>
            <w:hideMark/>
          </w:tcPr>
          <w:p w14:paraId="274628AF"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1071" w:type="dxa"/>
            <w:tcBorders>
              <w:top w:val="nil"/>
              <w:left w:val="nil"/>
              <w:bottom w:val="single" w:sz="8" w:space="0" w:color="auto"/>
              <w:right w:val="single" w:sz="8" w:space="0" w:color="auto"/>
            </w:tcBorders>
            <w:shd w:val="clear" w:color="000000" w:fill="FFCC00"/>
            <w:vAlign w:val="bottom"/>
            <w:hideMark/>
          </w:tcPr>
          <w:p w14:paraId="49938576"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16" w:type="dxa"/>
            <w:tcBorders>
              <w:top w:val="nil"/>
              <w:left w:val="nil"/>
              <w:bottom w:val="nil"/>
              <w:right w:val="nil"/>
            </w:tcBorders>
            <w:noWrap/>
            <w:vAlign w:val="bottom"/>
            <w:hideMark/>
          </w:tcPr>
          <w:p w14:paraId="3B73C913"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63F5A322" w14:textId="77777777" w:rsidR="00A22F05" w:rsidRPr="00A22F05" w:rsidRDefault="00A22F05" w:rsidP="00A22F05">
            <w:pPr>
              <w:spacing w:after="0" w:line="240" w:lineRule="auto"/>
              <w:rPr>
                <w:rFonts w:eastAsia="Times New Roman"/>
                <w:b/>
                <w:bCs/>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6180494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834" w:type="dxa"/>
            <w:tcBorders>
              <w:top w:val="nil"/>
              <w:left w:val="nil"/>
              <w:bottom w:val="single" w:sz="8" w:space="0" w:color="auto"/>
              <w:right w:val="single" w:sz="8" w:space="0" w:color="auto"/>
            </w:tcBorders>
            <w:shd w:val="clear" w:color="000000" w:fill="00FF00"/>
            <w:vAlign w:val="bottom"/>
            <w:hideMark/>
          </w:tcPr>
          <w:p w14:paraId="1187572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c>
          <w:tcPr>
            <w:tcW w:w="834" w:type="dxa"/>
            <w:tcBorders>
              <w:top w:val="nil"/>
              <w:left w:val="nil"/>
              <w:bottom w:val="single" w:sz="8" w:space="0" w:color="auto"/>
              <w:right w:val="single" w:sz="8" w:space="0" w:color="auto"/>
            </w:tcBorders>
            <w:shd w:val="clear" w:color="000000" w:fill="FFCC00"/>
            <w:vAlign w:val="bottom"/>
            <w:hideMark/>
          </w:tcPr>
          <w:p w14:paraId="10261A8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c>
          <w:tcPr>
            <w:tcW w:w="834" w:type="dxa"/>
            <w:tcBorders>
              <w:top w:val="nil"/>
              <w:left w:val="nil"/>
              <w:bottom w:val="single" w:sz="8" w:space="0" w:color="auto"/>
              <w:right w:val="single" w:sz="8" w:space="0" w:color="auto"/>
            </w:tcBorders>
            <w:shd w:val="clear" w:color="000000" w:fill="FFCC00"/>
            <w:vAlign w:val="bottom"/>
            <w:hideMark/>
          </w:tcPr>
          <w:p w14:paraId="20D56858"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9</w:t>
            </w:r>
          </w:p>
        </w:tc>
      </w:tr>
      <w:tr w:rsidR="00A22F05" w:rsidRPr="00A22F05" w14:paraId="207B3F48" w14:textId="77777777" w:rsidTr="00A22F05">
        <w:trPr>
          <w:trHeight w:val="320"/>
        </w:trPr>
        <w:tc>
          <w:tcPr>
            <w:tcW w:w="9636" w:type="dxa"/>
            <w:tcBorders>
              <w:top w:val="nil"/>
              <w:left w:val="nil"/>
              <w:bottom w:val="nil"/>
              <w:right w:val="nil"/>
            </w:tcBorders>
            <w:noWrap/>
            <w:vAlign w:val="bottom"/>
            <w:hideMark/>
          </w:tcPr>
          <w:p w14:paraId="3A87EF53"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tcBorders>
              <w:top w:val="nil"/>
              <w:left w:val="nil"/>
              <w:bottom w:val="nil"/>
              <w:right w:val="nil"/>
            </w:tcBorders>
            <w:textDirection w:val="btLr"/>
            <w:vAlign w:val="bottom"/>
            <w:hideMark/>
          </w:tcPr>
          <w:p w14:paraId="0BF52024"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55DEC883"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vAlign w:val="bottom"/>
            <w:hideMark/>
          </w:tcPr>
          <w:p w14:paraId="5EBF35B6" w14:textId="77777777" w:rsidR="00A22F05" w:rsidRPr="00A22F05" w:rsidRDefault="00A22F05" w:rsidP="00A22F05">
            <w:pPr>
              <w:spacing w:after="0" w:line="240" w:lineRule="auto"/>
              <w:jc w:val="center"/>
              <w:rPr>
                <w:rFonts w:eastAsia="Times New Roman"/>
                <w:kern w:val="0"/>
                <w:lang w:eastAsia="en-GB"/>
                <w14:ligatures w14:val="none"/>
              </w:rPr>
            </w:pPr>
          </w:p>
        </w:tc>
        <w:tc>
          <w:tcPr>
            <w:tcW w:w="1498" w:type="dxa"/>
            <w:tcBorders>
              <w:top w:val="nil"/>
              <w:left w:val="nil"/>
              <w:bottom w:val="nil"/>
              <w:right w:val="nil"/>
            </w:tcBorders>
            <w:vAlign w:val="bottom"/>
            <w:hideMark/>
          </w:tcPr>
          <w:p w14:paraId="687C6513" w14:textId="77777777" w:rsidR="00A22F05" w:rsidRPr="00A22F05" w:rsidRDefault="00A22F05" w:rsidP="00A22F05">
            <w:pPr>
              <w:spacing w:after="0" w:line="240" w:lineRule="auto"/>
              <w:jc w:val="center"/>
              <w:rPr>
                <w:rFonts w:eastAsia="Times New Roman"/>
                <w:kern w:val="0"/>
                <w:lang w:eastAsia="en-GB"/>
                <w14:ligatures w14:val="none"/>
              </w:rPr>
            </w:pPr>
          </w:p>
        </w:tc>
        <w:tc>
          <w:tcPr>
            <w:tcW w:w="1071" w:type="dxa"/>
            <w:tcBorders>
              <w:top w:val="nil"/>
              <w:left w:val="nil"/>
              <w:bottom w:val="nil"/>
              <w:right w:val="nil"/>
            </w:tcBorders>
            <w:vAlign w:val="bottom"/>
            <w:hideMark/>
          </w:tcPr>
          <w:p w14:paraId="073E8191" w14:textId="77777777" w:rsidR="00A22F05" w:rsidRPr="00A22F05" w:rsidRDefault="00A22F05" w:rsidP="00A22F05">
            <w:pPr>
              <w:spacing w:after="0" w:line="240" w:lineRule="auto"/>
              <w:jc w:val="center"/>
              <w:rPr>
                <w:rFonts w:eastAsia="Times New Roman"/>
                <w:kern w:val="0"/>
                <w:lang w:eastAsia="en-GB"/>
                <w14:ligatures w14:val="none"/>
              </w:rPr>
            </w:pPr>
          </w:p>
        </w:tc>
        <w:tc>
          <w:tcPr>
            <w:tcW w:w="16" w:type="dxa"/>
            <w:tcBorders>
              <w:top w:val="nil"/>
              <w:left w:val="nil"/>
              <w:bottom w:val="nil"/>
              <w:right w:val="nil"/>
            </w:tcBorders>
            <w:noWrap/>
            <w:vAlign w:val="bottom"/>
            <w:hideMark/>
          </w:tcPr>
          <w:p w14:paraId="03FD4E3A"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val="restart"/>
            <w:tcBorders>
              <w:top w:val="nil"/>
              <w:left w:val="nil"/>
              <w:bottom w:val="nil"/>
              <w:right w:val="nil"/>
            </w:tcBorders>
            <w:textDirection w:val="btLr"/>
            <w:vAlign w:val="bottom"/>
            <w:hideMark/>
          </w:tcPr>
          <w:p w14:paraId="27AEC38A"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76904F0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834" w:type="dxa"/>
            <w:tcBorders>
              <w:top w:val="nil"/>
              <w:left w:val="nil"/>
              <w:bottom w:val="single" w:sz="8" w:space="0" w:color="auto"/>
              <w:right w:val="single" w:sz="8" w:space="0" w:color="auto"/>
            </w:tcBorders>
            <w:shd w:val="clear" w:color="000000" w:fill="00FF00"/>
            <w:vAlign w:val="bottom"/>
            <w:hideMark/>
          </w:tcPr>
          <w:p w14:paraId="193403A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834" w:type="dxa"/>
            <w:tcBorders>
              <w:top w:val="nil"/>
              <w:left w:val="nil"/>
              <w:bottom w:val="single" w:sz="8" w:space="0" w:color="auto"/>
              <w:right w:val="single" w:sz="8" w:space="0" w:color="auto"/>
            </w:tcBorders>
            <w:shd w:val="clear" w:color="000000" w:fill="00FF00"/>
            <w:vAlign w:val="bottom"/>
            <w:hideMark/>
          </w:tcPr>
          <w:p w14:paraId="7B7DD8BD"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4</w:t>
            </w:r>
          </w:p>
        </w:tc>
        <w:tc>
          <w:tcPr>
            <w:tcW w:w="834" w:type="dxa"/>
            <w:tcBorders>
              <w:top w:val="nil"/>
              <w:left w:val="nil"/>
              <w:bottom w:val="single" w:sz="8" w:space="0" w:color="auto"/>
              <w:right w:val="single" w:sz="8" w:space="0" w:color="auto"/>
            </w:tcBorders>
            <w:shd w:val="clear" w:color="000000" w:fill="FFCC00"/>
            <w:vAlign w:val="bottom"/>
            <w:hideMark/>
          </w:tcPr>
          <w:p w14:paraId="25F0C326"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6</w:t>
            </w:r>
          </w:p>
        </w:tc>
      </w:tr>
      <w:tr w:rsidR="00A22F05" w:rsidRPr="00A22F05" w14:paraId="1EF3DD03" w14:textId="77777777" w:rsidTr="00A22F05">
        <w:trPr>
          <w:trHeight w:val="320"/>
        </w:trPr>
        <w:tc>
          <w:tcPr>
            <w:tcW w:w="9636" w:type="dxa"/>
            <w:tcBorders>
              <w:top w:val="nil"/>
              <w:left w:val="nil"/>
              <w:bottom w:val="nil"/>
              <w:right w:val="nil"/>
            </w:tcBorders>
            <w:noWrap/>
            <w:vAlign w:val="bottom"/>
            <w:hideMark/>
          </w:tcPr>
          <w:p w14:paraId="333762A8"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tcBorders>
              <w:top w:val="nil"/>
              <w:left w:val="nil"/>
              <w:bottom w:val="nil"/>
              <w:right w:val="nil"/>
            </w:tcBorders>
            <w:textDirection w:val="btLr"/>
            <w:vAlign w:val="bottom"/>
            <w:hideMark/>
          </w:tcPr>
          <w:p w14:paraId="6ED09507"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52F2311E"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vAlign w:val="bottom"/>
            <w:hideMark/>
          </w:tcPr>
          <w:p w14:paraId="3053243D" w14:textId="77777777" w:rsidR="00A22F05" w:rsidRPr="00A22F05" w:rsidRDefault="00A22F05" w:rsidP="00A22F05">
            <w:pPr>
              <w:spacing w:after="0" w:line="240" w:lineRule="auto"/>
              <w:jc w:val="center"/>
              <w:rPr>
                <w:rFonts w:eastAsia="Times New Roman"/>
                <w:kern w:val="0"/>
                <w:lang w:eastAsia="en-GB"/>
                <w14:ligatures w14:val="none"/>
              </w:rPr>
            </w:pPr>
          </w:p>
        </w:tc>
        <w:tc>
          <w:tcPr>
            <w:tcW w:w="1498" w:type="dxa"/>
            <w:tcBorders>
              <w:top w:val="nil"/>
              <w:left w:val="nil"/>
              <w:bottom w:val="nil"/>
              <w:right w:val="nil"/>
            </w:tcBorders>
            <w:vAlign w:val="bottom"/>
            <w:hideMark/>
          </w:tcPr>
          <w:p w14:paraId="00A217EC" w14:textId="77777777" w:rsidR="00A22F05" w:rsidRPr="00A22F05" w:rsidRDefault="00A22F05" w:rsidP="00A22F05">
            <w:pPr>
              <w:spacing w:after="0" w:line="240" w:lineRule="auto"/>
              <w:jc w:val="center"/>
              <w:rPr>
                <w:rFonts w:eastAsia="Times New Roman"/>
                <w:kern w:val="0"/>
                <w:lang w:eastAsia="en-GB"/>
                <w14:ligatures w14:val="none"/>
              </w:rPr>
            </w:pPr>
          </w:p>
        </w:tc>
        <w:tc>
          <w:tcPr>
            <w:tcW w:w="1071" w:type="dxa"/>
            <w:tcBorders>
              <w:top w:val="nil"/>
              <w:left w:val="nil"/>
              <w:bottom w:val="nil"/>
              <w:right w:val="nil"/>
            </w:tcBorders>
            <w:vAlign w:val="bottom"/>
            <w:hideMark/>
          </w:tcPr>
          <w:p w14:paraId="657C7174" w14:textId="77777777" w:rsidR="00A22F05" w:rsidRPr="00A22F05" w:rsidRDefault="00A22F05" w:rsidP="00A22F05">
            <w:pPr>
              <w:spacing w:after="0" w:line="240" w:lineRule="auto"/>
              <w:jc w:val="center"/>
              <w:rPr>
                <w:rFonts w:eastAsia="Times New Roman"/>
                <w:kern w:val="0"/>
                <w:lang w:eastAsia="en-GB"/>
                <w14:ligatures w14:val="none"/>
              </w:rPr>
            </w:pPr>
          </w:p>
        </w:tc>
        <w:tc>
          <w:tcPr>
            <w:tcW w:w="16" w:type="dxa"/>
            <w:tcBorders>
              <w:top w:val="nil"/>
              <w:left w:val="nil"/>
              <w:bottom w:val="nil"/>
              <w:right w:val="nil"/>
            </w:tcBorders>
            <w:noWrap/>
            <w:vAlign w:val="bottom"/>
            <w:hideMark/>
          </w:tcPr>
          <w:p w14:paraId="72195C3C"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vMerge/>
            <w:tcBorders>
              <w:top w:val="nil"/>
              <w:left w:val="nil"/>
              <w:bottom w:val="nil"/>
              <w:right w:val="nil"/>
            </w:tcBorders>
            <w:vAlign w:val="center"/>
            <w:hideMark/>
          </w:tcPr>
          <w:p w14:paraId="51F46115"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single" w:sz="8" w:space="0" w:color="auto"/>
              <w:bottom w:val="single" w:sz="8" w:space="0" w:color="auto"/>
              <w:right w:val="single" w:sz="8" w:space="0" w:color="auto"/>
            </w:tcBorders>
            <w:shd w:val="clear" w:color="000000" w:fill="C0C0C0"/>
            <w:hideMark/>
          </w:tcPr>
          <w:p w14:paraId="273D431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834" w:type="dxa"/>
            <w:tcBorders>
              <w:top w:val="nil"/>
              <w:left w:val="nil"/>
              <w:bottom w:val="single" w:sz="8" w:space="0" w:color="auto"/>
              <w:right w:val="single" w:sz="8" w:space="0" w:color="auto"/>
            </w:tcBorders>
            <w:shd w:val="clear" w:color="000000" w:fill="00FF00"/>
            <w:vAlign w:val="bottom"/>
            <w:hideMark/>
          </w:tcPr>
          <w:p w14:paraId="74428DE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w:t>
            </w:r>
          </w:p>
        </w:tc>
        <w:tc>
          <w:tcPr>
            <w:tcW w:w="834" w:type="dxa"/>
            <w:tcBorders>
              <w:top w:val="nil"/>
              <w:left w:val="nil"/>
              <w:bottom w:val="single" w:sz="8" w:space="0" w:color="auto"/>
              <w:right w:val="single" w:sz="8" w:space="0" w:color="auto"/>
            </w:tcBorders>
            <w:shd w:val="clear" w:color="000000" w:fill="00FF00"/>
            <w:vAlign w:val="bottom"/>
            <w:hideMark/>
          </w:tcPr>
          <w:p w14:paraId="384A0579"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w:t>
            </w:r>
          </w:p>
        </w:tc>
        <w:tc>
          <w:tcPr>
            <w:tcW w:w="834" w:type="dxa"/>
            <w:tcBorders>
              <w:top w:val="nil"/>
              <w:left w:val="nil"/>
              <w:bottom w:val="single" w:sz="8" w:space="0" w:color="auto"/>
              <w:right w:val="single" w:sz="8" w:space="0" w:color="auto"/>
            </w:tcBorders>
            <w:shd w:val="clear" w:color="000000" w:fill="00FF00"/>
            <w:vAlign w:val="bottom"/>
            <w:hideMark/>
          </w:tcPr>
          <w:p w14:paraId="0AC0BBDE"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w:t>
            </w:r>
          </w:p>
        </w:tc>
      </w:tr>
      <w:tr w:rsidR="00A22F05" w:rsidRPr="00A22F05" w14:paraId="1EE4DC2D" w14:textId="77777777" w:rsidTr="00A22F05">
        <w:trPr>
          <w:trHeight w:val="310"/>
        </w:trPr>
        <w:tc>
          <w:tcPr>
            <w:tcW w:w="9636" w:type="dxa"/>
            <w:tcBorders>
              <w:top w:val="nil"/>
              <w:left w:val="nil"/>
              <w:bottom w:val="nil"/>
              <w:right w:val="nil"/>
            </w:tcBorders>
            <w:noWrap/>
            <w:vAlign w:val="bottom"/>
            <w:hideMark/>
          </w:tcPr>
          <w:p w14:paraId="0C7279C2" w14:textId="77777777" w:rsidR="00A22F05" w:rsidRPr="00A22F05" w:rsidRDefault="00A22F05" w:rsidP="00A22F05">
            <w:pPr>
              <w:spacing w:after="0" w:line="240" w:lineRule="auto"/>
              <w:jc w:val="center"/>
              <w:rPr>
                <w:rFonts w:eastAsia="Times New Roman"/>
                <w:kern w:val="0"/>
                <w:lang w:eastAsia="en-GB"/>
                <w14:ligatures w14:val="none"/>
              </w:rPr>
            </w:pPr>
          </w:p>
        </w:tc>
        <w:tc>
          <w:tcPr>
            <w:tcW w:w="1641" w:type="dxa"/>
            <w:tcBorders>
              <w:top w:val="nil"/>
              <w:left w:val="nil"/>
              <w:bottom w:val="nil"/>
              <w:right w:val="nil"/>
            </w:tcBorders>
            <w:textDirection w:val="btLr"/>
            <w:vAlign w:val="bottom"/>
            <w:hideMark/>
          </w:tcPr>
          <w:p w14:paraId="1EB5CDC3"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hideMark/>
          </w:tcPr>
          <w:p w14:paraId="3FA373DA"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vAlign w:val="bottom"/>
            <w:hideMark/>
          </w:tcPr>
          <w:p w14:paraId="7CA04D01" w14:textId="77777777" w:rsidR="00A22F05" w:rsidRPr="00A22F05" w:rsidRDefault="00A22F05" w:rsidP="00A22F05">
            <w:pPr>
              <w:spacing w:after="0" w:line="240" w:lineRule="auto"/>
              <w:jc w:val="center"/>
              <w:rPr>
                <w:rFonts w:eastAsia="Times New Roman"/>
                <w:kern w:val="0"/>
                <w:lang w:eastAsia="en-GB"/>
                <w14:ligatures w14:val="none"/>
              </w:rPr>
            </w:pPr>
          </w:p>
        </w:tc>
        <w:tc>
          <w:tcPr>
            <w:tcW w:w="1498" w:type="dxa"/>
            <w:tcBorders>
              <w:top w:val="nil"/>
              <w:left w:val="nil"/>
              <w:bottom w:val="nil"/>
              <w:right w:val="nil"/>
            </w:tcBorders>
            <w:vAlign w:val="bottom"/>
            <w:hideMark/>
          </w:tcPr>
          <w:p w14:paraId="2CB72543" w14:textId="77777777" w:rsidR="00A22F05" w:rsidRPr="00A22F05" w:rsidRDefault="00A22F05" w:rsidP="00A22F05">
            <w:pPr>
              <w:spacing w:after="0" w:line="240" w:lineRule="auto"/>
              <w:jc w:val="center"/>
              <w:rPr>
                <w:rFonts w:eastAsia="Times New Roman"/>
                <w:kern w:val="0"/>
                <w:lang w:eastAsia="en-GB"/>
                <w14:ligatures w14:val="none"/>
              </w:rPr>
            </w:pPr>
          </w:p>
        </w:tc>
        <w:tc>
          <w:tcPr>
            <w:tcW w:w="1071" w:type="dxa"/>
            <w:tcBorders>
              <w:top w:val="nil"/>
              <w:left w:val="nil"/>
              <w:bottom w:val="nil"/>
              <w:right w:val="nil"/>
            </w:tcBorders>
            <w:vAlign w:val="bottom"/>
            <w:hideMark/>
          </w:tcPr>
          <w:p w14:paraId="091D4599" w14:textId="77777777" w:rsidR="00A22F05" w:rsidRPr="00A22F05" w:rsidRDefault="00A22F05" w:rsidP="00A22F05">
            <w:pPr>
              <w:spacing w:after="0" w:line="240" w:lineRule="auto"/>
              <w:jc w:val="center"/>
              <w:rPr>
                <w:rFonts w:eastAsia="Times New Roman"/>
                <w:kern w:val="0"/>
                <w:lang w:eastAsia="en-GB"/>
                <w14:ligatures w14:val="none"/>
              </w:rPr>
            </w:pPr>
          </w:p>
        </w:tc>
        <w:tc>
          <w:tcPr>
            <w:tcW w:w="16" w:type="dxa"/>
            <w:tcBorders>
              <w:top w:val="nil"/>
              <w:left w:val="nil"/>
              <w:bottom w:val="nil"/>
              <w:right w:val="nil"/>
            </w:tcBorders>
            <w:noWrap/>
            <w:vAlign w:val="bottom"/>
            <w:hideMark/>
          </w:tcPr>
          <w:p w14:paraId="4303B248" w14:textId="77777777" w:rsidR="00A22F05" w:rsidRPr="00A22F05" w:rsidRDefault="00A22F05" w:rsidP="00A22F05">
            <w:pPr>
              <w:spacing w:after="0" w:line="240" w:lineRule="auto"/>
              <w:jc w:val="center"/>
              <w:rPr>
                <w:rFonts w:eastAsia="Times New Roman"/>
                <w:kern w:val="0"/>
                <w:lang w:eastAsia="en-GB"/>
                <w14:ligatures w14:val="none"/>
              </w:rPr>
            </w:pPr>
          </w:p>
        </w:tc>
        <w:tc>
          <w:tcPr>
            <w:tcW w:w="300" w:type="dxa"/>
            <w:tcBorders>
              <w:top w:val="nil"/>
              <w:left w:val="nil"/>
              <w:bottom w:val="nil"/>
              <w:right w:val="nil"/>
            </w:tcBorders>
            <w:textDirection w:val="btLr"/>
            <w:vAlign w:val="bottom"/>
            <w:hideMark/>
          </w:tcPr>
          <w:p w14:paraId="7FDB5ABB"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1D34AB53"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89D5E81"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183F3C0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CEF999C"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4BF4CE05" w14:textId="77777777" w:rsidTr="00A22F05">
        <w:trPr>
          <w:trHeight w:val="310"/>
        </w:trPr>
        <w:tc>
          <w:tcPr>
            <w:tcW w:w="9636" w:type="dxa"/>
            <w:tcBorders>
              <w:top w:val="nil"/>
              <w:left w:val="nil"/>
              <w:bottom w:val="nil"/>
              <w:right w:val="nil"/>
            </w:tcBorders>
            <w:shd w:val="clear" w:color="000000" w:fill="FFFFFF"/>
            <w:noWrap/>
            <w:vAlign w:val="bottom"/>
            <w:hideMark/>
          </w:tcPr>
          <w:p w14:paraId="4CDF7068" w14:textId="77777777" w:rsidR="00A22F05" w:rsidRPr="00A22F05" w:rsidRDefault="00A22F05" w:rsidP="00A22F05">
            <w:pPr>
              <w:spacing w:after="0" w:line="240" w:lineRule="auto"/>
              <w:rPr>
                <w:rFonts w:eastAsia="Times New Roman"/>
                <w:b/>
                <w:bCs/>
                <w:kern w:val="0"/>
                <w:lang w:eastAsia="en-GB"/>
                <w14:ligatures w14:val="none"/>
              </w:rPr>
            </w:pPr>
            <w:r w:rsidRPr="00A22F05">
              <w:rPr>
                <w:rFonts w:eastAsia="Times New Roman"/>
                <w:b/>
                <w:bCs/>
                <w:kern w:val="0"/>
                <w:lang w:eastAsia="en-GB"/>
                <w14:ligatures w14:val="none"/>
              </w:rPr>
              <w:t>SEVERITY</w:t>
            </w:r>
          </w:p>
        </w:tc>
        <w:tc>
          <w:tcPr>
            <w:tcW w:w="1641" w:type="dxa"/>
            <w:tcBorders>
              <w:top w:val="nil"/>
              <w:left w:val="nil"/>
              <w:bottom w:val="nil"/>
              <w:right w:val="nil"/>
            </w:tcBorders>
            <w:shd w:val="clear" w:color="000000" w:fill="FFFFFF"/>
            <w:noWrap/>
            <w:vAlign w:val="bottom"/>
            <w:hideMark/>
          </w:tcPr>
          <w:p w14:paraId="32E81941" w14:textId="77777777" w:rsidR="00A22F05" w:rsidRPr="00A22F05" w:rsidRDefault="00A22F05" w:rsidP="00A22F05">
            <w:pPr>
              <w:spacing w:after="0" w:line="240" w:lineRule="auto"/>
              <w:rPr>
                <w:rFonts w:eastAsia="Times New Roman"/>
                <w:color w:val="000000"/>
                <w:kern w:val="0"/>
                <w:lang w:eastAsia="en-GB"/>
                <w14:ligatures w14:val="none"/>
              </w:rPr>
            </w:pPr>
            <w:r w:rsidRPr="00A22F05">
              <w:rPr>
                <w:rFonts w:eastAsia="Times New Roman"/>
                <w:color w:val="000000"/>
                <w:kern w:val="0"/>
                <w:lang w:eastAsia="en-GB"/>
                <w14:ligatures w14:val="none"/>
              </w:rPr>
              <w:t> </w:t>
            </w:r>
          </w:p>
        </w:tc>
        <w:tc>
          <w:tcPr>
            <w:tcW w:w="1424" w:type="dxa"/>
            <w:tcBorders>
              <w:top w:val="nil"/>
              <w:left w:val="nil"/>
              <w:bottom w:val="nil"/>
              <w:right w:val="nil"/>
            </w:tcBorders>
            <w:shd w:val="clear" w:color="000000" w:fill="FFFFFF"/>
            <w:noWrap/>
            <w:vAlign w:val="bottom"/>
            <w:hideMark/>
          </w:tcPr>
          <w:p w14:paraId="0D1D936E" w14:textId="77777777" w:rsidR="00A22F05" w:rsidRPr="00A22F05" w:rsidRDefault="00A22F05" w:rsidP="00A22F05">
            <w:pPr>
              <w:spacing w:after="0" w:line="240" w:lineRule="auto"/>
              <w:rPr>
                <w:rFonts w:eastAsia="Times New Roman"/>
                <w:color w:val="000000"/>
                <w:kern w:val="0"/>
                <w:lang w:eastAsia="en-GB"/>
                <w14:ligatures w14:val="none"/>
              </w:rPr>
            </w:pPr>
            <w:r w:rsidRPr="00A22F05">
              <w:rPr>
                <w:rFonts w:eastAsia="Times New Roman"/>
                <w:color w:val="000000"/>
                <w:kern w:val="0"/>
                <w:lang w:eastAsia="en-GB"/>
                <w14:ligatures w14:val="none"/>
              </w:rPr>
              <w:t> </w:t>
            </w:r>
          </w:p>
        </w:tc>
        <w:tc>
          <w:tcPr>
            <w:tcW w:w="1516" w:type="dxa"/>
            <w:tcBorders>
              <w:top w:val="nil"/>
              <w:left w:val="nil"/>
              <w:bottom w:val="nil"/>
              <w:right w:val="nil"/>
            </w:tcBorders>
            <w:noWrap/>
            <w:vAlign w:val="bottom"/>
            <w:hideMark/>
          </w:tcPr>
          <w:p w14:paraId="42AD9B02" w14:textId="77777777" w:rsidR="00A22F05" w:rsidRPr="00A22F05" w:rsidRDefault="00A22F05" w:rsidP="00A22F05">
            <w:pPr>
              <w:spacing w:after="0" w:line="240" w:lineRule="auto"/>
              <w:rPr>
                <w:rFonts w:eastAsia="Times New Roman"/>
                <w:color w:val="000000"/>
                <w:kern w:val="0"/>
                <w:lang w:eastAsia="en-GB"/>
                <w14:ligatures w14:val="none"/>
              </w:rPr>
            </w:pPr>
          </w:p>
        </w:tc>
        <w:tc>
          <w:tcPr>
            <w:tcW w:w="1498" w:type="dxa"/>
            <w:tcBorders>
              <w:top w:val="nil"/>
              <w:left w:val="nil"/>
              <w:bottom w:val="nil"/>
              <w:right w:val="nil"/>
            </w:tcBorders>
            <w:noWrap/>
            <w:vAlign w:val="bottom"/>
            <w:hideMark/>
          </w:tcPr>
          <w:p w14:paraId="19207079"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0C879625"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4897C828"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01E681A6"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03086BF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7523829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6E565FE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02A9ECF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5E1B5337" w14:textId="77777777" w:rsidTr="00A22F05">
        <w:trPr>
          <w:trHeight w:val="310"/>
        </w:trPr>
        <w:tc>
          <w:tcPr>
            <w:tcW w:w="16786" w:type="dxa"/>
            <w:gridSpan w:val="6"/>
            <w:tcBorders>
              <w:top w:val="nil"/>
              <w:left w:val="nil"/>
              <w:bottom w:val="nil"/>
              <w:right w:val="nil"/>
            </w:tcBorders>
            <w:noWrap/>
            <w:vAlign w:val="bottom"/>
            <w:hideMark/>
          </w:tcPr>
          <w:p w14:paraId="09906D30" w14:textId="77777777" w:rsidR="00A22F05" w:rsidRPr="00A22F05" w:rsidRDefault="00A22F05" w:rsidP="00A22F05">
            <w:pPr>
              <w:spacing w:after="0" w:line="240" w:lineRule="auto"/>
              <w:rPr>
                <w:rFonts w:eastAsia="Times New Roman"/>
                <w:color w:val="000000"/>
                <w:kern w:val="0"/>
                <w:lang w:eastAsia="en-GB"/>
                <w14:ligatures w14:val="none"/>
              </w:rPr>
            </w:pPr>
            <w:r w:rsidRPr="00A22F05">
              <w:rPr>
                <w:rFonts w:eastAsia="Times New Roman"/>
                <w:color w:val="000000"/>
                <w:kern w:val="0"/>
                <w:lang w:eastAsia="en-GB"/>
                <w14:ligatures w14:val="none"/>
              </w:rPr>
              <w:t>Generated to assess risks associated with installation of equipment required to pack MOVICOL product on the J2 Packing Line to produce for EA pharma.</w:t>
            </w:r>
          </w:p>
        </w:tc>
        <w:tc>
          <w:tcPr>
            <w:tcW w:w="16" w:type="dxa"/>
            <w:tcBorders>
              <w:top w:val="nil"/>
              <w:left w:val="nil"/>
              <w:bottom w:val="nil"/>
              <w:right w:val="nil"/>
            </w:tcBorders>
            <w:noWrap/>
            <w:vAlign w:val="bottom"/>
            <w:hideMark/>
          </w:tcPr>
          <w:p w14:paraId="04B98CFA" w14:textId="77777777" w:rsidR="00A22F05" w:rsidRPr="00A22F05" w:rsidRDefault="00A22F05" w:rsidP="00A22F05">
            <w:pPr>
              <w:spacing w:after="0" w:line="240" w:lineRule="auto"/>
              <w:rPr>
                <w:rFonts w:eastAsia="Times New Roman"/>
                <w:color w:val="000000"/>
                <w:kern w:val="0"/>
                <w:lang w:eastAsia="en-GB"/>
                <w14:ligatures w14:val="none"/>
              </w:rPr>
            </w:pPr>
          </w:p>
        </w:tc>
        <w:tc>
          <w:tcPr>
            <w:tcW w:w="300" w:type="dxa"/>
            <w:tcBorders>
              <w:top w:val="nil"/>
              <w:left w:val="nil"/>
              <w:bottom w:val="nil"/>
              <w:right w:val="nil"/>
            </w:tcBorders>
            <w:hideMark/>
          </w:tcPr>
          <w:p w14:paraId="5D6211AF"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164D4FA0"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2EF479E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73F659E7"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4CE3E6D5"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571694CE" w14:textId="77777777" w:rsidTr="00A22F05">
        <w:trPr>
          <w:trHeight w:val="310"/>
        </w:trPr>
        <w:tc>
          <w:tcPr>
            <w:tcW w:w="9636" w:type="dxa"/>
            <w:tcBorders>
              <w:top w:val="nil"/>
              <w:left w:val="nil"/>
              <w:bottom w:val="nil"/>
              <w:right w:val="nil"/>
            </w:tcBorders>
            <w:shd w:val="clear" w:color="000000" w:fill="00FF00"/>
            <w:noWrap/>
            <w:vAlign w:val="bottom"/>
            <w:hideMark/>
          </w:tcPr>
          <w:p w14:paraId="59545D04"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 (Low)</w:t>
            </w:r>
          </w:p>
        </w:tc>
        <w:tc>
          <w:tcPr>
            <w:tcW w:w="6079" w:type="dxa"/>
            <w:gridSpan w:val="4"/>
            <w:tcBorders>
              <w:top w:val="nil"/>
              <w:left w:val="nil"/>
              <w:bottom w:val="nil"/>
              <w:right w:val="nil"/>
            </w:tcBorders>
            <w:noWrap/>
            <w:vAlign w:val="bottom"/>
            <w:hideMark/>
          </w:tcPr>
          <w:p w14:paraId="14813BD8"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No impact to product quality/patient safety or no effect to process</w:t>
            </w:r>
          </w:p>
        </w:tc>
        <w:tc>
          <w:tcPr>
            <w:tcW w:w="1071" w:type="dxa"/>
            <w:tcBorders>
              <w:top w:val="nil"/>
              <w:left w:val="nil"/>
              <w:bottom w:val="nil"/>
              <w:right w:val="nil"/>
            </w:tcBorders>
            <w:noWrap/>
            <w:vAlign w:val="bottom"/>
            <w:hideMark/>
          </w:tcPr>
          <w:p w14:paraId="3CE19BB2"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361EC76B"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55D51FD9"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6C33A8B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14DC4901"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61E95AA4"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50473705"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2451EE11" w14:textId="77777777" w:rsidTr="00A22F05">
        <w:trPr>
          <w:trHeight w:val="310"/>
        </w:trPr>
        <w:tc>
          <w:tcPr>
            <w:tcW w:w="9636" w:type="dxa"/>
            <w:tcBorders>
              <w:top w:val="nil"/>
              <w:left w:val="nil"/>
              <w:bottom w:val="nil"/>
              <w:right w:val="nil"/>
            </w:tcBorders>
            <w:shd w:val="clear" w:color="000000" w:fill="FF9900"/>
            <w:noWrap/>
            <w:vAlign w:val="bottom"/>
            <w:hideMark/>
          </w:tcPr>
          <w:p w14:paraId="18578272"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 (Med)</w:t>
            </w:r>
          </w:p>
        </w:tc>
        <w:tc>
          <w:tcPr>
            <w:tcW w:w="6079" w:type="dxa"/>
            <w:gridSpan w:val="4"/>
            <w:tcBorders>
              <w:top w:val="nil"/>
              <w:left w:val="nil"/>
              <w:bottom w:val="nil"/>
              <w:right w:val="nil"/>
            </w:tcBorders>
            <w:noWrap/>
            <w:vAlign w:val="bottom"/>
            <w:hideMark/>
          </w:tcPr>
          <w:p w14:paraId="7034208F"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No effect to Patient. Will impact product quality or may alter Process</w:t>
            </w:r>
          </w:p>
        </w:tc>
        <w:tc>
          <w:tcPr>
            <w:tcW w:w="1071" w:type="dxa"/>
            <w:tcBorders>
              <w:top w:val="nil"/>
              <w:left w:val="nil"/>
              <w:bottom w:val="nil"/>
              <w:right w:val="nil"/>
            </w:tcBorders>
            <w:noWrap/>
            <w:vAlign w:val="bottom"/>
            <w:hideMark/>
          </w:tcPr>
          <w:p w14:paraId="1AD2034A"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05D4F2BF"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55713A17"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73CE60B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4F623170"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050F7C6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3E24C97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29D8FE1D" w14:textId="77777777" w:rsidTr="00A22F05">
        <w:trPr>
          <w:trHeight w:val="310"/>
        </w:trPr>
        <w:tc>
          <w:tcPr>
            <w:tcW w:w="9636" w:type="dxa"/>
            <w:tcBorders>
              <w:top w:val="nil"/>
              <w:left w:val="nil"/>
              <w:bottom w:val="nil"/>
              <w:right w:val="nil"/>
            </w:tcBorders>
            <w:shd w:val="clear" w:color="000000" w:fill="FF0000"/>
            <w:noWrap/>
            <w:vAlign w:val="bottom"/>
            <w:hideMark/>
          </w:tcPr>
          <w:p w14:paraId="7626C41C"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 xml:space="preserve"> Installation and operation of </w:t>
            </w:r>
            <w:proofErr w:type="spellStart"/>
            <w:r w:rsidRPr="00A22F05">
              <w:rPr>
                <w:rFonts w:eastAsia="Times New Roman"/>
                <w:kern w:val="0"/>
                <w:lang w:eastAsia="en-GB"/>
                <w14:ligatures w14:val="none"/>
              </w:rPr>
              <w:t>Volpak</w:t>
            </w:r>
            <w:proofErr w:type="spellEnd"/>
            <w:r w:rsidRPr="00A22F05">
              <w:rPr>
                <w:rFonts w:eastAsia="Times New Roman"/>
                <w:kern w:val="0"/>
                <w:lang w:eastAsia="en-GB"/>
                <w14:ligatures w14:val="none"/>
              </w:rPr>
              <w:t xml:space="preserve"> Filling Equipment and </w:t>
            </w:r>
            <w:proofErr w:type="spellStart"/>
            <w:r w:rsidRPr="00A22F05">
              <w:rPr>
                <w:rFonts w:eastAsia="Times New Roman"/>
                <w:kern w:val="0"/>
                <w:lang w:eastAsia="en-GB"/>
                <w14:ligatures w14:val="none"/>
              </w:rPr>
              <w:t>Cartonning</w:t>
            </w:r>
            <w:proofErr w:type="spellEnd"/>
            <w:r w:rsidRPr="00A22F05">
              <w:rPr>
                <w:rFonts w:eastAsia="Times New Roman"/>
                <w:kern w:val="0"/>
                <w:lang w:eastAsia="en-GB"/>
                <w14:ligatures w14:val="none"/>
              </w:rPr>
              <w:t xml:space="preserve"> for EA J2 line equipment</w:t>
            </w:r>
          </w:p>
        </w:tc>
        <w:tc>
          <w:tcPr>
            <w:tcW w:w="4581" w:type="dxa"/>
            <w:gridSpan w:val="3"/>
            <w:tcBorders>
              <w:top w:val="nil"/>
              <w:left w:val="nil"/>
              <w:bottom w:val="nil"/>
              <w:right w:val="nil"/>
            </w:tcBorders>
            <w:noWrap/>
            <w:vAlign w:val="bottom"/>
            <w:hideMark/>
          </w:tcPr>
          <w:p w14:paraId="483E6061"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xml:space="preserve">Will harm Patient or will effect process.  </w:t>
            </w:r>
          </w:p>
        </w:tc>
        <w:tc>
          <w:tcPr>
            <w:tcW w:w="1498" w:type="dxa"/>
            <w:tcBorders>
              <w:top w:val="nil"/>
              <w:left w:val="nil"/>
              <w:bottom w:val="nil"/>
              <w:right w:val="nil"/>
            </w:tcBorders>
            <w:noWrap/>
            <w:vAlign w:val="bottom"/>
            <w:hideMark/>
          </w:tcPr>
          <w:p w14:paraId="1C044CF8"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6C0996DD"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46ED9525"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237F85D5"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6E3E0A9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5D29A80F"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222139D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6FB5BB22"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28E9CACA" w14:textId="77777777" w:rsidTr="00A22F05">
        <w:trPr>
          <w:trHeight w:val="310"/>
        </w:trPr>
        <w:tc>
          <w:tcPr>
            <w:tcW w:w="9636" w:type="dxa"/>
            <w:tcBorders>
              <w:top w:val="nil"/>
              <w:left w:val="nil"/>
              <w:bottom w:val="nil"/>
              <w:right w:val="nil"/>
            </w:tcBorders>
            <w:noWrap/>
            <w:vAlign w:val="bottom"/>
            <w:hideMark/>
          </w:tcPr>
          <w:p w14:paraId="049974A2"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0E1C1304"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661241B7"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656FEB56"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11A424A0"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611DD48E"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507041E6"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7D9CE71F"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075B96E9"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5FB92BD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5DD447C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33D26141"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7A832757" w14:textId="77777777" w:rsidTr="00A22F05">
        <w:trPr>
          <w:trHeight w:val="310"/>
        </w:trPr>
        <w:tc>
          <w:tcPr>
            <w:tcW w:w="9636" w:type="dxa"/>
            <w:tcBorders>
              <w:top w:val="nil"/>
              <w:left w:val="nil"/>
              <w:bottom w:val="nil"/>
              <w:right w:val="nil"/>
            </w:tcBorders>
            <w:noWrap/>
            <w:vAlign w:val="bottom"/>
            <w:hideMark/>
          </w:tcPr>
          <w:p w14:paraId="2C15687F" w14:textId="77777777" w:rsidR="00A22F05" w:rsidRPr="00A22F05" w:rsidRDefault="00A22F05" w:rsidP="00A22F05">
            <w:pPr>
              <w:spacing w:after="0" w:line="240" w:lineRule="auto"/>
              <w:rPr>
                <w:rFonts w:eastAsia="Times New Roman"/>
                <w:b/>
                <w:bCs/>
                <w:kern w:val="0"/>
                <w:lang w:eastAsia="en-GB"/>
                <w14:ligatures w14:val="none"/>
              </w:rPr>
            </w:pPr>
            <w:r w:rsidRPr="00A22F05">
              <w:rPr>
                <w:rFonts w:eastAsia="Times New Roman"/>
                <w:b/>
                <w:bCs/>
                <w:kern w:val="0"/>
                <w:lang w:eastAsia="en-GB"/>
                <w14:ligatures w14:val="none"/>
              </w:rPr>
              <w:t>OCCURRENCE:</w:t>
            </w:r>
          </w:p>
        </w:tc>
        <w:tc>
          <w:tcPr>
            <w:tcW w:w="1641" w:type="dxa"/>
            <w:tcBorders>
              <w:top w:val="nil"/>
              <w:left w:val="nil"/>
              <w:bottom w:val="nil"/>
              <w:right w:val="nil"/>
            </w:tcBorders>
            <w:noWrap/>
            <w:vAlign w:val="bottom"/>
            <w:hideMark/>
          </w:tcPr>
          <w:p w14:paraId="4C56A40E" w14:textId="77777777" w:rsidR="00A22F05" w:rsidRPr="00A22F05" w:rsidRDefault="00A22F05" w:rsidP="00A22F05">
            <w:pPr>
              <w:spacing w:after="0" w:line="240" w:lineRule="auto"/>
              <w:rPr>
                <w:rFonts w:eastAsia="Times New Roman"/>
                <w:b/>
                <w:bCs/>
                <w:kern w:val="0"/>
                <w:lang w:eastAsia="en-GB"/>
                <w14:ligatures w14:val="none"/>
              </w:rPr>
            </w:pPr>
          </w:p>
        </w:tc>
        <w:tc>
          <w:tcPr>
            <w:tcW w:w="1424" w:type="dxa"/>
            <w:tcBorders>
              <w:top w:val="nil"/>
              <w:left w:val="nil"/>
              <w:bottom w:val="nil"/>
              <w:right w:val="nil"/>
            </w:tcBorders>
            <w:noWrap/>
            <w:vAlign w:val="bottom"/>
            <w:hideMark/>
          </w:tcPr>
          <w:p w14:paraId="32E097B6"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6D28E6CC"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552B1D77"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721633B9"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58CB23B6"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0425DF5A"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3BF63831"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6FD687F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142BED19"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7433990B"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27413D5A" w14:textId="77777777" w:rsidTr="00A22F05">
        <w:trPr>
          <w:trHeight w:val="310"/>
        </w:trPr>
        <w:tc>
          <w:tcPr>
            <w:tcW w:w="9636" w:type="dxa"/>
            <w:tcBorders>
              <w:top w:val="nil"/>
              <w:left w:val="nil"/>
              <w:bottom w:val="nil"/>
              <w:right w:val="nil"/>
            </w:tcBorders>
            <w:shd w:val="clear" w:color="000000" w:fill="00FF00"/>
            <w:noWrap/>
            <w:vAlign w:val="bottom"/>
            <w:hideMark/>
          </w:tcPr>
          <w:p w14:paraId="148927A0"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 (Low)</w:t>
            </w:r>
          </w:p>
        </w:tc>
        <w:tc>
          <w:tcPr>
            <w:tcW w:w="4581" w:type="dxa"/>
            <w:gridSpan w:val="3"/>
            <w:tcBorders>
              <w:top w:val="nil"/>
              <w:left w:val="nil"/>
              <w:bottom w:val="nil"/>
              <w:right w:val="nil"/>
            </w:tcBorders>
            <w:noWrap/>
            <w:vAlign w:val="bottom"/>
            <w:hideMark/>
          </w:tcPr>
          <w:p w14:paraId="6CC1D1B4"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≤2% occurrence on batch or system</w:t>
            </w:r>
          </w:p>
        </w:tc>
        <w:tc>
          <w:tcPr>
            <w:tcW w:w="1498" w:type="dxa"/>
            <w:tcBorders>
              <w:top w:val="nil"/>
              <w:left w:val="nil"/>
              <w:bottom w:val="nil"/>
              <w:right w:val="nil"/>
            </w:tcBorders>
            <w:noWrap/>
            <w:vAlign w:val="bottom"/>
            <w:hideMark/>
          </w:tcPr>
          <w:p w14:paraId="6296E983"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528941FF"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76B5B3B1"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33BB8842"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3C6728A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5C8FCFAF"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141F42D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0E532864"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28D74F9B" w14:textId="77777777" w:rsidTr="00A22F05">
        <w:trPr>
          <w:trHeight w:val="310"/>
        </w:trPr>
        <w:tc>
          <w:tcPr>
            <w:tcW w:w="9636" w:type="dxa"/>
            <w:tcBorders>
              <w:top w:val="nil"/>
              <w:left w:val="nil"/>
              <w:bottom w:val="nil"/>
              <w:right w:val="nil"/>
            </w:tcBorders>
            <w:shd w:val="clear" w:color="000000" w:fill="FF9900"/>
            <w:noWrap/>
            <w:vAlign w:val="bottom"/>
            <w:hideMark/>
          </w:tcPr>
          <w:p w14:paraId="0CDB61F1"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 (Med)</w:t>
            </w:r>
          </w:p>
        </w:tc>
        <w:tc>
          <w:tcPr>
            <w:tcW w:w="4581" w:type="dxa"/>
            <w:gridSpan w:val="3"/>
            <w:tcBorders>
              <w:top w:val="nil"/>
              <w:left w:val="nil"/>
              <w:bottom w:val="nil"/>
              <w:right w:val="nil"/>
            </w:tcBorders>
            <w:noWrap/>
            <w:vAlign w:val="bottom"/>
            <w:hideMark/>
          </w:tcPr>
          <w:p w14:paraId="57490F86"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Between 2 and 10% occurrence on batch or system</w:t>
            </w:r>
          </w:p>
        </w:tc>
        <w:tc>
          <w:tcPr>
            <w:tcW w:w="1498" w:type="dxa"/>
            <w:tcBorders>
              <w:top w:val="nil"/>
              <w:left w:val="nil"/>
              <w:bottom w:val="nil"/>
              <w:right w:val="nil"/>
            </w:tcBorders>
            <w:noWrap/>
            <w:vAlign w:val="bottom"/>
            <w:hideMark/>
          </w:tcPr>
          <w:p w14:paraId="28E571A1"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05450130"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434B3DCB"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hideMark/>
          </w:tcPr>
          <w:p w14:paraId="388E66CB"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hideMark/>
          </w:tcPr>
          <w:p w14:paraId="4A0A4F9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089D1A0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0DFBFF7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hideMark/>
          </w:tcPr>
          <w:p w14:paraId="178372C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73DAA263" w14:textId="77777777" w:rsidTr="00A22F05">
        <w:trPr>
          <w:trHeight w:val="280"/>
        </w:trPr>
        <w:tc>
          <w:tcPr>
            <w:tcW w:w="9636" w:type="dxa"/>
            <w:tcBorders>
              <w:top w:val="nil"/>
              <w:left w:val="nil"/>
              <w:bottom w:val="nil"/>
              <w:right w:val="nil"/>
            </w:tcBorders>
            <w:shd w:val="clear" w:color="000000" w:fill="FF0000"/>
            <w:noWrap/>
            <w:vAlign w:val="bottom"/>
            <w:hideMark/>
          </w:tcPr>
          <w:p w14:paraId="6715A4D4"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 (High)</w:t>
            </w:r>
          </w:p>
        </w:tc>
        <w:tc>
          <w:tcPr>
            <w:tcW w:w="4581" w:type="dxa"/>
            <w:gridSpan w:val="3"/>
            <w:tcBorders>
              <w:top w:val="nil"/>
              <w:left w:val="nil"/>
              <w:bottom w:val="nil"/>
              <w:right w:val="nil"/>
            </w:tcBorders>
            <w:noWrap/>
            <w:vAlign w:val="bottom"/>
            <w:hideMark/>
          </w:tcPr>
          <w:p w14:paraId="446149B5"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≥10% occurrence on batch or system</w:t>
            </w:r>
          </w:p>
        </w:tc>
        <w:tc>
          <w:tcPr>
            <w:tcW w:w="1498" w:type="dxa"/>
            <w:tcBorders>
              <w:top w:val="nil"/>
              <w:left w:val="nil"/>
              <w:bottom w:val="nil"/>
              <w:right w:val="nil"/>
            </w:tcBorders>
            <w:noWrap/>
            <w:vAlign w:val="bottom"/>
            <w:hideMark/>
          </w:tcPr>
          <w:p w14:paraId="635585C9"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62FA5279"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383ADFB9"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45A58809"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7A60943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622DEB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2C7F411"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BEB103C"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443B368E" w14:textId="77777777" w:rsidTr="00A22F05">
        <w:trPr>
          <w:trHeight w:val="280"/>
        </w:trPr>
        <w:tc>
          <w:tcPr>
            <w:tcW w:w="9636" w:type="dxa"/>
            <w:tcBorders>
              <w:top w:val="nil"/>
              <w:left w:val="nil"/>
              <w:bottom w:val="nil"/>
              <w:right w:val="nil"/>
            </w:tcBorders>
            <w:noWrap/>
            <w:vAlign w:val="bottom"/>
            <w:hideMark/>
          </w:tcPr>
          <w:p w14:paraId="2594B2F1"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54A18E82"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54E4EB97"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6D2EDBF1"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39B88F75"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78644C59"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3AD1F229"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2343E43D"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7E97CDB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0BC430C"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7164DB2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53959EA"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097EBD5D" w14:textId="77777777" w:rsidTr="00A22F05">
        <w:trPr>
          <w:trHeight w:val="280"/>
        </w:trPr>
        <w:tc>
          <w:tcPr>
            <w:tcW w:w="11277" w:type="dxa"/>
            <w:gridSpan w:val="2"/>
            <w:tcBorders>
              <w:top w:val="nil"/>
              <w:left w:val="nil"/>
              <w:bottom w:val="nil"/>
              <w:right w:val="nil"/>
            </w:tcBorders>
            <w:noWrap/>
            <w:vAlign w:val="bottom"/>
            <w:hideMark/>
          </w:tcPr>
          <w:p w14:paraId="2EA8C98B" w14:textId="77777777" w:rsidR="00A22F05" w:rsidRPr="00A22F05" w:rsidRDefault="00A22F05" w:rsidP="00A22F05">
            <w:pPr>
              <w:spacing w:after="0" w:line="240" w:lineRule="auto"/>
              <w:rPr>
                <w:rFonts w:eastAsia="Times New Roman"/>
                <w:b/>
                <w:bCs/>
                <w:kern w:val="0"/>
                <w:lang w:eastAsia="en-GB"/>
                <w14:ligatures w14:val="none"/>
              </w:rPr>
            </w:pPr>
            <w:r w:rsidRPr="00A22F05">
              <w:rPr>
                <w:rFonts w:eastAsia="Times New Roman"/>
                <w:b/>
                <w:bCs/>
                <w:kern w:val="0"/>
                <w:lang w:eastAsia="en-GB"/>
                <w14:ligatures w14:val="none"/>
              </w:rPr>
              <w:t>NON-DETECTION:</w:t>
            </w:r>
          </w:p>
        </w:tc>
        <w:tc>
          <w:tcPr>
            <w:tcW w:w="1424" w:type="dxa"/>
            <w:tcBorders>
              <w:top w:val="nil"/>
              <w:left w:val="nil"/>
              <w:bottom w:val="nil"/>
              <w:right w:val="nil"/>
            </w:tcBorders>
            <w:noWrap/>
            <w:vAlign w:val="bottom"/>
            <w:hideMark/>
          </w:tcPr>
          <w:p w14:paraId="1C4898D0" w14:textId="77777777" w:rsidR="00A22F05" w:rsidRPr="00A22F05" w:rsidRDefault="00A22F05" w:rsidP="00A22F05">
            <w:pPr>
              <w:spacing w:after="0" w:line="240" w:lineRule="auto"/>
              <w:rPr>
                <w:rFonts w:eastAsia="Times New Roman"/>
                <w:b/>
                <w:bCs/>
                <w:kern w:val="0"/>
                <w:lang w:eastAsia="en-GB"/>
                <w14:ligatures w14:val="none"/>
              </w:rPr>
            </w:pPr>
          </w:p>
        </w:tc>
        <w:tc>
          <w:tcPr>
            <w:tcW w:w="1516" w:type="dxa"/>
            <w:tcBorders>
              <w:top w:val="nil"/>
              <w:left w:val="nil"/>
              <w:bottom w:val="nil"/>
              <w:right w:val="nil"/>
            </w:tcBorders>
            <w:noWrap/>
            <w:vAlign w:val="bottom"/>
            <w:hideMark/>
          </w:tcPr>
          <w:p w14:paraId="281B29B2"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351B6C1A"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780F047F"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732C8148"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0D689ED2"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01A194E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EDA987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1317132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77476871"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3ADE705E" w14:textId="77777777" w:rsidTr="00A22F05">
        <w:trPr>
          <w:trHeight w:val="280"/>
        </w:trPr>
        <w:tc>
          <w:tcPr>
            <w:tcW w:w="9636" w:type="dxa"/>
            <w:tcBorders>
              <w:top w:val="nil"/>
              <w:left w:val="nil"/>
              <w:bottom w:val="nil"/>
              <w:right w:val="nil"/>
            </w:tcBorders>
            <w:shd w:val="clear" w:color="000000" w:fill="00FF00"/>
            <w:noWrap/>
            <w:vAlign w:val="bottom"/>
            <w:hideMark/>
          </w:tcPr>
          <w:p w14:paraId="5E334FDB"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1 (High)</w:t>
            </w:r>
          </w:p>
        </w:tc>
        <w:tc>
          <w:tcPr>
            <w:tcW w:w="6079" w:type="dxa"/>
            <w:gridSpan w:val="4"/>
            <w:tcBorders>
              <w:top w:val="nil"/>
              <w:left w:val="nil"/>
              <w:bottom w:val="nil"/>
              <w:right w:val="nil"/>
            </w:tcBorders>
            <w:noWrap/>
            <w:vAlign w:val="bottom"/>
            <w:hideMark/>
          </w:tcPr>
          <w:p w14:paraId="718B71CD"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Certain that the failure will be detected (100% controlled)</w:t>
            </w:r>
          </w:p>
        </w:tc>
        <w:tc>
          <w:tcPr>
            <w:tcW w:w="1071" w:type="dxa"/>
            <w:tcBorders>
              <w:top w:val="nil"/>
              <w:left w:val="nil"/>
              <w:bottom w:val="nil"/>
              <w:right w:val="nil"/>
            </w:tcBorders>
            <w:noWrap/>
            <w:vAlign w:val="bottom"/>
            <w:hideMark/>
          </w:tcPr>
          <w:p w14:paraId="0D99BF3C"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5E4A1AB7"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5BEFC7FA"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18D7B86F"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6CB4268"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EBF5F94"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EC29BC3"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3AF2C62D" w14:textId="77777777" w:rsidTr="00A22F05">
        <w:trPr>
          <w:trHeight w:val="280"/>
        </w:trPr>
        <w:tc>
          <w:tcPr>
            <w:tcW w:w="9636" w:type="dxa"/>
            <w:tcBorders>
              <w:top w:val="nil"/>
              <w:left w:val="nil"/>
              <w:bottom w:val="nil"/>
              <w:right w:val="nil"/>
            </w:tcBorders>
            <w:shd w:val="clear" w:color="000000" w:fill="FF9900"/>
            <w:noWrap/>
            <w:vAlign w:val="bottom"/>
            <w:hideMark/>
          </w:tcPr>
          <w:p w14:paraId="0289889D"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2 (Med)</w:t>
            </w:r>
          </w:p>
        </w:tc>
        <w:tc>
          <w:tcPr>
            <w:tcW w:w="6079" w:type="dxa"/>
            <w:gridSpan w:val="4"/>
            <w:tcBorders>
              <w:top w:val="nil"/>
              <w:left w:val="nil"/>
              <w:bottom w:val="nil"/>
              <w:right w:val="nil"/>
            </w:tcBorders>
            <w:noWrap/>
            <w:vAlign w:val="bottom"/>
            <w:hideMark/>
          </w:tcPr>
          <w:p w14:paraId="714AA6EE"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Will detect ≥90% of the time (such as by a sampling plan)</w:t>
            </w:r>
          </w:p>
        </w:tc>
        <w:tc>
          <w:tcPr>
            <w:tcW w:w="1071" w:type="dxa"/>
            <w:tcBorders>
              <w:top w:val="nil"/>
              <w:left w:val="nil"/>
              <w:bottom w:val="nil"/>
              <w:right w:val="nil"/>
            </w:tcBorders>
            <w:noWrap/>
            <w:vAlign w:val="bottom"/>
            <w:hideMark/>
          </w:tcPr>
          <w:p w14:paraId="57F2E5A2"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1C605B49"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379AB46B"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45084FD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AEC360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2E0E670"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8F505F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59EC9957" w14:textId="77777777" w:rsidTr="00A22F05">
        <w:trPr>
          <w:trHeight w:val="280"/>
        </w:trPr>
        <w:tc>
          <w:tcPr>
            <w:tcW w:w="9636" w:type="dxa"/>
            <w:tcBorders>
              <w:top w:val="nil"/>
              <w:left w:val="nil"/>
              <w:bottom w:val="nil"/>
              <w:right w:val="nil"/>
            </w:tcBorders>
            <w:shd w:val="clear" w:color="000000" w:fill="FF0000"/>
            <w:noWrap/>
            <w:vAlign w:val="bottom"/>
            <w:hideMark/>
          </w:tcPr>
          <w:p w14:paraId="0EA976F8" w14:textId="77777777" w:rsidR="00A22F05" w:rsidRPr="00A22F05" w:rsidRDefault="00A22F05" w:rsidP="00A22F05">
            <w:pPr>
              <w:spacing w:after="0" w:line="240" w:lineRule="auto"/>
              <w:jc w:val="center"/>
              <w:rPr>
                <w:rFonts w:eastAsia="Times New Roman"/>
                <w:kern w:val="0"/>
                <w:lang w:eastAsia="en-GB"/>
                <w14:ligatures w14:val="none"/>
              </w:rPr>
            </w:pPr>
            <w:r w:rsidRPr="00A22F05">
              <w:rPr>
                <w:rFonts w:eastAsia="Times New Roman"/>
                <w:kern w:val="0"/>
                <w:lang w:eastAsia="en-GB"/>
                <w14:ligatures w14:val="none"/>
              </w:rPr>
              <w:t>3 (Low)</w:t>
            </w:r>
          </w:p>
        </w:tc>
        <w:tc>
          <w:tcPr>
            <w:tcW w:w="3065" w:type="dxa"/>
            <w:gridSpan w:val="2"/>
            <w:tcBorders>
              <w:top w:val="nil"/>
              <w:left w:val="nil"/>
              <w:bottom w:val="nil"/>
              <w:right w:val="nil"/>
            </w:tcBorders>
            <w:noWrap/>
            <w:vAlign w:val="bottom"/>
            <w:hideMark/>
          </w:tcPr>
          <w:p w14:paraId="1645CF5A"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Unlikely to detect</w:t>
            </w:r>
          </w:p>
        </w:tc>
        <w:tc>
          <w:tcPr>
            <w:tcW w:w="1516" w:type="dxa"/>
            <w:tcBorders>
              <w:top w:val="nil"/>
              <w:left w:val="nil"/>
              <w:bottom w:val="nil"/>
              <w:right w:val="nil"/>
            </w:tcBorders>
            <w:noWrap/>
            <w:vAlign w:val="bottom"/>
            <w:hideMark/>
          </w:tcPr>
          <w:p w14:paraId="0F307F92"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529ACFA4"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181CAAFC"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1ED8484F"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6A5AD277"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39492248"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5B4F215"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9B7E5DF"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EFA7879"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378952A1" w14:textId="77777777" w:rsidTr="00A22F05">
        <w:trPr>
          <w:trHeight w:val="280"/>
        </w:trPr>
        <w:tc>
          <w:tcPr>
            <w:tcW w:w="9636" w:type="dxa"/>
            <w:tcBorders>
              <w:top w:val="nil"/>
              <w:left w:val="nil"/>
              <w:bottom w:val="nil"/>
              <w:right w:val="nil"/>
            </w:tcBorders>
            <w:noWrap/>
            <w:vAlign w:val="bottom"/>
            <w:hideMark/>
          </w:tcPr>
          <w:p w14:paraId="64C38136"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3B40CFF5"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4076AD97"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23EE4D8D"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0821EFF2"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18FEC29A"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007C3D74"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394E44C3"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0AB0BA78"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38EE536D"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A036187"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EC14538"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1CCE9F17" w14:textId="77777777" w:rsidTr="00A22F05">
        <w:trPr>
          <w:trHeight w:val="280"/>
        </w:trPr>
        <w:tc>
          <w:tcPr>
            <w:tcW w:w="9636" w:type="dxa"/>
            <w:tcBorders>
              <w:top w:val="nil"/>
              <w:left w:val="nil"/>
              <w:bottom w:val="nil"/>
              <w:right w:val="nil"/>
            </w:tcBorders>
            <w:noWrap/>
            <w:vAlign w:val="bottom"/>
            <w:hideMark/>
          </w:tcPr>
          <w:p w14:paraId="5A82C1CA" w14:textId="77777777" w:rsidR="00A22F05" w:rsidRDefault="00A22F05" w:rsidP="00A22F05">
            <w:pPr>
              <w:spacing w:after="0" w:line="240" w:lineRule="auto"/>
              <w:rPr>
                <w:rFonts w:eastAsia="Times New Roman"/>
                <w:kern w:val="0"/>
                <w:lang w:eastAsia="en-GB"/>
                <w14:ligatures w14:val="none"/>
              </w:rPr>
            </w:pPr>
          </w:p>
          <w:p w14:paraId="78CDC4E2" w14:textId="77777777" w:rsidR="00A22F05" w:rsidRDefault="00A22F05" w:rsidP="00A22F05">
            <w:pPr>
              <w:spacing w:after="0" w:line="240" w:lineRule="auto"/>
              <w:rPr>
                <w:rFonts w:eastAsia="Times New Roman"/>
                <w:kern w:val="0"/>
                <w:lang w:eastAsia="en-GB"/>
                <w14:ligatures w14:val="none"/>
              </w:rPr>
            </w:pPr>
          </w:p>
          <w:p w14:paraId="2A33C9CC" w14:textId="77777777" w:rsidR="00A22F05" w:rsidRPr="00A22F05" w:rsidRDefault="00A22F05" w:rsidP="00A22F05">
            <w:pPr>
              <w:spacing w:after="0" w:line="240" w:lineRule="auto"/>
              <w:rPr>
                <w:rFonts w:eastAsia="Times New Roman"/>
                <w:kern w:val="0"/>
                <w:lang w:eastAsia="en-GB"/>
                <w14:ligatures w14:val="none"/>
              </w:rPr>
            </w:pPr>
          </w:p>
        </w:tc>
        <w:tc>
          <w:tcPr>
            <w:tcW w:w="1641" w:type="dxa"/>
            <w:tcBorders>
              <w:top w:val="nil"/>
              <w:left w:val="nil"/>
              <w:bottom w:val="nil"/>
              <w:right w:val="nil"/>
            </w:tcBorders>
            <w:noWrap/>
            <w:vAlign w:val="bottom"/>
            <w:hideMark/>
          </w:tcPr>
          <w:p w14:paraId="1FD172C0" w14:textId="77777777" w:rsidR="00A22F05" w:rsidRPr="00A22F05" w:rsidRDefault="00A22F05" w:rsidP="00A22F05">
            <w:pPr>
              <w:spacing w:after="0" w:line="240" w:lineRule="auto"/>
              <w:rPr>
                <w:rFonts w:eastAsia="Times New Roman"/>
                <w:kern w:val="0"/>
                <w:lang w:eastAsia="en-GB"/>
                <w14:ligatures w14:val="none"/>
              </w:rPr>
            </w:pPr>
          </w:p>
        </w:tc>
        <w:tc>
          <w:tcPr>
            <w:tcW w:w="1424" w:type="dxa"/>
            <w:tcBorders>
              <w:top w:val="nil"/>
              <w:left w:val="nil"/>
              <w:bottom w:val="nil"/>
              <w:right w:val="nil"/>
            </w:tcBorders>
            <w:noWrap/>
            <w:vAlign w:val="bottom"/>
            <w:hideMark/>
          </w:tcPr>
          <w:p w14:paraId="412BE8D8"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4C90900B"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60F2CD36"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5DB77AF0"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62F43FB9"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4F3D83AF"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05F1A47F"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2406066"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1ABEEEBE"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9D99FA7"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46873B1A" w14:textId="77777777" w:rsidTr="00A22F05">
        <w:trPr>
          <w:trHeight w:val="280"/>
        </w:trPr>
        <w:tc>
          <w:tcPr>
            <w:tcW w:w="15715" w:type="dxa"/>
            <w:gridSpan w:val="5"/>
            <w:tcBorders>
              <w:top w:val="nil"/>
              <w:left w:val="nil"/>
              <w:bottom w:val="nil"/>
              <w:right w:val="nil"/>
            </w:tcBorders>
            <w:noWrap/>
            <w:vAlign w:val="bottom"/>
            <w:hideMark/>
          </w:tcPr>
          <w:p w14:paraId="3DB9EB87" w14:textId="77777777" w:rsidR="00A22F05" w:rsidRPr="00A22F05" w:rsidRDefault="00A22F05" w:rsidP="00A22F05">
            <w:pPr>
              <w:spacing w:after="0" w:line="240" w:lineRule="auto"/>
              <w:rPr>
                <w:rFonts w:eastAsia="Times New Roman"/>
                <w:b/>
                <w:bCs/>
                <w:kern w:val="0"/>
                <w:lang w:eastAsia="en-GB"/>
                <w14:ligatures w14:val="none"/>
              </w:rPr>
            </w:pPr>
            <w:r w:rsidRPr="00A22F05">
              <w:rPr>
                <w:rFonts w:eastAsia="Times New Roman"/>
                <w:b/>
                <w:bCs/>
                <w:kern w:val="0"/>
                <w:lang w:eastAsia="en-GB"/>
                <w14:ligatures w14:val="none"/>
              </w:rPr>
              <w:lastRenderedPageBreak/>
              <w:t>RPN= SEV *OCC*DET</w:t>
            </w:r>
          </w:p>
        </w:tc>
        <w:tc>
          <w:tcPr>
            <w:tcW w:w="1071" w:type="dxa"/>
            <w:tcBorders>
              <w:top w:val="nil"/>
              <w:left w:val="nil"/>
              <w:bottom w:val="nil"/>
              <w:right w:val="nil"/>
            </w:tcBorders>
            <w:noWrap/>
            <w:vAlign w:val="bottom"/>
            <w:hideMark/>
          </w:tcPr>
          <w:p w14:paraId="208D8066" w14:textId="77777777" w:rsidR="00A22F05" w:rsidRPr="00A22F05" w:rsidRDefault="00A22F05" w:rsidP="00A22F05">
            <w:pPr>
              <w:spacing w:after="0" w:line="240" w:lineRule="auto"/>
              <w:rPr>
                <w:rFonts w:eastAsia="Times New Roman"/>
                <w:b/>
                <w:bCs/>
                <w:kern w:val="0"/>
                <w:lang w:eastAsia="en-GB"/>
                <w14:ligatures w14:val="none"/>
              </w:rPr>
            </w:pPr>
          </w:p>
        </w:tc>
        <w:tc>
          <w:tcPr>
            <w:tcW w:w="16" w:type="dxa"/>
            <w:tcBorders>
              <w:top w:val="nil"/>
              <w:left w:val="nil"/>
              <w:bottom w:val="nil"/>
              <w:right w:val="nil"/>
            </w:tcBorders>
            <w:noWrap/>
            <w:vAlign w:val="bottom"/>
            <w:hideMark/>
          </w:tcPr>
          <w:p w14:paraId="6F83812C"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22FF7710"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3D8760E0"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D9C56D5"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41BBDA9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EBE531C"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55C7E441" w14:textId="77777777" w:rsidTr="00A22F05">
        <w:trPr>
          <w:trHeight w:val="310"/>
        </w:trPr>
        <w:tc>
          <w:tcPr>
            <w:tcW w:w="9636" w:type="dxa"/>
            <w:tcBorders>
              <w:top w:val="nil"/>
              <w:left w:val="nil"/>
              <w:bottom w:val="nil"/>
              <w:right w:val="nil"/>
            </w:tcBorders>
            <w:shd w:val="clear" w:color="000000" w:fill="00FF00"/>
            <w:noWrap/>
            <w:vAlign w:val="bottom"/>
            <w:hideMark/>
          </w:tcPr>
          <w:p w14:paraId="4CF33DCB"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≤4 or Low</w:t>
            </w:r>
          </w:p>
        </w:tc>
        <w:tc>
          <w:tcPr>
            <w:tcW w:w="1641" w:type="dxa"/>
            <w:tcBorders>
              <w:top w:val="nil"/>
              <w:left w:val="nil"/>
              <w:bottom w:val="nil"/>
              <w:right w:val="nil"/>
            </w:tcBorders>
            <w:noWrap/>
            <w:vAlign w:val="bottom"/>
            <w:hideMark/>
          </w:tcPr>
          <w:p w14:paraId="2A967D6C"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 xml:space="preserve">Acceptable </w:t>
            </w:r>
          </w:p>
        </w:tc>
        <w:tc>
          <w:tcPr>
            <w:tcW w:w="1424" w:type="dxa"/>
            <w:tcBorders>
              <w:top w:val="nil"/>
              <w:left w:val="nil"/>
              <w:bottom w:val="nil"/>
              <w:right w:val="nil"/>
            </w:tcBorders>
            <w:noWrap/>
            <w:vAlign w:val="bottom"/>
            <w:hideMark/>
          </w:tcPr>
          <w:p w14:paraId="6A56688E" w14:textId="77777777" w:rsidR="00A22F05" w:rsidRPr="00A22F05" w:rsidRDefault="00A22F05" w:rsidP="00A22F05">
            <w:pPr>
              <w:spacing w:after="0" w:line="240" w:lineRule="auto"/>
              <w:rPr>
                <w:rFonts w:eastAsia="Times New Roman"/>
                <w:kern w:val="0"/>
                <w:lang w:eastAsia="en-GB"/>
                <w14:ligatures w14:val="none"/>
              </w:rPr>
            </w:pPr>
          </w:p>
        </w:tc>
        <w:tc>
          <w:tcPr>
            <w:tcW w:w="1516" w:type="dxa"/>
            <w:tcBorders>
              <w:top w:val="nil"/>
              <w:left w:val="nil"/>
              <w:bottom w:val="nil"/>
              <w:right w:val="nil"/>
            </w:tcBorders>
            <w:noWrap/>
            <w:vAlign w:val="bottom"/>
            <w:hideMark/>
          </w:tcPr>
          <w:p w14:paraId="0FF60500"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6C2A9CAD"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39C98438"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02E23D6D"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3C5B3359"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11CDB262"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1B4103F0"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2840D9B8"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AED1EEA"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5DDA9E59" w14:textId="77777777" w:rsidTr="00A22F05">
        <w:trPr>
          <w:trHeight w:val="310"/>
        </w:trPr>
        <w:tc>
          <w:tcPr>
            <w:tcW w:w="9636" w:type="dxa"/>
            <w:tcBorders>
              <w:top w:val="nil"/>
              <w:left w:val="nil"/>
              <w:bottom w:val="nil"/>
              <w:right w:val="nil"/>
            </w:tcBorders>
            <w:shd w:val="clear" w:color="000000" w:fill="FF9900"/>
            <w:noWrap/>
            <w:vAlign w:val="bottom"/>
            <w:hideMark/>
          </w:tcPr>
          <w:p w14:paraId="708C6501"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≥6;≤9 or Med</w:t>
            </w:r>
          </w:p>
        </w:tc>
        <w:tc>
          <w:tcPr>
            <w:tcW w:w="4581" w:type="dxa"/>
            <w:gridSpan w:val="3"/>
            <w:tcBorders>
              <w:top w:val="nil"/>
              <w:left w:val="nil"/>
              <w:bottom w:val="nil"/>
              <w:right w:val="nil"/>
            </w:tcBorders>
            <w:noWrap/>
            <w:vAlign w:val="bottom"/>
            <w:hideMark/>
          </w:tcPr>
          <w:p w14:paraId="550BDDEF"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Of concern Action to be considered</w:t>
            </w:r>
          </w:p>
        </w:tc>
        <w:tc>
          <w:tcPr>
            <w:tcW w:w="1498" w:type="dxa"/>
            <w:tcBorders>
              <w:top w:val="nil"/>
              <w:left w:val="nil"/>
              <w:bottom w:val="nil"/>
              <w:right w:val="nil"/>
            </w:tcBorders>
            <w:noWrap/>
            <w:vAlign w:val="bottom"/>
            <w:hideMark/>
          </w:tcPr>
          <w:p w14:paraId="434DFC5B"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21D7036E"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50AB5AAB"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58C22571"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2B23394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0159B28A"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92305C3"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7FA0FB6E" w14:textId="77777777" w:rsidR="00A22F05" w:rsidRPr="00A22F05" w:rsidRDefault="00A22F05" w:rsidP="00A22F05">
            <w:pPr>
              <w:spacing w:after="0" w:line="240" w:lineRule="auto"/>
              <w:rPr>
                <w:rFonts w:eastAsia="Times New Roman"/>
                <w:kern w:val="0"/>
                <w:lang w:eastAsia="en-GB"/>
                <w14:ligatures w14:val="none"/>
              </w:rPr>
            </w:pPr>
          </w:p>
        </w:tc>
      </w:tr>
      <w:tr w:rsidR="00A22F05" w:rsidRPr="00A22F05" w14:paraId="03ABBB8D" w14:textId="77777777" w:rsidTr="00A22F05">
        <w:trPr>
          <w:trHeight w:val="310"/>
        </w:trPr>
        <w:tc>
          <w:tcPr>
            <w:tcW w:w="9636" w:type="dxa"/>
            <w:tcBorders>
              <w:top w:val="nil"/>
              <w:left w:val="nil"/>
              <w:bottom w:val="nil"/>
              <w:right w:val="nil"/>
            </w:tcBorders>
            <w:shd w:val="clear" w:color="000000" w:fill="FF0000"/>
            <w:noWrap/>
            <w:vAlign w:val="bottom"/>
            <w:hideMark/>
          </w:tcPr>
          <w:p w14:paraId="26F9B20C" w14:textId="77777777" w:rsidR="00A22F05" w:rsidRPr="00A22F05" w:rsidRDefault="00A22F05" w:rsidP="00A22F05">
            <w:pPr>
              <w:spacing w:after="0" w:line="240" w:lineRule="auto"/>
              <w:jc w:val="center"/>
              <w:rPr>
                <w:rFonts w:eastAsia="Times New Roman"/>
                <w:b/>
                <w:bCs/>
                <w:kern w:val="0"/>
                <w:lang w:eastAsia="en-GB"/>
                <w14:ligatures w14:val="none"/>
              </w:rPr>
            </w:pPr>
            <w:r w:rsidRPr="00A22F05">
              <w:rPr>
                <w:rFonts w:eastAsia="Times New Roman"/>
                <w:b/>
                <w:bCs/>
                <w:kern w:val="0"/>
                <w:lang w:eastAsia="en-GB"/>
                <w14:ligatures w14:val="none"/>
              </w:rPr>
              <w:t>≥ 12 or High</w:t>
            </w:r>
          </w:p>
        </w:tc>
        <w:tc>
          <w:tcPr>
            <w:tcW w:w="3065" w:type="dxa"/>
            <w:gridSpan w:val="2"/>
            <w:tcBorders>
              <w:top w:val="nil"/>
              <w:left w:val="nil"/>
              <w:bottom w:val="nil"/>
              <w:right w:val="nil"/>
            </w:tcBorders>
            <w:noWrap/>
            <w:vAlign w:val="bottom"/>
            <w:hideMark/>
          </w:tcPr>
          <w:p w14:paraId="5430378C" w14:textId="77777777" w:rsidR="00A22F05" w:rsidRPr="00A22F05" w:rsidRDefault="00A22F05" w:rsidP="00A22F05">
            <w:pPr>
              <w:spacing w:after="0" w:line="240" w:lineRule="auto"/>
              <w:rPr>
                <w:rFonts w:eastAsia="Times New Roman"/>
                <w:kern w:val="0"/>
                <w:lang w:eastAsia="en-GB"/>
                <w14:ligatures w14:val="none"/>
              </w:rPr>
            </w:pPr>
            <w:r w:rsidRPr="00A22F05">
              <w:rPr>
                <w:rFonts w:eastAsia="Times New Roman"/>
                <w:kern w:val="0"/>
                <w:lang w:eastAsia="en-GB"/>
                <w14:ligatures w14:val="none"/>
              </w:rPr>
              <w:t>Critical Action Required</w:t>
            </w:r>
          </w:p>
        </w:tc>
        <w:tc>
          <w:tcPr>
            <w:tcW w:w="1516" w:type="dxa"/>
            <w:tcBorders>
              <w:top w:val="nil"/>
              <w:left w:val="nil"/>
              <w:bottom w:val="nil"/>
              <w:right w:val="nil"/>
            </w:tcBorders>
            <w:noWrap/>
            <w:vAlign w:val="bottom"/>
            <w:hideMark/>
          </w:tcPr>
          <w:p w14:paraId="58CFD0BF" w14:textId="77777777" w:rsidR="00A22F05" w:rsidRPr="00A22F05" w:rsidRDefault="00A22F05" w:rsidP="00A22F05">
            <w:pPr>
              <w:spacing w:after="0" w:line="240" w:lineRule="auto"/>
              <w:rPr>
                <w:rFonts w:eastAsia="Times New Roman"/>
                <w:kern w:val="0"/>
                <w:lang w:eastAsia="en-GB"/>
                <w14:ligatures w14:val="none"/>
              </w:rPr>
            </w:pPr>
          </w:p>
        </w:tc>
        <w:tc>
          <w:tcPr>
            <w:tcW w:w="1498" w:type="dxa"/>
            <w:tcBorders>
              <w:top w:val="nil"/>
              <w:left w:val="nil"/>
              <w:bottom w:val="nil"/>
              <w:right w:val="nil"/>
            </w:tcBorders>
            <w:noWrap/>
            <w:vAlign w:val="bottom"/>
            <w:hideMark/>
          </w:tcPr>
          <w:p w14:paraId="378815E4" w14:textId="77777777" w:rsidR="00A22F05" w:rsidRPr="00A22F05" w:rsidRDefault="00A22F05" w:rsidP="00A22F05">
            <w:pPr>
              <w:spacing w:after="0" w:line="240" w:lineRule="auto"/>
              <w:rPr>
                <w:rFonts w:eastAsia="Times New Roman"/>
                <w:kern w:val="0"/>
                <w:lang w:eastAsia="en-GB"/>
                <w14:ligatures w14:val="none"/>
              </w:rPr>
            </w:pPr>
          </w:p>
        </w:tc>
        <w:tc>
          <w:tcPr>
            <w:tcW w:w="1071" w:type="dxa"/>
            <w:tcBorders>
              <w:top w:val="nil"/>
              <w:left w:val="nil"/>
              <w:bottom w:val="nil"/>
              <w:right w:val="nil"/>
            </w:tcBorders>
            <w:noWrap/>
            <w:vAlign w:val="bottom"/>
            <w:hideMark/>
          </w:tcPr>
          <w:p w14:paraId="7ABC91E2" w14:textId="77777777" w:rsidR="00A22F05" w:rsidRPr="00A22F05" w:rsidRDefault="00A22F05" w:rsidP="00A22F05">
            <w:pPr>
              <w:spacing w:after="0" w:line="240" w:lineRule="auto"/>
              <w:rPr>
                <w:rFonts w:eastAsia="Times New Roman"/>
                <w:kern w:val="0"/>
                <w:lang w:eastAsia="en-GB"/>
                <w14:ligatures w14:val="none"/>
              </w:rPr>
            </w:pPr>
          </w:p>
        </w:tc>
        <w:tc>
          <w:tcPr>
            <w:tcW w:w="16" w:type="dxa"/>
            <w:tcBorders>
              <w:top w:val="nil"/>
              <w:left w:val="nil"/>
              <w:bottom w:val="nil"/>
              <w:right w:val="nil"/>
            </w:tcBorders>
            <w:noWrap/>
            <w:vAlign w:val="bottom"/>
            <w:hideMark/>
          </w:tcPr>
          <w:p w14:paraId="2F3584F0" w14:textId="77777777" w:rsidR="00A22F05" w:rsidRPr="00A22F05" w:rsidRDefault="00A22F05" w:rsidP="00A22F05">
            <w:pPr>
              <w:spacing w:after="0" w:line="240" w:lineRule="auto"/>
              <w:rPr>
                <w:rFonts w:eastAsia="Times New Roman"/>
                <w:kern w:val="0"/>
                <w:lang w:eastAsia="en-GB"/>
                <w14:ligatures w14:val="none"/>
              </w:rPr>
            </w:pPr>
          </w:p>
        </w:tc>
        <w:tc>
          <w:tcPr>
            <w:tcW w:w="300" w:type="dxa"/>
            <w:tcBorders>
              <w:top w:val="nil"/>
              <w:left w:val="nil"/>
              <w:bottom w:val="nil"/>
              <w:right w:val="nil"/>
            </w:tcBorders>
            <w:noWrap/>
            <w:vAlign w:val="bottom"/>
            <w:hideMark/>
          </w:tcPr>
          <w:p w14:paraId="3339AC27" w14:textId="77777777" w:rsidR="00A22F05" w:rsidRPr="00A22F05" w:rsidRDefault="00A22F05" w:rsidP="00A22F05">
            <w:pPr>
              <w:spacing w:after="0" w:line="240" w:lineRule="auto"/>
              <w:rPr>
                <w:rFonts w:eastAsia="Times New Roman"/>
                <w:kern w:val="0"/>
                <w:lang w:eastAsia="en-GB"/>
                <w14:ligatures w14:val="none"/>
              </w:rPr>
            </w:pPr>
          </w:p>
        </w:tc>
        <w:tc>
          <w:tcPr>
            <w:tcW w:w="500" w:type="dxa"/>
            <w:tcBorders>
              <w:top w:val="nil"/>
              <w:left w:val="nil"/>
              <w:bottom w:val="nil"/>
              <w:right w:val="nil"/>
            </w:tcBorders>
            <w:noWrap/>
            <w:vAlign w:val="bottom"/>
            <w:hideMark/>
          </w:tcPr>
          <w:p w14:paraId="468E1A27"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548E16A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A08896B" w14:textId="77777777" w:rsidR="00A22F05" w:rsidRPr="00A22F05" w:rsidRDefault="00A22F05" w:rsidP="00A22F05">
            <w:pPr>
              <w:spacing w:after="0" w:line="240" w:lineRule="auto"/>
              <w:rPr>
                <w:rFonts w:eastAsia="Times New Roman"/>
                <w:kern w:val="0"/>
                <w:lang w:eastAsia="en-GB"/>
                <w14:ligatures w14:val="none"/>
              </w:rPr>
            </w:pPr>
          </w:p>
        </w:tc>
        <w:tc>
          <w:tcPr>
            <w:tcW w:w="834" w:type="dxa"/>
            <w:tcBorders>
              <w:top w:val="nil"/>
              <w:left w:val="nil"/>
              <w:bottom w:val="nil"/>
              <w:right w:val="nil"/>
            </w:tcBorders>
            <w:noWrap/>
            <w:vAlign w:val="bottom"/>
            <w:hideMark/>
          </w:tcPr>
          <w:p w14:paraId="648CABE7" w14:textId="77777777" w:rsidR="00A22F05" w:rsidRPr="00A22F05" w:rsidRDefault="00A22F05" w:rsidP="00A22F05">
            <w:pPr>
              <w:spacing w:after="0" w:line="240" w:lineRule="auto"/>
              <w:rPr>
                <w:rFonts w:eastAsia="Times New Roman"/>
                <w:kern w:val="0"/>
                <w:lang w:eastAsia="en-GB"/>
                <w14:ligatures w14:val="none"/>
              </w:rPr>
            </w:pPr>
          </w:p>
        </w:tc>
      </w:tr>
    </w:tbl>
    <w:p w14:paraId="395BCC10" w14:textId="77777777" w:rsidR="00A22F05" w:rsidRDefault="00A22F05" w:rsidP="00196D2E"/>
    <w:p w14:paraId="2B958A5D" w14:textId="77777777" w:rsidR="000A73DE" w:rsidRDefault="000A73DE" w:rsidP="00196D2E"/>
    <w:p w14:paraId="7E7D9EC8" w14:textId="77777777" w:rsidR="000A73DE" w:rsidRDefault="000A73DE" w:rsidP="00196D2E"/>
    <w:p w14:paraId="4BDDE44A" w14:textId="77777777" w:rsidR="000A73DE" w:rsidRDefault="000A73DE" w:rsidP="00196D2E"/>
    <w:p w14:paraId="7D65F1A1" w14:textId="77777777" w:rsidR="000A73DE" w:rsidRDefault="000A73DE" w:rsidP="00196D2E"/>
    <w:p w14:paraId="7EDA2DCF" w14:textId="77777777" w:rsidR="000A73DE" w:rsidRDefault="000A73DE" w:rsidP="00196D2E"/>
    <w:p w14:paraId="39CBE6CD" w14:textId="77777777" w:rsidR="004467BE" w:rsidRDefault="004467BE" w:rsidP="00196D2E">
      <w:pPr>
        <w:sectPr w:rsidR="004467BE" w:rsidSect="004467BE">
          <w:pgSz w:w="23811" w:h="16838" w:orient="landscape" w:code="8"/>
          <w:pgMar w:top="1440" w:right="1440" w:bottom="1440" w:left="1440" w:header="708" w:footer="708" w:gutter="0"/>
          <w:pgNumType w:start="0"/>
          <w:cols w:space="708"/>
          <w:titlePg/>
          <w:docGrid w:linePitch="360"/>
        </w:sectPr>
      </w:pPr>
    </w:p>
    <w:p w14:paraId="778F83C5" w14:textId="77777777" w:rsidR="000A73DE" w:rsidRDefault="000A73DE" w:rsidP="00196D2E"/>
    <w:p w14:paraId="569AA786" w14:textId="4FC7AA1D" w:rsidR="000A73DE" w:rsidRDefault="000A73DE" w:rsidP="00AD5DE4">
      <w:pPr>
        <w:pStyle w:val="Heading1"/>
        <w:numPr>
          <w:ilvl w:val="0"/>
          <w:numId w:val="0"/>
        </w:numPr>
        <w:spacing w:line="360" w:lineRule="auto"/>
      </w:pPr>
      <w:bookmarkStart w:id="10" w:name="_Toc214571996"/>
      <w:r>
        <w:t xml:space="preserve">4.0 </w:t>
      </w:r>
      <w:r w:rsidR="007715A2">
        <w:t>Supply Network Resilience Strategies</w:t>
      </w:r>
      <w:bookmarkEnd w:id="10"/>
    </w:p>
    <w:p w14:paraId="5A1B700C" w14:textId="77777777" w:rsidR="00333A8F" w:rsidRDefault="00945883" w:rsidP="00AD5DE4">
      <w:pPr>
        <w:spacing w:line="360" w:lineRule="auto"/>
        <w:rPr>
          <w:rFonts w:eastAsia="Times New Roman"/>
        </w:rPr>
      </w:pPr>
      <w:r>
        <w:rPr>
          <w:rFonts w:eastAsia="Times New Roman"/>
        </w:rPr>
        <w:t xml:space="preserve">Strengthening MOVICOL’s international supply network requires a multi-dimensional approach based on proven resilience principles. Six key strategies are identified: </w:t>
      </w:r>
    </w:p>
    <w:p w14:paraId="4007E2BC" w14:textId="77777777" w:rsidR="00333A8F" w:rsidRDefault="00333A8F" w:rsidP="00AD5DE4">
      <w:pPr>
        <w:pStyle w:val="ListParagraph"/>
        <w:numPr>
          <w:ilvl w:val="0"/>
          <w:numId w:val="25"/>
        </w:numPr>
        <w:spacing w:line="360" w:lineRule="auto"/>
        <w:rPr>
          <w:rFonts w:eastAsia="Times New Roman"/>
        </w:rPr>
      </w:pPr>
      <w:r w:rsidRPr="00333A8F">
        <w:rPr>
          <w:rFonts w:eastAsia="Times New Roman"/>
        </w:rPr>
        <w:t>S</w:t>
      </w:r>
      <w:r w:rsidR="00945883" w:rsidRPr="00333A8F">
        <w:rPr>
          <w:rFonts w:eastAsia="Times New Roman"/>
        </w:rPr>
        <w:t>upplier diversification</w:t>
      </w:r>
    </w:p>
    <w:p w14:paraId="40873C1E" w14:textId="77777777" w:rsidR="0069732A" w:rsidRDefault="0069732A" w:rsidP="00AD5DE4">
      <w:pPr>
        <w:pStyle w:val="ListParagraph"/>
        <w:numPr>
          <w:ilvl w:val="0"/>
          <w:numId w:val="25"/>
        </w:numPr>
        <w:spacing w:line="360" w:lineRule="auto"/>
        <w:rPr>
          <w:rFonts w:eastAsia="Times New Roman"/>
        </w:rPr>
      </w:pPr>
      <w:r>
        <w:rPr>
          <w:rFonts w:eastAsia="Times New Roman"/>
        </w:rPr>
        <w:t>M</w:t>
      </w:r>
      <w:r w:rsidR="00945883" w:rsidRPr="00333A8F">
        <w:rPr>
          <w:rFonts w:eastAsia="Times New Roman"/>
        </w:rPr>
        <w:t>anufacturing redundancy</w:t>
      </w:r>
    </w:p>
    <w:p w14:paraId="5897D533" w14:textId="77777777" w:rsidR="0069732A" w:rsidRDefault="0069732A" w:rsidP="00AD5DE4">
      <w:pPr>
        <w:pStyle w:val="ListParagraph"/>
        <w:numPr>
          <w:ilvl w:val="0"/>
          <w:numId w:val="25"/>
        </w:numPr>
        <w:spacing w:line="360" w:lineRule="auto"/>
        <w:rPr>
          <w:rFonts w:eastAsia="Times New Roman"/>
        </w:rPr>
      </w:pPr>
      <w:r>
        <w:rPr>
          <w:rFonts w:eastAsia="Times New Roman"/>
        </w:rPr>
        <w:t>L</w:t>
      </w:r>
      <w:r w:rsidR="00945883" w:rsidRPr="00333A8F">
        <w:rPr>
          <w:rFonts w:eastAsia="Times New Roman"/>
        </w:rPr>
        <w:t>ogistics flexibility</w:t>
      </w:r>
    </w:p>
    <w:p w14:paraId="698D663D" w14:textId="77777777" w:rsidR="0069732A" w:rsidRDefault="0069732A" w:rsidP="00AD5DE4">
      <w:pPr>
        <w:pStyle w:val="ListParagraph"/>
        <w:numPr>
          <w:ilvl w:val="0"/>
          <w:numId w:val="25"/>
        </w:numPr>
        <w:spacing w:line="360" w:lineRule="auto"/>
        <w:rPr>
          <w:rFonts w:eastAsia="Times New Roman"/>
        </w:rPr>
      </w:pPr>
      <w:r>
        <w:rPr>
          <w:rFonts w:eastAsia="Times New Roman"/>
        </w:rPr>
        <w:t>D</w:t>
      </w:r>
      <w:r w:rsidR="00945883" w:rsidRPr="00333A8F">
        <w:rPr>
          <w:rFonts w:eastAsia="Times New Roman"/>
        </w:rPr>
        <w:t>igital quality system modernisation</w:t>
      </w:r>
    </w:p>
    <w:p w14:paraId="6DD6FD74" w14:textId="77777777" w:rsidR="00A84B3D" w:rsidRDefault="0069732A" w:rsidP="00AD5DE4">
      <w:pPr>
        <w:pStyle w:val="ListParagraph"/>
        <w:numPr>
          <w:ilvl w:val="0"/>
          <w:numId w:val="25"/>
        </w:numPr>
        <w:spacing w:line="360" w:lineRule="auto"/>
        <w:rPr>
          <w:rFonts w:eastAsia="Times New Roman"/>
        </w:rPr>
      </w:pPr>
      <w:r>
        <w:rPr>
          <w:rFonts w:eastAsia="Times New Roman"/>
        </w:rPr>
        <w:t>A</w:t>
      </w:r>
      <w:r w:rsidR="00945883" w:rsidRPr="00333A8F">
        <w:rPr>
          <w:rFonts w:eastAsia="Times New Roman"/>
        </w:rPr>
        <w:t>dvanced forecasting capability</w:t>
      </w:r>
    </w:p>
    <w:p w14:paraId="4FA5CBC1" w14:textId="77777777" w:rsidR="00A84B3D" w:rsidRDefault="00A84B3D" w:rsidP="00AD5DE4">
      <w:pPr>
        <w:pStyle w:val="ListParagraph"/>
        <w:numPr>
          <w:ilvl w:val="0"/>
          <w:numId w:val="25"/>
        </w:numPr>
        <w:spacing w:line="360" w:lineRule="auto"/>
        <w:rPr>
          <w:rFonts w:eastAsia="Times New Roman"/>
        </w:rPr>
      </w:pPr>
      <w:r>
        <w:rPr>
          <w:rFonts w:eastAsia="Times New Roman"/>
        </w:rPr>
        <w:t>E</w:t>
      </w:r>
      <w:r w:rsidR="00945883" w:rsidRPr="00333A8F">
        <w:rPr>
          <w:rFonts w:eastAsia="Times New Roman"/>
        </w:rPr>
        <w:t>nd-to-end digital visibility</w:t>
      </w:r>
    </w:p>
    <w:p w14:paraId="4C9A38D3" w14:textId="0BB23B9E" w:rsidR="00945883" w:rsidRPr="00A84B3D" w:rsidRDefault="00945883" w:rsidP="00AD5DE4">
      <w:pPr>
        <w:spacing w:line="360" w:lineRule="auto"/>
        <w:rPr>
          <w:rFonts w:eastAsia="Times New Roman"/>
        </w:rPr>
      </w:pPr>
      <w:r w:rsidRPr="00A84B3D">
        <w:rPr>
          <w:rFonts w:eastAsia="Times New Roman"/>
        </w:rPr>
        <w:t>Together, these approaches create a more robust, adaptive, and interruption-tolerant supply chain.</w:t>
      </w:r>
    </w:p>
    <w:p w14:paraId="5ED848AC" w14:textId="51671D4A" w:rsidR="00945883" w:rsidRDefault="00A84B3D" w:rsidP="00AD5DE4">
      <w:pPr>
        <w:pStyle w:val="Heading2"/>
        <w:numPr>
          <w:ilvl w:val="0"/>
          <w:numId w:val="0"/>
        </w:numPr>
        <w:spacing w:line="360" w:lineRule="auto"/>
        <w:rPr>
          <w:rFonts w:eastAsia="Times New Roman"/>
        </w:rPr>
      </w:pPr>
      <w:bookmarkStart w:id="11" w:name="_Toc214571997"/>
      <w:r>
        <w:rPr>
          <w:rFonts w:eastAsia="Times New Roman"/>
        </w:rPr>
        <w:t>4.1 Supplier Diversification</w:t>
      </w:r>
      <w:bookmarkEnd w:id="11"/>
    </w:p>
    <w:p w14:paraId="30B1DCC5" w14:textId="540F2E99" w:rsidR="00945883" w:rsidRDefault="00945883" w:rsidP="00AD5DE4">
      <w:pPr>
        <w:spacing w:line="360" w:lineRule="auto"/>
        <w:rPr>
          <w:rFonts w:eastAsia="Times New Roman"/>
        </w:rPr>
      </w:pPr>
      <w:r>
        <w:rPr>
          <w:rFonts w:eastAsia="Times New Roman"/>
        </w:rPr>
        <w:t xml:space="preserve">Supplier diversification and multi-sourcing are the most fundamental resilience strategies. MOVICOL currently depends on a limited number of qualified suppliers for macrogol (PEG 3350) and several packaging components, which exposes the supply chain to concentrated disruption risk. Research by </w:t>
      </w:r>
      <w:proofErr w:type="spellStart"/>
      <w:r>
        <w:rPr>
          <w:rFonts w:eastAsia="Times New Roman"/>
        </w:rPr>
        <w:t>Dolgui</w:t>
      </w:r>
      <w:proofErr w:type="spellEnd"/>
      <w:r>
        <w:rPr>
          <w:rFonts w:eastAsia="Times New Roman"/>
        </w:rPr>
        <w:t xml:space="preserve"> and Ivanov (2022) shows that multi-sourcing can reduce disruption probability significantly, especially in pharmaceutical networks where single-source dependencies are common. By qualifying one or more secondary suppliers in different geographical regions, </w:t>
      </w:r>
      <w:proofErr w:type="spellStart"/>
      <w:r>
        <w:rPr>
          <w:rFonts w:eastAsia="Times New Roman"/>
        </w:rPr>
        <w:t>Norgine</w:t>
      </w:r>
      <w:proofErr w:type="spellEnd"/>
      <w:r>
        <w:rPr>
          <w:rFonts w:eastAsia="Times New Roman"/>
        </w:rPr>
        <w:t xml:space="preserve"> can mitigate geopolitical and operational risks linked to supplier failure, transportation issues, or raw material volatility. Although qualifying additional suppliers involves considerable regulatory oversight, the long-term resilience benefits outweigh the initial resource investment.</w:t>
      </w:r>
    </w:p>
    <w:p w14:paraId="730002B3" w14:textId="26D26094" w:rsidR="00945883" w:rsidRDefault="00163676" w:rsidP="00AD5DE4">
      <w:pPr>
        <w:pStyle w:val="Heading2"/>
        <w:numPr>
          <w:ilvl w:val="0"/>
          <w:numId w:val="0"/>
        </w:numPr>
        <w:spacing w:line="360" w:lineRule="auto"/>
        <w:rPr>
          <w:rFonts w:eastAsia="Times New Roman"/>
        </w:rPr>
      </w:pPr>
      <w:bookmarkStart w:id="12" w:name="_Toc214571998"/>
      <w:r>
        <w:rPr>
          <w:rFonts w:eastAsia="Times New Roman"/>
        </w:rPr>
        <w:t>4.2 Manufacturing Redundancy</w:t>
      </w:r>
      <w:bookmarkEnd w:id="12"/>
      <w:r>
        <w:rPr>
          <w:rFonts w:eastAsia="Times New Roman"/>
        </w:rPr>
        <w:t xml:space="preserve"> </w:t>
      </w:r>
    </w:p>
    <w:p w14:paraId="0AF04A4A" w14:textId="26B6A25E" w:rsidR="00945883" w:rsidRDefault="00945883" w:rsidP="00AD5DE4">
      <w:pPr>
        <w:spacing w:line="360" w:lineRule="auto"/>
        <w:rPr>
          <w:rFonts w:eastAsia="Times New Roman"/>
        </w:rPr>
      </w:pPr>
      <w:r>
        <w:rPr>
          <w:rFonts w:eastAsia="Times New Roman"/>
        </w:rPr>
        <w:t xml:space="preserve">Manufacturing redundancy is equally vital because MOVICOL production is concentrated within a few European GMP-certified facilities. While centralisation simplifies regulatory compliance, it also means that a single equipment failure, GMP deviation, or labour shortage could cause widespread disruption. Developing redundancy might include building secondary filling and packaging capacity, establishing dual-site manufacturing arrangements, or pre-qualifying a Contract Manufacturing Organisation (CMO) for emergency capacity. Leading pharmaceutical firms like Amgen and Novo Nordisk demonstrate the value of mirrored or transferable production lines, which allow operations to continue even when one site is compromised. For MOVICOL, such redundancy would </w:t>
      </w:r>
      <w:r>
        <w:rPr>
          <w:rFonts w:eastAsia="Times New Roman"/>
        </w:rPr>
        <w:lastRenderedPageBreak/>
        <w:t>reduce bottlenecks, shorten recovery times, and strengthen the robustness of the production network.</w:t>
      </w:r>
    </w:p>
    <w:p w14:paraId="302395C6" w14:textId="77777777" w:rsidR="00945883" w:rsidRDefault="00945883" w:rsidP="00945883">
      <w:pPr>
        <w:spacing w:line="360" w:lineRule="auto"/>
        <w:rPr>
          <w:rFonts w:eastAsia="Times New Roman"/>
        </w:rPr>
      </w:pPr>
    </w:p>
    <w:p w14:paraId="0869EF25" w14:textId="59BFB941" w:rsidR="00163676" w:rsidRDefault="00163676" w:rsidP="00163676">
      <w:pPr>
        <w:pStyle w:val="Heading2"/>
        <w:numPr>
          <w:ilvl w:val="0"/>
          <w:numId w:val="0"/>
        </w:numPr>
        <w:rPr>
          <w:rFonts w:eastAsia="Times New Roman"/>
        </w:rPr>
      </w:pPr>
      <w:bookmarkStart w:id="13" w:name="_Toc214571999"/>
      <w:r>
        <w:rPr>
          <w:rFonts w:eastAsia="Times New Roman"/>
        </w:rPr>
        <w:t>4.3 Logistics Flexibility</w:t>
      </w:r>
      <w:bookmarkEnd w:id="13"/>
      <w:r>
        <w:rPr>
          <w:rFonts w:eastAsia="Times New Roman"/>
        </w:rPr>
        <w:t xml:space="preserve"> </w:t>
      </w:r>
    </w:p>
    <w:p w14:paraId="0E3EDD6C" w14:textId="65A5547D" w:rsidR="00945883" w:rsidRDefault="00945883" w:rsidP="00AD5DE4">
      <w:pPr>
        <w:spacing w:line="360" w:lineRule="auto"/>
        <w:rPr>
          <w:rFonts w:eastAsia="Times New Roman"/>
        </w:rPr>
      </w:pPr>
      <w:r>
        <w:rPr>
          <w:rFonts w:eastAsia="Times New Roman"/>
        </w:rPr>
        <w:t>Logistics flexibility and regional warehousing are another essential resilience mechanism. MOVICOL’s distribution is highly vulnerable to shipping delays, customs friction, port congestion, and freight capacity shortages, especially for UK–EU movements post-Brexit. Resilience can be improved by diversifying transportation modes, utilising multimodal routing options, and establishing regional distribution hubs or bonded warehouses in crucial markets. Research from the World Economic Forum (2022) indicates that placing safety stock close to end-market demand can reduce lead-time variability by up to 40</w:t>
      </w:r>
      <w:r w:rsidR="0066127E">
        <w:rPr>
          <w:rFonts w:eastAsia="Times New Roman"/>
        </w:rPr>
        <w:t>%</w:t>
      </w:r>
      <w:r>
        <w:rPr>
          <w:rFonts w:eastAsia="Times New Roman"/>
        </w:rPr>
        <w:t>. For MOVICOL, adopting regional warehousing in the UK, EU, and Middle East would enable more reliable service levels, reduce vulnerability to long-distance transportation disruptions, and bolster supply continuity.</w:t>
      </w:r>
    </w:p>
    <w:p w14:paraId="3A7A2DFF" w14:textId="01405CFD" w:rsidR="00945883" w:rsidRDefault="00B24043" w:rsidP="00AD5DE4">
      <w:pPr>
        <w:pStyle w:val="Heading2"/>
        <w:numPr>
          <w:ilvl w:val="0"/>
          <w:numId w:val="0"/>
        </w:numPr>
        <w:spacing w:line="360" w:lineRule="auto"/>
        <w:rPr>
          <w:rFonts w:eastAsia="Times New Roman"/>
        </w:rPr>
      </w:pPr>
      <w:bookmarkStart w:id="14" w:name="_Toc214572000"/>
      <w:r>
        <w:rPr>
          <w:rFonts w:eastAsia="Times New Roman"/>
        </w:rPr>
        <w:t>4.4 Digital Quality System Modernisation</w:t>
      </w:r>
      <w:bookmarkEnd w:id="14"/>
      <w:r>
        <w:rPr>
          <w:rFonts w:eastAsia="Times New Roman"/>
        </w:rPr>
        <w:t xml:space="preserve"> </w:t>
      </w:r>
    </w:p>
    <w:p w14:paraId="5D4537AC" w14:textId="1A5A7C48" w:rsidR="00945883" w:rsidRDefault="00945883" w:rsidP="00AD5DE4">
      <w:pPr>
        <w:spacing w:line="360" w:lineRule="auto"/>
        <w:rPr>
          <w:rFonts w:eastAsia="Times New Roman"/>
        </w:rPr>
      </w:pPr>
      <w:r>
        <w:rPr>
          <w:rFonts w:eastAsia="Times New Roman"/>
        </w:rPr>
        <w:t>Digital quality systems and regulatory agility are increasingly vital in the pharmaceutical sector, where QP release and Quality Control processes are often the slowest and most paperwork-heavy parts of production. Fragmented, paper-based systems extend review times, increase deviation risks, and complicate compliance efforts, especially as EMA and MHRA regulatory pathways diverge. Implementing electronic batch records, automated workflows within a digital QMS, and real-time deviation tracking can reduce QC backlog and speed up QP release. Case studies from companies like GSK and Novartis show that full digitalisation of QC documentation can cut review cycles by up to 30</w:t>
      </w:r>
      <w:r w:rsidR="000D13C5">
        <w:rPr>
          <w:rFonts w:eastAsia="Times New Roman"/>
        </w:rPr>
        <w:t>%</w:t>
      </w:r>
      <w:r>
        <w:rPr>
          <w:rFonts w:eastAsia="Times New Roman"/>
        </w:rPr>
        <w:t>. For MOVICOL, these digital upgrades would minimise delays caused by manual processes and ensure faster, more reliable batch release.</w:t>
      </w:r>
    </w:p>
    <w:p w14:paraId="11EB8FCB" w14:textId="4979F1F4" w:rsidR="00945883" w:rsidRDefault="00876503" w:rsidP="00AD5DE4">
      <w:pPr>
        <w:pStyle w:val="Heading2"/>
        <w:numPr>
          <w:ilvl w:val="0"/>
          <w:numId w:val="0"/>
        </w:numPr>
        <w:spacing w:line="360" w:lineRule="auto"/>
        <w:rPr>
          <w:rFonts w:eastAsia="Times New Roman"/>
        </w:rPr>
      </w:pPr>
      <w:bookmarkStart w:id="15" w:name="_Toc214572001"/>
      <w:r>
        <w:rPr>
          <w:rFonts w:eastAsia="Times New Roman"/>
        </w:rPr>
        <w:t>4.5 Advanced Forecasting Capability</w:t>
      </w:r>
      <w:bookmarkEnd w:id="15"/>
      <w:r>
        <w:rPr>
          <w:rFonts w:eastAsia="Times New Roman"/>
        </w:rPr>
        <w:t xml:space="preserve"> </w:t>
      </w:r>
    </w:p>
    <w:p w14:paraId="7A81EF99" w14:textId="0DFFFEC5" w:rsidR="00945883" w:rsidRDefault="00945883" w:rsidP="00AD5DE4">
      <w:pPr>
        <w:spacing w:line="360" w:lineRule="auto"/>
        <w:rPr>
          <w:rFonts w:eastAsia="Times New Roman"/>
        </w:rPr>
      </w:pPr>
      <w:r>
        <w:rPr>
          <w:rFonts w:eastAsia="Times New Roman"/>
        </w:rPr>
        <w:t xml:space="preserve">Advanced forecasting and integrated Sales &amp; Operations Planning (S&amp;OP) further boost resilience by tackling demand-side uncertainty. Although MOVICOL demand remains relatively steady, stockouts can happen when forecasting errors at </w:t>
      </w:r>
      <w:r w:rsidR="00876503">
        <w:rPr>
          <w:rFonts w:eastAsia="Times New Roman"/>
        </w:rPr>
        <w:t xml:space="preserve">the </w:t>
      </w:r>
      <w:proofErr w:type="spellStart"/>
      <w:r>
        <w:rPr>
          <w:rFonts w:eastAsia="Times New Roman"/>
        </w:rPr>
        <w:t>wholesaler</w:t>
      </w:r>
      <w:proofErr w:type="spellEnd"/>
      <w:r>
        <w:rPr>
          <w:rFonts w:eastAsia="Times New Roman"/>
        </w:rPr>
        <w:t xml:space="preserve"> level go unnoticed. Limited visibility into downstream consumption also weakens production planning accuracy. Using AI-enabled forecasting models, establishing formal S&amp;OP cycles, and accessing real-time demand data from wholesalers would greatly enhance planning precision. Johnson &amp; Johnson demonstrated that machine-learning forecasting reduced forecast error by over 30</w:t>
      </w:r>
      <w:r w:rsidR="00876503">
        <w:rPr>
          <w:rFonts w:eastAsia="Times New Roman"/>
        </w:rPr>
        <w:t>%</w:t>
      </w:r>
      <w:r>
        <w:rPr>
          <w:rFonts w:eastAsia="Times New Roman"/>
        </w:rPr>
        <w:t>, which improved stock availability and production stability. Applying similar methods to MOVICOL would decrease shortages and excess inventories.</w:t>
      </w:r>
    </w:p>
    <w:p w14:paraId="3773D815" w14:textId="529FA1E9" w:rsidR="00945883" w:rsidRDefault="00022CCE" w:rsidP="00AD5DE4">
      <w:pPr>
        <w:pStyle w:val="Heading2"/>
        <w:numPr>
          <w:ilvl w:val="0"/>
          <w:numId w:val="0"/>
        </w:numPr>
        <w:spacing w:line="360" w:lineRule="auto"/>
        <w:rPr>
          <w:rFonts w:eastAsia="Times New Roman"/>
        </w:rPr>
      </w:pPr>
      <w:bookmarkStart w:id="16" w:name="_Toc214572002"/>
      <w:r>
        <w:rPr>
          <w:rFonts w:eastAsia="Times New Roman"/>
        </w:rPr>
        <w:lastRenderedPageBreak/>
        <w:t>4.6 End-to-End Digital Visibility</w:t>
      </w:r>
      <w:bookmarkEnd w:id="16"/>
      <w:r>
        <w:rPr>
          <w:rFonts w:eastAsia="Times New Roman"/>
        </w:rPr>
        <w:t xml:space="preserve">  </w:t>
      </w:r>
    </w:p>
    <w:p w14:paraId="31DF3CBD" w14:textId="04E8CE93" w:rsidR="00945883" w:rsidRDefault="008A43E9" w:rsidP="00AD5DE4">
      <w:pPr>
        <w:spacing w:line="360" w:lineRule="auto"/>
        <w:rPr>
          <w:rFonts w:eastAsia="Times New Roman"/>
        </w:rPr>
      </w:pPr>
      <w:r>
        <w:rPr>
          <w:rFonts w:eastAsia="Times New Roman"/>
        </w:rPr>
        <w:t>S</w:t>
      </w:r>
      <w:r w:rsidR="00945883">
        <w:rPr>
          <w:rFonts w:eastAsia="Times New Roman"/>
        </w:rPr>
        <w:t>trengthening end-to-end visibility, ERP resilience, and cybersecurity has become central to modern pharmaceutical supply chains. MOVICOL depends on interconnected digital systems for inventory management, scheduling, documentation, quality control, and distribution planning. A cyberattack, system outage, or data breach could severely disrupt supply continuity. Resilience requires enhanced cybersecurity audits, mirrored ERP servers with disaster recovery environments, and real-time transportation and stock tracking systems to improve network visibility. The pharmaceutical industry has seen a rise in ransomware incidents, showing that digital resilience is no longer optional but vital for operational continuity. For MOVICOL, investments in cybersecurity measures, system redundancy, and supply-chain control-tower dashboards would mitigate downtime risks and boost overall responsiveness.</w:t>
      </w:r>
    </w:p>
    <w:p w14:paraId="5F091DFE" w14:textId="77777777" w:rsidR="007715A2" w:rsidRDefault="007715A2" w:rsidP="007715A2">
      <w:pPr>
        <w:rPr>
          <w:rFonts w:eastAsia="Times New Roman"/>
        </w:rPr>
      </w:pPr>
    </w:p>
    <w:p w14:paraId="751D5770" w14:textId="77777777" w:rsidR="00634B95" w:rsidRDefault="00634B95" w:rsidP="007715A2">
      <w:pPr>
        <w:rPr>
          <w:rFonts w:eastAsia="Times New Roman"/>
        </w:rPr>
      </w:pPr>
    </w:p>
    <w:p w14:paraId="66BB7629" w14:textId="77777777" w:rsidR="00634B95" w:rsidRDefault="00634B95" w:rsidP="007715A2">
      <w:pPr>
        <w:rPr>
          <w:rFonts w:eastAsia="Times New Roman"/>
        </w:rPr>
      </w:pPr>
    </w:p>
    <w:p w14:paraId="5DE58BE4" w14:textId="77777777" w:rsidR="00634B95" w:rsidRDefault="00634B95" w:rsidP="007715A2">
      <w:pPr>
        <w:rPr>
          <w:rFonts w:eastAsia="Times New Roman"/>
        </w:rPr>
      </w:pPr>
    </w:p>
    <w:p w14:paraId="5D1078C1" w14:textId="77777777" w:rsidR="00634B95" w:rsidRDefault="00634B95" w:rsidP="007715A2">
      <w:pPr>
        <w:rPr>
          <w:rFonts w:eastAsia="Times New Roman"/>
        </w:rPr>
      </w:pPr>
    </w:p>
    <w:p w14:paraId="72F93F15" w14:textId="77777777" w:rsidR="00634B95" w:rsidRDefault="00634B95" w:rsidP="007715A2">
      <w:pPr>
        <w:rPr>
          <w:rFonts w:eastAsia="Times New Roman"/>
        </w:rPr>
      </w:pPr>
    </w:p>
    <w:p w14:paraId="1B6DD6CA" w14:textId="77777777" w:rsidR="00634B95" w:rsidRDefault="00634B95" w:rsidP="007715A2">
      <w:pPr>
        <w:rPr>
          <w:rFonts w:eastAsia="Times New Roman"/>
        </w:rPr>
      </w:pPr>
    </w:p>
    <w:p w14:paraId="273EEBCA" w14:textId="77777777" w:rsidR="00634B95" w:rsidRDefault="00634B95" w:rsidP="007715A2">
      <w:pPr>
        <w:rPr>
          <w:rFonts w:eastAsia="Times New Roman"/>
        </w:rPr>
      </w:pPr>
    </w:p>
    <w:p w14:paraId="78A1097D" w14:textId="77777777" w:rsidR="00634B95" w:rsidRDefault="00634B95" w:rsidP="007715A2">
      <w:pPr>
        <w:rPr>
          <w:rFonts w:eastAsia="Times New Roman"/>
        </w:rPr>
      </w:pPr>
    </w:p>
    <w:p w14:paraId="7BE9FFB5" w14:textId="77777777" w:rsidR="00634B95" w:rsidRDefault="00634B95" w:rsidP="007715A2">
      <w:pPr>
        <w:rPr>
          <w:rFonts w:eastAsia="Times New Roman"/>
        </w:rPr>
      </w:pPr>
    </w:p>
    <w:p w14:paraId="3A9D1FDA" w14:textId="77777777" w:rsidR="00634B95" w:rsidRDefault="00634B95" w:rsidP="007715A2">
      <w:pPr>
        <w:rPr>
          <w:rFonts w:eastAsia="Times New Roman"/>
        </w:rPr>
      </w:pPr>
    </w:p>
    <w:p w14:paraId="61E67AD4" w14:textId="77777777" w:rsidR="00634B95" w:rsidRDefault="00634B95" w:rsidP="007715A2">
      <w:pPr>
        <w:rPr>
          <w:rFonts w:eastAsia="Times New Roman"/>
        </w:rPr>
      </w:pPr>
    </w:p>
    <w:p w14:paraId="28FB0F69" w14:textId="77777777" w:rsidR="00634B95" w:rsidRDefault="00634B95" w:rsidP="007715A2">
      <w:pPr>
        <w:rPr>
          <w:rFonts w:eastAsia="Times New Roman"/>
        </w:rPr>
      </w:pPr>
    </w:p>
    <w:p w14:paraId="667AD00B" w14:textId="77777777" w:rsidR="00634B95" w:rsidRDefault="00634B95" w:rsidP="007715A2">
      <w:pPr>
        <w:rPr>
          <w:rFonts w:eastAsia="Times New Roman"/>
        </w:rPr>
      </w:pPr>
    </w:p>
    <w:p w14:paraId="697628D5" w14:textId="77777777" w:rsidR="00634B95" w:rsidRDefault="00634B95" w:rsidP="007715A2">
      <w:pPr>
        <w:rPr>
          <w:rFonts w:eastAsia="Times New Roman"/>
        </w:rPr>
      </w:pPr>
    </w:p>
    <w:p w14:paraId="04F7A013" w14:textId="77777777" w:rsidR="00634B95" w:rsidRDefault="00634B95" w:rsidP="007715A2">
      <w:pPr>
        <w:rPr>
          <w:rFonts w:eastAsia="Times New Roman"/>
        </w:rPr>
      </w:pPr>
    </w:p>
    <w:p w14:paraId="5610172B" w14:textId="77777777" w:rsidR="00634B95" w:rsidRDefault="00634B95" w:rsidP="007715A2">
      <w:pPr>
        <w:rPr>
          <w:rFonts w:eastAsia="Times New Roman"/>
        </w:rPr>
      </w:pPr>
    </w:p>
    <w:p w14:paraId="6C0AC116" w14:textId="77777777" w:rsidR="00634B95" w:rsidRDefault="00634B95" w:rsidP="007715A2">
      <w:pPr>
        <w:rPr>
          <w:rFonts w:eastAsia="Times New Roman"/>
        </w:rPr>
      </w:pPr>
    </w:p>
    <w:p w14:paraId="1E284112" w14:textId="77777777" w:rsidR="00634B95" w:rsidRDefault="00634B95" w:rsidP="007715A2">
      <w:pPr>
        <w:rPr>
          <w:rFonts w:eastAsia="Times New Roman"/>
        </w:rPr>
      </w:pPr>
    </w:p>
    <w:p w14:paraId="1EEE3048" w14:textId="77777777" w:rsidR="00634B95" w:rsidRDefault="00634B95" w:rsidP="007715A2">
      <w:pPr>
        <w:rPr>
          <w:rFonts w:eastAsia="Times New Roman"/>
        </w:rPr>
      </w:pPr>
    </w:p>
    <w:p w14:paraId="064C0E9B" w14:textId="77777777" w:rsidR="00634B95" w:rsidRDefault="00634B95" w:rsidP="007715A2">
      <w:pPr>
        <w:rPr>
          <w:rFonts w:eastAsia="Times New Roman"/>
        </w:rPr>
      </w:pPr>
    </w:p>
    <w:p w14:paraId="57D497C8" w14:textId="495D0565" w:rsidR="00634B95" w:rsidRDefault="002D1599" w:rsidP="00E35E1A">
      <w:pPr>
        <w:pStyle w:val="Heading1"/>
        <w:numPr>
          <w:ilvl w:val="0"/>
          <w:numId w:val="0"/>
        </w:numPr>
      </w:pPr>
      <w:bookmarkStart w:id="17" w:name="_Toc214572003"/>
      <w:r>
        <w:lastRenderedPageBreak/>
        <w:t>5.0 Conclusion and Suggestion</w:t>
      </w:r>
      <w:r w:rsidR="00E35E1A">
        <w:t>s For Further Work/Research</w:t>
      </w:r>
      <w:bookmarkEnd w:id="17"/>
      <w:r w:rsidR="00E35E1A">
        <w:t xml:space="preserve"> </w:t>
      </w:r>
    </w:p>
    <w:p w14:paraId="2775A8FB" w14:textId="60633FD6" w:rsidR="00680577" w:rsidRDefault="00680577" w:rsidP="00AD5DE4">
      <w:pPr>
        <w:spacing w:line="360" w:lineRule="auto"/>
        <w:rPr>
          <w:rFonts w:eastAsia="Times New Roman"/>
        </w:rPr>
      </w:pPr>
      <w:r>
        <w:rPr>
          <w:rFonts w:eastAsia="Times New Roman"/>
        </w:rPr>
        <w:t>The analysis conducted throughout this report highlights that the MOVICOL international supply chain is a complex, tightly interconnected network that is vulnerable to disruptions at multiple points. Pharmaceutical supply chains operate under stricter regulatory, quality, and safety standards than most other industries, meaning that even minor deviations can trigger cascading operational failures (</w:t>
      </w:r>
      <w:proofErr w:type="spellStart"/>
      <w:r>
        <w:rPr>
          <w:rFonts w:eastAsia="Times New Roman"/>
        </w:rPr>
        <w:t>Jüttner</w:t>
      </w:r>
      <w:proofErr w:type="spellEnd"/>
      <w:r>
        <w:rPr>
          <w:rFonts w:eastAsia="Times New Roman"/>
        </w:rPr>
        <w:t xml:space="preserve">, 2005). This structural fragility is reinforced by global volatility, geopolitical instability, and increasing digital threats, all of which are widely documented in contemporary supply chain research (WEF, 2023; </w:t>
      </w:r>
      <w:proofErr w:type="spellStart"/>
      <w:r>
        <w:rPr>
          <w:rFonts w:eastAsia="Times New Roman"/>
        </w:rPr>
        <w:t>Sheffi</w:t>
      </w:r>
      <w:proofErr w:type="spellEnd"/>
      <w:r>
        <w:rPr>
          <w:rFonts w:eastAsia="Times New Roman"/>
        </w:rPr>
        <w:t>, 2007). Consequently, MOVICOL serves as a valuable case study of the broader challenges faced within modern pharmaceutical supply networks.</w:t>
      </w:r>
    </w:p>
    <w:p w14:paraId="46E3695F" w14:textId="1FDCC0CF" w:rsidR="00680577" w:rsidRDefault="00680577" w:rsidP="00AD5DE4">
      <w:pPr>
        <w:spacing w:line="360" w:lineRule="auto"/>
        <w:rPr>
          <w:rFonts w:eastAsia="Times New Roman"/>
        </w:rPr>
      </w:pPr>
      <w:r>
        <w:rPr>
          <w:rFonts w:eastAsia="Times New Roman"/>
        </w:rPr>
        <w:t xml:space="preserve">The FMEA analysis identified several high-priority vulnerabilities. The most critical risks involved upstream API procurement (SC-01), international logistics delays (SC-05), wholesaler forecasting inaccuracies (SC-06), supplier financial instability (SC-08), and cyber-security weaknesses across ERP systems (SC-10). These findings align with global research showing that upstream supply concentration, logistics complexity, and digital fragility are leading risk factors across pharmaceutical and healthcare supply chains (Goldbeck and </w:t>
      </w:r>
      <w:proofErr w:type="spellStart"/>
      <w:r>
        <w:rPr>
          <w:rFonts w:eastAsia="Times New Roman"/>
        </w:rPr>
        <w:t>Seuring</w:t>
      </w:r>
      <w:proofErr w:type="spellEnd"/>
      <w:r>
        <w:rPr>
          <w:rFonts w:eastAsia="Times New Roman"/>
        </w:rPr>
        <w:t>, 2016; Ivanov, 2021; Golan, Jernegan and Linkov, 2020). Notably, many of these vulnerabilities have been linked to real-world disruptions experienced recently—such as Brexit-related customs issues, energy market volatility, and rising ransomware attacks on pharmaceutical manufacturers (Handfield, Graham and Burns, 2020). This validates the accuracy and relevance of the FMEA outcomes.</w:t>
      </w:r>
    </w:p>
    <w:p w14:paraId="455327F2" w14:textId="203AEAF9" w:rsidR="00680577" w:rsidRDefault="00680577" w:rsidP="00AD5DE4">
      <w:pPr>
        <w:spacing w:line="360" w:lineRule="auto"/>
        <w:rPr>
          <w:rFonts w:eastAsia="Times New Roman"/>
        </w:rPr>
      </w:pPr>
      <w:r>
        <w:rPr>
          <w:rFonts w:eastAsia="Times New Roman"/>
        </w:rPr>
        <w:t>The six resilience strategies proposed in this report</w:t>
      </w:r>
      <w:r w:rsidR="00306268">
        <w:rPr>
          <w:rFonts w:eastAsia="Times New Roman"/>
        </w:rPr>
        <w:t xml:space="preserve">; </w:t>
      </w:r>
      <w:r>
        <w:rPr>
          <w:rFonts w:eastAsia="Times New Roman"/>
        </w:rPr>
        <w:t>supplier diversification, manufacturing redundancy, logistics flexibility, digital quality transformation, advanced forecasting capabilities, and enhanced end-to-end digital visibility</w:t>
      </w:r>
      <w:r w:rsidR="00306268">
        <w:rPr>
          <w:rFonts w:eastAsia="Times New Roman"/>
        </w:rPr>
        <w:t xml:space="preserve">, </w:t>
      </w:r>
      <w:r>
        <w:rPr>
          <w:rFonts w:eastAsia="Times New Roman"/>
        </w:rPr>
        <w:t xml:space="preserve">together offer a strong foundation for improving MOVICOL’s resilience. Academic research consistently indicates that resilience is most effective when implemented as a systemic, multi-layered capability rather than as isolated actions (Pettit, Croxton and </w:t>
      </w:r>
      <w:proofErr w:type="spellStart"/>
      <w:r>
        <w:rPr>
          <w:rFonts w:eastAsia="Times New Roman"/>
        </w:rPr>
        <w:t>Fiksel</w:t>
      </w:r>
      <w:proofErr w:type="spellEnd"/>
      <w:r>
        <w:rPr>
          <w:rFonts w:eastAsia="Times New Roman"/>
        </w:rPr>
        <w:t>, 2019; Christopher, 2016). For example, supplier diversification should be supported by improved visibility tools, while digitalisation must be accompanied by cybersecurity measures. This aligns with the “capabilities and enablers” framework by Pettit et al. (2019), which highlights agility, flexibility, redundancy, and collaboration as central components of resilient supply networks.</w:t>
      </w:r>
    </w:p>
    <w:p w14:paraId="6286D1C8" w14:textId="05AF7EAC" w:rsidR="00680577" w:rsidRDefault="00680577" w:rsidP="00AD5DE4">
      <w:pPr>
        <w:spacing w:line="360" w:lineRule="auto"/>
        <w:rPr>
          <w:rFonts w:eastAsia="Times New Roman"/>
        </w:rPr>
      </w:pPr>
      <w:r>
        <w:rPr>
          <w:rFonts w:eastAsia="Times New Roman"/>
        </w:rPr>
        <w:t xml:space="preserve">Another key conclusion from this analysis is that resilience should be regarded as a dynamic organisational capability. The regulatory environment in which MOVICOL operates continues to evolve, particularly with the growing divergence between EMA and MHRA requirements following Brexit (OECD, 2022). Global material markets are becoming increasingly unstable, </w:t>
      </w:r>
      <w:r>
        <w:rPr>
          <w:rFonts w:eastAsia="Times New Roman"/>
        </w:rPr>
        <w:lastRenderedPageBreak/>
        <w:t>and transportation networks are still experiencing congestion and capacity constraints (WEF, 2022). Therefore, resilience must be reinforced through continuous monitoring, proactive risk assessment, and adaptive decision-making processes, rather than one-off interventions.</w:t>
      </w:r>
    </w:p>
    <w:p w14:paraId="6957B39F" w14:textId="518BBF9A" w:rsidR="00680577" w:rsidRDefault="00680577" w:rsidP="00AD5DE4">
      <w:pPr>
        <w:spacing w:line="360" w:lineRule="auto"/>
        <w:rPr>
          <w:rFonts w:eastAsia="Times New Roman"/>
        </w:rPr>
      </w:pPr>
      <w:r>
        <w:rPr>
          <w:rFonts w:eastAsia="Times New Roman"/>
        </w:rPr>
        <w:t>Digital transformation is one of the most promising avenues to strengthen pharmaceutical supply chain resilience in the future. The move towards electronic batch records, digital QMS platforms, and automated deviation workflows has already resulted in significant reductions in QC bottlenecks at leading organisations such as GSK and Novartis (Scholten and Schilder, 2015). Predictive analytics and digital twins for supply chains—now widely adopted in advanced manufacturing sectors</w:t>
      </w:r>
      <w:r w:rsidR="00A31671">
        <w:rPr>
          <w:rFonts w:eastAsia="Times New Roman"/>
        </w:rPr>
        <w:t xml:space="preserve">, </w:t>
      </w:r>
      <w:r>
        <w:rPr>
          <w:rFonts w:eastAsia="Times New Roman"/>
        </w:rPr>
        <w:t xml:space="preserve">allow scenario simulations such as supplier failure, transport disruptions, regulatory changes, or sudden demand surges (Ivanov and Dolgui, 2020). These tools enable </w:t>
      </w:r>
      <w:proofErr w:type="spellStart"/>
      <w:r>
        <w:rPr>
          <w:rFonts w:eastAsia="Times New Roman"/>
        </w:rPr>
        <w:t>Norgine</w:t>
      </w:r>
      <w:proofErr w:type="spellEnd"/>
      <w:r>
        <w:rPr>
          <w:rFonts w:eastAsia="Times New Roman"/>
        </w:rPr>
        <w:t xml:space="preserve"> to identify risks and evaluate contingency plans proactively, with minimal disruption to operations.</w:t>
      </w:r>
    </w:p>
    <w:p w14:paraId="265E182D" w14:textId="4E479B1B" w:rsidR="00680577" w:rsidRDefault="00680577" w:rsidP="00AD5DE4">
      <w:pPr>
        <w:spacing w:line="360" w:lineRule="auto"/>
        <w:rPr>
          <w:rFonts w:eastAsia="Times New Roman"/>
        </w:rPr>
      </w:pPr>
      <w:r>
        <w:rPr>
          <w:rFonts w:eastAsia="Times New Roman"/>
        </w:rPr>
        <w:t>Several gaps remain, presenting opportunities for future research. One crucial area concerns the integration of sustainability and decarbonisation requirements into pharmaceutical logistics. As global regulatory bodies expand environmental compliance frameworks, companies will need to assess and optimise activities that are both carbon-intensive and supply critical medicines (NASEM, 2021). Further investigation is needed into how MOVICOL could redesign its supply routes, warehousing footprint, and sourcing strategies to minimise environmental impact while maintaining compliance and service standards.</w:t>
      </w:r>
    </w:p>
    <w:p w14:paraId="2A12FCB3" w14:textId="5A5095E0" w:rsidR="00680577" w:rsidRDefault="00680577" w:rsidP="00AD5DE4">
      <w:pPr>
        <w:spacing w:line="360" w:lineRule="auto"/>
        <w:rPr>
          <w:rFonts w:eastAsia="Times New Roman"/>
        </w:rPr>
      </w:pPr>
      <w:r>
        <w:rPr>
          <w:rFonts w:eastAsia="Times New Roman"/>
        </w:rPr>
        <w:t>Another emerging topic is machine-learning-based regulatory intelligence. Divergences between global regulatory authorities are widening, yet most organisations still rely on manual monitoring. AI-driven regulatory forecasting tools could provide early alerts about emerging policy changes, allowing organisations to adapt swiftly (Tang and Musa, 2011). Additionally, the potential of blockchain-based traceability systems warrants further exploration. Immutable digital ledgers could boost supply chain transparency, reduce the risk of falsified medicines, and strengthen quality assurance across international markets (Golan, Jernegan and Linkov, 2020).</w:t>
      </w:r>
    </w:p>
    <w:p w14:paraId="4EFE5DCC" w14:textId="25B94507" w:rsidR="00680577" w:rsidRDefault="00680577" w:rsidP="00AD5DE4">
      <w:pPr>
        <w:spacing w:line="360" w:lineRule="auto"/>
        <w:rPr>
          <w:rFonts w:eastAsia="Times New Roman"/>
        </w:rPr>
      </w:pPr>
      <w:r>
        <w:rPr>
          <w:rFonts w:eastAsia="Times New Roman"/>
        </w:rPr>
        <w:t>Finally, the debate between globalisation and regionalisation deserves deeper investigation. Recent literature suggests that shifting towards more regionally integrated supply chains can reduce exposure to global shocks (</w:t>
      </w:r>
      <w:proofErr w:type="spellStart"/>
      <w:r>
        <w:rPr>
          <w:rFonts w:eastAsia="Times New Roman"/>
        </w:rPr>
        <w:t>Klibi</w:t>
      </w:r>
      <w:proofErr w:type="spellEnd"/>
      <w:r>
        <w:rPr>
          <w:rFonts w:eastAsia="Times New Roman"/>
        </w:rPr>
        <w:t xml:space="preserve">, Martel and </w:t>
      </w:r>
      <w:proofErr w:type="spellStart"/>
      <w:r>
        <w:rPr>
          <w:rFonts w:eastAsia="Times New Roman"/>
        </w:rPr>
        <w:t>Guitouni</w:t>
      </w:r>
      <w:proofErr w:type="spellEnd"/>
      <w:r>
        <w:rPr>
          <w:rFonts w:eastAsia="Times New Roman"/>
        </w:rPr>
        <w:t>, 2010). A comparative study of global versus regional production strategies for MOVICOL could reveal trade-offs in cost, service, and risk, informing strategic long-term decisions.</w:t>
      </w:r>
    </w:p>
    <w:p w14:paraId="11AE5506" w14:textId="72B914E3" w:rsidR="009D7A80" w:rsidRDefault="00680577" w:rsidP="00AD5DE4">
      <w:pPr>
        <w:spacing w:line="360" w:lineRule="auto"/>
        <w:rPr>
          <w:rFonts w:eastAsia="Times New Roman"/>
        </w:rPr>
      </w:pPr>
      <w:r>
        <w:rPr>
          <w:rFonts w:eastAsia="Times New Roman"/>
        </w:rPr>
        <w:t xml:space="preserve">In conclusion, MOVICOL’s supply network can significantly boost its resilience through the coordinated deployment of the strategies outlined in this report. However, resilience is not a </w:t>
      </w:r>
      <w:r>
        <w:rPr>
          <w:rFonts w:eastAsia="Times New Roman"/>
        </w:rPr>
        <w:lastRenderedPageBreak/>
        <w:t xml:space="preserve">static goal; it is an evolving organisational capability shaped by regulatory developments, technological progress, and shifting global market conditions. Continuous improvement, predictive risk modelling, digital innovation, and strategic foresight will be essential for </w:t>
      </w:r>
      <w:proofErr w:type="spellStart"/>
      <w:r>
        <w:rPr>
          <w:rFonts w:eastAsia="Times New Roman"/>
        </w:rPr>
        <w:t>Norgine</w:t>
      </w:r>
      <w:proofErr w:type="spellEnd"/>
      <w:r>
        <w:rPr>
          <w:rFonts w:eastAsia="Times New Roman"/>
        </w:rPr>
        <w:t xml:space="preserve"> to sustain an uninterrupted supply of MOVICOL to patients worldwide, even amid increasing uncertainty and complex</w:t>
      </w:r>
      <w:r w:rsidR="00DF7696">
        <w:rPr>
          <w:rFonts w:eastAsia="Times New Roman"/>
        </w:rPr>
        <w:t xml:space="preserve"> operating</w:t>
      </w:r>
      <w:r w:rsidR="009D7A80">
        <w:rPr>
          <w:rFonts w:eastAsia="Times New Roman"/>
        </w:rPr>
        <w:t xml:space="preserve"> environment.</w:t>
      </w:r>
    </w:p>
    <w:p w14:paraId="1932DDA2" w14:textId="77777777" w:rsidR="001E2491" w:rsidRDefault="001E2491" w:rsidP="00AD5DE4">
      <w:pPr>
        <w:spacing w:line="360" w:lineRule="auto"/>
        <w:rPr>
          <w:rFonts w:eastAsia="Times New Roman"/>
        </w:rPr>
      </w:pPr>
    </w:p>
    <w:p w14:paraId="2E18BB0D" w14:textId="77777777" w:rsidR="001E2491" w:rsidRDefault="001E2491" w:rsidP="00AD5DE4">
      <w:pPr>
        <w:spacing w:line="360" w:lineRule="auto"/>
        <w:rPr>
          <w:rFonts w:eastAsia="Times New Roman"/>
        </w:rPr>
      </w:pPr>
    </w:p>
    <w:p w14:paraId="17AF32BB" w14:textId="77777777" w:rsidR="001E2491" w:rsidRDefault="001E2491" w:rsidP="00AD5DE4">
      <w:pPr>
        <w:spacing w:line="360" w:lineRule="auto"/>
        <w:rPr>
          <w:rFonts w:eastAsia="Times New Roman"/>
        </w:rPr>
      </w:pPr>
    </w:p>
    <w:p w14:paraId="46D556C7" w14:textId="77777777" w:rsidR="001E2491" w:rsidRDefault="001E2491" w:rsidP="00AD5DE4">
      <w:pPr>
        <w:spacing w:line="360" w:lineRule="auto"/>
        <w:rPr>
          <w:rFonts w:eastAsia="Times New Roman"/>
        </w:rPr>
      </w:pPr>
    </w:p>
    <w:p w14:paraId="15A33CD7" w14:textId="77777777" w:rsidR="001E2491" w:rsidRDefault="001E2491" w:rsidP="00AD5DE4">
      <w:pPr>
        <w:spacing w:line="360" w:lineRule="auto"/>
        <w:rPr>
          <w:rFonts w:eastAsia="Times New Roman"/>
        </w:rPr>
      </w:pPr>
    </w:p>
    <w:p w14:paraId="6987AF67" w14:textId="77777777" w:rsidR="001E2491" w:rsidRDefault="001E2491" w:rsidP="00AD5DE4">
      <w:pPr>
        <w:spacing w:line="360" w:lineRule="auto"/>
        <w:rPr>
          <w:rFonts w:eastAsia="Times New Roman"/>
        </w:rPr>
      </w:pPr>
    </w:p>
    <w:p w14:paraId="456232E6" w14:textId="77777777" w:rsidR="001E2491" w:rsidRDefault="001E2491" w:rsidP="00AD5DE4">
      <w:pPr>
        <w:spacing w:line="360" w:lineRule="auto"/>
        <w:rPr>
          <w:rFonts w:eastAsia="Times New Roman"/>
        </w:rPr>
      </w:pPr>
    </w:p>
    <w:p w14:paraId="47E86847" w14:textId="77777777" w:rsidR="001E2491" w:rsidRDefault="001E2491" w:rsidP="00AD5DE4">
      <w:pPr>
        <w:spacing w:line="360" w:lineRule="auto"/>
        <w:rPr>
          <w:rFonts w:eastAsia="Times New Roman"/>
        </w:rPr>
      </w:pPr>
    </w:p>
    <w:p w14:paraId="11E4A4DF" w14:textId="77777777" w:rsidR="001E2491" w:rsidRDefault="001E2491" w:rsidP="00AD5DE4">
      <w:pPr>
        <w:spacing w:line="360" w:lineRule="auto"/>
        <w:rPr>
          <w:rFonts w:eastAsia="Times New Roman"/>
        </w:rPr>
      </w:pPr>
    </w:p>
    <w:p w14:paraId="099F6F11" w14:textId="77777777" w:rsidR="001E2491" w:rsidRDefault="001E2491" w:rsidP="00AD5DE4">
      <w:pPr>
        <w:spacing w:line="360" w:lineRule="auto"/>
        <w:rPr>
          <w:rFonts w:eastAsia="Times New Roman"/>
        </w:rPr>
      </w:pPr>
    </w:p>
    <w:p w14:paraId="490DCC9D" w14:textId="77777777" w:rsidR="001E2491" w:rsidRDefault="001E2491" w:rsidP="00AD5DE4">
      <w:pPr>
        <w:spacing w:line="360" w:lineRule="auto"/>
        <w:rPr>
          <w:rFonts w:eastAsia="Times New Roman"/>
        </w:rPr>
      </w:pPr>
    </w:p>
    <w:p w14:paraId="1CC032EE" w14:textId="77777777" w:rsidR="001E2491" w:rsidRDefault="001E2491" w:rsidP="00AD5DE4">
      <w:pPr>
        <w:spacing w:line="360" w:lineRule="auto"/>
        <w:rPr>
          <w:rFonts w:eastAsia="Times New Roman"/>
        </w:rPr>
      </w:pPr>
    </w:p>
    <w:p w14:paraId="709845E4" w14:textId="77777777" w:rsidR="001E2491" w:rsidRDefault="001E2491" w:rsidP="00AD5DE4">
      <w:pPr>
        <w:spacing w:line="360" w:lineRule="auto"/>
        <w:rPr>
          <w:rFonts w:eastAsia="Times New Roman"/>
        </w:rPr>
      </w:pPr>
    </w:p>
    <w:p w14:paraId="458B3943" w14:textId="77777777" w:rsidR="001E2491" w:rsidRDefault="001E2491" w:rsidP="00AD5DE4">
      <w:pPr>
        <w:spacing w:line="360" w:lineRule="auto"/>
        <w:rPr>
          <w:rFonts w:eastAsia="Times New Roman"/>
        </w:rPr>
      </w:pPr>
    </w:p>
    <w:p w14:paraId="420EB1FB" w14:textId="77777777" w:rsidR="001E2491" w:rsidRDefault="001E2491" w:rsidP="00AD5DE4">
      <w:pPr>
        <w:spacing w:line="360" w:lineRule="auto"/>
        <w:rPr>
          <w:rFonts w:eastAsia="Times New Roman"/>
        </w:rPr>
      </w:pPr>
    </w:p>
    <w:p w14:paraId="3C322F28" w14:textId="77777777" w:rsidR="001E2491" w:rsidRDefault="001E2491" w:rsidP="00AD5DE4">
      <w:pPr>
        <w:spacing w:line="360" w:lineRule="auto"/>
        <w:rPr>
          <w:rFonts w:eastAsia="Times New Roman"/>
        </w:rPr>
      </w:pPr>
    </w:p>
    <w:p w14:paraId="1FEC385D" w14:textId="77777777" w:rsidR="001E2491" w:rsidRDefault="001E2491" w:rsidP="00AD5DE4">
      <w:pPr>
        <w:spacing w:line="360" w:lineRule="auto"/>
        <w:rPr>
          <w:rFonts w:eastAsia="Times New Roman"/>
        </w:rPr>
      </w:pPr>
    </w:p>
    <w:p w14:paraId="29C55CF9" w14:textId="77777777" w:rsidR="001E2491" w:rsidRDefault="001E2491" w:rsidP="00AD5DE4">
      <w:pPr>
        <w:spacing w:line="360" w:lineRule="auto"/>
        <w:rPr>
          <w:rFonts w:eastAsia="Times New Roman"/>
        </w:rPr>
      </w:pPr>
    </w:p>
    <w:p w14:paraId="11F90419" w14:textId="77777777" w:rsidR="001E2491" w:rsidRDefault="001E2491" w:rsidP="00AD5DE4">
      <w:pPr>
        <w:spacing w:line="360" w:lineRule="auto"/>
        <w:rPr>
          <w:rFonts w:eastAsia="Times New Roman"/>
        </w:rPr>
      </w:pPr>
    </w:p>
    <w:p w14:paraId="513AD0B9" w14:textId="77777777" w:rsidR="001E2491" w:rsidRDefault="001E2491" w:rsidP="00AD5DE4">
      <w:pPr>
        <w:spacing w:line="360" w:lineRule="auto"/>
        <w:rPr>
          <w:rFonts w:eastAsia="Times New Roman"/>
        </w:rPr>
      </w:pPr>
    </w:p>
    <w:p w14:paraId="649CEF86" w14:textId="77777777" w:rsidR="001E2491" w:rsidRDefault="001E2491" w:rsidP="00AD5DE4">
      <w:pPr>
        <w:spacing w:line="360" w:lineRule="auto"/>
        <w:rPr>
          <w:rFonts w:eastAsia="Times New Roman"/>
        </w:rPr>
      </w:pPr>
    </w:p>
    <w:p w14:paraId="1F82053D" w14:textId="77777777" w:rsidR="001E2491" w:rsidRDefault="001E2491" w:rsidP="00AD5DE4">
      <w:pPr>
        <w:spacing w:line="360" w:lineRule="auto"/>
        <w:rPr>
          <w:rFonts w:eastAsia="Times New Roman"/>
        </w:rPr>
      </w:pPr>
    </w:p>
    <w:p w14:paraId="3B4C413D" w14:textId="215B785B" w:rsidR="001E2491" w:rsidRDefault="0089192F" w:rsidP="0089192F">
      <w:pPr>
        <w:pStyle w:val="Heading1"/>
        <w:numPr>
          <w:ilvl w:val="0"/>
          <w:numId w:val="0"/>
        </w:numPr>
        <w:rPr>
          <w:rFonts w:eastAsia="Times New Roman"/>
        </w:rPr>
      </w:pPr>
      <w:bookmarkStart w:id="18" w:name="_Toc214572004"/>
      <w:r>
        <w:rPr>
          <w:rFonts w:eastAsia="Times New Roman"/>
        </w:rPr>
        <w:lastRenderedPageBreak/>
        <w:t>6.0 References</w:t>
      </w:r>
      <w:bookmarkEnd w:id="18"/>
      <w:r>
        <w:rPr>
          <w:rFonts w:eastAsia="Times New Roman"/>
        </w:rPr>
        <w:t xml:space="preserve"> </w:t>
      </w:r>
    </w:p>
    <w:p w14:paraId="5B721D6F" w14:textId="052A7AEB" w:rsidR="00C028A0" w:rsidRPr="00085299" w:rsidRDefault="00C028A0" w:rsidP="003B7BF1">
      <w:pPr>
        <w:spacing w:line="360" w:lineRule="auto"/>
        <w:rPr>
          <w:rFonts w:ascii="Aptos" w:eastAsia="Times New Roman" w:hAnsi="Aptos" w:cs="Aptos"/>
          <w:sz w:val="24"/>
          <w:szCs w:val="24"/>
        </w:rPr>
      </w:pPr>
      <w:r>
        <w:rPr>
          <w:rFonts w:eastAsia="Times New Roman"/>
        </w:rPr>
        <w:t>Blackhurst, J., Dunn, K.S. and Craighead, C.W. (2011) ‘An empirically derived framework of global supply resiliency’, Journal of Business Logistics, 32(4), pp. 374–391.</w:t>
      </w:r>
    </w:p>
    <w:p w14:paraId="061B97F3" w14:textId="02E4234A" w:rsidR="00C028A0" w:rsidRDefault="00C028A0" w:rsidP="003B7BF1">
      <w:pPr>
        <w:spacing w:line="360" w:lineRule="auto"/>
        <w:rPr>
          <w:rFonts w:eastAsia="Times New Roman"/>
        </w:rPr>
      </w:pPr>
      <w:r>
        <w:rPr>
          <w:rFonts w:eastAsia="Times New Roman"/>
        </w:rPr>
        <w:t xml:space="preserve">Christopher, M. (2016) Logistics and Supply Chain Management. 6th </w:t>
      </w:r>
      <w:proofErr w:type="spellStart"/>
      <w:r>
        <w:rPr>
          <w:rFonts w:eastAsia="Times New Roman"/>
        </w:rPr>
        <w:t>edn</w:t>
      </w:r>
      <w:proofErr w:type="spellEnd"/>
      <w:r>
        <w:rPr>
          <w:rFonts w:eastAsia="Times New Roman"/>
        </w:rPr>
        <w:t>. Harlow: Pearson.</w:t>
      </w:r>
    </w:p>
    <w:p w14:paraId="17E167E5" w14:textId="76BAB04B" w:rsidR="00C028A0" w:rsidRDefault="00C028A0" w:rsidP="003B7BF1">
      <w:pPr>
        <w:spacing w:line="360" w:lineRule="auto"/>
        <w:rPr>
          <w:rFonts w:eastAsia="Times New Roman"/>
        </w:rPr>
      </w:pPr>
      <w:r>
        <w:rPr>
          <w:rFonts w:eastAsia="Times New Roman"/>
        </w:rPr>
        <w:t xml:space="preserve">Craighead, C.W., Blackhurst, J., </w:t>
      </w:r>
      <w:proofErr w:type="spellStart"/>
      <w:r>
        <w:rPr>
          <w:rFonts w:eastAsia="Times New Roman"/>
        </w:rPr>
        <w:t>Rungtusanatham</w:t>
      </w:r>
      <w:proofErr w:type="spellEnd"/>
      <w:r>
        <w:rPr>
          <w:rFonts w:eastAsia="Times New Roman"/>
        </w:rPr>
        <w:t>, M.J. and Handfield, R.B. (2007) ‘The severity of supply chain disruptions: Design characteristics and mitigation capabilities’, Decision Sciences, 38(1), pp. 131–156.</w:t>
      </w:r>
    </w:p>
    <w:p w14:paraId="7805C2B8" w14:textId="06A1DD85" w:rsidR="00C028A0" w:rsidRDefault="00C028A0" w:rsidP="003B7BF1">
      <w:pPr>
        <w:spacing w:line="360" w:lineRule="auto"/>
        <w:rPr>
          <w:rFonts w:eastAsia="Times New Roman"/>
        </w:rPr>
      </w:pPr>
      <w:proofErr w:type="spellStart"/>
      <w:r>
        <w:rPr>
          <w:rFonts w:eastAsia="Times New Roman"/>
        </w:rPr>
        <w:t>Dolgui</w:t>
      </w:r>
      <w:proofErr w:type="spellEnd"/>
      <w:r>
        <w:rPr>
          <w:rFonts w:eastAsia="Times New Roman"/>
        </w:rPr>
        <w:t>, A. and Ivanov, D. (2022) ‘Ripple effect and supply chain resilience: Research review and future directions’, Omega, 109, 102585.</w:t>
      </w:r>
    </w:p>
    <w:p w14:paraId="3AEA0543" w14:textId="036918DE" w:rsidR="00C028A0" w:rsidRDefault="00C028A0" w:rsidP="003B7BF1">
      <w:pPr>
        <w:spacing w:line="360" w:lineRule="auto"/>
        <w:rPr>
          <w:rFonts w:eastAsia="Times New Roman"/>
        </w:rPr>
      </w:pPr>
      <w:r>
        <w:rPr>
          <w:rFonts w:eastAsia="Times New Roman"/>
        </w:rPr>
        <w:t xml:space="preserve">Golan, M.S., Jernegan, L.H. and Linkov, I. (2020) ‘Trends and applications of resilience analytics in supply chain </w:t>
      </w:r>
      <w:proofErr w:type="spellStart"/>
      <w:r>
        <w:rPr>
          <w:rFonts w:eastAsia="Times New Roman"/>
        </w:rPr>
        <w:t>modeling</w:t>
      </w:r>
      <w:proofErr w:type="spellEnd"/>
      <w:r>
        <w:rPr>
          <w:rFonts w:eastAsia="Times New Roman"/>
        </w:rPr>
        <w:t>’, Environment Systems and Decisions, 40, pp. 222–243.</w:t>
      </w:r>
    </w:p>
    <w:p w14:paraId="16E882B6" w14:textId="0DCA8DC9" w:rsidR="00C028A0" w:rsidRDefault="00C028A0" w:rsidP="003B7BF1">
      <w:pPr>
        <w:spacing w:line="360" w:lineRule="auto"/>
        <w:rPr>
          <w:rFonts w:eastAsia="Times New Roman"/>
        </w:rPr>
      </w:pPr>
      <w:r>
        <w:rPr>
          <w:rFonts w:eastAsia="Times New Roman"/>
        </w:rPr>
        <w:t xml:space="preserve">Goldbeck, N. and </w:t>
      </w:r>
      <w:proofErr w:type="spellStart"/>
      <w:r>
        <w:rPr>
          <w:rFonts w:eastAsia="Times New Roman"/>
        </w:rPr>
        <w:t>Seuring</w:t>
      </w:r>
      <w:proofErr w:type="spellEnd"/>
      <w:r>
        <w:rPr>
          <w:rFonts w:eastAsia="Times New Roman"/>
        </w:rPr>
        <w:t>, S. (2016) ‘Supply chain resilience in the pharmaceutical industry: A qualitative approach’, Journal of Purchasing and Supply Management, 22(3), pp. 180–192.</w:t>
      </w:r>
    </w:p>
    <w:p w14:paraId="0A01C193" w14:textId="1B4E0D03" w:rsidR="00C028A0" w:rsidRDefault="00C028A0" w:rsidP="003B7BF1">
      <w:pPr>
        <w:spacing w:line="360" w:lineRule="auto"/>
        <w:rPr>
          <w:rFonts w:eastAsia="Times New Roman"/>
        </w:rPr>
      </w:pPr>
      <w:r>
        <w:rPr>
          <w:rFonts w:eastAsia="Times New Roman"/>
        </w:rPr>
        <w:t>Handfield, R.B., Graham, G. and Burns, L. (2020) ‘Coronavirus and global supply chain disruption: A firm-level analysis’, Journal of Supply Chain Management, 56(1), pp. 19–38.</w:t>
      </w:r>
    </w:p>
    <w:p w14:paraId="467ECACE" w14:textId="3BD7DDC8" w:rsidR="00C028A0" w:rsidRDefault="00C028A0" w:rsidP="003B7BF1">
      <w:pPr>
        <w:spacing w:line="360" w:lineRule="auto"/>
        <w:rPr>
          <w:rFonts w:eastAsia="Times New Roman"/>
        </w:rPr>
      </w:pPr>
      <w:r>
        <w:rPr>
          <w:rFonts w:eastAsia="Times New Roman"/>
        </w:rPr>
        <w:t>Ivanov, D. (2021) ‘Lean–resilient duality in the context of COVID-19: A pandemic-focused review’, International Journal of Production Research, 59(10), pp. 1–17.</w:t>
      </w:r>
    </w:p>
    <w:p w14:paraId="20694E9C" w14:textId="2CF63E14" w:rsidR="00C028A0" w:rsidRDefault="00C028A0" w:rsidP="003B7BF1">
      <w:pPr>
        <w:spacing w:line="360" w:lineRule="auto"/>
        <w:rPr>
          <w:rFonts w:eastAsia="Times New Roman"/>
        </w:rPr>
      </w:pPr>
      <w:r>
        <w:rPr>
          <w:rFonts w:eastAsia="Times New Roman"/>
        </w:rPr>
        <w:t xml:space="preserve">Ivanov, D. and </w:t>
      </w:r>
      <w:proofErr w:type="spellStart"/>
      <w:r>
        <w:rPr>
          <w:rFonts w:eastAsia="Times New Roman"/>
        </w:rPr>
        <w:t>Dolgui</w:t>
      </w:r>
      <w:proofErr w:type="spellEnd"/>
      <w:r>
        <w:rPr>
          <w:rFonts w:eastAsia="Times New Roman"/>
        </w:rPr>
        <w:t>, A. (2020) ‘Viability of intertwined supply networks: Extending the supply chain resilience angles towards survivability’, International Journal of Production Research, 58(10), pp. 2904–2915.</w:t>
      </w:r>
    </w:p>
    <w:p w14:paraId="36D7150E" w14:textId="595E9C4B" w:rsidR="00C028A0" w:rsidRDefault="00C028A0" w:rsidP="003B7BF1">
      <w:pPr>
        <w:spacing w:line="360" w:lineRule="auto"/>
        <w:rPr>
          <w:rFonts w:eastAsia="Times New Roman"/>
        </w:rPr>
      </w:pPr>
      <w:proofErr w:type="spellStart"/>
      <w:r>
        <w:rPr>
          <w:rFonts w:eastAsia="Times New Roman"/>
        </w:rPr>
        <w:t>Jüttner</w:t>
      </w:r>
      <w:proofErr w:type="spellEnd"/>
      <w:r>
        <w:rPr>
          <w:rFonts w:eastAsia="Times New Roman"/>
        </w:rPr>
        <w:t>, U. (2005) ‘Supply chain risk management: Understanding the business requirements from a practitioner perspective’, International Journal of Logistics Management, 16(1), pp. 120–141.</w:t>
      </w:r>
    </w:p>
    <w:p w14:paraId="2827DF19" w14:textId="3344A525" w:rsidR="00C028A0" w:rsidRDefault="00C028A0" w:rsidP="003B7BF1">
      <w:pPr>
        <w:spacing w:line="360" w:lineRule="auto"/>
        <w:rPr>
          <w:rFonts w:eastAsia="Times New Roman"/>
        </w:rPr>
      </w:pPr>
      <w:proofErr w:type="spellStart"/>
      <w:r>
        <w:rPr>
          <w:rFonts w:eastAsia="Times New Roman"/>
        </w:rPr>
        <w:t>Klibi</w:t>
      </w:r>
      <w:proofErr w:type="spellEnd"/>
      <w:r>
        <w:rPr>
          <w:rFonts w:eastAsia="Times New Roman"/>
        </w:rPr>
        <w:t xml:space="preserve">, W., Martel, A. and </w:t>
      </w:r>
      <w:proofErr w:type="spellStart"/>
      <w:r>
        <w:rPr>
          <w:rFonts w:eastAsia="Times New Roman"/>
        </w:rPr>
        <w:t>Guitouni</w:t>
      </w:r>
      <w:proofErr w:type="spellEnd"/>
      <w:r>
        <w:rPr>
          <w:rFonts w:eastAsia="Times New Roman"/>
        </w:rPr>
        <w:t>, A. (2010) ‘The design of robust value-creating supply chain n</w:t>
      </w:r>
      <w:r w:rsidR="00E5719F">
        <w:rPr>
          <w:rFonts w:eastAsia="Times New Roman"/>
        </w:rPr>
        <w:t>e</w:t>
      </w:r>
      <w:r>
        <w:rPr>
          <w:rFonts w:eastAsia="Times New Roman"/>
        </w:rPr>
        <w:t>tworks: A critical review’, OR Spectrum, 32(4), pp. 799–826.</w:t>
      </w:r>
    </w:p>
    <w:p w14:paraId="3D3D0F7A" w14:textId="1AC504EC" w:rsidR="00C028A0" w:rsidRDefault="00C028A0" w:rsidP="003B7BF1">
      <w:pPr>
        <w:spacing w:line="360" w:lineRule="auto"/>
        <w:rPr>
          <w:rFonts w:eastAsia="Times New Roman"/>
        </w:rPr>
      </w:pPr>
      <w:r>
        <w:rPr>
          <w:rFonts w:eastAsia="Times New Roman"/>
        </w:rPr>
        <w:t>NASEM (2021) Building Resilient Pharmaceutical Supply Chains. Washington DC: National Academies Press.</w:t>
      </w:r>
    </w:p>
    <w:p w14:paraId="6F694C71" w14:textId="7D611034" w:rsidR="00C028A0" w:rsidRDefault="00C028A0" w:rsidP="003B7BF1">
      <w:pPr>
        <w:spacing w:line="360" w:lineRule="auto"/>
        <w:rPr>
          <w:rFonts w:eastAsia="Times New Roman"/>
        </w:rPr>
      </w:pPr>
      <w:r>
        <w:rPr>
          <w:rFonts w:eastAsia="Times New Roman"/>
        </w:rPr>
        <w:t>OECD (2022) Pharmaceutical Supply Chain Resilience Report. Paris: OECD Publishing.</w:t>
      </w:r>
    </w:p>
    <w:p w14:paraId="4FC91EEA" w14:textId="58BF700E" w:rsidR="00C028A0" w:rsidRDefault="00C028A0" w:rsidP="003B7BF1">
      <w:pPr>
        <w:spacing w:line="360" w:lineRule="auto"/>
        <w:rPr>
          <w:rFonts w:eastAsia="Times New Roman"/>
        </w:rPr>
      </w:pPr>
      <w:r>
        <w:rPr>
          <w:rFonts w:eastAsia="Times New Roman"/>
        </w:rPr>
        <w:lastRenderedPageBreak/>
        <w:t xml:space="preserve">Pettit, T.J., Croxton, K.L. and </w:t>
      </w:r>
      <w:proofErr w:type="spellStart"/>
      <w:r>
        <w:rPr>
          <w:rFonts w:eastAsia="Times New Roman"/>
        </w:rPr>
        <w:t>Fiksel</w:t>
      </w:r>
      <w:proofErr w:type="spellEnd"/>
      <w:r>
        <w:rPr>
          <w:rFonts w:eastAsia="Times New Roman"/>
        </w:rPr>
        <w:t>, J. (2019) ‘The evolution of resilience in supply chain management: A retrospective on ensuring supply chain resilience’, Journal of Business Logistics, 40(1), pp. 56–65.</w:t>
      </w:r>
    </w:p>
    <w:p w14:paraId="19EA0BCF" w14:textId="5E96C388" w:rsidR="00C028A0" w:rsidRDefault="00C028A0" w:rsidP="003B7BF1">
      <w:pPr>
        <w:spacing w:line="360" w:lineRule="auto"/>
        <w:rPr>
          <w:rFonts w:eastAsia="Times New Roman"/>
        </w:rPr>
      </w:pPr>
      <w:r>
        <w:rPr>
          <w:rFonts w:eastAsia="Times New Roman"/>
        </w:rPr>
        <w:t>Scholten, K. and Schilder, S. (2015) ‘The role of collaboration in supply chain resilience’, Supply Chain Management, 20(4), pp. 471–484.</w:t>
      </w:r>
    </w:p>
    <w:p w14:paraId="517EDF65" w14:textId="09C25E1D" w:rsidR="00C028A0" w:rsidRDefault="00C028A0" w:rsidP="003B7BF1">
      <w:pPr>
        <w:spacing w:line="360" w:lineRule="auto"/>
        <w:rPr>
          <w:rFonts w:eastAsia="Times New Roman"/>
        </w:rPr>
      </w:pPr>
      <w:r>
        <w:rPr>
          <w:rFonts w:eastAsia="Times New Roman"/>
        </w:rPr>
        <w:t>Sheffi, Y. (2007) The Resilient Enterprise: Overcoming Vulnerability for Competitive Advantage. Cambridge, MA: MIT Press.</w:t>
      </w:r>
    </w:p>
    <w:p w14:paraId="259D42F1" w14:textId="60032CAB" w:rsidR="00C028A0" w:rsidRDefault="00C028A0" w:rsidP="003B7BF1">
      <w:pPr>
        <w:spacing w:line="360" w:lineRule="auto"/>
        <w:rPr>
          <w:rFonts w:eastAsia="Times New Roman"/>
        </w:rPr>
      </w:pPr>
      <w:r>
        <w:rPr>
          <w:rFonts w:eastAsia="Times New Roman"/>
        </w:rPr>
        <w:t>Sodhi, M.S. and Lee, S. (2007) ‘An analysis of sources of risk in the supply chain’, Supply Chain Management Review, 11(6), pp. 47–52.</w:t>
      </w:r>
    </w:p>
    <w:p w14:paraId="1B86D745" w14:textId="3A8E5E23" w:rsidR="00C028A0" w:rsidRDefault="00C028A0" w:rsidP="003B7BF1">
      <w:pPr>
        <w:spacing w:line="360" w:lineRule="auto"/>
        <w:rPr>
          <w:rFonts w:eastAsia="Times New Roman"/>
        </w:rPr>
      </w:pPr>
      <w:r>
        <w:rPr>
          <w:rFonts w:eastAsia="Times New Roman"/>
        </w:rPr>
        <w:t>Tang, O. and Musa, S.N. (2011) ‘Identifying risk issues and research advancements in supply chain risk management’, International Journal of Production Economics, 133(1), pp. 25–34.</w:t>
      </w:r>
    </w:p>
    <w:p w14:paraId="70DB1410" w14:textId="6F33CA96" w:rsidR="00C028A0" w:rsidRDefault="00C028A0" w:rsidP="003B7BF1">
      <w:pPr>
        <w:spacing w:line="360" w:lineRule="auto"/>
        <w:rPr>
          <w:rFonts w:eastAsia="Times New Roman"/>
        </w:rPr>
      </w:pPr>
      <w:r>
        <w:rPr>
          <w:rFonts w:eastAsia="Times New Roman"/>
        </w:rPr>
        <w:t>Waters, D. (2011) Supply Chain Risk Management: Vulnerability and Resilience in Logistics. London: Kogan Page.</w:t>
      </w:r>
    </w:p>
    <w:p w14:paraId="7B2C1441" w14:textId="0AC94B86" w:rsidR="00C028A0" w:rsidRDefault="00C028A0" w:rsidP="003B7BF1">
      <w:pPr>
        <w:spacing w:line="360" w:lineRule="auto"/>
        <w:rPr>
          <w:rFonts w:eastAsia="Times New Roman"/>
        </w:rPr>
      </w:pPr>
      <w:r>
        <w:rPr>
          <w:rFonts w:eastAsia="Times New Roman"/>
        </w:rPr>
        <w:t>WEF (2022) Global Supply Chain Barometer. World Economic Forum.</w:t>
      </w:r>
    </w:p>
    <w:p w14:paraId="6511F2E7" w14:textId="77777777" w:rsidR="00C028A0" w:rsidRDefault="00C028A0" w:rsidP="003B7BF1">
      <w:pPr>
        <w:spacing w:line="360" w:lineRule="auto"/>
        <w:rPr>
          <w:rFonts w:eastAsia="Times New Roman"/>
        </w:rPr>
      </w:pPr>
      <w:r>
        <w:rPr>
          <w:rFonts w:eastAsia="Times New Roman"/>
        </w:rPr>
        <w:t>WEF (2023) Global Risks Report. Geneva: World Economic Forum.</w:t>
      </w:r>
    </w:p>
    <w:p w14:paraId="3EABE485" w14:textId="77777777" w:rsidR="009D7A80" w:rsidRPr="009D7A80" w:rsidRDefault="009D7A80" w:rsidP="009D7A80"/>
    <w:sectPr w:rsidR="009D7A80" w:rsidRPr="009D7A80" w:rsidSect="00632C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2591B" w14:textId="77777777" w:rsidR="00632CC0" w:rsidRDefault="00632CC0" w:rsidP="00632CC0">
      <w:pPr>
        <w:spacing w:after="0" w:line="240" w:lineRule="auto"/>
      </w:pPr>
      <w:r>
        <w:separator/>
      </w:r>
    </w:p>
  </w:endnote>
  <w:endnote w:type="continuationSeparator" w:id="0">
    <w:p w14:paraId="0E60D90F" w14:textId="77777777" w:rsidR="00632CC0" w:rsidRDefault="00632CC0" w:rsidP="00632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C1F71" w14:textId="495E4E4D" w:rsidR="00085299" w:rsidRDefault="00085299">
    <w:pPr>
      <w:pStyle w:val="Footer"/>
      <w:pBdr>
        <w:top w:val="single" w:sz="4" w:space="1" w:color="D9D9D9" w:themeColor="background1" w:themeShade="D9"/>
      </w:pBdr>
      <w:jc w:val="right"/>
    </w:pPr>
  </w:p>
  <w:p w14:paraId="564736FA" w14:textId="77777777" w:rsidR="00632CC0" w:rsidRDefault="00632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303E1" w14:textId="77777777" w:rsidR="00632CC0" w:rsidRDefault="00632CC0" w:rsidP="00632CC0">
      <w:pPr>
        <w:spacing w:after="0" w:line="240" w:lineRule="auto"/>
      </w:pPr>
      <w:r>
        <w:separator/>
      </w:r>
    </w:p>
  </w:footnote>
  <w:footnote w:type="continuationSeparator" w:id="0">
    <w:p w14:paraId="15B90A20" w14:textId="77777777" w:rsidR="00632CC0" w:rsidRDefault="00632CC0" w:rsidP="00632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1E980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9EEC42A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C3661A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93B02E3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E62FEA2"/>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F093F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98358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A4EB0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68D8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64CB6A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2E05B7"/>
    <w:multiLevelType w:val="multilevel"/>
    <w:tmpl w:val="08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1354AB6"/>
    <w:multiLevelType w:val="multilevel"/>
    <w:tmpl w:val="C2803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17636"/>
    <w:multiLevelType w:val="multilevel"/>
    <w:tmpl w:val="781681FC"/>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1FCB62EF"/>
    <w:multiLevelType w:val="multilevel"/>
    <w:tmpl w:val="08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7A0B27"/>
    <w:multiLevelType w:val="hybridMultilevel"/>
    <w:tmpl w:val="2B0247B8"/>
    <w:lvl w:ilvl="0" w:tplc="0A3AB264">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154826"/>
    <w:multiLevelType w:val="multilevel"/>
    <w:tmpl w:val="59FC8C9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247FF0"/>
    <w:multiLevelType w:val="multilevel"/>
    <w:tmpl w:val="BF26C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1A5721"/>
    <w:multiLevelType w:val="hybridMultilevel"/>
    <w:tmpl w:val="F4785E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601D28"/>
    <w:multiLevelType w:val="hybridMultilevel"/>
    <w:tmpl w:val="B1D491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C0606B"/>
    <w:multiLevelType w:val="multilevel"/>
    <w:tmpl w:val="60A03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4214CA"/>
    <w:multiLevelType w:val="multilevel"/>
    <w:tmpl w:val="708AF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7B4C4D"/>
    <w:multiLevelType w:val="multilevel"/>
    <w:tmpl w:val="EDF6B956"/>
    <w:lvl w:ilvl="0">
      <w:start w:val="1"/>
      <w:numFmt w:val="decimal"/>
      <w:lvlText w:val="%1.0"/>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6763B20"/>
    <w:multiLevelType w:val="multilevel"/>
    <w:tmpl w:val="D292A6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087A05"/>
    <w:multiLevelType w:val="multilevel"/>
    <w:tmpl w:val="08090023"/>
    <w:styleLink w:val="ArticleSection"/>
    <w:lvl w:ilvl="0">
      <w:start w:val="1"/>
      <w:numFmt w:val="upperRoman"/>
      <w:pStyle w:val="Heading1"/>
      <w:lvlText w:val="Article %1."/>
      <w:lvlJc w:val="left"/>
      <w:pPr>
        <w:ind w:left="0" w:firstLine="0"/>
      </w:pPr>
      <w:rPr>
        <w:rFonts w:ascii="Arial" w:hAnsi="Arial" w:cs="Arial"/>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4" w15:restartNumberingAfterBreak="0">
    <w:nsid w:val="74D02C00"/>
    <w:multiLevelType w:val="multilevel"/>
    <w:tmpl w:val="6DCC8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19520875">
    <w:abstractNumId w:val="13"/>
  </w:num>
  <w:num w:numId="2" w16cid:durableId="1062287323">
    <w:abstractNumId w:val="10"/>
  </w:num>
  <w:num w:numId="3" w16cid:durableId="943994665">
    <w:abstractNumId w:val="23"/>
  </w:num>
  <w:num w:numId="4" w16cid:durableId="1326662394">
    <w:abstractNumId w:val="9"/>
  </w:num>
  <w:num w:numId="5" w16cid:durableId="2002274070">
    <w:abstractNumId w:val="7"/>
  </w:num>
  <w:num w:numId="6" w16cid:durableId="2014183797">
    <w:abstractNumId w:val="6"/>
  </w:num>
  <w:num w:numId="7" w16cid:durableId="922494106">
    <w:abstractNumId w:val="5"/>
  </w:num>
  <w:num w:numId="8" w16cid:durableId="189884034">
    <w:abstractNumId w:val="4"/>
  </w:num>
  <w:num w:numId="9" w16cid:durableId="31199955">
    <w:abstractNumId w:val="8"/>
  </w:num>
  <w:num w:numId="10" w16cid:durableId="268196067">
    <w:abstractNumId w:val="3"/>
  </w:num>
  <w:num w:numId="11" w16cid:durableId="581139254">
    <w:abstractNumId w:val="2"/>
  </w:num>
  <w:num w:numId="12" w16cid:durableId="239678862">
    <w:abstractNumId w:val="1"/>
  </w:num>
  <w:num w:numId="13" w16cid:durableId="1870529804">
    <w:abstractNumId w:val="0"/>
  </w:num>
  <w:num w:numId="14" w16cid:durableId="498934687">
    <w:abstractNumId w:val="19"/>
  </w:num>
  <w:num w:numId="15" w16cid:durableId="893733767">
    <w:abstractNumId w:val="24"/>
  </w:num>
  <w:num w:numId="16" w16cid:durableId="803695920">
    <w:abstractNumId w:val="20"/>
  </w:num>
  <w:num w:numId="17" w16cid:durableId="508981007">
    <w:abstractNumId w:val="16"/>
  </w:num>
  <w:num w:numId="18" w16cid:durableId="1837260979">
    <w:abstractNumId w:val="11"/>
  </w:num>
  <w:num w:numId="19" w16cid:durableId="644359983">
    <w:abstractNumId w:val="22"/>
  </w:num>
  <w:num w:numId="20" w16cid:durableId="1221747695">
    <w:abstractNumId w:val="15"/>
  </w:num>
  <w:num w:numId="21" w16cid:durableId="2119255324">
    <w:abstractNumId w:val="17"/>
  </w:num>
  <w:num w:numId="22" w16cid:durableId="1233545799">
    <w:abstractNumId w:val="21"/>
  </w:num>
  <w:num w:numId="23" w16cid:durableId="22560387">
    <w:abstractNumId w:val="12"/>
  </w:num>
  <w:num w:numId="24" w16cid:durableId="927229137">
    <w:abstractNumId w:val="14"/>
  </w:num>
  <w:num w:numId="25" w16cid:durableId="876549703">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C0"/>
    <w:rsid w:val="00006CDC"/>
    <w:rsid w:val="00014161"/>
    <w:rsid w:val="00017911"/>
    <w:rsid w:val="00022CCE"/>
    <w:rsid w:val="0003501D"/>
    <w:rsid w:val="00036BA0"/>
    <w:rsid w:val="00045F5E"/>
    <w:rsid w:val="000478A8"/>
    <w:rsid w:val="0005005A"/>
    <w:rsid w:val="00052E56"/>
    <w:rsid w:val="0007381C"/>
    <w:rsid w:val="00085299"/>
    <w:rsid w:val="0009797B"/>
    <w:rsid w:val="000A15D6"/>
    <w:rsid w:val="000A73DE"/>
    <w:rsid w:val="000B2858"/>
    <w:rsid w:val="000C7B51"/>
    <w:rsid w:val="000D13C5"/>
    <w:rsid w:val="000E30C9"/>
    <w:rsid w:val="000E4638"/>
    <w:rsid w:val="000F2BD6"/>
    <w:rsid w:val="000F4969"/>
    <w:rsid w:val="00106481"/>
    <w:rsid w:val="001344D8"/>
    <w:rsid w:val="00160198"/>
    <w:rsid w:val="001615A3"/>
    <w:rsid w:val="00163676"/>
    <w:rsid w:val="001666FE"/>
    <w:rsid w:val="001721F4"/>
    <w:rsid w:val="00177103"/>
    <w:rsid w:val="001825E3"/>
    <w:rsid w:val="00191F0B"/>
    <w:rsid w:val="00196D2E"/>
    <w:rsid w:val="001C1A36"/>
    <w:rsid w:val="001D2F0B"/>
    <w:rsid w:val="001D64B9"/>
    <w:rsid w:val="001E1C0D"/>
    <w:rsid w:val="001E2491"/>
    <w:rsid w:val="00210588"/>
    <w:rsid w:val="00222E2C"/>
    <w:rsid w:val="002318CB"/>
    <w:rsid w:val="002345A9"/>
    <w:rsid w:val="00237E6E"/>
    <w:rsid w:val="0024313B"/>
    <w:rsid w:val="00245621"/>
    <w:rsid w:val="00257DAA"/>
    <w:rsid w:val="00263B15"/>
    <w:rsid w:val="00294FA4"/>
    <w:rsid w:val="002C2155"/>
    <w:rsid w:val="002C42E1"/>
    <w:rsid w:val="002C6A3C"/>
    <w:rsid w:val="002D1599"/>
    <w:rsid w:val="002F30C7"/>
    <w:rsid w:val="00300C6C"/>
    <w:rsid w:val="00306268"/>
    <w:rsid w:val="00310D8A"/>
    <w:rsid w:val="0031559E"/>
    <w:rsid w:val="00315CAD"/>
    <w:rsid w:val="00323505"/>
    <w:rsid w:val="00331E7C"/>
    <w:rsid w:val="00333A8F"/>
    <w:rsid w:val="0034345D"/>
    <w:rsid w:val="0034649B"/>
    <w:rsid w:val="00347BAE"/>
    <w:rsid w:val="0035411E"/>
    <w:rsid w:val="0035562C"/>
    <w:rsid w:val="003710D3"/>
    <w:rsid w:val="00381291"/>
    <w:rsid w:val="003817AA"/>
    <w:rsid w:val="00381FA6"/>
    <w:rsid w:val="00390783"/>
    <w:rsid w:val="003A6CBD"/>
    <w:rsid w:val="003B22CE"/>
    <w:rsid w:val="003B3996"/>
    <w:rsid w:val="003B7BF1"/>
    <w:rsid w:val="003C64A4"/>
    <w:rsid w:val="003D4D88"/>
    <w:rsid w:val="003E2A07"/>
    <w:rsid w:val="003E41EC"/>
    <w:rsid w:val="003F0761"/>
    <w:rsid w:val="003F1439"/>
    <w:rsid w:val="003F288E"/>
    <w:rsid w:val="003F303F"/>
    <w:rsid w:val="003F6009"/>
    <w:rsid w:val="00402697"/>
    <w:rsid w:val="004356CE"/>
    <w:rsid w:val="004467BE"/>
    <w:rsid w:val="004479FE"/>
    <w:rsid w:val="00456167"/>
    <w:rsid w:val="0046053F"/>
    <w:rsid w:val="004632E2"/>
    <w:rsid w:val="00463C61"/>
    <w:rsid w:val="00466D71"/>
    <w:rsid w:val="0046792E"/>
    <w:rsid w:val="00467D78"/>
    <w:rsid w:val="00472783"/>
    <w:rsid w:val="0048038A"/>
    <w:rsid w:val="00487519"/>
    <w:rsid w:val="00490067"/>
    <w:rsid w:val="004A1B85"/>
    <w:rsid w:val="004A339E"/>
    <w:rsid w:val="004A5B1B"/>
    <w:rsid w:val="004C094B"/>
    <w:rsid w:val="004C1096"/>
    <w:rsid w:val="004E1A1D"/>
    <w:rsid w:val="004E3B50"/>
    <w:rsid w:val="004E498E"/>
    <w:rsid w:val="004F09D8"/>
    <w:rsid w:val="004F35E4"/>
    <w:rsid w:val="004F3BF1"/>
    <w:rsid w:val="00540369"/>
    <w:rsid w:val="00544CED"/>
    <w:rsid w:val="0056065C"/>
    <w:rsid w:val="00567366"/>
    <w:rsid w:val="00577247"/>
    <w:rsid w:val="00580B43"/>
    <w:rsid w:val="00590FA0"/>
    <w:rsid w:val="005A1B9D"/>
    <w:rsid w:val="005A5EE2"/>
    <w:rsid w:val="005B4C35"/>
    <w:rsid w:val="005B5E14"/>
    <w:rsid w:val="005C1EEC"/>
    <w:rsid w:val="005D1EB7"/>
    <w:rsid w:val="0060475D"/>
    <w:rsid w:val="00617A75"/>
    <w:rsid w:val="00627158"/>
    <w:rsid w:val="00632CC0"/>
    <w:rsid w:val="00634B95"/>
    <w:rsid w:val="00634C6D"/>
    <w:rsid w:val="00635C9C"/>
    <w:rsid w:val="00642385"/>
    <w:rsid w:val="00644BA0"/>
    <w:rsid w:val="0066127E"/>
    <w:rsid w:val="0067256C"/>
    <w:rsid w:val="00675D83"/>
    <w:rsid w:val="0067739E"/>
    <w:rsid w:val="00680577"/>
    <w:rsid w:val="00687D5D"/>
    <w:rsid w:val="0069070C"/>
    <w:rsid w:val="0069732A"/>
    <w:rsid w:val="00697344"/>
    <w:rsid w:val="006A08DF"/>
    <w:rsid w:val="006B2B46"/>
    <w:rsid w:val="006B6700"/>
    <w:rsid w:val="006C11B1"/>
    <w:rsid w:val="006C1499"/>
    <w:rsid w:val="006C73BD"/>
    <w:rsid w:val="006D3C68"/>
    <w:rsid w:val="006D5E50"/>
    <w:rsid w:val="006E66FF"/>
    <w:rsid w:val="006E6A42"/>
    <w:rsid w:val="006F2639"/>
    <w:rsid w:val="007050AC"/>
    <w:rsid w:val="00705D26"/>
    <w:rsid w:val="00705DB1"/>
    <w:rsid w:val="0072014D"/>
    <w:rsid w:val="0072095B"/>
    <w:rsid w:val="00750394"/>
    <w:rsid w:val="00752191"/>
    <w:rsid w:val="007554A9"/>
    <w:rsid w:val="007619CC"/>
    <w:rsid w:val="00770104"/>
    <w:rsid w:val="00771467"/>
    <w:rsid w:val="007715A2"/>
    <w:rsid w:val="0077426E"/>
    <w:rsid w:val="00774C21"/>
    <w:rsid w:val="007914F4"/>
    <w:rsid w:val="007A68E4"/>
    <w:rsid w:val="007D5E75"/>
    <w:rsid w:val="007E2FD6"/>
    <w:rsid w:val="007E7AF9"/>
    <w:rsid w:val="007F38CE"/>
    <w:rsid w:val="00800226"/>
    <w:rsid w:val="00804954"/>
    <w:rsid w:val="00822029"/>
    <w:rsid w:val="0082271F"/>
    <w:rsid w:val="00840DC2"/>
    <w:rsid w:val="008428B0"/>
    <w:rsid w:val="0084711A"/>
    <w:rsid w:val="008542EB"/>
    <w:rsid w:val="00862EC9"/>
    <w:rsid w:val="00864AA0"/>
    <w:rsid w:val="008656FA"/>
    <w:rsid w:val="0087416C"/>
    <w:rsid w:val="00876503"/>
    <w:rsid w:val="0089192F"/>
    <w:rsid w:val="008A18CB"/>
    <w:rsid w:val="008A43E9"/>
    <w:rsid w:val="008C50C6"/>
    <w:rsid w:val="008D1924"/>
    <w:rsid w:val="008D52F9"/>
    <w:rsid w:val="008E043D"/>
    <w:rsid w:val="008E05CE"/>
    <w:rsid w:val="008F3DAF"/>
    <w:rsid w:val="00910CD3"/>
    <w:rsid w:val="0091322D"/>
    <w:rsid w:val="00932D84"/>
    <w:rsid w:val="00933FAA"/>
    <w:rsid w:val="00945883"/>
    <w:rsid w:val="009506C5"/>
    <w:rsid w:val="00962AE2"/>
    <w:rsid w:val="00972EF1"/>
    <w:rsid w:val="00980421"/>
    <w:rsid w:val="00980EBC"/>
    <w:rsid w:val="0098762C"/>
    <w:rsid w:val="009A229B"/>
    <w:rsid w:val="009A39A8"/>
    <w:rsid w:val="009A3EF0"/>
    <w:rsid w:val="009B069C"/>
    <w:rsid w:val="009B73DB"/>
    <w:rsid w:val="009C5F6D"/>
    <w:rsid w:val="009D4B53"/>
    <w:rsid w:val="009D7A80"/>
    <w:rsid w:val="009F682B"/>
    <w:rsid w:val="00A07841"/>
    <w:rsid w:val="00A2054C"/>
    <w:rsid w:val="00A227C2"/>
    <w:rsid w:val="00A22F05"/>
    <w:rsid w:val="00A25655"/>
    <w:rsid w:val="00A31671"/>
    <w:rsid w:val="00A417EC"/>
    <w:rsid w:val="00A47C83"/>
    <w:rsid w:val="00A518E5"/>
    <w:rsid w:val="00A53C9B"/>
    <w:rsid w:val="00A62A9C"/>
    <w:rsid w:val="00A73123"/>
    <w:rsid w:val="00A84B3D"/>
    <w:rsid w:val="00A87B2D"/>
    <w:rsid w:val="00A90BB0"/>
    <w:rsid w:val="00A92C53"/>
    <w:rsid w:val="00AA2689"/>
    <w:rsid w:val="00AA7B72"/>
    <w:rsid w:val="00AA7CD4"/>
    <w:rsid w:val="00AA7FDB"/>
    <w:rsid w:val="00AB6159"/>
    <w:rsid w:val="00AB62FF"/>
    <w:rsid w:val="00AD240F"/>
    <w:rsid w:val="00AD5A35"/>
    <w:rsid w:val="00AD5DE4"/>
    <w:rsid w:val="00AF31AA"/>
    <w:rsid w:val="00B044EC"/>
    <w:rsid w:val="00B0660F"/>
    <w:rsid w:val="00B11FC7"/>
    <w:rsid w:val="00B24043"/>
    <w:rsid w:val="00B31DDB"/>
    <w:rsid w:val="00B3213B"/>
    <w:rsid w:val="00B409DA"/>
    <w:rsid w:val="00B42591"/>
    <w:rsid w:val="00B44EE0"/>
    <w:rsid w:val="00B647C1"/>
    <w:rsid w:val="00B72AB3"/>
    <w:rsid w:val="00B736BA"/>
    <w:rsid w:val="00B74F87"/>
    <w:rsid w:val="00B9357D"/>
    <w:rsid w:val="00B97D66"/>
    <w:rsid w:val="00BA0128"/>
    <w:rsid w:val="00BA2B84"/>
    <w:rsid w:val="00BA5902"/>
    <w:rsid w:val="00BC1ED0"/>
    <w:rsid w:val="00BD02C6"/>
    <w:rsid w:val="00BD30DC"/>
    <w:rsid w:val="00BF0BE4"/>
    <w:rsid w:val="00C028A0"/>
    <w:rsid w:val="00C0321F"/>
    <w:rsid w:val="00C05E2F"/>
    <w:rsid w:val="00C35F29"/>
    <w:rsid w:val="00C66B82"/>
    <w:rsid w:val="00C73A8D"/>
    <w:rsid w:val="00C82A2E"/>
    <w:rsid w:val="00CA00B0"/>
    <w:rsid w:val="00CA2870"/>
    <w:rsid w:val="00CB0D14"/>
    <w:rsid w:val="00CB2F8E"/>
    <w:rsid w:val="00CB3749"/>
    <w:rsid w:val="00CC027D"/>
    <w:rsid w:val="00CD3FA4"/>
    <w:rsid w:val="00CE0351"/>
    <w:rsid w:val="00CF400D"/>
    <w:rsid w:val="00D01099"/>
    <w:rsid w:val="00D02F34"/>
    <w:rsid w:val="00D05090"/>
    <w:rsid w:val="00D54073"/>
    <w:rsid w:val="00D57546"/>
    <w:rsid w:val="00D676F1"/>
    <w:rsid w:val="00D706BA"/>
    <w:rsid w:val="00D7202F"/>
    <w:rsid w:val="00D92FC7"/>
    <w:rsid w:val="00D9421D"/>
    <w:rsid w:val="00D97236"/>
    <w:rsid w:val="00D97C2B"/>
    <w:rsid w:val="00DD155A"/>
    <w:rsid w:val="00DD6FC8"/>
    <w:rsid w:val="00DD75EB"/>
    <w:rsid w:val="00DE4C26"/>
    <w:rsid w:val="00DF7696"/>
    <w:rsid w:val="00E35E1A"/>
    <w:rsid w:val="00E47ED8"/>
    <w:rsid w:val="00E55A28"/>
    <w:rsid w:val="00E5719F"/>
    <w:rsid w:val="00E70B92"/>
    <w:rsid w:val="00E71169"/>
    <w:rsid w:val="00E720FA"/>
    <w:rsid w:val="00E84659"/>
    <w:rsid w:val="00E957B4"/>
    <w:rsid w:val="00EA032E"/>
    <w:rsid w:val="00EA1ADE"/>
    <w:rsid w:val="00EB2932"/>
    <w:rsid w:val="00EC461F"/>
    <w:rsid w:val="00EF1E37"/>
    <w:rsid w:val="00F04086"/>
    <w:rsid w:val="00F04F36"/>
    <w:rsid w:val="00F05FE4"/>
    <w:rsid w:val="00F10092"/>
    <w:rsid w:val="00F116A7"/>
    <w:rsid w:val="00F338CD"/>
    <w:rsid w:val="00F34590"/>
    <w:rsid w:val="00F374CD"/>
    <w:rsid w:val="00F37E50"/>
    <w:rsid w:val="00F446A5"/>
    <w:rsid w:val="00F565E4"/>
    <w:rsid w:val="00F853F0"/>
    <w:rsid w:val="00FA3C86"/>
    <w:rsid w:val="00FA7027"/>
    <w:rsid w:val="00FC2339"/>
    <w:rsid w:val="00FC2AC1"/>
    <w:rsid w:val="00FD246B"/>
    <w:rsid w:val="00FE768D"/>
    <w:rsid w:val="00FF3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5978B"/>
  <w15:chartTrackingRefBased/>
  <w15:docId w15:val="{3077CCD5-7A1F-4A17-9854-B56B47345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rPr>
  </w:style>
  <w:style w:type="paragraph" w:styleId="Heading1">
    <w:name w:val="heading 1"/>
    <w:basedOn w:val="Normal"/>
    <w:next w:val="Normal"/>
    <w:link w:val="Heading1Char"/>
    <w:uiPriority w:val="9"/>
    <w:qFormat/>
    <w:rsid w:val="004C094B"/>
    <w:pPr>
      <w:keepNext/>
      <w:keepLines/>
      <w:numPr>
        <w:numId w:val="3"/>
      </w:numPr>
      <w:spacing w:before="240" w:after="0"/>
      <w:outlineLvl w:val="0"/>
    </w:pPr>
    <w:rPr>
      <w:rFonts w:eastAsiaTheme="majorEastAsia"/>
      <w:color w:val="0F4761" w:themeColor="accent1" w:themeShade="BF"/>
      <w:sz w:val="32"/>
      <w:szCs w:val="32"/>
    </w:rPr>
  </w:style>
  <w:style w:type="paragraph" w:styleId="Heading2">
    <w:name w:val="heading 2"/>
    <w:basedOn w:val="Normal"/>
    <w:next w:val="Normal"/>
    <w:link w:val="Heading2Char"/>
    <w:uiPriority w:val="9"/>
    <w:unhideWhenUsed/>
    <w:qFormat/>
    <w:rsid w:val="004C094B"/>
    <w:pPr>
      <w:keepNext/>
      <w:keepLines/>
      <w:numPr>
        <w:ilvl w:val="1"/>
        <w:numId w:val="3"/>
      </w:numPr>
      <w:spacing w:before="40" w:after="0"/>
      <w:outlineLvl w:val="1"/>
    </w:pPr>
    <w:rPr>
      <w:rFonts w:eastAsiaTheme="majorEastAsia"/>
      <w:color w:val="0F4761" w:themeColor="accent1" w:themeShade="BF"/>
      <w:sz w:val="26"/>
      <w:szCs w:val="26"/>
    </w:rPr>
  </w:style>
  <w:style w:type="paragraph" w:styleId="Heading3">
    <w:name w:val="heading 3"/>
    <w:basedOn w:val="Normal"/>
    <w:next w:val="Normal"/>
    <w:link w:val="Heading3Char"/>
    <w:uiPriority w:val="9"/>
    <w:unhideWhenUsed/>
    <w:qFormat/>
    <w:rsid w:val="004C094B"/>
    <w:pPr>
      <w:keepNext/>
      <w:keepLines/>
      <w:numPr>
        <w:ilvl w:val="2"/>
        <w:numId w:val="3"/>
      </w:numPr>
      <w:spacing w:before="40" w:after="0"/>
      <w:outlineLvl w:val="2"/>
    </w:pPr>
    <w:rPr>
      <w:rFonts w:eastAsiaTheme="majorEastAsia"/>
      <w:color w:val="0A2F40" w:themeColor="accent1" w:themeShade="7F"/>
      <w:sz w:val="24"/>
      <w:szCs w:val="24"/>
    </w:rPr>
  </w:style>
  <w:style w:type="paragraph" w:styleId="Heading4">
    <w:name w:val="heading 4"/>
    <w:basedOn w:val="Normal"/>
    <w:next w:val="Normal"/>
    <w:link w:val="Heading4Char"/>
    <w:uiPriority w:val="9"/>
    <w:unhideWhenUsed/>
    <w:qFormat/>
    <w:rsid w:val="004C094B"/>
    <w:pPr>
      <w:keepNext/>
      <w:keepLines/>
      <w:numPr>
        <w:ilvl w:val="3"/>
        <w:numId w:val="3"/>
      </w:numPr>
      <w:spacing w:before="40" w:after="0"/>
      <w:outlineLvl w:val="3"/>
    </w:pPr>
    <w:rPr>
      <w:rFonts w:eastAsiaTheme="majorEastAsia"/>
      <w:i/>
      <w:iCs/>
      <w:color w:val="0F4761" w:themeColor="accent1" w:themeShade="BF"/>
    </w:rPr>
  </w:style>
  <w:style w:type="paragraph" w:styleId="Heading5">
    <w:name w:val="heading 5"/>
    <w:basedOn w:val="Normal"/>
    <w:next w:val="Normal"/>
    <w:link w:val="Heading5Char"/>
    <w:uiPriority w:val="9"/>
    <w:semiHidden/>
    <w:unhideWhenUsed/>
    <w:qFormat/>
    <w:rsid w:val="004C094B"/>
    <w:pPr>
      <w:keepNext/>
      <w:keepLines/>
      <w:numPr>
        <w:ilvl w:val="4"/>
        <w:numId w:val="3"/>
      </w:numPr>
      <w:spacing w:before="40" w:after="0"/>
      <w:outlineLvl w:val="4"/>
    </w:pPr>
    <w:rPr>
      <w:rFonts w:eastAsiaTheme="majorEastAsia"/>
      <w:color w:val="0F4761" w:themeColor="accent1" w:themeShade="BF"/>
    </w:rPr>
  </w:style>
  <w:style w:type="paragraph" w:styleId="Heading6">
    <w:name w:val="heading 6"/>
    <w:basedOn w:val="Normal"/>
    <w:next w:val="Normal"/>
    <w:link w:val="Heading6Char"/>
    <w:uiPriority w:val="9"/>
    <w:semiHidden/>
    <w:unhideWhenUsed/>
    <w:qFormat/>
    <w:rsid w:val="004C094B"/>
    <w:pPr>
      <w:keepNext/>
      <w:keepLines/>
      <w:numPr>
        <w:ilvl w:val="5"/>
        <w:numId w:val="3"/>
      </w:numPr>
      <w:spacing w:before="40" w:after="0"/>
      <w:outlineLvl w:val="5"/>
    </w:pPr>
    <w:rPr>
      <w:rFonts w:eastAsiaTheme="majorEastAsia"/>
      <w:color w:val="0A2F40" w:themeColor="accent1" w:themeShade="7F"/>
    </w:rPr>
  </w:style>
  <w:style w:type="paragraph" w:styleId="Heading7">
    <w:name w:val="heading 7"/>
    <w:basedOn w:val="Normal"/>
    <w:next w:val="Normal"/>
    <w:link w:val="Heading7Char"/>
    <w:uiPriority w:val="9"/>
    <w:semiHidden/>
    <w:unhideWhenUsed/>
    <w:qFormat/>
    <w:rsid w:val="004C094B"/>
    <w:pPr>
      <w:keepNext/>
      <w:keepLines/>
      <w:numPr>
        <w:ilvl w:val="6"/>
        <w:numId w:val="3"/>
      </w:numPr>
      <w:spacing w:before="40" w:after="0"/>
      <w:outlineLvl w:val="6"/>
    </w:pPr>
    <w:rPr>
      <w:rFonts w:eastAsiaTheme="majorEastAsia"/>
      <w:i/>
      <w:iCs/>
      <w:color w:val="0A2F40" w:themeColor="accent1" w:themeShade="7F"/>
    </w:rPr>
  </w:style>
  <w:style w:type="paragraph" w:styleId="Heading8">
    <w:name w:val="heading 8"/>
    <w:basedOn w:val="Normal"/>
    <w:next w:val="Normal"/>
    <w:link w:val="Heading8Char"/>
    <w:uiPriority w:val="9"/>
    <w:semiHidden/>
    <w:unhideWhenUsed/>
    <w:qFormat/>
    <w:rsid w:val="004C094B"/>
    <w:pPr>
      <w:keepNext/>
      <w:keepLines/>
      <w:numPr>
        <w:ilvl w:val="7"/>
        <w:numId w:val="3"/>
      </w:numPr>
      <w:spacing w:before="40" w:after="0"/>
      <w:outlineLvl w:val="7"/>
    </w:pPr>
    <w:rPr>
      <w:rFonts w:eastAsiaTheme="majorEastAsia"/>
      <w:color w:val="272727" w:themeColor="text1" w:themeTint="D8"/>
      <w:sz w:val="21"/>
      <w:szCs w:val="21"/>
    </w:rPr>
  </w:style>
  <w:style w:type="paragraph" w:styleId="Heading9">
    <w:name w:val="heading 9"/>
    <w:basedOn w:val="Normal"/>
    <w:next w:val="Normal"/>
    <w:link w:val="Heading9Char"/>
    <w:uiPriority w:val="9"/>
    <w:semiHidden/>
    <w:unhideWhenUsed/>
    <w:qFormat/>
    <w:rsid w:val="004C094B"/>
    <w:pPr>
      <w:keepNext/>
      <w:keepLines/>
      <w:numPr>
        <w:ilvl w:val="8"/>
        <w:numId w:val="3"/>
      </w:numPr>
      <w:spacing w:before="40" w:after="0"/>
      <w:outlineLvl w:val="8"/>
    </w:pPr>
    <w:rPr>
      <w:rFonts w:eastAsiaTheme="majorEastAsia"/>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semiHidden/>
    <w:unhideWhenUsed/>
    <w:rsid w:val="004C094B"/>
    <w:pPr>
      <w:numPr>
        <w:numId w:val="1"/>
      </w:numPr>
    </w:pPr>
  </w:style>
  <w:style w:type="numbering" w:styleId="1ai">
    <w:name w:val="Outline List 1"/>
    <w:basedOn w:val="NoList"/>
    <w:uiPriority w:val="99"/>
    <w:semiHidden/>
    <w:unhideWhenUsed/>
    <w:rsid w:val="004C094B"/>
    <w:pPr>
      <w:numPr>
        <w:numId w:val="2"/>
      </w:numPr>
    </w:pPr>
  </w:style>
  <w:style w:type="character" w:customStyle="1" w:styleId="Heading1Char">
    <w:name w:val="Heading 1 Char"/>
    <w:basedOn w:val="DefaultParagraphFont"/>
    <w:link w:val="Heading1"/>
    <w:uiPriority w:val="9"/>
    <w:rsid w:val="004C094B"/>
    <w:rPr>
      <w:rFonts w:ascii="Arial" w:eastAsiaTheme="majorEastAsia" w:hAnsi="Arial" w:cs="Arial"/>
      <w:color w:val="0F4761" w:themeColor="accent1" w:themeShade="BF"/>
      <w:sz w:val="32"/>
      <w:szCs w:val="32"/>
    </w:rPr>
  </w:style>
  <w:style w:type="character" w:customStyle="1" w:styleId="Heading2Char">
    <w:name w:val="Heading 2 Char"/>
    <w:basedOn w:val="DefaultParagraphFont"/>
    <w:link w:val="Heading2"/>
    <w:uiPriority w:val="9"/>
    <w:rsid w:val="004C094B"/>
    <w:rPr>
      <w:rFonts w:ascii="Arial" w:eastAsiaTheme="majorEastAsia" w:hAnsi="Arial" w:cs="Arial"/>
      <w:color w:val="0F4761" w:themeColor="accent1" w:themeShade="BF"/>
      <w:sz w:val="26"/>
      <w:szCs w:val="26"/>
    </w:rPr>
  </w:style>
  <w:style w:type="character" w:customStyle="1" w:styleId="Heading3Char">
    <w:name w:val="Heading 3 Char"/>
    <w:basedOn w:val="DefaultParagraphFont"/>
    <w:link w:val="Heading3"/>
    <w:uiPriority w:val="9"/>
    <w:rsid w:val="004C094B"/>
    <w:rPr>
      <w:rFonts w:ascii="Arial" w:eastAsiaTheme="majorEastAsia" w:hAnsi="Arial" w:cs="Arial"/>
      <w:color w:val="0A2F40" w:themeColor="accent1" w:themeShade="7F"/>
      <w:sz w:val="24"/>
      <w:szCs w:val="24"/>
    </w:rPr>
  </w:style>
  <w:style w:type="character" w:customStyle="1" w:styleId="Heading4Char">
    <w:name w:val="Heading 4 Char"/>
    <w:basedOn w:val="DefaultParagraphFont"/>
    <w:link w:val="Heading4"/>
    <w:uiPriority w:val="9"/>
    <w:rsid w:val="004C094B"/>
    <w:rPr>
      <w:rFonts w:ascii="Arial" w:eastAsiaTheme="majorEastAsia" w:hAnsi="Arial" w:cs="Arial"/>
      <w:i/>
      <w:iCs/>
      <w:color w:val="0F4761" w:themeColor="accent1" w:themeShade="BF"/>
    </w:rPr>
  </w:style>
  <w:style w:type="character" w:customStyle="1" w:styleId="Heading5Char">
    <w:name w:val="Heading 5 Char"/>
    <w:basedOn w:val="DefaultParagraphFont"/>
    <w:link w:val="Heading5"/>
    <w:uiPriority w:val="9"/>
    <w:semiHidden/>
    <w:rsid w:val="004C094B"/>
    <w:rPr>
      <w:rFonts w:ascii="Arial" w:eastAsiaTheme="majorEastAsia" w:hAnsi="Arial" w:cs="Arial"/>
      <w:color w:val="0F4761" w:themeColor="accent1" w:themeShade="BF"/>
    </w:rPr>
  </w:style>
  <w:style w:type="character" w:customStyle="1" w:styleId="Heading6Char">
    <w:name w:val="Heading 6 Char"/>
    <w:basedOn w:val="DefaultParagraphFont"/>
    <w:link w:val="Heading6"/>
    <w:uiPriority w:val="9"/>
    <w:semiHidden/>
    <w:rsid w:val="004C094B"/>
    <w:rPr>
      <w:rFonts w:ascii="Arial" w:eastAsiaTheme="majorEastAsia" w:hAnsi="Arial" w:cs="Arial"/>
      <w:color w:val="0A2F40" w:themeColor="accent1" w:themeShade="7F"/>
    </w:rPr>
  </w:style>
  <w:style w:type="character" w:customStyle="1" w:styleId="Heading7Char">
    <w:name w:val="Heading 7 Char"/>
    <w:basedOn w:val="DefaultParagraphFont"/>
    <w:link w:val="Heading7"/>
    <w:uiPriority w:val="9"/>
    <w:semiHidden/>
    <w:rsid w:val="004C094B"/>
    <w:rPr>
      <w:rFonts w:ascii="Arial" w:eastAsiaTheme="majorEastAsia" w:hAnsi="Arial" w:cs="Arial"/>
      <w:i/>
      <w:iCs/>
      <w:color w:val="0A2F40" w:themeColor="accent1" w:themeShade="7F"/>
    </w:rPr>
  </w:style>
  <w:style w:type="character" w:customStyle="1" w:styleId="Heading8Char">
    <w:name w:val="Heading 8 Char"/>
    <w:basedOn w:val="DefaultParagraphFont"/>
    <w:link w:val="Heading8"/>
    <w:uiPriority w:val="9"/>
    <w:semiHidden/>
    <w:rsid w:val="004C094B"/>
    <w:rPr>
      <w:rFonts w:ascii="Arial" w:eastAsiaTheme="majorEastAsia" w:hAnsi="Arial" w:cs="Arial"/>
      <w:color w:val="272727" w:themeColor="text1" w:themeTint="D8"/>
      <w:sz w:val="21"/>
      <w:szCs w:val="21"/>
    </w:rPr>
  </w:style>
  <w:style w:type="character" w:customStyle="1" w:styleId="Heading9Char">
    <w:name w:val="Heading 9 Char"/>
    <w:basedOn w:val="DefaultParagraphFont"/>
    <w:link w:val="Heading9"/>
    <w:uiPriority w:val="9"/>
    <w:semiHidden/>
    <w:rsid w:val="004C094B"/>
    <w:rPr>
      <w:rFonts w:ascii="Arial" w:eastAsiaTheme="majorEastAsia" w:hAnsi="Arial" w:cs="Arial"/>
      <w:i/>
      <w:iCs/>
      <w:color w:val="272727" w:themeColor="text1" w:themeTint="D8"/>
      <w:sz w:val="21"/>
      <w:szCs w:val="21"/>
    </w:rPr>
  </w:style>
  <w:style w:type="numbering" w:styleId="ArticleSection">
    <w:name w:val="Outline List 3"/>
    <w:basedOn w:val="NoList"/>
    <w:uiPriority w:val="99"/>
    <w:semiHidden/>
    <w:unhideWhenUsed/>
    <w:rsid w:val="004C094B"/>
    <w:pPr>
      <w:numPr>
        <w:numId w:val="3"/>
      </w:numPr>
    </w:pPr>
  </w:style>
  <w:style w:type="paragraph" w:styleId="BalloonText">
    <w:name w:val="Balloon Text"/>
    <w:basedOn w:val="Normal"/>
    <w:link w:val="BalloonTextChar"/>
    <w:uiPriority w:val="99"/>
    <w:semiHidden/>
    <w:unhideWhenUsed/>
    <w:rsid w:val="004C094B"/>
    <w:pPr>
      <w:spacing w:after="0" w:line="240" w:lineRule="auto"/>
    </w:pPr>
    <w:rPr>
      <w:sz w:val="18"/>
      <w:szCs w:val="18"/>
    </w:rPr>
  </w:style>
  <w:style w:type="character" w:customStyle="1" w:styleId="BalloonTextChar">
    <w:name w:val="Balloon Text Char"/>
    <w:basedOn w:val="DefaultParagraphFont"/>
    <w:link w:val="BalloonText"/>
    <w:uiPriority w:val="99"/>
    <w:semiHidden/>
    <w:rsid w:val="004C094B"/>
    <w:rPr>
      <w:rFonts w:ascii="Arial" w:hAnsi="Arial" w:cs="Arial"/>
      <w:sz w:val="18"/>
      <w:szCs w:val="18"/>
    </w:rPr>
  </w:style>
  <w:style w:type="paragraph" w:styleId="Bibliography">
    <w:name w:val="Bibliography"/>
    <w:basedOn w:val="Normal"/>
    <w:next w:val="Normal"/>
    <w:uiPriority w:val="37"/>
    <w:semiHidden/>
    <w:unhideWhenUsed/>
    <w:rsid w:val="004C094B"/>
  </w:style>
  <w:style w:type="paragraph" w:styleId="BlockText">
    <w:name w:val="Block Text"/>
    <w:basedOn w:val="Normal"/>
    <w:uiPriority w:val="99"/>
    <w:semiHidden/>
    <w:unhideWhenUsed/>
    <w:rsid w:val="004C094B"/>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rFonts w:eastAsiaTheme="minorEastAsia"/>
      <w:i/>
      <w:iCs/>
      <w:color w:val="156082" w:themeColor="accent1"/>
    </w:rPr>
  </w:style>
  <w:style w:type="paragraph" w:styleId="BodyText">
    <w:name w:val="Body Text"/>
    <w:basedOn w:val="Normal"/>
    <w:link w:val="BodyTextChar"/>
    <w:uiPriority w:val="99"/>
    <w:semiHidden/>
    <w:unhideWhenUsed/>
    <w:rsid w:val="004C094B"/>
    <w:pPr>
      <w:spacing w:after="120"/>
    </w:pPr>
  </w:style>
  <w:style w:type="character" w:customStyle="1" w:styleId="BodyTextChar">
    <w:name w:val="Body Text Char"/>
    <w:basedOn w:val="DefaultParagraphFont"/>
    <w:link w:val="BodyText"/>
    <w:uiPriority w:val="99"/>
    <w:semiHidden/>
    <w:rsid w:val="004C094B"/>
    <w:rPr>
      <w:rFonts w:ascii="Arial" w:hAnsi="Arial" w:cs="Arial"/>
    </w:rPr>
  </w:style>
  <w:style w:type="paragraph" w:styleId="BodyText2">
    <w:name w:val="Body Text 2"/>
    <w:basedOn w:val="Normal"/>
    <w:link w:val="BodyText2Char"/>
    <w:uiPriority w:val="99"/>
    <w:semiHidden/>
    <w:unhideWhenUsed/>
    <w:rsid w:val="004C094B"/>
    <w:pPr>
      <w:spacing w:after="120" w:line="480" w:lineRule="auto"/>
    </w:pPr>
  </w:style>
  <w:style w:type="character" w:customStyle="1" w:styleId="BodyText2Char">
    <w:name w:val="Body Text 2 Char"/>
    <w:basedOn w:val="DefaultParagraphFont"/>
    <w:link w:val="BodyText2"/>
    <w:uiPriority w:val="99"/>
    <w:semiHidden/>
    <w:rsid w:val="004C094B"/>
    <w:rPr>
      <w:rFonts w:ascii="Arial" w:hAnsi="Arial" w:cs="Arial"/>
    </w:rPr>
  </w:style>
  <w:style w:type="paragraph" w:styleId="BodyText3">
    <w:name w:val="Body Text 3"/>
    <w:basedOn w:val="Normal"/>
    <w:link w:val="BodyText3Char"/>
    <w:uiPriority w:val="99"/>
    <w:semiHidden/>
    <w:unhideWhenUsed/>
    <w:rsid w:val="004C094B"/>
    <w:pPr>
      <w:spacing w:after="120"/>
    </w:pPr>
    <w:rPr>
      <w:sz w:val="16"/>
      <w:szCs w:val="16"/>
    </w:rPr>
  </w:style>
  <w:style w:type="character" w:customStyle="1" w:styleId="BodyText3Char">
    <w:name w:val="Body Text 3 Char"/>
    <w:basedOn w:val="DefaultParagraphFont"/>
    <w:link w:val="BodyText3"/>
    <w:uiPriority w:val="99"/>
    <w:semiHidden/>
    <w:rsid w:val="004C094B"/>
    <w:rPr>
      <w:rFonts w:ascii="Arial" w:hAnsi="Arial" w:cs="Arial"/>
      <w:sz w:val="16"/>
      <w:szCs w:val="16"/>
    </w:rPr>
  </w:style>
  <w:style w:type="paragraph" w:styleId="BodyTextFirstIndent">
    <w:name w:val="Body Text First Indent"/>
    <w:basedOn w:val="BodyText"/>
    <w:link w:val="BodyTextFirstIndentChar"/>
    <w:uiPriority w:val="99"/>
    <w:semiHidden/>
    <w:unhideWhenUsed/>
    <w:rsid w:val="004C094B"/>
    <w:pPr>
      <w:spacing w:after="160"/>
      <w:ind w:firstLine="360"/>
    </w:pPr>
  </w:style>
  <w:style w:type="character" w:customStyle="1" w:styleId="BodyTextFirstIndentChar">
    <w:name w:val="Body Text First Indent Char"/>
    <w:basedOn w:val="BodyTextChar"/>
    <w:link w:val="BodyTextFirstIndent"/>
    <w:uiPriority w:val="99"/>
    <w:semiHidden/>
    <w:rsid w:val="004C094B"/>
    <w:rPr>
      <w:rFonts w:ascii="Arial" w:hAnsi="Arial" w:cs="Arial"/>
    </w:rPr>
  </w:style>
  <w:style w:type="paragraph" w:styleId="BodyTextIndent">
    <w:name w:val="Body Text Indent"/>
    <w:basedOn w:val="Normal"/>
    <w:link w:val="BodyTextIndentChar"/>
    <w:uiPriority w:val="99"/>
    <w:semiHidden/>
    <w:unhideWhenUsed/>
    <w:rsid w:val="004C094B"/>
    <w:pPr>
      <w:spacing w:after="120"/>
      <w:ind w:left="283"/>
    </w:pPr>
  </w:style>
  <w:style w:type="character" w:customStyle="1" w:styleId="BodyTextIndentChar">
    <w:name w:val="Body Text Indent Char"/>
    <w:basedOn w:val="DefaultParagraphFont"/>
    <w:link w:val="BodyTextIndent"/>
    <w:uiPriority w:val="99"/>
    <w:semiHidden/>
    <w:rsid w:val="004C094B"/>
    <w:rPr>
      <w:rFonts w:ascii="Arial" w:hAnsi="Arial" w:cs="Arial"/>
    </w:rPr>
  </w:style>
  <w:style w:type="paragraph" w:styleId="BodyTextFirstIndent2">
    <w:name w:val="Body Text First Indent 2"/>
    <w:basedOn w:val="BodyTextIndent"/>
    <w:link w:val="BodyTextFirstIndent2Char"/>
    <w:uiPriority w:val="99"/>
    <w:semiHidden/>
    <w:unhideWhenUsed/>
    <w:rsid w:val="004C094B"/>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4C094B"/>
    <w:rPr>
      <w:rFonts w:ascii="Arial" w:hAnsi="Arial" w:cs="Arial"/>
    </w:rPr>
  </w:style>
  <w:style w:type="paragraph" w:styleId="BodyTextIndent2">
    <w:name w:val="Body Text Indent 2"/>
    <w:basedOn w:val="Normal"/>
    <w:link w:val="BodyTextIndent2Char"/>
    <w:uiPriority w:val="99"/>
    <w:semiHidden/>
    <w:unhideWhenUsed/>
    <w:rsid w:val="004C094B"/>
    <w:pPr>
      <w:spacing w:after="120" w:line="480" w:lineRule="auto"/>
      <w:ind w:left="283"/>
    </w:pPr>
  </w:style>
  <w:style w:type="character" w:customStyle="1" w:styleId="BodyTextIndent2Char">
    <w:name w:val="Body Text Indent 2 Char"/>
    <w:basedOn w:val="DefaultParagraphFont"/>
    <w:link w:val="BodyTextIndent2"/>
    <w:uiPriority w:val="99"/>
    <w:semiHidden/>
    <w:rsid w:val="004C094B"/>
    <w:rPr>
      <w:rFonts w:ascii="Arial" w:hAnsi="Arial" w:cs="Arial"/>
    </w:rPr>
  </w:style>
  <w:style w:type="paragraph" w:styleId="BodyTextIndent3">
    <w:name w:val="Body Text Indent 3"/>
    <w:basedOn w:val="Normal"/>
    <w:link w:val="BodyTextIndent3Char"/>
    <w:uiPriority w:val="99"/>
    <w:semiHidden/>
    <w:unhideWhenUsed/>
    <w:rsid w:val="004C094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C094B"/>
    <w:rPr>
      <w:rFonts w:ascii="Arial" w:hAnsi="Arial" w:cs="Arial"/>
      <w:sz w:val="16"/>
      <w:szCs w:val="16"/>
    </w:rPr>
  </w:style>
  <w:style w:type="character" w:styleId="BookTitle">
    <w:name w:val="Book Title"/>
    <w:basedOn w:val="DefaultParagraphFont"/>
    <w:uiPriority w:val="33"/>
    <w:qFormat/>
    <w:rsid w:val="004C094B"/>
    <w:rPr>
      <w:rFonts w:ascii="Arial" w:hAnsi="Arial" w:cs="Arial"/>
      <w:b/>
      <w:bCs/>
      <w:i/>
      <w:iCs/>
      <w:spacing w:val="5"/>
    </w:rPr>
  </w:style>
  <w:style w:type="paragraph" w:styleId="Caption">
    <w:name w:val="caption"/>
    <w:basedOn w:val="Normal"/>
    <w:next w:val="Normal"/>
    <w:uiPriority w:val="35"/>
    <w:unhideWhenUsed/>
    <w:qFormat/>
    <w:rsid w:val="004C094B"/>
    <w:pPr>
      <w:spacing w:after="200" w:line="240" w:lineRule="auto"/>
    </w:pPr>
    <w:rPr>
      <w:i/>
      <w:iCs/>
      <w:color w:val="0E2841" w:themeColor="text2"/>
      <w:sz w:val="18"/>
      <w:szCs w:val="18"/>
    </w:rPr>
  </w:style>
  <w:style w:type="paragraph" w:styleId="Closing">
    <w:name w:val="Closing"/>
    <w:basedOn w:val="Normal"/>
    <w:link w:val="ClosingChar"/>
    <w:uiPriority w:val="99"/>
    <w:semiHidden/>
    <w:unhideWhenUsed/>
    <w:rsid w:val="004C094B"/>
    <w:pPr>
      <w:spacing w:after="0" w:line="240" w:lineRule="auto"/>
      <w:ind w:left="4252"/>
    </w:pPr>
  </w:style>
  <w:style w:type="character" w:customStyle="1" w:styleId="ClosingChar">
    <w:name w:val="Closing Char"/>
    <w:basedOn w:val="DefaultParagraphFont"/>
    <w:link w:val="Closing"/>
    <w:uiPriority w:val="99"/>
    <w:semiHidden/>
    <w:rsid w:val="004C094B"/>
    <w:rPr>
      <w:rFonts w:ascii="Arial" w:hAnsi="Arial" w:cs="Arial"/>
    </w:rPr>
  </w:style>
  <w:style w:type="table" w:styleId="ColorfulGrid">
    <w:name w:val="Colorful Grid"/>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rfulGrid-Accent2">
    <w:name w:val="Colorful Grid Accent 2"/>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rfulGrid-Accent3">
    <w:name w:val="Colorful Grid Accent 3"/>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rfulGrid-Accent4">
    <w:name w:val="Colorful Grid Accent 4"/>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rfulGrid-Accent5">
    <w:name w:val="Colorful Grid Accent 5"/>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rfulGrid-Accent6">
    <w:name w:val="Colorful Grid Accent 6"/>
    <w:basedOn w:val="TableNormal"/>
    <w:uiPriority w:val="73"/>
    <w:semiHidden/>
    <w:unhideWhenUsed/>
    <w:rsid w:val="004C094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rfulList">
    <w:name w:val="Colorful List"/>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List-Accent2">
    <w:name w:val="Colorful List Accent 2"/>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List-Accent3">
    <w:name w:val="Colorful List Accent 3"/>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List-Accent4">
    <w:name w:val="Colorful List Accent 4"/>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List-Accent5">
    <w:name w:val="Colorful List Accent 5"/>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List-Accent6">
    <w:name w:val="Colorful List Accent 6"/>
    <w:basedOn w:val="TableNormal"/>
    <w:uiPriority w:val="72"/>
    <w:semiHidden/>
    <w:unhideWhenUsed/>
    <w:rsid w:val="004C094B"/>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Shading">
    <w:name w:val="Colorful Shading"/>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Shading-Accent4">
    <w:name w:val="Colorful Shading Accent 4"/>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4C094B"/>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4C094B"/>
    <w:rPr>
      <w:rFonts w:ascii="Arial" w:hAnsi="Arial" w:cs="Arial"/>
      <w:sz w:val="16"/>
      <w:szCs w:val="16"/>
    </w:rPr>
  </w:style>
  <w:style w:type="paragraph" w:styleId="CommentText">
    <w:name w:val="annotation text"/>
    <w:basedOn w:val="Normal"/>
    <w:link w:val="CommentTextChar"/>
    <w:uiPriority w:val="99"/>
    <w:semiHidden/>
    <w:unhideWhenUsed/>
    <w:rsid w:val="004C094B"/>
    <w:pPr>
      <w:spacing w:line="240" w:lineRule="auto"/>
    </w:pPr>
    <w:rPr>
      <w:sz w:val="20"/>
      <w:szCs w:val="20"/>
    </w:rPr>
  </w:style>
  <w:style w:type="character" w:customStyle="1" w:styleId="CommentTextChar">
    <w:name w:val="Comment Text Char"/>
    <w:basedOn w:val="DefaultParagraphFont"/>
    <w:link w:val="CommentText"/>
    <w:uiPriority w:val="99"/>
    <w:semiHidden/>
    <w:rsid w:val="004C094B"/>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4C094B"/>
    <w:rPr>
      <w:b/>
      <w:bCs/>
    </w:rPr>
  </w:style>
  <w:style w:type="character" w:customStyle="1" w:styleId="CommentSubjectChar">
    <w:name w:val="Comment Subject Char"/>
    <w:basedOn w:val="CommentTextChar"/>
    <w:link w:val="CommentSubject"/>
    <w:uiPriority w:val="99"/>
    <w:semiHidden/>
    <w:rsid w:val="004C094B"/>
    <w:rPr>
      <w:rFonts w:ascii="Arial" w:hAnsi="Arial" w:cs="Arial"/>
      <w:b/>
      <w:bCs/>
      <w:sz w:val="20"/>
      <w:szCs w:val="20"/>
    </w:rPr>
  </w:style>
  <w:style w:type="table" w:styleId="DarkList">
    <w:name w:val="Dark List"/>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semiHidden/>
    <w:unhideWhenUsed/>
    <w:rsid w:val="004C094B"/>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paragraph" w:styleId="Date">
    <w:name w:val="Date"/>
    <w:basedOn w:val="Normal"/>
    <w:next w:val="Normal"/>
    <w:link w:val="DateChar"/>
    <w:uiPriority w:val="99"/>
    <w:semiHidden/>
    <w:unhideWhenUsed/>
    <w:rsid w:val="004C094B"/>
  </w:style>
  <w:style w:type="character" w:customStyle="1" w:styleId="DateChar">
    <w:name w:val="Date Char"/>
    <w:basedOn w:val="DefaultParagraphFont"/>
    <w:link w:val="Date"/>
    <w:uiPriority w:val="99"/>
    <w:semiHidden/>
    <w:rsid w:val="004C094B"/>
    <w:rPr>
      <w:rFonts w:ascii="Arial" w:hAnsi="Arial" w:cs="Arial"/>
    </w:rPr>
  </w:style>
  <w:style w:type="paragraph" w:styleId="DocumentMap">
    <w:name w:val="Document Map"/>
    <w:basedOn w:val="Normal"/>
    <w:link w:val="DocumentMapChar"/>
    <w:uiPriority w:val="99"/>
    <w:semiHidden/>
    <w:unhideWhenUsed/>
    <w:rsid w:val="004C094B"/>
    <w:pPr>
      <w:spacing w:after="0" w:line="240" w:lineRule="auto"/>
    </w:pPr>
    <w:rPr>
      <w:sz w:val="16"/>
      <w:szCs w:val="16"/>
    </w:rPr>
  </w:style>
  <w:style w:type="character" w:customStyle="1" w:styleId="DocumentMapChar">
    <w:name w:val="Document Map Char"/>
    <w:basedOn w:val="DefaultParagraphFont"/>
    <w:link w:val="DocumentMap"/>
    <w:uiPriority w:val="99"/>
    <w:semiHidden/>
    <w:rsid w:val="004C094B"/>
    <w:rPr>
      <w:rFonts w:ascii="Arial" w:hAnsi="Arial" w:cs="Arial"/>
      <w:sz w:val="16"/>
      <w:szCs w:val="16"/>
    </w:rPr>
  </w:style>
  <w:style w:type="paragraph" w:styleId="E-mailSignature">
    <w:name w:val="E-mail Signature"/>
    <w:basedOn w:val="Normal"/>
    <w:link w:val="E-mailSignatureChar"/>
    <w:uiPriority w:val="99"/>
    <w:semiHidden/>
    <w:unhideWhenUsed/>
    <w:rsid w:val="004C094B"/>
    <w:pPr>
      <w:spacing w:after="0" w:line="240" w:lineRule="auto"/>
    </w:pPr>
  </w:style>
  <w:style w:type="character" w:customStyle="1" w:styleId="E-mailSignatureChar">
    <w:name w:val="E-mail Signature Char"/>
    <w:basedOn w:val="DefaultParagraphFont"/>
    <w:link w:val="E-mailSignature"/>
    <w:uiPriority w:val="99"/>
    <w:semiHidden/>
    <w:rsid w:val="004C094B"/>
    <w:rPr>
      <w:rFonts w:ascii="Arial" w:hAnsi="Arial" w:cs="Arial"/>
    </w:rPr>
  </w:style>
  <w:style w:type="character" w:styleId="Emphasis">
    <w:name w:val="Emphasis"/>
    <w:basedOn w:val="DefaultParagraphFont"/>
    <w:uiPriority w:val="20"/>
    <w:qFormat/>
    <w:rsid w:val="004C094B"/>
    <w:rPr>
      <w:rFonts w:ascii="Arial" w:hAnsi="Arial" w:cs="Arial"/>
      <w:i/>
      <w:iCs/>
    </w:rPr>
  </w:style>
  <w:style w:type="character" w:styleId="EndnoteReference">
    <w:name w:val="endnote reference"/>
    <w:basedOn w:val="DefaultParagraphFont"/>
    <w:uiPriority w:val="99"/>
    <w:semiHidden/>
    <w:unhideWhenUsed/>
    <w:rsid w:val="004C094B"/>
    <w:rPr>
      <w:rFonts w:ascii="Arial" w:hAnsi="Arial" w:cs="Arial"/>
      <w:vertAlign w:val="superscript"/>
    </w:rPr>
  </w:style>
  <w:style w:type="paragraph" w:styleId="EndnoteText">
    <w:name w:val="endnote text"/>
    <w:basedOn w:val="Normal"/>
    <w:link w:val="EndnoteTextChar"/>
    <w:uiPriority w:val="99"/>
    <w:semiHidden/>
    <w:unhideWhenUsed/>
    <w:rsid w:val="004C094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C094B"/>
    <w:rPr>
      <w:rFonts w:ascii="Arial" w:hAnsi="Arial" w:cs="Arial"/>
      <w:sz w:val="20"/>
      <w:szCs w:val="20"/>
    </w:rPr>
  </w:style>
  <w:style w:type="paragraph" w:styleId="EnvelopeAddress">
    <w:name w:val="envelope address"/>
    <w:basedOn w:val="Normal"/>
    <w:uiPriority w:val="99"/>
    <w:semiHidden/>
    <w:unhideWhenUsed/>
    <w:rsid w:val="004C094B"/>
    <w:pPr>
      <w:framePr w:w="7920" w:h="1980" w:hRule="exact" w:hSpace="180" w:wrap="auto" w:hAnchor="page" w:xAlign="center" w:yAlign="bottom"/>
      <w:spacing w:after="0" w:line="240" w:lineRule="auto"/>
      <w:ind w:left="2880"/>
    </w:pPr>
    <w:rPr>
      <w:rFonts w:eastAsiaTheme="majorEastAsia"/>
      <w:sz w:val="24"/>
      <w:szCs w:val="24"/>
    </w:rPr>
  </w:style>
  <w:style w:type="paragraph" w:styleId="EnvelopeReturn">
    <w:name w:val="envelope return"/>
    <w:basedOn w:val="Normal"/>
    <w:uiPriority w:val="99"/>
    <w:semiHidden/>
    <w:unhideWhenUsed/>
    <w:rsid w:val="004C094B"/>
    <w:pPr>
      <w:spacing w:after="0" w:line="240" w:lineRule="auto"/>
    </w:pPr>
    <w:rPr>
      <w:rFonts w:eastAsiaTheme="majorEastAsia"/>
      <w:sz w:val="20"/>
      <w:szCs w:val="20"/>
    </w:rPr>
  </w:style>
  <w:style w:type="character" w:styleId="FollowedHyperlink">
    <w:name w:val="FollowedHyperlink"/>
    <w:basedOn w:val="DefaultParagraphFont"/>
    <w:uiPriority w:val="99"/>
    <w:semiHidden/>
    <w:unhideWhenUsed/>
    <w:rsid w:val="004C094B"/>
    <w:rPr>
      <w:rFonts w:ascii="Arial" w:hAnsi="Arial" w:cs="Arial"/>
      <w:color w:val="96607D" w:themeColor="followedHyperlink"/>
      <w:u w:val="single"/>
    </w:rPr>
  </w:style>
  <w:style w:type="paragraph" w:styleId="Footer">
    <w:name w:val="footer"/>
    <w:basedOn w:val="Normal"/>
    <w:link w:val="FooterChar"/>
    <w:uiPriority w:val="99"/>
    <w:unhideWhenUsed/>
    <w:rsid w:val="004C0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94B"/>
    <w:rPr>
      <w:rFonts w:ascii="Arial" w:hAnsi="Arial" w:cs="Arial"/>
    </w:rPr>
  </w:style>
  <w:style w:type="character" w:styleId="FootnoteReference">
    <w:name w:val="footnote reference"/>
    <w:basedOn w:val="DefaultParagraphFont"/>
    <w:uiPriority w:val="99"/>
    <w:semiHidden/>
    <w:unhideWhenUsed/>
    <w:rsid w:val="004C094B"/>
    <w:rPr>
      <w:rFonts w:ascii="Arial" w:hAnsi="Arial" w:cs="Arial"/>
      <w:vertAlign w:val="superscript"/>
    </w:rPr>
  </w:style>
  <w:style w:type="paragraph" w:styleId="FootnoteText">
    <w:name w:val="footnote text"/>
    <w:basedOn w:val="Normal"/>
    <w:link w:val="FootnoteTextChar"/>
    <w:uiPriority w:val="99"/>
    <w:semiHidden/>
    <w:unhideWhenUsed/>
    <w:rsid w:val="004C09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094B"/>
    <w:rPr>
      <w:rFonts w:ascii="Arial" w:hAnsi="Arial" w:cs="Arial"/>
      <w:sz w:val="20"/>
      <w:szCs w:val="20"/>
    </w:rPr>
  </w:style>
  <w:style w:type="table" w:styleId="GridTable1Light">
    <w:name w:val="Grid Table 1 Light"/>
    <w:basedOn w:val="TableNormal"/>
    <w:uiPriority w:val="46"/>
    <w:rsid w:val="004C094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C094B"/>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C094B"/>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C094B"/>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C094B"/>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C094B"/>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C094B"/>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C094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C094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4C094B"/>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4C094B"/>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4C094B"/>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4C094B"/>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4C094B"/>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4C09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rful">
    <w:name w:val="Grid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C094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rful-Accent2">
    <w:name w:val="Grid Table 6 Colorful Accent 2"/>
    <w:basedOn w:val="TableNormal"/>
    <w:uiPriority w:val="51"/>
    <w:rsid w:val="004C094B"/>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3">
    <w:name w:val="Grid Table 6 Colorful Accent 3"/>
    <w:basedOn w:val="TableNormal"/>
    <w:uiPriority w:val="51"/>
    <w:rsid w:val="004C094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rful-Accent4">
    <w:name w:val="Grid Table 6 Colorful Accent 4"/>
    <w:basedOn w:val="TableNormal"/>
    <w:uiPriority w:val="51"/>
    <w:rsid w:val="004C094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5">
    <w:name w:val="Grid Table 6 Colorful Accent 5"/>
    <w:basedOn w:val="TableNormal"/>
    <w:uiPriority w:val="51"/>
    <w:rsid w:val="004C094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4C094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
    <w:name w:val="Grid Table 7 Colorful"/>
    <w:basedOn w:val="TableNormal"/>
    <w:uiPriority w:val="52"/>
    <w:rsid w:val="004C094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C094B"/>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rful-Accent2">
    <w:name w:val="Grid Table 7 Colorful Accent 2"/>
    <w:basedOn w:val="TableNormal"/>
    <w:uiPriority w:val="52"/>
    <w:rsid w:val="004C094B"/>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rful-Accent3">
    <w:name w:val="Grid Table 7 Colorful Accent 3"/>
    <w:basedOn w:val="TableNormal"/>
    <w:uiPriority w:val="52"/>
    <w:rsid w:val="004C094B"/>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rful-Accent4">
    <w:name w:val="Grid Table 7 Colorful Accent 4"/>
    <w:basedOn w:val="TableNormal"/>
    <w:uiPriority w:val="52"/>
    <w:rsid w:val="004C094B"/>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rful-Accent5">
    <w:name w:val="Grid Table 7 Colorful Accent 5"/>
    <w:basedOn w:val="TableNormal"/>
    <w:uiPriority w:val="52"/>
    <w:rsid w:val="004C094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rful-Accent6">
    <w:name w:val="Grid Table 7 Colorful Accent 6"/>
    <w:basedOn w:val="TableNormal"/>
    <w:uiPriority w:val="52"/>
    <w:rsid w:val="004C094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character" w:styleId="Hashtag">
    <w:name w:val="Hashtag"/>
    <w:basedOn w:val="DefaultParagraphFont"/>
    <w:uiPriority w:val="99"/>
    <w:semiHidden/>
    <w:unhideWhenUsed/>
    <w:rsid w:val="004C094B"/>
    <w:rPr>
      <w:rFonts w:ascii="Arial" w:hAnsi="Arial" w:cs="Arial"/>
      <w:color w:val="2B579A"/>
      <w:shd w:val="clear" w:color="auto" w:fill="E1DFDD"/>
    </w:rPr>
  </w:style>
  <w:style w:type="paragraph" w:styleId="Header">
    <w:name w:val="header"/>
    <w:basedOn w:val="Normal"/>
    <w:link w:val="HeaderChar"/>
    <w:uiPriority w:val="99"/>
    <w:unhideWhenUsed/>
    <w:rsid w:val="004C0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94B"/>
    <w:rPr>
      <w:rFonts w:ascii="Arial" w:hAnsi="Arial" w:cs="Arial"/>
    </w:rPr>
  </w:style>
  <w:style w:type="character" w:styleId="HTMLAcronym">
    <w:name w:val="HTML Acronym"/>
    <w:basedOn w:val="DefaultParagraphFont"/>
    <w:uiPriority w:val="99"/>
    <w:semiHidden/>
    <w:unhideWhenUsed/>
    <w:rsid w:val="004C094B"/>
    <w:rPr>
      <w:rFonts w:ascii="Arial" w:hAnsi="Arial" w:cs="Arial"/>
    </w:rPr>
  </w:style>
  <w:style w:type="paragraph" w:styleId="HTMLAddress">
    <w:name w:val="HTML Address"/>
    <w:basedOn w:val="Normal"/>
    <w:link w:val="HTMLAddressChar"/>
    <w:uiPriority w:val="99"/>
    <w:semiHidden/>
    <w:unhideWhenUsed/>
    <w:rsid w:val="004C094B"/>
    <w:pPr>
      <w:spacing w:after="0" w:line="240" w:lineRule="auto"/>
    </w:pPr>
    <w:rPr>
      <w:i/>
      <w:iCs/>
    </w:rPr>
  </w:style>
  <w:style w:type="character" w:customStyle="1" w:styleId="HTMLAddressChar">
    <w:name w:val="HTML Address Char"/>
    <w:basedOn w:val="DefaultParagraphFont"/>
    <w:link w:val="HTMLAddress"/>
    <w:uiPriority w:val="99"/>
    <w:semiHidden/>
    <w:rsid w:val="004C094B"/>
    <w:rPr>
      <w:rFonts w:ascii="Arial" w:hAnsi="Arial" w:cs="Arial"/>
      <w:i/>
      <w:iCs/>
    </w:rPr>
  </w:style>
  <w:style w:type="character" w:styleId="HTMLCite">
    <w:name w:val="HTML Cite"/>
    <w:basedOn w:val="DefaultParagraphFont"/>
    <w:uiPriority w:val="99"/>
    <w:semiHidden/>
    <w:unhideWhenUsed/>
    <w:rsid w:val="004C094B"/>
    <w:rPr>
      <w:rFonts w:ascii="Arial" w:hAnsi="Arial" w:cs="Arial"/>
      <w:i/>
      <w:iCs/>
    </w:rPr>
  </w:style>
  <w:style w:type="character" w:styleId="HTMLCode">
    <w:name w:val="HTML Code"/>
    <w:basedOn w:val="DefaultParagraphFont"/>
    <w:uiPriority w:val="99"/>
    <w:semiHidden/>
    <w:unhideWhenUsed/>
    <w:rsid w:val="004C094B"/>
    <w:rPr>
      <w:rFonts w:ascii="Arial" w:hAnsi="Arial" w:cs="Arial"/>
      <w:sz w:val="20"/>
      <w:szCs w:val="20"/>
    </w:rPr>
  </w:style>
  <w:style w:type="character" w:styleId="HTMLDefinition">
    <w:name w:val="HTML Definition"/>
    <w:basedOn w:val="DefaultParagraphFont"/>
    <w:uiPriority w:val="99"/>
    <w:semiHidden/>
    <w:unhideWhenUsed/>
    <w:rsid w:val="004C094B"/>
    <w:rPr>
      <w:rFonts w:ascii="Arial" w:hAnsi="Arial" w:cs="Arial"/>
      <w:i/>
      <w:iCs/>
    </w:rPr>
  </w:style>
  <w:style w:type="character" w:styleId="HTMLKeyboard">
    <w:name w:val="HTML Keyboard"/>
    <w:basedOn w:val="DefaultParagraphFont"/>
    <w:uiPriority w:val="99"/>
    <w:semiHidden/>
    <w:unhideWhenUsed/>
    <w:rsid w:val="004C094B"/>
    <w:rPr>
      <w:rFonts w:ascii="Arial" w:hAnsi="Arial" w:cs="Arial"/>
      <w:sz w:val="20"/>
      <w:szCs w:val="20"/>
    </w:rPr>
  </w:style>
  <w:style w:type="paragraph" w:styleId="HTMLPreformatted">
    <w:name w:val="HTML Preformatted"/>
    <w:basedOn w:val="Normal"/>
    <w:link w:val="HTMLPreformattedChar"/>
    <w:uiPriority w:val="99"/>
    <w:semiHidden/>
    <w:unhideWhenUsed/>
    <w:rsid w:val="004C094B"/>
    <w:pPr>
      <w:spacing w:after="0" w:line="240" w:lineRule="auto"/>
    </w:pPr>
    <w:rPr>
      <w:sz w:val="20"/>
      <w:szCs w:val="20"/>
    </w:rPr>
  </w:style>
  <w:style w:type="character" w:customStyle="1" w:styleId="HTMLPreformattedChar">
    <w:name w:val="HTML Preformatted Char"/>
    <w:basedOn w:val="DefaultParagraphFont"/>
    <w:link w:val="HTMLPreformatted"/>
    <w:uiPriority w:val="99"/>
    <w:semiHidden/>
    <w:rsid w:val="004C094B"/>
    <w:rPr>
      <w:rFonts w:ascii="Arial" w:hAnsi="Arial" w:cs="Arial"/>
      <w:sz w:val="20"/>
      <w:szCs w:val="20"/>
    </w:rPr>
  </w:style>
  <w:style w:type="character" w:styleId="HTMLSample">
    <w:name w:val="HTML Sample"/>
    <w:basedOn w:val="DefaultParagraphFont"/>
    <w:uiPriority w:val="99"/>
    <w:semiHidden/>
    <w:unhideWhenUsed/>
    <w:rsid w:val="004C094B"/>
    <w:rPr>
      <w:rFonts w:ascii="Arial" w:hAnsi="Arial" w:cs="Arial"/>
      <w:sz w:val="24"/>
      <w:szCs w:val="24"/>
    </w:rPr>
  </w:style>
  <w:style w:type="character" w:styleId="HTMLTypewriter">
    <w:name w:val="HTML Typewriter"/>
    <w:basedOn w:val="DefaultParagraphFont"/>
    <w:uiPriority w:val="99"/>
    <w:semiHidden/>
    <w:unhideWhenUsed/>
    <w:rsid w:val="004C094B"/>
    <w:rPr>
      <w:rFonts w:ascii="Arial" w:hAnsi="Arial" w:cs="Arial"/>
      <w:sz w:val="20"/>
      <w:szCs w:val="20"/>
    </w:rPr>
  </w:style>
  <w:style w:type="character" w:styleId="HTMLVariable">
    <w:name w:val="HTML Variable"/>
    <w:basedOn w:val="DefaultParagraphFont"/>
    <w:uiPriority w:val="99"/>
    <w:semiHidden/>
    <w:unhideWhenUsed/>
    <w:rsid w:val="004C094B"/>
    <w:rPr>
      <w:rFonts w:ascii="Arial" w:hAnsi="Arial" w:cs="Arial"/>
      <w:i/>
      <w:iCs/>
    </w:rPr>
  </w:style>
  <w:style w:type="character" w:styleId="Hyperlink">
    <w:name w:val="Hyperlink"/>
    <w:basedOn w:val="DefaultParagraphFont"/>
    <w:uiPriority w:val="99"/>
    <w:unhideWhenUsed/>
    <w:rsid w:val="004C094B"/>
    <w:rPr>
      <w:rFonts w:ascii="Arial" w:hAnsi="Arial" w:cs="Arial"/>
      <w:color w:val="467886" w:themeColor="hyperlink"/>
      <w:u w:val="single"/>
    </w:rPr>
  </w:style>
  <w:style w:type="paragraph" w:styleId="Index1">
    <w:name w:val="index 1"/>
    <w:basedOn w:val="Normal"/>
    <w:next w:val="Normal"/>
    <w:autoRedefine/>
    <w:uiPriority w:val="99"/>
    <w:semiHidden/>
    <w:unhideWhenUsed/>
    <w:rsid w:val="004C094B"/>
    <w:pPr>
      <w:spacing w:after="0" w:line="240" w:lineRule="auto"/>
      <w:ind w:left="220" w:hanging="220"/>
    </w:pPr>
  </w:style>
  <w:style w:type="paragraph" w:styleId="Index2">
    <w:name w:val="index 2"/>
    <w:basedOn w:val="Normal"/>
    <w:next w:val="Normal"/>
    <w:autoRedefine/>
    <w:uiPriority w:val="99"/>
    <w:semiHidden/>
    <w:unhideWhenUsed/>
    <w:rsid w:val="004C094B"/>
    <w:pPr>
      <w:spacing w:after="0" w:line="240" w:lineRule="auto"/>
      <w:ind w:left="440" w:hanging="220"/>
    </w:pPr>
  </w:style>
  <w:style w:type="paragraph" w:styleId="Index3">
    <w:name w:val="index 3"/>
    <w:basedOn w:val="Normal"/>
    <w:next w:val="Normal"/>
    <w:autoRedefine/>
    <w:uiPriority w:val="99"/>
    <w:semiHidden/>
    <w:unhideWhenUsed/>
    <w:rsid w:val="004C094B"/>
    <w:pPr>
      <w:spacing w:after="0" w:line="240" w:lineRule="auto"/>
      <w:ind w:left="660" w:hanging="220"/>
    </w:pPr>
  </w:style>
  <w:style w:type="paragraph" w:styleId="Index4">
    <w:name w:val="index 4"/>
    <w:basedOn w:val="Normal"/>
    <w:next w:val="Normal"/>
    <w:autoRedefine/>
    <w:uiPriority w:val="99"/>
    <w:semiHidden/>
    <w:unhideWhenUsed/>
    <w:rsid w:val="004C094B"/>
    <w:pPr>
      <w:spacing w:after="0" w:line="240" w:lineRule="auto"/>
      <w:ind w:left="880" w:hanging="220"/>
    </w:pPr>
  </w:style>
  <w:style w:type="paragraph" w:styleId="Index5">
    <w:name w:val="index 5"/>
    <w:basedOn w:val="Normal"/>
    <w:next w:val="Normal"/>
    <w:autoRedefine/>
    <w:uiPriority w:val="99"/>
    <w:semiHidden/>
    <w:unhideWhenUsed/>
    <w:rsid w:val="004C094B"/>
    <w:pPr>
      <w:spacing w:after="0" w:line="240" w:lineRule="auto"/>
      <w:ind w:left="1100" w:hanging="220"/>
    </w:pPr>
  </w:style>
  <w:style w:type="paragraph" w:styleId="Index6">
    <w:name w:val="index 6"/>
    <w:basedOn w:val="Normal"/>
    <w:next w:val="Normal"/>
    <w:autoRedefine/>
    <w:uiPriority w:val="99"/>
    <w:semiHidden/>
    <w:unhideWhenUsed/>
    <w:rsid w:val="004C094B"/>
    <w:pPr>
      <w:spacing w:after="0" w:line="240" w:lineRule="auto"/>
      <w:ind w:left="1320" w:hanging="220"/>
    </w:pPr>
  </w:style>
  <w:style w:type="paragraph" w:styleId="Index7">
    <w:name w:val="index 7"/>
    <w:basedOn w:val="Normal"/>
    <w:next w:val="Normal"/>
    <w:autoRedefine/>
    <w:uiPriority w:val="99"/>
    <w:semiHidden/>
    <w:unhideWhenUsed/>
    <w:rsid w:val="004C094B"/>
    <w:pPr>
      <w:spacing w:after="0" w:line="240" w:lineRule="auto"/>
      <w:ind w:left="1540" w:hanging="220"/>
    </w:pPr>
  </w:style>
  <w:style w:type="paragraph" w:styleId="Index8">
    <w:name w:val="index 8"/>
    <w:basedOn w:val="Normal"/>
    <w:next w:val="Normal"/>
    <w:autoRedefine/>
    <w:uiPriority w:val="99"/>
    <w:semiHidden/>
    <w:unhideWhenUsed/>
    <w:rsid w:val="004C094B"/>
    <w:pPr>
      <w:spacing w:after="0" w:line="240" w:lineRule="auto"/>
      <w:ind w:left="1760" w:hanging="220"/>
    </w:pPr>
  </w:style>
  <w:style w:type="paragraph" w:styleId="Index9">
    <w:name w:val="index 9"/>
    <w:basedOn w:val="Normal"/>
    <w:next w:val="Normal"/>
    <w:autoRedefine/>
    <w:uiPriority w:val="99"/>
    <w:semiHidden/>
    <w:unhideWhenUsed/>
    <w:rsid w:val="004C094B"/>
    <w:pPr>
      <w:spacing w:after="0" w:line="240" w:lineRule="auto"/>
      <w:ind w:left="1980" w:hanging="220"/>
    </w:pPr>
  </w:style>
  <w:style w:type="paragraph" w:styleId="IndexHeading">
    <w:name w:val="index heading"/>
    <w:basedOn w:val="Normal"/>
    <w:next w:val="Index1"/>
    <w:uiPriority w:val="99"/>
    <w:semiHidden/>
    <w:unhideWhenUsed/>
    <w:rsid w:val="004C094B"/>
    <w:rPr>
      <w:rFonts w:eastAsiaTheme="majorEastAsia"/>
      <w:b/>
      <w:bCs/>
    </w:rPr>
  </w:style>
  <w:style w:type="character" w:styleId="IntenseEmphasis">
    <w:name w:val="Intense Emphasis"/>
    <w:basedOn w:val="DefaultParagraphFont"/>
    <w:uiPriority w:val="21"/>
    <w:qFormat/>
    <w:rsid w:val="004C094B"/>
    <w:rPr>
      <w:rFonts w:ascii="Arial" w:hAnsi="Arial" w:cs="Arial"/>
      <w:i/>
      <w:iCs/>
      <w:color w:val="156082" w:themeColor="accent1"/>
    </w:rPr>
  </w:style>
  <w:style w:type="paragraph" w:styleId="IntenseQuote">
    <w:name w:val="Intense Quote"/>
    <w:basedOn w:val="Normal"/>
    <w:next w:val="Normal"/>
    <w:link w:val="IntenseQuoteChar"/>
    <w:uiPriority w:val="30"/>
    <w:qFormat/>
    <w:rsid w:val="004C094B"/>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4C094B"/>
    <w:rPr>
      <w:rFonts w:ascii="Arial" w:hAnsi="Arial" w:cs="Arial"/>
      <w:i/>
      <w:iCs/>
      <w:color w:val="156082" w:themeColor="accent1"/>
    </w:rPr>
  </w:style>
  <w:style w:type="character" w:styleId="IntenseReference">
    <w:name w:val="Intense Reference"/>
    <w:basedOn w:val="DefaultParagraphFont"/>
    <w:uiPriority w:val="32"/>
    <w:qFormat/>
    <w:rsid w:val="004C094B"/>
    <w:rPr>
      <w:rFonts w:ascii="Arial" w:hAnsi="Arial" w:cs="Arial"/>
      <w:b/>
      <w:bCs/>
      <w:smallCaps/>
      <w:color w:val="156082" w:themeColor="accent1"/>
      <w:spacing w:val="5"/>
    </w:rPr>
  </w:style>
  <w:style w:type="table" w:styleId="LightGrid">
    <w:name w:val="Light Grid"/>
    <w:basedOn w:val="TableNormal"/>
    <w:uiPriority w:val="62"/>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4C094B"/>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semiHidden/>
    <w:unhideWhenUsed/>
    <w:rsid w:val="004C094B"/>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semiHidden/>
    <w:unhideWhenUsed/>
    <w:rsid w:val="004C094B"/>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semiHidden/>
    <w:unhideWhenUsed/>
    <w:rsid w:val="004C094B"/>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semiHidden/>
    <w:unhideWhenUsed/>
    <w:rsid w:val="004C094B"/>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semiHidden/>
    <w:unhideWhenUsed/>
    <w:rsid w:val="004C094B"/>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semiHidden/>
    <w:unhideWhenUsed/>
    <w:rsid w:val="004C094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4C094B"/>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semiHidden/>
    <w:unhideWhenUsed/>
    <w:rsid w:val="004C094B"/>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semiHidden/>
    <w:unhideWhenUsed/>
    <w:rsid w:val="004C094B"/>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semiHidden/>
    <w:unhideWhenUsed/>
    <w:rsid w:val="004C094B"/>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semiHidden/>
    <w:unhideWhenUsed/>
    <w:rsid w:val="004C094B"/>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semiHidden/>
    <w:unhideWhenUsed/>
    <w:rsid w:val="004C094B"/>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semiHidden/>
    <w:unhideWhenUsed/>
    <w:rsid w:val="004C094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4C094B"/>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semiHidden/>
    <w:unhideWhenUsed/>
    <w:rsid w:val="004C094B"/>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semiHidden/>
    <w:unhideWhenUsed/>
    <w:rsid w:val="004C094B"/>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semiHidden/>
    <w:unhideWhenUsed/>
    <w:rsid w:val="004C094B"/>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semiHidden/>
    <w:unhideWhenUsed/>
    <w:rsid w:val="004C094B"/>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semiHidden/>
    <w:unhideWhenUsed/>
    <w:rsid w:val="004C094B"/>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character" w:styleId="LineNumber">
    <w:name w:val="line number"/>
    <w:basedOn w:val="DefaultParagraphFont"/>
    <w:uiPriority w:val="99"/>
    <w:semiHidden/>
    <w:unhideWhenUsed/>
    <w:rsid w:val="004C094B"/>
    <w:rPr>
      <w:rFonts w:ascii="Arial" w:hAnsi="Arial" w:cs="Arial"/>
    </w:rPr>
  </w:style>
  <w:style w:type="paragraph" w:styleId="List">
    <w:name w:val="List"/>
    <w:basedOn w:val="Normal"/>
    <w:uiPriority w:val="99"/>
    <w:semiHidden/>
    <w:unhideWhenUsed/>
    <w:rsid w:val="004C094B"/>
    <w:pPr>
      <w:ind w:left="283" w:hanging="283"/>
      <w:contextualSpacing/>
    </w:pPr>
  </w:style>
  <w:style w:type="paragraph" w:styleId="List2">
    <w:name w:val="List 2"/>
    <w:basedOn w:val="Normal"/>
    <w:uiPriority w:val="99"/>
    <w:semiHidden/>
    <w:unhideWhenUsed/>
    <w:rsid w:val="004C094B"/>
    <w:pPr>
      <w:ind w:left="566" w:hanging="283"/>
      <w:contextualSpacing/>
    </w:pPr>
  </w:style>
  <w:style w:type="paragraph" w:styleId="List3">
    <w:name w:val="List 3"/>
    <w:basedOn w:val="Normal"/>
    <w:uiPriority w:val="99"/>
    <w:semiHidden/>
    <w:unhideWhenUsed/>
    <w:rsid w:val="004C094B"/>
    <w:pPr>
      <w:ind w:left="849" w:hanging="283"/>
      <w:contextualSpacing/>
    </w:pPr>
  </w:style>
  <w:style w:type="paragraph" w:styleId="List4">
    <w:name w:val="List 4"/>
    <w:basedOn w:val="Normal"/>
    <w:uiPriority w:val="99"/>
    <w:semiHidden/>
    <w:unhideWhenUsed/>
    <w:rsid w:val="004C094B"/>
    <w:pPr>
      <w:ind w:left="1132" w:hanging="283"/>
      <w:contextualSpacing/>
    </w:pPr>
  </w:style>
  <w:style w:type="paragraph" w:styleId="List5">
    <w:name w:val="List 5"/>
    <w:basedOn w:val="Normal"/>
    <w:uiPriority w:val="99"/>
    <w:semiHidden/>
    <w:unhideWhenUsed/>
    <w:rsid w:val="004C094B"/>
    <w:pPr>
      <w:ind w:left="1415" w:hanging="283"/>
      <w:contextualSpacing/>
    </w:pPr>
  </w:style>
  <w:style w:type="paragraph" w:styleId="ListBullet">
    <w:name w:val="List Bullet"/>
    <w:basedOn w:val="Normal"/>
    <w:uiPriority w:val="99"/>
    <w:semiHidden/>
    <w:unhideWhenUsed/>
    <w:rsid w:val="004C094B"/>
    <w:pPr>
      <w:numPr>
        <w:numId w:val="4"/>
      </w:numPr>
      <w:contextualSpacing/>
    </w:pPr>
  </w:style>
  <w:style w:type="paragraph" w:styleId="ListBullet2">
    <w:name w:val="List Bullet 2"/>
    <w:basedOn w:val="Normal"/>
    <w:uiPriority w:val="99"/>
    <w:semiHidden/>
    <w:unhideWhenUsed/>
    <w:rsid w:val="004C094B"/>
    <w:pPr>
      <w:numPr>
        <w:numId w:val="5"/>
      </w:numPr>
      <w:contextualSpacing/>
    </w:pPr>
  </w:style>
  <w:style w:type="paragraph" w:styleId="ListBullet3">
    <w:name w:val="List Bullet 3"/>
    <w:basedOn w:val="Normal"/>
    <w:uiPriority w:val="99"/>
    <w:semiHidden/>
    <w:unhideWhenUsed/>
    <w:rsid w:val="004C094B"/>
    <w:pPr>
      <w:numPr>
        <w:numId w:val="6"/>
      </w:numPr>
      <w:contextualSpacing/>
    </w:pPr>
  </w:style>
  <w:style w:type="paragraph" w:styleId="ListBullet4">
    <w:name w:val="List Bullet 4"/>
    <w:basedOn w:val="Normal"/>
    <w:uiPriority w:val="99"/>
    <w:semiHidden/>
    <w:unhideWhenUsed/>
    <w:rsid w:val="004C094B"/>
    <w:pPr>
      <w:numPr>
        <w:numId w:val="7"/>
      </w:numPr>
      <w:contextualSpacing/>
    </w:pPr>
  </w:style>
  <w:style w:type="paragraph" w:styleId="ListBullet5">
    <w:name w:val="List Bullet 5"/>
    <w:basedOn w:val="Normal"/>
    <w:uiPriority w:val="99"/>
    <w:semiHidden/>
    <w:unhideWhenUsed/>
    <w:rsid w:val="004C094B"/>
    <w:pPr>
      <w:numPr>
        <w:numId w:val="8"/>
      </w:numPr>
      <w:contextualSpacing/>
    </w:pPr>
  </w:style>
  <w:style w:type="paragraph" w:styleId="ListContinue">
    <w:name w:val="List Continue"/>
    <w:basedOn w:val="Normal"/>
    <w:uiPriority w:val="99"/>
    <w:semiHidden/>
    <w:unhideWhenUsed/>
    <w:rsid w:val="004C094B"/>
    <w:pPr>
      <w:spacing w:after="120"/>
      <w:ind w:left="283"/>
      <w:contextualSpacing/>
    </w:pPr>
  </w:style>
  <w:style w:type="paragraph" w:styleId="ListContinue2">
    <w:name w:val="List Continue 2"/>
    <w:basedOn w:val="Normal"/>
    <w:uiPriority w:val="99"/>
    <w:semiHidden/>
    <w:unhideWhenUsed/>
    <w:rsid w:val="004C094B"/>
    <w:pPr>
      <w:spacing w:after="120"/>
      <w:ind w:left="566"/>
      <w:contextualSpacing/>
    </w:pPr>
  </w:style>
  <w:style w:type="paragraph" w:styleId="ListContinue3">
    <w:name w:val="List Continue 3"/>
    <w:basedOn w:val="Normal"/>
    <w:uiPriority w:val="99"/>
    <w:semiHidden/>
    <w:unhideWhenUsed/>
    <w:rsid w:val="004C094B"/>
    <w:pPr>
      <w:spacing w:after="120"/>
      <w:ind w:left="849"/>
      <w:contextualSpacing/>
    </w:pPr>
  </w:style>
  <w:style w:type="paragraph" w:styleId="ListContinue4">
    <w:name w:val="List Continue 4"/>
    <w:basedOn w:val="Normal"/>
    <w:uiPriority w:val="99"/>
    <w:semiHidden/>
    <w:unhideWhenUsed/>
    <w:rsid w:val="004C094B"/>
    <w:pPr>
      <w:spacing w:after="120"/>
      <w:ind w:left="1132"/>
      <w:contextualSpacing/>
    </w:pPr>
  </w:style>
  <w:style w:type="paragraph" w:styleId="ListContinue5">
    <w:name w:val="List Continue 5"/>
    <w:basedOn w:val="Normal"/>
    <w:uiPriority w:val="99"/>
    <w:semiHidden/>
    <w:unhideWhenUsed/>
    <w:rsid w:val="004C094B"/>
    <w:pPr>
      <w:spacing w:after="120"/>
      <w:ind w:left="1415"/>
      <w:contextualSpacing/>
    </w:pPr>
  </w:style>
  <w:style w:type="paragraph" w:styleId="ListNumber">
    <w:name w:val="List Number"/>
    <w:basedOn w:val="Normal"/>
    <w:uiPriority w:val="99"/>
    <w:semiHidden/>
    <w:unhideWhenUsed/>
    <w:rsid w:val="004C094B"/>
    <w:pPr>
      <w:numPr>
        <w:numId w:val="9"/>
      </w:numPr>
      <w:contextualSpacing/>
    </w:pPr>
  </w:style>
  <w:style w:type="paragraph" w:styleId="ListNumber2">
    <w:name w:val="List Number 2"/>
    <w:basedOn w:val="Normal"/>
    <w:uiPriority w:val="99"/>
    <w:semiHidden/>
    <w:unhideWhenUsed/>
    <w:rsid w:val="004C094B"/>
    <w:pPr>
      <w:numPr>
        <w:numId w:val="10"/>
      </w:numPr>
      <w:contextualSpacing/>
    </w:pPr>
  </w:style>
  <w:style w:type="paragraph" w:styleId="ListNumber3">
    <w:name w:val="List Number 3"/>
    <w:basedOn w:val="Normal"/>
    <w:uiPriority w:val="99"/>
    <w:semiHidden/>
    <w:unhideWhenUsed/>
    <w:rsid w:val="004C094B"/>
    <w:pPr>
      <w:numPr>
        <w:numId w:val="11"/>
      </w:numPr>
      <w:contextualSpacing/>
    </w:pPr>
  </w:style>
  <w:style w:type="paragraph" w:styleId="ListNumber4">
    <w:name w:val="List Number 4"/>
    <w:basedOn w:val="Normal"/>
    <w:uiPriority w:val="99"/>
    <w:semiHidden/>
    <w:unhideWhenUsed/>
    <w:rsid w:val="004C094B"/>
    <w:pPr>
      <w:numPr>
        <w:numId w:val="12"/>
      </w:numPr>
      <w:contextualSpacing/>
    </w:pPr>
  </w:style>
  <w:style w:type="paragraph" w:styleId="ListNumber5">
    <w:name w:val="List Number 5"/>
    <w:basedOn w:val="Normal"/>
    <w:uiPriority w:val="99"/>
    <w:semiHidden/>
    <w:unhideWhenUsed/>
    <w:rsid w:val="004C094B"/>
    <w:pPr>
      <w:numPr>
        <w:numId w:val="13"/>
      </w:numPr>
      <w:contextualSpacing/>
    </w:pPr>
  </w:style>
  <w:style w:type="paragraph" w:styleId="ListParagraph">
    <w:name w:val="List Paragraph"/>
    <w:basedOn w:val="Normal"/>
    <w:uiPriority w:val="34"/>
    <w:qFormat/>
    <w:rsid w:val="004C094B"/>
    <w:pPr>
      <w:ind w:left="720"/>
      <w:contextualSpacing/>
    </w:pPr>
  </w:style>
  <w:style w:type="table" w:styleId="ListTable1Light">
    <w:name w:val="List Table 1 Light"/>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4C094B"/>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4C094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C094B"/>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4C094B"/>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4C094B"/>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4C094B"/>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4C094B"/>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4C094B"/>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4C094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C094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4C094B"/>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4C094B"/>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4C094B"/>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4C094B"/>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4C094B"/>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4C094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C094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4C094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4C094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4C09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4C094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4C094B"/>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4C094B"/>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C094B"/>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C094B"/>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C094B"/>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C094B"/>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C094B"/>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C094B"/>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C094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C094B"/>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2">
    <w:name w:val="List Table 6 Colorful Accent 2"/>
    <w:basedOn w:val="TableNormal"/>
    <w:uiPriority w:val="51"/>
    <w:rsid w:val="004C094B"/>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rful-Accent3">
    <w:name w:val="List Table 6 Colorful Accent 3"/>
    <w:basedOn w:val="TableNormal"/>
    <w:uiPriority w:val="51"/>
    <w:rsid w:val="004C094B"/>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rful-Accent4">
    <w:name w:val="List Table 6 Colorful Accent 4"/>
    <w:basedOn w:val="TableNormal"/>
    <w:uiPriority w:val="51"/>
    <w:rsid w:val="004C094B"/>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rful-Accent5">
    <w:name w:val="List Table 6 Colorful Accent 5"/>
    <w:basedOn w:val="TableNormal"/>
    <w:uiPriority w:val="51"/>
    <w:rsid w:val="004C094B"/>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rful-Accent6">
    <w:name w:val="List Table 6 Colorful Accent 6"/>
    <w:basedOn w:val="TableNormal"/>
    <w:uiPriority w:val="51"/>
    <w:rsid w:val="004C094B"/>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rful">
    <w:name w:val="List Table 7 Colorful"/>
    <w:basedOn w:val="TableNormal"/>
    <w:uiPriority w:val="52"/>
    <w:rsid w:val="004C094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C094B"/>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C094B"/>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C094B"/>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C094B"/>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C094B"/>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C094B"/>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4C094B"/>
    <w:pPr>
      <w:tabs>
        <w:tab w:val="left" w:pos="480"/>
        <w:tab w:val="left" w:pos="960"/>
        <w:tab w:val="left" w:pos="1440"/>
        <w:tab w:val="left" w:pos="1920"/>
        <w:tab w:val="left" w:pos="2400"/>
        <w:tab w:val="left" w:pos="2880"/>
        <w:tab w:val="left" w:pos="3360"/>
        <w:tab w:val="left" w:pos="3840"/>
        <w:tab w:val="left" w:pos="4320"/>
      </w:tabs>
      <w:spacing w:after="0"/>
    </w:pPr>
    <w:rPr>
      <w:rFonts w:ascii="Arial" w:hAnsi="Arial" w:cs="Arial"/>
      <w:sz w:val="20"/>
      <w:szCs w:val="20"/>
    </w:rPr>
  </w:style>
  <w:style w:type="character" w:customStyle="1" w:styleId="MacroTextChar">
    <w:name w:val="Macro Text Char"/>
    <w:basedOn w:val="DefaultParagraphFont"/>
    <w:link w:val="MacroText"/>
    <w:uiPriority w:val="99"/>
    <w:semiHidden/>
    <w:rsid w:val="004C094B"/>
    <w:rPr>
      <w:rFonts w:ascii="Arial" w:hAnsi="Arial" w:cs="Arial"/>
      <w:sz w:val="20"/>
      <w:szCs w:val="20"/>
    </w:rPr>
  </w:style>
  <w:style w:type="table" w:styleId="MediumGrid1">
    <w:name w:val="Medium Grid 1"/>
    <w:basedOn w:val="TableNormal"/>
    <w:uiPriority w:val="67"/>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4C094B"/>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semiHidden/>
    <w:unhideWhenUsed/>
    <w:rsid w:val="004C094B"/>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semiHidden/>
    <w:unhideWhenUsed/>
    <w:rsid w:val="004C094B"/>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semiHidden/>
    <w:unhideWhenUsed/>
    <w:rsid w:val="004C094B"/>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semiHidden/>
    <w:unhideWhenUsed/>
    <w:rsid w:val="004C094B"/>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semiHidden/>
    <w:unhideWhenUsed/>
    <w:rsid w:val="004C094B"/>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semiHidden/>
    <w:unhideWhenUsed/>
    <w:rsid w:val="004C094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semiHidden/>
    <w:unhideWhenUsed/>
    <w:rsid w:val="004C094B"/>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4C094B"/>
    <w:pPr>
      <w:spacing w:after="0" w:line="240" w:lineRule="auto"/>
    </w:pPr>
    <w:rPr>
      <w:rFonts w:eastAsiaTheme="majorEastAsia"/>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4C094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4C094B"/>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4C094B"/>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4C094B"/>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4C094B"/>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4C094B"/>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4C094B"/>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4C094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4C094B"/>
    <w:rPr>
      <w:rFonts w:ascii="Arial" w:hAnsi="Arial" w:cs="Arial"/>
      <w:color w:val="2B579A"/>
      <w:shd w:val="clear" w:color="auto" w:fill="E1DFDD"/>
    </w:rPr>
  </w:style>
  <w:style w:type="paragraph" w:styleId="MessageHeader">
    <w:name w:val="Message Header"/>
    <w:basedOn w:val="Normal"/>
    <w:link w:val="MessageHeaderChar"/>
    <w:uiPriority w:val="99"/>
    <w:semiHidden/>
    <w:unhideWhenUsed/>
    <w:rsid w:val="004C094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sz w:val="24"/>
      <w:szCs w:val="24"/>
    </w:rPr>
  </w:style>
  <w:style w:type="character" w:customStyle="1" w:styleId="MessageHeaderChar">
    <w:name w:val="Message Header Char"/>
    <w:basedOn w:val="DefaultParagraphFont"/>
    <w:link w:val="MessageHeader"/>
    <w:uiPriority w:val="99"/>
    <w:semiHidden/>
    <w:rsid w:val="004C094B"/>
    <w:rPr>
      <w:rFonts w:ascii="Arial" w:eastAsiaTheme="majorEastAsia" w:hAnsi="Arial" w:cs="Arial"/>
      <w:sz w:val="24"/>
      <w:szCs w:val="24"/>
      <w:shd w:val="pct20" w:color="auto" w:fill="auto"/>
    </w:rPr>
  </w:style>
  <w:style w:type="paragraph" w:styleId="NoSpacing">
    <w:name w:val="No Spacing"/>
    <w:link w:val="NoSpacingChar"/>
    <w:uiPriority w:val="1"/>
    <w:qFormat/>
    <w:rsid w:val="004C094B"/>
    <w:pPr>
      <w:spacing w:after="0" w:line="240" w:lineRule="auto"/>
    </w:pPr>
    <w:rPr>
      <w:rFonts w:ascii="Arial" w:hAnsi="Arial" w:cs="Arial"/>
    </w:rPr>
  </w:style>
  <w:style w:type="paragraph" w:styleId="NormalWeb">
    <w:name w:val="Normal (Web)"/>
    <w:basedOn w:val="Normal"/>
    <w:uiPriority w:val="99"/>
    <w:unhideWhenUsed/>
    <w:rsid w:val="004C094B"/>
    <w:rPr>
      <w:sz w:val="24"/>
      <w:szCs w:val="24"/>
    </w:rPr>
  </w:style>
  <w:style w:type="paragraph" w:styleId="NormalIndent">
    <w:name w:val="Normal Indent"/>
    <w:basedOn w:val="Normal"/>
    <w:uiPriority w:val="99"/>
    <w:semiHidden/>
    <w:unhideWhenUsed/>
    <w:rsid w:val="004C094B"/>
    <w:pPr>
      <w:ind w:left="720"/>
    </w:pPr>
  </w:style>
  <w:style w:type="paragraph" w:styleId="NoteHeading">
    <w:name w:val="Note Heading"/>
    <w:basedOn w:val="Normal"/>
    <w:next w:val="Normal"/>
    <w:link w:val="NoteHeadingChar"/>
    <w:uiPriority w:val="99"/>
    <w:semiHidden/>
    <w:unhideWhenUsed/>
    <w:rsid w:val="004C094B"/>
    <w:pPr>
      <w:spacing w:after="0" w:line="240" w:lineRule="auto"/>
    </w:pPr>
  </w:style>
  <w:style w:type="character" w:customStyle="1" w:styleId="NoteHeadingChar">
    <w:name w:val="Note Heading Char"/>
    <w:basedOn w:val="DefaultParagraphFont"/>
    <w:link w:val="NoteHeading"/>
    <w:uiPriority w:val="99"/>
    <w:semiHidden/>
    <w:rsid w:val="004C094B"/>
    <w:rPr>
      <w:rFonts w:ascii="Arial" w:hAnsi="Arial" w:cs="Arial"/>
    </w:rPr>
  </w:style>
  <w:style w:type="character" w:styleId="PageNumber">
    <w:name w:val="page number"/>
    <w:basedOn w:val="DefaultParagraphFont"/>
    <w:uiPriority w:val="99"/>
    <w:semiHidden/>
    <w:unhideWhenUsed/>
    <w:rsid w:val="004C094B"/>
    <w:rPr>
      <w:rFonts w:ascii="Arial" w:hAnsi="Arial" w:cs="Arial"/>
    </w:rPr>
  </w:style>
  <w:style w:type="character" w:styleId="PlaceholderText">
    <w:name w:val="Placeholder Text"/>
    <w:basedOn w:val="DefaultParagraphFont"/>
    <w:uiPriority w:val="99"/>
    <w:semiHidden/>
    <w:rsid w:val="004C094B"/>
    <w:rPr>
      <w:rFonts w:ascii="Arial" w:hAnsi="Arial" w:cs="Arial"/>
      <w:color w:val="666666"/>
    </w:rPr>
  </w:style>
  <w:style w:type="table" w:styleId="PlainTable1">
    <w:name w:val="Plain Table 1"/>
    <w:basedOn w:val="TableNormal"/>
    <w:uiPriority w:val="41"/>
    <w:rsid w:val="004C09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C09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C09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C09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C094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4C094B"/>
    <w:pPr>
      <w:spacing w:after="0" w:line="240" w:lineRule="auto"/>
    </w:pPr>
    <w:rPr>
      <w:sz w:val="21"/>
      <w:szCs w:val="21"/>
    </w:rPr>
  </w:style>
  <w:style w:type="character" w:customStyle="1" w:styleId="PlainTextChar">
    <w:name w:val="Plain Text Char"/>
    <w:basedOn w:val="DefaultParagraphFont"/>
    <w:link w:val="PlainText"/>
    <w:uiPriority w:val="99"/>
    <w:semiHidden/>
    <w:rsid w:val="004C094B"/>
    <w:rPr>
      <w:rFonts w:ascii="Arial" w:hAnsi="Arial" w:cs="Arial"/>
      <w:sz w:val="21"/>
      <w:szCs w:val="21"/>
    </w:rPr>
  </w:style>
  <w:style w:type="paragraph" w:styleId="Quote">
    <w:name w:val="Quote"/>
    <w:basedOn w:val="Normal"/>
    <w:next w:val="Normal"/>
    <w:link w:val="QuoteChar"/>
    <w:uiPriority w:val="29"/>
    <w:qFormat/>
    <w:rsid w:val="004C094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C094B"/>
    <w:rPr>
      <w:rFonts w:ascii="Arial" w:hAnsi="Arial" w:cs="Arial"/>
      <w:i/>
      <w:iCs/>
      <w:color w:val="404040" w:themeColor="text1" w:themeTint="BF"/>
    </w:rPr>
  </w:style>
  <w:style w:type="paragraph" w:styleId="Salutation">
    <w:name w:val="Salutation"/>
    <w:basedOn w:val="Normal"/>
    <w:next w:val="Normal"/>
    <w:link w:val="SalutationChar"/>
    <w:uiPriority w:val="99"/>
    <w:semiHidden/>
    <w:unhideWhenUsed/>
    <w:rsid w:val="004C094B"/>
  </w:style>
  <w:style w:type="character" w:customStyle="1" w:styleId="SalutationChar">
    <w:name w:val="Salutation Char"/>
    <w:basedOn w:val="DefaultParagraphFont"/>
    <w:link w:val="Salutation"/>
    <w:uiPriority w:val="99"/>
    <w:semiHidden/>
    <w:rsid w:val="004C094B"/>
    <w:rPr>
      <w:rFonts w:ascii="Arial" w:hAnsi="Arial" w:cs="Arial"/>
    </w:rPr>
  </w:style>
  <w:style w:type="paragraph" w:styleId="Signature">
    <w:name w:val="Signature"/>
    <w:basedOn w:val="Normal"/>
    <w:link w:val="SignatureChar"/>
    <w:uiPriority w:val="99"/>
    <w:semiHidden/>
    <w:unhideWhenUsed/>
    <w:rsid w:val="004C094B"/>
    <w:pPr>
      <w:spacing w:after="0" w:line="240" w:lineRule="auto"/>
      <w:ind w:left="4252"/>
    </w:pPr>
  </w:style>
  <w:style w:type="character" w:customStyle="1" w:styleId="SignatureChar">
    <w:name w:val="Signature Char"/>
    <w:basedOn w:val="DefaultParagraphFont"/>
    <w:link w:val="Signature"/>
    <w:uiPriority w:val="99"/>
    <w:semiHidden/>
    <w:rsid w:val="004C094B"/>
    <w:rPr>
      <w:rFonts w:ascii="Arial" w:hAnsi="Arial" w:cs="Arial"/>
    </w:rPr>
  </w:style>
  <w:style w:type="character" w:styleId="SmartHyperlink">
    <w:name w:val="Smart Hyperlink"/>
    <w:basedOn w:val="DefaultParagraphFont"/>
    <w:uiPriority w:val="99"/>
    <w:semiHidden/>
    <w:unhideWhenUsed/>
    <w:rsid w:val="004C094B"/>
    <w:rPr>
      <w:rFonts w:ascii="Arial" w:hAnsi="Arial" w:cs="Arial"/>
      <w:u w:val="dotted"/>
    </w:rPr>
  </w:style>
  <w:style w:type="character" w:styleId="SmartLink">
    <w:name w:val="Smart Link"/>
    <w:basedOn w:val="DefaultParagraphFont"/>
    <w:uiPriority w:val="99"/>
    <w:semiHidden/>
    <w:unhideWhenUsed/>
    <w:rsid w:val="004C094B"/>
    <w:rPr>
      <w:rFonts w:ascii="Arial" w:hAnsi="Arial" w:cs="Arial"/>
      <w:color w:val="0000FF"/>
      <w:u w:val="single"/>
      <w:shd w:val="clear" w:color="auto" w:fill="F3F2F1"/>
    </w:rPr>
  </w:style>
  <w:style w:type="character" w:styleId="Strong">
    <w:name w:val="Strong"/>
    <w:basedOn w:val="DefaultParagraphFont"/>
    <w:uiPriority w:val="22"/>
    <w:qFormat/>
    <w:rsid w:val="004C094B"/>
    <w:rPr>
      <w:rFonts w:ascii="Arial" w:hAnsi="Arial" w:cs="Arial"/>
      <w:b/>
      <w:bCs/>
    </w:rPr>
  </w:style>
  <w:style w:type="paragraph" w:styleId="Subtitle">
    <w:name w:val="Subtitle"/>
    <w:basedOn w:val="Normal"/>
    <w:next w:val="Normal"/>
    <w:link w:val="SubtitleChar"/>
    <w:uiPriority w:val="11"/>
    <w:qFormat/>
    <w:rsid w:val="004C094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C094B"/>
    <w:rPr>
      <w:rFonts w:ascii="Arial" w:eastAsiaTheme="minorEastAsia" w:hAnsi="Arial" w:cs="Arial"/>
      <w:color w:val="5A5A5A" w:themeColor="text1" w:themeTint="A5"/>
      <w:spacing w:val="15"/>
    </w:rPr>
  </w:style>
  <w:style w:type="character" w:styleId="SubtleEmphasis">
    <w:name w:val="Subtle Emphasis"/>
    <w:basedOn w:val="DefaultParagraphFont"/>
    <w:uiPriority w:val="19"/>
    <w:qFormat/>
    <w:rsid w:val="004C094B"/>
    <w:rPr>
      <w:rFonts w:ascii="Arial" w:hAnsi="Arial" w:cs="Arial"/>
      <w:i/>
      <w:iCs/>
      <w:color w:val="404040" w:themeColor="text1" w:themeTint="BF"/>
    </w:rPr>
  </w:style>
  <w:style w:type="character" w:styleId="SubtleReference">
    <w:name w:val="Subtle Reference"/>
    <w:basedOn w:val="DefaultParagraphFont"/>
    <w:uiPriority w:val="31"/>
    <w:qFormat/>
    <w:rsid w:val="004C094B"/>
    <w:rPr>
      <w:rFonts w:ascii="Arial" w:hAnsi="Arial" w:cs="Arial"/>
      <w:smallCaps/>
      <w:color w:val="5A5A5A" w:themeColor="text1" w:themeTint="A5"/>
    </w:rPr>
  </w:style>
  <w:style w:type="table" w:styleId="Table3Deffects1">
    <w:name w:val="Table 3D effects 1"/>
    <w:basedOn w:val="TableNormal"/>
    <w:uiPriority w:val="99"/>
    <w:semiHidden/>
    <w:unhideWhenUsed/>
    <w:rsid w:val="004C094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C094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C094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C094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C094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C094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C094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C094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C094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C094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C094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C094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C094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C094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C094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C094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4C0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C094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C094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C094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C094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C094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4C09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4C094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C094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C094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C094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C094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C094B"/>
    <w:pPr>
      <w:spacing w:after="0"/>
      <w:ind w:left="220" w:hanging="220"/>
    </w:pPr>
  </w:style>
  <w:style w:type="paragraph" w:styleId="TableofFigures">
    <w:name w:val="table of figures"/>
    <w:basedOn w:val="Normal"/>
    <w:next w:val="Normal"/>
    <w:uiPriority w:val="99"/>
    <w:unhideWhenUsed/>
    <w:rsid w:val="004C094B"/>
    <w:pPr>
      <w:spacing w:after="0"/>
    </w:pPr>
  </w:style>
  <w:style w:type="table" w:styleId="TableProfessional">
    <w:name w:val="Table Professional"/>
    <w:basedOn w:val="TableNormal"/>
    <w:uiPriority w:val="99"/>
    <w:semiHidden/>
    <w:unhideWhenUsed/>
    <w:rsid w:val="004C094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C094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C094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C094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C094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C094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C0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C094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C094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C094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4C094B"/>
    <w:pPr>
      <w:spacing w:after="0" w:line="240" w:lineRule="auto"/>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4C094B"/>
    <w:rPr>
      <w:rFonts w:ascii="Arial" w:eastAsiaTheme="majorEastAsia" w:hAnsi="Arial" w:cs="Arial"/>
      <w:spacing w:val="-10"/>
      <w:kern w:val="28"/>
      <w:sz w:val="56"/>
      <w:szCs w:val="56"/>
    </w:rPr>
  </w:style>
  <w:style w:type="paragraph" w:styleId="TOAHeading">
    <w:name w:val="toa heading"/>
    <w:basedOn w:val="Normal"/>
    <w:next w:val="Normal"/>
    <w:uiPriority w:val="99"/>
    <w:semiHidden/>
    <w:unhideWhenUsed/>
    <w:rsid w:val="004C094B"/>
    <w:pPr>
      <w:spacing w:before="120"/>
    </w:pPr>
    <w:rPr>
      <w:rFonts w:eastAsiaTheme="majorEastAsia"/>
      <w:b/>
      <w:bCs/>
      <w:sz w:val="24"/>
      <w:szCs w:val="24"/>
    </w:rPr>
  </w:style>
  <w:style w:type="paragraph" w:styleId="TOC1">
    <w:name w:val="toc 1"/>
    <w:basedOn w:val="Normal"/>
    <w:next w:val="Normal"/>
    <w:autoRedefine/>
    <w:uiPriority w:val="39"/>
    <w:unhideWhenUsed/>
    <w:rsid w:val="004C094B"/>
    <w:pPr>
      <w:spacing w:after="100"/>
    </w:pPr>
  </w:style>
  <w:style w:type="paragraph" w:styleId="TOC2">
    <w:name w:val="toc 2"/>
    <w:basedOn w:val="Normal"/>
    <w:next w:val="Normal"/>
    <w:autoRedefine/>
    <w:uiPriority w:val="39"/>
    <w:unhideWhenUsed/>
    <w:rsid w:val="004C094B"/>
    <w:pPr>
      <w:spacing w:after="100"/>
      <w:ind w:left="220"/>
    </w:pPr>
  </w:style>
  <w:style w:type="paragraph" w:styleId="TOC3">
    <w:name w:val="toc 3"/>
    <w:basedOn w:val="Normal"/>
    <w:next w:val="Normal"/>
    <w:autoRedefine/>
    <w:uiPriority w:val="39"/>
    <w:unhideWhenUsed/>
    <w:rsid w:val="004C094B"/>
    <w:pPr>
      <w:spacing w:after="100"/>
      <w:ind w:left="440"/>
    </w:pPr>
  </w:style>
  <w:style w:type="paragraph" w:styleId="TOC4">
    <w:name w:val="toc 4"/>
    <w:basedOn w:val="Normal"/>
    <w:next w:val="Normal"/>
    <w:autoRedefine/>
    <w:uiPriority w:val="39"/>
    <w:semiHidden/>
    <w:unhideWhenUsed/>
    <w:rsid w:val="004C094B"/>
    <w:pPr>
      <w:spacing w:after="100"/>
      <w:ind w:left="660"/>
    </w:pPr>
  </w:style>
  <w:style w:type="paragraph" w:styleId="TOC5">
    <w:name w:val="toc 5"/>
    <w:basedOn w:val="Normal"/>
    <w:next w:val="Normal"/>
    <w:autoRedefine/>
    <w:uiPriority w:val="39"/>
    <w:semiHidden/>
    <w:unhideWhenUsed/>
    <w:rsid w:val="004C094B"/>
    <w:pPr>
      <w:spacing w:after="100"/>
      <w:ind w:left="880"/>
    </w:pPr>
  </w:style>
  <w:style w:type="paragraph" w:styleId="TOC6">
    <w:name w:val="toc 6"/>
    <w:basedOn w:val="Normal"/>
    <w:next w:val="Normal"/>
    <w:autoRedefine/>
    <w:uiPriority w:val="39"/>
    <w:semiHidden/>
    <w:unhideWhenUsed/>
    <w:rsid w:val="004C094B"/>
    <w:pPr>
      <w:spacing w:after="100"/>
      <w:ind w:left="1100"/>
    </w:pPr>
  </w:style>
  <w:style w:type="paragraph" w:styleId="TOC7">
    <w:name w:val="toc 7"/>
    <w:basedOn w:val="Normal"/>
    <w:next w:val="Normal"/>
    <w:autoRedefine/>
    <w:uiPriority w:val="39"/>
    <w:semiHidden/>
    <w:unhideWhenUsed/>
    <w:rsid w:val="004C094B"/>
    <w:pPr>
      <w:spacing w:after="100"/>
      <w:ind w:left="1320"/>
    </w:pPr>
  </w:style>
  <w:style w:type="paragraph" w:styleId="TOC8">
    <w:name w:val="toc 8"/>
    <w:basedOn w:val="Normal"/>
    <w:next w:val="Normal"/>
    <w:autoRedefine/>
    <w:uiPriority w:val="39"/>
    <w:semiHidden/>
    <w:unhideWhenUsed/>
    <w:rsid w:val="004C094B"/>
    <w:pPr>
      <w:spacing w:after="100"/>
      <w:ind w:left="1540"/>
    </w:pPr>
  </w:style>
  <w:style w:type="paragraph" w:styleId="TOC9">
    <w:name w:val="toc 9"/>
    <w:basedOn w:val="Normal"/>
    <w:next w:val="Normal"/>
    <w:autoRedefine/>
    <w:uiPriority w:val="39"/>
    <w:semiHidden/>
    <w:unhideWhenUsed/>
    <w:rsid w:val="004C094B"/>
    <w:pPr>
      <w:spacing w:after="100"/>
      <w:ind w:left="1760"/>
    </w:pPr>
  </w:style>
  <w:style w:type="paragraph" w:styleId="TOCHeading">
    <w:name w:val="TOC Heading"/>
    <w:basedOn w:val="Heading1"/>
    <w:next w:val="Normal"/>
    <w:uiPriority w:val="39"/>
    <w:unhideWhenUsed/>
    <w:qFormat/>
    <w:rsid w:val="004C094B"/>
    <w:pPr>
      <w:numPr>
        <w:numId w:val="0"/>
      </w:numPr>
      <w:outlineLvl w:val="9"/>
    </w:pPr>
  </w:style>
  <w:style w:type="character" w:styleId="UnresolvedMention">
    <w:name w:val="Unresolved Mention"/>
    <w:basedOn w:val="DefaultParagraphFont"/>
    <w:uiPriority w:val="99"/>
    <w:semiHidden/>
    <w:unhideWhenUsed/>
    <w:rsid w:val="004C094B"/>
    <w:rPr>
      <w:rFonts w:ascii="Arial" w:hAnsi="Arial" w:cs="Arial"/>
      <w:color w:val="605E5C"/>
      <w:shd w:val="clear" w:color="auto" w:fill="E1DFDD"/>
    </w:rPr>
  </w:style>
  <w:style w:type="character" w:customStyle="1" w:styleId="NoSpacingChar">
    <w:name w:val="No Spacing Char"/>
    <w:basedOn w:val="DefaultParagraphFont"/>
    <w:link w:val="NoSpacing"/>
    <w:uiPriority w:val="1"/>
    <w:rsid w:val="00632CC0"/>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0671">
      <w:bodyDiv w:val="1"/>
      <w:marLeft w:val="0"/>
      <w:marRight w:val="0"/>
      <w:marTop w:val="0"/>
      <w:marBottom w:val="0"/>
      <w:divBdr>
        <w:top w:val="none" w:sz="0" w:space="0" w:color="auto"/>
        <w:left w:val="none" w:sz="0" w:space="0" w:color="auto"/>
        <w:bottom w:val="none" w:sz="0" w:space="0" w:color="auto"/>
        <w:right w:val="none" w:sz="0" w:space="0" w:color="auto"/>
      </w:divBdr>
    </w:div>
    <w:div w:id="58594790">
      <w:bodyDiv w:val="1"/>
      <w:marLeft w:val="0"/>
      <w:marRight w:val="0"/>
      <w:marTop w:val="0"/>
      <w:marBottom w:val="0"/>
      <w:divBdr>
        <w:top w:val="none" w:sz="0" w:space="0" w:color="auto"/>
        <w:left w:val="none" w:sz="0" w:space="0" w:color="auto"/>
        <w:bottom w:val="none" w:sz="0" w:space="0" w:color="auto"/>
        <w:right w:val="none" w:sz="0" w:space="0" w:color="auto"/>
      </w:divBdr>
    </w:div>
    <w:div w:id="59524492">
      <w:bodyDiv w:val="1"/>
      <w:marLeft w:val="0"/>
      <w:marRight w:val="0"/>
      <w:marTop w:val="0"/>
      <w:marBottom w:val="0"/>
      <w:divBdr>
        <w:top w:val="none" w:sz="0" w:space="0" w:color="auto"/>
        <w:left w:val="none" w:sz="0" w:space="0" w:color="auto"/>
        <w:bottom w:val="none" w:sz="0" w:space="0" w:color="auto"/>
        <w:right w:val="none" w:sz="0" w:space="0" w:color="auto"/>
      </w:divBdr>
    </w:div>
    <w:div w:id="142357207">
      <w:bodyDiv w:val="1"/>
      <w:marLeft w:val="0"/>
      <w:marRight w:val="0"/>
      <w:marTop w:val="0"/>
      <w:marBottom w:val="0"/>
      <w:divBdr>
        <w:top w:val="none" w:sz="0" w:space="0" w:color="auto"/>
        <w:left w:val="none" w:sz="0" w:space="0" w:color="auto"/>
        <w:bottom w:val="none" w:sz="0" w:space="0" w:color="auto"/>
        <w:right w:val="none" w:sz="0" w:space="0" w:color="auto"/>
      </w:divBdr>
    </w:div>
    <w:div w:id="157115645">
      <w:bodyDiv w:val="1"/>
      <w:marLeft w:val="0"/>
      <w:marRight w:val="0"/>
      <w:marTop w:val="0"/>
      <w:marBottom w:val="0"/>
      <w:divBdr>
        <w:top w:val="none" w:sz="0" w:space="0" w:color="auto"/>
        <w:left w:val="none" w:sz="0" w:space="0" w:color="auto"/>
        <w:bottom w:val="none" w:sz="0" w:space="0" w:color="auto"/>
        <w:right w:val="none" w:sz="0" w:space="0" w:color="auto"/>
      </w:divBdr>
    </w:div>
    <w:div w:id="206650893">
      <w:bodyDiv w:val="1"/>
      <w:marLeft w:val="0"/>
      <w:marRight w:val="0"/>
      <w:marTop w:val="0"/>
      <w:marBottom w:val="0"/>
      <w:divBdr>
        <w:top w:val="none" w:sz="0" w:space="0" w:color="auto"/>
        <w:left w:val="none" w:sz="0" w:space="0" w:color="auto"/>
        <w:bottom w:val="none" w:sz="0" w:space="0" w:color="auto"/>
        <w:right w:val="none" w:sz="0" w:space="0" w:color="auto"/>
      </w:divBdr>
    </w:div>
    <w:div w:id="219950703">
      <w:bodyDiv w:val="1"/>
      <w:marLeft w:val="0"/>
      <w:marRight w:val="0"/>
      <w:marTop w:val="0"/>
      <w:marBottom w:val="0"/>
      <w:divBdr>
        <w:top w:val="none" w:sz="0" w:space="0" w:color="auto"/>
        <w:left w:val="none" w:sz="0" w:space="0" w:color="auto"/>
        <w:bottom w:val="none" w:sz="0" w:space="0" w:color="auto"/>
        <w:right w:val="none" w:sz="0" w:space="0" w:color="auto"/>
      </w:divBdr>
    </w:div>
    <w:div w:id="223488950">
      <w:bodyDiv w:val="1"/>
      <w:marLeft w:val="0"/>
      <w:marRight w:val="0"/>
      <w:marTop w:val="0"/>
      <w:marBottom w:val="0"/>
      <w:divBdr>
        <w:top w:val="none" w:sz="0" w:space="0" w:color="auto"/>
        <w:left w:val="none" w:sz="0" w:space="0" w:color="auto"/>
        <w:bottom w:val="none" w:sz="0" w:space="0" w:color="auto"/>
        <w:right w:val="none" w:sz="0" w:space="0" w:color="auto"/>
      </w:divBdr>
    </w:div>
    <w:div w:id="231699130">
      <w:bodyDiv w:val="1"/>
      <w:marLeft w:val="0"/>
      <w:marRight w:val="0"/>
      <w:marTop w:val="0"/>
      <w:marBottom w:val="0"/>
      <w:divBdr>
        <w:top w:val="none" w:sz="0" w:space="0" w:color="auto"/>
        <w:left w:val="none" w:sz="0" w:space="0" w:color="auto"/>
        <w:bottom w:val="none" w:sz="0" w:space="0" w:color="auto"/>
        <w:right w:val="none" w:sz="0" w:space="0" w:color="auto"/>
      </w:divBdr>
    </w:div>
    <w:div w:id="244923644">
      <w:bodyDiv w:val="1"/>
      <w:marLeft w:val="0"/>
      <w:marRight w:val="0"/>
      <w:marTop w:val="0"/>
      <w:marBottom w:val="0"/>
      <w:divBdr>
        <w:top w:val="none" w:sz="0" w:space="0" w:color="auto"/>
        <w:left w:val="none" w:sz="0" w:space="0" w:color="auto"/>
        <w:bottom w:val="none" w:sz="0" w:space="0" w:color="auto"/>
        <w:right w:val="none" w:sz="0" w:space="0" w:color="auto"/>
      </w:divBdr>
    </w:div>
    <w:div w:id="291592710">
      <w:bodyDiv w:val="1"/>
      <w:marLeft w:val="0"/>
      <w:marRight w:val="0"/>
      <w:marTop w:val="0"/>
      <w:marBottom w:val="0"/>
      <w:divBdr>
        <w:top w:val="none" w:sz="0" w:space="0" w:color="auto"/>
        <w:left w:val="none" w:sz="0" w:space="0" w:color="auto"/>
        <w:bottom w:val="none" w:sz="0" w:space="0" w:color="auto"/>
        <w:right w:val="none" w:sz="0" w:space="0" w:color="auto"/>
      </w:divBdr>
    </w:div>
    <w:div w:id="295528253">
      <w:bodyDiv w:val="1"/>
      <w:marLeft w:val="0"/>
      <w:marRight w:val="0"/>
      <w:marTop w:val="0"/>
      <w:marBottom w:val="0"/>
      <w:divBdr>
        <w:top w:val="none" w:sz="0" w:space="0" w:color="auto"/>
        <w:left w:val="none" w:sz="0" w:space="0" w:color="auto"/>
        <w:bottom w:val="none" w:sz="0" w:space="0" w:color="auto"/>
        <w:right w:val="none" w:sz="0" w:space="0" w:color="auto"/>
      </w:divBdr>
    </w:div>
    <w:div w:id="302271724">
      <w:bodyDiv w:val="1"/>
      <w:marLeft w:val="0"/>
      <w:marRight w:val="0"/>
      <w:marTop w:val="0"/>
      <w:marBottom w:val="0"/>
      <w:divBdr>
        <w:top w:val="none" w:sz="0" w:space="0" w:color="auto"/>
        <w:left w:val="none" w:sz="0" w:space="0" w:color="auto"/>
        <w:bottom w:val="none" w:sz="0" w:space="0" w:color="auto"/>
        <w:right w:val="none" w:sz="0" w:space="0" w:color="auto"/>
      </w:divBdr>
    </w:div>
    <w:div w:id="323507051">
      <w:bodyDiv w:val="1"/>
      <w:marLeft w:val="0"/>
      <w:marRight w:val="0"/>
      <w:marTop w:val="0"/>
      <w:marBottom w:val="0"/>
      <w:divBdr>
        <w:top w:val="none" w:sz="0" w:space="0" w:color="auto"/>
        <w:left w:val="none" w:sz="0" w:space="0" w:color="auto"/>
        <w:bottom w:val="none" w:sz="0" w:space="0" w:color="auto"/>
        <w:right w:val="none" w:sz="0" w:space="0" w:color="auto"/>
      </w:divBdr>
    </w:div>
    <w:div w:id="346752607">
      <w:bodyDiv w:val="1"/>
      <w:marLeft w:val="0"/>
      <w:marRight w:val="0"/>
      <w:marTop w:val="0"/>
      <w:marBottom w:val="0"/>
      <w:divBdr>
        <w:top w:val="none" w:sz="0" w:space="0" w:color="auto"/>
        <w:left w:val="none" w:sz="0" w:space="0" w:color="auto"/>
        <w:bottom w:val="none" w:sz="0" w:space="0" w:color="auto"/>
        <w:right w:val="none" w:sz="0" w:space="0" w:color="auto"/>
      </w:divBdr>
    </w:div>
    <w:div w:id="392698758">
      <w:bodyDiv w:val="1"/>
      <w:marLeft w:val="0"/>
      <w:marRight w:val="0"/>
      <w:marTop w:val="0"/>
      <w:marBottom w:val="0"/>
      <w:divBdr>
        <w:top w:val="none" w:sz="0" w:space="0" w:color="auto"/>
        <w:left w:val="none" w:sz="0" w:space="0" w:color="auto"/>
        <w:bottom w:val="none" w:sz="0" w:space="0" w:color="auto"/>
        <w:right w:val="none" w:sz="0" w:space="0" w:color="auto"/>
      </w:divBdr>
    </w:div>
    <w:div w:id="396829351">
      <w:bodyDiv w:val="1"/>
      <w:marLeft w:val="0"/>
      <w:marRight w:val="0"/>
      <w:marTop w:val="0"/>
      <w:marBottom w:val="0"/>
      <w:divBdr>
        <w:top w:val="none" w:sz="0" w:space="0" w:color="auto"/>
        <w:left w:val="none" w:sz="0" w:space="0" w:color="auto"/>
        <w:bottom w:val="none" w:sz="0" w:space="0" w:color="auto"/>
        <w:right w:val="none" w:sz="0" w:space="0" w:color="auto"/>
      </w:divBdr>
    </w:div>
    <w:div w:id="414935591">
      <w:bodyDiv w:val="1"/>
      <w:marLeft w:val="0"/>
      <w:marRight w:val="0"/>
      <w:marTop w:val="0"/>
      <w:marBottom w:val="0"/>
      <w:divBdr>
        <w:top w:val="none" w:sz="0" w:space="0" w:color="auto"/>
        <w:left w:val="none" w:sz="0" w:space="0" w:color="auto"/>
        <w:bottom w:val="none" w:sz="0" w:space="0" w:color="auto"/>
        <w:right w:val="none" w:sz="0" w:space="0" w:color="auto"/>
      </w:divBdr>
    </w:div>
    <w:div w:id="446774639">
      <w:bodyDiv w:val="1"/>
      <w:marLeft w:val="0"/>
      <w:marRight w:val="0"/>
      <w:marTop w:val="0"/>
      <w:marBottom w:val="0"/>
      <w:divBdr>
        <w:top w:val="none" w:sz="0" w:space="0" w:color="auto"/>
        <w:left w:val="none" w:sz="0" w:space="0" w:color="auto"/>
        <w:bottom w:val="none" w:sz="0" w:space="0" w:color="auto"/>
        <w:right w:val="none" w:sz="0" w:space="0" w:color="auto"/>
      </w:divBdr>
    </w:div>
    <w:div w:id="453982483">
      <w:bodyDiv w:val="1"/>
      <w:marLeft w:val="0"/>
      <w:marRight w:val="0"/>
      <w:marTop w:val="0"/>
      <w:marBottom w:val="0"/>
      <w:divBdr>
        <w:top w:val="none" w:sz="0" w:space="0" w:color="auto"/>
        <w:left w:val="none" w:sz="0" w:space="0" w:color="auto"/>
        <w:bottom w:val="none" w:sz="0" w:space="0" w:color="auto"/>
        <w:right w:val="none" w:sz="0" w:space="0" w:color="auto"/>
      </w:divBdr>
    </w:div>
    <w:div w:id="465203336">
      <w:bodyDiv w:val="1"/>
      <w:marLeft w:val="0"/>
      <w:marRight w:val="0"/>
      <w:marTop w:val="0"/>
      <w:marBottom w:val="0"/>
      <w:divBdr>
        <w:top w:val="none" w:sz="0" w:space="0" w:color="auto"/>
        <w:left w:val="none" w:sz="0" w:space="0" w:color="auto"/>
        <w:bottom w:val="none" w:sz="0" w:space="0" w:color="auto"/>
        <w:right w:val="none" w:sz="0" w:space="0" w:color="auto"/>
      </w:divBdr>
    </w:div>
    <w:div w:id="474102591">
      <w:bodyDiv w:val="1"/>
      <w:marLeft w:val="0"/>
      <w:marRight w:val="0"/>
      <w:marTop w:val="0"/>
      <w:marBottom w:val="0"/>
      <w:divBdr>
        <w:top w:val="none" w:sz="0" w:space="0" w:color="auto"/>
        <w:left w:val="none" w:sz="0" w:space="0" w:color="auto"/>
        <w:bottom w:val="none" w:sz="0" w:space="0" w:color="auto"/>
        <w:right w:val="none" w:sz="0" w:space="0" w:color="auto"/>
      </w:divBdr>
    </w:div>
    <w:div w:id="505097087">
      <w:bodyDiv w:val="1"/>
      <w:marLeft w:val="0"/>
      <w:marRight w:val="0"/>
      <w:marTop w:val="0"/>
      <w:marBottom w:val="0"/>
      <w:divBdr>
        <w:top w:val="none" w:sz="0" w:space="0" w:color="auto"/>
        <w:left w:val="none" w:sz="0" w:space="0" w:color="auto"/>
        <w:bottom w:val="none" w:sz="0" w:space="0" w:color="auto"/>
        <w:right w:val="none" w:sz="0" w:space="0" w:color="auto"/>
      </w:divBdr>
    </w:div>
    <w:div w:id="505681244">
      <w:bodyDiv w:val="1"/>
      <w:marLeft w:val="0"/>
      <w:marRight w:val="0"/>
      <w:marTop w:val="0"/>
      <w:marBottom w:val="0"/>
      <w:divBdr>
        <w:top w:val="none" w:sz="0" w:space="0" w:color="auto"/>
        <w:left w:val="none" w:sz="0" w:space="0" w:color="auto"/>
        <w:bottom w:val="none" w:sz="0" w:space="0" w:color="auto"/>
        <w:right w:val="none" w:sz="0" w:space="0" w:color="auto"/>
      </w:divBdr>
    </w:div>
    <w:div w:id="509954990">
      <w:bodyDiv w:val="1"/>
      <w:marLeft w:val="0"/>
      <w:marRight w:val="0"/>
      <w:marTop w:val="0"/>
      <w:marBottom w:val="0"/>
      <w:divBdr>
        <w:top w:val="none" w:sz="0" w:space="0" w:color="auto"/>
        <w:left w:val="none" w:sz="0" w:space="0" w:color="auto"/>
        <w:bottom w:val="none" w:sz="0" w:space="0" w:color="auto"/>
        <w:right w:val="none" w:sz="0" w:space="0" w:color="auto"/>
      </w:divBdr>
    </w:div>
    <w:div w:id="519467394">
      <w:bodyDiv w:val="1"/>
      <w:marLeft w:val="0"/>
      <w:marRight w:val="0"/>
      <w:marTop w:val="0"/>
      <w:marBottom w:val="0"/>
      <w:divBdr>
        <w:top w:val="none" w:sz="0" w:space="0" w:color="auto"/>
        <w:left w:val="none" w:sz="0" w:space="0" w:color="auto"/>
        <w:bottom w:val="none" w:sz="0" w:space="0" w:color="auto"/>
        <w:right w:val="none" w:sz="0" w:space="0" w:color="auto"/>
      </w:divBdr>
    </w:div>
    <w:div w:id="519665267">
      <w:bodyDiv w:val="1"/>
      <w:marLeft w:val="0"/>
      <w:marRight w:val="0"/>
      <w:marTop w:val="0"/>
      <w:marBottom w:val="0"/>
      <w:divBdr>
        <w:top w:val="none" w:sz="0" w:space="0" w:color="auto"/>
        <w:left w:val="none" w:sz="0" w:space="0" w:color="auto"/>
        <w:bottom w:val="none" w:sz="0" w:space="0" w:color="auto"/>
        <w:right w:val="none" w:sz="0" w:space="0" w:color="auto"/>
      </w:divBdr>
    </w:div>
    <w:div w:id="534193469">
      <w:bodyDiv w:val="1"/>
      <w:marLeft w:val="0"/>
      <w:marRight w:val="0"/>
      <w:marTop w:val="0"/>
      <w:marBottom w:val="0"/>
      <w:divBdr>
        <w:top w:val="none" w:sz="0" w:space="0" w:color="auto"/>
        <w:left w:val="none" w:sz="0" w:space="0" w:color="auto"/>
        <w:bottom w:val="none" w:sz="0" w:space="0" w:color="auto"/>
        <w:right w:val="none" w:sz="0" w:space="0" w:color="auto"/>
      </w:divBdr>
    </w:div>
    <w:div w:id="539367024">
      <w:bodyDiv w:val="1"/>
      <w:marLeft w:val="0"/>
      <w:marRight w:val="0"/>
      <w:marTop w:val="0"/>
      <w:marBottom w:val="0"/>
      <w:divBdr>
        <w:top w:val="none" w:sz="0" w:space="0" w:color="auto"/>
        <w:left w:val="none" w:sz="0" w:space="0" w:color="auto"/>
        <w:bottom w:val="none" w:sz="0" w:space="0" w:color="auto"/>
        <w:right w:val="none" w:sz="0" w:space="0" w:color="auto"/>
      </w:divBdr>
    </w:div>
    <w:div w:id="542333423">
      <w:bodyDiv w:val="1"/>
      <w:marLeft w:val="0"/>
      <w:marRight w:val="0"/>
      <w:marTop w:val="0"/>
      <w:marBottom w:val="0"/>
      <w:divBdr>
        <w:top w:val="none" w:sz="0" w:space="0" w:color="auto"/>
        <w:left w:val="none" w:sz="0" w:space="0" w:color="auto"/>
        <w:bottom w:val="none" w:sz="0" w:space="0" w:color="auto"/>
        <w:right w:val="none" w:sz="0" w:space="0" w:color="auto"/>
      </w:divBdr>
    </w:div>
    <w:div w:id="554511361">
      <w:bodyDiv w:val="1"/>
      <w:marLeft w:val="0"/>
      <w:marRight w:val="0"/>
      <w:marTop w:val="0"/>
      <w:marBottom w:val="0"/>
      <w:divBdr>
        <w:top w:val="none" w:sz="0" w:space="0" w:color="auto"/>
        <w:left w:val="none" w:sz="0" w:space="0" w:color="auto"/>
        <w:bottom w:val="none" w:sz="0" w:space="0" w:color="auto"/>
        <w:right w:val="none" w:sz="0" w:space="0" w:color="auto"/>
      </w:divBdr>
    </w:div>
    <w:div w:id="568005296">
      <w:bodyDiv w:val="1"/>
      <w:marLeft w:val="0"/>
      <w:marRight w:val="0"/>
      <w:marTop w:val="0"/>
      <w:marBottom w:val="0"/>
      <w:divBdr>
        <w:top w:val="none" w:sz="0" w:space="0" w:color="auto"/>
        <w:left w:val="none" w:sz="0" w:space="0" w:color="auto"/>
        <w:bottom w:val="none" w:sz="0" w:space="0" w:color="auto"/>
        <w:right w:val="none" w:sz="0" w:space="0" w:color="auto"/>
      </w:divBdr>
    </w:div>
    <w:div w:id="586697729">
      <w:bodyDiv w:val="1"/>
      <w:marLeft w:val="0"/>
      <w:marRight w:val="0"/>
      <w:marTop w:val="0"/>
      <w:marBottom w:val="0"/>
      <w:divBdr>
        <w:top w:val="none" w:sz="0" w:space="0" w:color="auto"/>
        <w:left w:val="none" w:sz="0" w:space="0" w:color="auto"/>
        <w:bottom w:val="none" w:sz="0" w:space="0" w:color="auto"/>
        <w:right w:val="none" w:sz="0" w:space="0" w:color="auto"/>
      </w:divBdr>
    </w:div>
    <w:div w:id="598178529">
      <w:bodyDiv w:val="1"/>
      <w:marLeft w:val="0"/>
      <w:marRight w:val="0"/>
      <w:marTop w:val="0"/>
      <w:marBottom w:val="0"/>
      <w:divBdr>
        <w:top w:val="none" w:sz="0" w:space="0" w:color="auto"/>
        <w:left w:val="none" w:sz="0" w:space="0" w:color="auto"/>
        <w:bottom w:val="none" w:sz="0" w:space="0" w:color="auto"/>
        <w:right w:val="none" w:sz="0" w:space="0" w:color="auto"/>
      </w:divBdr>
    </w:div>
    <w:div w:id="613679863">
      <w:bodyDiv w:val="1"/>
      <w:marLeft w:val="0"/>
      <w:marRight w:val="0"/>
      <w:marTop w:val="0"/>
      <w:marBottom w:val="0"/>
      <w:divBdr>
        <w:top w:val="none" w:sz="0" w:space="0" w:color="auto"/>
        <w:left w:val="none" w:sz="0" w:space="0" w:color="auto"/>
        <w:bottom w:val="none" w:sz="0" w:space="0" w:color="auto"/>
        <w:right w:val="none" w:sz="0" w:space="0" w:color="auto"/>
      </w:divBdr>
    </w:div>
    <w:div w:id="633099539">
      <w:bodyDiv w:val="1"/>
      <w:marLeft w:val="0"/>
      <w:marRight w:val="0"/>
      <w:marTop w:val="0"/>
      <w:marBottom w:val="0"/>
      <w:divBdr>
        <w:top w:val="none" w:sz="0" w:space="0" w:color="auto"/>
        <w:left w:val="none" w:sz="0" w:space="0" w:color="auto"/>
        <w:bottom w:val="none" w:sz="0" w:space="0" w:color="auto"/>
        <w:right w:val="none" w:sz="0" w:space="0" w:color="auto"/>
      </w:divBdr>
    </w:div>
    <w:div w:id="634408275">
      <w:bodyDiv w:val="1"/>
      <w:marLeft w:val="0"/>
      <w:marRight w:val="0"/>
      <w:marTop w:val="0"/>
      <w:marBottom w:val="0"/>
      <w:divBdr>
        <w:top w:val="none" w:sz="0" w:space="0" w:color="auto"/>
        <w:left w:val="none" w:sz="0" w:space="0" w:color="auto"/>
        <w:bottom w:val="none" w:sz="0" w:space="0" w:color="auto"/>
        <w:right w:val="none" w:sz="0" w:space="0" w:color="auto"/>
      </w:divBdr>
    </w:div>
    <w:div w:id="664743886">
      <w:bodyDiv w:val="1"/>
      <w:marLeft w:val="0"/>
      <w:marRight w:val="0"/>
      <w:marTop w:val="0"/>
      <w:marBottom w:val="0"/>
      <w:divBdr>
        <w:top w:val="none" w:sz="0" w:space="0" w:color="auto"/>
        <w:left w:val="none" w:sz="0" w:space="0" w:color="auto"/>
        <w:bottom w:val="none" w:sz="0" w:space="0" w:color="auto"/>
        <w:right w:val="none" w:sz="0" w:space="0" w:color="auto"/>
      </w:divBdr>
    </w:div>
    <w:div w:id="673191047">
      <w:bodyDiv w:val="1"/>
      <w:marLeft w:val="0"/>
      <w:marRight w:val="0"/>
      <w:marTop w:val="0"/>
      <w:marBottom w:val="0"/>
      <w:divBdr>
        <w:top w:val="none" w:sz="0" w:space="0" w:color="auto"/>
        <w:left w:val="none" w:sz="0" w:space="0" w:color="auto"/>
        <w:bottom w:val="none" w:sz="0" w:space="0" w:color="auto"/>
        <w:right w:val="none" w:sz="0" w:space="0" w:color="auto"/>
      </w:divBdr>
    </w:div>
    <w:div w:id="730271314">
      <w:bodyDiv w:val="1"/>
      <w:marLeft w:val="0"/>
      <w:marRight w:val="0"/>
      <w:marTop w:val="0"/>
      <w:marBottom w:val="0"/>
      <w:divBdr>
        <w:top w:val="none" w:sz="0" w:space="0" w:color="auto"/>
        <w:left w:val="none" w:sz="0" w:space="0" w:color="auto"/>
        <w:bottom w:val="none" w:sz="0" w:space="0" w:color="auto"/>
        <w:right w:val="none" w:sz="0" w:space="0" w:color="auto"/>
      </w:divBdr>
    </w:div>
    <w:div w:id="737825927">
      <w:bodyDiv w:val="1"/>
      <w:marLeft w:val="0"/>
      <w:marRight w:val="0"/>
      <w:marTop w:val="0"/>
      <w:marBottom w:val="0"/>
      <w:divBdr>
        <w:top w:val="none" w:sz="0" w:space="0" w:color="auto"/>
        <w:left w:val="none" w:sz="0" w:space="0" w:color="auto"/>
        <w:bottom w:val="none" w:sz="0" w:space="0" w:color="auto"/>
        <w:right w:val="none" w:sz="0" w:space="0" w:color="auto"/>
      </w:divBdr>
    </w:div>
    <w:div w:id="781648409">
      <w:bodyDiv w:val="1"/>
      <w:marLeft w:val="0"/>
      <w:marRight w:val="0"/>
      <w:marTop w:val="0"/>
      <w:marBottom w:val="0"/>
      <w:divBdr>
        <w:top w:val="none" w:sz="0" w:space="0" w:color="auto"/>
        <w:left w:val="none" w:sz="0" w:space="0" w:color="auto"/>
        <w:bottom w:val="none" w:sz="0" w:space="0" w:color="auto"/>
        <w:right w:val="none" w:sz="0" w:space="0" w:color="auto"/>
      </w:divBdr>
    </w:div>
    <w:div w:id="825558012">
      <w:bodyDiv w:val="1"/>
      <w:marLeft w:val="0"/>
      <w:marRight w:val="0"/>
      <w:marTop w:val="0"/>
      <w:marBottom w:val="0"/>
      <w:divBdr>
        <w:top w:val="none" w:sz="0" w:space="0" w:color="auto"/>
        <w:left w:val="none" w:sz="0" w:space="0" w:color="auto"/>
        <w:bottom w:val="none" w:sz="0" w:space="0" w:color="auto"/>
        <w:right w:val="none" w:sz="0" w:space="0" w:color="auto"/>
      </w:divBdr>
    </w:div>
    <w:div w:id="835223286">
      <w:bodyDiv w:val="1"/>
      <w:marLeft w:val="0"/>
      <w:marRight w:val="0"/>
      <w:marTop w:val="0"/>
      <w:marBottom w:val="0"/>
      <w:divBdr>
        <w:top w:val="none" w:sz="0" w:space="0" w:color="auto"/>
        <w:left w:val="none" w:sz="0" w:space="0" w:color="auto"/>
        <w:bottom w:val="none" w:sz="0" w:space="0" w:color="auto"/>
        <w:right w:val="none" w:sz="0" w:space="0" w:color="auto"/>
      </w:divBdr>
    </w:div>
    <w:div w:id="850486176">
      <w:bodyDiv w:val="1"/>
      <w:marLeft w:val="0"/>
      <w:marRight w:val="0"/>
      <w:marTop w:val="0"/>
      <w:marBottom w:val="0"/>
      <w:divBdr>
        <w:top w:val="none" w:sz="0" w:space="0" w:color="auto"/>
        <w:left w:val="none" w:sz="0" w:space="0" w:color="auto"/>
        <w:bottom w:val="none" w:sz="0" w:space="0" w:color="auto"/>
        <w:right w:val="none" w:sz="0" w:space="0" w:color="auto"/>
      </w:divBdr>
    </w:div>
    <w:div w:id="867260013">
      <w:bodyDiv w:val="1"/>
      <w:marLeft w:val="0"/>
      <w:marRight w:val="0"/>
      <w:marTop w:val="0"/>
      <w:marBottom w:val="0"/>
      <w:divBdr>
        <w:top w:val="none" w:sz="0" w:space="0" w:color="auto"/>
        <w:left w:val="none" w:sz="0" w:space="0" w:color="auto"/>
        <w:bottom w:val="none" w:sz="0" w:space="0" w:color="auto"/>
        <w:right w:val="none" w:sz="0" w:space="0" w:color="auto"/>
      </w:divBdr>
    </w:div>
    <w:div w:id="877350587">
      <w:bodyDiv w:val="1"/>
      <w:marLeft w:val="0"/>
      <w:marRight w:val="0"/>
      <w:marTop w:val="0"/>
      <w:marBottom w:val="0"/>
      <w:divBdr>
        <w:top w:val="none" w:sz="0" w:space="0" w:color="auto"/>
        <w:left w:val="none" w:sz="0" w:space="0" w:color="auto"/>
        <w:bottom w:val="none" w:sz="0" w:space="0" w:color="auto"/>
        <w:right w:val="none" w:sz="0" w:space="0" w:color="auto"/>
      </w:divBdr>
    </w:div>
    <w:div w:id="946080769">
      <w:bodyDiv w:val="1"/>
      <w:marLeft w:val="0"/>
      <w:marRight w:val="0"/>
      <w:marTop w:val="0"/>
      <w:marBottom w:val="0"/>
      <w:divBdr>
        <w:top w:val="none" w:sz="0" w:space="0" w:color="auto"/>
        <w:left w:val="none" w:sz="0" w:space="0" w:color="auto"/>
        <w:bottom w:val="none" w:sz="0" w:space="0" w:color="auto"/>
        <w:right w:val="none" w:sz="0" w:space="0" w:color="auto"/>
      </w:divBdr>
    </w:div>
    <w:div w:id="963313921">
      <w:bodyDiv w:val="1"/>
      <w:marLeft w:val="0"/>
      <w:marRight w:val="0"/>
      <w:marTop w:val="0"/>
      <w:marBottom w:val="0"/>
      <w:divBdr>
        <w:top w:val="none" w:sz="0" w:space="0" w:color="auto"/>
        <w:left w:val="none" w:sz="0" w:space="0" w:color="auto"/>
        <w:bottom w:val="none" w:sz="0" w:space="0" w:color="auto"/>
        <w:right w:val="none" w:sz="0" w:space="0" w:color="auto"/>
      </w:divBdr>
    </w:div>
    <w:div w:id="963463217">
      <w:bodyDiv w:val="1"/>
      <w:marLeft w:val="0"/>
      <w:marRight w:val="0"/>
      <w:marTop w:val="0"/>
      <w:marBottom w:val="0"/>
      <w:divBdr>
        <w:top w:val="none" w:sz="0" w:space="0" w:color="auto"/>
        <w:left w:val="none" w:sz="0" w:space="0" w:color="auto"/>
        <w:bottom w:val="none" w:sz="0" w:space="0" w:color="auto"/>
        <w:right w:val="none" w:sz="0" w:space="0" w:color="auto"/>
      </w:divBdr>
    </w:div>
    <w:div w:id="968708376">
      <w:bodyDiv w:val="1"/>
      <w:marLeft w:val="0"/>
      <w:marRight w:val="0"/>
      <w:marTop w:val="0"/>
      <w:marBottom w:val="0"/>
      <w:divBdr>
        <w:top w:val="none" w:sz="0" w:space="0" w:color="auto"/>
        <w:left w:val="none" w:sz="0" w:space="0" w:color="auto"/>
        <w:bottom w:val="none" w:sz="0" w:space="0" w:color="auto"/>
        <w:right w:val="none" w:sz="0" w:space="0" w:color="auto"/>
      </w:divBdr>
    </w:div>
    <w:div w:id="973411919">
      <w:bodyDiv w:val="1"/>
      <w:marLeft w:val="0"/>
      <w:marRight w:val="0"/>
      <w:marTop w:val="0"/>
      <w:marBottom w:val="0"/>
      <w:divBdr>
        <w:top w:val="none" w:sz="0" w:space="0" w:color="auto"/>
        <w:left w:val="none" w:sz="0" w:space="0" w:color="auto"/>
        <w:bottom w:val="none" w:sz="0" w:space="0" w:color="auto"/>
        <w:right w:val="none" w:sz="0" w:space="0" w:color="auto"/>
      </w:divBdr>
    </w:div>
    <w:div w:id="979117813">
      <w:bodyDiv w:val="1"/>
      <w:marLeft w:val="0"/>
      <w:marRight w:val="0"/>
      <w:marTop w:val="0"/>
      <w:marBottom w:val="0"/>
      <w:divBdr>
        <w:top w:val="none" w:sz="0" w:space="0" w:color="auto"/>
        <w:left w:val="none" w:sz="0" w:space="0" w:color="auto"/>
        <w:bottom w:val="none" w:sz="0" w:space="0" w:color="auto"/>
        <w:right w:val="none" w:sz="0" w:space="0" w:color="auto"/>
      </w:divBdr>
    </w:div>
    <w:div w:id="981927218">
      <w:bodyDiv w:val="1"/>
      <w:marLeft w:val="0"/>
      <w:marRight w:val="0"/>
      <w:marTop w:val="0"/>
      <w:marBottom w:val="0"/>
      <w:divBdr>
        <w:top w:val="none" w:sz="0" w:space="0" w:color="auto"/>
        <w:left w:val="none" w:sz="0" w:space="0" w:color="auto"/>
        <w:bottom w:val="none" w:sz="0" w:space="0" w:color="auto"/>
        <w:right w:val="none" w:sz="0" w:space="0" w:color="auto"/>
      </w:divBdr>
    </w:div>
    <w:div w:id="995185000">
      <w:bodyDiv w:val="1"/>
      <w:marLeft w:val="0"/>
      <w:marRight w:val="0"/>
      <w:marTop w:val="0"/>
      <w:marBottom w:val="0"/>
      <w:divBdr>
        <w:top w:val="none" w:sz="0" w:space="0" w:color="auto"/>
        <w:left w:val="none" w:sz="0" w:space="0" w:color="auto"/>
        <w:bottom w:val="none" w:sz="0" w:space="0" w:color="auto"/>
        <w:right w:val="none" w:sz="0" w:space="0" w:color="auto"/>
      </w:divBdr>
    </w:div>
    <w:div w:id="998851781">
      <w:bodyDiv w:val="1"/>
      <w:marLeft w:val="0"/>
      <w:marRight w:val="0"/>
      <w:marTop w:val="0"/>
      <w:marBottom w:val="0"/>
      <w:divBdr>
        <w:top w:val="none" w:sz="0" w:space="0" w:color="auto"/>
        <w:left w:val="none" w:sz="0" w:space="0" w:color="auto"/>
        <w:bottom w:val="none" w:sz="0" w:space="0" w:color="auto"/>
        <w:right w:val="none" w:sz="0" w:space="0" w:color="auto"/>
      </w:divBdr>
    </w:div>
    <w:div w:id="1017125032">
      <w:bodyDiv w:val="1"/>
      <w:marLeft w:val="0"/>
      <w:marRight w:val="0"/>
      <w:marTop w:val="0"/>
      <w:marBottom w:val="0"/>
      <w:divBdr>
        <w:top w:val="none" w:sz="0" w:space="0" w:color="auto"/>
        <w:left w:val="none" w:sz="0" w:space="0" w:color="auto"/>
        <w:bottom w:val="none" w:sz="0" w:space="0" w:color="auto"/>
        <w:right w:val="none" w:sz="0" w:space="0" w:color="auto"/>
      </w:divBdr>
    </w:div>
    <w:div w:id="1022786090">
      <w:bodyDiv w:val="1"/>
      <w:marLeft w:val="0"/>
      <w:marRight w:val="0"/>
      <w:marTop w:val="0"/>
      <w:marBottom w:val="0"/>
      <w:divBdr>
        <w:top w:val="none" w:sz="0" w:space="0" w:color="auto"/>
        <w:left w:val="none" w:sz="0" w:space="0" w:color="auto"/>
        <w:bottom w:val="none" w:sz="0" w:space="0" w:color="auto"/>
        <w:right w:val="none" w:sz="0" w:space="0" w:color="auto"/>
      </w:divBdr>
    </w:div>
    <w:div w:id="1022977437">
      <w:bodyDiv w:val="1"/>
      <w:marLeft w:val="0"/>
      <w:marRight w:val="0"/>
      <w:marTop w:val="0"/>
      <w:marBottom w:val="0"/>
      <w:divBdr>
        <w:top w:val="none" w:sz="0" w:space="0" w:color="auto"/>
        <w:left w:val="none" w:sz="0" w:space="0" w:color="auto"/>
        <w:bottom w:val="none" w:sz="0" w:space="0" w:color="auto"/>
        <w:right w:val="none" w:sz="0" w:space="0" w:color="auto"/>
      </w:divBdr>
    </w:div>
    <w:div w:id="1025516609">
      <w:bodyDiv w:val="1"/>
      <w:marLeft w:val="0"/>
      <w:marRight w:val="0"/>
      <w:marTop w:val="0"/>
      <w:marBottom w:val="0"/>
      <w:divBdr>
        <w:top w:val="none" w:sz="0" w:space="0" w:color="auto"/>
        <w:left w:val="none" w:sz="0" w:space="0" w:color="auto"/>
        <w:bottom w:val="none" w:sz="0" w:space="0" w:color="auto"/>
        <w:right w:val="none" w:sz="0" w:space="0" w:color="auto"/>
      </w:divBdr>
    </w:div>
    <w:div w:id="1025905704">
      <w:bodyDiv w:val="1"/>
      <w:marLeft w:val="0"/>
      <w:marRight w:val="0"/>
      <w:marTop w:val="0"/>
      <w:marBottom w:val="0"/>
      <w:divBdr>
        <w:top w:val="none" w:sz="0" w:space="0" w:color="auto"/>
        <w:left w:val="none" w:sz="0" w:space="0" w:color="auto"/>
        <w:bottom w:val="none" w:sz="0" w:space="0" w:color="auto"/>
        <w:right w:val="none" w:sz="0" w:space="0" w:color="auto"/>
      </w:divBdr>
    </w:div>
    <w:div w:id="1040785165">
      <w:bodyDiv w:val="1"/>
      <w:marLeft w:val="0"/>
      <w:marRight w:val="0"/>
      <w:marTop w:val="0"/>
      <w:marBottom w:val="0"/>
      <w:divBdr>
        <w:top w:val="none" w:sz="0" w:space="0" w:color="auto"/>
        <w:left w:val="none" w:sz="0" w:space="0" w:color="auto"/>
        <w:bottom w:val="none" w:sz="0" w:space="0" w:color="auto"/>
        <w:right w:val="none" w:sz="0" w:space="0" w:color="auto"/>
      </w:divBdr>
    </w:div>
    <w:div w:id="1065840529">
      <w:bodyDiv w:val="1"/>
      <w:marLeft w:val="0"/>
      <w:marRight w:val="0"/>
      <w:marTop w:val="0"/>
      <w:marBottom w:val="0"/>
      <w:divBdr>
        <w:top w:val="none" w:sz="0" w:space="0" w:color="auto"/>
        <w:left w:val="none" w:sz="0" w:space="0" w:color="auto"/>
        <w:bottom w:val="none" w:sz="0" w:space="0" w:color="auto"/>
        <w:right w:val="none" w:sz="0" w:space="0" w:color="auto"/>
      </w:divBdr>
    </w:div>
    <w:div w:id="1087314210">
      <w:bodyDiv w:val="1"/>
      <w:marLeft w:val="0"/>
      <w:marRight w:val="0"/>
      <w:marTop w:val="0"/>
      <w:marBottom w:val="0"/>
      <w:divBdr>
        <w:top w:val="none" w:sz="0" w:space="0" w:color="auto"/>
        <w:left w:val="none" w:sz="0" w:space="0" w:color="auto"/>
        <w:bottom w:val="none" w:sz="0" w:space="0" w:color="auto"/>
        <w:right w:val="none" w:sz="0" w:space="0" w:color="auto"/>
      </w:divBdr>
    </w:div>
    <w:div w:id="1095440788">
      <w:bodyDiv w:val="1"/>
      <w:marLeft w:val="0"/>
      <w:marRight w:val="0"/>
      <w:marTop w:val="0"/>
      <w:marBottom w:val="0"/>
      <w:divBdr>
        <w:top w:val="none" w:sz="0" w:space="0" w:color="auto"/>
        <w:left w:val="none" w:sz="0" w:space="0" w:color="auto"/>
        <w:bottom w:val="none" w:sz="0" w:space="0" w:color="auto"/>
        <w:right w:val="none" w:sz="0" w:space="0" w:color="auto"/>
      </w:divBdr>
    </w:div>
    <w:div w:id="1100374272">
      <w:bodyDiv w:val="1"/>
      <w:marLeft w:val="0"/>
      <w:marRight w:val="0"/>
      <w:marTop w:val="0"/>
      <w:marBottom w:val="0"/>
      <w:divBdr>
        <w:top w:val="none" w:sz="0" w:space="0" w:color="auto"/>
        <w:left w:val="none" w:sz="0" w:space="0" w:color="auto"/>
        <w:bottom w:val="none" w:sz="0" w:space="0" w:color="auto"/>
        <w:right w:val="none" w:sz="0" w:space="0" w:color="auto"/>
      </w:divBdr>
    </w:div>
    <w:div w:id="1119648119">
      <w:bodyDiv w:val="1"/>
      <w:marLeft w:val="0"/>
      <w:marRight w:val="0"/>
      <w:marTop w:val="0"/>
      <w:marBottom w:val="0"/>
      <w:divBdr>
        <w:top w:val="none" w:sz="0" w:space="0" w:color="auto"/>
        <w:left w:val="none" w:sz="0" w:space="0" w:color="auto"/>
        <w:bottom w:val="none" w:sz="0" w:space="0" w:color="auto"/>
        <w:right w:val="none" w:sz="0" w:space="0" w:color="auto"/>
      </w:divBdr>
    </w:div>
    <w:div w:id="1132747515">
      <w:bodyDiv w:val="1"/>
      <w:marLeft w:val="0"/>
      <w:marRight w:val="0"/>
      <w:marTop w:val="0"/>
      <w:marBottom w:val="0"/>
      <w:divBdr>
        <w:top w:val="none" w:sz="0" w:space="0" w:color="auto"/>
        <w:left w:val="none" w:sz="0" w:space="0" w:color="auto"/>
        <w:bottom w:val="none" w:sz="0" w:space="0" w:color="auto"/>
        <w:right w:val="none" w:sz="0" w:space="0" w:color="auto"/>
      </w:divBdr>
    </w:div>
    <w:div w:id="1161846531">
      <w:bodyDiv w:val="1"/>
      <w:marLeft w:val="0"/>
      <w:marRight w:val="0"/>
      <w:marTop w:val="0"/>
      <w:marBottom w:val="0"/>
      <w:divBdr>
        <w:top w:val="none" w:sz="0" w:space="0" w:color="auto"/>
        <w:left w:val="none" w:sz="0" w:space="0" w:color="auto"/>
        <w:bottom w:val="none" w:sz="0" w:space="0" w:color="auto"/>
        <w:right w:val="none" w:sz="0" w:space="0" w:color="auto"/>
      </w:divBdr>
    </w:div>
    <w:div w:id="1167205925">
      <w:bodyDiv w:val="1"/>
      <w:marLeft w:val="0"/>
      <w:marRight w:val="0"/>
      <w:marTop w:val="0"/>
      <w:marBottom w:val="0"/>
      <w:divBdr>
        <w:top w:val="none" w:sz="0" w:space="0" w:color="auto"/>
        <w:left w:val="none" w:sz="0" w:space="0" w:color="auto"/>
        <w:bottom w:val="none" w:sz="0" w:space="0" w:color="auto"/>
        <w:right w:val="none" w:sz="0" w:space="0" w:color="auto"/>
      </w:divBdr>
    </w:div>
    <w:div w:id="1168401857">
      <w:bodyDiv w:val="1"/>
      <w:marLeft w:val="0"/>
      <w:marRight w:val="0"/>
      <w:marTop w:val="0"/>
      <w:marBottom w:val="0"/>
      <w:divBdr>
        <w:top w:val="none" w:sz="0" w:space="0" w:color="auto"/>
        <w:left w:val="none" w:sz="0" w:space="0" w:color="auto"/>
        <w:bottom w:val="none" w:sz="0" w:space="0" w:color="auto"/>
        <w:right w:val="none" w:sz="0" w:space="0" w:color="auto"/>
      </w:divBdr>
    </w:div>
    <w:div w:id="1169558655">
      <w:bodyDiv w:val="1"/>
      <w:marLeft w:val="0"/>
      <w:marRight w:val="0"/>
      <w:marTop w:val="0"/>
      <w:marBottom w:val="0"/>
      <w:divBdr>
        <w:top w:val="none" w:sz="0" w:space="0" w:color="auto"/>
        <w:left w:val="none" w:sz="0" w:space="0" w:color="auto"/>
        <w:bottom w:val="none" w:sz="0" w:space="0" w:color="auto"/>
        <w:right w:val="none" w:sz="0" w:space="0" w:color="auto"/>
      </w:divBdr>
    </w:div>
    <w:div w:id="1184630755">
      <w:bodyDiv w:val="1"/>
      <w:marLeft w:val="0"/>
      <w:marRight w:val="0"/>
      <w:marTop w:val="0"/>
      <w:marBottom w:val="0"/>
      <w:divBdr>
        <w:top w:val="none" w:sz="0" w:space="0" w:color="auto"/>
        <w:left w:val="none" w:sz="0" w:space="0" w:color="auto"/>
        <w:bottom w:val="none" w:sz="0" w:space="0" w:color="auto"/>
        <w:right w:val="none" w:sz="0" w:space="0" w:color="auto"/>
      </w:divBdr>
    </w:div>
    <w:div w:id="1191530197">
      <w:bodyDiv w:val="1"/>
      <w:marLeft w:val="0"/>
      <w:marRight w:val="0"/>
      <w:marTop w:val="0"/>
      <w:marBottom w:val="0"/>
      <w:divBdr>
        <w:top w:val="none" w:sz="0" w:space="0" w:color="auto"/>
        <w:left w:val="none" w:sz="0" w:space="0" w:color="auto"/>
        <w:bottom w:val="none" w:sz="0" w:space="0" w:color="auto"/>
        <w:right w:val="none" w:sz="0" w:space="0" w:color="auto"/>
      </w:divBdr>
    </w:div>
    <w:div w:id="1195844883">
      <w:bodyDiv w:val="1"/>
      <w:marLeft w:val="0"/>
      <w:marRight w:val="0"/>
      <w:marTop w:val="0"/>
      <w:marBottom w:val="0"/>
      <w:divBdr>
        <w:top w:val="none" w:sz="0" w:space="0" w:color="auto"/>
        <w:left w:val="none" w:sz="0" w:space="0" w:color="auto"/>
        <w:bottom w:val="none" w:sz="0" w:space="0" w:color="auto"/>
        <w:right w:val="none" w:sz="0" w:space="0" w:color="auto"/>
      </w:divBdr>
    </w:div>
    <w:div w:id="1201897348">
      <w:bodyDiv w:val="1"/>
      <w:marLeft w:val="0"/>
      <w:marRight w:val="0"/>
      <w:marTop w:val="0"/>
      <w:marBottom w:val="0"/>
      <w:divBdr>
        <w:top w:val="none" w:sz="0" w:space="0" w:color="auto"/>
        <w:left w:val="none" w:sz="0" w:space="0" w:color="auto"/>
        <w:bottom w:val="none" w:sz="0" w:space="0" w:color="auto"/>
        <w:right w:val="none" w:sz="0" w:space="0" w:color="auto"/>
      </w:divBdr>
    </w:div>
    <w:div w:id="1203715364">
      <w:bodyDiv w:val="1"/>
      <w:marLeft w:val="0"/>
      <w:marRight w:val="0"/>
      <w:marTop w:val="0"/>
      <w:marBottom w:val="0"/>
      <w:divBdr>
        <w:top w:val="none" w:sz="0" w:space="0" w:color="auto"/>
        <w:left w:val="none" w:sz="0" w:space="0" w:color="auto"/>
        <w:bottom w:val="none" w:sz="0" w:space="0" w:color="auto"/>
        <w:right w:val="none" w:sz="0" w:space="0" w:color="auto"/>
      </w:divBdr>
    </w:div>
    <w:div w:id="1227953075">
      <w:bodyDiv w:val="1"/>
      <w:marLeft w:val="0"/>
      <w:marRight w:val="0"/>
      <w:marTop w:val="0"/>
      <w:marBottom w:val="0"/>
      <w:divBdr>
        <w:top w:val="none" w:sz="0" w:space="0" w:color="auto"/>
        <w:left w:val="none" w:sz="0" w:space="0" w:color="auto"/>
        <w:bottom w:val="none" w:sz="0" w:space="0" w:color="auto"/>
        <w:right w:val="none" w:sz="0" w:space="0" w:color="auto"/>
      </w:divBdr>
    </w:div>
    <w:div w:id="1232547148">
      <w:bodyDiv w:val="1"/>
      <w:marLeft w:val="0"/>
      <w:marRight w:val="0"/>
      <w:marTop w:val="0"/>
      <w:marBottom w:val="0"/>
      <w:divBdr>
        <w:top w:val="none" w:sz="0" w:space="0" w:color="auto"/>
        <w:left w:val="none" w:sz="0" w:space="0" w:color="auto"/>
        <w:bottom w:val="none" w:sz="0" w:space="0" w:color="auto"/>
        <w:right w:val="none" w:sz="0" w:space="0" w:color="auto"/>
      </w:divBdr>
    </w:div>
    <w:div w:id="1266841818">
      <w:bodyDiv w:val="1"/>
      <w:marLeft w:val="0"/>
      <w:marRight w:val="0"/>
      <w:marTop w:val="0"/>
      <w:marBottom w:val="0"/>
      <w:divBdr>
        <w:top w:val="none" w:sz="0" w:space="0" w:color="auto"/>
        <w:left w:val="none" w:sz="0" w:space="0" w:color="auto"/>
        <w:bottom w:val="none" w:sz="0" w:space="0" w:color="auto"/>
        <w:right w:val="none" w:sz="0" w:space="0" w:color="auto"/>
      </w:divBdr>
    </w:div>
    <w:div w:id="1269509827">
      <w:bodyDiv w:val="1"/>
      <w:marLeft w:val="0"/>
      <w:marRight w:val="0"/>
      <w:marTop w:val="0"/>
      <w:marBottom w:val="0"/>
      <w:divBdr>
        <w:top w:val="none" w:sz="0" w:space="0" w:color="auto"/>
        <w:left w:val="none" w:sz="0" w:space="0" w:color="auto"/>
        <w:bottom w:val="none" w:sz="0" w:space="0" w:color="auto"/>
        <w:right w:val="none" w:sz="0" w:space="0" w:color="auto"/>
      </w:divBdr>
    </w:div>
    <w:div w:id="1300771033">
      <w:bodyDiv w:val="1"/>
      <w:marLeft w:val="0"/>
      <w:marRight w:val="0"/>
      <w:marTop w:val="0"/>
      <w:marBottom w:val="0"/>
      <w:divBdr>
        <w:top w:val="none" w:sz="0" w:space="0" w:color="auto"/>
        <w:left w:val="none" w:sz="0" w:space="0" w:color="auto"/>
        <w:bottom w:val="none" w:sz="0" w:space="0" w:color="auto"/>
        <w:right w:val="none" w:sz="0" w:space="0" w:color="auto"/>
      </w:divBdr>
    </w:div>
    <w:div w:id="1312176808">
      <w:bodyDiv w:val="1"/>
      <w:marLeft w:val="0"/>
      <w:marRight w:val="0"/>
      <w:marTop w:val="0"/>
      <w:marBottom w:val="0"/>
      <w:divBdr>
        <w:top w:val="none" w:sz="0" w:space="0" w:color="auto"/>
        <w:left w:val="none" w:sz="0" w:space="0" w:color="auto"/>
        <w:bottom w:val="none" w:sz="0" w:space="0" w:color="auto"/>
        <w:right w:val="none" w:sz="0" w:space="0" w:color="auto"/>
      </w:divBdr>
    </w:div>
    <w:div w:id="1320886819">
      <w:bodyDiv w:val="1"/>
      <w:marLeft w:val="0"/>
      <w:marRight w:val="0"/>
      <w:marTop w:val="0"/>
      <w:marBottom w:val="0"/>
      <w:divBdr>
        <w:top w:val="none" w:sz="0" w:space="0" w:color="auto"/>
        <w:left w:val="none" w:sz="0" w:space="0" w:color="auto"/>
        <w:bottom w:val="none" w:sz="0" w:space="0" w:color="auto"/>
        <w:right w:val="none" w:sz="0" w:space="0" w:color="auto"/>
      </w:divBdr>
    </w:div>
    <w:div w:id="1325278013">
      <w:bodyDiv w:val="1"/>
      <w:marLeft w:val="0"/>
      <w:marRight w:val="0"/>
      <w:marTop w:val="0"/>
      <w:marBottom w:val="0"/>
      <w:divBdr>
        <w:top w:val="none" w:sz="0" w:space="0" w:color="auto"/>
        <w:left w:val="none" w:sz="0" w:space="0" w:color="auto"/>
        <w:bottom w:val="none" w:sz="0" w:space="0" w:color="auto"/>
        <w:right w:val="none" w:sz="0" w:space="0" w:color="auto"/>
      </w:divBdr>
    </w:div>
    <w:div w:id="1352604138">
      <w:bodyDiv w:val="1"/>
      <w:marLeft w:val="0"/>
      <w:marRight w:val="0"/>
      <w:marTop w:val="0"/>
      <w:marBottom w:val="0"/>
      <w:divBdr>
        <w:top w:val="none" w:sz="0" w:space="0" w:color="auto"/>
        <w:left w:val="none" w:sz="0" w:space="0" w:color="auto"/>
        <w:bottom w:val="none" w:sz="0" w:space="0" w:color="auto"/>
        <w:right w:val="none" w:sz="0" w:space="0" w:color="auto"/>
      </w:divBdr>
    </w:div>
    <w:div w:id="1355304278">
      <w:bodyDiv w:val="1"/>
      <w:marLeft w:val="0"/>
      <w:marRight w:val="0"/>
      <w:marTop w:val="0"/>
      <w:marBottom w:val="0"/>
      <w:divBdr>
        <w:top w:val="none" w:sz="0" w:space="0" w:color="auto"/>
        <w:left w:val="none" w:sz="0" w:space="0" w:color="auto"/>
        <w:bottom w:val="none" w:sz="0" w:space="0" w:color="auto"/>
        <w:right w:val="none" w:sz="0" w:space="0" w:color="auto"/>
      </w:divBdr>
    </w:div>
    <w:div w:id="1417946310">
      <w:bodyDiv w:val="1"/>
      <w:marLeft w:val="0"/>
      <w:marRight w:val="0"/>
      <w:marTop w:val="0"/>
      <w:marBottom w:val="0"/>
      <w:divBdr>
        <w:top w:val="none" w:sz="0" w:space="0" w:color="auto"/>
        <w:left w:val="none" w:sz="0" w:space="0" w:color="auto"/>
        <w:bottom w:val="none" w:sz="0" w:space="0" w:color="auto"/>
        <w:right w:val="none" w:sz="0" w:space="0" w:color="auto"/>
      </w:divBdr>
    </w:div>
    <w:div w:id="1431975696">
      <w:bodyDiv w:val="1"/>
      <w:marLeft w:val="0"/>
      <w:marRight w:val="0"/>
      <w:marTop w:val="0"/>
      <w:marBottom w:val="0"/>
      <w:divBdr>
        <w:top w:val="none" w:sz="0" w:space="0" w:color="auto"/>
        <w:left w:val="none" w:sz="0" w:space="0" w:color="auto"/>
        <w:bottom w:val="none" w:sz="0" w:space="0" w:color="auto"/>
        <w:right w:val="none" w:sz="0" w:space="0" w:color="auto"/>
      </w:divBdr>
    </w:div>
    <w:div w:id="1443063489">
      <w:bodyDiv w:val="1"/>
      <w:marLeft w:val="0"/>
      <w:marRight w:val="0"/>
      <w:marTop w:val="0"/>
      <w:marBottom w:val="0"/>
      <w:divBdr>
        <w:top w:val="none" w:sz="0" w:space="0" w:color="auto"/>
        <w:left w:val="none" w:sz="0" w:space="0" w:color="auto"/>
        <w:bottom w:val="none" w:sz="0" w:space="0" w:color="auto"/>
        <w:right w:val="none" w:sz="0" w:space="0" w:color="auto"/>
      </w:divBdr>
    </w:div>
    <w:div w:id="1445035915">
      <w:bodyDiv w:val="1"/>
      <w:marLeft w:val="0"/>
      <w:marRight w:val="0"/>
      <w:marTop w:val="0"/>
      <w:marBottom w:val="0"/>
      <w:divBdr>
        <w:top w:val="none" w:sz="0" w:space="0" w:color="auto"/>
        <w:left w:val="none" w:sz="0" w:space="0" w:color="auto"/>
        <w:bottom w:val="none" w:sz="0" w:space="0" w:color="auto"/>
        <w:right w:val="none" w:sz="0" w:space="0" w:color="auto"/>
      </w:divBdr>
    </w:div>
    <w:div w:id="1477721274">
      <w:bodyDiv w:val="1"/>
      <w:marLeft w:val="0"/>
      <w:marRight w:val="0"/>
      <w:marTop w:val="0"/>
      <w:marBottom w:val="0"/>
      <w:divBdr>
        <w:top w:val="none" w:sz="0" w:space="0" w:color="auto"/>
        <w:left w:val="none" w:sz="0" w:space="0" w:color="auto"/>
        <w:bottom w:val="none" w:sz="0" w:space="0" w:color="auto"/>
        <w:right w:val="none" w:sz="0" w:space="0" w:color="auto"/>
      </w:divBdr>
    </w:div>
    <w:div w:id="1478720667">
      <w:bodyDiv w:val="1"/>
      <w:marLeft w:val="0"/>
      <w:marRight w:val="0"/>
      <w:marTop w:val="0"/>
      <w:marBottom w:val="0"/>
      <w:divBdr>
        <w:top w:val="none" w:sz="0" w:space="0" w:color="auto"/>
        <w:left w:val="none" w:sz="0" w:space="0" w:color="auto"/>
        <w:bottom w:val="none" w:sz="0" w:space="0" w:color="auto"/>
        <w:right w:val="none" w:sz="0" w:space="0" w:color="auto"/>
      </w:divBdr>
    </w:div>
    <w:div w:id="1486622285">
      <w:bodyDiv w:val="1"/>
      <w:marLeft w:val="0"/>
      <w:marRight w:val="0"/>
      <w:marTop w:val="0"/>
      <w:marBottom w:val="0"/>
      <w:divBdr>
        <w:top w:val="none" w:sz="0" w:space="0" w:color="auto"/>
        <w:left w:val="none" w:sz="0" w:space="0" w:color="auto"/>
        <w:bottom w:val="none" w:sz="0" w:space="0" w:color="auto"/>
        <w:right w:val="none" w:sz="0" w:space="0" w:color="auto"/>
      </w:divBdr>
    </w:div>
    <w:div w:id="1509715311">
      <w:bodyDiv w:val="1"/>
      <w:marLeft w:val="0"/>
      <w:marRight w:val="0"/>
      <w:marTop w:val="0"/>
      <w:marBottom w:val="0"/>
      <w:divBdr>
        <w:top w:val="none" w:sz="0" w:space="0" w:color="auto"/>
        <w:left w:val="none" w:sz="0" w:space="0" w:color="auto"/>
        <w:bottom w:val="none" w:sz="0" w:space="0" w:color="auto"/>
        <w:right w:val="none" w:sz="0" w:space="0" w:color="auto"/>
      </w:divBdr>
    </w:div>
    <w:div w:id="1546481214">
      <w:bodyDiv w:val="1"/>
      <w:marLeft w:val="0"/>
      <w:marRight w:val="0"/>
      <w:marTop w:val="0"/>
      <w:marBottom w:val="0"/>
      <w:divBdr>
        <w:top w:val="none" w:sz="0" w:space="0" w:color="auto"/>
        <w:left w:val="none" w:sz="0" w:space="0" w:color="auto"/>
        <w:bottom w:val="none" w:sz="0" w:space="0" w:color="auto"/>
        <w:right w:val="none" w:sz="0" w:space="0" w:color="auto"/>
      </w:divBdr>
    </w:div>
    <w:div w:id="1559167389">
      <w:bodyDiv w:val="1"/>
      <w:marLeft w:val="0"/>
      <w:marRight w:val="0"/>
      <w:marTop w:val="0"/>
      <w:marBottom w:val="0"/>
      <w:divBdr>
        <w:top w:val="none" w:sz="0" w:space="0" w:color="auto"/>
        <w:left w:val="none" w:sz="0" w:space="0" w:color="auto"/>
        <w:bottom w:val="none" w:sz="0" w:space="0" w:color="auto"/>
        <w:right w:val="none" w:sz="0" w:space="0" w:color="auto"/>
      </w:divBdr>
    </w:div>
    <w:div w:id="1594623748">
      <w:bodyDiv w:val="1"/>
      <w:marLeft w:val="0"/>
      <w:marRight w:val="0"/>
      <w:marTop w:val="0"/>
      <w:marBottom w:val="0"/>
      <w:divBdr>
        <w:top w:val="none" w:sz="0" w:space="0" w:color="auto"/>
        <w:left w:val="none" w:sz="0" w:space="0" w:color="auto"/>
        <w:bottom w:val="none" w:sz="0" w:space="0" w:color="auto"/>
        <w:right w:val="none" w:sz="0" w:space="0" w:color="auto"/>
      </w:divBdr>
    </w:div>
    <w:div w:id="1602638037">
      <w:bodyDiv w:val="1"/>
      <w:marLeft w:val="0"/>
      <w:marRight w:val="0"/>
      <w:marTop w:val="0"/>
      <w:marBottom w:val="0"/>
      <w:divBdr>
        <w:top w:val="none" w:sz="0" w:space="0" w:color="auto"/>
        <w:left w:val="none" w:sz="0" w:space="0" w:color="auto"/>
        <w:bottom w:val="none" w:sz="0" w:space="0" w:color="auto"/>
        <w:right w:val="none" w:sz="0" w:space="0" w:color="auto"/>
      </w:divBdr>
    </w:div>
    <w:div w:id="1630476010">
      <w:bodyDiv w:val="1"/>
      <w:marLeft w:val="0"/>
      <w:marRight w:val="0"/>
      <w:marTop w:val="0"/>
      <w:marBottom w:val="0"/>
      <w:divBdr>
        <w:top w:val="none" w:sz="0" w:space="0" w:color="auto"/>
        <w:left w:val="none" w:sz="0" w:space="0" w:color="auto"/>
        <w:bottom w:val="none" w:sz="0" w:space="0" w:color="auto"/>
        <w:right w:val="none" w:sz="0" w:space="0" w:color="auto"/>
      </w:divBdr>
    </w:div>
    <w:div w:id="1650859357">
      <w:bodyDiv w:val="1"/>
      <w:marLeft w:val="0"/>
      <w:marRight w:val="0"/>
      <w:marTop w:val="0"/>
      <w:marBottom w:val="0"/>
      <w:divBdr>
        <w:top w:val="none" w:sz="0" w:space="0" w:color="auto"/>
        <w:left w:val="none" w:sz="0" w:space="0" w:color="auto"/>
        <w:bottom w:val="none" w:sz="0" w:space="0" w:color="auto"/>
        <w:right w:val="none" w:sz="0" w:space="0" w:color="auto"/>
      </w:divBdr>
      <w:divsChild>
        <w:div w:id="1715613703">
          <w:marLeft w:val="0"/>
          <w:marRight w:val="0"/>
          <w:marTop w:val="0"/>
          <w:marBottom w:val="0"/>
          <w:divBdr>
            <w:top w:val="none" w:sz="0" w:space="0" w:color="auto"/>
            <w:left w:val="none" w:sz="0" w:space="0" w:color="auto"/>
            <w:bottom w:val="none" w:sz="0" w:space="0" w:color="auto"/>
            <w:right w:val="none" w:sz="0" w:space="0" w:color="auto"/>
          </w:divBdr>
        </w:div>
        <w:div w:id="1339578310">
          <w:marLeft w:val="0"/>
          <w:marRight w:val="0"/>
          <w:marTop w:val="0"/>
          <w:marBottom w:val="0"/>
          <w:divBdr>
            <w:top w:val="none" w:sz="0" w:space="0" w:color="auto"/>
            <w:left w:val="none" w:sz="0" w:space="0" w:color="auto"/>
            <w:bottom w:val="none" w:sz="0" w:space="0" w:color="auto"/>
            <w:right w:val="none" w:sz="0" w:space="0" w:color="auto"/>
          </w:divBdr>
          <w:divsChild>
            <w:div w:id="54938531">
              <w:marLeft w:val="0"/>
              <w:marRight w:val="0"/>
              <w:marTop w:val="0"/>
              <w:marBottom w:val="0"/>
              <w:divBdr>
                <w:top w:val="none" w:sz="0" w:space="0" w:color="auto"/>
                <w:left w:val="none" w:sz="0" w:space="0" w:color="auto"/>
                <w:bottom w:val="none" w:sz="0" w:space="0" w:color="auto"/>
                <w:right w:val="none" w:sz="0" w:space="0" w:color="auto"/>
              </w:divBdr>
            </w:div>
          </w:divsChild>
        </w:div>
        <w:div w:id="1191143873">
          <w:marLeft w:val="0"/>
          <w:marRight w:val="0"/>
          <w:marTop w:val="0"/>
          <w:marBottom w:val="0"/>
          <w:divBdr>
            <w:top w:val="none" w:sz="0" w:space="0" w:color="auto"/>
            <w:left w:val="none" w:sz="0" w:space="0" w:color="auto"/>
            <w:bottom w:val="none" w:sz="0" w:space="0" w:color="auto"/>
            <w:right w:val="none" w:sz="0" w:space="0" w:color="auto"/>
          </w:divBdr>
          <w:divsChild>
            <w:div w:id="1946881894">
              <w:marLeft w:val="0"/>
              <w:marRight w:val="0"/>
              <w:marTop w:val="0"/>
              <w:marBottom w:val="0"/>
              <w:divBdr>
                <w:top w:val="none" w:sz="0" w:space="0" w:color="auto"/>
                <w:left w:val="none" w:sz="0" w:space="0" w:color="auto"/>
                <w:bottom w:val="none" w:sz="0" w:space="0" w:color="auto"/>
                <w:right w:val="none" w:sz="0" w:space="0" w:color="auto"/>
              </w:divBdr>
            </w:div>
          </w:divsChild>
        </w:div>
        <w:div w:id="1409497968">
          <w:marLeft w:val="0"/>
          <w:marRight w:val="0"/>
          <w:marTop w:val="0"/>
          <w:marBottom w:val="0"/>
          <w:divBdr>
            <w:top w:val="none" w:sz="0" w:space="0" w:color="auto"/>
            <w:left w:val="none" w:sz="0" w:space="0" w:color="auto"/>
            <w:bottom w:val="none" w:sz="0" w:space="0" w:color="auto"/>
            <w:right w:val="none" w:sz="0" w:space="0" w:color="auto"/>
          </w:divBdr>
          <w:divsChild>
            <w:div w:id="885681886">
              <w:marLeft w:val="0"/>
              <w:marRight w:val="0"/>
              <w:marTop w:val="0"/>
              <w:marBottom w:val="0"/>
              <w:divBdr>
                <w:top w:val="none" w:sz="0" w:space="0" w:color="auto"/>
                <w:left w:val="none" w:sz="0" w:space="0" w:color="auto"/>
                <w:bottom w:val="none" w:sz="0" w:space="0" w:color="auto"/>
                <w:right w:val="none" w:sz="0" w:space="0" w:color="auto"/>
              </w:divBdr>
            </w:div>
          </w:divsChild>
        </w:div>
        <w:div w:id="1358654764">
          <w:marLeft w:val="0"/>
          <w:marRight w:val="0"/>
          <w:marTop w:val="0"/>
          <w:marBottom w:val="0"/>
          <w:divBdr>
            <w:top w:val="none" w:sz="0" w:space="0" w:color="auto"/>
            <w:left w:val="none" w:sz="0" w:space="0" w:color="auto"/>
            <w:bottom w:val="none" w:sz="0" w:space="0" w:color="auto"/>
            <w:right w:val="none" w:sz="0" w:space="0" w:color="auto"/>
          </w:divBdr>
          <w:divsChild>
            <w:div w:id="1635910221">
              <w:marLeft w:val="0"/>
              <w:marRight w:val="0"/>
              <w:marTop w:val="0"/>
              <w:marBottom w:val="0"/>
              <w:divBdr>
                <w:top w:val="none" w:sz="0" w:space="0" w:color="auto"/>
                <w:left w:val="none" w:sz="0" w:space="0" w:color="auto"/>
                <w:bottom w:val="none" w:sz="0" w:space="0" w:color="auto"/>
                <w:right w:val="none" w:sz="0" w:space="0" w:color="auto"/>
              </w:divBdr>
            </w:div>
          </w:divsChild>
        </w:div>
        <w:div w:id="108932654">
          <w:marLeft w:val="0"/>
          <w:marRight w:val="0"/>
          <w:marTop w:val="0"/>
          <w:marBottom w:val="0"/>
          <w:divBdr>
            <w:top w:val="none" w:sz="0" w:space="0" w:color="auto"/>
            <w:left w:val="none" w:sz="0" w:space="0" w:color="auto"/>
            <w:bottom w:val="none" w:sz="0" w:space="0" w:color="auto"/>
            <w:right w:val="none" w:sz="0" w:space="0" w:color="auto"/>
          </w:divBdr>
          <w:divsChild>
            <w:div w:id="1777019667">
              <w:marLeft w:val="0"/>
              <w:marRight w:val="0"/>
              <w:marTop w:val="0"/>
              <w:marBottom w:val="0"/>
              <w:divBdr>
                <w:top w:val="none" w:sz="0" w:space="0" w:color="auto"/>
                <w:left w:val="none" w:sz="0" w:space="0" w:color="auto"/>
                <w:bottom w:val="none" w:sz="0" w:space="0" w:color="auto"/>
                <w:right w:val="none" w:sz="0" w:space="0" w:color="auto"/>
              </w:divBdr>
            </w:div>
          </w:divsChild>
        </w:div>
        <w:div w:id="2118942652">
          <w:marLeft w:val="0"/>
          <w:marRight w:val="0"/>
          <w:marTop w:val="0"/>
          <w:marBottom w:val="0"/>
          <w:divBdr>
            <w:top w:val="none" w:sz="0" w:space="0" w:color="auto"/>
            <w:left w:val="none" w:sz="0" w:space="0" w:color="auto"/>
            <w:bottom w:val="none" w:sz="0" w:space="0" w:color="auto"/>
            <w:right w:val="none" w:sz="0" w:space="0" w:color="auto"/>
          </w:divBdr>
          <w:divsChild>
            <w:div w:id="748771794">
              <w:marLeft w:val="0"/>
              <w:marRight w:val="0"/>
              <w:marTop w:val="0"/>
              <w:marBottom w:val="0"/>
              <w:divBdr>
                <w:top w:val="none" w:sz="0" w:space="0" w:color="auto"/>
                <w:left w:val="none" w:sz="0" w:space="0" w:color="auto"/>
                <w:bottom w:val="none" w:sz="0" w:space="0" w:color="auto"/>
                <w:right w:val="none" w:sz="0" w:space="0" w:color="auto"/>
              </w:divBdr>
            </w:div>
          </w:divsChild>
        </w:div>
        <w:div w:id="1425955498">
          <w:marLeft w:val="0"/>
          <w:marRight w:val="0"/>
          <w:marTop w:val="0"/>
          <w:marBottom w:val="0"/>
          <w:divBdr>
            <w:top w:val="none" w:sz="0" w:space="0" w:color="auto"/>
            <w:left w:val="none" w:sz="0" w:space="0" w:color="auto"/>
            <w:bottom w:val="none" w:sz="0" w:space="0" w:color="auto"/>
            <w:right w:val="none" w:sz="0" w:space="0" w:color="auto"/>
          </w:divBdr>
          <w:divsChild>
            <w:div w:id="1790855822">
              <w:marLeft w:val="0"/>
              <w:marRight w:val="0"/>
              <w:marTop w:val="0"/>
              <w:marBottom w:val="0"/>
              <w:divBdr>
                <w:top w:val="none" w:sz="0" w:space="0" w:color="auto"/>
                <w:left w:val="none" w:sz="0" w:space="0" w:color="auto"/>
                <w:bottom w:val="none" w:sz="0" w:space="0" w:color="auto"/>
                <w:right w:val="none" w:sz="0" w:space="0" w:color="auto"/>
              </w:divBdr>
            </w:div>
          </w:divsChild>
        </w:div>
        <w:div w:id="1805735750">
          <w:marLeft w:val="0"/>
          <w:marRight w:val="0"/>
          <w:marTop w:val="0"/>
          <w:marBottom w:val="0"/>
          <w:divBdr>
            <w:top w:val="none" w:sz="0" w:space="0" w:color="auto"/>
            <w:left w:val="none" w:sz="0" w:space="0" w:color="auto"/>
            <w:bottom w:val="none" w:sz="0" w:space="0" w:color="auto"/>
            <w:right w:val="none" w:sz="0" w:space="0" w:color="auto"/>
          </w:divBdr>
          <w:divsChild>
            <w:div w:id="1539008936">
              <w:marLeft w:val="0"/>
              <w:marRight w:val="0"/>
              <w:marTop w:val="0"/>
              <w:marBottom w:val="0"/>
              <w:divBdr>
                <w:top w:val="none" w:sz="0" w:space="0" w:color="auto"/>
                <w:left w:val="none" w:sz="0" w:space="0" w:color="auto"/>
                <w:bottom w:val="none" w:sz="0" w:space="0" w:color="auto"/>
                <w:right w:val="none" w:sz="0" w:space="0" w:color="auto"/>
              </w:divBdr>
            </w:div>
          </w:divsChild>
        </w:div>
        <w:div w:id="1186140777">
          <w:marLeft w:val="0"/>
          <w:marRight w:val="0"/>
          <w:marTop w:val="0"/>
          <w:marBottom w:val="0"/>
          <w:divBdr>
            <w:top w:val="none" w:sz="0" w:space="0" w:color="auto"/>
            <w:left w:val="none" w:sz="0" w:space="0" w:color="auto"/>
            <w:bottom w:val="none" w:sz="0" w:space="0" w:color="auto"/>
            <w:right w:val="none" w:sz="0" w:space="0" w:color="auto"/>
          </w:divBdr>
          <w:divsChild>
            <w:div w:id="91235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756009">
      <w:bodyDiv w:val="1"/>
      <w:marLeft w:val="0"/>
      <w:marRight w:val="0"/>
      <w:marTop w:val="0"/>
      <w:marBottom w:val="0"/>
      <w:divBdr>
        <w:top w:val="none" w:sz="0" w:space="0" w:color="auto"/>
        <w:left w:val="none" w:sz="0" w:space="0" w:color="auto"/>
        <w:bottom w:val="none" w:sz="0" w:space="0" w:color="auto"/>
        <w:right w:val="none" w:sz="0" w:space="0" w:color="auto"/>
      </w:divBdr>
    </w:div>
    <w:div w:id="1677616262">
      <w:bodyDiv w:val="1"/>
      <w:marLeft w:val="0"/>
      <w:marRight w:val="0"/>
      <w:marTop w:val="0"/>
      <w:marBottom w:val="0"/>
      <w:divBdr>
        <w:top w:val="none" w:sz="0" w:space="0" w:color="auto"/>
        <w:left w:val="none" w:sz="0" w:space="0" w:color="auto"/>
        <w:bottom w:val="none" w:sz="0" w:space="0" w:color="auto"/>
        <w:right w:val="none" w:sz="0" w:space="0" w:color="auto"/>
      </w:divBdr>
    </w:div>
    <w:div w:id="1698432856">
      <w:bodyDiv w:val="1"/>
      <w:marLeft w:val="0"/>
      <w:marRight w:val="0"/>
      <w:marTop w:val="0"/>
      <w:marBottom w:val="0"/>
      <w:divBdr>
        <w:top w:val="none" w:sz="0" w:space="0" w:color="auto"/>
        <w:left w:val="none" w:sz="0" w:space="0" w:color="auto"/>
        <w:bottom w:val="none" w:sz="0" w:space="0" w:color="auto"/>
        <w:right w:val="none" w:sz="0" w:space="0" w:color="auto"/>
      </w:divBdr>
    </w:div>
    <w:div w:id="1713653959">
      <w:bodyDiv w:val="1"/>
      <w:marLeft w:val="0"/>
      <w:marRight w:val="0"/>
      <w:marTop w:val="0"/>
      <w:marBottom w:val="0"/>
      <w:divBdr>
        <w:top w:val="none" w:sz="0" w:space="0" w:color="auto"/>
        <w:left w:val="none" w:sz="0" w:space="0" w:color="auto"/>
        <w:bottom w:val="none" w:sz="0" w:space="0" w:color="auto"/>
        <w:right w:val="none" w:sz="0" w:space="0" w:color="auto"/>
      </w:divBdr>
    </w:div>
    <w:div w:id="1761634229">
      <w:bodyDiv w:val="1"/>
      <w:marLeft w:val="0"/>
      <w:marRight w:val="0"/>
      <w:marTop w:val="0"/>
      <w:marBottom w:val="0"/>
      <w:divBdr>
        <w:top w:val="none" w:sz="0" w:space="0" w:color="auto"/>
        <w:left w:val="none" w:sz="0" w:space="0" w:color="auto"/>
        <w:bottom w:val="none" w:sz="0" w:space="0" w:color="auto"/>
        <w:right w:val="none" w:sz="0" w:space="0" w:color="auto"/>
      </w:divBdr>
    </w:div>
    <w:div w:id="1763600939">
      <w:bodyDiv w:val="1"/>
      <w:marLeft w:val="0"/>
      <w:marRight w:val="0"/>
      <w:marTop w:val="0"/>
      <w:marBottom w:val="0"/>
      <w:divBdr>
        <w:top w:val="none" w:sz="0" w:space="0" w:color="auto"/>
        <w:left w:val="none" w:sz="0" w:space="0" w:color="auto"/>
        <w:bottom w:val="none" w:sz="0" w:space="0" w:color="auto"/>
        <w:right w:val="none" w:sz="0" w:space="0" w:color="auto"/>
      </w:divBdr>
    </w:div>
    <w:div w:id="1793861278">
      <w:bodyDiv w:val="1"/>
      <w:marLeft w:val="0"/>
      <w:marRight w:val="0"/>
      <w:marTop w:val="0"/>
      <w:marBottom w:val="0"/>
      <w:divBdr>
        <w:top w:val="none" w:sz="0" w:space="0" w:color="auto"/>
        <w:left w:val="none" w:sz="0" w:space="0" w:color="auto"/>
        <w:bottom w:val="none" w:sz="0" w:space="0" w:color="auto"/>
        <w:right w:val="none" w:sz="0" w:space="0" w:color="auto"/>
      </w:divBdr>
    </w:div>
    <w:div w:id="1816292306">
      <w:bodyDiv w:val="1"/>
      <w:marLeft w:val="0"/>
      <w:marRight w:val="0"/>
      <w:marTop w:val="0"/>
      <w:marBottom w:val="0"/>
      <w:divBdr>
        <w:top w:val="none" w:sz="0" w:space="0" w:color="auto"/>
        <w:left w:val="none" w:sz="0" w:space="0" w:color="auto"/>
        <w:bottom w:val="none" w:sz="0" w:space="0" w:color="auto"/>
        <w:right w:val="none" w:sz="0" w:space="0" w:color="auto"/>
      </w:divBdr>
    </w:div>
    <w:div w:id="1819029105">
      <w:bodyDiv w:val="1"/>
      <w:marLeft w:val="0"/>
      <w:marRight w:val="0"/>
      <w:marTop w:val="0"/>
      <w:marBottom w:val="0"/>
      <w:divBdr>
        <w:top w:val="none" w:sz="0" w:space="0" w:color="auto"/>
        <w:left w:val="none" w:sz="0" w:space="0" w:color="auto"/>
        <w:bottom w:val="none" w:sz="0" w:space="0" w:color="auto"/>
        <w:right w:val="none" w:sz="0" w:space="0" w:color="auto"/>
      </w:divBdr>
    </w:div>
    <w:div w:id="1854489446">
      <w:bodyDiv w:val="1"/>
      <w:marLeft w:val="0"/>
      <w:marRight w:val="0"/>
      <w:marTop w:val="0"/>
      <w:marBottom w:val="0"/>
      <w:divBdr>
        <w:top w:val="none" w:sz="0" w:space="0" w:color="auto"/>
        <w:left w:val="none" w:sz="0" w:space="0" w:color="auto"/>
        <w:bottom w:val="none" w:sz="0" w:space="0" w:color="auto"/>
        <w:right w:val="none" w:sz="0" w:space="0" w:color="auto"/>
      </w:divBdr>
    </w:div>
    <w:div w:id="1861357662">
      <w:bodyDiv w:val="1"/>
      <w:marLeft w:val="0"/>
      <w:marRight w:val="0"/>
      <w:marTop w:val="0"/>
      <w:marBottom w:val="0"/>
      <w:divBdr>
        <w:top w:val="none" w:sz="0" w:space="0" w:color="auto"/>
        <w:left w:val="none" w:sz="0" w:space="0" w:color="auto"/>
        <w:bottom w:val="none" w:sz="0" w:space="0" w:color="auto"/>
        <w:right w:val="none" w:sz="0" w:space="0" w:color="auto"/>
      </w:divBdr>
    </w:div>
    <w:div w:id="1874415445">
      <w:bodyDiv w:val="1"/>
      <w:marLeft w:val="0"/>
      <w:marRight w:val="0"/>
      <w:marTop w:val="0"/>
      <w:marBottom w:val="0"/>
      <w:divBdr>
        <w:top w:val="none" w:sz="0" w:space="0" w:color="auto"/>
        <w:left w:val="none" w:sz="0" w:space="0" w:color="auto"/>
        <w:bottom w:val="none" w:sz="0" w:space="0" w:color="auto"/>
        <w:right w:val="none" w:sz="0" w:space="0" w:color="auto"/>
      </w:divBdr>
    </w:div>
    <w:div w:id="1895971277">
      <w:bodyDiv w:val="1"/>
      <w:marLeft w:val="0"/>
      <w:marRight w:val="0"/>
      <w:marTop w:val="0"/>
      <w:marBottom w:val="0"/>
      <w:divBdr>
        <w:top w:val="none" w:sz="0" w:space="0" w:color="auto"/>
        <w:left w:val="none" w:sz="0" w:space="0" w:color="auto"/>
        <w:bottom w:val="none" w:sz="0" w:space="0" w:color="auto"/>
        <w:right w:val="none" w:sz="0" w:space="0" w:color="auto"/>
      </w:divBdr>
    </w:div>
    <w:div w:id="1912350832">
      <w:bodyDiv w:val="1"/>
      <w:marLeft w:val="0"/>
      <w:marRight w:val="0"/>
      <w:marTop w:val="0"/>
      <w:marBottom w:val="0"/>
      <w:divBdr>
        <w:top w:val="none" w:sz="0" w:space="0" w:color="auto"/>
        <w:left w:val="none" w:sz="0" w:space="0" w:color="auto"/>
        <w:bottom w:val="none" w:sz="0" w:space="0" w:color="auto"/>
        <w:right w:val="none" w:sz="0" w:space="0" w:color="auto"/>
      </w:divBdr>
    </w:div>
    <w:div w:id="1917014000">
      <w:bodyDiv w:val="1"/>
      <w:marLeft w:val="0"/>
      <w:marRight w:val="0"/>
      <w:marTop w:val="0"/>
      <w:marBottom w:val="0"/>
      <w:divBdr>
        <w:top w:val="none" w:sz="0" w:space="0" w:color="auto"/>
        <w:left w:val="none" w:sz="0" w:space="0" w:color="auto"/>
        <w:bottom w:val="none" w:sz="0" w:space="0" w:color="auto"/>
        <w:right w:val="none" w:sz="0" w:space="0" w:color="auto"/>
      </w:divBdr>
    </w:div>
    <w:div w:id="1924532232">
      <w:bodyDiv w:val="1"/>
      <w:marLeft w:val="0"/>
      <w:marRight w:val="0"/>
      <w:marTop w:val="0"/>
      <w:marBottom w:val="0"/>
      <w:divBdr>
        <w:top w:val="none" w:sz="0" w:space="0" w:color="auto"/>
        <w:left w:val="none" w:sz="0" w:space="0" w:color="auto"/>
        <w:bottom w:val="none" w:sz="0" w:space="0" w:color="auto"/>
        <w:right w:val="none" w:sz="0" w:space="0" w:color="auto"/>
      </w:divBdr>
    </w:div>
    <w:div w:id="1951622524">
      <w:bodyDiv w:val="1"/>
      <w:marLeft w:val="0"/>
      <w:marRight w:val="0"/>
      <w:marTop w:val="0"/>
      <w:marBottom w:val="0"/>
      <w:divBdr>
        <w:top w:val="none" w:sz="0" w:space="0" w:color="auto"/>
        <w:left w:val="none" w:sz="0" w:space="0" w:color="auto"/>
        <w:bottom w:val="none" w:sz="0" w:space="0" w:color="auto"/>
        <w:right w:val="none" w:sz="0" w:space="0" w:color="auto"/>
      </w:divBdr>
    </w:div>
    <w:div w:id="1974747580">
      <w:bodyDiv w:val="1"/>
      <w:marLeft w:val="0"/>
      <w:marRight w:val="0"/>
      <w:marTop w:val="0"/>
      <w:marBottom w:val="0"/>
      <w:divBdr>
        <w:top w:val="none" w:sz="0" w:space="0" w:color="auto"/>
        <w:left w:val="none" w:sz="0" w:space="0" w:color="auto"/>
        <w:bottom w:val="none" w:sz="0" w:space="0" w:color="auto"/>
        <w:right w:val="none" w:sz="0" w:space="0" w:color="auto"/>
      </w:divBdr>
    </w:div>
    <w:div w:id="1987856121">
      <w:bodyDiv w:val="1"/>
      <w:marLeft w:val="0"/>
      <w:marRight w:val="0"/>
      <w:marTop w:val="0"/>
      <w:marBottom w:val="0"/>
      <w:divBdr>
        <w:top w:val="none" w:sz="0" w:space="0" w:color="auto"/>
        <w:left w:val="none" w:sz="0" w:space="0" w:color="auto"/>
        <w:bottom w:val="none" w:sz="0" w:space="0" w:color="auto"/>
        <w:right w:val="none" w:sz="0" w:space="0" w:color="auto"/>
      </w:divBdr>
    </w:div>
    <w:div w:id="1993676334">
      <w:bodyDiv w:val="1"/>
      <w:marLeft w:val="0"/>
      <w:marRight w:val="0"/>
      <w:marTop w:val="0"/>
      <w:marBottom w:val="0"/>
      <w:divBdr>
        <w:top w:val="none" w:sz="0" w:space="0" w:color="auto"/>
        <w:left w:val="none" w:sz="0" w:space="0" w:color="auto"/>
        <w:bottom w:val="none" w:sz="0" w:space="0" w:color="auto"/>
        <w:right w:val="none" w:sz="0" w:space="0" w:color="auto"/>
      </w:divBdr>
    </w:div>
    <w:div w:id="2030640317">
      <w:bodyDiv w:val="1"/>
      <w:marLeft w:val="0"/>
      <w:marRight w:val="0"/>
      <w:marTop w:val="0"/>
      <w:marBottom w:val="0"/>
      <w:divBdr>
        <w:top w:val="none" w:sz="0" w:space="0" w:color="auto"/>
        <w:left w:val="none" w:sz="0" w:space="0" w:color="auto"/>
        <w:bottom w:val="none" w:sz="0" w:space="0" w:color="auto"/>
        <w:right w:val="none" w:sz="0" w:space="0" w:color="auto"/>
      </w:divBdr>
    </w:div>
    <w:div w:id="2051488236">
      <w:bodyDiv w:val="1"/>
      <w:marLeft w:val="0"/>
      <w:marRight w:val="0"/>
      <w:marTop w:val="0"/>
      <w:marBottom w:val="0"/>
      <w:divBdr>
        <w:top w:val="none" w:sz="0" w:space="0" w:color="auto"/>
        <w:left w:val="none" w:sz="0" w:space="0" w:color="auto"/>
        <w:bottom w:val="none" w:sz="0" w:space="0" w:color="auto"/>
        <w:right w:val="none" w:sz="0" w:space="0" w:color="auto"/>
      </w:divBdr>
    </w:div>
    <w:div w:id="2084520705">
      <w:bodyDiv w:val="1"/>
      <w:marLeft w:val="0"/>
      <w:marRight w:val="0"/>
      <w:marTop w:val="0"/>
      <w:marBottom w:val="0"/>
      <w:divBdr>
        <w:top w:val="none" w:sz="0" w:space="0" w:color="auto"/>
        <w:left w:val="none" w:sz="0" w:space="0" w:color="auto"/>
        <w:bottom w:val="none" w:sz="0" w:space="0" w:color="auto"/>
        <w:right w:val="none" w:sz="0" w:space="0" w:color="auto"/>
      </w:divBdr>
    </w:div>
    <w:div w:id="2098286534">
      <w:bodyDiv w:val="1"/>
      <w:marLeft w:val="0"/>
      <w:marRight w:val="0"/>
      <w:marTop w:val="0"/>
      <w:marBottom w:val="0"/>
      <w:divBdr>
        <w:top w:val="none" w:sz="0" w:space="0" w:color="auto"/>
        <w:left w:val="none" w:sz="0" w:space="0" w:color="auto"/>
        <w:bottom w:val="none" w:sz="0" w:space="0" w:color="auto"/>
        <w:right w:val="none" w:sz="0" w:space="0" w:color="auto"/>
      </w:divBdr>
    </w:div>
    <w:div w:id="212129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77998A-1650-4C8A-9B02-1C75687BEB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4110</Words>
  <Characters>28251</Characters>
  <Application>Microsoft Office Word</Application>
  <DocSecurity>0</DocSecurity>
  <Lines>1765</Lines>
  <Paragraphs>539</Paragraphs>
  <ScaleCrop>false</ScaleCrop>
  <HeadingPairs>
    <vt:vector size="2" baseType="variant">
      <vt:variant>
        <vt:lpstr>Title</vt:lpstr>
      </vt:variant>
      <vt:variant>
        <vt:i4>1</vt:i4>
      </vt:variant>
    </vt:vector>
  </HeadingPairs>
  <TitlesOfParts>
    <vt:vector size="1" baseType="lpstr">
      <vt:lpstr>Materials Handling Evaluation for Company Operations</vt:lpstr>
    </vt:vector>
  </TitlesOfParts>
  <Company>University Of Wales Trinity Saint David</Company>
  <LinksUpToDate>false</LinksUpToDate>
  <CharactersWithSpaces>31822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and Supply Chain Management</dc:title>
  <dc:subject>Module: L7 – Improving Supply Chain Performance (ACEA 7024)</dc:subject>
  <dc:creator>William David Davies - 2114617</dc:creator>
  <cp:keywords/>
  <dc:description/>
  <cp:lastModifiedBy>William Davies</cp:lastModifiedBy>
  <cp:revision>3</cp:revision>
  <cp:lastPrinted>2025-11-20T22:54:00Z</cp:lastPrinted>
  <dcterms:created xsi:type="dcterms:W3CDTF">2025-11-20T22:55:00Z</dcterms:created>
  <dcterms:modified xsi:type="dcterms:W3CDTF">2025-11-20T22:59:00Z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c1448f1df7b68260a9b7baaf3ea87b6e4cdbdd6aad7aa2773c91c9726b547787</vt:lpwstr>
  </property>
</Properties>
</file>