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35825B7D" w:rsidR="00E11F02" w:rsidRPr="00863CDE" w:rsidRDefault="0007297A" w:rsidP="00817A44">
      <w:pPr>
        <w:spacing w:after="0" w:line="480" w:lineRule="auto"/>
        <w:rPr>
          <w:rFonts w:ascii="Georgia" w:hAnsi="Georgia"/>
          <w:sz w:val="24"/>
          <w:szCs w:val="24"/>
        </w:rPr>
      </w:pPr>
      <w:r>
        <w:rPr>
          <w:rFonts w:ascii="Georgia" w:hAnsi="Georgia"/>
          <w:sz w:val="24"/>
          <w:szCs w:val="24"/>
        </w:rPr>
        <w:t xml:space="preserve">Student number: </w:t>
      </w:r>
      <w:r w:rsidR="00BD07BF">
        <w:rPr>
          <w:rFonts w:ascii="Georgia" w:hAnsi="Georgia"/>
          <w:sz w:val="24"/>
          <w:szCs w:val="24"/>
        </w:rPr>
        <w:t>1601141</w:t>
      </w:r>
    </w:p>
    <w:p w14:paraId="7333601F" w14:textId="01E98D6C" w:rsidR="00026059" w:rsidRPr="00863CDE" w:rsidRDefault="00834DC8" w:rsidP="00817A44">
      <w:pPr>
        <w:spacing w:after="0" w:line="480" w:lineRule="auto"/>
        <w:rPr>
          <w:rFonts w:ascii="Georgia" w:hAnsi="Georgia"/>
          <w:sz w:val="24"/>
          <w:szCs w:val="24"/>
        </w:rPr>
      </w:pPr>
      <w:r>
        <w:rPr>
          <w:rFonts w:ascii="Georgia" w:hAnsi="Georgia"/>
          <w:sz w:val="24"/>
          <w:szCs w:val="24"/>
        </w:rPr>
        <w:t>A Sense of Place: Wales 1870-Present</w:t>
      </w:r>
      <w:r w:rsidR="00024247">
        <w:rPr>
          <w:rFonts w:ascii="Georgia" w:hAnsi="Georgia"/>
          <w:sz w:val="24"/>
          <w:szCs w:val="24"/>
        </w:rPr>
        <w:t xml:space="preserve"> (</w:t>
      </w:r>
      <w:r w:rsidR="00073CF4">
        <w:rPr>
          <w:rFonts w:ascii="Georgia" w:hAnsi="Georgia"/>
          <w:sz w:val="24"/>
          <w:szCs w:val="24"/>
        </w:rPr>
        <w:t>HPHI60</w:t>
      </w:r>
      <w:r>
        <w:rPr>
          <w:rFonts w:ascii="Georgia" w:hAnsi="Georgia"/>
          <w:sz w:val="24"/>
          <w:szCs w:val="24"/>
        </w:rPr>
        <w:t>16</w:t>
      </w:r>
      <w:r w:rsidR="00024247">
        <w:rPr>
          <w:rFonts w:ascii="Georgia" w:hAnsi="Georgia"/>
          <w:sz w:val="24"/>
          <w:szCs w:val="24"/>
        </w:rPr>
        <w:t>)</w:t>
      </w:r>
    </w:p>
    <w:p w14:paraId="272E1493" w14:textId="0B4D4977" w:rsidR="00E7589F" w:rsidRDefault="009B7E05" w:rsidP="00817A44">
      <w:pPr>
        <w:spacing w:after="0" w:line="480" w:lineRule="auto"/>
        <w:rPr>
          <w:rFonts w:ascii="Georgia" w:hAnsi="Georgia"/>
          <w:sz w:val="24"/>
          <w:szCs w:val="24"/>
        </w:rPr>
      </w:pPr>
      <w:r>
        <w:rPr>
          <w:rFonts w:ascii="Georgia" w:hAnsi="Georgia"/>
          <w:sz w:val="24"/>
          <w:szCs w:val="24"/>
        </w:rPr>
        <w:t>30</w:t>
      </w:r>
      <w:r w:rsidR="00834DC8" w:rsidRPr="00834DC8">
        <w:rPr>
          <w:rFonts w:ascii="Georgia" w:hAnsi="Georgia"/>
          <w:sz w:val="24"/>
          <w:szCs w:val="24"/>
          <w:vertAlign w:val="superscript"/>
        </w:rPr>
        <w:t>th</w:t>
      </w:r>
      <w:r w:rsidR="00834DC8">
        <w:rPr>
          <w:rFonts w:ascii="Georgia" w:hAnsi="Georgia"/>
          <w:sz w:val="24"/>
          <w:szCs w:val="24"/>
        </w:rPr>
        <w:t xml:space="preserve"> January 2019</w:t>
      </w:r>
    </w:p>
    <w:p w14:paraId="0B039D72" w14:textId="01C8B66E" w:rsidR="00834DC8" w:rsidRPr="00834DC8" w:rsidRDefault="00834DC8" w:rsidP="00817A44">
      <w:pPr>
        <w:spacing w:after="0" w:line="480" w:lineRule="auto"/>
        <w:rPr>
          <w:rFonts w:ascii="Georgia" w:hAnsi="Georgia"/>
          <w:sz w:val="24"/>
          <w:szCs w:val="24"/>
          <w:lang w:val="en-US"/>
        </w:rPr>
      </w:pPr>
      <w:r>
        <w:rPr>
          <w:rFonts w:ascii="Georgia" w:hAnsi="Georgia"/>
          <w:sz w:val="24"/>
          <w:szCs w:val="24"/>
        </w:rPr>
        <w:t xml:space="preserve">Assignment: Essay - </w:t>
      </w:r>
      <w:r w:rsidRPr="00834DC8">
        <w:rPr>
          <w:rFonts w:ascii="Georgia" w:hAnsi="Georgia"/>
          <w:sz w:val="24"/>
          <w:szCs w:val="24"/>
        </w:rPr>
        <w:t>In the immediate years following the Armistice in 1918, Wales experienced an intense period of commemoration and memorialisation. Discuss, with reference to at least two memorials to the ‘fallen’ in the Principality.</w:t>
      </w:r>
    </w:p>
    <w:p w14:paraId="2DD82073" w14:textId="40C4416B" w:rsidR="00F82D04" w:rsidRPr="00563515" w:rsidRDefault="00E63399" w:rsidP="00E63399">
      <w:pPr>
        <w:shd w:val="clear" w:color="auto" w:fill="FFFFFF"/>
        <w:tabs>
          <w:tab w:val="left" w:pos="6945"/>
        </w:tabs>
        <w:spacing w:before="240" w:line="240" w:lineRule="auto"/>
        <w:ind w:left="567" w:right="567"/>
        <w:jc w:val="center"/>
        <w:rPr>
          <w:rFonts w:ascii="Georgia" w:hAnsi="Georgia"/>
          <w:i/>
          <w:sz w:val="30"/>
          <w:szCs w:val="30"/>
        </w:rPr>
      </w:pPr>
      <w:r>
        <w:rPr>
          <w:rFonts w:ascii="Georgia" w:hAnsi="Georgia"/>
          <w:sz w:val="30"/>
          <w:szCs w:val="30"/>
        </w:rPr>
        <w:t xml:space="preserve">‘Search for a Language’: </w:t>
      </w:r>
      <w:r w:rsidR="00A504F6">
        <w:rPr>
          <w:rFonts w:ascii="Georgia" w:hAnsi="Georgia"/>
          <w:sz w:val="30"/>
          <w:szCs w:val="30"/>
        </w:rPr>
        <w:t xml:space="preserve">Post-War </w:t>
      </w:r>
      <w:r>
        <w:rPr>
          <w:rFonts w:ascii="Georgia" w:hAnsi="Georgia"/>
          <w:sz w:val="30"/>
          <w:szCs w:val="30"/>
        </w:rPr>
        <w:t xml:space="preserve">Memorialisation in Haverfordwest and Aberystwyth </w:t>
      </w:r>
    </w:p>
    <w:p w14:paraId="4853D3ED" w14:textId="77777777" w:rsidR="00D7734A" w:rsidRDefault="00D7734A" w:rsidP="005859DC">
      <w:pPr>
        <w:shd w:val="clear" w:color="auto" w:fill="FFFFFF"/>
        <w:tabs>
          <w:tab w:val="left" w:pos="6945"/>
        </w:tabs>
        <w:spacing w:after="0" w:line="240" w:lineRule="auto"/>
        <w:jc w:val="center"/>
        <w:rPr>
          <w:rFonts w:ascii="Georgia" w:hAnsi="Georgia"/>
          <w:sz w:val="32"/>
          <w:szCs w:val="32"/>
        </w:rPr>
      </w:pPr>
    </w:p>
    <w:p w14:paraId="2C999473" w14:textId="547527EA" w:rsidR="00D7734A" w:rsidRDefault="00D7734A"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In the years that immediately followed the end of the Great War in 1918, Wales was faced with a challenge perhaps unlike any it had known before, at least during the lifetime of those who experienced it. Like the other regions in the United Kingdom, Wales had only just made it through the struggle of surviving the war when they were faced with yet another challenge: the question of how to move forwar</w:t>
      </w:r>
      <w:r w:rsidR="00C910F0">
        <w:rPr>
          <w:rFonts w:ascii="Georgia" w:hAnsi="Georgia"/>
          <w:sz w:val="24"/>
          <w:szCs w:val="24"/>
        </w:rPr>
        <w:t xml:space="preserve">d. </w:t>
      </w:r>
      <w:r w:rsidR="000003CA">
        <w:rPr>
          <w:rFonts w:ascii="Georgia" w:hAnsi="Georgia"/>
          <w:sz w:val="24"/>
          <w:szCs w:val="24"/>
        </w:rPr>
        <w:t xml:space="preserve">A huge component of this challenge was deciding how, and if, the war was to be remembered. Was the war ultimately a triumph that should be celebrated while honouring the sacrifices of the dead? Or was it still a painful wound for those who had been personally impacted by the fighting, who would perhaps prefer to forget and move on? Furthermore, who decided the answer: the surviving soldiers, the bereaved, or whoever held political power at the time? </w:t>
      </w:r>
      <w:r w:rsidR="008533AB">
        <w:rPr>
          <w:rFonts w:ascii="Georgia" w:hAnsi="Georgia"/>
          <w:sz w:val="24"/>
          <w:szCs w:val="24"/>
        </w:rPr>
        <w:t xml:space="preserve">When memorials began to be planned to commemorate the war dead, these conflicts rose to the surface. The memorials would stand as physical manifestations of the nation’s collective memory of the war, holding the potential to represent both grief and closure to those who had lost loved ones to the </w:t>
      </w:r>
      <w:r w:rsidR="00C57459">
        <w:rPr>
          <w:rFonts w:ascii="Georgia" w:hAnsi="Georgia"/>
          <w:sz w:val="24"/>
          <w:szCs w:val="24"/>
        </w:rPr>
        <w:t>conflict</w:t>
      </w:r>
      <w:r w:rsidR="008533AB">
        <w:rPr>
          <w:rFonts w:ascii="Georgia" w:hAnsi="Georgia"/>
          <w:sz w:val="24"/>
          <w:szCs w:val="24"/>
        </w:rPr>
        <w:t xml:space="preserve">. The significance of war memorials in the immediate post-war era cannot be overstated, and </w:t>
      </w:r>
      <w:proofErr w:type="gramStart"/>
      <w:r w:rsidR="008533AB">
        <w:rPr>
          <w:rFonts w:ascii="Georgia" w:hAnsi="Georgia"/>
          <w:sz w:val="24"/>
          <w:szCs w:val="24"/>
        </w:rPr>
        <w:t>this is why</w:t>
      </w:r>
      <w:proofErr w:type="gramEnd"/>
      <w:r w:rsidR="008533AB">
        <w:rPr>
          <w:rFonts w:ascii="Georgia" w:hAnsi="Georgia"/>
          <w:sz w:val="24"/>
          <w:szCs w:val="24"/>
        </w:rPr>
        <w:t xml:space="preserve"> they serve as vivid historical artefacts </w:t>
      </w:r>
      <w:r w:rsidR="008533AB">
        <w:rPr>
          <w:rFonts w:ascii="Georgia" w:hAnsi="Georgia"/>
          <w:sz w:val="24"/>
          <w:szCs w:val="24"/>
        </w:rPr>
        <w:lastRenderedPageBreak/>
        <w:t xml:space="preserve">from a nation in turmoil. They can show us not only the collective problems in memorialisation experienced across the country – and indeed across Europe at the time – but also the impact of local feelings and politics on the commemorative process. In this essay, we will look at two memorials from the Great War in Wales: one in Haverfordwest, and the other in Aberystwyth. We will consider how these memorials can act as microcosms of the nationwide struggle to address its collective trauma, as well as monuments situated within a uniquely local history. In doing so, we can learn better how Haverfordwest, Aberystwyth, and Wales in general approached commemoration after the war.  </w:t>
      </w:r>
    </w:p>
    <w:p w14:paraId="31B99EBA" w14:textId="77777777" w:rsidR="00484123" w:rsidRDefault="00944A38"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In his book </w:t>
      </w:r>
      <w:r w:rsidRPr="00C57459">
        <w:rPr>
          <w:rFonts w:ascii="Georgia" w:hAnsi="Georgia"/>
          <w:i/>
          <w:sz w:val="24"/>
          <w:szCs w:val="24"/>
        </w:rPr>
        <w:t>Sites of Memory, Sites of Mourning: The Great War in European Cultural History</w:t>
      </w:r>
      <w:r>
        <w:rPr>
          <w:rFonts w:ascii="Georgia" w:hAnsi="Georgia"/>
          <w:sz w:val="24"/>
          <w:szCs w:val="24"/>
        </w:rPr>
        <w:t>, Jay Winter suggests that war memorials can be identified as belonging to three main categories according to their location and the time at which they were constructed: ‘</w:t>
      </w:r>
      <w:r w:rsidR="00484123">
        <w:rPr>
          <w:rFonts w:ascii="Georgia" w:hAnsi="Georgia"/>
          <w:sz w:val="24"/>
          <w:szCs w:val="24"/>
        </w:rPr>
        <w:t xml:space="preserve">first, scattered over the home front before 1918; second, in </w:t>
      </w:r>
      <w:proofErr w:type="spellStart"/>
      <w:r w:rsidR="00484123">
        <w:rPr>
          <w:rFonts w:ascii="Georgia" w:hAnsi="Georgia"/>
          <w:sz w:val="24"/>
          <w:szCs w:val="24"/>
        </w:rPr>
        <w:t>postwar</w:t>
      </w:r>
      <w:proofErr w:type="spellEnd"/>
      <w:r w:rsidR="00484123">
        <w:rPr>
          <w:rFonts w:ascii="Georgia" w:hAnsi="Georgia"/>
          <w:sz w:val="24"/>
          <w:szCs w:val="24"/>
        </w:rPr>
        <w:t xml:space="preserve"> churches and civic sites in the decade following the Armistice; and third, in war cemeteries.</w:t>
      </w:r>
      <w:r w:rsidR="00753193">
        <w:rPr>
          <w:rFonts w:ascii="Georgia" w:hAnsi="Georgia"/>
          <w:sz w:val="24"/>
          <w:szCs w:val="24"/>
        </w:rPr>
        <w:t>’</w:t>
      </w:r>
      <w:r w:rsidR="00484123">
        <w:rPr>
          <w:rStyle w:val="FootnoteReference"/>
          <w:rFonts w:ascii="Georgia" w:hAnsi="Georgia"/>
          <w:sz w:val="24"/>
          <w:szCs w:val="24"/>
        </w:rPr>
        <w:footnoteReference w:id="1"/>
      </w:r>
      <w:r>
        <w:rPr>
          <w:rFonts w:ascii="Georgia" w:hAnsi="Georgia"/>
          <w:sz w:val="24"/>
          <w:szCs w:val="24"/>
        </w:rPr>
        <w:t xml:space="preserve"> Both the memorials we will consider here fit into Winter’s second category more broadly, but it is Haverfordwest that best exemplifies the traits which Winter then goes on to describe such memorials as usually demonstrating.</w:t>
      </w:r>
      <w:r w:rsidR="00484123">
        <w:rPr>
          <w:rFonts w:ascii="Georgia" w:hAnsi="Georgia"/>
          <w:sz w:val="24"/>
          <w:szCs w:val="24"/>
        </w:rPr>
        <w:t xml:space="preserve"> On the second category of memorials, Winter writes: </w:t>
      </w:r>
    </w:p>
    <w:p w14:paraId="7B9DD786" w14:textId="68C391B4" w:rsidR="00944A38" w:rsidRDefault="00484123" w:rsidP="00484123">
      <w:pPr>
        <w:shd w:val="clear" w:color="auto" w:fill="FFFFFF"/>
        <w:tabs>
          <w:tab w:val="left" w:pos="1080"/>
        </w:tabs>
        <w:spacing w:line="240" w:lineRule="auto"/>
        <w:ind w:left="992" w:right="992"/>
        <w:jc w:val="both"/>
        <w:rPr>
          <w:rFonts w:ascii="Georgia" w:hAnsi="Georgia"/>
          <w:sz w:val="24"/>
          <w:szCs w:val="24"/>
        </w:rPr>
      </w:pPr>
      <w:r>
        <w:rPr>
          <w:rFonts w:ascii="Georgia" w:hAnsi="Georgia"/>
          <w:sz w:val="24"/>
          <w:szCs w:val="24"/>
        </w:rPr>
        <w:t xml:space="preserve">[this category] had ecumenical and conventional patriotic elements, emphasizing at once the universality of loss and the special features of national political and aesthetic traditions. These local war memorials arose out of the </w:t>
      </w:r>
      <w:proofErr w:type="spellStart"/>
      <w:r>
        <w:rPr>
          <w:rFonts w:ascii="Georgia" w:hAnsi="Georgia"/>
          <w:sz w:val="24"/>
          <w:szCs w:val="24"/>
        </w:rPr>
        <w:t>postwar</w:t>
      </w:r>
      <w:proofErr w:type="spellEnd"/>
      <w:r>
        <w:rPr>
          <w:rFonts w:ascii="Georgia" w:hAnsi="Georgia"/>
          <w:sz w:val="24"/>
          <w:szCs w:val="24"/>
        </w:rPr>
        <w:t xml:space="preserve"> search for a language in which to reaffirm the values of the community for which soldiers had laid down their lives.</w:t>
      </w:r>
      <w:r>
        <w:rPr>
          <w:rStyle w:val="FootnoteReference"/>
          <w:rFonts w:ascii="Georgia" w:hAnsi="Georgia"/>
          <w:sz w:val="24"/>
          <w:szCs w:val="24"/>
        </w:rPr>
        <w:footnoteReference w:id="2"/>
      </w:r>
    </w:p>
    <w:p w14:paraId="1D6411D5" w14:textId="5722F4F9" w:rsidR="00484123" w:rsidRDefault="00484123"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 xml:space="preserve">The Haverfordwest county war memorial stood as the physical product of the local community’s search for that value-affirming language which Winter speaks of. </w:t>
      </w:r>
      <w:r w:rsidR="000D7D3D">
        <w:rPr>
          <w:rFonts w:ascii="Georgia" w:hAnsi="Georgia"/>
          <w:sz w:val="24"/>
          <w:szCs w:val="24"/>
        </w:rPr>
        <w:t>The memorial, near Salutation Square in Haverfordwest, features a large stone dragon seated atop a thick pedestal. Each of the pedestal’s four sides is mounted with a bronze plaque; the forward-facing of these displays the county arms and a memorial inscription, flanked on either side by the names of key battles fought in the war, while the other three</w:t>
      </w:r>
      <w:r w:rsidR="00C57459">
        <w:rPr>
          <w:rFonts w:ascii="Georgia" w:hAnsi="Georgia"/>
          <w:sz w:val="24"/>
          <w:szCs w:val="24"/>
        </w:rPr>
        <w:t xml:space="preserve"> plaques</w:t>
      </w:r>
      <w:r w:rsidR="000D7D3D">
        <w:rPr>
          <w:rFonts w:ascii="Georgia" w:hAnsi="Georgia"/>
          <w:sz w:val="24"/>
          <w:szCs w:val="24"/>
        </w:rPr>
        <w:t xml:space="preserve"> list the names of the local fallen soldiers. Around the top of the pedestal, underneath the dragon, are engraved three words that summarise the narrative of this memorial: sacrifice, courage, honour, and victory.</w:t>
      </w:r>
      <w:r w:rsidR="000D7D3D">
        <w:rPr>
          <w:rStyle w:val="FootnoteReference"/>
          <w:rFonts w:ascii="Georgia" w:hAnsi="Georgia"/>
          <w:sz w:val="24"/>
          <w:szCs w:val="24"/>
        </w:rPr>
        <w:footnoteReference w:id="3"/>
      </w:r>
      <w:r w:rsidR="000D7D3D">
        <w:rPr>
          <w:rFonts w:ascii="Georgia" w:hAnsi="Georgia"/>
          <w:sz w:val="24"/>
          <w:szCs w:val="24"/>
        </w:rPr>
        <w:t xml:space="preserve"> </w:t>
      </w:r>
      <w:r w:rsidR="0049481E">
        <w:rPr>
          <w:rFonts w:ascii="Georgia" w:hAnsi="Georgia"/>
          <w:sz w:val="24"/>
          <w:szCs w:val="24"/>
        </w:rPr>
        <w:t xml:space="preserve">This, in the most literal sense, is the ‘language’ which Winter refers to. While the importance of sacrifice is stressed, the story told by the memorial is ultimately one not of tragedy, but of triumph.  </w:t>
      </w:r>
      <w:r w:rsidR="000268EC">
        <w:rPr>
          <w:rFonts w:ascii="Georgia" w:hAnsi="Georgia"/>
          <w:sz w:val="24"/>
          <w:szCs w:val="24"/>
        </w:rPr>
        <w:t>Though the dragon stands out as a symbol specific to Welsh identity - less common than other memorials’ allusions to British or even ‘English’ pride – it nevertheless evokes a sense of unifying, national spirit in the same vein as many other post</w:t>
      </w:r>
      <w:r w:rsidR="00C57459">
        <w:rPr>
          <w:rFonts w:ascii="Georgia" w:hAnsi="Georgia"/>
          <w:sz w:val="24"/>
          <w:szCs w:val="24"/>
        </w:rPr>
        <w:t>-</w:t>
      </w:r>
      <w:r w:rsidR="000268EC">
        <w:rPr>
          <w:rFonts w:ascii="Georgia" w:hAnsi="Georgia"/>
          <w:sz w:val="24"/>
          <w:szCs w:val="24"/>
        </w:rPr>
        <w:t>war memorials throughout Great Britain. Likewise, the key words engraved on the memorial (sacrifice, courage, honour, and victory)</w:t>
      </w:r>
      <w:r w:rsidR="00A13464">
        <w:rPr>
          <w:rFonts w:ascii="Georgia" w:hAnsi="Georgia"/>
          <w:sz w:val="24"/>
          <w:szCs w:val="24"/>
        </w:rPr>
        <w:t xml:space="preserve">, suggest that those who died during the war did so nobly, sacrificing themselves for a greater cause, and that their loved ones should be proud of this. Is the Haverfordwest memorial thus an accurate representation of local feeling about the war – that though they mourned the dead, they also celebrated </w:t>
      </w:r>
      <w:r w:rsidR="00256EF8">
        <w:rPr>
          <w:rFonts w:ascii="Georgia" w:hAnsi="Georgia"/>
          <w:sz w:val="24"/>
          <w:szCs w:val="24"/>
        </w:rPr>
        <w:t xml:space="preserve">the values which they died for? Or was this memorial less a reflection of such patriotic feeling than it was a </w:t>
      </w:r>
      <w:r w:rsidR="004A6813">
        <w:rPr>
          <w:rFonts w:ascii="Georgia" w:hAnsi="Georgia"/>
          <w:sz w:val="24"/>
          <w:szCs w:val="24"/>
        </w:rPr>
        <w:t>dictator</w:t>
      </w:r>
      <w:r w:rsidR="00256EF8">
        <w:rPr>
          <w:rFonts w:ascii="Georgia" w:hAnsi="Georgia"/>
          <w:sz w:val="24"/>
          <w:szCs w:val="24"/>
        </w:rPr>
        <w:t xml:space="preserve"> of it, showing the mourners how they were supposed to feel about the war?</w:t>
      </w:r>
    </w:p>
    <w:p w14:paraId="0D89E4CB" w14:textId="19C83895" w:rsidR="00256EF8" w:rsidRDefault="00256EF8"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ab/>
      </w:r>
      <w:r w:rsidR="004A6813">
        <w:rPr>
          <w:rFonts w:ascii="Georgia" w:hAnsi="Georgia"/>
          <w:sz w:val="24"/>
          <w:szCs w:val="24"/>
        </w:rPr>
        <w:t xml:space="preserve">If we look at the reception of the Haverfordwest county memorial around when it was created, </w:t>
      </w:r>
      <w:r w:rsidR="008B5AC2">
        <w:rPr>
          <w:rFonts w:ascii="Georgia" w:hAnsi="Georgia"/>
          <w:sz w:val="24"/>
          <w:szCs w:val="24"/>
        </w:rPr>
        <w:t xml:space="preserve">evidence would suggest that the local populace </w:t>
      </w:r>
      <w:r w:rsidR="00D01954">
        <w:rPr>
          <w:rFonts w:ascii="Georgia" w:hAnsi="Georgia"/>
          <w:sz w:val="24"/>
          <w:szCs w:val="24"/>
        </w:rPr>
        <w:t>was</w:t>
      </w:r>
      <w:r w:rsidR="008B5AC2">
        <w:rPr>
          <w:rFonts w:ascii="Georgia" w:hAnsi="Georgia"/>
          <w:sz w:val="24"/>
          <w:szCs w:val="24"/>
        </w:rPr>
        <w:t xml:space="preserve"> largely supportive of the message it carried. </w:t>
      </w:r>
      <w:r w:rsidR="00D82A4F">
        <w:rPr>
          <w:rFonts w:ascii="Georgia" w:hAnsi="Georgia"/>
          <w:sz w:val="24"/>
          <w:szCs w:val="24"/>
        </w:rPr>
        <w:t xml:space="preserve">The unveiling ceremony, for example, was </w:t>
      </w:r>
      <w:r w:rsidR="00470591">
        <w:rPr>
          <w:rFonts w:ascii="Georgia" w:hAnsi="Georgia"/>
          <w:sz w:val="24"/>
          <w:szCs w:val="24"/>
        </w:rPr>
        <w:t>extremely well attended, and it appears that (besides some discussion over the exact form the memorial would take) the Salutation Square monument was generally not controversial.</w:t>
      </w:r>
      <w:r w:rsidR="00470591">
        <w:rPr>
          <w:rStyle w:val="FootnoteReference"/>
          <w:rFonts w:ascii="Georgia" w:hAnsi="Georgia"/>
          <w:sz w:val="24"/>
          <w:szCs w:val="24"/>
        </w:rPr>
        <w:footnoteReference w:id="4"/>
      </w:r>
      <w:r w:rsidR="00470591">
        <w:rPr>
          <w:rFonts w:ascii="Georgia" w:hAnsi="Georgia"/>
          <w:sz w:val="24"/>
          <w:szCs w:val="24"/>
        </w:rPr>
        <w:t xml:space="preserve"> </w:t>
      </w:r>
      <w:r w:rsidR="00CD34AC">
        <w:rPr>
          <w:rFonts w:ascii="Georgia" w:hAnsi="Georgia"/>
          <w:sz w:val="24"/>
          <w:szCs w:val="24"/>
        </w:rPr>
        <w:t>However, the post</w:t>
      </w:r>
      <w:r w:rsidR="00C57459">
        <w:rPr>
          <w:rFonts w:ascii="Georgia" w:hAnsi="Georgia"/>
          <w:sz w:val="24"/>
          <w:szCs w:val="24"/>
        </w:rPr>
        <w:t>-</w:t>
      </w:r>
      <w:r w:rsidR="00CD34AC">
        <w:rPr>
          <w:rFonts w:ascii="Georgia" w:hAnsi="Georgia"/>
          <w:sz w:val="24"/>
          <w:szCs w:val="24"/>
        </w:rPr>
        <w:t xml:space="preserve">war memorials of </w:t>
      </w:r>
      <w:r w:rsidR="002540C8">
        <w:rPr>
          <w:rFonts w:ascii="Georgia" w:hAnsi="Georgia"/>
          <w:sz w:val="24"/>
          <w:szCs w:val="24"/>
        </w:rPr>
        <w:t>Wales r</w:t>
      </w:r>
      <w:r w:rsidR="00CD34AC">
        <w:rPr>
          <w:rFonts w:ascii="Georgia" w:hAnsi="Georgia"/>
          <w:sz w:val="24"/>
          <w:szCs w:val="24"/>
        </w:rPr>
        <w:t>arely served purely to represent the private feelings of the local mourners</w:t>
      </w:r>
      <w:r w:rsidR="00C57459">
        <w:rPr>
          <w:rFonts w:ascii="Georgia" w:hAnsi="Georgia"/>
          <w:sz w:val="24"/>
          <w:szCs w:val="24"/>
        </w:rPr>
        <w:t xml:space="preserve"> (which are ultimately hard to assess from a historical perspective, due to lack of evidence)</w:t>
      </w:r>
      <w:r w:rsidR="00CD34AC">
        <w:rPr>
          <w:rFonts w:ascii="Georgia" w:hAnsi="Georgia"/>
          <w:sz w:val="24"/>
          <w:szCs w:val="24"/>
        </w:rPr>
        <w:t xml:space="preserve">, and the Haverfordwest memorial was no exception. While these memorials typically relied on some degree of public support to ensure their creation, </w:t>
      </w:r>
      <w:r w:rsidR="00BC69CF">
        <w:rPr>
          <w:rFonts w:ascii="Georgia" w:hAnsi="Georgia"/>
          <w:sz w:val="24"/>
          <w:szCs w:val="24"/>
        </w:rPr>
        <w:t xml:space="preserve">there </w:t>
      </w:r>
      <w:r w:rsidR="00D53DC3">
        <w:rPr>
          <w:rFonts w:ascii="Georgia" w:hAnsi="Georgia"/>
          <w:sz w:val="24"/>
          <w:szCs w:val="24"/>
        </w:rPr>
        <w:t>is</w:t>
      </w:r>
      <w:r w:rsidR="00BC69CF">
        <w:rPr>
          <w:rFonts w:ascii="Georgia" w:hAnsi="Georgia"/>
          <w:sz w:val="24"/>
          <w:szCs w:val="24"/>
        </w:rPr>
        <w:t xml:space="preserve"> always a sort of didactic purpose hidden under the surface of their simpler, funereal uses. </w:t>
      </w:r>
    </w:p>
    <w:p w14:paraId="50800F25" w14:textId="7ADD40E7" w:rsidR="00155DF0" w:rsidRDefault="00155DF0"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D53DC3">
        <w:rPr>
          <w:rFonts w:ascii="Georgia" w:hAnsi="Georgia"/>
          <w:sz w:val="24"/>
          <w:szCs w:val="24"/>
        </w:rPr>
        <w:t xml:space="preserve">In her article </w:t>
      </w:r>
      <w:bookmarkStart w:id="2" w:name="_Hlk536032087"/>
      <w:r w:rsidR="00D53DC3">
        <w:rPr>
          <w:rFonts w:ascii="Georgia" w:hAnsi="Georgia"/>
          <w:sz w:val="24"/>
          <w:szCs w:val="24"/>
        </w:rPr>
        <w:t>‘Private Grief and Public Remembrance: British First World War Memorials’</w:t>
      </w:r>
      <w:bookmarkEnd w:id="2"/>
      <w:r w:rsidR="00D53DC3">
        <w:rPr>
          <w:rFonts w:ascii="Georgia" w:hAnsi="Georgia"/>
          <w:sz w:val="24"/>
          <w:szCs w:val="24"/>
        </w:rPr>
        <w:t>, Catherine Moriarty emphasises the importance of WWII memorials in situating the private experience of loss within post</w:t>
      </w:r>
      <w:r w:rsidR="00C57459">
        <w:rPr>
          <w:rFonts w:ascii="Georgia" w:hAnsi="Georgia"/>
          <w:sz w:val="24"/>
          <w:szCs w:val="24"/>
        </w:rPr>
        <w:t>-</w:t>
      </w:r>
      <w:r w:rsidR="00D53DC3">
        <w:rPr>
          <w:rFonts w:ascii="Georgia" w:hAnsi="Georgia"/>
          <w:sz w:val="24"/>
          <w:szCs w:val="24"/>
        </w:rPr>
        <w:t>war trauma on a national scale. She writes, ‘Public remembrance was dependent on private memory, yet its ultimate objective was to mould and control the latter as a specific stabilized narrative which served to unify national memory.’</w:t>
      </w:r>
      <w:r w:rsidR="00D4349D">
        <w:rPr>
          <w:rStyle w:val="FootnoteReference"/>
          <w:rFonts w:ascii="Georgia" w:hAnsi="Georgia"/>
          <w:sz w:val="24"/>
          <w:szCs w:val="24"/>
        </w:rPr>
        <w:footnoteReference w:id="5"/>
      </w:r>
      <w:r w:rsidR="00D4349D">
        <w:rPr>
          <w:rFonts w:ascii="Georgia" w:hAnsi="Georgia"/>
          <w:sz w:val="24"/>
          <w:szCs w:val="24"/>
        </w:rPr>
        <w:t xml:space="preserve"> This is not to say that the people of Pembrokeshire were openly or even consciously forced into a form of remembrance that fit the national agenda. Rather, I would argue that </w:t>
      </w:r>
      <w:r w:rsidR="00443A72">
        <w:rPr>
          <w:rFonts w:ascii="Georgia" w:hAnsi="Georgia"/>
          <w:sz w:val="24"/>
          <w:szCs w:val="24"/>
        </w:rPr>
        <w:t xml:space="preserve">the hegemonic influence which Moriarty describes often impacted memorialisation in subtler, but no </w:t>
      </w:r>
      <w:proofErr w:type="gramStart"/>
      <w:r w:rsidR="00443A72">
        <w:rPr>
          <w:rFonts w:ascii="Georgia" w:hAnsi="Georgia"/>
          <w:sz w:val="24"/>
          <w:szCs w:val="24"/>
        </w:rPr>
        <w:t>less</w:t>
      </w:r>
      <w:proofErr w:type="gramEnd"/>
      <w:r w:rsidR="00443A72">
        <w:rPr>
          <w:rFonts w:ascii="Georgia" w:hAnsi="Georgia"/>
          <w:sz w:val="24"/>
          <w:szCs w:val="24"/>
        </w:rPr>
        <w:t xml:space="preserve"> effective ways. </w:t>
      </w:r>
      <w:r w:rsidR="005B4DC9">
        <w:rPr>
          <w:rFonts w:ascii="Georgia" w:hAnsi="Georgia"/>
          <w:sz w:val="24"/>
          <w:szCs w:val="24"/>
        </w:rPr>
        <w:t xml:space="preserve">In his history of Wales from 1880 to 1980, </w:t>
      </w:r>
      <w:r w:rsidR="005B4DC9" w:rsidRPr="005B4DC9">
        <w:rPr>
          <w:rFonts w:ascii="Georgia" w:hAnsi="Georgia"/>
          <w:i/>
          <w:sz w:val="24"/>
          <w:szCs w:val="24"/>
        </w:rPr>
        <w:t>Wales: Rebirth of a Nation</w:t>
      </w:r>
      <w:r w:rsidR="005B4DC9">
        <w:rPr>
          <w:rFonts w:ascii="Georgia" w:hAnsi="Georgia"/>
          <w:sz w:val="24"/>
          <w:szCs w:val="24"/>
        </w:rPr>
        <w:t>, Kenneth O. Morgan writes of the post</w:t>
      </w:r>
      <w:r w:rsidR="00C57459">
        <w:rPr>
          <w:rFonts w:ascii="Georgia" w:hAnsi="Georgia"/>
          <w:sz w:val="24"/>
          <w:szCs w:val="24"/>
        </w:rPr>
        <w:t>-</w:t>
      </w:r>
      <w:r w:rsidR="005B4DC9">
        <w:rPr>
          <w:rFonts w:ascii="Georgia" w:hAnsi="Georgia"/>
          <w:sz w:val="24"/>
          <w:szCs w:val="24"/>
        </w:rPr>
        <w:t>war period:</w:t>
      </w:r>
      <w:r w:rsidR="007717E7">
        <w:rPr>
          <w:rFonts w:ascii="Georgia" w:hAnsi="Georgia"/>
          <w:sz w:val="24"/>
          <w:szCs w:val="24"/>
        </w:rPr>
        <w:t xml:space="preserve"> </w:t>
      </w:r>
      <w:r w:rsidR="00C8419C">
        <w:rPr>
          <w:rFonts w:ascii="Georgia" w:hAnsi="Georgia"/>
          <w:sz w:val="24"/>
          <w:szCs w:val="24"/>
        </w:rPr>
        <w:t xml:space="preserve">‘the legacy of wartime patriotism soon evaporated. Welsh scholars and writers now </w:t>
      </w:r>
      <w:r w:rsidR="00C8419C">
        <w:rPr>
          <w:rFonts w:ascii="Georgia" w:hAnsi="Georgia"/>
          <w:sz w:val="24"/>
          <w:szCs w:val="24"/>
        </w:rPr>
        <w:lastRenderedPageBreak/>
        <w:t>increasingly viewed the war with disgust as a symbol of uncivilised mass brutality.’</w:t>
      </w:r>
      <w:r w:rsidR="00C8419C">
        <w:rPr>
          <w:rStyle w:val="FootnoteReference"/>
          <w:rFonts w:ascii="Georgia" w:hAnsi="Georgia"/>
          <w:sz w:val="24"/>
          <w:szCs w:val="24"/>
        </w:rPr>
        <w:footnoteReference w:id="6"/>
      </w:r>
      <w:r w:rsidR="00C8419C">
        <w:rPr>
          <w:rFonts w:ascii="Georgia" w:hAnsi="Georgia"/>
          <w:sz w:val="24"/>
          <w:szCs w:val="24"/>
        </w:rPr>
        <w:t xml:space="preserve"> This seems to suggest that the popular Welsh response to the end of the war was not monolithic, and yet the perspective of such people who saw the war as an act of ‘mass brutality’ is rarely represented in memorials. The post</w:t>
      </w:r>
      <w:r w:rsidR="00067A13">
        <w:rPr>
          <w:rFonts w:ascii="Georgia" w:hAnsi="Georgia"/>
          <w:sz w:val="24"/>
          <w:szCs w:val="24"/>
        </w:rPr>
        <w:t>-</w:t>
      </w:r>
      <w:r w:rsidR="00C8419C">
        <w:rPr>
          <w:rFonts w:ascii="Georgia" w:hAnsi="Georgia"/>
          <w:sz w:val="24"/>
          <w:szCs w:val="24"/>
        </w:rPr>
        <w:t xml:space="preserve">war period was no doubt a time of complex feelings for many of those who survived the war, and their perspectives on it ran the gamut from horror to honour – </w:t>
      </w:r>
      <w:r w:rsidR="002540C8">
        <w:rPr>
          <w:rFonts w:ascii="Georgia" w:hAnsi="Georgia"/>
          <w:sz w:val="24"/>
          <w:szCs w:val="24"/>
        </w:rPr>
        <w:t xml:space="preserve">still, </w:t>
      </w:r>
      <w:r w:rsidR="00C8419C">
        <w:rPr>
          <w:rFonts w:ascii="Georgia" w:hAnsi="Georgia"/>
          <w:sz w:val="24"/>
          <w:szCs w:val="24"/>
        </w:rPr>
        <w:t>it is only one of these that is shown in most war memorials, including the one in Haverfordwest.</w:t>
      </w:r>
    </w:p>
    <w:p w14:paraId="47A3F5AE" w14:textId="052D49D7" w:rsidR="00C8419C" w:rsidRDefault="00C8419C"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657736">
        <w:rPr>
          <w:rFonts w:ascii="Georgia" w:hAnsi="Georgia"/>
          <w:sz w:val="24"/>
          <w:szCs w:val="24"/>
        </w:rPr>
        <w:t xml:space="preserve">Stylistically, the Aberystwyth war memorial appears quite different to its counterpart in Haverfordwest, though in terms of origin and symbolism they share some similarities. Designed by the Italian sculptor Mario </w:t>
      </w:r>
      <w:proofErr w:type="spellStart"/>
      <w:r w:rsidR="00657736">
        <w:rPr>
          <w:rFonts w:ascii="Georgia" w:hAnsi="Georgia"/>
          <w:sz w:val="24"/>
          <w:szCs w:val="24"/>
        </w:rPr>
        <w:t>Rutelli</w:t>
      </w:r>
      <w:proofErr w:type="spellEnd"/>
      <w:r w:rsidR="00657736">
        <w:rPr>
          <w:rFonts w:ascii="Georgia" w:hAnsi="Georgia"/>
          <w:sz w:val="24"/>
          <w:szCs w:val="24"/>
        </w:rPr>
        <w:t>, the Aberystwyth war memorial has a distinctly classical aesthetic.  The sculpture is positioned on the edge of the Aberystwyth seafront and features two female figures: winged Victory standing atop the main column</w:t>
      </w:r>
      <w:r w:rsidR="00B1441B">
        <w:rPr>
          <w:rFonts w:ascii="Georgia" w:hAnsi="Georgia"/>
          <w:sz w:val="24"/>
          <w:szCs w:val="24"/>
        </w:rPr>
        <w:t xml:space="preserve"> and the naked personification of Humanity emerging from the base, with both figures facing out to sea.</w:t>
      </w:r>
      <w:r w:rsidR="00A74B9A">
        <w:rPr>
          <w:rStyle w:val="FootnoteReference"/>
          <w:rFonts w:ascii="Georgia" w:hAnsi="Georgia"/>
          <w:sz w:val="24"/>
          <w:szCs w:val="24"/>
        </w:rPr>
        <w:footnoteReference w:id="7"/>
      </w:r>
      <w:r w:rsidR="00B1441B">
        <w:rPr>
          <w:rFonts w:ascii="Georgia" w:hAnsi="Georgia"/>
          <w:sz w:val="24"/>
          <w:szCs w:val="24"/>
        </w:rPr>
        <w:t xml:space="preserve"> </w:t>
      </w:r>
      <w:r w:rsidR="00A74B9A">
        <w:rPr>
          <w:rFonts w:ascii="Georgia" w:hAnsi="Georgia"/>
          <w:sz w:val="24"/>
          <w:szCs w:val="24"/>
        </w:rPr>
        <w:t xml:space="preserve">Like the Haverfordwest memorial, the Aberystwyth sculpture includes references to Welsh identity in the form of a dragon engraved on the base, along with the </w:t>
      </w:r>
      <w:r w:rsidR="00E504CE">
        <w:rPr>
          <w:rFonts w:ascii="Georgia" w:hAnsi="Georgia"/>
          <w:sz w:val="24"/>
          <w:szCs w:val="24"/>
        </w:rPr>
        <w:t xml:space="preserve">Welsh </w:t>
      </w:r>
      <w:r w:rsidR="00A74B9A">
        <w:rPr>
          <w:rFonts w:ascii="Georgia" w:hAnsi="Georgia"/>
          <w:sz w:val="24"/>
          <w:szCs w:val="24"/>
        </w:rPr>
        <w:t>phrase</w:t>
      </w:r>
      <w:r w:rsidR="00E504CE">
        <w:rPr>
          <w:rFonts w:ascii="Georgia" w:hAnsi="Georgia"/>
          <w:sz w:val="24"/>
          <w:szCs w:val="24"/>
        </w:rPr>
        <w:t>s</w:t>
      </w:r>
      <w:r w:rsidR="00A74B9A">
        <w:rPr>
          <w:rFonts w:ascii="Georgia" w:hAnsi="Georgia"/>
          <w:sz w:val="24"/>
          <w:szCs w:val="24"/>
        </w:rPr>
        <w:t xml:space="preserve"> ‘</w:t>
      </w:r>
      <w:proofErr w:type="spellStart"/>
      <w:r w:rsidR="00A74B9A" w:rsidRPr="00A74B9A">
        <w:rPr>
          <w:rFonts w:ascii="Georgia" w:hAnsi="Georgia"/>
          <w:sz w:val="24"/>
          <w:szCs w:val="24"/>
        </w:rPr>
        <w:t>Dros</w:t>
      </w:r>
      <w:proofErr w:type="spellEnd"/>
      <w:r w:rsidR="00A74B9A" w:rsidRPr="00A74B9A">
        <w:rPr>
          <w:rFonts w:ascii="Georgia" w:hAnsi="Georgia"/>
          <w:sz w:val="24"/>
          <w:szCs w:val="24"/>
        </w:rPr>
        <w:t xml:space="preserve"> </w:t>
      </w:r>
      <w:proofErr w:type="spellStart"/>
      <w:r w:rsidR="00A74B9A" w:rsidRPr="00A74B9A">
        <w:rPr>
          <w:rFonts w:ascii="Georgia" w:hAnsi="Georgia"/>
          <w:sz w:val="24"/>
          <w:szCs w:val="24"/>
        </w:rPr>
        <w:t>Ryddid</w:t>
      </w:r>
      <w:proofErr w:type="spellEnd"/>
      <w:r w:rsidR="00A74B9A" w:rsidRPr="00A74B9A">
        <w:rPr>
          <w:rFonts w:ascii="Georgia" w:hAnsi="Georgia"/>
          <w:sz w:val="24"/>
          <w:szCs w:val="24"/>
        </w:rPr>
        <w:t>’</w:t>
      </w:r>
      <w:r w:rsidR="00A74B9A">
        <w:rPr>
          <w:rFonts w:ascii="Georgia" w:hAnsi="Georgia"/>
          <w:sz w:val="24"/>
          <w:szCs w:val="24"/>
        </w:rPr>
        <w:t xml:space="preserve"> (for freedom)</w:t>
      </w:r>
      <w:r w:rsidR="00E504CE">
        <w:rPr>
          <w:rFonts w:ascii="Georgia" w:hAnsi="Georgia"/>
          <w:sz w:val="24"/>
          <w:szCs w:val="24"/>
        </w:rPr>
        <w:t xml:space="preserve"> and ‘</w:t>
      </w:r>
      <w:proofErr w:type="spellStart"/>
      <w:r w:rsidR="00E504CE" w:rsidRPr="00E504CE">
        <w:rPr>
          <w:rFonts w:ascii="Georgia" w:hAnsi="Georgia"/>
          <w:sz w:val="24"/>
          <w:szCs w:val="24"/>
        </w:rPr>
        <w:t>a'u</w:t>
      </w:r>
      <w:proofErr w:type="spellEnd"/>
      <w:r w:rsidR="00E504CE" w:rsidRPr="00E504CE">
        <w:rPr>
          <w:rFonts w:ascii="Georgia" w:hAnsi="Georgia"/>
          <w:sz w:val="24"/>
          <w:szCs w:val="24"/>
        </w:rPr>
        <w:t xml:space="preserve"> </w:t>
      </w:r>
      <w:proofErr w:type="spellStart"/>
      <w:r w:rsidR="00E504CE" w:rsidRPr="00E504CE">
        <w:rPr>
          <w:rFonts w:ascii="Georgia" w:hAnsi="Georgia"/>
          <w:sz w:val="24"/>
          <w:szCs w:val="24"/>
        </w:rPr>
        <w:t>gogoniant</w:t>
      </w:r>
      <w:proofErr w:type="spellEnd"/>
      <w:r w:rsidR="00E504CE" w:rsidRPr="00E504CE">
        <w:rPr>
          <w:rFonts w:ascii="Georgia" w:hAnsi="Georgia"/>
          <w:sz w:val="24"/>
          <w:szCs w:val="24"/>
        </w:rPr>
        <w:t xml:space="preserve"> </w:t>
      </w:r>
      <w:proofErr w:type="spellStart"/>
      <w:r w:rsidR="00E504CE" w:rsidRPr="00E504CE">
        <w:rPr>
          <w:rFonts w:ascii="Georgia" w:hAnsi="Georgia"/>
          <w:sz w:val="24"/>
          <w:szCs w:val="24"/>
        </w:rPr>
        <w:t>ni</w:t>
      </w:r>
      <w:proofErr w:type="spellEnd"/>
      <w:r w:rsidR="00E504CE" w:rsidRPr="00E504CE">
        <w:rPr>
          <w:rFonts w:ascii="Georgia" w:hAnsi="Georgia"/>
          <w:sz w:val="24"/>
          <w:szCs w:val="24"/>
        </w:rPr>
        <w:t xml:space="preserve"> </w:t>
      </w:r>
      <w:proofErr w:type="spellStart"/>
      <w:r w:rsidR="00E504CE" w:rsidRPr="00E504CE">
        <w:rPr>
          <w:rFonts w:ascii="Georgia" w:hAnsi="Georgia"/>
          <w:sz w:val="24"/>
          <w:szCs w:val="24"/>
        </w:rPr>
        <w:t>ddileir</w:t>
      </w:r>
      <w:proofErr w:type="spellEnd"/>
      <w:r w:rsidR="00E504CE">
        <w:rPr>
          <w:rFonts w:ascii="Georgia" w:hAnsi="Georgia"/>
          <w:sz w:val="24"/>
          <w:szCs w:val="24"/>
        </w:rPr>
        <w:t xml:space="preserve">’ (apparently a translation of </w:t>
      </w:r>
      <w:r w:rsidR="00E504CE" w:rsidRPr="00E504CE">
        <w:rPr>
          <w:rFonts w:ascii="Georgia" w:hAnsi="Georgia"/>
          <w:sz w:val="24"/>
          <w:szCs w:val="24"/>
        </w:rPr>
        <w:t>Ecclesiasticus 44:</w:t>
      </w:r>
      <w:r w:rsidR="00E504CE">
        <w:rPr>
          <w:rFonts w:ascii="Georgia" w:hAnsi="Georgia"/>
          <w:sz w:val="24"/>
          <w:szCs w:val="24"/>
        </w:rPr>
        <w:t xml:space="preserve"> </w:t>
      </w:r>
      <w:r w:rsidR="00E504CE" w:rsidRPr="00E504CE">
        <w:rPr>
          <w:rFonts w:ascii="Georgia" w:hAnsi="Georgia"/>
          <w:sz w:val="24"/>
          <w:szCs w:val="24"/>
        </w:rPr>
        <w:t>13</w:t>
      </w:r>
      <w:r w:rsidR="00E504CE">
        <w:rPr>
          <w:rFonts w:ascii="Georgia" w:hAnsi="Georgia"/>
          <w:sz w:val="24"/>
          <w:szCs w:val="24"/>
        </w:rPr>
        <w:t>, ‘their glory shall never be blotted out’)</w:t>
      </w:r>
      <w:r w:rsidR="00D25933">
        <w:rPr>
          <w:rFonts w:ascii="Georgia" w:hAnsi="Georgia"/>
          <w:sz w:val="24"/>
          <w:szCs w:val="24"/>
        </w:rPr>
        <w:t>.</w:t>
      </w:r>
      <w:r w:rsidR="00E504CE">
        <w:rPr>
          <w:rFonts w:ascii="Georgia" w:hAnsi="Georgia"/>
          <w:sz w:val="24"/>
          <w:szCs w:val="24"/>
        </w:rPr>
        <w:t xml:space="preserve"> In addition </w:t>
      </w:r>
      <w:r w:rsidR="00067A13">
        <w:rPr>
          <w:rFonts w:ascii="Georgia" w:hAnsi="Georgia"/>
          <w:sz w:val="24"/>
          <w:szCs w:val="24"/>
        </w:rPr>
        <w:t xml:space="preserve">to </w:t>
      </w:r>
      <w:r w:rsidR="00E504CE">
        <w:rPr>
          <w:rFonts w:ascii="Georgia" w:hAnsi="Georgia"/>
          <w:sz w:val="24"/>
          <w:szCs w:val="24"/>
        </w:rPr>
        <w:t>the names of the fallen, there is also another panel that reads, ‘greater love hath no man than this…’ (another biblical reference, this time to John 15: 13</w:t>
      </w:r>
      <w:r w:rsidR="007E3579">
        <w:rPr>
          <w:rFonts w:ascii="Georgia" w:hAnsi="Georgia"/>
          <w:sz w:val="24"/>
          <w:szCs w:val="24"/>
        </w:rPr>
        <w:t>, which finishes ‘</w:t>
      </w:r>
      <w:r w:rsidR="007E3579" w:rsidRPr="007E3579">
        <w:rPr>
          <w:rFonts w:ascii="Georgia" w:hAnsi="Georgia"/>
          <w:sz w:val="24"/>
          <w:szCs w:val="24"/>
        </w:rPr>
        <w:t>to lay down one’s life for one’s friends.</w:t>
      </w:r>
      <w:r w:rsidR="007E3579">
        <w:rPr>
          <w:rFonts w:ascii="Georgia" w:hAnsi="Georgia"/>
          <w:sz w:val="24"/>
          <w:szCs w:val="24"/>
        </w:rPr>
        <w:t>’</w:t>
      </w:r>
      <w:r w:rsidR="00E504CE">
        <w:rPr>
          <w:rFonts w:ascii="Georgia" w:hAnsi="Georgia"/>
          <w:sz w:val="24"/>
          <w:szCs w:val="24"/>
        </w:rPr>
        <w:t>).</w:t>
      </w:r>
    </w:p>
    <w:p w14:paraId="692DDC24" w14:textId="3AFD2A94" w:rsidR="00271721" w:rsidRDefault="00271721"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lastRenderedPageBreak/>
        <w:tab/>
        <w:t xml:space="preserve">There is such a large amount of symbolism present in the Aberystwyth memorial, </w:t>
      </w:r>
      <w:r w:rsidR="00067A13">
        <w:rPr>
          <w:rFonts w:ascii="Georgia" w:hAnsi="Georgia"/>
          <w:sz w:val="24"/>
          <w:szCs w:val="24"/>
        </w:rPr>
        <w:t xml:space="preserve">that </w:t>
      </w:r>
      <w:r w:rsidR="00B66B2B">
        <w:rPr>
          <w:rFonts w:ascii="Georgia" w:hAnsi="Georgia"/>
          <w:sz w:val="24"/>
          <w:szCs w:val="24"/>
        </w:rPr>
        <w:t xml:space="preserve">at first the idea of analysing it appears somewhat overwhelming. Yet the symbols present in the memorial do not contradict each other, but rather each contribute their part to the overall narrative which the memorial presents. </w:t>
      </w:r>
      <w:r>
        <w:rPr>
          <w:rFonts w:ascii="Georgia" w:hAnsi="Georgia"/>
          <w:sz w:val="24"/>
          <w:szCs w:val="24"/>
        </w:rPr>
        <w:t xml:space="preserve"> </w:t>
      </w:r>
      <w:r w:rsidR="00F44F34">
        <w:rPr>
          <w:rFonts w:ascii="Georgia" w:hAnsi="Georgia"/>
          <w:sz w:val="24"/>
          <w:szCs w:val="24"/>
        </w:rPr>
        <w:t>That is, a narrative which says that the deaths of those lost in the war were hono</w:t>
      </w:r>
      <w:r w:rsidR="00067A13">
        <w:rPr>
          <w:rFonts w:ascii="Georgia" w:hAnsi="Georgia"/>
          <w:sz w:val="24"/>
          <w:szCs w:val="24"/>
        </w:rPr>
        <w:t>u</w:t>
      </w:r>
      <w:r w:rsidR="00F44F34">
        <w:rPr>
          <w:rFonts w:ascii="Georgia" w:hAnsi="Georgia"/>
          <w:sz w:val="24"/>
          <w:szCs w:val="24"/>
        </w:rPr>
        <w:t>rable sacrifices done for a cause greater than themselves. The design of the memorial comes at this from multiple angles. Firstly, as</w:t>
      </w:r>
      <w:r w:rsidR="00BA6DF6">
        <w:rPr>
          <w:rFonts w:ascii="Georgia" w:hAnsi="Georgia"/>
          <w:sz w:val="24"/>
          <w:szCs w:val="24"/>
        </w:rPr>
        <w:t xml:space="preserve"> in the Haverfordwest memorial, the </w:t>
      </w:r>
      <w:r w:rsidR="00F44F34">
        <w:rPr>
          <w:rFonts w:ascii="Georgia" w:hAnsi="Georgia"/>
          <w:sz w:val="24"/>
          <w:szCs w:val="24"/>
        </w:rPr>
        <w:t xml:space="preserve">nods to Welsh identity in the </w:t>
      </w:r>
      <w:r w:rsidR="00067A13">
        <w:rPr>
          <w:rFonts w:ascii="Georgia" w:hAnsi="Georgia"/>
          <w:sz w:val="24"/>
          <w:szCs w:val="24"/>
        </w:rPr>
        <w:t>sculpture’s</w:t>
      </w:r>
      <w:r w:rsidR="00F44F34">
        <w:rPr>
          <w:rFonts w:ascii="Georgia" w:hAnsi="Georgia"/>
          <w:sz w:val="24"/>
          <w:szCs w:val="24"/>
        </w:rPr>
        <w:t xml:space="preserve"> design lend a sense of national duty to the soldiers’ service. Likewise, the allusions to such abstract concepts as freedom, victory, and glory put aside the conflict’s geo-political context in favour of evoking a broader struggle of good vs. bad. This naturally adds to the </w:t>
      </w:r>
      <w:proofErr w:type="gramStart"/>
      <w:r w:rsidR="00F44F34">
        <w:rPr>
          <w:rFonts w:ascii="Georgia" w:hAnsi="Georgia"/>
          <w:sz w:val="24"/>
          <w:szCs w:val="24"/>
        </w:rPr>
        <w:t>aforementioned glory</w:t>
      </w:r>
      <w:proofErr w:type="gramEnd"/>
      <w:r w:rsidR="00F44F34">
        <w:rPr>
          <w:rFonts w:ascii="Georgia" w:hAnsi="Georgia"/>
          <w:sz w:val="24"/>
          <w:szCs w:val="24"/>
        </w:rPr>
        <w:t xml:space="preserve"> of the soldiers the memorial is in honour of, but it also avoids acknowledging the </w:t>
      </w:r>
      <w:r w:rsidR="00067A13">
        <w:rPr>
          <w:rFonts w:ascii="Georgia" w:hAnsi="Georgia"/>
          <w:sz w:val="24"/>
          <w:szCs w:val="24"/>
        </w:rPr>
        <w:t>certain realities</w:t>
      </w:r>
      <w:r w:rsidR="00F44F34">
        <w:rPr>
          <w:rFonts w:ascii="Georgia" w:hAnsi="Georgia"/>
          <w:sz w:val="24"/>
          <w:szCs w:val="24"/>
        </w:rPr>
        <w:t xml:space="preserve"> of war. By remembering the war as one fought simply for ideas such as ‘freedom’ and ‘peace’, the memorial tacitly accepts the justification of the war as one fought for the greater good</w:t>
      </w:r>
      <w:r w:rsidR="00474A7C">
        <w:rPr>
          <w:rFonts w:ascii="Georgia" w:hAnsi="Georgia"/>
          <w:sz w:val="24"/>
          <w:szCs w:val="24"/>
        </w:rPr>
        <w:t>, which would have been more politically convenient than any suggestion that the conflict might have been avoided or – even worse – fought for any less-than-noble reasons. The religious motifs in the memorial support this stance, lending a sense of Christian duty to the role of the soldiers. Bible quotes about ‘glory’ and ‘no greater love than this’ connect the war to a long history of Christian conflicts, in the process positioning the British side as being favoured by God</w:t>
      </w:r>
      <w:r w:rsidR="00067A13">
        <w:rPr>
          <w:rFonts w:ascii="Georgia" w:hAnsi="Georgia"/>
          <w:sz w:val="24"/>
          <w:szCs w:val="24"/>
        </w:rPr>
        <w:t>, and the soldiers subsequently following God’s will</w:t>
      </w:r>
      <w:r w:rsidR="00474A7C">
        <w:rPr>
          <w:rFonts w:ascii="Georgia" w:hAnsi="Georgia"/>
          <w:sz w:val="24"/>
          <w:szCs w:val="24"/>
        </w:rPr>
        <w:t>. Given that many of the most vocal critics of the war in Wales were clergymen, this suggestion could further help to silence critical post</w:t>
      </w:r>
      <w:r w:rsidR="00067A13">
        <w:rPr>
          <w:rFonts w:ascii="Georgia" w:hAnsi="Georgia"/>
          <w:sz w:val="24"/>
          <w:szCs w:val="24"/>
        </w:rPr>
        <w:t>-</w:t>
      </w:r>
      <w:r w:rsidR="00474A7C">
        <w:rPr>
          <w:rFonts w:ascii="Georgia" w:hAnsi="Georgia"/>
          <w:sz w:val="24"/>
          <w:szCs w:val="24"/>
        </w:rPr>
        <w:t xml:space="preserve">war rhetoric. Even if the Great War at the time it happened was a singular event in British history, the struggle conjured up by the Aberystwyth memorial is not one of a specific event, complicated by national interests and historical context, but of a battle as old as </w:t>
      </w:r>
      <w:r w:rsidR="00474A7C">
        <w:rPr>
          <w:rFonts w:ascii="Georgia" w:hAnsi="Georgia"/>
          <w:sz w:val="24"/>
          <w:szCs w:val="24"/>
        </w:rPr>
        <w:lastRenderedPageBreak/>
        <w:t xml:space="preserve">time: between the forces of freedom and glory who protect the peace, and those who would threaten it. </w:t>
      </w:r>
    </w:p>
    <w:p w14:paraId="1E3A0CA3" w14:textId="1890AB2B" w:rsidR="00E61348" w:rsidRDefault="00E61348"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t xml:space="preserve">Like its Haverfordwest counterpart, the Aberystwyth memorial </w:t>
      </w:r>
      <w:r w:rsidR="002E5913">
        <w:rPr>
          <w:rFonts w:ascii="Georgia" w:hAnsi="Georgia"/>
          <w:sz w:val="24"/>
          <w:szCs w:val="24"/>
        </w:rPr>
        <w:t xml:space="preserve">enjoyed a degree of public support during its creation. This was necessary for its construction, since the money for the sculpture </w:t>
      </w:r>
      <w:r w:rsidR="00FD532A">
        <w:rPr>
          <w:rFonts w:ascii="Georgia" w:hAnsi="Georgia"/>
          <w:sz w:val="24"/>
          <w:szCs w:val="24"/>
        </w:rPr>
        <w:t xml:space="preserve">(as in Haverfordwest) </w:t>
      </w:r>
      <w:r w:rsidR="002E5913">
        <w:rPr>
          <w:rFonts w:ascii="Georgia" w:hAnsi="Georgia"/>
          <w:sz w:val="24"/>
          <w:szCs w:val="24"/>
        </w:rPr>
        <w:t>was raised through repeated crowdfunding efforts.</w:t>
      </w:r>
      <w:r w:rsidR="002E5913">
        <w:rPr>
          <w:rStyle w:val="FootnoteReference"/>
          <w:rFonts w:ascii="Georgia" w:hAnsi="Georgia"/>
          <w:sz w:val="24"/>
          <w:szCs w:val="24"/>
        </w:rPr>
        <w:footnoteReference w:id="8"/>
      </w:r>
      <w:r w:rsidR="002E5913">
        <w:rPr>
          <w:rFonts w:ascii="Georgia" w:hAnsi="Georgia"/>
          <w:sz w:val="24"/>
          <w:szCs w:val="24"/>
        </w:rPr>
        <w:t xml:space="preserve"> </w:t>
      </w:r>
      <w:r w:rsidR="00FD532A">
        <w:rPr>
          <w:rFonts w:ascii="Georgia" w:hAnsi="Georgia"/>
          <w:sz w:val="24"/>
          <w:szCs w:val="24"/>
        </w:rPr>
        <w:t>The result of this was an imposingly beautiful memorial, one of the most striking (and undeniably the most expensive) in West Wales.</w:t>
      </w:r>
      <w:r w:rsidR="00FD532A">
        <w:rPr>
          <w:rStyle w:val="FootnoteReference"/>
          <w:rFonts w:ascii="Georgia" w:hAnsi="Georgia"/>
          <w:sz w:val="24"/>
          <w:szCs w:val="24"/>
        </w:rPr>
        <w:footnoteReference w:id="9"/>
      </w:r>
      <w:r w:rsidR="00FD532A">
        <w:rPr>
          <w:rFonts w:ascii="Georgia" w:hAnsi="Georgia"/>
          <w:sz w:val="24"/>
          <w:szCs w:val="24"/>
        </w:rPr>
        <w:t xml:space="preserve"> Public reception of the memorial after its unveiling was perhaps even more enthusiastic than during the funding process [give example]. Yet there is no denying the significance of a memorial that is so uncritical of the war existing in Aberystwyth, </w:t>
      </w:r>
      <w:r w:rsidR="00564BE5">
        <w:rPr>
          <w:rFonts w:ascii="Georgia" w:hAnsi="Georgia"/>
          <w:sz w:val="24"/>
          <w:szCs w:val="24"/>
        </w:rPr>
        <w:t xml:space="preserve">no stranger to anti-war sentiment, such as that which was shown in the university’s journal </w:t>
      </w:r>
      <w:r w:rsidR="00564BE5" w:rsidRPr="00564BE5">
        <w:rPr>
          <w:rFonts w:ascii="Georgia" w:hAnsi="Georgia"/>
          <w:i/>
          <w:sz w:val="24"/>
          <w:szCs w:val="24"/>
        </w:rPr>
        <w:t xml:space="preserve">Y </w:t>
      </w:r>
      <w:proofErr w:type="spellStart"/>
      <w:r w:rsidR="00564BE5" w:rsidRPr="00564BE5">
        <w:rPr>
          <w:rFonts w:ascii="Georgia" w:hAnsi="Georgia"/>
          <w:i/>
          <w:sz w:val="24"/>
          <w:szCs w:val="24"/>
        </w:rPr>
        <w:t>Wawr</w:t>
      </w:r>
      <w:proofErr w:type="spellEnd"/>
      <w:r w:rsidR="00FD532A">
        <w:rPr>
          <w:rFonts w:ascii="Georgia" w:hAnsi="Georgia"/>
          <w:sz w:val="24"/>
          <w:szCs w:val="24"/>
        </w:rPr>
        <w:t>.</w:t>
      </w:r>
      <w:r w:rsidR="00FD532A">
        <w:rPr>
          <w:rStyle w:val="FootnoteReference"/>
          <w:rFonts w:ascii="Georgia" w:hAnsi="Georgia"/>
          <w:sz w:val="24"/>
          <w:szCs w:val="24"/>
        </w:rPr>
        <w:footnoteReference w:id="10"/>
      </w:r>
      <w:r w:rsidR="000C7D1A">
        <w:rPr>
          <w:rFonts w:ascii="Georgia" w:hAnsi="Georgia"/>
          <w:sz w:val="24"/>
          <w:szCs w:val="24"/>
        </w:rPr>
        <w:t xml:space="preserve"> </w:t>
      </w:r>
      <w:r w:rsidR="00D0733F">
        <w:rPr>
          <w:rFonts w:ascii="Georgia" w:hAnsi="Georgia"/>
          <w:sz w:val="24"/>
          <w:szCs w:val="24"/>
        </w:rPr>
        <w:t xml:space="preserve">While it may not have been intentional, the memorial acted not only as a reaffirmation to those who genuinely believed the narrative put forward by its design, but also as a rebuttal to those who questioned it. </w:t>
      </w:r>
    </w:p>
    <w:p w14:paraId="36A8D671" w14:textId="465CF624" w:rsidR="00D7734A" w:rsidRPr="00D7734A" w:rsidRDefault="00B34F8D" w:rsidP="00D7734A">
      <w:pPr>
        <w:shd w:val="clear" w:color="auto" w:fill="FFFFFF"/>
        <w:tabs>
          <w:tab w:val="left" w:pos="1080"/>
        </w:tabs>
        <w:spacing w:after="0" w:line="480" w:lineRule="auto"/>
        <w:jc w:val="both"/>
        <w:rPr>
          <w:rFonts w:ascii="Georgia" w:hAnsi="Georgia"/>
          <w:sz w:val="24"/>
          <w:szCs w:val="24"/>
        </w:rPr>
      </w:pPr>
      <w:r>
        <w:rPr>
          <w:rFonts w:ascii="Georgia" w:hAnsi="Georgia"/>
          <w:sz w:val="24"/>
          <w:szCs w:val="24"/>
        </w:rPr>
        <w:tab/>
      </w:r>
      <w:r w:rsidR="00E10DFE">
        <w:rPr>
          <w:rFonts w:ascii="Georgia" w:hAnsi="Georgia"/>
          <w:sz w:val="24"/>
          <w:szCs w:val="24"/>
        </w:rPr>
        <w:t xml:space="preserve">Throughout Wales, the post-war memorials created in the wake of World War II acted as tools for the narrativization of the conflict. On one hand, they allowed the grieving populace a sense of closure and the chance to establish a narrative that could be a source of comfort in looking back at the war. Yet on the other hand, they were equally useful tools for the hegemonic reaffirmation of the traditional stance on the war: </w:t>
      </w:r>
      <w:r w:rsidR="00761137">
        <w:rPr>
          <w:rFonts w:ascii="Georgia" w:hAnsi="Georgia"/>
          <w:sz w:val="24"/>
          <w:szCs w:val="24"/>
        </w:rPr>
        <w:t xml:space="preserve">a great sacrifice, but one done for noble purposes that are not to be questioned. There is no definite way to say how those who lost loved ones during the war truly felt about the post-war memorials, as even outward expressions of enthusiasm could disguise inner uncertainty. Furthermore, the pain of grief experienced by </w:t>
      </w:r>
      <w:r w:rsidR="008B3C66">
        <w:rPr>
          <w:rFonts w:ascii="Georgia" w:hAnsi="Georgia"/>
          <w:sz w:val="24"/>
          <w:szCs w:val="24"/>
        </w:rPr>
        <w:t xml:space="preserve">the mourners was likely overwhelming, and they can easily </w:t>
      </w:r>
      <w:r w:rsidR="008B3C66">
        <w:rPr>
          <w:rFonts w:ascii="Georgia" w:hAnsi="Georgia"/>
          <w:sz w:val="24"/>
          <w:szCs w:val="24"/>
        </w:rPr>
        <w:lastRenderedPageBreak/>
        <w:t xml:space="preserve">be forgiven for accepting a post-war narrative that could provide some </w:t>
      </w:r>
      <w:r w:rsidR="002540C8">
        <w:rPr>
          <w:rFonts w:ascii="Georgia" w:hAnsi="Georgia"/>
          <w:sz w:val="24"/>
          <w:szCs w:val="24"/>
        </w:rPr>
        <w:t>reassurance</w:t>
      </w:r>
      <w:r w:rsidR="008B3C66">
        <w:rPr>
          <w:rFonts w:ascii="Georgia" w:hAnsi="Georgia"/>
          <w:sz w:val="24"/>
          <w:szCs w:val="24"/>
        </w:rPr>
        <w:t xml:space="preserve"> in its presentation of the loss as being for a good cause. To a community that had already suffered the loss of a loved one, to think of that loss as possibly being a tragic or unnecessary sacrifice might have been too much to bear. </w:t>
      </w:r>
      <w:r w:rsidR="00CE2E1E">
        <w:rPr>
          <w:rFonts w:ascii="Georgia" w:hAnsi="Georgia"/>
          <w:sz w:val="24"/>
          <w:szCs w:val="24"/>
        </w:rPr>
        <w:t xml:space="preserve">This can partially account for why the dominant narrative present in war memorials, conforming so easily to the politically convenient stance on the war at the time, </w:t>
      </w:r>
      <w:r w:rsidR="00026CAB">
        <w:rPr>
          <w:rFonts w:ascii="Georgia" w:hAnsi="Georgia"/>
          <w:sz w:val="24"/>
          <w:szCs w:val="24"/>
        </w:rPr>
        <w:t xml:space="preserve">was accepted with relatively little argument. We know for certain that, both before and after the war, there were people who looked upon it as morally wrong or needless – but their </w:t>
      </w:r>
      <w:r w:rsidR="00CC07BA">
        <w:rPr>
          <w:rFonts w:ascii="Georgia" w:hAnsi="Georgia"/>
          <w:sz w:val="24"/>
          <w:szCs w:val="24"/>
        </w:rPr>
        <w:t>ideas</w:t>
      </w:r>
      <w:r w:rsidR="00026CAB">
        <w:rPr>
          <w:rFonts w:ascii="Georgia" w:hAnsi="Georgia"/>
          <w:sz w:val="24"/>
          <w:szCs w:val="24"/>
        </w:rPr>
        <w:t xml:space="preserve"> are notably absent from most memorials, including those in Haverfordwest and </w:t>
      </w:r>
      <w:r w:rsidR="00974B54">
        <w:rPr>
          <w:rFonts w:ascii="Georgia" w:hAnsi="Georgia"/>
          <w:sz w:val="24"/>
          <w:szCs w:val="24"/>
        </w:rPr>
        <w:t>Aberystwyth</w:t>
      </w:r>
      <w:r w:rsidR="00026CAB">
        <w:rPr>
          <w:rFonts w:ascii="Georgia" w:hAnsi="Georgia"/>
          <w:sz w:val="24"/>
          <w:szCs w:val="24"/>
        </w:rPr>
        <w:t xml:space="preserve">. </w:t>
      </w:r>
      <w:r w:rsidR="00CC07BA">
        <w:rPr>
          <w:rFonts w:ascii="Georgia" w:hAnsi="Georgia"/>
          <w:sz w:val="24"/>
          <w:szCs w:val="24"/>
        </w:rPr>
        <w:t>Nevertheless, considering the trauma which the whole country was processing in the post-war period, perhaps this absence of critical perspectives is understandable.</w:t>
      </w:r>
    </w:p>
    <w:p w14:paraId="5D569587" w14:textId="5DB34E28" w:rsidR="00832576" w:rsidRDefault="00832576" w:rsidP="00E84848">
      <w:pPr>
        <w:shd w:val="clear" w:color="auto" w:fill="FFFFFF"/>
        <w:tabs>
          <w:tab w:val="left" w:pos="1080"/>
        </w:tabs>
        <w:spacing w:after="0" w:line="480" w:lineRule="auto"/>
        <w:jc w:val="both"/>
        <w:rPr>
          <w:rFonts w:ascii="Georgia" w:hAnsi="Georgia"/>
          <w:sz w:val="24"/>
          <w:szCs w:val="24"/>
        </w:rPr>
      </w:pPr>
    </w:p>
    <w:p w14:paraId="42CA46DF" w14:textId="650DB9E4" w:rsidR="00832576" w:rsidRDefault="00832576" w:rsidP="00E84848">
      <w:pPr>
        <w:shd w:val="clear" w:color="auto" w:fill="FFFFFF"/>
        <w:tabs>
          <w:tab w:val="left" w:pos="1080"/>
        </w:tabs>
        <w:spacing w:after="0" w:line="480" w:lineRule="auto"/>
        <w:jc w:val="both"/>
        <w:rPr>
          <w:rFonts w:ascii="Georgia" w:hAnsi="Georgia"/>
          <w:sz w:val="24"/>
          <w:szCs w:val="24"/>
        </w:rPr>
      </w:pPr>
    </w:p>
    <w:p w14:paraId="5AA15AB6" w14:textId="0643D084" w:rsidR="00832576" w:rsidRDefault="00832576" w:rsidP="00E84848">
      <w:pPr>
        <w:shd w:val="clear" w:color="auto" w:fill="FFFFFF"/>
        <w:tabs>
          <w:tab w:val="left" w:pos="1080"/>
        </w:tabs>
        <w:spacing w:after="0" w:line="480" w:lineRule="auto"/>
        <w:jc w:val="both"/>
        <w:rPr>
          <w:rFonts w:ascii="Georgia" w:hAnsi="Georgia"/>
          <w:sz w:val="24"/>
          <w:szCs w:val="24"/>
        </w:rPr>
      </w:pPr>
    </w:p>
    <w:p w14:paraId="72A31E88" w14:textId="76D74BA7" w:rsidR="00A21F5A" w:rsidRDefault="00A21F5A" w:rsidP="00E84848">
      <w:pPr>
        <w:shd w:val="clear" w:color="auto" w:fill="FFFFFF"/>
        <w:tabs>
          <w:tab w:val="left" w:pos="1080"/>
        </w:tabs>
        <w:spacing w:after="0" w:line="480" w:lineRule="auto"/>
        <w:jc w:val="both"/>
        <w:rPr>
          <w:rFonts w:ascii="Georgia" w:hAnsi="Georgia"/>
          <w:sz w:val="24"/>
          <w:szCs w:val="24"/>
        </w:rPr>
      </w:pPr>
    </w:p>
    <w:p w14:paraId="3C7E3670" w14:textId="50FB2866" w:rsidR="00A21F5A" w:rsidRDefault="00A21F5A" w:rsidP="00E84848">
      <w:pPr>
        <w:shd w:val="clear" w:color="auto" w:fill="FFFFFF"/>
        <w:tabs>
          <w:tab w:val="left" w:pos="1080"/>
        </w:tabs>
        <w:spacing w:after="0" w:line="480" w:lineRule="auto"/>
        <w:jc w:val="both"/>
        <w:rPr>
          <w:rFonts w:ascii="Georgia" w:hAnsi="Georgia"/>
          <w:sz w:val="24"/>
          <w:szCs w:val="24"/>
        </w:rPr>
      </w:pPr>
    </w:p>
    <w:p w14:paraId="4E49B65B" w14:textId="7CE5B113" w:rsidR="00A21F5A" w:rsidRDefault="00A21F5A" w:rsidP="00E84848">
      <w:pPr>
        <w:shd w:val="clear" w:color="auto" w:fill="FFFFFF"/>
        <w:tabs>
          <w:tab w:val="left" w:pos="1080"/>
        </w:tabs>
        <w:spacing w:after="0" w:line="480" w:lineRule="auto"/>
        <w:jc w:val="both"/>
        <w:rPr>
          <w:rFonts w:ascii="Georgia" w:hAnsi="Georgia"/>
          <w:sz w:val="24"/>
          <w:szCs w:val="24"/>
        </w:rPr>
      </w:pPr>
    </w:p>
    <w:p w14:paraId="12C714F3" w14:textId="77777777" w:rsidR="00A21F5A" w:rsidRDefault="00A21F5A" w:rsidP="00E84848">
      <w:pPr>
        <w:shd w:val="clear" w:color="auto" w:fill="FFFFFF"/>
        <w:tabs>
          <w:tab w:val="left" w:pos="1080"/>
        </w:tabs>
        <w:spacing w:after="0" w:line="480" w:lineRule="auto"/>
        <w:jc w:val="both"/>
        <w:rPr>
          <w:rFonts w:ascii="Georgia" w:hAnsi="Georgia"/>
          <w:sz w:val="24"/>
          <w:szCs w:val="24"/>
        </w:rPr>
      </w:pPr>
    </w:p>
    <w:p w14:paraId="4D2C8837" w14:textId="717E8F9F" w:rsidR="004B76CA" w:rsidRDefault="004B76CA" w:rsidP="00E84848">
      <w:pPr>
        <w:shd w:val="clear" w:color="auto" w:fill="FFFFFF"/>
        <w:tabs>
          <w:tab w:val="left" w:pos="1080"/>
        </w:tabs>
        <w:spacing w:after="0" w:line="480" w:lineRule="auto"/>
        <w:jc w:val="both"/>
        <w:rPr>
          <w:rFonts w:ascii="Georgia" w:hAnsi="Georgia"/>
          <w:sz w:val="24"/>
          <w:szCs w:val="24"/>
        </w:rPr>
      </w:pPr>
    </w:p>
    <w:p w14:paraId="1F58B608" w14:textId="294C20B5" w:rsidR="00E779FE" w:rsidRDefault="00E779FE" w:rsidP="00E84848">
      <w:pPr>
        <w:shd w:val="clear" w:color="auto" w:fill="FFFFFF"/>
        <w:tabs>
          <w:tab w:val="left" w:pos="1080"/>
        </w:tabs>
        <w:spacing w:after="0" w:line="480" w:lineRule="auto"/>
        <w:jc w:val="both"/>
        <w:rPr>
          <w:rFonts w:ascii="Georgia" w:hAnsi="Georgia"/>
          <w:sz w:val="24"/>
          <w:szCs w:val="24"/>
        </w:rPr>
      </w:pPr>
    </w:p>
    <w:p w14:paraId="688F8463" w14:textId="77777777" w:rsidR="00E779FE" w:rsidRDefault="00E779FE" w:rsidP="00E84848">
      <w:pPr>
        <w:shd w:val="clear" w:color="auto" w:fill="FFFFFF"/>
        <w:tabs>
          <w:tab w:val="left" w:pos="1080"/>
        </w:tabs>
        <w:spacing w:after="0" w:line="480" w:lineRule="auto"/>
        <w:jc w:val="both"/>
        <w:rPr>
          <w:rFonts w:ascii="Georgia" w:hAnsi="Georgia"/>
          <w:sz w:val="24"/>
          <w:szCs w:val="24"/>
        </w:rPr>
      </w:pPr>
    </w:p>
    <w:p w14:paraId="029318FE" w14:textId="77777777" w:rsidR="004B76CA" w:rsidRDefault="004B76CA" w:rsidP="00E84848">
      <w:pPr>
        <w:shd w:val="clear" w:color="auto" w:fill="FFFFFF"/>
        <w:tabs>
          <w:tab w:val="left" w:pos="1080"/>
        </w:tabs>
        <w:spacing w:after="0" w:line="480" w:lineRule="auto"/>
        <w:jc w:val="both"/>
        <w:rPr>
          <w:rFonts w:ascii="Georgia" w:hAnsi="Georgia"/>
          <w:sz w:val="24"/>
          <w:szCs w:val="24"/>
        </w:rPr>
      </w:pPr>
    </w:p>
    <w:p w14:paraId="18F7964D" w14:textId="7A7B693E" w:rsidR="00835087" w:rsidRDefault="00835087" w:rsidP="00835087">
      <w:pPr>
        <w:shd w:val="clear" w:color="auto" w:fill="FFFFFF"/>
        <w:tabs>
          <w:tab w:val="left" w:pos="1080"/>
        </w:tabs>
        <w:spacing w:after="0" w:line="480" w:lineRule="auto"/>
        <w:jc w:val="both"/>
        <w:rPr>
          <w:rFonts w:ascii="Georgia" w:hAnsi="Georgia"/>
          <w:sz w:val="28"/>
          <w:szCs w:val="28"/>
        </w:rPr>
      </w:pPr>
    </w:p>
    <w:p w14:paraId="6B816DDA" w14:textId="77777777" w:rsidR="00A21F5A" w:rsidRDefault="00A21F5A" w:rsidP="00835087">
      <w:pPr>
        <w:shd w:val="clear" w:color="auto" w:fill="FFFFFF"/>
        <w:tabs>
          <w:tab w:val="left" w:pos="1080"/>
        </w:tabs>
        <w:spacing w:after="0" w:line="480" w:lineRule="auto"/>
        <w:jc w:val="both"/>
        <w:rPr>
          <w:rFonts w:ascii="Georgia" w:hAnsi="Georgia"/>
          <w:sz w:val="28"/>
          <w:szCs w:val="28"/>
        </w:rPr>
      </w:pPr>
    </w:p>
    <w:p w14:paraId="09E8B3F2" w14:textId="6645A5D4" w:rsidR="001259E8" w:rsidRPr="00674647" w:rsidRDefault="0014185B" w:rsidP="00835087">
      <w:pPr>
        <w:shd w:val="clear" w:color="auto" w:fill="FFFFFF"/>
        <w:tabs>
          <w:tab w:val="left" w:pos="1080"/>
        </w:tabs>
        <w:spacing w:after="0" w:line="480" w:lineRule="auto"/>
        <w:jc w:val="center"/>
        <w:rPr>
          <w:rFonts w:ascii="Georgia" w:hAnsi="Georgia"/>
          <w:sz w:val="24"/>
          <w:szCs w:val="24"/>
        </w:rPr>
      </w:pPr>
      <w:r w:rsidRPr="00863CDE">
        <w:rPr>
          <w:rFonts w:ascii="Georgia" w:hAnsi="Georgia"/>
          <w:sz w:val="28"/>
          <w:szCs w:val="28"/>
        </w:rPr>
        <w:lastRenderedPageBreak/>
        <w:t>Bibliography</w:t>
      </w:r>
    </w:p>
    <w:p w14:paraId="02F1DF61" w14:textId="4AC583A3" w:rsidR="00234417" w:rsidRDefault="00234417" w:rsidP="00A21F5A">
      <w:pPr>
        <w:spacing w:after="0" w:line="480" w:lineRule="auto"/>
        <w:ind w:left="360" w:hanging="360"/>
        <w:rPr>
          <w:rFonts w:ascii="Georgia" w:hAnsi="Georgia"/>
        </w:rPr>
      </w:pPr>
      <w:proofErr w:type="spellStart"/>
      <w:r>
        <w:rPr>
          <w:rFonts w:ascii="Georgia" w:hAnsi="Georgia"/>
        </w:rPr>
        <w:t>Fussell</w:t>
      </w:r>
      <w:proofErr w:type="spellEnd"/>
      <w:r>
        <w:rPr>
          <w:rFonts w:ascii="Georgia" w:hAnsi="Georgia"/>
        </w:rPr>
        <w:t xml:space="preserve">, Paul, </w:t>
      </w:r>
      <w:r w:rsidRPr="00234417">
        <w:rPr>
          <w:rFonts w:ascii="Georgia" w:hAnsi="Georgia"/>
          <w:i/>
        </w:rPr>
        <w:t>The Great War and Modern Memory</w:t>
      </w:r>
      <w:r>
        <w:rPr>
          <w:rFonts w:ascii="Georgia" w:hAnsi="Georgia"/>
        </w:rPr>
        <w:t>, (Oxford: Oxford University Press, 2000)</w:t>
      </w:r>
    </w:p>
    <w:p w14:paraId="4909D199" w14:textId="2765AEDB" w:rsidR="00234417" w:rsidRDefault="00234417" w:rsidP="00A21F5A">
      <w:pPr>
        <w:spacing w:after="0" w:line="480" w:lineRule="auto"/>
        <w:ind w:left="360" w:hanging="360"/>
        <w:rPr>
          <w:rFonts w:ascii="Georgia" w:hAnsi="Georgia"/>
        </w:rPr>
      </w:pPr>
      <w:r>
        <w:rPr>
          <w:rFonts w:ascii="Georgia" w:hAnsi="Georgia"/>
        </w:rPr>
        <w:t xml:space="preserve">Gaffney, Angela, </w:t>
      </w:r>
      <w:r w:rsidRPr="00234417">
        <w:rPr>
          <w:rFonts w:ascii="Georgia" w:hAnsi="Georgia"/>
          <w:i/>
        </w:rPr>
        <w:t>Aftermath: Remembering the Great War in Wales</w:t>
      </w:r>
      <w:r>
        <w:rPr>
          <w:rFonts w:ascii="Georgia" w:hAnsi="Georgia"/>
        </w:rPr>
        <w:t>, (Cardiff: University of Wales Press, 1998)</w:t>
      </w:r>
    </w:p>
    <w:p w14:paraId="3BC179FB" w14:textId="6628DF42" w:rsidR="00A21F5A" w:rsidRPr="00A21F5A" w:rsidRDefault="00A21F5A" w:rsidP="00A21F5A">
      <w:pPr>
        <w:spacing w:after="0" w:line="480" w:lineRule="auto"/>
        <w:ind w:left="360" w:hanging="360"/>
        <w:rPr>
          <w:rFonts w:ascii="Georgia" w:hAnsi="Georgia"/>
        </w:rPr>
      </w:pPr>
      <w:r w:rsidRPr="00A21F5A">
        <w:rPr>
          <w:rFonts w:ascii="Georgia" w:hAnsi="Georgia"/>
        </w:rPr>
        <w:t>Mason, L.J.</w:t>
      </w:r>
      <w:r>
        <w:rPr>
          <w:rFonts w:ascii="Georgia" w:hAnsi="Georgia"/>
        </w:rPr>
        <w:t>,</w:t>
      </w:r>
      <w:r w:rsidRPr="00A21F5A">
        <w:rPr>
          <w:rFonts w:ascii="Georgia" w:hAnsi="Georgia"/>
        </w:rPr>
        <w:t xml:space="preserve"> 'Commemoration and Memorialisation in west Wales following the Great War' (Unpublished PhD, University of Wales, Lampeter, 2009)</w:t>
      </w:r>
    </w:p>
    <w:p w14:paraId="08716715" w14:textId="2FB62498" w:rsidR="00A21F5A" w:rsidRDefault="00A21F5A" w:rsidP="00A21F5A">
      <w:pPr>
        <w:spacing w:after="0" w:line="480" w:lineRule="auto"/>
        <w:ind w:left="360" w:hanging="360"/>
        <w:rPr>
          <w:rFonts w:ascii="Georgia" w:hAnsi="Georgia"/>
        </w:rPr>
      </w:pPr>
      <w:r w:rsidRPr="00A21F5A">
        <w:rPr>
          <w:rFonts w:ascii="Georgia" w:hAnsi="Georgia"/>
        </w:rPr>
        <w:t>Morgan</w:t>
      </w:r>
      <w:r>
        <w:rPr>
          <w:rFonts w:ascii="Georgia" w:hAnsi="Georgia"/>
        </w:rPr>
        <w:t>,</w:t>
      </w:r>
      <w:r w:rsidRPr="00A21F5A">
        <w:rPr>
          <w:rFonts w:ascii="Georgia" w:hAnsi="Georgia"/>
        </w:rPr>
        <w:t xml:space="preserve"> Kenneth, ‘Peace Movements in Wales’, </w:t>
      </w:r>
      <w:r w:rsidRPr="00A21F5A">
        <w:rPr>
          <w:rFonts w:ascii="Georgia" w:hAnsi="Georgia"/>
          <w:i/>
        </w:rPr>
        <w:t>Welsh History Review</w:t>
      </w:r>
      <w:r w:rsidRPr="00A21F5A">
        <w:rPr>
          <w:rFonts w:ascii="Georgia" w:hAnsi="Georgia"/>
        </w:rPr>
        <w:t>, 10(3), (1981)</w:t>
      </w:r>
    </w:p>
    <w:p w14:paraId="018C3C64" w14:textId="4261A3AC" w:rsidR="00A21F5A" w:rsidRPr="00A21F5A" w:rsidRDefault="00A21F5A" w:rsidP="00A21F5A">
      <w:pPr>
        <w:spacing w:after="0" w:line="480" w:lineRule="auto"/>
        <w:ind w:left="360" w:hanging="360"/>
        <w:rPr>
          <w:rFonts w:ascii="Georgia" w:hAnsi="Georgia"/>
        </w:rPr>
      </w:pPr>
      <w:r w:rsidRPr="00A21F5A">
        <w:rPr>
          <w:rFonts w:ascii="Georgia" w:hAnsi="Georgia"/>
        </w:rPr>
        <w:t>Morgan</w:t>
      </w:r>
      <w:r>
        <w:rPr>
          <w:rFonts w:ascii="Georgia" w:hAnsi="Georgia"/>
        </w:rPr>
        <w:t>,</w:t>
      </w:r>
      <w:r w:rsidRPr="00A21F5A">
        <w:rPr>
          <w:rFonts w:ascii="Georgia" w:hAnsi="Georgia"/>
        </w:rPr>
        <w:t xml:space="preserve"> Kenneth, </w:t>
      </w:r>
      <w:r w:rsidRPr="00A21F5A">
        <w:rPr>
          <w:rFonts w:ascii="Georgia" w:hAnsi="Georgia"/>
          <w:i/>
        </w:rPr>
        <w:t>Rebirth of a Nation: Wales 1880-1980</w:t>
      </w:r>
      <w:r w:rsidRPr="00A21F5A">
        <w:rPr>
          <w:rFonts w:ascii="Georgia" w:hAnsi="Georgia"/>
        </w:rPr>
        <w:t>, (Oxford: Oxford University Press, 1982)</w:t>
      </w:r>
    </w:p>
    <w:p w14:paraId="4D83E9BF" w14:textId="543F47C6" w:rsidR="001B2D3D" w:rsidRDefault="001B2D3D" w:rsidP="002220FC">
      <w:pPr>
        <w:spacing w:after="0" w:line="480" w:lineRule="auto"/>
        <w:ind w:left="360" w:hanging="360"/>
        <w:rPr>
          <w:rFonts w:ascii="Georgia" w:hAnsi="Georgia"/>
        </w:rPr>
      </w:pPr>
      <w:r w:rsidRPr="001B2D3D">
        <w:rPr>
          <w:rFonts w:ascii="Georgia" w:hAnsi="Georgia"/>
        </w:rPr>
        <w:t>Moriarty</w:t>
      </w:r>
      <w:r>
        <w:rPr>
          <w:rFonts w:ascii="Georgia" w:hAnsi="Georgia"/>
        </w:rPr>
        <w:t>,</w:t>
      </w:r>
      <w:r w:rsidRPr="001B2D3D">
        <w:rPr>
          <w:rFonts w:ascii="Georgia" w:hAnsi="Georgia"/>
        </w:rPr>
        <w:t xml:space="preserve"> </w:t>
      </w:r>
      <w:r w:rsidRPr="001B2D3D">
        <w:rPr>
          <w:rFonts w:ascii="Georgia" w:hAnsi="Georgia"/>
        </w:rPr>
        <w:t xml:space="preserve">Catherine, ‘Private Grief and Public Remembrance: British First World War Memorials’, in </w:t>
      </w:r>
      <w:r w:rsidRPr="001B2D3D">
        <w:rPr>
          <w:rFonts w:ascii="Georgia" w:hAnsi="Georgia"/>
          <w:i/>
        </w:rPr>
        <w:t xml:space="preserve">War and Memory in the Twentieth Century, </w:t>
      </w:r>
      <w:r w:rsidRPr="001B2D3D">
        <w:rPr>
          <w:rFonts w:ascii="Georgia" w:hAnsi="Georgia"/>
        </w:rPr>
        <w:t>(Oxford: Berg, 1997</w:t>
      </w:r>
      <w:r>
        <w:rPr>
          <w:rFonts w:ascii="Georgia" w:hAnsi="Georgia"/>
        </w:rPr>
        <w:t>)</w:t>
      </w:r>
    </w:p>
    <w:p w14:paraId="140E5A57" w14:textId="76E6A6C2" w:rsidR="00A21F5A" w:rsidRDefault="00A21F5A" w:rsidP="002220FC">
      <w:pPr>
        <w:spacing w:after="0" w:line="480" w:lineRule="auto"/>
        <w:ind w:left="360" w:hanging="360"/>
        <w:rPr>
          <w:rFonts w:ascii="Georgia" w:hAnsi="Georgia"/>
        </w:rPr>
      </w:pPr>
      <w:r w:rsidRPr="00A21F5A">
        <w:rPr>
          <w:rFonts w:ascii="Georgia" w:hAnsi="Georgia"/>
        </w:rPr>
        <w:t xml:space="preserve">Royal Commission on the Ancient and Historical Monuments of Wales, </w:t>
      </w:r>
      <w:proofErr w:type="spellStart"/>
      <w:r w:rsidRPr="00A21F5A">
        <w:rPr>
          <w:rFonts w:ascii="Georgia" w:hAnsi="Georgia"/>
          <w:i/>
        </w:rPr>
        <w:t>Coflein</w:t>
      </w:r>
      <w:proofErr w:type="spellEnd"/>
      <w:r w:rsidRPr="00A21F5A">
        <w:rPr>
          <w:rFonts w:ascii="Georgia" w:hAnsi="Georgia"/>
        </w:rPr>
        <w:t>, 2 December 2013, &lt;https://www.coflein.gov.uk/en/site/419437/details/haverfordwest-county-war-memorial&gt; [Accessed 25</w:t>
      </w:r>
      <w:r w:rsidRPr="00A21F5A">
        <w:rPr>
          <w:rFonts w:ascii="Georgia" w:hAnsi="Georgia"/>
          <w:vertAlign w:val="superscript"/>
        </w:rPr>
        <w:t>th</w:t>
      </w:r>
      <w:r w:rsidRPr="00A21F5A">
        <w:rPr>
          <w:rFonts w:ascii="Georgia" w:hAnsi="Georgia"/>
        </w:rPr>
        <w:t xml:space="preserve"> January 2019]</w:t>
      </w:r>
    </w:p>
    <w:p w14:paraId="05AC6EC9" w14:textId="0998499B" w:rsidR="00A21F5A" w:rsidRDefault="00A21F5A" w:rsidP="00A21F5A">
      <w:pPr>
        <w:spacing w:after="0" w:line="480" w:lineRule="auto"/>
        <w:ind w:left="360" w:hanging="360"/>
        <w:rPr>
          <w:rFonts w:ascii="Georgia" w:hAnsi="Georgia"/>
        </w:rPr>
      </w:pPr>
      <w:r>
        <w:rPr>
          <w:rFonts w:ascii="Georgia" w:hAnsi="Georgia"/>
        </w:rPr>
        <w:t>R</w:t>
      </w:r>
      <w:r w:rsidRPr="00A21F5A">
        <w:rPr>
          <w:rFonts w:ascii="Georgia" w:hAnsi="Georgia"/>
        </w:rPr>
        <w:t xml:space="preserve">oyal Commission on the Ancient and Historical Monuments of Wales, </w:t>
      </w:r>
      <w:proofErr w:type="spellStart"/>
      <w:r w:rsidRPr="00A21F5A">
        <w:rPr>
          <w:rFonts w:ascii="Georgia" w:hAnsi="Georgia"/>
          <w:i/>
        </w:rPr>
        <w:t>Coflein</w:t>
      </w:r>
      <w:proofErr w:type="spellEnd"/>
      <w:r w:rsidRPr="00A21F5A">
        <w:rPr>
          <w:rFonts w:ascii="Georgia" w:hAnsi="Georgia"/>
        </w:rPr>
        <w:t>, 2009, &lt;https://coflein.gov.uk/en/site/32643/details/aberystwyth-war-memorial-new-promenade&gt; [Accessed 25</w:t>
      </w:r>
      <w:r w:rsidRPr="00A21F5A">
        <w:rPr>
          <w:rFonts w:ascii="Georgia" w:hAnsi="Georgia"/>
          <w:vertAlign w:val="superscript"/>
        </w:rPr>
        <w:t>th</w:t>
      </w:r>
      <w:r w:rsidRPr="00A21F5A">
        <w:rPr>
          <w:rFonts w:ascii="Georgia" w:hAnsi="Georgia"/>
        </w:rPr>
        <w:t xml:space="preserve"> January 2019]</w:t>
      </w:r>
      <w:bookmarkStart w:id="5" w:name="_GoBack"/>
      <w:bookmarkEnd w:id="5"/>
    </w:p>
    <w:p w14:paraId="4322CAD1" w14:textId="46EAF7F8" w:rsidR="00A21F5A" w:rsidRDefault="00A21F5A" w:rsidP="002220FC">
      <w:pPr>
        <w:spacing w:after="0" w:line="480" w:lineRule="auto"/>
        <w:ind w:left="360" w:hanging="360"/>
        <w:rPr>
          <w:rFonts w:ascii="Georgia" w:hAnsi="Georgia"/>
        </w:rPr>
      </w:pPr>
      <w:r w:rsidRPr="00A21F5A">
        <w:rPr>
          <w:rFonts w:ascii="Georgia" w:hAnsi="Georgia"/>
        </w:rPr>
        <w:t>Winter</w:t>
      </w:r>
      <w:r>
        <w:rPr>
          <w:rFonts w:ascii="Georgia" w:hAnsi="Georgia"/>
        </w:rPr>
        <w:t xml:space="preserve">, </w:t>
      </w:r>
      <w:r w:rsidRPr="00A21F5A">
        <w:rPr>
          <w:rFonts w:ascii="Georgia" w:hAnsi="Georgia"/>
        </w:rPr>
        <w:t xml:space="preserve">Jay, </w:t>
      </w:r>
      <w:r w:rsidRPr="00A21F5A">
        <w:rPr>
          <w:rFonts w:ascii="Georgia" w:hAnsi="Georgia"/>
          <w:i/>
        </w:rPr>
        <w:t>Sites of Memory, Sites of Mourning: The Great War in European Cultural History</w:t>
      </w:r>
      <w:r w:rsidRPr="00A21F5A">
        <w:rPr>
          <w:rFonts w:ascii="Georgia" w:hAnsi="Georgia"/>
        </w:rPr>
        <w:t>, (Cambridge: Cambridge University Press, 2010)</w:t>
      </w:r>
    </w:p>
    <w:sectPr w:rsidR="00A21F5A" w:rsidSect="00563515">
      <w:headerReference w:type="default" r:id="rId8"/>
      <w:pgSz w:w="12240" w:h="15840"/>
      <w:pgMar w:top="1389" w:right="1389" w:bottom="1389" w:left="1389"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213322" w14:textId="77777777" w:rsidR="00480016" w:rsidRDefault="00480016" w:rsidP="007A6B7C">
      <w:pPr>
        <w:spacing w:after="0" w:line="240" w:lineRule="auto"/>
      </w:pPr>
      <w:r>
        <w:separator/>
      </w:r>
    </w:p>
  </w:endnote>
  <w:endnote w:type="continuationSeparator" w:id="0">
    <w:p w14:paraId="1482C969" w14:textId="77777777" w:rsidR="00480016" w:rsidRDefault="00480016"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7E81AC" w14:textId="77777777" w:rsidR="00480016" w:rsidRDefault="00480016" w:rsidP="007A6B7C">
      <w:pPr>
        <w:spacing w:after="0" w:line="240" w:lineRule="auto"/>
      </w:pPr>
      <w:r>
        <w:separator/>
      </w:r>
    </w:p>
  </w:footnote>
  <w:footnote w:type="continuationSeparator" w:id="0">
    <w:p w14:paraId="0F5E9E73" w14:textId="77777777" w:rsidR="00480016" w:rsidRDefault="00480016" w:rsidP="007A6B7C">
      <w:pPr>
        <w:spacing w:after="0" w:line="240" w:lineRule="auto"/>
      </w:pPr>
      <w:r>
        <w:continuationSeparator/>
      </w:r>
    </w:p>
  </w:footnote>
  <w:footnote w:id="1">
    <w:p w14:paraId="22D6759F" w14:textId="205BE9E9" w:rsidR="00484123" w:rsidRDefault="00484123">
      <w:pPr>
        <w:pStyle w:val="FootnoteText"/>
      </w:pPr>
      <w:r>
        <w:rPr>
          <w:rStyle w:val="FootnoteReference"/>
        </w:rPr>
        <w:footnoteRef/>
      </w:r>
      <w:r>
        <w:t xml:space="preserve"> </w:t>
      </w:r>
      <w:bookmarkStart w:id="0" w:name="_Hlk536562781"/>
      <w:r>
        <w:t xml:space="preserve">Jay Winter, </w:t>
      </w:r>
      <w:r w:rsidRPr="00484123">
        <w:rPr>
          <w:i/>
        </w:rPr>
        <w:t>Sites of Memory, Sites of Mourning: The Great War in European Cultural History</w:t>
      </w:r>
      <w:r>
        <w:t>, (Cambridge: Cambridge University Press, 2010), p. 79.</w:t>
      </w:r>
      <w:bookmarkEnd w:id="0"/>
    </w:p>
  </w:footnote>
  <w:footnote w:id="2">
    <w:p w14:paraId="5142E984" w14:textId="2D02D678" w:rsidR="00484123" w:rsidRDefault="00484123">
      <w:pPr>
        <w:pStyle w:val="FootnoteText"/>
      </w:pPr>
      <w:r>
        <w:rPr>
          <w:rStyle w:val="FootnoteReference"/>
        </w:rPr>
        <w:footnoteRef/>
      </w:r>
      <w:r>
        <w:t xml:space="preserve"> Ibid.</w:t>
      </w:r>
    </w:p>
  </w:footnote>
  <w:footnote w:id="3">
    <w:p w14:paraId="5477BA2F" w14:textId="7BC26F57" w:rsidR="000D7D3D" w:rsidRDefault="000D7D3D">
      <w:pPr>
        <w:pStyle w:val="FootnoteText"/>
      </w:pPr>
      <w:r>
        <w:rPr>
          <w:rStyle w:val="FootnoteReference"/>
        </w:rPr>
        <w:footnoteRef/>
      </w:r>
      <w:r>
        <w:t xml:space="preserve"> </w:t>
      </w:r>
      <w:bookmarkStart w:id="1" w:name="_Hlk536562802"/>
      <w:r w:rsidR="00496AF4" w:rsidRPr="00496AF4">
        <w:t>Royal Commission on the Ancient and Historical Monuments of Wales</w:t>
      </w:r>
      <w:r w:rsidR="00496AF4">
        <w:t xml:space="preserve">, </w:t>
      </w:r>
      <w:proofErr w:type="spellStart"/>
      <w:r w:rsidR="00D25933" w:rsidRPr="00D25933">
        <w:rPr>
          <w:i/>
        </w:rPr>
        <w:t>Coflein</w:t>
      </w:r>
      <w:proofErr w:type="spellEnd"/>
      <w:r w:rsidR="00D25933">
        <w:t xml:space="preserve">, </w:t>
      </w:r>
      <w:r w:rsidR="00D25933" w:rsidRPr="00D25933">
        <w:t>2 December 2013</w:t>
      </w:r>
      <w:r w:rsidR="00D25933">
        <w:t>, &lt;</w:t>
      </w:r>
      <w:r w:rsidRPr="000D7D3D">
        <w:t>https://www.coflein.gov.uk/en/site/419437/details/haverfordwest-county-war-memorial</w:t>
      </w:r>
      <w:r w:rsidR="00D25933">
        <w:t>&gt; [Accessed 25</w:t>
      </w:r>
      <w:r w:rsidR="00D25933" w:rsidRPr="00D25933">
        <w:rPr>
          <w:vertAlign w:val="superscript"/>
        </w:rPr>
        <w:t>th</w:t>
      </w:r>
      <w:r w:rsidR="00D25933">
        <w:t xml:space="preserve"> January 2019].</w:t>
      </w:r>
      <w:bookmarkEnd w:id="1"/>
    </w:p>
  </w:footnote>
  <w:footnote w:id="4">
    <w:p w14:paraId="55E2FCD3" w14:textId="0ABC2C65" w:rsidR="00470591" w:rsidRDefault="00470591">
      <w:pPr>
        <w:pStyle w:val="FootnoteText"/>
      </w:pPr>
      <w:r>
        <w:rPr>
          <w:rStyle w:val="FootnoteReference"/>
        </w:rPr>
        <w:footnoteRef/>
      </w:r>
      <w:r>
        <w:t xml:space="preserve"> </w:t>
      </w:r>
      <w:r w:rsidRPr="006307A5">
        <w:t>L.J. Mason</w:t>
      </w:r>
      <w:r>
        <w:t>, ‘Chapter Five’ in</w:t>
      </w:r>
      <w:r w:rsidRPr="006307A5">
        <w:t xml:space="preserve"> 'Commemoration and Memorialisation in west Wales following the Great War' (Unpublished PhD, University of Wales, Lampeter, 2009).</w:t>
      </w:r>
    </w:p>
  </w:footnote>
  <w:footnote w:id="5">
    <w:p w14:paraId="33D2A70E" w14:textId="5A283349" w:rsidR="00D4349D" w:rsidRDefault="00D4349D" w:rsidP="00D4349D">
      <w:pPr>
        <w:pStyle w:val="FootnoteText"/>
      </w:pPr>
      <w:r>
        <w:rPr>
          <w:rStyle w:val="FootnoteReference"/>
        </w:rPr>
        <w:footnoteRef/>
      </w:r>
      <w:r>
        <w:t xml:space="preserve"> </w:t>
      </w:r>
      <w:bookmarkStart w:id="3" w:name="_Hlk536580548"/>
      <w:r>
        <w:t xml:space="preserve">Catherine Moriarty, </w:t>
      </w:r>
      <w:r w:rsidRPr="00D53DC3">
        <w:t>‘Private Grief and Public Remembrance: British First World War Memorials’</w:t>
      </w:r>
      <w:r>
        <w:t xml:space="preserve">, </w:t>
      </w:r>
      <w:r w:rsidR="00CA5EC9">
        <w:t xml:space="preserve">in </w:t>
      </w:r>
      <w:r w:rsidR="00CA5EC9" w:rsidRPr="001B2D3D">
        <w:rPr>
          <w:i/>
        </w:rPr>
        <w:t xml:space="preserve">War and Memory in the Twentieth Century, </w:t>
      </w:r>
      <w:r w:rsidR="00CA5EC9">
        <w:t>(</w:t>
      </w:r>
      <w:r w:rsidR="001B2D3D">
        <w:t>Oxford: Berg, 1997</w:t>
      </w:r>
      <w:bookmarkEnd w:id="3"/>
      <w:r w:rsidR="001B2D3D">
        <w:t xml:space="preserve">), </w:t>
      </w:r>
      <w:r>
        <w:t>p. 125.</w:t>
      </w:r>
    </w:p>
  </w:footnote>
  <w:footnote w:id="6">
    <w:p w14:paraId="4633F66C" w14:textId="537E7210" w:rsidR="00C8419C" w:rsidRDefault="00C8419C">
      <w:pPr>
        <w:pStyle w:val="FootnoteText"/>
      </w:pPr>
      <w:r>
        <w:rPr>
          <w:rStyle w:val="FootnoteReference"/>
        </w:rPr>
        <w:footnoteRef/>
      </w:r>
      <w:r>
        <w:t xml:space="preserve"> </w:t>
      </w:r>
      <w:r w:rsidR="00A21F5A">
        <w:t xml:space="preserve">Kenneth </w:t>
      </w:r>
      <w:r>
        <w:t xml:space="preserve">Morgan, </w:t>
      </w:r>
      <w:r w:rsidR="00B926ED" w:rsidRPr="00B926ED">
        <w:rPr>
          <w:i/>
        </w:rPr>
        <w:t>Rebirth of a Nation</w:t>
      </w:r>
      <w:r w:rsidR="00A21F5A">
        <w:rPr>
          <w:i/>
        </w:rPr>
        <w:t>: Wales 1880-1980</w:t>
      </w:r>
      <w:r w:rsidR="00B926ED">
        <w:t xml:space="preserve">, </w:t>
      </w:r>
      <w:r w:rsidR="00A21F5A">
        <w:t xml:space="preserve">(Oxford: Oxford University Press, 1982), </w:t>
      </w:r>
      <w:r>
        <w:t>p.182.</w:t>
      </w:r>
    </w:p>
  </w:footnote>
  <w:footnote w:id="7">
    <w:p w14:paraId="73755FC0" w14:textId="5207EEEC" w:rsidR="00A74B9A" w:rsidRDefault="00A74B9A">
      <w:pPr>
        <w:pStyle w:val="FootnoteText"/>
      </w:pPr>
      <w:r>
        <w:rPr>
          <w:rStyle w:val="FootnoteReference"/>
        </w:rPr>
        <w:footnoteRef/>
      </w:r>
      <w:r>
        <w:t xml:space="preserve"> </w:t>
      </w:r>
      <w:r w:rsidR="00D25933" w:rsidRPr="00496AF4">
        <w:t>Royal Commission on the Ancient and Historical Monuments of Wales</w:t>
      </w:r>
      <w:r w:rsidR="00D25933">
        <w:t xml:space="preserve">, </w:t>
      </w:r>
      <w:proofErr w:type="spellStart"/>
      <w:r w:rsidR="00D25933" w:rsidRPr="00D25933">
        <w:rPr>
          <w:i/>
        </w:rPr>
        <w:t>Coflein</w:t>
      </w:r>
      <w:proofErr w:type="spellEnd"/>
      <w:r w:rsidR="00D25933">
        <w:t>, 2009, &lt;</w:t>
      </w:r>
      <w:r w:rsidRPr="00A74B9A">
        <w:t>https://coflein.gov.uk/en/site/32643/details/aberystwyth-war-memorial-new-promenade</w:t>
      </w:r>
      <w:r w:rsidR="00D25933">
        <w:t>&gt; [Accessed 25</w:t>
      </w:r>
      <w:r w:rsidR="00D25933" w:rsidRPr="00D25933">
        <w:rPr>
          <w:vertAlign w:val="superscript"/>
        </w:rPr>
        <w:t>th</w:t>
      </w:r>
      <w:r w:rsidR="00D25933">
        <w:t xml:space="preserve"> January 2019].</w:t>
      </w:r>
    </w:p>
  </w:footnote>
  <w:footnote w:id="8">
    <w:p w14:paraId="2C925F42" w14:textId="0E2CFE3A" w:rsidR="002E5913" w:rsidRPr="00D25933" w:rsidRDefault="002E5913">
      <w:pPr>
        <w:pStyle w:val="FootnoteText"/>
      </w:pPr>
      <w:r>
        <w:rPr>
          <w:rStyle w:val="FootnoteReference"/>
        </w:rPr>
        <w:footnoteRef/>
      </w:r>
      <w:r w:rsidRPr="00D25933">
        <w:t xml:space="preserve"> </w:t>
      </w:r>
      <w:r w:rsidR="006307A5" w:rsidRPr="006307A5">
        <w:t>Mason</w:t>
      </w:r>
      <w:r w:rsidR="006307A5">
        <w:t>, ‘Chapter Eight’ in</w:t>
      </w:r>
      <w:r w:rsidR="006307A5" w:rsidRPr="006307A5">
        <w:t xml:space="preserve"> 'Commemoration and Memorialisation in west Wales following the Great War'.</w:t>
      </w:r>
    </w:p>
  </w:footnote>
  <w:footnote w:id="9">
    <w:p w14:paraId="3B69C318" w14:textId="6FFFC56D" w:rsidR="00FD532A" w:rsidRPr="00D25933" w:rsidRDefault="00FD532A">
      <w:pPr>
        <w:pStyle w:val="FootnoteText"/>
      </w:pPr>
      <w:r>
        <w:rPr>
          <w:rStyle w:val="FootnoteReference"/>
        </w:rPr>
        <w:footnoteRef/>
      </w:r>
      <w:r w:rsidRPr="00D25933">
        <w:t xml:space="preserve"> </w:t>
      </w:r>
      <w:r w:rsidR="006307A5" w:rsidRPr="006307A5">
        <w:t>Mason</w:t>
      </w:r>
      <w:r w:rsidR="007B41F1">
        <w:t>,</w:t>
      </w:r>
      <w:r w:rsidR="006307A5" w:rsidRPr="006307A5">
        <w:t xml:space="preserve"> 'Commemoration and Memorialisation in west Wales following the Great War'</w:t>
      </w:r>
      <w:r w:rsidR="007B41F1">
        <w:t xml:space="preserve">, </w:t>
      </w:r>
      <w:r w:rsidR="00F13885" w:rsidRPr="00D25933">
        <w:t xml:space="preserve">p. </w:t>
      </w:r>
      <w:r w:rsidR="00B34F8D" w:rsidRPr="00D25933">
        <w:t>203.</w:t>
      </w:r>
    </w:p>
  </w:footnote>
  <w:footnote w:id="10">
    <w:p w14:paraId="496AAE43" w14:textId="3AABD867" w:rsidR="00FD532A" w:rsidRPr="00D25933" w:rsidRDefault="00FD532A">
      <w:pPr>
        <w:pStyle w:val="FootnoteText"/>
      </w:pPr>
      <w:r>
        <w:rPr>
          <w:rStyle w:val="FootnoteReference"/>
        </w:rPr>
        <w:footnoteRef/>
      </w:r>
      <w:r w:rsidRPr="00D25933">
        <w:t xml:space="preserve"> </w:t>
      </w:r>
      <w:bookmarkStart w:id="4" w:name="_Hlk536563042"/>
      <w:r w:rsidR="00564BE5">
        <w:t xml:space="preserve">Kenneth Morgan, </w:t>
      </w:r>
      <w:r w:rsidR="00564BE5" w:rsidRPr="00564BE5">
        <w:t>‘</w:t>
      </w:r>
      <w:r w:rsidR="00564BE5">
        <w:t>Peace Movements in Wales’</w:t>
      </w:r>
      <w:r w:rsidR="00564BE5" w:rsidRPr="00564BE5">
        <w:t xml:space="preserve">, </w:t>
      </w:r>
      <w:r w:rsidR="00564BE5" w:rsidRPr="00564BE5">
        <w:rPr>
          <w:i/>
        </w:rPr>
        <w:t>Welsh History Review</w:t>
      </w:r>
      <w:r w:rsidR="00564BE5" w:rsidRPr="00564BE5">
        <w:t>, 10</w:t>
      </w:r>
      <w:r w:rsidR="00564BE5">
        <w:t>(</w:t>
      </w:r>
      <w:r w:rsidR="00564BE5" w:rsidRPr="00564BE5">
        <w:t>3</w:t>
      </w:r>
      <w:r w:rsidR="00564BE5">
        <w:t>)</w:t>
      </w:r>
      <w:r w:rsidR="00564BE5" w:rsidRPr="00564BE5">
        <w:t xml:space="preserve">, (1981), </w:t>
      </w:r>
      <w:r w:rsidR="00564BE5">
        <w:t>p. 409.</w:t>
      </w:r>
      <w:bookmarkEnd w:id="4"/>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4BBC18FD" w:rsidR="008E5C37" w:rsidRPr="007A6B7C" w:rsidRDefault="008E5C37">
    <w:pPr>
      <w:pStyle w:val="Header"/>
      <w:jc w:val="right"/>
      <w:rPr>
        <w:rFonts w:ascii="Georgia" w:hAnsi="Georgia"/>
        <w:sz w:val="24"/>
        <w:szCs w:val="24"/>
      </w:rPr>
    </w:pPr>
    <w:r>
      <w:rPr>
        <w:rFonts w:ascii="Georgia" w:hAnsi="Georgia"/>
        <w:sz w:val="24"/>
        <w:szCs w:val="24"/>
      </w:rPr>
      <w:t>1601141</w:t>
    </w:r>
    <w:r w:rsidRPr="007A6B7C">
      <w:rPr>
        <w:rFonts w:ascii="Georgia" w:hAnsi="Georgia"/>
        <w:sz w:val="24"/>
        <w:szCs w:val="24"/>
      </w:rPr>
      <w:t xml:space="preserve"> </w:t>
    </w:r>
    <w:sdt>
      <w:sdtPr>
        <w:rPr>
          <w:rFonts w:ascii="Georgia" w:hAnsi="Georgia"/>
          <w:sz w:val="24"/>
          <w:szCs w:val="24"/>
        </w:rPr>
        <w:id w:val="48714171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Pr>
            <w:rFonts w:ascii="Georgia" w:hAnsi="Georgia"/>
            <w:noProof/>
            <w:sz w:val="24"/>
            <w:szCs w:val="24"/>
          </w:rPr>
          <w:t>6</w:t>
        </w:r>
        <w:r w:rsidRPr="007A6B7C">
          <w:rPr>
            <w:rFonts w:ascii="Georgia" w:hAnsi="Georgia"/>
            <w:noProof/>
            <w:sz w:val="24"/>
            <w:szCs w:val="24"/>
          </w:rPr>
          <w:fldChar w:fldCharType="end"/>
        </w:r>
      </w:sdtContent>
    </w:sdt>
  </w:p>
  <w:p w14:paraId="466411DC" w14:textId="77777777" w:rsidR="008E5C37" w:rsidRDefault="008E5C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B7684D"/>
    <w:multiLevelType w:val="hybridMultilevel"/>
    <w:tmpl w:val="C0B22030"/>
    <w:lvl w:ilvl="0" w:tplc="B91E56A8">
      <w:numFmt w:val="bullet"/>
      <w:lvlText w:val="•"/>
      <w:lvlJc w:val="left"/>
      <w:pPr>
        <w:ind w:left="715" w:hanging="375"/>
      </w:pPr>
      <w:rPr>
        <w:rFonts w:ascii="Arial" w:eastAsia="Times New Roman" w:hAnsi="Arial" w:cs="Arial" w:hint="default"/>
      </w:rPr>
    </w:lvl>
    <w:lvl w:ilvl="1" w:tplc="08090003">
      <w:start w:val="1"/>
      <w:numFmt w:val="bullet"/>
      <w:lvlText w:val="o"/>
      <w:lvlJc w:val="left"/>
      <w:pPr>
        <w:ind w:left="1420" w:hanging="360"/>
      </w:pPr>
      <w:rPr>
        <w:rFonts w:ascii="Courier New" w:hAnsi="Courier New" w:cs="Courier New" w:hint="default"/>
      </w:rPr>
    </w:lvl>
    <w:lvl w:ilvl="2" w:tplc="08090005">
      <w:start w:val="1"/>
      <w:numFmt w:val="bullet"/>
      <w:lvlText w:val=""/>
      <w:lvlJc w:val="left"/>
      <w:pPr>
        <w:ind w:left="2140" w:hanging="360"/>
      </w:pPr>
      <w:rPr>
        <w:rFonts w:ascii="Wingdings" w:hAnsi="Wingdings" w:hint="default"/>
      </w:rPr>
    </w:lvl>
    <w:lvl w:ilvl="3" w:tplc="08090001">
      <w:start w:val="1"/>
      <w:numFmt w:val="bullet"/>
      <w:lvlText w:val=""/>
      <w:lvlJc w:val="left"/>
      <w:pPr>
        <w:ind w:left="2860" w:hanging="360"/>
      </w:pPr>
      <w:rPr>
        <w:rFonts w:ascii="Symbol" w:hAnsi="Symbol" w:hint="default"/>
      </w:rPr>
    </w:lvl>
    <w:lvl w:ilvl="4" w:tplc="08090003">
      <w:start w:val="1"/>
      <w:numFmt w:val="bullet"/>
      <w:lvlText w:val="o"/>
      <w:lvlJc w:val="left"/>
      <w:pPr>
        <w:ind w:left="3580" w:hanging="360"/>
      </w:pPr>
      <w:rPr>
        <w:rFonts w:ascii="Courier New" w:hAnsi="Courier New" w:cs="Courier New" w:hint="default"/>
      </w:rPr>
    </w:lvl>
    <w:lvl w:ilvl="5" w:tplc="08090005">
      <w:start w:val="1"/>
      <w:numFmt w:val="bullet"/>
      <w:lvlText w:val=""/>
      <w:lvlJc w:val="left"/>
      <w:pPr>
        <w:ind w:left="4300" w:hanging="360"/>
      </w:pPr>
      <w:rPr>
        <w:rFonts w:ascii="Wingdings" w:hAnsi="Wingdings" w:hint="default"/>
      </w:rPr>
    </w:lvl>
    <w:lvl w:ilvl="6" w:tplc="08090001">
      <w:start w:val="1"/>
      <w:numFmt w:val="bullet"/>
      <w:lvlText w:val=""/>
      <w:lvlJc w:val="left"/>
      <w:pPr>
        <w:ind w:left="5020" w:hanging="360"/>
      </w:pPr>
      <w:rPr>
        <w:rFonts w:ascii="Symbol" w:hAnsi="Symbol" w:hint="default"/>
      </w:rPr>
    </w:lvl>
    <w:lvl w:ilvl="7" w:tplc="08090003">
      <w:start w:val="1"/>
      <w:numFmt w:val="bullet"/>
      <w:lvlText w:val="o"/>
      <w:lvlJc w:val="left"/>
      <w:pPr>
        <w:ind w:left="5740" w:hanging="360"/>
      </w:pPr>
      <w:rPr>
        <w:rFonts w:ascii="Courier New" w:hAnsi="Courier New" w:cs="Courier New" w:hint="default"/>
      </w:rPr>
    </w:lvl>
    <w:lvl w:ilvl="8" w:tplc="08090005">
      <w:start w:val="1"/>
      <w:numFmt w:val="bullet"/>
      <w:lvlText w:val=""/>
      <w:lvlJc w:val="left"/>
      <w:pPr>
        <w:ind w:left="6460" w:hanging="360"/>
      </w:pPr>
      <w:rPr>
        <w:rFonts w:ascii="Wingdings" w:hAnsi="Wingdings" w:hint="default"/>
      </w:rPr>
    </w:lvl>
  </w:abstractNum>
  <w:abstractNum w:abstractNumId="3" w15:restartNumberingAfterBreak="0">
    <w:nsid w:val="2E3E3271"/>
    <w:multiLevelType w:val="hybridMultilevel"/>
    <w:tmpl w:val="C08C3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7945B9"/>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8"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1621B67"/>
    <w:multiLevelType w:val="hybridMultilevel"/>
    <w:tmpl w:val="066479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7252691"/>
    <w:multiLevelType w:val="hybridMultilevel"/>
    <w:tmpl w:val="702818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2"/>
  </w:num>
  <w:num w:numId="3">
    <w:abstractNumId w:val="14"/>
  </w:num>
  <w:num w:numId="4">
    <w:abstractNumId w:val="5"/>
  </w:num>
  <w:num w:numId="5">
    <w:abstractNumId w:val="0"/>
  </w:num>
  <w:num w:numId="6">
    <w:abstractNumId w:val="10"/>
  </w:num>
  <w:num w:numId="7">
    <w:abstractNumId w:val="4"/>
  </w:num>
  <w:num w:numId="8">
    <w:abstractNumId w:val="13"/>
  </w:num>
  <w:num w:numId="9">
    <w:abstractNumId w:val="8"/>
  </w:num>
  <w:num w:numId="10">
    <w:abstractNumId w:val="1"/>
  </w:num>
  <w:num w:numId="11">
    <w:abstractNumId w:val="9"/>
  </w:num>
  <w:num w:numId="12">
    <w:abstractNumId w:val="2"/>
  </w:num>
  <w:num w:numId="13">
    <w:abstractNumId w:val="2"/>
  </w:num>
  <w:num w:numId="14">
    <w:abstractNumId w:val="3"/>
  </w:num>
  <w:num w:numId="15">
    <w:abstractNumId w:val="7"/>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5B"/>
    <w:rsid w:val="000003CA"/>
    <w:rsid w:val="00004998"/>
    <w:rsid w:val="00005AA6"/>
    <w:rsid w:val="00010665"/>
    <w:rsid w:val="00010B57"/>
    <w:rsid w:val="00015364"/>
    <w:rsid w:val="000166E1"/>
    <w:rsid w:val="000173AA"/>
    <w:rsid w:val="00017B3D"/>
    <w:rsid w:val="00020BA9"/>
    <w:rsid w:val="00022A00"/>
    <w:rsid w:val="00022C54"/>
    <w:rsid w:val="0002312F"/>
    <w:rsid w:val="00024247"/>
    <w:rsid w:val="00026059"/>
    <w:rsid w:val="000268EC"/>
    <w:rsid w:val="00026CAB"/>
    <w:rsid w:val="00026E40"/>
    <w:rsid w:val="00027675"/>
    <w:rsid w:val="00027F0D"/>
    <w:rsid w:val="000361C3"/>
    <w:rsid w:val="00041908"/>
    <w:rsid w:val="00041D88"/>
    <w:rsid w:val="00041DCF"/>
    <w:rsid w:val="00043156"/>
    <w:rsid w:val="0005410E"/>
    <w:rsid w:val="00057115"/>
    <w:rsid w:val="0005737E"/>
    <w:rsid w:val="000619D6"/>
    <w:rsid w:val="00062234"/>
    <w:rsid w:val="00066679"/>
    <w:rsid w:val="000670B3"/>
    <w:rsid w:val="00067A13"/>
    <w:rsid w:val="0007297A"/>
    <w:rsid w:val="00073CF4"/>
    <w:rsid w:val="000742C5"/>
    <w:rsid w:val="00077681"/>
    <w:rsid w:val="00077F7F"/>
    <w:rsid w:val="00083261"/>
    <w:rsid w:val="0008342E"/>
    <w:rsid w:val="0008436D"/>
    <w:rsid w:val="00086D8D"/>
    <w:rsid w:val="00087339"/>
    <w:rsid w:val="0009018E"/>
    <w:rsid w:val="00092A3C"/>
    <w:rsid w:val="00093F71"/>
    <w:rsid w:val="00094273"/>
    <w:rsid w:val="00094E34"/>
    <w:rsid w:val="000A0B85"/>
    <w:rsid w:val="000A17E5"/>
    <w:rsid w:val="000A23F5"/>
    <w:rsid w:val="000A4199"/>
    <w:rsid w:val="000A6373"/>
    <w:rsid w:val="000A668F"/>
    <w:rsid w:val="000A78BD"/>
    <w:rsid w:val="000B221F"/>
    <w:rsid w:val="000B24F7"/>
    <w:rsid w:val="000B420C"/>
    <w:rsid w:val="000B5DE0"/>
    <w:rsid w:val="000B69F1"/>
    <w:rsid w:val="000B7195"/>
    <w:rsid w:val="000B7FF8"/>
    <w:rsid w:val="000C011C"/>
    <w:rsid w:val="000C0E1A"/>
    <w:rsid w:val="000C1240"/>
    <w:rsid w:val="000C2997"/>
    <w:rsid w:val="000C685A"/>
    <w:rsid w:val="000C6953"/>
    <w:rsid w:val="000C7A5B"/>
    <w:rsid w:val="000C7D1A"/>
    <w:rsid w:val="000D19C8"/>
    <w:rsid w:val="000D259F"/>
    <w:rsid w:val="000D29EF"/>
    <w:rsid w:val="000D3839"/>
    <w:rsid w:val="000D3D37"/>
    <w:rsid w:val="000D4407"/>
    <w:rsid w:val="000D454C"/>
    <w:rsid w:val="000D52D7"/>
    <w:rsid w:val="000D7155"/>
    <w:rsid w:val="000D718F"/>
    <w:rsid w:val="000D7AAB"/>
    <w:rsid w:val="000D7BA3"/>
    <w:rsid w:val="000D7D3D"/>
    <w:rsid w:val="000E0987"/>
    <w:rsid w:val="000E12C4"/>
    <w:rsid w:val="000E12FF"/>
    <w:rsid w:val="000E24B9"/>
    <w:rsid w:val="000E3D06"/>
    <w:rsid w:val="000E749F"/>
    <w:rsid w:val="000F0158"/>
    <w:rsid w:val="000F1705"/>
    <w:rsid w:val="000F2D7D"/>
    <w:rsid w:val="000F2E7A"/>
    <w:rsid w:val="000F44D1"/>
    <w:rsid w:val="000F68E9"/>
    <w:rsid w:val="00100BB0"/>
    <w:rsid w:val="0010631A"/>
    <w:rsid w:val="0011062B"/>
    <w:rsid w:val="001108D6"/>
    <w:rsid w:val="001108EE"/>
    <w:rsid w:val="0011439D"/>
    <w:rsid w:val="00115220"/>
    <w:rsid w:val="001205D7"/>
    <w:rsid w:val="00120986"/>
    <w:rsid w:val="001259E8"/>
    <w:rsid w:val="00134FA5"/>
    <w:rsid w:val="001411E3"/>
    <w:rsid w:val="0014185B"/>
    <w:rsid w:val="001420A5"/>
    <w:rsid w:val="00142220"/>
    <w:rsid w:val="00143019"/>
    <w:rsid w:val="001439EB"/>
    <w:rsid w:val="00144658"/>
    <w:rsid w:val="00150688"/>
    <w:rsid w:val="00150EA3"/>
    <w:rsid w:val="00153FA3"/>
    <w:rsid w:val="00155DF0"/>
    <w:rsid w:val="001573F3"/>
    <w:rsid w:val="0016004F"/>
    <w:rsid w:val="0016354B"/>
    <w:rsid w:val="001645DA"/>
    <w:rsid w:val="00166B5B"/>
    <w:rsid w:val="00172110"/>
    <w:rsid w:val="00172CA2"/>
    <w:rsid w:val="00173735"/>
    <w:rsid w:val="00173CD1"/>
    <w:rsid w:val="001761B8"/>
    <w:rsid w:val="00177A25"/>
    <w:rsid w:val="00180D43"/>
    <w:rsid w:val="0018137B"/>
    <w:rsid w:val="00181A5E"/>
    <w:rsid w:val="00183C98"/>
    <w:rsid w:val="00184321"/>
    <w:rsid w:val="00184469"/>
    <w:rsid w:val="001853D7"/>
    <w:rsid w:val="00185ACA"/>
    <w:rsid w:val="001861DB"/>
    <w:rsid w:val="001901A3"/>
    <w:rsid w:val="00190C63"/>
    <w:rsid w:val="0019125D"/>
    <w:rsid w:val="001913EB"/>
    <w:rsid w:val="00195AD8"/>
    <w:rsid w:val="0019660A"/>
    <w:rsid w:val="00196A57"/>
    <w:rsid w:val="00196B1C"/>
    <w:rsid w:val="00196BD3"/>
    <w:rsid w:val="0019757A"/>
    <w:rsid w:val="001A0D97"/>
    <w:rsid w:val="001A2BA3"/>
    <w:rsid w:val="001A35C4"/>
    <w:rsid w:val="001A39C4"/>
    <w:rsid w:val="001A6179"/>
    <w:rsid w:val="001A7436"/>
    <w:rsid w:val="001B0B8E"/>
    <w:rsid w:val="001B2D3D"/>
    <w:rsid w:val="001B3FE7"/>
    <w:rsid w:val="001B7AE4"/>
    <w:rsid w:val="001C157D"/>
    <w:rsid w:val="001C2C2C"/>
    <w:rsid w:val="001C2F6A"/>
    <w:rsid w:val="001C38F0"/>
    <w:rsid w:val="001C491D"/>
    <w:rsid w:val="001C5308"/>
    <w:rsid w:val="001D1F7A"/>
    <w:rsid w:val="001D3700"/>
    <w:rsid w:val="001D42D1"/>
    <w:rsid w:val="001D568C"/>
    <w:rsid w:val="001D5B79"/>
    <w:rsid w:val="001D790F"/>
    <w:rsid w:val="001E12A2"/>
    <w:rsid w:val="001E44D0"/>
    <w:rsid w:val="001E4510"/>
    <w:rsid w:val="001E4AFD"/>
    <w:rsid w:val="001E5E09"/>
    <w:rsid w:val="001E6F4D"/>
    <w:rsid w:val="001E73A9"/>
    <w:rsid w:val="001E789C"/>
    <w:rsid w:val="001F1BB3"/>
    <w:rsid w:val="001F1C69"/>
    <w:rsid w:val="001F301B"/>
    <w:rsid w:val="001F40B2"/>
    <w:rsid w:val="001F6B67"/>
    <w:rsid w:val="001F7B16"/>
    <w:rsid w:val="001F7C51"/>
    <w:rsid w:val="002075E1"/>
    <w:rsid w:val="00214081"/>
    <w:rsid w:val="00215464"/>
    <w:rsid w:val="00215609"/>
    <w:rsid w:val="00216982"/>
    <w:rsid w:val="00217C97"/>
    <w:rsid w:val="002213A9"/>
    <w:rsid w:val="002220FC"/>
    <w:rsid w:val="00226ED8"/>
    <w:rsid w:val="002315DB"/>
    <w:rsid w:val="00234417"/>
    <w:rsid w:val="00236CA9"/>
    <w:rsid w:val="00236F62"/>
    <w:rsid w:val="00237278"/>
    <w:rsid w:val="00237C31"/>
    <w:rsid w:val="00240AEE"/>
    <w:rsid w:val="0024228F"/>
    <w:rsid w:val="002427CB"/>
    <w:rsid w:val="00243F4D"/>
    <w:rsid w:val="002462D2"/>
    <w:rsid w:val="002512CE"/>
    <w:rsid w:val="002517BF"/>
    <w:rsid w:val="00251BB8"/>
    <w:rsid w:val="00252ABB"/>
    <w:rsid w:val="002540C8"/>
    <w:rsid w:val="00254488"/>
    <w:rsid w:val="00256EF8"/>
    <w:rsid w:val="0026056C"/>
    <w:rsid w:val="002629C9"/>
    <w:rsid w:val="00262BF1"/>
    <w:rsid w:val="002633AE"/>
    <w:rsid w:val="00263842"/>
    <w:rsid w:val="00265000"/>
    <w:rsid w:val="0027077D"/>
    <w:rsid w:val="002709CA"/>
    <w:rsid w:val="00271721"/>
    <w:rsid w:val="00280EC9"/>
    <w:rsid w:val="00282A12"/>
    <w:rsid w:val="00284ED7"/>
    <w:rsid w:val="00285ADB"/>
    <w:rsid w:val="00291146"/>
    <w:rsid w:val="00293F83"/>
    <w:rsid w:val="002958E8"/>
    <w:rsid w:val="002A2756"/>
    <w:rsid w:val="002B1035"/>
    <w:rsid w:val="002B20EA"/>
    <w:rsid w:val="002B2203"/>
    <w:rsid w:val="002B52D3"/>
    <w:rsid w:val="002C0D76"/>
    <w:rsid w:val="002C189F"/>
    <w:rsid w:val="002C3E31"/>
    <w:rsid w:val="002C44D7"/>
    <w:rsid w:val="002C4657"/>
    <w:rsid w:val="002C4B22"/>
    <w:rsid w:val="002C55C2"/>
    <w:rsid w:val="002C5611"/>
    <w:rsid w:val="002C6549"/>
    <w:rsid w:val="002C7C8F"/>
    <w:rsid w:val="002D2DBD"/>
    <w:rsid w:val="002D4EA2"/>
    <w:rsid w:val="002D4F8E"/>
    <w:rsid w:val="002D5459"/>
    <w:rsid w:val="002D5DE7"/>
    <w:rsid w:val="002D64AB"/>
    <w:rsid w:val="002E1563"/>
    <w:rsid w:val="002E1E24"/>
    <w:rsid w:val="002E45FE"/>
    <w:rsid w:val="002E46E4"/>
    <w:rsid w:val="002E498D"/>
    <w:rsid w:val="002E5913"/>
    <w:rsid w:val="002F0837"/>
    <w:rsid w:val="002F108C"/>
    <w:rsid w:val="002F2A49"/>
    <w:rsid w:val="002F2F41"/>
    <w:rsid w:val="002F781F"/>
    <w:rsid w:val="002F7A0D"/>
    <w:rsid w:val="00307C5D"/>
    <w:rsid w:val="00313CE8"/>
    <w:rsid w:val="003163F6"/>
    <w:rsid w:val="003209D9"/>
    <w:rsid w:val="003211EA"/>
    <w:rsid w:val="00321D8A"/>
    <w:rsid w:val="003230BF"/>
    <w:rsid w:val="00323F5F"/>
    <w:rsid w:val="00324230"/>
    <w:rsid w:val="0032591B"/>
    <w:rsid w:val="00330275"/>
    <w:rsid w:val="0033190E"/>
    <w:rsid w:val="00332C8D"/>
    <w:rsid w:val="003344B6"/>
    <w:rsid w:val="00336436"/>
    <w:rsid w:val="003377D1"/>
    <w:rsid w:val="00341A98"/>
    <w:rsid w:val="003436F7"/>
    <w:rsid w:val="00344049"/>
    <w:rsid w:val="00347CEE"/>
    <w:rsid w:val="003527FE"/>
    <w:rsid w:val="00357880"/>
    <w:rsid w:val="003660AA"/>
    <w:rsid w:val="003679F1"/>
    <w:rsid w:val="00367DBA"/>
    <w:rsid w:val="00370B37"/>
    <w:rsid w:val="00370E55"/>
    <w:rsid w:val="00375A31"/>
    <w:rsid w:val="00375EB9"/>
    <w:rsid w:val="00377CFF"/>
    <w:rsid w:val="00383D14"/>
    <w:rsid w:val="00385327"/>
    <w:rsid w:val="00386BF9"/>
    <w:rsid w:val="00387C98"/>
    <w:rsid w:val="00390413"/>
    <w:rsid w:val="00392064"/>
    <w:rsid w:val="003928AA"/>
    <w:rsid w:val="0039310C"/>
    <w:rsid w:val="003951EE"/>
    <w:rsid w:val="003A100D"/>
    <w:rsid w:val="003A3CD7"/>
    <w:rsid w:val="003A4F26"/>
    <w:rsid w:val="003A520E"/>
    <w:rsid w:val="003A5366"/>
    <w:rsid w:val="003A65DD"/>
    <w:rsid w:val="003A7F4C"/>
    <w:rsid w:val="003B5AE4"/>
    <w:rsid w:val="003B61A1"/>
    <w:rsid w:val="003B6CB8"/>
    <w:rsid w:val="003C17A6"/>
    <w:rsid w:val="003C25B6"/>
    <w:rsid w:val="003C3F0D"/>
    <w:rsid w:val="003C5219"/>
    <w:rsid w:val="003C7C1D"/>
    <w:rsid w:val="003D08EA"/>
    <w:rsid w:val="003D1B2E"/>
    <w:rsid w:val="003D1C3F"/>
    <w:rsid w:val="003D270F"/>
    <w:rsid w:val="003D685D"/>
    <w:rsid w:val="003F1307"/>
    <w:rsid w:val="003F16A6"/>
    <w:rsid w:val="003F3497"/>
    <w:rsid w:val="003F3705"/>
    <w:rsid w:val="004022EC"/>
    <w:rsid w:val="004032DC"/>
    <w:rsid w:val="00404AA5"/>
    <w:rsid w:val="00405849"/>
    <w:rsid w:val="00405918"/>
    <w:rsid w:val="00406DAB"/>
    <w:rsid w:val="00407FA6"/>
    <w:rsid w:val="0041002C"/>
    <w:rsid w:val="004103DD"/>
    <w:rsid w:val="00411036"/>
    <w:rsid w:val="0041109F"/>
    <w:rsid w:val="00412CD9"/>
    <w:rsid w:val="00413398"/>
    <w:rsid w:val="004141CE"/>
    <w:rsid w:val="00415D54"/>
    <w:rsid w:val="0042210E"/>
    <w:rsid w:val="004224BE"/>
    <w:rsid w:val="00422EBD"/>
    <w:rsid w:val="00423D26"/>
    <w:rsid w:val="00427231"/>
    <w:rsid w:val="00431099"/>
    <w:rsid w:val="00431B99"/>
    <w:rsid w:val="004326C2"/>
    <w:rsid w:val="0043325F"/>
    <w:rsid w:val="00434C2D"/>
    <w:rsid w:val="00435079"/>
    <w:rsid w:val="00436090"/>
    <w:rsid w:val="004402B5"/>
    <w:rsid w:val="00443004"/>
    <w:rsid w:val="00443028"/>
    <w:rsid w:val="00443689"/>
    <w:rsid w:val="004436BA"/>
    <w:rsid w:val="00443A72"/>
    <w:rsid w:val="00443B64"/>
    <w:rsid w:val="0044484F"/>
    <w:rsid w:val="00447EF7"/>
    <w:rsid w:val="00447F7A"/>
    <w:rsid w:val="0045040E"/>
    <w:rsid w:val="00452D95"/>
    <w:rsid w:val="004535C3"/>
    <w:rsid w:val="00453877"/>
    <w:rsid w:val="00454BA5"/>
    <w:rsid w:val="00456578"/>
    <w:rsid w:val="004600E2"/>
    <w:rsid w:val="004622C0"/>
    <w:rsid w:val="0046332F"/>
    <w:rsid w:val="00470591"/>
    <w:rsid w:val="00472D07"/>
    <w:rsid w:val="004735DB"/>
    <w:rsid w:val="00474270"/>
    <w:rsid w:val="00474A7C"/>
    <w:rsid w:val="004752C2"/>
    <w:rsid w:val="004758EE"/>
    <w:rsid w:val="004779FC"/>
    <w:rsid w:val="00480016"/>
    <w:rsid w:val="00481A44"/>
    <w:rsid w:val="00482CCE"/>
    <w:rsid w:val="00482FAD"/>
    <w:rsid w:val="00484123"/>
    <w:rsid w:val="00484B51"/>
    <w:rsid w:val="00485C81"/>
    <w:rsid w:val="0048635C"/>
    <w:rsid w:val="004907EA"/>
    <w:rsid w:val="00491DFB"/>
    <w:rsid w:val="00491E44"/>
    <w:rsid w:val="0049481E"/>
    <w:rsid w:val="00495541"/>
    <w:rsid w:val="00496AF4"/>
    <w:rsid w:val="004A1033"/>
    <w:rsid w:val="004A25AC"/>
    <w:rsid w:val="004A34FE"/>
    <w:rsid w:val="004A4FAA"/>
    <w:rsid w:val="004A5501"/>
    <w:rsid w:val="004A56D1"/>
    <w:rsid w:val="004A6813"/>
    <w:rsid w:val="004A69E5"/>
    <w:rsid w:val="004A77A3"/>
    <w:rsid w:val="004B12D4"/>
    <w:rsid w:val="004B1985"/>
    <w:rsid w:val="004B2216"/>
    <w:rsid w:val="004B680F"/>
    <w:rsid w:val="004B6AD3"/>
    <w:rsid w:val="004B76CA"/>
    <w:rsid w:val="004C0EED"/>
    <w:rsid w:val="004C110D"/>
    <w:rsid w:val="004C1950"/>
    <w:rsid w:val="004C1A2A"/>
    <w:rsid w:val="004C30B9"/>
    <w:rsid w:val="004C5954"/>
    <w:rsid w:val="004C6242"/>
    <w:rsid w:val="004D4A14"/>
    <w:rsid w:val="004D6747"/>
    <w:rsid w:val="004D798E"/>
    <w:rsid w:val="004E23C4"/>
    <w:rsid w:val="004E29B6"/>
    <w:rsid w:val="004E3556"/>
    <w:rsid w:val="004E3978"/>
    <w:rsid w:val="004E4272"/>
    <w:rsid w:val="004E48FB"/>
    <w:rsid w:val="004E7C90"/>
    <w:rsid w:val="004E7E58"/>
    <w:rsid w:val="004F0954"/>
    <w:rsid w:val="004F17E1"/>
    <w:rsid w:val="004F2E09"/>
    <w:rsid w:val="004F307D"/>
    <w:rsid w:val="00501AE3"/>
    <w:rsid w:val="005032B1"/>
    <w:rsid w:val="00503A55"/>
    <w:rsid w:val="00506EEE"/>
    <w:rsid w:val="00507108"/>
    <w:rsid w:val="0051406B"/>
    <w:rsid w:val="00514C5B"/>
    <w:rsid w:val="005209F2"/>
    <w:rsid w:val="0052336F"/>
    <w:rsid w:val="00524133"/>
    <w:rsid w:val="00524878"/>
    <w:rsid w:val="0052514B"/>
    <w:rsid w:val="005254CC"/>
    <w:rsid w:val="00525FA2"/>
    <w:rsid w:val="005300F6"/>
    <w:rsid w:val="00530302"/>
    <w:rsid w:val="00530D5C"/>
    <w:rsid w:val="00531061"/>
    <w:rsid w:val="00533D2E"/>
    <w:rsid w:val="00536B7E"/>
    <w:rsid w:val="005429FF"/>
    <w:rsid w:val="00543470"/>
    <w:rsid w:val="00543E2A"/>
    <w:rsid w:val="0054415C"/>
    <w:rsid w:val="00545836"/>
    <w:rsid w:val="005500AE"/>
    <w:rsid w:val="00550D70"/>
    <w:rsid w:val="005528FA"/>
    <w:rsid w:val="005531FA"/>
    <w:rsid w:val="00563496"/>
    <w:rsid w:val="00563515"/>
    <w:rsid w:val="0056442C"/>
    <w:rsid w:val="00564BE5"/>
    <w:rsid w:val="005653C8"/>
    <w:rsid w:val="00565623"/>
    <w:rsid w:val="00570705"/>
    <w:rsid w:val="00573548"/>
    <w:rsid w:val="00574D94"/>
    <w:rsid w:val="00575532"/>
    <w:rsid w:val="005755C7"/>
    <w:rsid w:val="00575AC1"/>
    <w:rsid w:val="00583BA3"/>
    <w:rsid w:val="00583D9B"/>
    <w:rsid w:val="00583E9A"/>
    <w:rsid w:val="0058415E"/>
    <w:rsid w:val="0058544C"/>
    <w:rsid w:val="005859DC"/>
    <w:rsid w:val="00592EB8"/>
    <w:rsid w:val="00596C3C"/>
    <w:rsid w:val="00597806"/>
    <w:rsid w:val="005A3A37"/>
    <w:rsid w:val="005A5006"/>
    <w:rsid w:val="005A7C41"/>
    <w:rsid w:val="005B11C5"/>
    <w:rsid w:val="005B1F04"/>
    <w:rsid w:val="005B1F3B"/>
    <w:rsid w:val="005B298C"/>
    <w:rsid w:val="005B2CC0"/>
    <w:rsid w:val="005B4370"/>
    <w:rsid w:val="005B4DC9"/>
    <w:rsid w:val="005B5FF1"/>
    <w:rsid w:val="005B6618"/>
    <w:rsid w:val="005B6DBF"/>
    <w:rsid w:val="005C1A56"/>
    <w:rsid w:val="005C1FBF"/>
    <w:rsid w:val="005C24B1"/>
    <w:rsid w:val="005C289E"/>
    <w:rsid w:val="005C30BA"/>
    <w:rsid w:val="005C4398"/>
    <w:rsid w:val="005C4747"/>
    <w:rsid w:val="005D2F10"/>
    <w:rsid w:val="005D477F"/>
    <w:rsid w:val="005D6502"/>
    <w:rsid w:val="005E5B24"/>
    <w:rsid w:val="005E601E"/>
    <w:rsid w:val="005F0A51"/>
    <w:rsid w:val="005F158D"/>
    <w:rsid w:val="005F3E5D"/>
    <w:rsid w:val="005F4982"/>
    <w:rsid w:val="005F5205"/>
    <w:rsid w:val="005F53D8"/>
    <w:rsid w:val="005F58FB"/>
    <w:rsid w:val="006009BF"/>
    <w:rsid w:val="00601B6B"/>
    <w:rsid w:val="00602105"/>
    <w:rsid w:val="006055FC"/>
    <w:rsid w:val="00605AE6"/>
    <w:rsid w:val="0060678E"/>
    <w:rsid w:val="0061126A"/>
    <w:rsid w:val="00612EAB"/>
    <w:rsid w:val="00613A6D"/>
    <w:rsid w:val="006168ED"/>
    <w:rsid w:val="00620174"/>
    <w:rsid w:val="00622942"/>
    <w:rsid w:val="0062318C"/>
    <w:rsid w:val="0062346B"/>
    <w:rsid w:val="006255B0"/>
    <w:rsid w:val="00625774"/>
    <w:rsid w:val="00626E9E"/>
    <w:rsid w:val="006307A5"/>
    <w:rsid w:val="00631134"/>
    <w:rsid w:val="006315D5"/>
    <w:rsid w:val="006318AD"/>
    <w:rsid w:val="00631C11"/>
    <w:rsid w:val="00632C77"/>
    <w:rsid w:val="00634705"/>
    <w:rsid w:val="00636EA7"/>
    <w:rsid w:val="00637E9A"/>
    <w:rsid w:val="00644DE8"/>
    <w:rsid w:val="00645531"/>
    <w:rsid w:val="00647986"/>
    <w:rsid w:val="00650E16"/>
    <w:rsid w:val="00651E18"/>
    <w:rsid w:val="0065385E"/>
    <w:rsid w:val="00653DA6"/>
    <w:rsid w:val="006552E4"/>
    <w:rsid w:val="006567AC"/>
    <w:rsid w:val="00657736"/>
    <w:rsid w:val="00657B57"/>
    <w:rsid w:val="00657C53"/>
    <w:rsid w:val="00657F9C"/>
    <w:rsid w:val="00660E61"/>
    <w:rsid w:val="00661B59"/>
    <w:rsid w:val="00661C6F"/>
    <w:rsid w:val="00661E0A"/>
    <w:rsid w:val="00663CCE"/>
    <w:rsid w:val="00665AC9"/>
    <w:rsid w:val="00666FDD"/>
    <w:rsid w:val="00670BDD"/>
    <w:rsid w:val="00670F25"/>
    <w:rsid w:val="00671F34"/>
    <w:rsid w:val="00672BC8"/>
    <w:rsid w:val="006733A6"/>
    <w:rsid w:val="00673D20"/>
    <w:rsid w:val="00674647"/>
    <w:rsid w:val="00676213"/>
    <w:rsid w:val="00677460"/>
    <w:rsid w:val="00677CCE"/>
    <w:rsid w:val="00677E04"/>
    <w:rsid w:val="006804F5"/>
    <w:rsid w:val="00681169"/>
    <w:rsid w:val="006820C4"/>
    <w:rsid w:val="0068297D"/>
    <w:rsid w:val="00682E7B"/>
    <w:rsid w:val="00684DAC"/>
    <w:rsid w:val="0068535D"/>
    <w:rsid w:val="00685B5D"/>
    <w:rsid w:val="0068659E"/>
    <w:rsid w:val="00686B4E"/>
    <w:rsid w:val="00686DCD"/>
    <w:rsid w:val="006878FF"/>
    <w:rsid w:val="0069094C"/>
    <w:rsid w:val="00691792"/>
    <w:rsid w:val="0069274B"/>
    <w:rsid w:val="00692D5D"/>
    <w:rsid w:val="00692DEA"/>
    <w:rsid w:val="00695F92"/>
    <w:rsid w:val="00696102"/>
    <w:rsid w:val="006A0FEB"/>
    <w:rsid w:val="006A16DF"/>
    <w:rsid w:val="006A1A77"/>
    <w:rsid w:val="006A3E40"/>
    <w:rsid w:val="006A41DA"/>
    <w:rsid w:val="006A43ED"/>
    <w:rsid w:val="006A4565"/>
    <w:rsid w:val="006A499C"/>
    <w:rsid w:val="006A4B44"/>
    <w:rsid w:val="006A5629"/>
    <w:rsid w:val="006A633E"/>
    <w:rsid w:val="006A6AAD"/>
    <w:rsid w:val="006B31CF"/>
    <w:rsid w:val="006B462F"/>
    <w:rsid w:val="006B630A"/>
    <w:rsid w:val="006B6BBB"/>
    <w:rsid w:val="006B71DC"/>
    <w:rsid w:val="006B75AA"/>
    <w:rsid w:val="006B7633"/>
    <w:rsid w:val="006C25FB"/>
    <w:rsid w:val="006C2A03"/>
    <w:rsid w:val="006C4C6E"/>
    <w:rsid w:val="006C6B9F"/>
    <w:rsid w:val="006C724C"/>
    <w:rsid w:val="006D127B"/>
    <w:rsid w:val="006D17D7"/>
    <w:rsid w:val="006E0243"/>
    <w:rsid w:val="006F0B38"/>
    <w:rsid w:val="006F21C1"/>
    <w:rsid w:val="006F2796"/>
    <w:rsid w:val="006F29AF"/>
    <w:rsid w:val="006F2A72"/>
    <w:rsid w:val="006F34BA"/>
    <w:rsid w:val="006F5F6D"/>
    <w:rsid w:val="006F64F6"/>
    <w:rsid w:val="006F7496"/>
    <w:rsid w:val="00702EB5"/>
    <w:rsid w:val="00703402"/>
    <w:rsid w:val="0070340A"/>
    <w:rsid w:val="007052C1"/>
    <w:rsid w:val="007053F5"/>
    <w:rsid w:val="007057F9"/>
    <w:rsid w:val="007070D6"/>
    <w:rsid w:val="00711442"/>
    <w:rsid w:val="0072343F"/>
    <w:rsid w:val="00723830"/>
    <w:rsid w:val="007241DF"/>
    <w:rsid w:val="0072604B"/>
    <w:rsid w:val="007342DA"/>
    <w:rsid w:val="007404CE"/>
    <w:rsid w:val="00740702"/>
    <w:rsid w:val="00740B23"/>
    <w:rsid w:val="007418A2"/>
    <w:rsid w:val="007424CB"/>
    <w:rsid w:val="00743010"/>
    <w:rsid w:val="00743EF9"/>
    <w:rsid w:val="00745E4D"/>
    <w:rsid w:val="00747542"/>
    <w:rsid w:val="00753193"/>
    <w:rsid w:val="007547CE"/>
    <w:rsid w:val="0075495C"/>
    <w:rsid w:val="00754F25"/>
    <w:rsid w:val="007564B3"/>
    <w:rsid w:val="00761137"/>
    <w:rsid w:val="00764F9F"/>
    <w:rsid w:val="007650B6"/>
    <w:rsid w:val="007717E7"/>
    <w:rsid w:val="00771B6C"/>
    <w:rsid w:val="007746FA"/>
    <w:rsid w:val="0077471E"/>
    <w:rsid w:val="00775930"/>
    <w:rsid w:val="00776C2B"/>
    <w:rsid w:val="00776FC3"/>
    <w:rsid w:val="00780953"/>
    <w:rsid w:val="00780CBE"/>
    <w:rsid w:val="007824CD"/>
    <w:rsid w:val="007840A4"/>
    <w:rsid w:val="00787FC4"/>
    <w:rsid w:val="007924B0"/>
    <w:rsid w:val="00792C7A"/>
    <w:rsid w:val="007962D2"/>
    <w:rsid w:val="007A045D"/>
    <w:rsid w:val="007A08D1"/>
    <w:rsid w:val="007A1FEF"/>
    <w:rsid w:val="007A27D1"/>
    <w:rsid w:val="007A28AD"/>
    <w:rsid w:val="007A37EC"/>
    <w:rsid w:val="007A6B7C"/>
    <w:rsid w:val="007A76F9"/>
    <w:rsid w:val="007B13AE"/>
    <w:rsid w:val="007B40E7"/>
    <w:rsid w:val="007B41F1"/>
    <w:rsid w:val="007B5067"/>
    <w:rsid w:val="007B585B"/>
    <w:rsid w:val="007B6090"/>
    <w:rsid w:val="007B7142"/>
    <w:rsid w:val="007C3197"/>
    <w:rsid w:val="007C3253"/>
    <w:rsid w:val="007C5354"/>
    <w:rsid w:val="007C5BA8"/>
    <w:rsid w:val="007D364E"/>
    <w:rsid w:val="007D56F2"/>
    <w:rsid w:val="007D716C"/>
    <w:rsid w:val="007E0422"/>
    <w:rsid w:val="007E0B8F"/>
    <w:rsid w:val="007E3579"/>
    <w:rsid w:val="007E3BEE"/>
    <w:rsid w:val="007E5B74"/>
    <w:rsid w:val="007E5FFB"/>
    <w:rsid w:val="007F0CC5"/>
    <w:rsid w:val="007F324F"/>
    <w:rsid w:val="007F35BC"/>
    <w:rsid w:val="008042E0"/>
    <w:rsid w:val="008079B7"/>
    <w:rsid w:val="00807A6F"/>
    <w:rsid w:val="00811858"/>
    <w:rsid w:val="00814811"/>
    <w:rsid w:val="00814D5D"/>
    <w:rsid w:val="00815110"/>
    <w:rsid w:val="008155CE"/>
    <w:rsid w:val="00815DD3"/>
    <w:rsid w:val="008164F1"/>
    <w:rsid w:val="0081719A"/>
    <w:rsid w:val="00817A44"/>
    <w:rsid w:val="008200C3"/>
    <w:rsid w:val="00820360"/>
    <w:rsid w:val="0082136D"/>
    <w:rsid w:val="008220CB"/>
    <w:rsid w:val="00822D69"/>
    <w:rsid w:val="0082596F"/>
    <w:rsid w:val="00826419"/>
    <w:rsid w:val="00830D7C"/>
    <w:rsid w:val="008318B7"/>
    <w:rsid w:val="00831970"/>
    <w:rsid w:val="00831AE8"/>
    <w:rsid w:val="00832576"/>
    <w:rsid w:val="00832C74"/>
    <w:rsid w:val="00832EF0"/>
    <w:rsid w:val="00834511"/>
    <w:rsid w:val="008346F8"/>
    <w:rsid w:val="00834DC8"/>
    <w:rsid w:val="00835087"/>
    <w:rsid w:val="0083555C"/>
    <w:rsid w:val="00836034"/>
    <w:rsid w:val="0083608F"/>
    <w:rsid w:val="0083691D"/>
    <w:rsid w:val="00841334"/>
    <w:rsid w:val="00842CB9"/>
    <w:rsid w:val="0085075A"/>
    <w:rsid w:val="00850885"/>
    <w:rsid w:val="00852D25"/>
    <w:rsid w:val="008533AB"/>
    <w:rsid w:val="00853719"/>
    <w:rsid w:val="00855295"/>
    <w:rsid w:val="00855D62"/>
    <w:rsid w:val="00856DCE"/>
    <w:rsid w:val="00863CDE"/>
    <w:rsid w:val="00864A79"/>
    <w:rsid w:val="008662BE"/>
    <w:rsid w:val="00871436"/>
    <w:rsid w:val="00871960"/>
    <w:rsid w:val="0087361B"/>
    <w:rsid w:val="00873C28"/>
    <w:rsid w:val="00874BB8"/>
    <w:rsid w:val="0088155F"/>
    <w:rsid w:val="008841D9"/>
    <w:rsid w:val="00885BD7"/>
    <w:rsid w:val="00890603"/>
    <w:rsid w:val="00891A17"/>
    <w:rsid w:val="00895B07"/>
    <w:rsid w:val="00896194"/>
    <w:rsid w:val="008963BD"/>
    <w:rsid w:val="008A14F1"/>
    <w:rsid w:val="008A173C"/>
    <w:rsid w:val="008A3B6B"/>
    <w:rsid w:val="008A4206"/>
    <w:rsid w:val="008A501D"/>
    <w:rsid w:val="008A57C4"/>
    <w:rsid w:val="008A5E2D"/>
    <w:rsid w:val="008A6299"/>
    <w:rsid w:val="008B25FA"/>
    <w:rsid w:val="008B3C66"/>
    <w:rsid w:val="008B5A72"/>
    <w:rsid w:val="008B5AC2"/>
    <w:rsid w:val="008B5CB6"/>
    <w:rsid w:val="008B640A"/>
    <w:rsid w:val="008B6995"/>
    <w:rsid w:val="008C1246"/>
    <w:rsid w:val="008C2410"/>
    <w:rsid w:val="008C2F32"/>
    <w:rsid w:val="008D2797"/>
    <w:rsid w:val="008D3AAC"/>
    <w:rsid w:val="008D3E83"/>
    <w:rsid w:val="008D42AA"/>
    <w:rsid w:val="008D70B6"/>
    <w:rsid w:val="008E05DF"/>
    <w:rsid w:val="008E121B"/>
    <w:rsid w:val="008E1750"/>
    <w:rsid w:val="008E290F"/>
    <w:rsid w:val="008E2BF6"/>
    <w:rsid w:val="008E3607"/>
    <w:rsid w:val="008E436D"/>
    <w:rsid w:val="008E5C37"/>
    <w:rsid w:val="008E7395"/>
    <w:rsid w:val="008E7772"/>
    <w:rsid w:val="008F07A7"/>
    <w:rsid w:val="008F15F8"/>
    <w:rsid w:val="008F252A"/>
    <w:rsid w:val="008F4862"/>
    <w:rsid w:val="008F628E"/>
    <w:rsid w:val="009023B6"/>
    <w:rsid w:val="009031DB"/>
    <w:rsid w:val="00904266"/>
    <w:rsid w:val="00904D37"/>
    <w:rsid w:val="009059AF"/>
    <w:rsid w:val="00912119"/>
    <w:rsid w:val="009132F0"/>
    <w:rsid w:val="009133D6"/>
    <w:rsid w:val="0091443C"/>
    <w:rsid w:val="00917DA5"/>
    <w:rsid w:val="0092003E"/>
    <w:rsid w:val="0092043F"/>
    <w:rsid w:val="00920A77"/>
    <w:rsid w:val="00921634"/>
    <w:rsid w:val="00921A0C"/>
    <w:rsid w:val="00922842"/>
    <w:rsid w:val="00923416"/>
    <w:rsid w:val="00924F3E"/>
    <w:rsid w:val="009306E4"/>
    <w:rsid w:val="00930F49"/>
    <w:rsid w:val="0093154A"/>
    <w:rsid w:val="00932659"/>
    <w:rsid w:val="009349A8"/>
    <w:rsid w:val="00937BA3"/>
    <w:rsid w:val="0094410F"/>
    <w:rsid w:val="009444B7"/>
    <w:rsid w:val="00944619"/>
    <w:rsid w:val="00944A38"/>
    <w:rsid w:val="009451FB"/>
    <w:rsid w:val="00947612"/>
    <w:rsid w:val="00951F06"/>
    <w:rsid w:val="009520D6"/>
    <w:rsid w:val="00956DCC"/>
    <w:rsid w:val="009570AB"/>
    <w:rsid w:val="00961932"/>
    <w:rsid w:val="00962A5D"/>
    <w:rsid w:val="00964AB9"/>
    <w:rsid w:val="00972282"/>
    <w:rsid w:val="00974B54"/>
    <w:rsid w:val="009752B7"/>
    <w:rsid w:val="00975E85"/>
    <w:rsid w:val="00976E49"/>
    <w:rsid w:val="00977A32"/>
    <w:rsid w:val="009806E8"/>
    <w:rsid w:val="009819AA"/>
    <w:rsid w:val="00982A6C"/>
    <w:rsid w:val="00983C6C"/>
    <w:rsid w:val="0098489C"/>
    <w:rsid w:val="00986441"/>
    <w:rsid w:val="00986466"/>
    <w:rsid w:val="00986975"/>
    <w:rsid w:val="0099465D"/>
    <w:rsid w:val="0099753F"/>
    <w:rsid w:val="009A0AA6"/>
    <w:rsid w:val="009A0B4B"/>
    <w:rsid w:val="009A1339"/>
    <w:rsid w:val="009A3610"/>
    <w:rsid w:val="009A4BE2"/>
    <w:rsid w:val="009B007F"/>
    <w:rsid w:val="009B0889"/>
    <w:rsid w:val="009B0CF4"/>
    <w:rsid w:val="009B116D"/>
    <w:rsid w:val="009B1800"/>
    <w:rsid w:val="009B1A68"/>
    <w:rsid w:val="009B59FF"/>
    <w:rsid w:val="009B7E05"/>
    <w:rsid w:val="009C1A77"/>
    <w:rsid w:val="009C34A4"/>
    <w:rsid w:val="009C4AEA"/>
    <w:rsid w:val="009C4E14"/>
    <w:rsid w:val="009C642F"/>
    <w:rsid w:val="009C68BE"/>
    <w:rsid w:val="009D0011"/>
    <w:rsid w:val="009D149B"/>
    <w:rsid w:val="009D1AFA"/>
    <w:rsid w:val="009D239D"/>
    <w:rsid w:val="009D6B5D"/>
    <w:rsid w:val="009D7837"/>
    <w:rsid w:val="009E17E0"/>
    <w:rsid w:val="009E56CD"/>
    <w:rsid w:val="009E6608"/>
    <w:rsid w:val="009F0F12"/>
    <w:rsid w:val="009F4983"/>
    <w:rsid w:val="009F6900"/>
    <w:rsid w:val="009F711C"/>
    <w:rsid w:val="00A02B36"/>
    <w:rsid w:val="00A030B8"/>
    <w:rsid w:val="00A079DA"/>
    <w:rsid w:val="00A1032A"/>
    <w:rsid w:val="00A10FE5"/>
    <w:rsid w:val="00A12FA9"/>
    <w:rsid w:val="00A13464"/>
    <w:rsid w:val="00A139D3"/>
    <w:rsid w:val="00A139E0"/>
    <w:rsid w:val="00A13A1F"/>
    <w:rsid w:val="00A13A32"/>
    <w:rsid w:val="00A15C75"/>
    <w:rsid w:val="00A21F5A"/>
    <w:rsid w:val="00A229D9"/>
    <w:rsid w:val="00A22DD9"/>
    <w:rsid w:val="00A247D1"/>
    <w:rsid w:val="00A266CF"/>
    <w:rsid w:val="00A30C06"/>
    <w:rsid w:val="00A3166B"/>
    <w:rsid w:val="00A3554E"/>
    <w:rsid w:val="00A365E3"/>
    <w:rsid w:val="00A3692A"/>
    <w:rsid w:val="00A37558"/>
    <w:rsid w:val="00A37E9D"/>
    <w:rsid w:val="00A43047"/>
    <w:rsid w:val="00A43E4B"/>
    <w:rsid w:val="00A43FB3"/>
    <w:rsid w:val="00A46152"/>
    <w:rsid w:val="00A504F6"/>
    <w:rsid w:val="00A51960"/>
    <w:rsid w:val="00A522AF"/>
    <w:rsid w:val="00A54FB6"/>
    <w:rsid w:val="00A5567B"/>
    <w:rsid w:val="00A557EF"/>
    <w:rsid w:val="00A608B8"/>
    <w:rsid w:val="00A60F50"/>
    <w:rsid w:val="00A63EC1"/>
    <w:rsid w:val="00A64DB7"/>
    <w:rsid w:val="00A65A37"/>
    <w:rsid w:val="00A65F96"/>
    <w:rsid w:val="00A6600C"/>
    <w:rsid w:val="00A670C5"/>
    <w:rsid w:val="00A714D6"/>
    <w:rsid w:val="00A73EFF"/>
    <w:rsid w:val="00A74B9A"/>
    <w:rsid w:val="00A77CDB"/>
    <w:rsid w:val="00A803AA"/>
    <w:rsid w:val="00A8086C"/>
    <w:rsid w:val="00A840DB"/>
    <w:rsid w:val="00A8539B"/>
    <w:rsid w:val="00A86BD5"/>
    <w:rsid w:val="00A90111"/>
    <w:rsid w:val="00A92745"/>
    <w:rsid w:val="00A92FBF"/>
    <w:rsid w:val="00A93232"/>
    <w:rsid w:val="00A93B33"/>
    <w:rsid w:val="00A94478"/>
    <w:rsid w:val="00A953CF"/>
    <w:rsid w:val="00A96360"/>
    <w:rsid w:val="00A97F36"/>
    <w:rsid w:val="00AA25F8"/>
    <w:rsid w:val="00AA3C33"/>
    <w:rsid w:val="00AA3C4B"/>
    <w:rsid w:val="00AA5792"/>
    <w:rsid w:val="00AA5D12"/>
    <w:rsid w:val="00AA7EC7"/>
    <w:rsid w:val="00AB0A43"/>
    <w:rsid w:val="00AB6FBE"/>
    <w:rsid w:val="00AB76DF"/>
    <w:rsid w:val="00AC2AB1"/>
    <w:rsid w:val="00AC36A8"/>
    <w:rsid w:val="00AC4F2E"/>
    <w:rsid w:val="00AC6EF9"/>
    <w:rsid w:val="00AD376A"/>
    <w:rsid w:val="00AD60A1"/>
    <w:rsid w:val="00AD6D00"/>
    <w:rsid w:val="00AE00FB"/>
    <w:rsid w:val="00AE2D3A"/>
    <w:rsid w:val="00AE5059"/>
    <w:rsid w:val="00AE59FE"/>
    <w:rsid w:val="00AF23A3"/>
    <w:rsid w:val="00AF3C6A"/>
    <w:rsid w:val="00AF4194"/>
    <w:rsid w:val="00AF50D2"/>
    <w:rsid w:val="00AF51CF"/>
    <w:rsid w:val="00AF6AE5"/>
    <w:rsid w:val="00B0116A"/>
    <w:rsid w:val="00B015BB"/>
    <w:rsid w:val="00B04A4D"/>
    <w:rsid w:val="00B06BA3"/>
    <w:rsid w:val="00B07443"/>
    <w:rsid w:val="00B1441B"/>
    <w:rsid w:val="00B215D6"/>
    <w:rsid w:val="00B228C6"/>
    <w:rsid w:val="00B241BB"/>
    <w:rsid w:val="00B258BC"/>
    <w:rsid w:val="00B31B8C"/>
    <w:rsid w:val="00B34F8D"/>
    <w:rsid w:val="00B36FF7"/>
    <w:rsid w:val="00B371D8"/>
    <w:rsid w:val="00B372DE"/>
    <w:rsid w:val="00B37561"/>
    <w:rsid w:val="00B40DA6"/>
    <w:rsid w:val="00B45E7A"/>
    <w:rsid w:val="00B512A5"/>
    <w:rsid w:val="00B52C89"/>
    <w:rsid w:val="00B53A34"/>
    <w:rsid w:val="00B56651"/>
    <w:rsid w:val="00B5707E"/>
    <w:rsid w:val="00B618A8"/>
    <w:rsid w:val="00B61F25"/>
    <w:rsid w:val="00B63E90"/>
    <w:rsid w:val="00B66B2B"/>
    <w:rsid w:val="00B71251"/>
    <w:rsid w:val="00B748B3"/>
    <w:rsid w:val="00B77681"/>
    <w:rsid w:val="00B80287"/>
    <w:rsid w:val="00B84886"/>
    <w:rsid w:val="00B86A11"/>
    <w:rsid w:val="00B91A10"/>
    <w:rsid w:val="00B926ED"/>
    <w:rsid w:val="00B937AC"/>
    <w:rsid w:val="00B971E6"/>
    <w:rsid w:val="00BA08F3"/>
    <w:rsid w:val="00BA3D83"/>
    <w:rsid w:val="00BA4C8A"/>
    <w:rsid w:val="00BA63F7"/>
    <w:rsid w:val="00BA6DF6"/>
    <w:rsid w:val="00BA7458"/>
    <w:rsid w:val="00BA7FAC"/>
    <w:rsid w:val="00BB1067"/>
    <w:rsid w:val="00BB29CD"/>
    <w:rsid w:val="00BC09AD"/>
    <w:rsid w:val="00BC0C75"/>
    <w:rsid w:val="00BC13C1"/>
    <w:rsid w:val="00BC2599"/>
    <w:rsid w:val="00BC3420"/>
    <w:rsid w:val="00BC5C58"/>
    <w:rsid w:val="00BC69CF"/>
    <w:rsid w:val="00BC7D3E"/>
    <w:rsid w:val="00BD0630"/>
    <w:rsid w:val="00BD07BF"/>
    <w:rsid w:val="00BD134D"/>
    <w:rsid w:val="00BD544E"/>
    <w:rsid w:val="00BD753F"/>
    <w:rsid w:val="00BD7C68"/>
    <w:rsid w:val="00BE12A3"/>
    <w:rsid w:val="00BE1AF1"/>
    <w:rsid w:val="00BE3841"/>
    <w:rsid w:val="00BE4D94"/>
    <w:rsid w:val="00BE7870"/>
    <w:rsid w:val="00BE7FCE"/>
    <w:rsid w:val="00BF0145"/>
    <w:rsid w:val="00BF2508"/>
    <w:rsid w:val="00BF2577"/>
    <w:rsid w:val="00BF5D55"/>
    <w:rsid w:val="00BF7072"/>
    <w:rsid w:val="00C01BA1"/>
    <w:rsid w:val="00C05720"/>
    <w:rsid w:val="00C06392"/>
    <w:rsid w:val="00C07D14"/>
    <w:rsid w:val="00C10F5F"/>
    <w:rsid w:val="00C11514"/>
    <w:rsid w:val="00C11FE9"/>
    <w:rsid w:val="00C128D7"/>
    <w:rsid w:val="00C1462B"/>
    <w:rsid w:val="00C14B98"/>
    <w:rsid w:val="00C15A90"/>
    <w:rsid w:val="00C15E02"/>
    <w:rsid w:val="00C1603F"/>
    <w:rsid w:val="00C16657"/>
    <w:rsid w:val="00C209DA"/>
    <w:rsid w:val="00C239CB"/>
    <w:rsid w:val="00C23E22"/>
    <w:rsid w:val="00C263F5"/>
    <w:rsid w:val="00C265B6"/>
    <w:rsid w:val="00C26C95"/>
    <w:rsid w:val="00C301E2"/>
    <w:rsid w:val="00C3248B"/>
    <w:rsid w:val="00C32BF3"/>
    <w:rsid w:val="00C35A67"/>
    <w:rsid w:val="00C3607C"/>
    <w:rsid w:val="00C408D1"/>
    <w:rsid w:val="00C4194B"/>
    <w:rsid w:val="00C423FB"/>
    <w:rsid w:val="00C50880"/>
    <w:rsid w:val="00C571A8"/>
    <w:rsid w:val="00C57459"/>
    <w:rsid w:val="00C63ED0"/>
    <w:rsid w:val="00C64B6D"/>
    <w:rsid w:val="00C64DA0"/>
    <w:rsid w:val="00C6689F"/>
    <w:rsid w:val="00C67F5A"/>
    <w:rsid w:val="00C70A0A"/>
    <w:rsid w:val="00C71B00"/>
    <w:rsid w:val="00C71C9D"/>
    <w:rsid w:val="00C734F8"/>
    <w:rsid w:val="00C74961"/>
    <w:rsid w:val="00C76C04"/>
    <w:rsid w:val="00C80FB1"/>
    <w:rsid w:val="00C82160"/>
    <w:rsid w:val="00C82852"/>
    <w:rsid w:val="00C82B26"/>
    <w:rsid w:val="00C83A10"/>
    <w:rsid w:val="00C8419C"/>
    <w:rsid w:val="00C84B53"/>
    <w:rsid w:val="00C84CB2"/>
    <w:rsid w:val="00C864D3"/>
    <w:rsid w:val="00C90598"/>
    <w:rsid w:val="00C90AAF"/>
    <w:rsid w:val="00C910F0"/>
    <w:rsid w:val="00C9249A"/>
    <w:rsid w:val="00C949FA"/>
    <w:rsid w:val="00C96854"/>
    <w:rsid w:val="00CA2665"/>
    <w:rsid w:val="00CA470F"/>
    <w:rsid w:val="00CA527E"/>
    <w:rsid w:val="00CA5767"/>
    <w:rsid w:val="00CA5EC9"/>
    <w:rsid w:val="00CB0EB2"/>
    <w:rsid w:val="00CB52BA"/>
    <w:rsid w:val="00CB7FBD"/>
    <w:rsid w:val="00CC07BA"/>
    <w:rsid w:val="00CC0E6C"/>
    <w:rsid w:val="00CC186E"/>
    <w:rsid w:val="00CC2A4E"/>
    <w:rsid w:val="00CC453F"/>
    <w:rsid w:val="00CC5890"/>
    <w:rsid w:val="00CC6386"/>
    <w:rsid w:val="00CC7D5A"/>
    <w:rsid w:val="00CD0EA7"/>
    <w:rsid w:val="00CD34AC"/>
    <w:rsid w:val="00CD4437"/>
    <w:rsid w:val="00CD532F"/>
    <w:rsid w:val="00CD60E1"/>
    <w:rsid w:val="00CD62FD"/>
    <w:rsid w:val="00CE0699"/>
    <w:rsid w:val="00CE0B9F"/>
    <w:rsid w:val="00CE17D2"/>
    <w:rsid w:val="00CE1816"/>
    <w:rsid w:val="00CE2813"/>
    <w:rsid w:val="00CE2DAB"/>
    <w:rsid w:val="00CE2E1E"/>
    <w:rsid w:val="00CE2E56"/>
    <w:rsid w:val="00CE2EF5"/>
    <w:rsid w:val="00CE3BAC"/>
    <w:rsid w:val="00CE6838"/>
    <w:rsid w:val="00CE7AF4"/>
    <w:rsid w:val="00CE7C29"/>
    <w:rsid w:val="00CF4EE0"/>
    <w:rsid w:val="00CF6234"/>
    <w:rsid w:val="00CF625A"/>
    <w:rsid w:val="00D01954"/>
    <w:rsid w:val="00D03083"/>
    <w:rsid w:val="00D03F5A"/>
    <w:rsid w:val="00D059E9"/>
    <w:rsid w:val="00D06238"/>
    <w:rsid w:val="00D0733F"/>
    <w:rsid w:val="00D07C1B"/>
    <w:rsid w:val="00D10532"/>
    <w:rsid w:val="00D10899"/>
    <w:rsid w:val="00D108C5"/>
    <w:rsid w:val="00D15056"/>
    <w:rsid w:val="00D17100"/>
    <w:rsid w:val="00D22413"/>
    <w:rsid w:val="00D22D0A"/>
    <w:rsid w:val="00D238F4"/>
    <w:rsid w:val="00D25466"/>
    <w:rsid w:val="00D25933"/>
    <w:rsid w:val="00D26C6F"/>
    <w:rsid w:val="00D2782D"/>
    <w:rsid w:val="00D30816"/>
    <w:rsid w:val="00D3099B"/>
    <w:rsid w:val="00D338AD"/>
    <w:rsid w:val="00D33DE5"/>
    <w:rsid w:val="00D35F99"/>
    <w:rsid w:val="00D42979"/>
    <w:rsid w:val="00D4349D"/>
    <w:rsid w:val="00D507E6"/>
    <w:rsid w:val="00D50AC6"/>
    <w:rsid w:val="00D5194D"/>
    <w:rsid w:val="00D51ABE"/>
    <w:rsid w:val="00D522D7"/>
    <w:rsid w:val="00D53DC3"/>
    <w:rsid w:val="00D55B08"/>
    <w:rsid w:val="00D5615B"/>
    <w:rsid w:val="00D5707E"/>
    <w:rsid w:val="00D608E8"/>
    <w:rsid w:val="00D64037"/>
    <w:rsid w:val="00D64660"/>
    <w:rsid w:val="00D650E5"/>
    <w:rsid w:val="00D66507"/>
    <w:rsid w:val="00D6787C"/>
    <w:rsid w:val="00D67BFB"/>
    <w:rsid w:val="00D71EDD"/>
    <w:rsid w:val="00D723F2"/>
    <w:rsid w:val="00D771DA"/>
    <w:rsid w:val="00D7734A"/>
    <w:rsid w:val="00D82A4F"/>
    <w:rsid w:val="00D82D4E"/>
    <w:rsid w:val="00D8387C"/>
    <w:rsid w:val="00D83BA6"/>
    <w:rsid w:val="00D845D4"/>
    <w:rsid w:val="00D968A5"/>
    <w:rsid w:val="00DA1B82"/>
    <w:rsid w:val="00DA33D9"/>
    <w:rsid w:val="00DA47FB"/>
    <w:rsid w:val="00DA6DEC"/>
    <w:rsid w:val="00DB2971"/>
    <w:rsid w:val="00DB2CBA"/>
    <w:rsid w:val="00DB3669"/>
    <w:rsid w:val="00DB4440"/>
    <w:rsid w:val="00DB5F54"/>
    <w:rsid w:val="00DB61FF"/>
    <w:rsid w:val="00DB633F"/>
    <w:rsid w:val="00DB778B"/>
    <w:rsid w:val="00DB792A"/>
    <w:rsid w:val="00DC324F"/>
    <w:rsid w:val="00DC4A24"/>
    <w:rsid w:val="00DC5A03"/>
    <w:rsid w:val="00DC6D46"/>
    <w:rsid w:val="00DC7327"/>
    <w:rsid w:val="00DD5706"/>
    <w:rsid w:val="00DE5BF8"/>
    <w:rsid w:val="00DE740D"/>
    <w:rsid w:val="00DE7BC7"/>
    <w:rsid w:val="00DF5BEC"/>
    <w:rsid w:val="00DF6FC3"/>
    <w:rsid w:val="00E003DF"/>
    <w:rsid w:val="00E007B5"/>
    <w:rsid w:val="00E01768"/>
    <w:rsid w:val="00E037C3"/>
    <w:rsid w:val="00E107DD"/>
    <w:rsid w:val="00E10A97"/>
    <w:rsid w:val="00E10B59"/>
    <w:rsid w:val="00E10DFE"/>
    <w:rsid w:val="00E11AE6"/>
    <w:rsid w:val="00E11F02"/>
    <w:rsid w:val="00E13C7F"/>
    <w:rsid w:val="00E140A1"/>
    <w:rsid w:val="00E143BD"/>
    <w:rsid w:val="00E168BE"/>
    <w:rsid w:val="00E16944"/>
    <w:rsid w:val="00E16D71"/>
    <w:rsid w:val="00E22B2D"/>
    <w:rsid w:val="00E24018"/>
    <w:rsid w:val="00E267F5"/>
    <w:rsid w:val="00E332BC"/>
    <w:rsid w:val="00E3363D"/>
    <w:rsid w:val="00E33AB0"/>
    <w:rsid w:val="00E3446C"/>
    <w:rsid w:val="00E40331"/>
    <w:rsid w:val="00E405A9"/>
    <w:rsid w:val="00E41299"/>
    <w:rsid w:val="00E44347"/>
    <w:rsid w:val="00E4478B"/>
    <w:rsid w:val="00E4703A"/>
    <w:rsid w:val="00E504CE"/>
    <w:rsid w:val="00E54146"/>
    <w:rsid w:val="00E60C6F"/>
    <w:rsid w:val="00E612C9"/>
    <w:rsid w:val="00E61348"/>
    <w:rsid w:val="00E61BB6"/>
    <w:rsid w:val="00E63399"/>
    <w:rsid w:val="00E633F9"/>
    <w:rsid w:val="00E637C4"/>
    <w:rsid w:val="00E63EF8"/>
    <w:rsid w:val="00E64F6A"/>
    <w:rsid w:val="00E66717"/>
    <w:rsid w:val="00E66797"/>
    <w:rsid w:val="00E67650"/>
    <w:rsid w:val="00E72419"/>
    <w:rsid w:val="00E72EBD"/>
    <w:rsid w:val="00E7393B"/>
    <w:rsid w:val="00E74B9A"/>
    <w:rsid w:val="00E753F2"/>
    <w:rsid w:val="00E7589F"/>
    <w:rsid w:val="00E76ED1"/>
    <w:rsid w:val="00E7762F"/>
    <w:rsid w:val="00E779FE"/>
    <w:rsid w:val="00E80ABB"/>
    <w:rsid w:val="00E8110B"/>
    <w:rsid w:val="00E8170D"/>
    <w:rsid w:val="00E8217C"/>
    <w:rsid w:val="00E82D75"/>
    <w:rsid w:val="00E8338B"/>
    <w:rsid w:val="00E8372A"/>
    <w:rsid w:val="00E8396B"/>
    <w:rsid w:val="00E84588"/>
    <w:rsid w:val="00E84848"/>
    <w:rsid w:val="00E85935"/>
    <w:rsid w:val="00E93C0D"/>
    <w:rsid w:val="00E94660"/>
    <w:rsid w:val="00EA0FDE"/>
    <w:rsid w:val="00EA111E"/>
    <w:rsid w:val="00EA4A09"/>
    <w:rsid w:val="00EA60EE"/>
    <w:rsid w:val="00EA7E99"/>
    <w:rsid w:val="00EB0AE8"/>
    <w:rsid w:val="00EB14DD"/>
    <w:rsid w:val="00EB307D"/>
    <w:rsid w:val="00EB34DA"/>
    <w:rsid w:val="00EB471F"/>
    <w:rsid w:val="00EC06BB"/>
    <w:rsid w:val="00EC6ED7"/>
    <w:rsid w:val="00EC7115"/>
    <w:rsid w:val="00ED0CAD"/>
    <w:rsid w:val="00ED0E41"/>
    <w:rsid w:val="00ED150D"/>
    <w:rsid w:val="00ED1CE8"/>
    <w:rsid w:val="00ED5052"/>
    <w:rsid w:val="00ED575B"/>
    <w:rsid w:val="00ED5921"/>
    <w:rsid w:val="00ED7448"/>
    <w:rsid w:val="00ED7918"/>
    <w:rsid w:val="00ED7B33"/>
    <w:rsid w:val="00EE0436"/>
    <w:rsid w:val="00EE1856"/>
    <w:rsid w:val="00EE476D"/>
    <w:rsid w:val="00EE64D2"/>
    <w:rsid w:val="00EE74A1"/>
    <w:rsid w:val="00EF0BD8"/>
    <w:rsid w:val="00EF1E37"/>
    <w:rsid w:val="00EF38E8"/>
    <w:rsid w:val="00EF3B1A"/>
    <w:rsid w:val="00EF73C0"/>
    <w:rsid w:val="00F0044B"/>
    <w:rsid w:val="00F00FD3"/>
    <w:rsid w:val="00F017FB"/>
    <w:rsid w:val="00F0241C"/>
    <w:rsid w:val="00F02CCA"/>
    <w:rsid w:val="00F0486C"/>
    <w:rsid w:val="00F06991"/>
    <w:rsid w:val="00F07159"/>
    <w:rsid w:val="00F07615"/>
    <w:rsid w:val="00F07D5A"/>
    <w:rsid w:val="00F116E0"/>
    <w:rsid w:val="00F13885"/>
    <w:rsid w:val="00F14D86"/>
    <w:rsid w:val="00F16667"/>
    <w:rsid w:val="00F21D11"/>
    <w:rsid w:val="00F21E85"/>
    <w:rsid w:val="00F232A6"/>
    <w:rsid w:val="00F255CA"/>
    <w:rsid w:val="00F3003B"/>
    <w:rsid w:val="00F34C6E"/>
    <w:rsid w:val="00F419C8"/>
    <w:rsid w:val="00F41A5A"/>
    <w:rsid w:val="00F41AFA"/>
    <w:rsid w:val="00F4349B"/>
    <w:rsid w:val="00F44F34"/>
    <w:rsid w:val="00F460CD"/>
    <w:rsid w:val="00F463B5"/>
    <w:rsid w:val="00F47335"/>
    <w:rsid w:val="00F50579"/>
    <w:rsid w:val="00F537F9"/>
    <w:rsid w:val="00F548D0"/>
    <w:rsid w:val="00F55EC2"/>
    <w:rsid w:val="00F5665B"/>
    <w:rsid w:val="00F61E3B"/>
    <w:rsid w:val="00F62B5A"/>
    <w:rsid w:val="00F64999"/>
    <w:rsid w:val="00F6702C"/>
    <w:rsid w:val="00F70E89"/>
    <w:rsid w:val="00F80917"/>
    <w:rsid w:val="00F80D15"/>
    <w:rsid w:val="00F82D04"/>
    <w:rsid w:val="00F836DA"/>
    <w:rsid w:val="00F86224"/>
    <w:rsid w:val="00F86F74"/>
    <w:rsid w:val="00F9183F"/>
    <w:rsid w:val="00F922C2"/>
    <w:rsid w:val="00F949B6"/>
    <w:rsid w:val="00F979E1"/>
    <w:rsid w:val="00FA0111"/>
    <w:rsid w:val="00FA0802"/>
    <w:rsid w:val="00FA2B64"/>
    <w:rsid w:val="00FA383F"/>
    <w:rsid w:val="00FA47D6"/>
    <w:rsid w:val="00FA47E0"/>
    <w:rsid w:val="00FB0041"/>
    <w:rsid w:val="00FB1C22"/>
    <w:rsid w:val="00FB1F14"/>
    <w:rsid w:val="00FB2632"/>
    <w:rsid w:val="00FB2B49"/>
    <w:rsid w:val="00FB3B4C"/>
    <w:rsid w:val="00FB3BD6"/>
    <w:rsid w:val="00FB4DEF"/>
    <w:rsid w:val="00FB56B6"/>
    <w:rsid w:val="00FB5C67"/>
    <w:rsid w:val="00FB63AA"/>
    <w:rsid w:val="00FC0309"/>
    <w:rsid w:val="00FC3D86"/>
    <w:rsid w:val="00FC4AFA"/>
    <w:rsid w:val="00FC4D9D"/>
    <w:rsid w:val="00FC57A9"/>
    <w:rsid w:val="00FC79B7"/>
    <w:rsid w:val="00FD146D"/>
    <w:rsid w:val="00FD2717"/>
    <w:rsid w:val="00FD2995"/>
    <w:rsid w:val="00FD3D41"/>
    <w:rsid w:val="00FD4CA9"/>
    <w:rsid w:val="00FD4CCE"/>
    <w:rsid w:val="00FD50E5"/>
    <w:rsid w:val="00FD532A"/>
    <w:rsid w:val="00FD67E4"/>
    <w:rsid w:val="00FE01C4"/>
    <w:rsid w:val="00FE3D5B"/>
    <w:rsid w:val="00FE4EB0"/>
    <w:rsid w:val="00FE5A3D"/>
    <w:rsid w:val="00FE5B48"/>
    <w:rsid w:val="00FE6477"/>
    <w:rsid w:val="00FE71D0"/>
    <w:rsid w:val="00FF0F39"/>
    <w:rsid w:val="00FF224C"/>
    <w:rsid w:val="00FF6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paragraph" w:styleId="Heading1">
    <w:name w:val="heading 1"/>
    <w:basedOn w:val="Normal"/>
    <w:next w:val="Normal"/>
    <w:link w:val="Heading1Char"/>
    <w:uiPriority w:val="9"/>
    <w:qFormat/>
    <w:rsid w:val="00E4478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0A668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semiHidden/>
    <w:unhideWhenUsed/>
    <w:qFormat/>
    <w:rsid w:val="00237278"/>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 w:type="paragraph" w:styleId="EndnoteText">
    <w:name w:val="endnote text"/>
    <w:basedOn w:val="Normal"/>
    <w:link w:val="EndnoteTextChar"/>
    <w:uiPriority w:val="99"/>
    <w:semiHidden/>
    <w:unhideWhenUsed/>
    <w:rsid w:val="004A25A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25AC"/>
    <w:rPr>
      <w:sz w:val="20"/>
      <w:szCs w:val="20"/>
      <w:lang w:val="en-GB"/>
    </w:rPr>
  </w:style>
  <w:style w:type="character" w:styleId="EndnoteReference">
    <w:name w:val="endnote reference"/>
    <w:basedOn w:val="DefaultParagraphFont"/>
    <w:uiPriority w:val="99"/>
    <w:semiHidden/>
    <w:unhideWhenUsed/>
    <w:rsid w:val="004A25AC"/>
    <w:rPr>
      <w:vertAlign w:val="superscript"/>
    </w:rPr>
  </w:style>
  <w:style w:type="character" w:customStyle="1" w:styleId="Heading1Char">
    <w:name w:val="Heading 1 Char"/>
    <w:basedOn w:val="DefaultParagraphFont"/>
    <w:link w:val="Heading1"/>
    <w:uiPriority w:val="9"/>
    <w:rsid w:val="00E4478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0A668F"/>
    <w:rPr>
      <w:rFonts w:asciiTheme="majorHAnsi" w:eastAsiaTheme="majorEastAsia" w:hAnsiTheme="majorHAnsi" w:cstheme="majorBidi"/>
      <w:color w:val="365F91" w:themeColor="accent1" w:themeShade="BF"/>
      <w:sz w:val="26"/>
      <w:szCs w:val="26"/>
      <w:lang w:val="en-GB"/>
    </w:rPr>
  </w:style>
  <w:style w:type="character" w:customStyle="1" w:styleId="Heading3Char">
    <w:name w:val="Heading 3 Char"/>
    <w:basedOn w:val="DefaultParagraphFont"/>
    <w:link w:val="Heading3"/>
    <w:uiPriority w:val="9"/>
    <w:semiHidden/>
    <w:rsid w:val="00237278"/>
    <w:rPr>
      <w:rFonts w:asciiTheme="majorHAnsi" w:eastAsiaTheme="majorEastAsia" w:hAnsiTheme="majorHAnsi"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240259">
      <w:bodyDiv w:val="1"/>
      <w:marLeft w:val="0"/>
      <w:marRight w:val="0"/>
      <w:marTop w:val="0"/>
      <w:marBottom w:val="0"/>
      <w:divBdr>
        <w:top w:val="none" w:sz="0" w:space="0" w:color="auto"/>
        <w:left w:val="none" w:sz="0" w:space="0" w:color="auto"/>
        <w:bottom w:val="none" w:sz="0" w:space="0" w:color="auto"/>
        <w:right w:val="none" w:sz="0" w:space="0" w:color="auto"/>
      </w:divBdr>
    </w:div>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69162694">
      <w:bodyDiv w:val="1"/>
      <w:marLeft w:val="0"/>
      <w:marRight w:val="0"/>
      <w:marTop w:val="0"/>
      <w:marBottom w:val="0"/>
      <w:divBdr>
        <w:top w:val="none" w:sz="0" w:space="0" w:color="auto"/>
        <w:left w:val="none" w:sz="0" w:space="0" w:color="auto"/>
        <w:bottom w:val="none" w:sz="0" w:space="0" w:color="auto"/>
        <w:right w:val="none" w:sz="0" w:space="0" w:color="auto"/>
      </w:divBdr>
    </w:div>
    <w:div w:id="200016760">
      <w:bodyDiv w:val="1"/>
      <w:marLeft w:val="0"/>
      <w:marRight w:val="0"/>
      <w:marTop w:val="0"/>
      <w:marBottom w:val="0"/>
      <w:divBdr>
        <w:top w:val="none" w:sz="0" w:space="0" w:color="auto"/>
        <w:left w:val="none" w:sz="0" w:space="0" w:color="auto"/>
        <w:bottom w:val="none" w:sz="0" w:space="0" w:color="auto"/>
        <w:right w:val="none" w:sz="0" w:space="0" w:color="auto"/>
      </w:divBdr>
    </w:div>
    <w:div w:id="256212862">
      <w:bodyDiv w:val="1"/>
      <w:marLeft w:val="0"/>
      <w:marRight w:val="0"/>
      <w:marTop w:val="0"/>
      <w:marBottom w:val="0"/>
      <w:divBdr>
        <w:top w:val="none" w:sz="0" w:space="0" w:color="auto"/>
        <w:left w:val="none" w:sz="0" w:space="0" w:color="auto"/>
        <w:bottom w:val="none" w:sz="0" w:space="0" w:color="auto"/>
        <w:right w:val="none" w:sz="0" w:space="0" w:color="auto"/>
      </w:divBdr>
    </w:div>
    <w:div w:id="404304755">
      <w:bodyDiv w:val="1"/>
      <w:marLeft w:val="0"/>
      <w:marRight w:val="0"/>
      <w:marTop w:val="0"/>
      <w:marBottom w:val="0"/>
      <w:divBdr>
        <w:top w:val="none" w:sz="0" w:space="0" w:color="auto"/>
        <w:left w:val="none" w:sz="0" w:space="0" w:color="auto"/>
        <w:bottom w:val="none" w:sz="0" w:space="0" w:color="auto"/>
        <w:right w:val="none" w:sz="0" w:space="0" w:color="auto"/>
      </w:divBdr>
      <w:divsChild>
        <w:div w:id="895507983">
          <w:marLeft w:val="0"/>
          <w:marRight w:val="0"/>
          <w:marTop w:val="0"/>
          <w:marBottom w:val="0"/>
          <w:divBdr>
            <w:top w:val="none" w:sz="0" w:space="0" w:color="auto"/>
            <w:left w:val="none" w:sz="0" w:space="0" w:color="auto"/>
            <w:bottom w:val="none" w:sz="0" w:space="0" w:color="auto"/>
            <w:right w:val="none" w:sz="0" w:space="0" w:color="auto"/>
          </w:divBdr>
        </w:div>
      </w:divsChild>
    </w:div>
    <w:div w:id="447747621">
      <w:bodyDiv w:val="1"/>
      <w:marLeft w:val="0"/>
      <w:marRight w:val="0"/>
      <w:marTop w:val="0"/>
      <w:marBottom w:val="0"/>
      <w:divBdr>
        <w:top w:val="none" w:sz="0" w:space="0" w:color="auto"/>
        <w:left w:val="none" w:sz="0" w:space="0" w:color="auto"/>
        <w:bottom w:val="none" w:sz="0" w:space="0" w:color="auto"/>
        <w:right w:val="none" w:sz="0" w:space="0" w:color="auto"/>
      </w:divBdr>
    </w:div>
    <w:div w:id="461195014">
      <w:bodyDiv w:val="1"/>
      <w:marLeft w:val="0"/>
      <w:marRight w:val="0"/>
      <w:marTop w:val="0"/>
      <w:marBottom w:val="0"/>
      <w:divBdr>
        <w:top w:val="none" w:sz="0" w:space="0" w:color="auto"/>
        <w:left w:val="none" w:sz="0" w:space="0" w:color="auto"/>
        <w:bottom w:val="none" w:sz="0" w:space="0" w:color="auto"/>
        <w:right w:val="none" w:sz="0" w:space="0" w:color="auto"/>
      </w:divBdr>
      <w:divsChild>
        <w:div w:id="1895699478">
          <w:marLeft w:val="0"/>
          <w:marRight w:val="0"/>
          <w:marTop w:val="0"/>
          <w:marBottom w:val="0"/>
          <w:divBdr>
            <w:top w:val="none" w:sz="0" w:space="0" w:color="auto"/>
            <w:left w:val="none" w:sz="0" w:space="0" w:color="auto"/>
            <w:bottom w:val="none" w:sz="0" w:space="0" w:color="auto"/>
            <w:right w:val="none" w:sz="0" w:space="0" w:color="auto"/>
          </w:divBdr>
        </w:div>
      </w:divsChild>
    </w:div>
    <w:div w:id="566651045">
      <w:bodyDiv w:val="1"/>
      <w:marLeft w:val="0"/>
      <w:marRight w:val="0"/>
      <w:marTop w:val="0"/>
      <w:marBottom w:val="0"/>
      <w:divBdr>
        <w:top w:val="none" w:sz="0" w:space="0" w:color="auto"/>
        <w:left w:val="none" w:sz="0" w:space="0" w:color="auto"/>
        <w:bottom w:val="none" w:sz="0" w:space="0" w:color="auto"/>
        <w:right w:val="none" w:sz="0" w:space="0" w:color="auto"/>
      </w:divBdr>
    </w:div>
    <w:div w:id="670841772">
      <w:bodyDiv w:val="1"/>
      <w:marLeft w:val="0"/>
      <w:marRight w:val="0"/>
      <w:marTop w:val="0"/>
      <w:marBottom w:val="0"/>
      <w:divBdr>
        <w:top w:val="none" w:sz="0" w:space="0" w:color="auto"/>
        <w:left w:val="none" w:sz="0" w:space="0" w:color="auto"/>
        <w:bottom w:val="none" w:sz="0" w:space="0" w:color="auto"/>
        <w:right w:val="none" w:sz="0" w:space="0" w:color="auto"/>
      </w:divBdr>
    </w:div>
    <w:div w:id="862591349">
      <w:bodyDiv w:val="1"/>
      <w:marLeft w:val="0"/>
      <w:marRight w:val="0"/>
      <w:marTop w:val="0"/>
      <w:marBottom w:val="0"/>
      <w:divBdr>
        <w:top w:val="none" w:sz="0" w:space="0" w:color="auto"/>
        <w:left w:val="none" w:sz="0" w:space="0" w:color="auto"/>
        <w:bottom w:val="none" w:sz="0" w:space="0" w:color="auto"/>
        <w:right w:val="none" w:sz="0" w:space="0" w:color="auto"/>
      </w:divBdr>
    </w:div>
    <w:div w:id="898132844">
      <w:bodyDiv w:val="1"/>
      <w:marLeft w:val="0"/>
      <w:marRight w:val="0"/>
      <w:marTop w:val="0"/>
      <w:marBottom w:val="0"/>
      <w:divBdr>
        <w:top w:val="none" w:sz="0" w:space="0" w:color="auto"/>
        <w:left w:val="none" w:sz="0" w:space="0" w:color="auto"/>
        <w:bottom w:val="none" w:sz="0" w:space="0" w:color="auto"/>
        <w:right w:val="none" w:sz="0" w:space="0" w:color="auto"/>
      </w:divBdr>
    </w:div>
    <w:div w:id="940605002">
      <w:bodyDiv w:val="1"/>
      <w:marLeft w:val="0"/>
      <w:marRight w:val="0"/>
      <w:marTop w:val="0"/>
      <w:marBottom w:val="0"/>
      <w:divBdr>
        <w:top w:val="none" w:sz="0" w:space="0" w:color="auto"/>
        <w:left w:val="none" w:sz="0" w:space="0" w:color="auto"/>
        <w:bottom w:val="none" w:sz="0" w:space="0" w:color="auto"/>
        <w:right w:val="none" w:sz="0" w:space="0" w:color="auto"/>
      </w:divBdr>
      <w:divsChild>
        <w:div w:id="1716537437">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978417973">
      <w:bodyDiv w:val="1"/>
      <w:marLeft w:val="0"/>
      <w:marRight w:val="0"/>
      <w:marTop w:val="0"/>
      <w:marBottom w:val="0"/>
      <w:divBdr>
        <w:top w:val="none" w:sz="0" w:space="0" w:color="auto"/>
        <w:left w:val="none" w:sz="0" w:space="0" w:color="auto"/>
        <w:bottom w:val="none" w:sz="0" w:space="0" w:color="auto"/>
        <w:right w:val="none" w:sz="0" w:space="0" w:color="auto"/>
      </w:divBdr>
    </w:div>
    <w:div w:id="1027605367">
      <w:bodyDiv w:val="1"/>
      <w:marLeft w:val="0"/>
      <w:marRight w:val="0"/>
      <w:marTop w:val="0"/>
      <w:marBottom w:val="0"/>
      <w:divBdr>
        <w:top w:val="none" w:sz="0" w:space="0" w:color="auto"/>
        <w:left w:val="none" w:sz="0" w:space="0" w:color="auto"/>
        <w:bottom w:val="none" w:sz="0" w:space="0" w:color="auto"/>
        <w:right w:val="none" w:sz="0" w:space="0" w:color="auto"/>
      </w:divBdr>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065295465">
      <w:bodyDiv w:val="1"/>
      <w:marLeft w:val="0"/>
      <w:marRight w:val="0"/>
      <w:marTop w:val="0"/>
      <w:marBottom w:val="0"/>
      <w:divBdr>
        <w:top w:val="none" w:sz="0" w:space="0" w:color="auto"/>
        <w:left w:val="none" w:sz="0" w:space="0" w:color="auto"/>
        <w:bottom w:val="none" w:sz="0" w:space="0" w:color="auto"/>
        <w:right w:val="none" w:sz="0" w:space="0" w:color="auto"/>
      </w:divBdr>
    </w:div>
    <w:div w:id="1199245887">
      <w:bodyDiv w:val="1"/>
      <w:marLeft w:val="0"/>
      <w:marRight w:val="0"/>
      <w:marTop w:val="0"/>
      <w:marBottom w:val="0"/>
      <w:divBdr>
        <w:top w:val="none" w:sz="0" w:space="0" w:color="auto"/>
        <w:left w:val="none" w:sz="0" w:space="0" w:color="auto"/>
        <w:bottom w:val="none" w:sz="0" w:space="0" w:color="auto"/>
        <w:right w:val="none" w:sz="0" w:space="0" w:color="auto"/>
      </w:divBdr>
    </w:div>
    <w:div w:id="1356924005">
      <w:bodyDiv w:val="1"/>
      <w:marLeft w:val="0"/>
      <w:marRight w:val="0"/>
      <w:marTop w:val="0"/>
      <w:marBottom w:val="0"/>
      <w:divBdr>
        <w:top w:val="none" w:sz="0" w:space="0" w:color="auto"/>
        <w:left w:val="none" w:sz="0" w:space="0" w:color="auto"/>
        <w:bottom w:val="none" w:sz="0" w:space="0" w:color="auto"/>
        <w:right w:val="none" w:sz="0" w:space="0" w:color="auto"/>
      </w:divBdr>
    </w:div>
    <w:div w:id="1367173036">
      <w:bodyDiv w:val="1"/>
      <w:marLeft w:val="0"/>
      <w:marRight w:val="0"/>
      <w:marTop w:val="0"/>
      <w:marBottom w:val="0"/>
      <w:divBdr>
        <w:top w:val="none" w:sz="0" w:space="0" w:color="auto"/>
        <w:left w:val="none" w:sz="0" w:space="0" w:color="auto"/>
        <w:bottom w:val="none" w:sz="0" w:space="0" w:color="auto"/>
        <w:right w:val="none" w:sz="0" w:space="0" w:color="auto"/>
      </w:divBdr>
    </w:div>
    <w:div w:id="1397440073">
      <w:bodyDiv w:val="1"/>
      <w:marLeft w:val="0"/>
      <w:marRight w:val="0"/>
      <w:marTop w:val="0"/>
      <w:marBottom w:val="0"/>
      <w:divBdr>
        <w:top w:val="none" w:sz="0" w:space="0" w:color="auto"/>
        <w:left w:val="none" w:sz="0" w:space="0" w:color="auto"/>
        <w:bottom w:val="none" w:sz="0" w:space="0" w:color="auto"/>
        <w:right w:val="none" w:sz="0" w:space="0" w:color="auto"/>
      </w:divBdr>
      <w:divsChild>
        <w:div w:id="1899584224">
          <w:marLeft w:val="0"/>
          <w:marRight w:val="0"/>
          <w:marTop w:val="0"/>
          <w:marBottom w:val="0"/>
          <w:divBdr>
            <w:top w:val="none" w:sz="0" w:space="0" w:color="auto"/>
            <w:left w:val="none" w:sz="0" w:space="0" w:color="auto"/>
            <w:bottom w:val="none" w:sz="0" w:space="0" w:color="auto"/>
            <w:right w:val="none" w:sz="0" w:space="0" w:color="auto"/>
          </w:divBdr>
        </w:div>
      </w:divsChild>
    </w:div>
    <w:div w:id="1634825948">
      <w:bodyDiv w:val="1"/>
      <w:marLeft w:val="0"/>
      <w:marRight w:val="0"/>
      <w:marTop w:val="0"/>
      <w:marBottom w:val="0"/>
      <w:divBdr>
        <w:top w:val="none" w:sz="0" w:space="0" w:color="auto"/>
        <w:left w:val="none" w:sz="0" w:space="0" w:color="auto"/>
        <w:bottom w:val="none" w:sz="0" w:space="0" w:color="auto"/>
        <w:right w:val="none" w:sz="0" w:space="0" w:color="auto"/>
      </w:divBdr>
    </w:div>
    <w:div w:id="1639645693">
      <w:bodyDiv w:val="1"/>
      <w:marLeft w:val="0"/>
      <w:marRight w:val="0"/>
      <w:marTop w:val="0"/>
      <w:marBottom w:val="0"/>
      <w:divBdr>
        <w:top w:val="none" w:sz="0" w:space="0" w:color="auto"/>
        <w:left w:val="none" w:sz="0" w:space="0" w:color="auto"/>
        <w:bottom w:val="none" w:sz="0" w:space="0" w:color="auto"/>
        <w:right w:val="none" w:sz="0" w:space="0" w:color="auto"/>
      </w:divBdr>
    </w:div>
    <w:div w:id="1640261304">
      <w:bodyDiv w:val="1"/>
      <w:marLeft w:val="0"/>
      <w:marRight w:val="0"/>
      <w:marTop w:val="0"/>
      <w:marBottom w:val="0"/>
      <w:divBdr>
        <w:top w:val="none" w:sz="0" w:space="0" w:color="auto"/>
        <w:left w:val="none" w:sz="0" w:space="0" w:color="auto"/>
        <w:bottom w:val="none" w:sz="0" w:space="0" w:color="auto"/>
        <w:right w:val="none" w:sz="0" w:space="0" w:color="auto"/>
      </w:divBdr>
    </w:div>
    <w:div w:id="1762948252">
      <w:bodyDiv w:val="1"/>
      <w:marLeft w:val="0"/>
      <w:marRight w:val="0"/>
      <w:marTop w:val="0"/>
      <w:marBottom w:val="0"/>
      <w:divBdr>
        <w:top w:val="none" w:sz="0" w:space="0" w:color="auto"/>
        <w:left w:val="none" w:sz="0" w:space="0" w:color="auto"/>
        <w:bottom w:val="none" w:sz="0" w:space="0" w:color="auto"/>
        <w:right w:val="none" w:sz="0" w:space="0" w:color="auto"/>
      </w:divBdr>
      <w:divsChild>
        <w:div w:id="480541017">
          <w:marLeft w:val="864"/>
          <w:marRight w:val="0"/>
          <w:marTop w:val="125"/>
          <w:marBottom w:val="0"/>
          <w:divBdr>
            <w:top w:val="none" w:sz="0" w:space="0" w:color="auto"/>
            <w:left w:val="none" w:sz="0" w:space="0" w:color="auto"/>
            <w:bottom w:val="none" w:sz="0" w:space="0" w:color="auto"/>
            <w:right w:val="none" w:sz="0" w:space="0" w:color="auto"/>
          </w:divBdr>
        </w:div>
      </w:divsChild>
    </w:div>
    <w:div w:id="1821920155">
      <w:bodyDiv w:val="1"/>
      <w:marLeft w:val="0"/>
      <w:marRight w:val="0"/>
      <w:marTop w:val="0"/>
      <w:marBottom w:val="0"/>
      <w:divBdr>
        <w:top w:val="none" w:sz="0" w:space="0" w:color="auto"/>
        <w:left w:val="none" w:sz="0" w:space="0" w:color="auto"/>
        <w:bottom w:val="none" w:sz="0" w:space="0" w:color="auto"/>
        <w:right w:val="none" w:sz="0" w:space="0" w:color="auto"/>
      </w:divBdr>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1950314907">
      <w:bodyDiv w:val="1"/>
      <w:marLeft w:val="0"/>
      <w:marRight w:val="0"/>
      <w:marTop w:val="0"/>
      <w:marBottom w:val="0"/>
      <w:divBdr>
        <w:top w:val="none" w:sz="0" w:space="0" w:color="auto"/>
        <w:left w:val="none" w:sz="0" w:space="0" w:color="auto"/>
        <w:bottom w:val="none" w:sz="0" w:space="0" w:color="auto"/>
        <w:right w:val="none" w:sz="0" w:space="0" w:color="auto"/>
      </w:divBdr>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092388977">
      <w:bodyDiv w:val="1"/>
      <w:marLeft w:val="0"/>
      <w:marRight w:val="0"/>
      <w:marTop w:val="0"/>
      <w:marBottom w:val="0"/>
      <w:divBdr>
        <w:top w:val="none" w:sz="0" w:space="0" w:color="auto"/>
        <w:left w:val="none" w:sz="0" w:space="0" w:color="auto"/>
        <w:bottom w:val="none" w:sz="0" w:space="0" w:color="auto"/>
        <w:right w:val="none" w:sz="0" w:space="0" w:color="auto"/>
      </w:divBdr>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344506-DA4B-4051-82C1-3F2D0C7A23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929</TotalTime>
  <Pages>9</Pages>
  <Words>2230</Words>
  <Characters>12714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Mary Bowen-Perkins</cp:lastModifiedBy>
  <cp:revision>198</cp:revision>
  <dcterms:created xsi:type="dcterms:W3CDTF">2019-01-19T17:47:00Z</dcterms:created>
  <dcterms:modified xsi:type="dcterms:W3CDTF">2019-01-30T03:02:00Z</dcterms:modified>
</cp:coreProperties>
</file>