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0CA45" w14:textId="77777777" w:rsidR="005619CA" w:rsidRDefault="00000000">
      <w:pPr>
        <w:spacing w:after="200"/>
        <w:jc w:val="center"/>
      </w:pPr>
      <w:r>
        <w:rPr>
          <w:b/>
          <w:bCs/>
          <w:sz w:val="28"/>
          <w:szCs w:val="28"/>
        </w:rPr>
        <w:t>BDP Topic Approval Summary</w:t>
      </w:r>
    </w:p>
    <w:p w14:paraId="167C868C" w14:textId="77777777" w:rsidR="005619CA" w:rsidRDefault="00000000">
      <w:pPr>
        <w:spacing w:after="200"/>
      </w:pPr>
      <w:r>
        <w:rPr>
          <w:sz w:val="20"/>
          <w:szCs w:val="20"/>
        </w:rPr>
        <w:t>Please provide brief answers under each heading in the table below to explain your proposed startup idea. Bring the completed summary to your next supervision meeting and be prepared to discuss it. This information will help assess the suitability and scope of the topic before developing the full Introduction.</w:t>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7666"/>
      </w:tblGrid>
      <w:tr w:rsidR="005619CA" w14:paraId="567EF1F2" w14:textId="77777777">
        <w:tblPrEx>
          <w:tblCellMar>
            <w:top w:w="0" w:type="dxa"/>
            <w:bottom w:w="0" w:type="dxa"/>
          </w:tblCellMar>
        </w:tblPrEx>
        <w:tc>
          <w:tcPr>
            <w:tcW w:w="2800" w:type="dxa"/>
            <w:tcBorders>
              <w:top w:val="single" w:sz="1" w:space="0" w:color="000000"/>
              <w:left w:val="single" w:sz="1" w:space="0" w:color="000000"/>
              <w:bottom w:val="single" w:sz="1" w:space="0" w:color="000000"/>
              <w:right w:val="single" w:sz="1" w:space="0" w:color="000000"/>
            </w:tcBorders>
            <w:shd w:val="clear" w:color="auto" w:fill="D9E2F3"/>
            <w:vAlign w:val="center"/>
          </w:tcPr>
          <w:p w14:paraId="424260C2" w14:textId="77777777" w:rsidR="005619CA" w:rsidRDefault="00000000">
            <w:pPr>
              <w:spacing w:before="60" w:after="60"/>
              <w:jc w:val="center"/>
            </w:pPr>
            <w:r>
              <w:rPr>
                <w:b/>
                <w:bCs/>
                <w:sz w:val="20"/>
                <w:szCs w:val="20"/>
              </w:rPr>
              <w:t>Information required</w:t>
            </w:r>
          </w:p>
        </w:tc>
        <w:tc>
          <w:tcPr>
            <w:tcW w:w="7666" w:type="dxa"/>
            <w:tcBorders>
              <w:top w:val="single" w:sz="1" w:space="0" w:color="000000"/>
              <w:left w:val="single" w:sz="1" w:space="0" w:color="000000"/>
              <w:bottom w:val="single" w:sz="1" w:space="0" w:color="000000"/>
              <w:right w:val="single" w:sz="1" w:space="0" w:color="000000"/>
            </w:tcBorders>
            <w:shd w:val="clear" w:color="auto" w:fill="D9E2F3"/>
            <w:vAlign w:val="center"/>
          </w:tcPr>
          <w:p w14:paraId="0786B94A" w14:textId="77777777" w:rsidR="005619CA" w:rsidRDefault="00000000">
            <w:pPr>
              <w:spacing w:before="60" w:after="60"/>
              <w:jc w:val="center"/>
            </w:pPr>
            <w:r>
              <w:rPr>
                <w:b/>
                <w:bCs/>
                <w:sz w:val="20"/>
                <w:szCs w:val="20"/>
              </w:rPr>
              <w:t>What students should explain</w:t>
            </w:r>
          </w:p>
        </w:tc>
      </w:tr>
      <w:tr w:rsidR="005619CA" w14:paraId="38A0041A" w14:textId="77777777">
        <w:tblPrEx>
          <w:tblCellMar>
            <w:top w:w="0" w:type="dxa"/>
            <w:bottom w:w="0" w:type="dxa"/>
          </w:tblCellMar>
        </w:tblPrEx>
        <w:tc>
          <w:tcPr>
            <w:tcW w:w="2800" w:type="dxa"/>
            <w:tcBorders>
              <w:top w:val="single" w:sz="1" w:space="0" w:color="000000"/>
              <w:left w:val="single" w:sz="1" w:space="0" w:color="000000"/>
              <w:bottom w:val="single" w:sz="1" w:space="0" w:color="000000"/>
              <w:right w:val="single" w:sz="1" w:space="0" w:color="000000"/>
            </w:tcBorders>
            <w:vAlign w:val="center"/>
          </w:tcPr>
          <w:p w14:paraId="5F14B53E" w14:textId="77777777" w:rsidR="005619CA" w:rsidRDefault="00000000">
            <w:pPr>
              <w:spacing w:before="60" w:after="60"/>
            </w:pPr>
            <w:r>
              <w:rPr>
                <w:b/>
                <w:bCs/>
                <w:sz w:val="20"/>
                <w:szCs w:val="20"/>
              </w:rPr>
              <w:t>1. Proposed topic or working title</w:t>
            </w:r>
          </w:p>
        </w:tc>
        <w:tc>
          <w:tcPr>
            <w:tcW w:w="7666" w:type="dxa"/>
            <w:tcBorders>
              <w:top w:val="single" w:sz="1" w:space="0" w:color="000000"/>
              <w:left w:val="single" w:sz="1" w:space="0" w:color="000000"/>
              <w:bottom w:val="single" w:sz="1" w:space="0" w:color="000000"/>
              <w:right w:val="single" w:sz="1" w:space="0" w:color="000000"/>
            </w:tcBorders>
          </w:tcPr>
          <w:p w14:paraId="3879EDAE" w14:textId="77777777" w:rsidR="005619CA" w:rsidRDefault="00000000">
            <w:pPr>
              <w:spacing w:before="80" w:after="80"/>
            </w:pPr>
            <w:proofErr w:type="spellStart"/>
            <w:r>
              <w:rPr>
                <w:sz w:val="20"/>
                <w:szCs w:val="20"/>
              </w:rPr>
              <w:t>SurplusShare</w:t>
            </w:r>
            <w:proofErr w:type="spellEnd"/>
            <w:r>
              <w:rPr>
                <w:sz w:val="20"/>
                <w:szCs w:val="20"/>
              </w:rPr>
              <w:t xml:space="preserve"> UK – A subscription and on-demand platform that redistributes surplus and imperfect fresh produce from UK farms directly to urban households at discounted prices.</w:t>
            </w:r>
          </w:p>
        </w:tc>
      </w:tr>
      <w:tr w:rsidR="005619CA" w14:paraId="38FE5CA8" w14:textId="77777777">
        <w:tblPrEx>
          <w:tblCellMar>
            <w:top w:w="0" w:type="dxa"/>
            <w:bottom w:w="0" w:type="dxa"/>
          </w:tblCellMar>
        </w:tblPrEx>
        <w:tc>
          <w:tcPr>
            <w:tcW w:w="2800" w:type="dxa"/>
            <w:tcBorders>
              <w:top w:val="single" w:sz="1" w:space="0" w:color="000000"/>
              <w:left w:val="single" w:sz="1" w:space="0" w:color="000000"/>
              <w:bottom w:val="single" w:sz="1" w:space="0" w:color="000000"/>
              <w:right w:val="single" w:sz="1" w:space="0" w:color="000000"/>
            </w:tcBorders>
            <w:vAlign w:val="center"/>
          </w:tcPr>
          <w:p w14:paraId="6DCA35C1" w14:textId="77777777" w:rsidR="005619CA" w:rsidRDefault="00000000">
            <w:pPr>
              <w:spacing w:before="60" w:after="60"/>
            </w:pPr>
            <w:r>
              <w:rPr>
                <w:b/>
                <w:bCs/>
                <w:sz w:val="20"/>
                <w:szCs w:val="20"/>
              </w:rPr>
              <w:t>2. Business problem or unmet need</w:t>
            </w:r>
          </w:p>
        </w:tc>
        <w:tc>
          <w:tcPr>
            <w:tcW w:w="7666" w:type="dxa"/>
            <w:tcBorders>
              <w:top w:val="single" w:sz="1" w:space="0" w:color="000000"/>
              <w:left w:val="single" w:sz="1" w:space="0" w:color="000000"/>
              <w:bottom w:val="single" w:sz="1" w:space="0" w:color="000000"/>
              <w:right w:val="single" w:sz="1" w:space="0" w:color="000000"/>
            </w:tcBorders>
          </w:tcPr>
          <w:p w14:paraId="017D24EE" w14:textId="77777777" w:rsidR="005619CA" w:rsidRDefault="00000000">
            <w:pPr>
              <w:spacing w:before="80" w:after="60"/>
            </w:pPr>
            <w:r>
              <w:rPr>
                <w:sz w:val="20"/>
                <w:szCs w:val="20"/>
              </w:rPr>
              <w:t>A significant volume of edible fruit and vegetables is discarded every year in the UK supply chain because of cosmetic standards, overproduction or short shelf-life. At the same time many households are under pressure from high food prices and want more affordable, sustainable options. The problem affects farmers (lost revenue), retailers and the environment (unnecessary waste), while consumers struggle to find convenient ways to buy good-quality surplus produce at a lower cost.</w:t>
            </w:r>
          </w:p>
        </w:tc>
      </w:tr>
      <w:tr w:rsidR="005619CA" w14:paraId="3E07C7EA" w14:textId="77777777">
        <w:tblPrEx>
          <w:tblCellMar>
            <w:top w:w="0" w:type="dxa"/>
            <w:bottom w:w="0" w:type="dxa"/>
          </w:tblCellMar>
        </w:tblPrEx>
        <w:tc>
          <w:tcPr>
            <w:tcW w:w="2800" w:type="dxa"/>
            <w:tcBorders>
              <w:top w:val="single" w:sz="1" w:space="0" w:color="000000"/>
              <w:left w:val="single" w:sz="1" w:space="0" w:color="000000"/>
              <w:bottom w:val="single" w:sz="1" w:space="0" w:color="000000"/>
              <w:right w:val="single" w:sz="1" w:space="0" w:color="000000"/>
            </w:tcBorders>
            <w:vAlign w:val="center"/>
          </w:tcPr>
          <w:p w14:paraId="11357A98" w14:textId="77777777" w:rsidR="005619CA" w:rsidRDefault="00000000">
            <w:pPr>
              <w:spacing w:before="60" w:after="60"/>
            </w:pPr>
            <w:r>
              <w:rPr>
                <w:b/>
                <w:bCs/>
                <w:sz w:val="20"/>
                <w:szCs w:val="20"/>
              </w:rPr>
              <w:t>3. Proposed business response</w:t>
            </w:r>
          </w:p>
        </w:tc>
        <w:tc>
          <w:tcPr>
            <w:tcW w:w="7666" w:type="dxa"/>
            <w:tcBorders>
              <w:top w:val="single" w:sz="1" w:space="0" w:color="000000"/>
              <w:left w:val="single" w:sz="1" w:space="0" w:color="000000"/>
              <w:bottom w:val="single" w:sz="1" w:space="0" w:color="000000"/>
              <w:right w:val="single" w:sz="1" w:space="0" w:color="000000"/>
            </w:tcBorders>
          </w:tcPr>
          <w:p w14:paraId="4BACC4D4" w14:textId="77777777" w:rsidR="005619CA" w:rsidRDefault="00000000">
            <w:pPr>
              <w:spacing w:before="80" w:after="60"/>
            </w:pPr>
            <w:proofErr w:type="spellStart"/>
            <w:r>
              <w:rPr>
                <w:sz w:val="20"/>
                <w:szCs w:val="20"/>
              </w:rPr>
              <w:t>SurplusShare</w:t>
            </w:r>
            <w:proofErr w:type="spellEnd"/>
            <w:r>
              <w:rPr>
                <w:sz w:val="20"/>
                <w:szCs w:val="20"/>
              </w:rPr>
              <w:t xml:space="preserve"> UK will operate as a digital platform combined with a weekly subscription box service. It will source surplus and imperfect but perfectly edible produce directly from UK farms and packhouses, then deliver mixed seasonal boxes to customers’ doors at prices below standard supermarket rates. The service will also offer a flexible on-demand option and simple recipe ideas to help households use the produce before it spoils. This directly reduces waste while giving consumers a cheaper and more sustainable way to buy fresh food.</w:t>
            </w:r>
          </w:p>
        </w:tc>
      </w:tr>
      <w:tr w:rsidR="005619CA" w14:paraId="560AB446" w14:textId="77777777">
        <w:tblPrEx>
          <w:tblCellMar>
            <w:top w:w="0" w:type="dxa"/>
            <w:bottom w:w="0" w:type="dxa"/>
          </w:tblCellMar>
        </w:tblPrEx>
        <w:tc>
          <w:tcPr>
            <w:tcW w:w="2800" w:type="dxa"/>
            <w:tcBorders>
              <w:top w:val="single" w:sz="1" w:space="0" w:color="000000"/>
              <w:left w:val="single" w:sz="1" w:space="0" w:color="000000"/>
              <w:bottom w:val="single" w:sz="1" w:space="0" w:color="000000"/>
              <w:right w:val="single" w:sz="1" w:space="0" w:color="000000"/>
            </w:tcBorders>
            <w:vAlign w:val="center"/>
          </w:tcPr>
          <w:p w14:paraId="4B8D401D" w14:textId="77777777" w:rsidR="005619CA" w:rsidRDefault="00000000">
            <w:pPr>
              <w:spacing w:before="60" w:after="60"/>
            </w:pPr>
            <w:r>
              <w:rPr>
                <w:b/>
                <w:bCs/>
                <w:sz w:val="20"/>
                <w:szCs w:val="20"/>
              </w:rPr>
              <w:t>4. Target customers and scope</w:t>
            </w:r>
          </w:p>
        </w:tc>
        <w:tc>
          <w:tcPr>
            <w:tcW w:w="7666" w:type="dxa"/>
            <w:tcBorders>
              <w:top w:val="single" w:sz="1" w:space="0" w:color="000000"/>
              <w:left w:val="single" w:sz="1" w:space="0" w:color="000000"/>
              <w:bottom w:val="single" w:sz="1" w:space="0" w:color="000000"/>
              <w:right w:val="single" w:sz="1" w:space="0" w:color="000000"/>
            </w:tcBorders>
          </w:tcPr>
          <w:p w14:paraId="04E165CA" w14:textId="77777777" w:rsidR="005619CA" w:rsidRDefault="00000000">
            <w:pPr>
              <w:spacing w:before="80" w:after="60"/>
            </w:pPr>
            <w:r>
              <w:rPr>
                <w:sz w:val="20"/>
                <w:szCs w:val="20"/>
              </w:rPr>
              <w:t>Primary customers are price-conscious and environmentally aware households living in major English cities, starting with London, Manchester and Birmingham. The main segments are young professionals, families with children and students who want to reduce food costs and waste. Scope is deliberately limited to these urban areas in the first phase so that logistics, cold-chain requirements and marketing remain manageable for a student project and early-stage start-up.</w:t>
            </w:r>
          </w:p>
        </w:tc>
      </w:tr>
      <w:tr w:rsidR="005619CA" w14:paraId="73D9F914" w14:textId="77777777">
        <w:tblPrEx>
          <w:tblCellMar>
            <w:top w:w="0" w:type="dxa"/>
            <w:bottom w:w="0" w:type="dxa"/>
          </w:tblCellMar>
        </w:tblPrEx>
        <w:tc>
          <w:tcPr>
            <w:tcW w:w="2800" w:type="dxa"/>
            <w:tcBorders>
              <w:top w:val="single" w:sz="1" w:space="0" w:color="000000"/>
              <w:left w:val="single" w:sz="1" w:space="0" w:color="000000"/>
              <w:bottom w:val="single" w:sz="1" w:space="0" w:color="000000"/>
              <w:right w:val="single" w:sz="1" w:space="0" w:color="000000"/>
            </w:tcBorders>
            <w:vAlign w:val="center"/>
          </w:tcPr>
          <w:p w14:paraId="73B2BC9D" w14:textId="77777777" w:rsidR="005619CA" w:rsidRDefault="00000000">
            <w:pPr>
              <w:spacing w:before="60" w:after="60"/>
            </w:pPr>
            <w:r>
              <w:rPr>
                <w:b/>
                <w:bCs/>
                <w:sz w:val="20"/>
                <w:szCs w:val="20"/>
              </w:rPr>
              <w:t>5. Early evidence of demand</w:t>
            </w:r>
          </w:p>
        </w:tc>
        <w:tc>
          <w:tcPr>
            <w:tcW w:w="7666" w:type="dxa"/>
            <w:tcBorders>
              <w:top w:val="single" w:sz="1" w:space="0" w:color="000000"/>
              <w:left w:val="single" w:sz="1" w:space="0" w:color="000000"/>
              <w:bottom w:val="single" w:sz="1" w:space="0" w:color="000000"/>
              <w:right w:val="single" w:sz="1" w:space="0" w:color="000000"/>
            </w:tcBorders>
          </w:tcPr>
          <w:p w14:paraId="2AFAD569" w14:textId="77777777" w:rsidR="005619CA" w:rsidRDefault="00000000">
            <w:pPr>
              <w:spacing w:before="80" w:after="40"/>
            </w:pPr>
            <w:r>
              <w:rPr>
                <w:sz w:val="20"/>
                <w:szCs w:val="20"/>
              </w:rPr>
              <w:t xml:space="preserve">Published reports from WRAP show that large quantities of edible produce are wasted in the UK food supply chain each year. Existing commercial services such as </w:t>
            </w:r>
            <w:proofErr w:type="spellStart"/>
            <w:r>
              <w:rPr>
                <w:sz w:val="20"/>
                <w:szCs w:val="20"/>
              </w:rPr>
              <w:t>Oddbox</w:t>
            </w:r>
            <w:proofErr w:type="spellEnd"/>
            <w:r>
              <w:rPr>
                <w:sz w:val="20"/>
                <w:szCs w:val="20"/>
              </w:rPr>
              <w:t xml:space="preserve"> and Too Good </w:t>
            </w:r>
            <w:proofErr w:type="gramStart"/>
            <w:r>
              <w:rPr>
                <w:sz w:val="20"/>
                <w:szCs w:val="20"/>
              </w:rPr>
              <w:t>To</w:t>
            </w:r>
            <w:proofErr w:type="gramEnd"/>
            <w:r>
              <w:rPr>
                <w:sz w:val="20"/>
                <w:szCs w:val="20"/>
              </w:rPr>
              <w:t xml:space="preserve"> Go demonstrate that consumers are willing to buy surplus or imperfect food when it is convenient and clearly cheaper. Ongoing pressure on household budgets (visible in ONS food-price data) further supports demand for affordable alternatives. These sources indicate both a supply of surplus produce and customer interest in the concept.</w:t>
            </w:r>
          </w:p>
        </w:tc>
      </w:tr>
      <w:tr w:rsidR="005619CA" w14:paraId="207673F1" w14:textId="77777777">
        <w:tblPrEx>
          <w:tblCellMar>
            <w:top w:w="0" w:type="dxa"/>
            <w:bottom w:w="0" w:type="dxa"/>
          </w:tblCellMar>
        </w:tblPrEx>
        <w:tc>
          <w:tcPr>
            <w:tcW w:w="2800" w:type="dxa"/>
            <w:tcBorders>
              <w:top w:val="single" w:sz="1" w:space="0" w:color="000000"/>
              <w:left w:val="single" w:sz="1" w:space="0" w:color="000000"/>
              <w:bottom w:val="single" w:sz="1" w:space="0" w:color="000000"/>
              <w:right w:val="single" w:sz="1" w:space="0" w:color="000000"/>
            </w:tcBorders>
            <w:vAlign w:val="center"/>
          </w:tcPr>
          <w:p w14:paraId="0C356F9A" w14:textId="77777777" w:rsidR="005619CA" w:rsidRDefault="00000000">
            <w:pPr>
              <w:spacing w:before="60" w:after="60"/>
            </w:pPr>
            <w:r>
              <w:rPr>
                <w:b/>
                <w:bCs/>
                <w:sz w:val="20"/>
                <w:szCs w:val="20"/>
              </w:rPr>
              <w:t>6. Aim and feasibility</w:t>
            </w:r>
          </w:p>
        </w:tc>
        <w:tc>
          <w:tcPr>
            <w:tcW w:w="7666" w:type="dxa"/>
            <w:tcBorders>
              <w:top w:val="single" w:sz="1" w:space="0" w:color="000000"/>
              <w:left w:val="single" w:sz="1" w:space="0" w:color="000000"/>
              <w:bottom w:val="single" w:sz="1" w:space="0" w:color="000000"/>
              <w:right w:val="single" w:sz="1" w:space="0" w:color="000000"/>
            </w:tcBorders>
          </w:tcPr>
          <w:p w14:paraId="790719D2" w14:textId="77777777" w:rsidR="005619CA" w:rsidRDefault="00000000">
            <w:pPr>
              <w:spacing w:before="80" w:after="60"/>
            </w:pPr>
            <w:r>
              <w:rPr>
                <w:sz w:val="20"/>
                <w:szCs w:val="20"/>
              </w:rPr>
              <w:t xml:space="preserve">The BDP will assess the size of the opportunity, the competitive landscape, customer willingness to pay, basic operational requirements (sourcing, packing and last-mile delivery) and an initial view of financial viability for a UK-based start-up. Relevant secondary information is publicly available through WRAP reports, Defra statistics, company websites and market research summaries. The main practical difficulty is obtaining detailed primary data from individual farms; this can be managed by relying on published industry reports and a small number of exploratory interviews where possible. </w:t>
            </w:r>
            <w:proofErr w:type="gramStart"/>
            <w:r>
              <w:rPr>
                <w:sz w:val="20"/>
                <w:szCs w:val="20"/>
              </w:rPr>
              <w:t>Overall</w:t>
            </w:r>
            <w:proofErr w:type="gramEnd"/>
            <w:r>
              <w:rPr>
                <w:sz w:val="20"/>
                <w:szCs w:val="20"/>
              </w:rPr>
              <w:t xml:space="preserve"> the topic appears feasible within the project timeframe and preferred UK location.</w:t>
            </w:r>
          </w:p>
        </w:tc>
      </w:tr>
    </w:tbl>
    <w:p w14:paraId="7B4AB8B1" w14:textId="77777777" w:rsidR="005619CA" w:rsidRDefault="00000000">
      <w:pPr>
        <w:spacing w:before="300" w:after="120"/>
      </w:pPr>
      <w:r>
        <w:rPr>
          <w:b/>
          <w:bCs/>
          <w:sz w:val="20"/>
          <w:szCs w:val="20"/>
        </w:rPr>
        <w:t xml:space="preserve">Preferred startup location: </w:t>
      </w:r>
      <w:r>
        <w:rPr>
          <w:sz w:val="20"/>
          <w:szCs w:val="20"/>
        </w:rPr>
        <w:t>The proposed start-up is based in the UK. This location supports access to relevant evidence (WRAP, Defra, ONS and UK company data) and enables effective supervision and assessment. All sources cited will be available in English and accessible for verification. Focusing on major English cities keeps the scope realistic for the project timeframe.</w:t>
      </w:r>
    </w:p>
    <w:p w14:paraId="7C9C5DD3" w14:textId="77777777" w:rsidR="005619CA" w:rsidRDefault="00000000">
      <w:pPr>
        <w:spacing w:before="200"/>
        <w:rPr>
          <w:i/>
          <w:iCs/>
          <w:sz w:val="20"/>
          <w:szCs w:val="20"/>
        </w:rPr>
      </w:pPr>
      <w:r>
        <w:rPr>
          <w:i/>
          <w:iCs/>
          <w:sz w:val="20"/>
          <w:szCs w:val="20"/>
        </w:rPr>
        <w:t>I am happy to discuss this idea further in the next supervision meeting and can adjust the scope if needed.</w:t>
      </w:r>
    </w:p>
    <w:p w14:paraId="6DBF8447" w14:textId="77777777" w:rsidR="008229B3" w:rsidRDefault="008229B3">
      <w:pPr>
        <w:spacing w:before="200"/>
        <w:rPr>
          <w:i/>
          <w:iCs/>
          <w:sz w:val="20"/>
          <w:szCs w:val="20"/>
        </w:rPr>
      </w:pPr>
    </w:p>
    <w:p w14:paraId="7C083A6B" w14:textId="194E6B3A" w:rsidR="008229B3" w:rsidRDefault="008229B3">
      <w:pPr>
        <w:spacing w:before="200"/>
        <w:rPr>
          <w:b/>
          <w:bCs/>
          <w:i/>
          <w:iCs/>
          <w:sz w:val="20"/>
          <w:szCs w:val="20"/>
        </w:rPr>
      </w:pPr>
      <w:r>
        <w:rPr>
          <w:b/>
          <w:bCs/>
          <w:i/>
          <w:iCs/>
          <w:sz w:val="20"/>
          <w:szCs w:val="20"/>
        </w:rPr>
        <w:t>Student: Drita Lowe</w:t>
      </w:r>
    </w:p>
    <w:p w14:paraId="3BEAAE82" w14:textId="6729D2FD" w:rsidR="008229B3" w:rsidRPr="008229B3" w:rsidRDefault="008229B3">
      <w:pPr>
        <w:spacing w:before="200"/>
        <w:rPr>
          <w:b/>
          <w:bCs/>
          <w:sz w:val="20"/>
          <w:szCs w:val="20"/>
        </w:rPr>
      </w:pPr>
      <w:r>
        <w:rPr>
          <w:b/>
          <w:bCs/>
          <w:i/>
          <w:iCs/>
          <w:sz w:val="20"/>
          <w:szCs w:val="20"/>
        </w:rPr>
        <w:t>Student ID: 2316297</w:t>
      </w:r>
    </w:p>
    <w:p w14:paraId="647E30F5" w14:textId="77777777" w:rsidR="00EC3616" w:rsidRDefault="00EC3616">
      <w:pPr>
        <w:spacing w:before="200"/>
      </w:pPr>
    </w:p>
    <w:sectPr w:rsidR="00EC3616">
      <w:headerReference w:type="default" r:id="rId7"/>
      <w:footerReference w:type="default" r:id="rId8"/>
      <w:pgSz w:w="11906" w:h="16838"/>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BF4BD" w14:textId="77777777" w:rsidR="0077775C" w:rsidRDefault="0077775C">
      <w:r>
        <w:separator/>
      </w:r>
    </w:p>
  </w:endnote>
  <w:endnote w:type="continuationSeparator" w:id="0">
    <w:p w14:paraId="51EFF7DC" w14:textId="77777777" w:rsidR="0077775C" w:rsidRDefault="00777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02965" w14:textId="77777777" w:rsidR="005619CA" w:rsidRDefault="00000000">
    <w:pPr>
      <w:jc w:val="center"/>
    </w:pPr>
    <w:r>
      <w:rPr>
        <w:color w:val="666666"/>
        <w:sz w:val="16"/>
        <w:szCs w:val="16"/>
      </w:rPr>
      <w:t xml:space="preserve">Supervisor: B. </w:t>
    </w:r>
    <w:proofErr w:type="gramStart"/>
    <w:r>
      <w:rPr>
        <w:color w:val="666666"/>
        <w:sz w:val="16"/>
        <w:szCs w:val="16"/>
      </w:rPr>
      <w:t>Kandasamy  |</w:t>
    </w:r>
    <w:proofErr w:type="gramEnd"/>
    <w:r>
      <w:rPr>
        <w:color w:val="666666"/>
        <w:sz w:val="16"/>
        <w:szCs w:val="16"/>
      </w:rPr>
      <w:t xml:space="preserve">  Page </w:t>
    </w:r>
    <w:r>
      <w:rPr>
        <w:color w:val="666666"/>
        <w:sz w:val="16"/>
        <w:szCs w:val="16"/>
      </w:rPr>
      <w:fldChar w:fldCharType="begin"/>
    </w:r>
    <w:r>
      <w:rPr>
        <w:color w:val="666666"/>
        <w:sz w:val="16"/>
        <w:szCs w:val="16"/>
      </w:rPr>
      <w:instrText>PAGE</w:instrText>
    </w:r>
    <w:r>
      <w:rPr>
        <w:color w:val="666666"/>
        <w:sz w:val="16"/>
        <w:szCs w:val="16"/>
      </w:rPr>
      <w:fldChar w:fldCharType="separate"/>
    </w:r>
    <w:r w:rsidR="008001A5">
      <w:rPr>
        <w:noProof/>
        <w:color w:val="666666"/>
        <w:sz w:val="16"/>
        <w:szCs w:val="16"/>
      </w:rPr>
      <w:t>1</w:t>
    </w:r>
    <w:r>
      <w:rPr>
        <w:color w:val="666666"/>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ADC90" w14:textId="77777777" w:rsidR="0077775C" w:rsidRDefault="0077775C">
      <w:r>
        <w:separator/>
      </w:r>
    </w:p>
  </w:footnote>
  <w:footnote w:type="continuationSeparator" w:id="0">
    <w:p w14:paraId="5F745CDF" w14:textId="77777777" w:rsidR="0077775C" w:rsidRDefault="00777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8DE71" w14:textId="77777777" w:rsidR="005619CA" w:rsidRDefault="00000000">
    <w:pPr>
      <w:jc w:val="right"/>
    </w:pPr>
    <w:r>
      <w:rPr>
        <w:color w:val="666666"/>
        <w:sz w:val="18"/>
        <w:szCs w:val="18"/>
      </w:rPr>
      <w:t>BDP Topic Approval Summary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A4522A"/>
    <w:multiLevelType w:val="hybridMultilevel"/>
    <w:tmpl w:val="6EE01CD6"/>
    <w:lvl w:ilvl="0" w:tplc="A2D65FBE">
      <w:start w:val="1"/>
      <w:numFmt w:val="bullet"/>
      <w:lvlText w:val="●"/>
      <w:lvlJc w:val="left"/>
      <w:pPr>
        <w:ind w:left="720" w:hanging="360"/>
      </w:pPr>
    </w:lvl>
    <w:lvl w:ilvl="1" w:tplc="6A663D74">
      <w:start w:val="1"/>
      <w:numFmt w:val="bullet"/>
      <w:lvlText w:val="○"/>
      <w:lvlJc w:val="left"/>
      <w:pPr>
        <w:ind w:left="1440" w:hanging="360"/>
      </w:pPr>
    </w:lvl>
    <w:lvl w:ilvl="2" w:tplc="10CE2578">
      <w:start w:val="1"/>
      <w:numFmt w:val="bullet"/>
      <w:lvlText w:val="■"/>
      <w:lvlJc w:val="left"/>
      <w:pPr>
        <w:ind w:left="2160" w:hanging="360"/>
      </w:pPr>
    </w:lvl>
    <w:lvl w:ilvl="3" w:tplc="C90A09AC">
      <w:start w:val="1"/>
      <w:numFmt w:val="bullet"/>
      <w:lvlText w:val="●"/>
      <w:lvlJc w:val="left"/>
      <w:pPr>
        <w:ind w:left="2880" w:hanging="360"/>
      </w:pPr>
    </w:lvl>
    <w:lvl w:ilvl="4" w:tplc="56D8F364">
      <w:start w:val="1"/>
      <w:numFmt w:val="bullet"/>
      <w:lvlText w:val="○"/>
      <w:lvlJc w:val="left"/>
      <w:pPr>
        <w:ind w:left="3600" w:hanging="360"/>
      </w:pPr>
    </w:lvl>
    <w:lvl w:ilvl="5" w:tplc="04C40ED6">
      <w:start w:val="1"/>
      <w:numFmt w:val="bullet"/>
      <w:lvlText w:val="■"/>
      <w:lvlJc w:val="left"/>
      <w:pPr>
        <w:ind w:left="4320" w:hanging="360"/>
      </w:pPr>
    </w:lvl>
    <w:lvl w:ilvl="6" w:tplc="833E5274">
      <w:start w:val="1"/>
      <w:numFmt w:val="bullet"/>
      <w:lvlText w:val="●"/>
      <w:lvlJc w:val="left"/>
      <w:pPr>
        <w:ind w:left="5040" w:hanging="360"/>
      </w:pPr>
    </w:lvl>
    <w:lvl w:ilvl="7" w:tplc="953C8D66">
      <w:start w:val="1"/>
      <w:numFmt w:val="bullet"/>
      <w:lvlText w:val="●"/>
      <w:lvlJc w:val="left"/>
      <w:pPr>
        <w:ind w:left="5760" w:hanging="360"/>
      </w:pPr>
    </w:lvl>
    <w:lvl w:ilvl="8" w:tplc="F3408836">
      <w:start w:val="1"/>
      <w:numFmt w:val="bullet"/>
      <w:lvlText w:val="●"/>
      <w:lvlJc w:val="left"/>
      <w:pPr>
        <w:ind w:left="6480" w:hanging="360"/>
      </w:pPr>
    </w:lvl>
  </w:abstractNum>
  <w:num w:numId="1" w16cid:durableId="199734195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9CA"/>
    <w:rsid w:val="0024297B"/>
    <w:rsid w:val="005619CA"/>
    <w:rsid w:val="0077775C"/>
    <w:rsid w:val="008001A5"/>
    <w:rsid w:val="008229B3"/>
    <w:rsid w:val="00EC3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9E680"/>
  <w15:docId w15:val="{38EB9CFB-3C1D-46DF-A84F-B431408D1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594</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Gina Lowe</cp:lastModifiedBy>
  <cp:revision>3</cp:revision>
  <dcterms:created xsi:type="dcterms:W3CDTF">2026-10-19T18:40:00Z</dcterms:created>
  <dcterms:modified xsi:type="dcterms:W3CDTF">2026-10-19T18:55:00Z</dcterms:modified>
</cp:coreProperties>
</file>