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74F016" w14:textId="77777777" w:rsidR="00986227" w:rsidRDefault="00986227" w:rsidP="00986227">
      <w:pPr>
        <w:jc w:val="center"/>
        <w:rPr>
          <w:b/>
          <w:bCs/>
          <w:sz w:val="36"/>
          <w:szCs w:val="36"/>
          <w:u w:val="single"/>
        </w:rPr>
      </w:pPr>
    </w:p>
    <w:p w14:paraId="566F6D41" w14:textId="77777777" w:rsidR="00986227" w:rsidRDefault="00986227" w:rsidP="00986227">
      <w:pPr>
        <w:jc w:val="center"/>
        <w:rPr>
          <w:b/>
          <w:bCs/>
          <w:sz w:val="36"/>
          <w:szCs w:val="36"/>
          <w:u w:val="single"/>
        </w:rPr>
      </w:pPr>
    </w:p>
    <w:p w14:paraId="4300FE77" w14:textId="352B3A7C" w:rsidR="00986227" w:rsidRDefault="00986227" w:rsidP="00986227">
      <w:pPr>
        <w:jc w:val="center"/>
        <w:rPr>
          <w:b/>
          <w:bCs/>
          <w:sz w:val="36"/>
          <w:szCs w:val="36"/>
          <w:u w:val="single"/>
        </w:rPr>
      </w:pPr>
      <w:r w:rsidRPr="00986227">
        <w:rPr>
          <w:b/>
          <w:bCs/>
          <w:sz w:val="36"/>
          <w:szCs w:val="36"/>
          <w:u w:val="single"/>
        </w:rPr>
        <w:t>FINANCIAL MANAGEMENT FOR THE HOSPITALITY INDUSTRY</w:t>
      </w:r>
    </w:p>
    <w:p w14:paraId="4FFECB37" w14:textId="4E461B5D" w:rsidR="00986227" w:rsidRDefault="00986227" w:rsidP="00986227">
      <w:pPr>
        <w:jc w:val="center"/>
        <w:rPr>
          <w:b/>
          <w:bCs/>
          <w:sz w:val="36"/>
          <w:szCs w:val="36"/>
        </w:rPr>
      </w:pPr>
      <w:r>
        <w:rPr>
          <w:b/>
          <w:bCs/>
          <w:sz w:val="36"/>
          <w:szCs w:val="36"/>
        </w:rPr>
        <w:t>STELUTA PASCUTA- 1816339</w:t>
      </w:r>
    </w:p>
    <w:p w14:paraId="72948FA1" w14:textId="4281240E" w:rsidR="00986227" w:rsidRDefault="00986227" w:rsidP="00986227">
      <w:pPr>
        <w:jc w:val="center"/>
        <w:rPr>
          <w:b/>
          <w:bCs/>
          <w:sz w:val="36"/>
          <w:szCs w:val="36"/>
        </w:rPr>
      </w:pPr>
      <w:r>
        <w:rPr>
          <w:b/>
          <w:bCs/>
          <w:sz w:val="36"/>
          <w:szCs w:val="36"/>
        </w:rPr>
        <w:t xml:space="preserve">LECTURER: DAVID JENKINS </w:t>
      </w:r>
    </w:p>
    <w:p w14:paraId="6F51050D" w14:textId="66CAFB41" w:rsidR="00986227" w:rsidRDefault="00986227" w:rsidP="00986227">
      <w:pPr>
        <w:jc w:val="center"/>
        <w:rPr>
          <w:b/>
          <w:bCs/>
          <w:sz w:val="36"/>
          <w:szCs w:val="36"/>
        </w:rPr>
      </w:pPr>
      <w:r>
        <w:rPr>
          <w:b/>
          <w:bCs/>
          <w:sz w:val="36"/>
          <w:szCs w:val="36"/>
        </w:rPr>
        <w:t xml:space="preserve">RATIO ANALYSIS- RANGEMASTER PLC </w:t>
      </w:r>
    </w:p>
    <w:p w14:paraId="1415E806" w14:textId="77777777" w:rsidR="00505AAC" w:rsidRPr="00986227" w:rsidRDefault="00505AAC" w:rsidP="00986227">
      <w:pPr>
        <w:jc w:val="center"/>
        <w:rPr>
          <w:b/>
          <w:bCs/>
          <w:sz w:val="36"/>
          <w:szCs w:val="36"/>
        </w:rPr>
      </w:pPr>
    </w:p>
    <w:p w14:paraId="3CD9F4D6" w14:textId="32EDC5D3" w:rsidR="00986227" w:rsidRDefault="00505AAC" w:rsidP="00986227">
      <w:pPr>
        <w:jc w:val="center"/>
        <w:rPr>
          <w:b/>
          <w:bCs/>
          <w:sz w:val="36"/>
          <w:szCs w:val="36"/>
        </w:rPr>
      </w:pPr>
      <w:r>
        <w:rPr>
          <w:noProof/>
        </w:rPr>
        <w:drawing>
          <wp:inline distT="0" distB="0" distL="0" distR="0" wp14:anchorId="15C9F3E2" wp14:editId="33C8CF50">
            <wp:extent cx="5626044" cy="3133725"/>
            <wp:effectExtent l="0" t="0" r="0" b="0"/>
            <wp:docPr id="1" name="Picture 1" descr="Imagini pentru ratio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ratio analysi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47128" cy="3145469"/>
                    </a:xfrm>
                    <a:prstGeom prst="rect">
                      <a:avLst/>
                    </a:prstGeom>
                    <a:noFill/>
                    <a:ln>
                      <a:noFill/>
                    </a:ln>
                  </pic:spPr>
                </pic:pic>
              </a:graphicData>
            </a:graphic>
          </wp:inline>
        </w:drawing>
      </w:r>
    </w:p>
    <w:p w14:paraId="5A92D088" w14:textId="4D56DCC7" w:rsidR="00986227" w:rsidRDefault="00986227" w:rsidP="00986227">
      <w:pPr>
        <w:jc w:val="center"/>
        <w:rPr>
          <w:b/>
          <w:bCs/>
          <w:sz w:val="36"/>
          <w:szCs w:val="36"/>
        </w:rPr>
      </w:pPr>
    </w:p>
    <w:p w14:paraId="1860A34D" w14:textId="4E656EC1" w:rsidR="00986227" w:rsidRDefault="00986227" w:rsidP="00986227">
      <w:pPr>
        <w:jc w:val="center"/>
        <w:rPr>
          <w:b/>
          <w:bCs/>
          <w:sz w:val="36"/>
          <w:szCs w:val="36"/>
        </w:rPr>
      </w:pPr>
    </w:p>
    <w:p w14:paraId="2456BB48" w14:textId="2E5B727A" w:rsidR="00986227" w:rsidRDefault="00986227" w:rsidP="00986227">
      <w:pPr>
        <w:jc w:val="center"/>
        <w:rPr>
          <w:b/>
          <w:bCs/>
          <w:sz w:val="36"/>
          <w:szCs w:val="36"/>
        </w:rPr>
      </w:pPr>
    </w:p>
    <w:p w14:paraId="05438A71" w14:textId="0B22B58B" w:rsidR="00986227" w:rsidRDefault="00986227" w:rsidP="00986227">
      <w:pPr>
        <w:jc w:val="center"/>
        <w:rPr>
          <w:b/>
          <w:bCs/>
          <w:sz w:val="36"/>
          <w:szCs w:val="36"/>
        </w:rPr>
      </w:pPr>
    </w:p>
    <w:p w14:paraId="4D9B5A94" w14:textId="5BEECBBC" w:rsidR="00986227" w:rsidRDefault="00986227" w:rsidP="00986227">
      <w:pPr>
        <w:jc w:val="center"/>
        <w:rPr>
          <w:b/>
          <w:bCs/>
          <w:sz w:val="36"/>
          <w:szCs w:val="36"/>
        </w:rPr>
      </w:pPr>
    </w:p>
    <w:p w14:paraId="761C23E0" w14:textId="39C5F200" w:rsidR="00986227" w:rsidRDefault="00986227" w:rsidP="00505AAC">
      <w:pPr>
        <w:rPr>
          <w:b/>
          <w:bCs/>
          <w:sz w:val="36"/>
          <w:szCs w:val="36"/>
        </w:rPr>
      </w:pPr>
    </w:p>
    <w:p w14:paraId="79E1BDD7" w14:textId="77777777" w:rsidR="00505AAC" w:rsidRDefault="00505AAC" w:rsidP="00505AAC">
      <w:pPr>
        <w:rPr>
          <w:b/>
          <w:bCs/>
          <w:sz w:val="36"/>
          <w:szCs w:val="36"/>
        </w:rPr>
      </w:pPr>
      <w:bookmarkStart w:id="0" w:name="_GoBack"/>
      <w:bookmarkEnd w:id="0"/>
    </w:p>
    <w:p w14:paraId="00BC2763" w14:textId="1A717D42" w:rsidR="00986227" w:rsidRDefault="00986227" w:rsidP="00986227">
      <w:pPr>
        <w:jc w:val="center"/>
        <w:rPr>
          <w:b/>
          <w:bCs/>
          <w:sz w:val="36"/>
          <w:szCs w:val="36"/>
          <w:u w:val="single"/>
        </w:rPr>
      </w:pPr>
      <w:r w:rsidRPr="00986227">
        <w:rPr>
          <w:b/>
          <w:bCs/>
          <w:sz w:val="36"/>
          <w:szCs w:val="36"/>
          <w:u w:val="single"/>
        </w:rPr>
        <w:lastRenderedPageBreak/>
        <w:t>INTRODUCTION</w:t>
      </w:r>
    </w:p>
    <w:p w14:paraId="0EDF1C54" w14:textId="51395FD3" w:rsidR="00986227" w:rsidRDefault="00986227" w:rsidP="00986227">
      <w:pPr>
        <w:rPr>
          <w:sz w:val="24"/>
          <w:szCs w:val="24"/>
        </w:rPr>
      </w:pPr>
      <w:r>
        <w:rPr>
          <w:sz w:val="24"/>
          <w:szCs w:val="24"/>
        </w:rPr>
        <w:t xml:space="preserve">In this assignment there will be an informal report taking into consideration the Rangemaster plc, business that is supplying catering machines to hospitality environments such as hotels, restaurant, inns public houses. There is the statement for the 2018 and 2019, which will be highly used for the ratio analysis of the business. </w:t>
      </w:r>
    </w:p>
    <w:p w14:paraId="27AB989F" w14:textId="77777777" w:rsidR="001F4BE1" w:rsidRDefault="00986227" w:rsidP="00986227">
      <w:pPr>
        <w:rPr>
          <w:sz w:val="24"/>
          <w:szCs w:val="24"/>
        </w:rPr>
      </w:pPr>
      <w:r>
        <w:rPr>
          <w:sz w:val="24"/>
          <w:szCs w:val="24"/>
        </w:rPr>
        <w:t xml:space="preserve">Looking at the tables that are going to be introduced there will be clear conclusion that will analyse the way the business has changed from 2018 to 2019. In addition to that, within the ratio analysis, the included tables will represent the summary table, assessing liquidity, profitability, efficiency, capital structure and the investment ratios, thing that will clearly analyse the way the business is </w:t>
      </w:r>
      <w:r w:rsidR="001F4BE1">
        <w:rPr>
          <w:sz w:val="24"/>
          <w:szCs w:val="24"/>
        </w:rPr>
        <w:t>running</w:t>
      </w:r>
      <w:r>
        <w:rPr>
          <w:sz w:val="24"/>
          <w:szCs w:val="24"/>
        </w:rPr>
        <w:t>.</w:t>
      </w:r>
    </w:p>
    <w:tbl>
      <w:tblPr>
        <w:tblW w:w="9639" w:type="dxa"/>
        <w:tblLook w:val="04A0" w:firstRow="1" w:lastRow="0" w:firstColumn="1" w:lastColumn="0" w:noHBand="0" w:noVBand="1"/>
      </w:tblPr>
      <w:tblGrid>
        <w:gridCol w:w="2835"/>
        <w:gridCol w:w="1560"/>
        <w:gridCol w:w="1559"/>
        <w:gridCol w:w="1559"/>
        <w:gridCol w:w="2126"/>
      </w:tblGrid>
      <w:tr w:rsidR="001F4BE1" w14:paraId="6FA63B53" w14:textId="77777777" w:rsidTr="001F4BE1">
        <w:trPr>
          <w:trHeight w:val="315"/>
        </w:trPr>
        <w:tc>
          <w:tcPr>
            <w:tcW w:w="2835" w:type="dxa"/>
            <w:tcBorders>
              <w:right w:val="single" w:sz="4" w:space="0" w:color="auto"/>
            </w:tcBorders>
            <w:shd w:val="clear" w:color="auto" w:fill="FFC000"/>
            <w:noWrap/>
            <w:vAlign w:val="bottom"/>
            <w:hideMark/>
          </w:tcPr>
          <w:p w14:paraId="013F7A2B" w14:textId="77777777" w:rsidR="001F4BE1" w:rsidRDefault="001F4BE1">
            <w:pPr>
              <w:spacing w:after="0" w:line="240" w:lineRule="auto"/>
              <w:rPr>
                <w:rFonts w:ascii="Arial" w:eastAsia="Times New Roman" w:hAnsi="Arial" w:cs="Arial"/>
                <w:b/>
                <w:bCs/>
                <w:color w:val="000000"/>
                <w:lang w:eastAsia="en-GB"/>
              </w:rPr>
            </w:pPr>
            <w:r>
              <w:rPr>
                <w:rFonts w:ascii="Arial" w:eastAsia="Times New Roman" w:hAnsi="Arial" w:cs="Arial"/>
                <w:b/>
                <w:bCs/>
                <w:color w:val="000000"/>
                <w:lang w:eastAsia="en-GB"/>
              </w:rPr>
              <w:t>Summary table</w:t>
            </w:r>
          </w:p>
        </w:tc>
        <w:tc>
          <w:tcPr>
            <w:tcW w:w="1560" w:type="dxa"/>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bottom"/>
            <w:hideMark/>
          </w:tcPr>
          <w:p w14:paraId="7B3E69E8" w14:textId="77777777" w:rsidR="001F4BE1" w:rsidRDefault="001F4BE1">
            <w:pPr>
              <w:rPr>
                <w:rFonts w:ascii="Arial" w:eastAsia="Times New Roman" w:hAnsi="Arial" w:cs="Arial"/>
                <w:b/>
                <w:bCs/>
                <w:color w:val="000000"/>
                <w:lang w:eastAsia="en-GB"/>
              </w:rPr>
            </w:pPr>
          </w:p>
        </w:tc>
        <w:tc>
          <w:tcPr>
            <w:tcW w:w="1559" w:type="dxa"/>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bottom"/>
            <w:hideMark/>
          </w:tcPr>
          <w:p w14:paraId="2471E285" w14:textId="77777777" w:rsidR="001F4BE1" w:rsidRDefault="001F4BE1">
            <w:pPr>
              <w:spacing w:after="0" w:line="256" w:lineRule="auto"/>
              <w:rPr>
                <w:sz w:val="20"/>
                <w:szCs w:val="20"/>
                <w:lang w:eastAsia="en-GB"/>
              </w:rPr>
            </w:pPr>
          </w:p>
        </w:tc>
        <w:tc>
          <w:tcPr>
            <w:tcW w:w="1559" w:type="dxa"/>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bottom"/>
            <w:hideMark/>
          </w:tcPr>
          <w:p w14:paraId="400BC349" w14:textId="77777777" w:rsidR="001F4BE1" w:rsidRDefault="001F4BE1">
            <w:pPr>
              <w:spacing w:after="0" w:line="256" w:lineRule="auto"/>
              <w:rPr>
                <w:sz w:val="20"/>
                <w:szCs w:val="20"/>
                <w:lang w:eastAsia="en-GB"/>
              </w:rPr>
            </w:pPr>
          </w:p>
        </w:tc>
        <w:tc>
          <w:tcPr>
            <w:tcW w:w="2126" w:type="dxa"/>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bottom"/>
            <w:hideMark/>
          </w:tcPr>
          <w:p w14:paraId="1E4F9F7D" w14:textId="77777777" w:rsidR="001F4BE1" w:rsidRDefault="001F4BE1">
            <w:pPr>
              <w:spacing w:after="0" w:line="256" w:lineRule="auto"/>
              <w:rPr>
                <w:sz w:val="20"/>
                <w:szCs w:val="20"/>
                <w:lang w:eastAsia="en-GB"/>
              </w:rPr>
            </w:pPr>
          </w:p>
        </w:tc>
      </w:tr>
      <w:tr w:rsidR="001F4BE1" w14:paraId="7EBBEADF" w14:textId="77777777" w:rsidTr="001F4BE1">
        <w:trPr>
          <w:trHeight w:val="315"/>
        </w:trPr>
        <w:tc>
          <w:tcPr>
            <w:tcW w:w="2835" w:type="dxa"/>
            <w:tcBorders>
              <w:top w:val="single" w:sz="12" w:space="0" w:color="auto"/>
              <w:left w:val="single" w:sz="4" w:space="0" w:color="auto"/>
              <w:bottom w:val="single" w:sz="4" w:space="0" w:color="auto"/>
              <w:right w:val="single" w:sz="4" w:space="0" w:color="auto"/>
            </w:tcBorders>
            <w:shd w:val="clear" w:color="auto" w:fill="FFD966" w:themeFill="accent4" w:themeFillTint="99"/>
            <w:noWrap/>
            <w:vAlign w:val="bottom"/>
            <w:hideMark/>
          </w:tcPr>
          <w:p w14:paraId="573ED2D7" w14:textId="77777777" w:rsidR="001F4BE1" w:rsidRDefault="001F4BE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Ratio</w:t>
            </w:r>
          </w:p>
        </w:tc>
        <w:tc>
          <w:tcPr>
            <w:tcW w:w="1560" w:type="dxa"/>
            <w:tcBorders>
              <w:top w:val="single" w:sz="4" w:space="0" w:color="auto"/>
              <w:left w:val="nil"/>
              <w:bottom w:val="single" w:sz="4" w:space="0" w:color="auto"/>
              <w:right w:val="single" w:sz="4" w:space="0" w:color="auto"/>
            </w:tcBorders>
            <w:shd w:val="clear" w:color="auto" w:fill="FFE599" w:themeFill="accent4" w:themeFillTint="66"/>
            <w:noWrap/>
            <w:vAlign w:val="bottom"/>
            <w:hideMark/>
          </w:tcPr>
          <w:p w14:paraId="202B6D55" w14:textId="77777777" w:rsidR="001F4BE1" w:rsidRDefault="001F4BE1">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2019</w:t>
            </w:r>
          </w:p>
        </w:tc>
        <w:tc>
          <w:tcPr>
            <w:tcW w:w="1559" w:type="dxa"/>
            <w:tcBorders>
              <w:top w:val="single" w:sz="4" w:space="0" w:color="auto"/>
              <w:left w:val="nil"/>
              <w:bottom w:val="single" w:sz="4" w:space="0" w:color="auto"/>
              <w:right w:val="single" w:sz="4" w:space="0" w:color="auto"/>
            </w:tcBorders>
            <w:shd w:val="clear" w:color="auto" w:fill="FFE599" w:themeFill="accent4" w:themeFillTint="66"/>
            <w:noWrap/>
            <w:vAlign w:val="bottom"/>
            <w:hideMark/>
          </w:tcPr>
          <w:p w14:paraId="3D0E0695" w14:textId="77777777" w:rsidR="001F4BE1" w:rsidRDefault="001F4BE1">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2018</w:t>
            </w:r>
          </w:p>
        </w:tc>
        <w:tc>
          <w:tcPr>
            <w:tcW w:w="1559" w:type="dxa"/>
            <w:tcBorders>
              <w:top w:val="single" w:sz="4" w:space="0" w:color="auto"/>
              <w:left w:val="nil"/>
              <w:bottom w:val="single" w:sz="4" w:space="0" w:color="auto"/>
              <w:right w:val="single" w:sz="4" w:space="0" w:color="auto"/>
            </w:tcBorders>
            <w:shd w:val="clear" w:color="auto" w:fill="FFE599" w:themeFill="accent4" w:themeFillTint="66"/>
            <w:noWrap/>
            <w:vAlign w:val="bottom"/>
            <w:hideMark/>
          </w:tcPr>
          <w:p w14:paraId="5E1F5E84" w14:textId="77777777" w:rsidR="001F4BE1" w:rsidRDefault="001F4BE1">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Absolute Difference</w:t>
            </w:r>
          </w:p>
        </w:tc>
        <w:tc>
          <w:tcPr>
            <w:tcW w:w="2126" w:type="dxa"/>
            <w:tcBorders>
              <w:top w:val="single" w:sz="4" w:space="0" w:color="auto"/>
              <w:left w:val="nil"/>
              <w:bottom w:val="single" w:sz="4" w:space="0" w:color="auto"/>
              <w:right w:val="single" w:sz="4" w:space="0" w:color="auto"/>
            </w:tcBorders>
            <w:shd w:val="clear" w:color="auto" w:fill="FFE599" w:themeFill="accent4" w:themeFillTint="66"/>
            <w:noWrap/>
            <w:vAlign w:val="bottom"/>
            <w:hideMark/>
          </w:tcPr>
          <w:p w14:paraId="7479C65E" w14:textId="77777777" w:rsidR="001F4BE1" w:rsidRDefault="001F4BE1">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Relative Difference</w:t>
            </w:r>
          </w:p>
        </w:tc>
      </w:tr>
      <w:tr w:rsidR="001F4BE1" w14:paraId="21F27ACC" w14:textId="77777777" w:rsidTr="001F4BE1">
        <w:trPr>
          <w:trHeight w:val="300"/>
        </w:trPr>
        <w:tc>
          <w:tcPr>
            <w:tcW w:w="2835" w:type="dxa"/>
            <w:tcBorders>
              <w:top w:val="nil"/>
              <w:left w:val="single" w:sz="4" w:space="0" w:color="auto"/>
              <w:bottom w:val="single" w:sz="4" w:space="0" w:color="auto"/>
              <w:right w:val="single" w:sz="4" w:space="0" w:color="auto"/>
            </w:tcBorders>
            <w:shd w:val="clear" w:color="auto" w:fill="FFD966" w:themeFill="accent4" w:themeFillTint="99"/>
            <w:noWrap/>
            <w:vAlign w:val="bottom"/>
            <w:hideMark/>
          </w:tcPr>
          <w:p w14:paraId="0A2E6E6B" w14:textId="77777777" w:rsidR="001F4BE1" w:rsidRDefault="001F4BE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ROCE</w:t>
            </w:r>
          </w:p>
        </w:tc>
        <w:tc>
          <w:tcPr>
            <w:tcW w:w="1560" w:type="dxa"/>
            <w:tcBorders>
              <w:top w:val="nil"/>
              <w:left w:val="nil"/>
              <w:bottom w:val="single" w:sz="4" w:space="0" w:color="auto"/>
              <w:right w:val="single" w:sz="4" w:space="0" w:color="auto"/>
            </w:tcBorders>
            <w:shd w:val="clear" w:color="auto" w:fill="FFE599" w:themeFill="accent4" w:themeFillTint="66"/>
            <w:noWrap/>
            <w:vAlign w:val="bottom"/>
            <w:hideMark/>
          </w:tcPr>
          <w:p w14:paraId="324EA6A9"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35,2%</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0E5C662F"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31,2%</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09C8C2D0"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4%</w:t>
            </w:r>
          </w:p>
        </w:tc>
        <w:tc>
          <w:tcPr>
            <w:tcW w:w="2126" w:type="dxa"/>
            <w:tcBorders>
              <w:top w:val="nil"/>
              <w:left w:val="nil"/>
              <w:bottom w:val="single" w:sz="4" w:space="0" w:color="auto"/>
              <w:right w:val="single" w:sz="4" w:space="0" w:color="auto"/>
            </w:tcBorders>
            <w:shd w:val="clear" w:color="auto" w:fill="FFE599" w:themeFill="accent4" w:themeFillTint="66"/>
            <w:noWrap/>
            <w:vAlign w:val="bottom"/>
            <w:hideMark/>
          </w:tcPr>
          <w:p w14:paraId="75E65FB4"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12,8%</w:t>
            </w:r>
          </w:p>
        </w:tc>
      </w:tr>
      <w:tr w:rsidR="001F4BE1" w14:paraId="21C192B2" w14:textId="77777777" w:rsidTr="001F4BE1">
        <w:trPr>
          <w:trHeight w:val="300"/>
        </w:trPr>
        <w:tc>
          <w:tcPr>
            <w:tcW w:w="2835" w:type="dxa"/>
            <w:tcBorders>
              <w:top w:val="nil"/>
              <w:left w:val="single" w:sz="4" w:space="0" w:color="auto"/>
              <w:bottom w:val="single" w:sz="4" w:space="0" w:color="auto"/>
              <w:right w:val="single" w:sz="4" w:space="0" w:color="auto"/>
            </w:tcBorders>
            <w:shd w:val="clear" w:color="auto" w:fill="FFD966" w:themeFill="accent4" w:themeFillTint="99"/>
            <w:noWrap/>
            <w:vAlign w:val="bottom"/>
            <w:hideMark/>
          </w:tcPr>
          <w:p w14:paraId="6E5DA811" w14:textId="77777777" w:rsidR="001F4BE1" w:rsidRDefault="001F4BE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Asset Turnover</w:t>
            </w:r>
          </w:p>
        </w:tc>
        <w:tc>
          <w:tcPr>
            <w:tcW w:w="1560" w:type="dxa"/>
            <w:tcBorders>
              <w:top w:val="nil"/>
              <w:left w:val="nil"/>
              <w:bottom w:val="single" w:sz="4" w:space="0" w:color="auto"/>
              <w:right w:val="single" w:sz="4" w:space="0" w:color="auto"/>
            </w:tcBorders>
            <w:shd w:val="clear" w:color="auto" w:fill="FFE599" w:themeFill="accent4" w:themeFillTint="66"/>
            <w:noWrap/>
            <w:vAlign w:val="bottom"/>
            <w:hideMark/>
          </w:tcPr>
          <w:p w14:paraId="1A058AB7"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183 pence</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61A74FBE"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173 pence</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6AAB0DE1"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10 pence</w:t>
            </w:r>
          </w:p>
        </w:tc>
        <w:tc>
          <w:tcPr>
            <w:tcW w:w="2126" w:type="dxa"/>
            <w:tcBorders>
              <w:top w:val="nil"/>
              <w:left w:val="nil"/>
              <w:bottom w:val="single" w:sz="4" w:space="0" w:color="auto"/>
              <w:right w:val="single" w:sz="4" w:space="0" w:color="auto"/>
            </w:tcBorders>
            <w:shd w:val="clear" w:color="auto" w:fill="FFE599" w:themeFill="accent4" w:themeFillTint="66"/>
            <w:noWrap/>
            <w:vAlign w:val="bottom"/>
            <w:hideMark/>
          </w:tcPr>
          <w:p w14:paraId="3F40531F"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5,7%</w:t>
            </w:r>
          </w:p>
        </w:tc>
      </w:tr>
      <w:tr w:rsidR="001F4BE1" w14:paraId="4C34F8C8" w14:textId="77777777" w:rsidTr="001F4BE1">
        <w:trPr>
          <w:trHeight w:val="300"/>
        </w:trPr>
        <w:tc>
          <w:tcPr>
            <w:tcW w:w="2835" w:type="dxa"/>
            <w:tcBorders>
              <w:top w:val="nil"/>
              <w:left w:val="single" w:sz="4" w:space="0" w:color="auto"/>
              <w:bottom w:val="single" w:sz="4" w:space="0" w:color="auto"/>
              <w:right w:val="single" w:sz="4" w:space="0" w:color="auto"/>
            </w:tcBorders>
            <w:shd w:val="clear" w:color="auto" w:fill="FFD966" w:themeFill="accent4" w:themeFillTint="99"/>
            <w:noWrap/>
            <w:vAlign w:val="bottom"/>
            <w:hideMark/>
          </w:tcPr>
          <w:p w14:paraId="1A25869D" w14:textId="77777777" w:rsidR="001F4BE1" w:rsidRDefault="001F4BE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Gross Profit Margin</w:t>
            </w:r>
          </w:p>
        </w:tc>
        <w:tc>
          <w:tcPr>
            <w:tcW w:w="1560" w:type="dxa"/>
            <w:tcBorders>
              <w:top w:val="nil"/>
              <w:left w:val="nil"/>
              <w:bottom w:val="single" w:sz="4" w:space="0" w:color="auto"/>
              <w:right w:val="single" w:sz="4" w:space="0" w:color="auto"/>
            </w:tcBorders>
            <w:shd w:val="clear" w:color="auto" w:fill="FFE599" w:themeFill="accent4" w:themeFillTint="66"/>
            <w:noWrap/>
            <w:vAlign w:val="bottom"/>
            <w:hideMark/>
          </w:tcPr>
          <w:p w14:paraId="2CAA079C"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26,8%</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11F2A598"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26,8%</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24C77B5B"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w:t>
            </w:r>
          </w:p>
        </w:tc>
        <w:tc>
          <w:tcPr>
            <w:tcW w:w="2126" w:type="dxa"/>
            <w:tcBorders>
              <w:top w:val="nil"/>
              <w:left w:val="nil"/>
              <w:bottom w:val="single" w:sz="4" w:space="0" w:color="auto"/>
              <w:right w:val="single" w:sz="4" w:space="0" w:color="auto"/>
            </w:tcBorders>
            <w:shd w:val="clear" w:color="auto" w:fill="FFE599" w:themeFill="accent4" w:themeFillTint="66"/>
            <w:noWrap/>
            <w:vAlign w:val="bottom"/>
            <w:hideMark/>
          </w:tcPr>
          <w:p w14:paraId="13D4224F"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w:t>
            </w:r>
          </w:p>
        </w:tc>
      </w:tr>
      <w:tr w:rsidR="001F4BE1" w14:paraId="350D4B1E" w14:textId="77777777" w:rsidTr="001F4BE1">
        <w:trPr>
          <w:trHeight w:val="300"/>
        </w:trPr>
        <w:tc>
          <w:tcPr>
            <w:tcW w:w="2835" w:type="dxa"/>
            <w:tcBorders>
              <w:top w:val="nil"/>
              <w:left w:val="single" w:sz="4" w:space="0" w:color="auto"/>
              <w:bottom w:val="single" w:sz="4" w:space="0" w:color="auto"/>
              <w:right w:val="single" w:sz="4" w:space="0" w:color="auto"/>
            </w:tcBorders>
            <w:shd w:val="clear" w:color="auto" w:fill="FFD966" w:themeFill="accent4" w:themeFillTint="99"/>
            <w:noWrap/>
            <w:vAlign w:val="bottom"/>
            <w:hideMark/>
          </w:tcPr>
          <w:p w14:paraId="2738E075" w14:textId="77777777" w:rsidR="001F4BE1" w:rsidRDefault="001F4BE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Net Operating Profit Margin</w:t>
            </w:r>
          </w:p>
        </w:tc>
        <w:tc>
          <w:tcPr>
            <w:tcW w:w="1560" w:type="dxa"/>
            <w:tcBorders>
              <w:top w:val="nil"/>
              <w:left w:val="nil"/>
              <w:bottom w:val="single" w:sz="4" w:space="0" w:color="auto"/>
              <w:right w:val="single" w:sz="4" w:space="0" w:color="auto"/>
            </w:tcBorders>
            <w:shd w:val="clear" w:color="auto" w:fill="FFE599" w:themeFill="accent4" w:themeFillTint="66"/>
            <w:noWrap/>
            <w:vAlign w:val="bottom"/>
            <w:hideMark/>
          </w:tcPr>
          <w:p w14:paraId="4C07AD23"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19,2%</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5D8A003D"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18%</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12380CEA"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1,2%</w:t>
            </w:r>
          </w:p>
        </w:tc>
        <w:tc>
          <w:tcPr>
            <w:tcW w:w="2126" w:type="dxa"/>
            <w:tcBorders>
              <w:top w:val="nil"/>
              <w:left w:val="nil"/>
              <w:bottom w:val="single" w:sz="4" w:space="0" w:color="auto"/>
              <w:right w:val="single" w:sz="4" w:space="0" w:color="auto"/>
            </w:tcBorders>
            <w:shd w:val="clear" w:color="auto" w:fill="FFE599" w:themeFill="accent4" w:themeFillTint="66"/>
            <w:noWrap/>
            <w:vAlign w:val="bottom"/>
            <w:hideMark/>
          </w:tcPr>
          <w:p w14:paraId="0B541DF1"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6,6%</w:t>
            </w:r>
          </w:p>
        </w:tc>
      </w:tr>
      <w:tr w:rsidR="001F4BE1" w14:paraId="4E0E8E15" w14:textId="77777777" w:rsidTr="001F4BE1">
        <w:trPr>
          <w:trHeight w:val="300"/>
        </w:trPr>
        <w:tc>
          <w:tcPr>
            <w:tcW w:w="2835" w:type="dxa"/>
            <w:tcBorders>
              <w:top w:val="nil"/>
              <w:left w:val="single" w:sz="4" w:space="0" w:color="auto"/>
              <w:bottom w:val="single" w:sz="4" w:space="0" w:color="auto"/>
              <w:right w:val="single" w:sz="4" w:space="0" w:color="auto"/>
            </w:tcBorders>
            <w:shd w:val="clear" w:color="auto" w:fill="FFD966" w:themeFill="accent4" w:themeFillTint="99"/>
            <w:noWrap/>
            <w:vAlign w:val="bottom"/>
            <w:hideMark/>
          </w:tcPr>
          <w:p w14:paraId="5A0789F3" w14:textId="77777777" w:rsidR="001F4BE1" w:rsidRDefault="001F4BE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Inventory Days</w:t>
            </w:r>
          </w:p>
        </w:tc>
        <w:tc>
          <w:tcPr>
            <w:tcW w:w="1560" w:type="dxa"/>
            <w:tcBorders>
              <w:top w:val="nil"/>
              <w:left w:val="nil"/>
              <w:bottom w:val="single" w:sz="4" w:space="0" w:color="auto"/>
              <w:right w:val="single" w:sz="4" w:space="0" w:color="auto"/>
            </w:tcBorders>
            <w:shd w:val="clear" w:color="auto" w:fill="FFE599" w:themeFill="accent4" w:themeFillTint="66"/>
            <w:noWrap/>
            <w:vAlign w:val="bottom"/>
            <w:hideMark/>
          </w:tcPr>
          <w:p w14:paraId="6E441720"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73,8 days</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45381D63"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75,6 days</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14CC350F"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-1,8 days</w:t>
            </w:r>
          </w:p>
        </w:tc>
        <w:tc>
          <w:tcPr>
            <w:tcW w:w="2126" w:type="dxa"/>
            <w:tcBorders>
              <w:top w:val="nil"/>
              <w:left w:val="nil"/>
              <w:bottom w:val="single" w:sz="4" w:space="0" w:color="auto"/>
              <w:right w:val="single" w:sz="4" w:space="0" w:color="auto"/>
            </w:tcBorders>
            <w:shd w:val="clear" w:color="auto" w:fill="FFE599" w:themeFill="accent4" w:themeFillTint="66"/>
            <w:noWrap/>
            <w:vAlign w:val="bottom"/>
            <w:hideMark/>
          </w:tcPr>
          <w:p w14:paraId="791C4EF9"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-23,8%</w:t>
            </w:r>
          </w:p>
        </w:tc>
      </w:tr>
      <w:tr w:rsidR="001F4BE1" w14:paraId="0A47AEFF" w14:textId="77777777" w:rsidTr="001F4BE1">
        <w:trPr>
          <w:trHeight w:val="300"/>
        </w:trPr>
        <w:tc>
          <w:tcPr>
            <w:tcW w:w="2835" w:type="dxa"/>
            <w:tcBorders>
              <w:top w:val="nil"/>
              <w:left w:val="single" w:sz="4" w:space="0" w:color="auto"/>
              <w:bottom w:val="single" w:sz="4" w:space="0" w:color="auto"/>
              <w:right w:val="single" w:sz="4" w:space="0" w:color="auto"/>
            </w:tcBorders>
            <w:shd w:val="clear" w:color="auto" w:fill="FFD966" w:themeFill="accent4" w:themeFillTint="99"/>
            <w:noWrap/>
            <w:vAlign w:val="bottom"/>
            <w:hideMark/>
          </w:tcPr>
          <w:p w14:paraId="1F6D9D90" w14:textId="77777777" w:rsidR="001F4BE1" w:rsidRDefault="001F4BE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Non-Current Asset Turnover</w:t>
            </w:r>
          </w:p>
        </w:tc>
        <w:tc>
          <w:tcPr>
            <w:tcW w:w="1560" w:type="dxa"/>
            <w:tcBorders>
              <w:top w:val="nil"/>
              <w:left w:val="nil"/>
              <w:bottom w:val="single" w:sz="4" w:space="0" w:color="auto"/>
              <w:right w:val="single" w:sz="4" w:space="0" w:color="auto"/>
            </w:tcBorders>
            <w:shd w:val="clear" w:color="auto" w:fill="FFE599" w:themeFill="accent4" w:themeFillTint="66"/>
            <w:noWrap/>
            <w:vAlign w:val="bottom"/>
            <w:hideMark/>
          </w:tcPr>
          <w:p w14:paraId="4B42604C"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289 p</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4C752C49"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250 p</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4630BCD8"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39 p</w:t>
            </w:r>
          </w:p>
        </w:tc>
        <w:tc>
          <w:tcPr>
            <w:tcW w:w="2126" w:type="dxa"/>
            <w:tcBorders>
              <w:top w:val="nil"/>
              <w:left w:val="nil"/>
              <w:bottom w:val="single" w:sz="4" w:space="0" w:color="auto"/>
              <w:right w:val="single" w:sz="4" w:space="0" w:color="auto"/>
            </w:tcBorders>
            <w:shd w:val="clear" w:color="auto" w:fill="FFE599" w:themeFill="accent4" w:themeFillTint="66"/>
            <w:noWrap/>
            <w:vAlign w:val="bottom"/>
            <w:hideMark/>
          </w:tcPr>
          <w:p w14:paraId="56C97984"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15,6 %</w:t>
            </w:r>
          </w:p>
        </w:tc>
      </w:tr>
      <w:tr w:rsidR="001F4BE1" w14:paraId="3E00E3C7" w14:textId="77777777" w:rsidTr="001F4BE1">
        <w:trPr>
          <w:trHeight w:val="300"/>
        </w:trPr>
        <w:tc>
          <w:tcPr>
            <w:tcW w:w="2835" w:type="dxa"/>
            <w:tcBorders>
              <w:top w:val="nil"/>
              <w:left w:val="single" w:sz="4" w:space="0" w:color="auto"/>
              <w:bottom w:val="single" w:sz="4" w:space="0" w:color="auto"/>
              <w:right w:val="single" w:sz="4" w:space="0" w:color="auto"/>
            </w:tcBorders>
            <w:shd w:val="clear" w:color="auto" w:fill="FFD966" w:themeFill="accent4" w:themeFillTint="99"/>
            <w:noWrap/>
            <w:vAlign w:val="bottom"/>
            <w:hideMark/>
          </w:tcPr>
          <w:p w14:paraId="7B1131A4" w14:textId="77777777" w:rsidR="001F4BE1" w:rsidRDefault="001F4BE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Current Ratio</w:t>
            </w:r>
          </w:p>
        </w:tc>
        <w:tc>
          <w:tcPr>
            <w:tcW w:w="1560" w:type="dxa"/>
            <w:tcBorders>
              <w:top w:val="nil"/>
              <w:left w:val="nil"/>
              <w:bottom w:val="single" w:sz="4" w:space="0" w:color="auto"/>
              <w:right w:val="single" w:sz="4" w:space="0" w:color="auto"/>
            </w:tcBorders>
            <w:shd w:val="clear" w:color="auto" w:fill="FFE599" w:themeFill="accent4" w:themeFillTint="66"/>
            <w:noWrap/>
            <w:vAlign w:val="bottom"/>
            <w:hideMark/>
          </w:tcPr>
          <w:p w14:paraId="5DAA6BF1"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1,9 times</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6DFBF70E"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1,8 times</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7641D39C"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0,1 times</w:t>
            </w:r>
          </w:p>
        </w:tc>
        <w:tc>
          <w:tcPr>
            <w:tcW w:w="2126" w:type="dxa"/>
            <w:tcBorders>
              <w:top w:val="nil"/>
              <w:left w:val="nil"/>
              <w:bottom w:val="single" w:sz="4" w:space="0" w:color="auto"/>
              <w:right w:val="single" w:sz="4" w:space="0" w:color="auto"/>
            </w:tcBorders>
            <w:shd w:val="clear" w:color="auto" w:fill="FFE599" w:themeFill="accent4" w:themeFillTint="66"/>
            <w:noWrap/>
            <w:vAlign w:val="bottom"/>
            <w:hideMark/>
          </w:tcPr>
          <w:p w14:paraId="56600DDE"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5,5%</w:t>
            </w:r>
          </w:p>
        </w:tc>
      </w:tr>
      <w:tr w:rsidR="001F4BE1" w14:paraId="5239BCC8" w14:textId="77777777" w:rsidTr="001F4BE1">
        <w:trPr>
          <w:trHeight w:val="300"/>
        </w:trPr>
        <w:tc>
          <w:tcPr>
            <w:tcW w:w="2835" w:type="dxa"/>
            <w:tcBorders>
              <w:top w:val="nil"/>
              <w:left w:val="single" w:sz="4" w:space="0" w:color="auto"/>
              <w:bottom w:val="single" w:sz="4" w:space="0" w:color="auto"/>
              <w:right w:val="single" w:sz="4" w:space="0" w:color="auto"/>
            </w:tcBorders>
            <w:shd w:val="clear" w:color="auto" w:fill="FFD966" w:themeFill="accent4" w:themeFillTint="99"/>
            <w:noWrap/>
            <w:vAlign w:val="bottom"/>
            <w:hideMark/>
          </w:tcPr>
          <w:p w14:paraId="432F12DF" w14:textId="77777777" w:rsidR="001F4BE1" w:rsidRDefault="001F4BE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Acid Test or Quick Ratio</w:t>
            </w:r>
          </w:p>
        </w:tc>
        <w:tc>
          <w:tcPr>
            <w:tcW w:w="1560" w:type="dxa"/>
            <w:tcBorders>
              <w:top w:val="nil"/>
              <w:left w:val="nil"/>
              <w:bottom w:val="single" w:sz="4" w:space="0" w:color="auto"/>
              <w:right w:val="single" w:sz="4" w:space="0" w:color="auto"/>
            </w:tcBorders>
            <w:shd w:val="clear" w:color="auto" w:fill="FFE599" w:themeFill="accent4" w:themeFillTint="66"/>
            <w:noWrap/>
            <w:vAlign w:val="bottom"/>
            <w:hideMark/>
          </w:tcPr>
          <w:p w14:paraId="7FF3DD15"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1,2 times</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49757A4C"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1,1 times</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3AE17F44"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0,1 times</w:t>
            </w:r>
          </w:p>
        </w:tc>
        <w:tc>
          <w:tcPr>
            <w:tcW w:w="2126" w:type="dxa"/>
            <w:tcBorders>
              <w:top w:val="nil"/>
              <w:left w:val="nil"/>
              <w:bottom w:val="single" w:sz="4" w:space="0" w:color="auto"/>
              <w:right w:val="single" w:sz="4" w:space="0" w:color="auto"/>
            </w:tcBorders>
            <w:shd w:val="clear" w:color="auto" w:fill="FFE599" w:themeFill="accent4" w:themeFillTint="66"/>
            <w:noWrap/>
            <w:vAlign w:val="bottom"/>
            <w:hideMark/>
          </w:tcPr>
          <w:p w14:paraId="77DC1C61"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9%</w:t>
            </w:r>
          </w:p>
        </w:tc>
      </w:tr>
      <w:tr w:rsidR="001F4BE1" w14:paraId="4CEE6253" w14:textId="77777777" w:rsidTr="001F4BE1">
        <w:trPr>
          <w:trHeight w:val="300"/>
        </w:trPr>
        <w:tc>
          <w:tcPr>
            <w:tcW w:w="2835" w:type="dxa"/>
            <w:tcBorders>
              <w:top w:val="nil"/>
              <w:left w:val="single" w:sz="4" w:space="0" w:color="auto"/>
              <w:bottom w:val="single" w:sz="4" w:space="0" w:color="auto"/>
              <w:right w:val="single" w:sz="4" w:space="0" w:color="auto"/>
            </w:tcBorders>
            <w:shd w:val="clear" w:color="auto" w:fill="FFD966" w:themeFill="accent4" w:themeFillTint="99"/>
            <w:noWrap/>
            <w:vAlign w:val="bottom"/>
            <w:hideMark/>
          </w:tcPr>
          <w:p w14:paraId="0C0C3521" w14:textId="77777777" w:rsidR="001F4BE1" w:rsidRDefault="001F4BE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Creditor Days</w:t>
            </w:r>
          </w:p>
        </w:tc>
        <w:tc>
          <w:tcPr>
            <w:tcW w:w="1560" w:type="dxa"/>
            <w:tcBorders>
              <w:top w:val="nil"/>
              <w:left w:val="nil"/>
              <w:bottom w:val="single" w:sz="4" w:space="0" w:color="auto"/>
              <w:right w:val="single" w:sz="4" w:space="0" w:color="auto"/>
            </w:tcBorders>
            <w:shd w:val="clear" w:color="auto" w:fill="FFE599" w:themeFill="accent4" w:themeFillTint="66"/>
            <w:noWrap/>
            <w:vAlign w:val="bottom"/>
            <w:hideMark/>
          </w:tcPr>
          <w:p w14:paraId="4B5ED8C0"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86,7 days</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10AE2C92"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84,3 days</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04F0A952"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2,4 days</w:t>
            </w:r>
          </w:p>
        </w:tc>
        <w:tc>
          <w:tcPr>
            <w:tcW w:w="2126" w:type="dxa"/>
            <w:tcBorders>
              <w:top w:val="nil"/>
              <w:left w:val="nil"/>
              <w:bottom w:val="single" w:sz="4" w:space="0" w:color="auto"/>
              <w:right w:val="single" w:sz="4" w:space="0" w:color="auto"/>
            </w:tcBorders>
            <w:shd w:val="clear" w:color="auto" w:fill="FFE599" w:themeFill="accent4" w:themeFillTint="66"/>
            <w:noWrap/>
            <w:vAlign w:val="bottom"/>
            <w:hideMark/>
          </w:tcPr>
          <w:p w14:paraId="1F9C5ED2"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2,8 %</w:t>
            </w:r>
          </w:p>
        </w:tc>
      </w:tr>
      <w:tr w:rsidR="001F4BE1" w14:paraId="43E486AB" w14:textId="77777777" w:rsidTr="001F4BE1">
        <w:trPr>
          <w:trHeight w:val="300"/>
        </w:trPr>
        <w:tc>
          <w:tcPr>
            <w:tcW w:w="2835" w:type="dxa"/>
            <w:tcBorders>
              <w:top w:val="nil"/>
              <w:left w:val="single" w:sz="4" w:space="0" w:color="auto"/>
              <w:bottom w:val="single" w:sz="4" w:space="0" w:color="auto"/>
              <w:right w:val="single" w:sz="4" w:space="0" w:color="auto"/>
            </w:tcBorders>
            <w:shd w:val="clear" w:color="auto" w:fill="FFD966" w:themeFill="accent4" w:themeFillTint="99"/>
            <w:noWrap/>
            <w:vAlign w:val="bottom"/>
            <w:hideMark/>
          </w:tcPr>
          <w:p w14:paraId="703EE14B" w14:textId="77777777" w:rsidR="001F4BE1" w:rsidRDefault="001F4BE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Debtor days</w:t>
            </w:r>
          </w:p>
        </w:tc>
        <w:tc>
          <w:tcPr>
            <w:tcW w:w="1560" w:type="dxa"/>
            <w:tcBorders>
              <w:top w:val="nil"/>
              <w:left w:val="nil"/>
              <w:bottom w:val="single" w:sz="4" w:space="0" w:color="auto"/>
              <w:right w:val="single" w:sz="4" w:space="0" w:color="auto"/>
            </w:tcBorders>
            <w:shd w:val="clear" w:color="auto" w:fill="FFE599" w:themeFill="accent4" w:themeFillTint="66"/>
            <w:noWrap/>
            <w:vAlign w:val="bottom"/>
            <w:hideMark/>
          </w:tcPr>
          <w:p w14:paraId="3755DD9A"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59,9 days</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74233163"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60,9 days</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052A9802"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 days</w:t>
            </w:r>
          </w:p>
        </w:tc>
        <w:tc>
          <w:tcPr>
            <w:tcW w:w="2126" w:type="dxa"/>
            <w:tcBorders>
              <w:top w:val="nil"/>
              <w:left w:val="nil"/>
              <w:bottom w:val="single" w:sz="4" w:space="0" w:color="auto"/>
              <w:right w:val="single" w:sz="4" w:space="0" w:color="auto"/>
            </w:tcBorders>
            <w:shd w:val="clear" w:color="auto" w:fill="FFE599" w:themeFill="accent4" w:themeFillTint="66"/>
            <w:noWrap/>
            <w:vAlign w:val="bottom"/>
            <w:hideMark/>
          </w:tcPr>
          <w:p w14:paraId="4E162DB6"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-1,6 %</w:t>
            </w:r>
          </w:p>
        </w:tc>
      </w:tr>
      <w:tr w:rsidR="001F4BE1" w14:paraId="7E88446F" w14:textId="77777777" w:rsidTr="001F4BE1">
        <w:trPr>
          <w:trHeight w:val="300"/>
        </w:trPr>
        <w:tc>
          <w:tcPr>
            <w:tcW w:w="2835" w:type="dxa"/>
            <w:tcBorders>
              <w:top w:val="nil"/>
              <w:left w:val="single" w:sz="4" w:space="0" w:color="auto"/>
              <w:bottom w:val="single" w:sz="4" w:space="0" w:color="auto"/>
              <w:right w:val="single" w:sz="4" w:space="0" w:color="auto"/>
            </w:tcBorders>
            <w:shd w:val="clear" w:color="auto" w:fill="FFD966" w:themeFill="accent4" w:themeFillTint="99"/>
            <w:noWrap/>
            <w:vAlign w:val="bottom"/>
            <w:hideMark/>
          </w:tcPr>
          <w:p w14:paraId="310F2903" w14:textId="77777777" w:rsidR="001F4BE1" w:rsidRDefault="001F4BE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Gearing 1</w:t>
            </w:r>
          </w:p>
        </w:tc>
        <w:tc>
          <w:tcPr>
            <w:tcW w:w="1560" w:type="dxa"/>
            <w:tcBorders>
              <w:top w:val="nil"/>
              <w:left w:val="nil"/>
              <w:bottom w:val="single" w:sz="4" w:space="0" w:color="auto"/>
              <w:right w:val="single" w:sz="4" w:space="0" w:color="auto"/>
            </w:tcBorders>
            <w:shd w:val="clear" w:color="auto" w:fill="FFE599" w:themeFill="accent4" w:themeFillTint="66"/>
            <w:noWrap/>
            <w:vAlign w:val="bottom"/>
            <w:hideMark/>
          </w:tcPr>
          <w:p w14:paraId="2DA5183B"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41,4%</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319F557E"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61,3%</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489F963E"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-19,9 %</w:t>
            </w:r>
          </w:p>
        </w:tc>
        <w:tc>
          <w:tcPr>
            <w:tcW w:w="2126" w:type="dxa"/>
            <w:tcBorders>
              <w:top w:val="nil"/>
              <w:left w:val="nil"/>
              <w:bottom w:val="single" w:sz="4" w:space="0" w:color="auto"/>
              <w:right w:val="single" w:sz="4" w:space="0" w:color="auto"/>
            </w:tcBorders>
            <w:shd w:val="clear" w:color="auto" w:fill="FFE599" w:themeFill="accent4" w:themeFillTint="66"/>
            <w:noWrap/>
            <w:vAlign w:val="bottom"/>
            <w:hideMark/>
          </w:tcPr>
          <w:p w14:paraId="2D53AFB3"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-32,4%</w:t>
            </w:r>
          </w:p>
        </w:tc>
      </w:tr>
      <w:tr w:rsidR="001F4BE1" w14:paraId="2BEE45B8" w14:textId="77777777" w:rsidTr="001F4BE1">
        <w:trPr>
          <w:trHeight w:val="300"/>
        </w:trPr>
        <w:tc>
          <w:tcPr>
            <w:tcW w:w="2835" w:type="dxa"/>
            <w:tcBorders>
              <w:top w:val="nil"/>
              <w:left w:val="single" w:sz="4" w:space="0" w:color="auto"/>
              <w:bottom w:val="single" w:sz="4" w:space="0" w:color="auto"/>
              <w:right w:val="single" w:sz="4" w:space="0" w:color="auto"/>
            </w:tcBorders>
            <w:shd w:val="clear" w:color="auto" w:fill="FFD966" w:themeFill="accent4" w:themeFillTint="99"/>
            <w:noWrap/>
            <w:vAlign w:val="bottom"/>
            <w:hideMark/>
          </w:tcPr>
          <w:p w14:paraId="4CB6516E" w14:textId="77777777" w:rsidR="001F4BE1" w:rsidRDefault="001F4BE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Gearing 2</w:t>
            </w:r>
          </w:p>
        </w:tc>
        <w:tc>
          <w:tcPr>
            <w:tcW w:w="1560" w:type="dxa"/>
            <w:tcBorders>
              <w:top w:val="nil"/>
              <w:left w:val="nil"/>
              <w:bottom w:val="single" w:sz="4" w:space="0" w:color="auto"/>
              <w:right w:val="single" w:sz="4" w:space="0" w:color="auto"/>
            </w:tcBorders>
            <w:shd w:val="clear" w:color="auto" w:fill="FFE599" w:themeFill="accent4" w:themeFillTint="66"/>
            <w:noWrap/>
            <w:vAlign w:val="bottom"/>
            <w:hideMark/>
          </w:tcPr>
          <w:p w14:paraId="095ED396"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29,3%</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15E7E72E"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38%</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7C9C8056"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-8,7%</w:t>
            </w:r>
          </w:p>
        </w:tc>
        <w:tc>
          <w:tcPr>
            <w:tcW w:w="2126" w:type="dxa"/>
            <w:tcBorders>
              <w:top w:val="nil"/>
              <w:left w:val="nil"/>
              <w:bottom w:val="single" w:sz="4" w:space="0" w:color="auto"/>
              <w:right w:val="single" w:sz="4" w:space="0" w:color="auto"/>
            </w:tcBorders>
            <w:shd w:val="clear" w:color="auto" w:fill="FFE599" w:themeFill="accent4" w:themeFillTint="66"/>
            <w:noWrap/>
            <w:vAlign w:val="bottom"/>
            <w:hideMark/>
          </w:tcPr>
          <w:p w14:paraId="1AF45F07"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-22,8%</w:t>
            </w:r>
          </w:p>
        </w:tc>
      </w:tr>
      <w:tr w:rsidR="001F4BE1" w14:paraId="2C5BF980" w14:textId="77777777" w:rsidTr="001F4BE1">
        <w:trPr>
          <w:trHeight w:val="300"/>
        </w:trPr>
        <w:tc>
          <w:tcPr>
            <w:tcW w:w="2835" w:type="dxa"/>
            <w:tcBorders>
              <w:top w:val="nil"/>
              <w:left w:val="single" w:sz="4" w:space="0" w:color="auto"/>
              <w:bottom w:val="single" w:sz="4" w:space="0" w:color="auto"/>
              <w:right w:val="single" w:sz="4" w:space="0" w:color="auto"/>
            </w:tcBorders>
            <w:shd w:val="clear" w:color="auto" w:fill="FFD966" w:themeFill="accent4" w:themeFillTint="99"/>
            <w:noWrap/>
            <w:vAlign w:val="bottom"/>
            <w:hideMark/>
          </w:tcPr>
          <w:p w14:paraId="6EF563D4" w14:textId="77777777" w:rsidR="001F4BE1" w:rsidRDefault="001F4BE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Interest Cover</w:t>
            </w:r>
          </w:p>
        </w:tc>
        <w:tc>
          <w:tcPr>
            <w:tcW w:w="1560" w:type="dxa"/>
            <w:tcBorders>
              <w:top w:val="nil"/>
              <w:left w:val="nil"/>
              <w:bottom w:val="single" w:sz="4" w:space="0" w:color="auto"/>
              <w:right w:val="single" w:sz="4" w:space="0" w:color="auto"/>
            </w:tcBorders>
            <w:shd w:val="clear" w:color="auto" w:fill="FFE599" w:themeFill="accent4" w:themeFillTint="66"/>
            <w:noWrap/>
            <w:vAlign w:val="bottom"/>
            <w:hideMark/>
          </w:tcPr>
          <w:p w14:paraId="5703C0DD"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12 times</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460ABA13"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8,2 times</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249131F0"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3,8 times</w:t>
            </w:r>
          </w:p>
        </w:tc>
        <w:tc>
          <w:tcPr>
            <w:tcW w:w="2126" w:type="dxa"/>
            <w:tcBorders>
              <w:top w:val="nil"/>
              <w:left w:val="nil"/>
              <w:bottom w:val="single" w:sz="4" w:space="0" w:color="auto"/>
              <w:right w:val="single" w:sz="4" w:space="0" w:color="auto"/>
            </w:tcBorders>
            <w:shd w:val="clear" w:color="auto" w:fill="FFE599" w:themeFill="accent4" w:themeFillTint="66"/>
            <w:noWrap/>
            <w:vAlign w:val="bottom"/>
            <w:hideMark/>
          </w:tcPr>
          <w:p w14:paraId="71357F27"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46,3%</w:t>
            </w:r>
          </w:p>
        </w:tc>
      </w:tr>
      <w:tr w:rsidR="001F4BE1" w14:paraId="152C867A" w14:textId="77777777" w:rsidTr="001F4BE1">
        <w:trPr>
          <w:trHeight w:val="300"/>
        </w:trPr>
        <w:tc>
          <w:tcPr>
            <w:tcW w:w="2835" w:type="dxa"/>
            <w:tcBorders>
              <w:top w:val="nil"/>
              <w:left w:val="single" w:sz="4" w:space="0" w:color="auto"/>
              <w:bottom w:val="single" w:sz="4" w:space="0" w:color="auto"/>
              <w:right w:val="single" w:sz="4" w:space="0" w:color="auto"/>
            </w:tcBorders>
            <w:shd w:val="clear" w:color="auto" w:fill="FFD966" w:themeFill="accent4" w:themeFillTint="99"/>
            <w:noWrap/>
            <w:vAlign w:val="bottom"/>
            <w:hideMark/>
          </w:tcPr>
          <w:p w14:paraId="5F7F6091" w14:textId="77777777" w:rsidR="001F4BE1" w:rsidRDefault="001F4BE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Earnings per Share (EPS)</w:t>
            </w:r>
          </w:p>
        </w:tc>
        <w:tc>
          <w:tcPr>
            <w:tcW w:w="1560" w:type="dxa"/>
            <w:tcBorders>
              <w:top w:val="nil"/>
              <w:left w:val="nil"/>
              <w:bottom w:val="single" w:sz="4" w:space="0" w:color="auto"/>
              <w:right w:val="single" w:sz="4" w:space="0" w:color="auto"/>
            </w:tcBorders>
            <w:shd w:val="clear" w:color="auto" w:fill="FFE599" w:themeFill="accent4" w:themeFillTint="66"/>
            <w:noWrap/>
            <w:vAlign w:val="bottom"/>
            <w:hideMark/>
          </w:tcPr>
          <w:p w14:paraId="34A875F1"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63 pence</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3DC15B2B"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51 pence</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3DD35870"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12 pence</w:t>
            </w:r>
          </w:p>
        </w:tc>
        <w:tc>
          <w:tcPr>
            <w:tcW w:w="2126" w:type="dxa"/>
            <w:tcBorders>
              <w:top w:val="nil"/>
              <w:left w:val="nil"/>
              <w:bottom w:val="single" w:sz="4" w:space="0" w:color="auto"/>
              <w:right w:val="single" w:sz="4" w:space="0" w:color="auto"/>
            </w:tcBorders>
            <w:shd w:val="clear" w:color="auto" w:fill="FFE599" w:themeFill="accent4" w:themeFillTint="66"/>
            <w:noWrap/>
            <w:vAlign w:val="bottom"/>
            <w:hideMark/>
          </w:tcPr>
          <w:p w14:paraId="6FF49607"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23,5 %</w:t>
            </w:r>
          </w:p>
        </w:tc>
      </w:tr>
      <w:tr w:rsidR="001F4BE1" w14:paraId="605081E8" w14:textId="77777777" w:rsidTr="001F4BE1">
        <w:trPr>
          <w:trHeight w:val="300"/>
        </w:trPr>
        <w:tc>
          <w:tcPr>
            <w:tcW w:w="2835" w:type="dxa"/>
            <w:tcBorders>
              <w:top w:val="nil"/>
              <w:left w:val="single" w:sz="4" w:space="0" w:color="auto"/>
              <w:bottom w:val="single" w:sz="4" w:space="0" w:color="auto"/>
              <w:right w:val="single" w:sz="4" w:space="0" w:color="auto"/>
            </w:tcBorders>
            <w:shd w:val="clear" w:color="auto" w:fill="FFD966" w:themeFill="accent4" w:themeFillTint="99"/>
            <w:noWrap/>
            <w:vAlign w:val="bottom"/>
            <w:hideMark/>
          </w:tcPr>
          <w:p w14:paraId="682FBA94" w14:textId="77777777" w:rsidR="001F4BE1" w:rsidRDefault="001F4BE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Price Earnings Ratio(P/E)</w:t>
            </w:r>
          </w:p>
        </w:tc>
        <w:tc>
          <w:tcPr>
            <w:tcW w:w="1560" w:type="dxa"/>
            <w:tcBorders>
              <w:top w:val="nil"/>
              <w:left w:val="nil"/>
              <w:bottom w:val="single" w:sz="4" w:space="0" w:color="auto"/>
              <w:right w:val="single" w:sz="4" w:space="0" w:color="auto"/>
            </w:tcBorders>
            <w:shd w:val="clear" w:color="auto" w:fill="FFE599" w:themeFill="accent4" w:themeFillTint="66"/>
            <w:noWrap/>
            <w:vAlign w:val="bottom"/>
            <w:hideMark/>
          </w:tcPr>
          <w:p w14:paraId="0A15ABD1"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5,5 years</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7C6D218D"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5,4 years</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01AD1A02"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0,1 years</w:t>
            </w:r>
          </w:p>
        </w:tc>
        <w:tc>
          <w:tcPr>
            <w:tcW w:w="2126" w:type="dxa"/>
            <w:tcBorders>
              <w:top w:val="nil"/>
              <w:left w:val="nil"/>
              <w:bottom w:val="single" w:sz="4" w:space="0" w:color="auto"/>
              <w:right w:val="single" w:sz="4" w:space="0" w:color="auto"/>
            </w:tcBorders>
            <w:shd w:val="clear" w:color="auto" w:fill="FFE599" w:themeFill="accent4" w:themeFillTint="66"/>
            <w:noWrap/>
            <w:vAlign w:val="bottom"/>
            <w:hideMark/>
          </w:tcPr>
          <w:p w14:paraId="68CB74E6"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1,8%</w:t>
            </w:r>
          </w:p>
        </w:tc>
      </w:tr>
      <w:tr w:rsidR="001F4BE1" w14:paraId="09B8050E" w14:textId="77777777" w:rsidTr="001F4BE1">
        <w:trPr>
          <w:trHeight w:val="300"/>
        </w:trPr>
        <w:tc>
          <w:tcPr>
            <w:tcW w:w="2835" w:type="dxa"/>
            <w:tcBorders>
              <w:top w:val="nil"/>
              <w:left w:val="single" w:sz="4" w:space="0" w:color="auto"/>
              <w:bottom w:val="single" w:sz="4" w:space="0" w:color="auto"/>
              <w:right w:val="single" w:sz="4" w:space="0" w:color="auto"/>
            </w:tcBorders>
            <w:shd w:val="clear" w:color="auto" w:fill="FFD966" w:themeFill="accent4" w:themeFillTint="99"/>
            <w:noWrap/>
            <w:vAlign w:val="bottom"/>
            <w:hideMark/>
          </w:tcPr>
          <w:p w14:paraId="0B9496C6" w14:textId="77777777" w:rsidR="001F4BE1" w:rsidRDefault="001F4BE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Dividends per Share(dps)</w:t>
            </w:r>
          </w:p>
        </w:tc>
        <w:tc>
          <w:tcPr>
            <w:tcW w:w="1560" w:type="dxa"/>
            <w:tcBorders>
              <w:top w:val="nil"/>
              <w:left w:val="nil"/>
              <w:bottom w:val="single" w:sz="4" w:space="0" w:color="auto"/>
              <w:right w:val="single" w:sz="4" w:space="0" w:color="auto"/>
            </w:tcBorders>
            <w:shd w:val="clear" w:color="auto" w:fill="FFE599" w:themeFill="accent4" w:themeFillTint="66"/>
            <w:noWrap/>
            <w:vAlign w:val="bottom"/>
            <w:hideMark/>
          </w:tcPr>
          <w:p w14:paraId="5E68D636"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33 pence</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76EEBCDE"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30 pence</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3FD07607"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 pence</w:t>
            </w:r>
          </w:p>
        </w:tc>
        <w:tc>
          <w:tcPr>
            <w:tcW w:w="2126" w:type="dxa"/>
            <w:tcBorders>
              <w:top w:val="nil"/>
              <w:left w:val="nil"/>
              <w:bottom w:val="single" w:sz="4" w:space="0" w:color="auto"/>
              <w:right w:val="single" w:sz="4" w:space="0" w:color="auto"/>
            </w:tcBorders>
            <w:shd w:val="clear" w:color="auto" w:fill="FFE599" w:themeFill="accent4" w:themeFillTint="66"/>
            <w:noWrap/>
            <w:vAlign w:val="bottom"/>
            <w:hideMark/>
          </w:tcPr>
          <w:p w14:paraId="3B4CBB3E"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10%</w:t>
            </w:r>
          </w:p>
        </w:tc>
      </w:tr>
      <w:tr w:rsidR="001F4BE1" w14:paraId="0BF6BF4F" w14:textId="77777777" w:rsidTr="001F4BE1">
        <w:trPr>
          <w:trHeight w:val="300"/>
        </w:trPr>
        <w:tc>
          <w:tcPr>
            <w:tcW w:w="2835" w:type="dxa"/>
            <w:tcBorders>
              <w:top w:val="nil"/>
              <w:left w:val="single" w:sz="4" w:space="0" w:color="auto"/>
              <w:bottom w:val="single" w:sz="4" w:space="0" w:color="auto"/>
              <w:right w:val="single" w:sz="4" w:space="0" w:color="auto"/>
            </w:tcBorders>
            <w:shd w:val="clear" w:color="auto" w:fill="FFD966" w:themeFill="accent4" w:themeFillTint="99"/>
            <w:noWrap/>
            <w:vAlign w:val="bottom"/>
            <w:hideMark/>
          </w:tcPr>
          <w:p w14:paraId="73A6A128" w14:textId="77777777" w:rsidR="001F4BE1" w:rsidRDefault="001F4BE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Dividend Percentage Pay-out</w:t>
            </w:r>
          </w:p>
        </w:tc>
        <w:tc>
          <w:tcPr>
            <w:tcW w:w="1560" w:type="dxa"/>
            <w:tcBorders>
              <w:top w:val="nil"/>
              <w:left w:val="nil"/>
              <w:bottom w:val="single" w:sz="4" w:space="0" w:color="auto"/>
              <w:right w:val="single" w:sz="4" w:space="0" w:color="auto"/>
            </w:tcBorders>
            <w:shd w:val="clear" w:color="auto" w:fill="FFE599" w:themeFill="accent4" w:themeFillTint="66"/>
            <w:noWrap/>
            <w:vAlign w:val="bottom"/>
            <w:hideMark/>
          </w:tcPr>
          <w:p w14:paraId="5A8168C7"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52,3%</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319D6DD7"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58,8%</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7F8B98E2"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-6,5%</w:t>
            </w:r>
          </w:p>
        </w:tc>
        <w:tc>
          <w:tcPr>
            <w:tcW w:w="2126" w:type="dxa"/>
            <w:tcBorders>
              <w:top w:val="nil"/>
              <w:left w:val="nil"/>
              <w:bottom w:val="single" w:sz="4" w:space="0" w:color="auto"/>
              <w:right w:val="single" w:sz="4" w:space="0" w:color="auto"/>
            </w:tcBorders>
            <w:shd w:val="clear" w:color="auto" w:fill="FFE599" w:themeFill="accent4" w:themeFillTint="66"/>
            <w:noWrap/>
            <w:vAlign w:val="bottom"/>
            <w:hideMark/>
          </w:tcPr>
          <w:p w14:paraId="297516C1"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-11%</w:t>
            </w:r>
          </w:p>
        </w:tc>
      </w:tr>
    </w:tbl>
    <w:p w14:paraId="14160155" w14:textId="77777777" w:rsidR="001F4BE1" w:rsidRDefault="001F4BE1" w:rsidP="001F4BE1">
      <w:pPr>
        <w:jc w:val="both"/>
        <w:rPr>
          <w:rFonts w:ascii="Arial" w:hAnsi="Arial" w:cs="Arial"/>
          <w:bCs/>
          <w:sz w:val="24"/>
          <w:szCs w:val="24"/>
        </w:rPr>
      </w:pPr>
    </w:p>
    <w:p w14:paraId="639C62AC" w14:textId="77777777" w:rsidR="001F4BE1" w:rsidRPr="00986227" w:rsidRDefault="00986227" w:rsidP="00986227">
      <w:pPr>
        <w:rPr>
          <w:sz w:val="24"/>
          <w:szCs w:val="24"/>
        </w:rPr>
      </w:pPr>
      <w:r>
        <w:rPr>
          <w:sz w:val="24"/>
          <w:szCs w:val="24"/>
        </w:rPr>
        <w:t xml:space="preserve"> </w:t>
      </w:r>
    </w:p>
    <w:tbl>
      <w:tblPr>
        <w:tblW w:w="11135" w:type="dxa"/>
        <w:tblInd w:w="-1052" w:type="dxa"/>
        <w:tblLook w:val="04A0" w:firstRow="1" w:lastRow="0" w:firstColumn="1" w:lastColumn="0" w:noHBand="0" w:noVBand="1"/>
      </w:tblPr>
      <w:tblGrid>
        <w:gridCol w:w="4536"/>
        <w:gridCol w:w="1218"/>
        <w:gridCol w:w="1334"/>
        <w:gridCol w:w="1276"/>
        <w:gridCol w:w="1559"/>
        <w:gridCol w:w="1459"/>
      </w:tblGrid>
      <w:tr w:rsidR="001F4BE1" w14:paraId="1CD2AD22" w14:textId="77777777" w:rsidTr="001F4BE1">
        <w:trPr>
          <w:trHeight w:val="604"/>
        </w:trPr>
        <w:tc>
          <w:tcPr>
            <w:tcW w:w="4536" w:type="dxa"/>
            <w:tcBorders>
              <w:right w:val="single" w:sz="4" w:space="0" w:color="auto"/>
            </w:tcBorders>
            <w:shd w:val="clear" w:color="auto" w:fill="FFC000" w:themeFill="accent4"/>
            <w:noWrap/>
            <w:vAlign w:val="bottom"/>
            <w:hideMark/>
          </w:tcPr>
          <w:p w14:paraId="01823C0D" w14:textId="77777777" w:rsidR="001F4BE1" w:rsidRDefault="001F4BE1">
            <w:pPr>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Assessing liquidity</w:t>
            </w:r>
          </w:p>
        </w:tc>
        <w:tc>
          <w:tcPr>
            <w:tcW w:w="1218" w:type="dxa"/>
            <w:tcBorders>
              <w:top w:val="single" w:sz="4" w:space="0" w:color="auto"/>
              <w:left w:val="single" w:sz="4" w:space="0" w:color="auto"/>
              <w:bottom w:val="single" w:sz="4" w:space="0" w:color="auto"/>
              <w:right w:val="single" w:sz="4" w:space="0" w:color="auto"/>
            </w:tcBorders>
            <w:noWrap/>
            <w:vAlign w:val="bottom"/>
            <w:hideMark/>
          </w:tcPr>
          <w:p w14:paraId="7C4670D9" w14:textId="77777777" w:rsidR="001F4BE1" w:rsidRDefault="001F4BE1">
            <w:pPr>
              <w:rPr>
                <w:rFonts w:ascii="Arial" w:eastAsia="Times New Roman" w:hAnsi="Arial" w:cs="Arial"/>
                <w:b/>
                <w:bCs/>
                <w:color w:val="000000"/>
                <w:sz w:val="24"/>
                <w:szCs w:val="24"/>
                <w:lang w:eastAsia="en-GB"/>
              </w:rPr>
            </w:pPr>
          </w:p>
        </w:tc>
        <w:tc>
          <w:tcPr>
            <w:tcW w:w="1334" w:type="dxa"/>
            <w:tcBorders>
              <w:top w:val="single" w:sz="4" w:space="0" w:color="auto"/>
              <w:left w:val="single" w:sz="4" w:space="0" w:color="auto"/>
              <w:bottom w:val="single" w:sz="4" w:space="0" w:color="auto"/>
              <w:right w:val="single" w:sz="4" w:space="0" w:color="auto"/>
            </w:tcBorders>
            <w:noWrap/>
            <w:vAlign w:val="bottom"/>
            <w:hideMark/>
          </w:tcPr>
          <w:p w14:paraId="35642287" w14:textId="77777777" w:rsidR="001F4BE1" w:rsidRDefault="001F4BE1">
            <w:pPr>
              <w:spacing w:after="0" w:line="256" w:lineRule="auto"/>
              <w:rPr>
                <w:sz w:val="20"/>
                <w:szCs w:val="20"/>
                <w:lang w:eastAsia="en-GB"/>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5D8D776C" w14:textId="77777777" w:rsidR="001F4BE1" w:rsidRDefault="001F4BE1">
            <w:pPr>
              <w:spacing w:after="0" w:line="256" w:lineRule="auto"/>
              <w:rPr>
                <w:sz w:val="20"/>
                <w:szCs w:val="20"/>
                <w:lang w:eastAsia="en-GB"/>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172B5708" w14:textId="77777777" w:rsidR="001F4BE1" w:rsidRDefault="001F4BE1">
            <w:pPr>
              <w:spacing w:after="0" w:line="256" w:lineRule="auto"/>
              <w:rPr>
                <w:sz w:val="20"/>
                <w:szCs w:val="20"/>
                <w:lang w:eastAsia="en-GB"/>
              </w:rPr>
            </w:pPr>
          </w:p>
        </w:tc>
        <w:tc>
          <w:tcPr>
            <w:tcW w:w="1212" w:type="dxa"/>
            <w:tcBorders>
              <w:top w:val="single" w:sz="4" w:space="0" w:color="auto"/>
              <w:left w:val="single" w:sz="4" w:space="0" w:color="auto"/>
              <w:bottom w:val="single" w:sz="4" w:space="0" w:color="auto"/>
              <w:right w:val="single" w:sz="4" w:space="0" w:color="auto"/>
            </w:tcBorders>
            <w:noWrap/>
            <w:vAlign w:val="bottom"/>
            <w:hideMark/>
          </w:tcPr>
          <w:p w14:paraId="74B69DDA" w14:textId="77777777" w:rsidR="001F4BE1" w:rsidRDefault="001F4BE1">
            <w:pPr>
              <w:spacing w:after="0" w:line="256" w:lineRule="auto"/>
              <w:rPr>
                <w:sz w:val="20"/>
                <w:szCs w:val="20"/>
                <w:lang w:eastAsia="en-GB"/>
              </w:rPr>
            </w:pPr>
          </w:p>
        </w:tc>
      </w:tr>
      <w:tr w:rsidR="001F4BE1" w14:paraId="43269008" w14:textId="77777777" w:rsidTr="001F4BE1">
        <w:trPr>
          <w:trHeight w:val="805"/>
        </w:trPr>
        <w:tc>
          <w:tcPr>
            <w:tcW w:w="4536" w:type="dxa"/>
            <w:tcBorders>
              <w:top w:val="single" w:sz="12" w:space="0" w:color="auto"/>
              <w:left w:val="single" w:sz="4" w:space="0" w:color="auto"/>
              <w:bottom w:val="single" w:sz="4" w:space="0" w:color="auto"/>
              <w:right w:val="single" w:sz="4" w:space="0" w:color="auto"/>
            </w:tcBorders>
            <w:shd w:val="clear" w:color="auto" w:fill="FFD966" w:themeFill="accent4" w:themeFillTint="99"/>
            <w:noWrap/>
            <w:vAlign w:val="bottom"/>
            <w:hideMark/>
          </w:tcPr>
          <w:p w14:paraId="5948AB6B" w14:textId="77777777" w:rsidR="001F4BE1" w:rsidRDefault="001F4BE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218" w:type="dxa"/>
            <w:tcBorders>
              <w:top w:val="single" w:sz="4" w:space="0" w:color="auto"/>
              <w:left w:val="nil"/>
              <w:bottom w:val="single" w:sz="4" w:space="0" w:color="auto"/>
              <w:right w:val="single" w:sz="4" w:space="0" w:color="auto"/>
            </w:tcBorders>
            <w:shd w:val="clear" w:color="auto" w:fill="FFE599" w:themeFill="accent4" w:themeFillTint="66"/>
            <w:noWrap/>
            <w:vAlign w:val="bottom"/>
            <w:hideMark/>
          </w:tcPr>
          <w:p w14:paraId="53E51F4E" w14:textId="77777777" w:rsidR="001F4BE1" w:rsidRDefault="001F4BE1">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2019(days)</w:t>
            </w:r>
          </w:p>
        </w:tc>
        <w:tc>
          <w:tcPr>
            <w:tcW w:w="1334" w:type="dxa"/>
            <w:tcBorders>
              <w:top w:val="single" w:sz="4" w:space="0" w:color="auto"/>
              <w:left w:val="nil"/>
              <w:bottom w:val="single" w:sz="4" w:space="0" w:color="auto"/>
              <w:right w:val="single" w:sz="4" w:space="0" w:color="auto"/>
            </w:tcBorders>
            <w:shd w:val="clear" w:color="auto" w:fill="FFE599" w:themeFill="accent4" w:themeFillTint="66"/>
            <w:noWrap/>
            <w:vAlign w:val="bottom"/>
            <w:hideMark/>
          </w:tcPr>
          <w:p w14:paraId="17EEE1B5" w14:textId="77777777" w:rsidR="001F4BE1" w:rsidRDefault="001F4BE1">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2018(days)</w:t>
            </w:r>
          </w:p>
        </w:tc>
        <w:tc>
          <w:tcPr>
            <w:tcW w:w="1276" w:type="dxa"/>
            <w:tcBorders>
              <w:top w:val="single" w:sz="4" w:space="0" w:color="auto"/>
              <w:left w:val="nil"/>
              <w:bottom w:val="single" w:sz="4" w:space="0" w:color="auto"/>
              <w:right w:val="single" w:sz="4" w:space="0" w:color="auto"/>
            </w:tcBorders>
            <w:shd w:val="clear" w:color="auto" w:fill="FFE599" w:themeFill="accent4" w:themeFillTint="66"/>
            <w:noWrap/>
            <w:vAlign w:val="bottom"/>
            <w:hideMark/>
          </w:tcPr>
          <w:p w14:paraId="4255A596" w14:textId="77777777" w:rsidR="001F4BE1" w:rsidRDefault="001F4BE1">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Absolute difference</w:t>
            </w:r>
          </w:p>
          <w:p w14:paraId="6ABE343F" w14:textId="77777777" w:rsidR="001F4BE1" w:rsidRDefault="001F4BE1">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(days)</w:t>
            </w:r>
          </w:p>
        </w:tc>
        <w:tc>
          <w:tcPr>
            <w:tcW w:w="1559" w:type="dxa"/>
            <w:tcBorders>
              <w:top w:val="single" w:sz="4" w:space="0" w:color="auto"/>
              <w:left w:val="nil"/>
              <w:bottom w:val="single" w:sz="4" w:space="0" w:color="auto"/>
              <w:right w:val="single" w:sz="4" w:space="0" w:color="auto"/>
            </w:tcBorders>
            <w:shd w:val="clear" w:color="auto" w:fill="FFE599" w:themeFill="accent4" w:themeFillTint="66"/>
            <w:noWrap/>
            <w:vAlign w:val="bottom"/>
            <w:hideMark/>
          </w:tcPr>
          <w:p w14:paraId="1DE73D0A" w14:textId="77777777" w:rsidR="001F4BE1" w:rsidRDefault="001F4BE1">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Relative difference (%)</w:t>
            </w:r>
          </w:p>
        </w:tc>
        <w:tc>
          <w:tcPr>
            <w:tcW w:w="1212" w:type="dxa"/>
            <w:tcBorders>
              <w:top w:val="single" w:sz="4" w:space="0" w:color="auto"/>
              <w:left w:val="nil"/>
              <w:bottom w:val="single" w:sz="4" w:space="0" w:color="auto"/>
              <w:right w:val="single" w:sz="4" w:space="0" w:color="auto"/>
            </w:tcBorders>
            <w:shd w:val="clear" w:color="auto" w:fill="FFE599" w:themeFill="accent4" w:themeFillTint="66"/>
            <w:noWrap/>
            <w:vAlign w:val="bottom"/>
            <w:hideMark/>
          </w:tcPr>
          <w:p w14:paraId="4B1D6E8A" w14:textId="77777777" w:rsidR="001F4BE1" w:rsidRDefault="001F4BE1">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Outcome</w:t>
            </w:r>
          </w:p>
        </w:tc>
      </w:tr>
      <w:tr w:rsidR="001F4BE1" w14:paraId="443A244D" w14:textId="77777777" w:rsidTr="001F4BE1">
        <w:trPr>
          <w:trHeight w:val="300"/>
        </w:trPr>
        <w:tc>
          <w:tcPr>
            <w:tcW w:w="4536" w:type="dxa"/>
            <w:tcBorders>
              <w:top w:val="nil"/>
              <w:left w:val="single" w:sz="4" w:space="0" w:color="auto"/>
              <w:bottom w:val="single" w:sz="4" w:space="0" w:color="auto"/>
              <w:right w:val="single" w:sz="4" w:space="0" w:color="auto"/>
            </w:tcBorders>
            <w:shd w:val="clear" w:color="auto" w:fill="FFD966" w:themeFill="accent4" w:themeFillTint="99"/>
            <w:noWrap/>
            <w:vAlign w:val="bottom"/>
            <w:hideMark/>
          </w:tcPr>
          <w:p w14:paraId="39704BF6" w14:textId="77777777" w:rsidR="001F4BE1" w:rsidRDefault="001F4BE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Creditor days</w:t>
            </w:r>
          </w:p>
        </w:tc>
        <w:tc>
          <w:tcPr>
            <w:tcW w:w="1218" w:type="dxa"/>
            <w:tcBorders>
              <w:top w:val="nil"/>
              <w:left w:val="nil"/>
              <w:bottom w:val="single" w:sz="4" w:space="0" w:color="auto"/>
              <w:right w:val="single" w:sz="4" w:space="0" w:color="auto"/>
            </w:tcBorders>
            <w:shd w:val="clear" w:color="auto" w:fill="FFE599" w:themeFill="accent4" w:themeFillTint="66"/>
            <w:noWrap/>
            <w:vAlign w:val="bottom"/>
            <w:hideMark/>
          </w:tcPr>
          <w:p w14:paraId="241EFA08"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86,7</w:t>
            </w:r>
          </w:p>
        </w:tc>
        <w:tc>
          <w:tcPr>
            <w:tcW w:w="1334" w:type="dxa"/>
            <w:tcBorders>
              <w:top w:val="nil"/>
              <w:left w:val="nil"/>
              <w:bottom w:val="single" w:sz="4" w:space="0" w:color="auto"/>
              <w:right w:val="single" w:sz="4" w:space="0" w:color="auto"/>
            </w:tcBorders>
            <w:shd w:val="clear" w:color="auto" w:fill="FFE599" w:themeFill="accent4" w:themeFillTint="66"/>
            <w:noWrap/>
            <w:vAlign w:val="bottom"/>
            <w:hideMark/>
          </w:tcPr>
          <w:p w14:paraId="536ABA54"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84,3</w:t>
            </w:r>
          </w:p>
        </w:tc>
        <w:tc>
          <w:tcPr>
            <w:tcW w:w="1276" w:type="dxa"/>
            <w:tcBorders>
              <w:top w:val="nil"/>
              <w:left w:val="nil"/>
              <w:bottom w:val="single" w:sz="4" w:space="0" w:color="auto"/>
              <w:right w:val="single" w:sz="4" w:space="0" w:color="auto"/>
            </w:tcBorders>
            <w:shd w:val="clear" w:color="auto" w:fill="FFE599" w:themeFill="accent4" w:themeFillTint="66"/>
            <w:noWrap/>
            <w:vAlign w:val="bottom"/>
            <w:hideMark/>
          </w:tcPr>
          <w:p w14:paraId="407B15E9"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2,4</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4D046CFA"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2,8</w:t>
            </w:r>
          </w:p>
        </w:tc>
        <w:tc>
          <w:tcPr>
            <w:tcW w:w="1212" w:type="dxa"/>
            <w:tcBorders>
              <w:top w:val="nil"/>
              <w:left w:val="nil"/>
              <w:bottom w:val="single" w:sz="4" w:space="0" w:color="auto"/>
              <w:right w:val="single" w:sz="4" w:space="0" w:color="auto"/>
            </w:tcBorders>
            <w:shd w:val="clear" w:color="auto" w:fill="FFE599" w:themeFill="accent4" w:themeFillTint="66"/>
            <w:noWrap/>
            <w:vAlign w:val="bottom"/>
            <w:hideMark/>
          </w:tcPr>
          <w:p w14:paraId="3DD58AC9"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Favourable</w:t>
            </w:r>
          </w:p>
        </w:tc>
      </w:tr>
      <w:tr w:rsidR="001F4BE1" w14:paraId="7CB561D6" w14:textId="77777777" w:rsidTr="001F4BE1">
        <w:trPr>
          <w:trHeight w:val="300"/>
        </w:trPr>
        <w:tc>
          <w:tcPr>
            <w:tcW w:w="4536" w:type="dxa"/>
            <w:tcBorders>
              <w:top w:val="nil"/>
              <w:left w:val="single" w:sz="4" w:space="0" w:color="auto"/>
              <w:bottom w:val="single" w:sz="4" w:space="0" w:color="auto"/>
              <w:right w:val="single" w:sz="4" w:space="0" w:color="auto"/>
            </w:tcBorders>
            <w:shd w:val="clear" w:color="auto" w:fill="FFD966" w:themeFill="accent4" w:themeFillTint="99"/>
            <w:noWrap/>
            <w:vAlign w:val="bottom"/>
            <w:hideMark/>
          </w:tcPr>
          <w:p w14:paraId="058F6B4D" w14:textId="77777777" w:rsidR="001F4BE1" w:rsidRDefault="001F4BE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Debtors</w:t>
            </w:r>
          </w:p>
        </w:tc>
        <w:tc>
          <w:tcPr>
            <w:tcW w:w="1218" w:type="dxa"/>
            <w:tcBorders>
              <w:top w:val="nil"/>
              <w:left w:val="nil"/>
              <w:bottom w:val="single" w:sz="4" w:space="0" w:color="auto"/>
              <w:right w:val="single" w:sz="4" w:space="0" w:color="auto"/>
            </w:tcBorders>
            <w:shd w:val="clear" w:color="auto" w:fill="FFE599" w:themeFill="accent4" w:themeFillTint="66"/>
            <w:noWrap/>
            <w:vAlign w:val="bottom"/>
            <w:hideMark/>
          </w:tcPr>
          <w:p w14:paraId="6A142DD4"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59,9</w:t>
            </w:r>
          </w:p>
        </w:tc>
        <w:tc>
          <w:tcPr>
            <w:tcW w:w="1334" w:type="dxa"/>
            <w:tcBorders>
              <w:top w:val="nil"/>
              <w:left w:val="nil"/>
              <w:bottom w:val="single" w:sz="4" w:space="0" w:color="auto"/>
              <w:right w:val="single" w:sz="4" w:space="0" w:color="auto"/>
            </w:tcBorders>
            <w:shd w:val="clear" w:color="auto" w:fill="FFE599" w:themeFill="accent4" w:themeFillTint="66"/>
            <w:noWrap/>
            <w:vAlign w:val="bottom"/>
            <w:hideMark/>
          </w:tcPr>
          <w:p w14:paraId="232F1B73"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60,9</w:t>
            </w:r>
          </w:p>
        </w:tc>
        <w:tc>
          <w:tcPr>
            <w:tcW w:w="1276" w:type="dxa"/>
            <w:tcBorders>
              <w:top w:val="nil"/>
              <w:left w:val="nil"/>
              <w:bottom w:val="single" w:sz="4" w:space="0" w:color="auto"/>
              <w:right w:val="single" w:sz="4" w:space="0" w:color="auto"/>
            </w:tcBorders>
            <w:shd w:val="clear" w:color="auto" w:fill="FFE599" w:themeFill="accent4" w:themeFillTint="66"/>
            <w:noWrap/>
            <w:vAlign w:val="bottom"/>
            <w:hideMark/>
          </w:tcPr>
          <w:p w14:paraId="613CC0CD"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72BD50E3"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-1,6</w:t>
            </w:r>
          </w:p>
        </w:tc>
        <w:tc>
          <w:tcPr>
            <w:tcW w:w="1212" w:type="dxa"/>
            <w:tcBorders>
              <w:top w:val="nil"/>
              <w:left w:val="nil"/>
              <w:bottom w:val="single" w:sz="4" w:space="0" w:color="auto"/>
              <w:right w:val="single" w:sz="4" w:space="0" w:color="auto"/>
            </w:tcBorders>
            <w:shd w:val="clear" w:color="auto" w:fill="FFE599" w:themeFill="accent4" w:themeFillTint="66"/>
            <w:noWrap/>
            <w:vAlign w:val="bottom"/>
            <w:hideMark/>
          </w:tcPr>
          <w:p w14:paraId="63D4FB31" w14:textId="77777777" w:rsidR="001F4BE1" w:rsidRDefault="001F4BE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unfavourable</w:t>
            </w:r>
          </w:p>
        </w:tc>
      </w:tr>
      <w:tr w:rsidR="001F4BE1" w14:paraId="656B0B71" w14:textId="77777777" w:rsidTr="001F4BE1">
        <w:trPr>
          <w:trHeight w:val="300"/>
        </w:trPr>
        <w:tc>
          <w:tcPr>
            <w:tcW w:w="4536" w:type="dxa"/>
            <w:tcBorders>
              <w:top w:val="nil"/>
              <w:left w:val="single" w:sz="4" w:space="0" w:color="auto"/>
              <w:bottom w:val="single" w:sz="4" w:space="0" w:color="auto"/>
              <w:right w:val="single" w:sz="4" w:space="0" w:color="auto"/>
            </w:tcBorders>
            <w:shd w:val="clear" w:color="auto" w:fill="FFD966" w:themeFill="accent4" w:themeFillTint="99"/>
            <w:noWrap/>
            <w:vAlign w:val="bottom"/>
            <w:hideMark/>
          </w:tcPr>
          <w:p w14:paraId="5577432E" w14:textId="77777777" w:rsidR="001F4BE1" w:rsidRDefault="001F4BE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Difference (days holding others working capital)</w:t>
            </w:r>
          </w:p>
        </w:tc>
        <w:tc>
          <w:tcPr>
            <w:tcW w:w="1218" w:type="dxa"/>
            <w:tcBorders>
              <w:top w:val="nil"/>
              <w:left w:val="nil"/>
              <w:bottom w:val="single" w:sz="4" w:space="0" w:color="auto"/>
              <w:right w:val="single" w:sz="4" w:space="0" w:color="auto"/>
            </w:tcBorders>
            <w:shd w:val="clear" w:color="auto" w:fill="FFE599" w:themeFill="accent4" w:themeFillTint="66"/>
            <w:noWrap/>
            <w:vAlign w:val="bottom"/>
            <w:hideMark/>
          </w:tcPr>
          <w:p w14:paraId="5B59200A"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26,9</w:t>
            </w:r>
          </w:p>
        </w:tc>
        <w:tc>
          <w:tcPr>
            <w:tcW w:w="1334" w:type="dxa"/>
            <w:tcBorders>
              <w:top w:val="nil"/>
              <w:left w:val="nil"/>
              <w:bottom w:val="single" w:sz="4" w:space="0" w:color="auto"/>
              <w:right w:val="single" w:sz="4" w:space="0" w:color="auto"/>
            </w:tcBorders>
            <w:shd w:val="clear" w:color="auto" w:fill="FFE599" w:themeFill="accent4" w:themeFillTint="66"/>
            <w:noWrap/>
            <w:vAlign w:val="bottom"/>
            <w:hideMark/>
          </w:tcPr>
          <w:p w14:paraId="052F01CB"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23,4</w:t>
            </w:r>
          </w:p>
        </w:tc>
        <w:tc>
          <w:tcPr>
            <w:tcW w:w="1276" w:type="dxa"/>
            <w:tcBorders>
              <w:top w:val="nil"/>
              <w:left w:val="nil"/>
              <w:bottom w:val="single" w:sz="4" w:space="0" w:color="auto"/>
              <w:right w:val="single" w:sz="4" w:space="0" w:color="auto"/>
            </w:tcBorders>
            <w:shd w:val="clear" w:color="auto" w:fill="FFE599" w:themeFill="accent4" w:themeFillTint="66"/>
            <w:noWrap/>
            <w:vAlign w:val="bottom"/>
            <w:hideMark/>
          </w:tcPr>
          <w:p w14:paraId="77647A45"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3,5</w:t>
            </w:r>
          </w:p>
        </w:tc>
        <w:tc>
          <w:tcPr>
            <w:tcW w:w="1559" w:type="dxa"/>
            <w:tcBorders>
              <w:top w:val="nil"/>
              <w:left w:val="nil"/>
              <w:bottom w:val="single" w:sz="4" w:space="0" w:color="auto"/>
              <w:right w:val="single" w:sz="4" w:space="0" w:color="auto"/>
            </w:tcBorders>
            <w:shd w:val="clear" w:color="auto" w:fill="FFE599" w:themeFill="accent4" w:themeFillTint="66"/>
            <w:noWrap/>
            <w:vAlign w:val="bottom"/>
            <w:hideMark/>
          </w:tcPr>
          <w:p w14:paraId="64B3ABBD"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15</w:t>
            </w:r>
          </w:p>
        </w:tc>
        <w:tc>
          <w:tcPr>
            <w:tcW w:w="1212" w:type="dxa"/>
            <w:tcBorders>
              <w:top w:val="nil"/>
              <w:left w:val="nil"/>
              <w:bottom w:val="single" w:sz="4" w:space="0" w:color="auto"/>
              <w:right w:val="single" w:sz="4" w:space="0" w:color="auto"/>
            </w:tcBorders>
            <w:shd w:val="clear" w:color="auto" w:fill="FFE599" w:themeFill="accent4" w:themeFillTint="66"/>
            <w:noWrap/>
            <w:vAlign w:val="bottom"/>
            <w:hideMark/>
          </w:tcPr>
          <w:p w14:paraId="5BD06978" w14:textId="77777777" w:rsidR="001F4BE1" w:rsidRDefault="001F4BE1">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Favourable</w:t>
            </w:r>
          </w:p>
        </w:tc>
      </w:tr>
    </w:tbl>
    <w:p w14:paraId="1D39E469" w14:textId="7B884F15" w:rsidR="00986227" w:rsidRDefault="00986227" w:rsidP="00986227">
      <w:pPr>
        <w:rPr>
          <w:sz w:val="24"/>
          <w:szCs w:val="24"/>
        </w:rPr>
      </w:pPr>
    </w:p>
    <w:tbl>
      <w:tblPr>
        <w:tblW w:w="7376" w:type="dxa"/>
        <w:tblLook w:val="04A0" w:firstRow="1" w:lastRow="0" w:firstColumn="1" w:lastColumn="0" w:noHBand="0" w:noVBand="1"/>
      </w:tblPr>
      <w:tblGrid>
        <w:gridCol w:w="4640"/>
        <w:gridCol w:w="1483"/>
        <w:gridCol w:w="1253"/>
      </w:tblGrid>
      <w:tr w:rsidR="00D041EE" w14:paraId="7768F848" w14:textId="77777777" w:rsidTr="00D041EE">
        <w:trPr>
          <w:trHeight w:val="315"/>
        </w:trPr>
        <w:tc>
          <w:tcPr>
            <w:tcW w:w="4640" w:type="dxa"/>
            <w:tcBorders>
              <w:top w:val="single" w:sz="4" w:space="0" w:color="auto"/>
              <w:left w:val="single" w:sz="4" w:space="0" w:color="auto"/>
              <w:bottom w:val="nil"/>
              <w:right w:val="single" w:sz="4" w:space="0" w:color="auto"/>
            </w:tcBorders>
            <w:shd w:val="clear" w:color="auto" w:fill="806000" w:themeFill="accent4" w:themeFillShade="80"/>
            <w:noWrap/>
            <w:vAlign w:val="bottom"/>
            <w:hideMark/>
          </w:tcPr>
          <w:p w14:paraId="6F4258CA" w14:textId="77777777" w:rsidR="00D041EE" w:rsidRPr="00D041EE" w:rsidRDefault="00D041EE">
            <w:pPr>
              <w:spacing w:after="0" w:line="240" w:lineRule="auto"/>
              <w:rPr>
                <w:rFonts w:ascii="Calibri" w:eastAsia="Times New Roman" w:hAnsi="Calibri" w:cs="Calibri"/>
                <w:b/>
                <w:bCs/>
                <w:color w:val="000000"/>
                <w:lang w:eastAsia="en-GB"/>
              </w:rPr>
            </w:pPr>
            <w:r w:rsidRPr="00D041EE">
              <w:rPr>
                <w:rFonts w:ascii="Calibri" w:eastAsia="Times New Roman" w:hAnsi="Calibri" w:cs="Calibri"/>
                <w:b/>
                <w:bCs/>
                <w:color w:val="000000"/>
                <w:sz w:val="28"/>
                <w:szCs w:val="28"/>
                <w:lang w:eastAsia="en-GB"/>
              </w:rPr>
              <w:lastRenderedPageBreak/>
              <w:t>Types of families of ratios</w:t>
            </w:r>
          </w:p>
        </w:tc>
        <w:tc>
          <w:tcPr>
            <w:tcW w:w="1483"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5F5537AA"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2019</w:t>
            </w:r>
          </w:p>
        </w:tc>
        <w:tc>
          <w:tcPr>
            <w:tcW w:w="1253" w:type="dxa"/>
            <w:tcBorders>
              <w:top w:val="single" w:sz="4" w:space="0" w:color="auto"/>
              <w:left w:val="nil"/>
              <w:bottom w:val="single" w:sz="4" w:space="0" w:color="auto"/>
              <w:right w:val="single" w:sz="4" w:space="0" w:color="auto"/>
            </w:tcBorders>
            <w:shd w:val="clear" w:color="auto" w:fill="FFD966" w:themeFill="accent4" w:themeFillTint="99"/>
            <w:noWrap/>
            <w:vAlign w:val="bottom"/>
            <w:hideMark/>
          </w:tcPr>
          <w:p w14:paraId="63455F61"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2018</w:t>
            </w:r>
          </w:p>
        </w:tc>
      </w:tr>
      <w:tr w:rsidR="00D041EE" w14:paraId="36FD0995" w14:textId="77777777" w:rsidTr="00D041EE">
        <w:trPr>
          <w:trHeight w:val="330"/>
        </w:trPr>
        <w:tc>
          <w:tcPr>
            <w:tcW w:w="4640" w:type="dxa"/>
            <w:tcBorders>
              <w:top w:val="single" w:sz="12" w:space="0" w:color="auto"/>
              <w:left w:val="single" w:sz="12" w:space="0" w:color="auto"/>
              <w:bottom w:val="single" w:sz="12" w:space="0" w:color="auto"/>
              <w:right w:val="single" w:sz="12" w:space="0" w:color="auto"/>
            </w:tcBorders>
            <w:shd w:val="clear" w:color="auto" w:fill="FFD966" w:themeFill="accent4" w:themeFillTint="99"/>
            <w:noWrap/>
            <w:vAlign w:val="bottom"/>
            <w:hideMark/>
          </w:tcPr>
          <w:p w14:paraId="1109DF84" w14:textId="77777777" w:rsidR="00D041EE" w:rsidRDefault="00D041EE">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Profitability</w:t>
            </w:r>
          </w:p>
        </w:tc>
        <w:tc>
          <w:tcPr>
            <w:tcW w:w="1483" w:type="dxa"/>
            <w:tcBorders>
              <w:top w:val="nil"/>
              <w:left w:val="nil"/>
              <w:bottom w:val="single" w:sz="4" w:space="0" w:color="auto"/>
              <w:right w:val="single" w:sz="4" w:space="0" w:color="auto"/>
            </w:tcBorders>
            <w:shd w:val="clear" w:color="auto" w:fill="FFD966" w:themeFill="accent4" w:themeFillTint="99"/>
            <w:noWrap/>
            <w:vAlign w:val="bottom"/>
            <w:hideMark/>
          </w:tcPr>
          <w:p w14:paraId="42D07A15"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253" w:type="dxa"/>
            <w:tcBorders>
              <w:top w:val="nil"/>
              <w:left w:val="nil"/>
              <w:bottom w:val="single" w:sz="4" w:space="0" w:color="auto"/>
              <w:right w:val="single" w:sz="4" w:space="0" w:color="auto"/>
            </w:tcBorders>
            <w:shd w:val="clear" w:color="auto" w:fill="FFD966" w:themeFill="accent4" w:themeFillTint="99"/>
            <w:noWrap/>
            <w:vAlign w:val="bottom"/>
            <w:hideMark/>
          </w:tcPr>
          <w:p w14:paraId="52E85B22"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D041EE" w14:paraId="0D5B3808" w14:textId="77777777" w:rsidTr="00D041EE">
        <w:trPr>
          <w:trHeight w:val="315"/>
        </w:trPr>
        <w:tc>
          <w:tcPr>
            <w:tcW w:w="4640"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246577FD" w14:textId="77777777" w:rsidR="00D041EE" w:rsidRDefault="00D041E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ROCE</w:t>
            </w:r>
          </w:p>
        </w:tc>
        <w:tc>
          <w:tcPr>
            <w:tcW w:w="1483" w:type="dxa"/>
            <w:tcBorders>
              <w:top w:val="nil"/>
              <w:left w:val="nil"/>
              <w:bottom w:val="single" w:sz="4" w:space="0" w:color="auto"/>
              <w:right w:val="single" w:sz="4" w:space="0" w:color="auto"/>
            </w:tcBorders>
            <w:shd w:val="clear" w:color="auto" w:fill="FFD966" w:themeFill="accent4" w:themeFillTint="99"/>
            <w:noWrap/>
            <w:vAlign w:val="bottom"/>
            <w:hideMark/>
          </w:tcPr>
          <w:p w14:paraId="63B8FD19"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35,2%</w:t>
            </w:r>
          </w:p>
        </w:tc>
        <w:tc>
          <w:tcPr>
            <w:tcW w:w="1253" w:type="dxa"/>
            <w:tcBorders>
              <w:top w:val="nil"/>
              <w:left w:val="nil"/>
              <w:bottom w:val="single" w:sz="4" w:space="0" w:color="auto"/>
              <w:right w:val="single" w:sz="4" w:space="0" w:color="auto"/>
            </w:tcBorders>
            <w:shd w:val="clear" w:color="auto" w:fill="FFD966" w:themeFill="accent4" w:themeFillTint="99"/>
            <w:noWrap/>
            <w:vAlign w:val="bottom"/>
            <w:hideMark/>
          </w:tcPr>
          <w:p w14:paraId="4AD2A044"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31,2%</w:t>
            </w:r>
          </w:p>
        </w:tc>
      </w:tr>
      <w:tr w:rsidR="00D041EE" w14:paraId="7DDA4577" w14:textId="77777777" w:rsidTr="00D041EE">
        <w:trPr>
          <w:trHeight w:val="300"/>
        </w:trPr>
        <w:tc>
          <w:tcPr>
            <w:tcW w:w="4640"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7F8150E3" w14:textId="77777777" w:rsidR="00D041EE" w:rsidRDefault="00D041E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Asset turnover</w:t>
            </w:r>
          </w:p>
        </w:tc>
        <w:tc>
          <w:tcPr>
            <w:tcW w:w="1483" w:type="dxa"/>
            <w:tcBorders>
              <w:top w:val="nil"/>
              <w:left w:val="nil"/>
              <w:bottom w:val="single" w:sz="4" w:space="0" w:color="auto"/>
              <w:right w:val="single" w:sz="4" w:space="0" w:color="auto"/>
            </w:tcBorders>
            <w:shd w:val="clear" w:color="auto" w:fill="FFD966" w:themeFill="accent4" w:themeFillTint="99"/>
            <w:noWrap/>
            <w:vAlign w:val="bottom"/>
            <w:hideMark/>
          </w:tcPr>
          <w:p w14:paraId="1F090755"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182 pence</w:t>
            </w:r>
          </w:p>
        </w:tc>
        <w:tc>
          <w:tcPr>
            <w:tcW w:w="1253" w:type="dxa"/>
            <w:tcBorders>
              <w:top w:val="nil"/>
              <w:left w:val="nil"/>
              <w:bottom w:val="single" w:sz="4" w:space="0" w:color="auto"/>
              <w:right w:val="single" w:sz="4" w:space="0" w:color="auto"/>
            </w:tcBorders>
            <w:shd w:val="clear" w:color="auto" w:fill="FFD966" w:themeFill="accent4" w:themeFillTint="99"/>
            <w:noWrap/>
            <w:vAlign w:val="bottom"/>
            <w:hideMark/>
          </w:tcPr>
          <w:p w14:paraId="386B0CE3"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173 pence</w:t>
            </w:r>
          </w:p>
        </w:tc>
      </w:tr>
      <w:tr w:rsidR="00D041EE" w14:paraId="37970E66" w14:textId="77777777" w:rsidTr="00D041EE">
        <w:trPr>
          <w:trHeight w:val="300"/>
        </w:trPr>
        <w:tc>
          <w:tcPr>
            <w:tcW w:w="4640"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39A7E0BD" w14:textId="77777777" w:rsidR="00D041EE" w:rsidRDefault="00D041E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Gross Profit Margin</w:t>
            </w:r>
          </w:p>
        </w:tc>
        <w:tc>
          <w:tcPr>
            <w:tcW w:w="1483" w:type="dxa"/>
            <w:tcBorders>
              <w:top w:val="nil"/>
              <w:left w:val="nil"/>
              <w:bottom w:val="single" w:sz="4" w:space="0" w:color="auto"/>
              <w:right w:val="single" w:sz="4" w:space="0" w:color="auto"/>
            </w:tcBorders>
            <w:shd w:val="clear" w:color="auto" w:fill="FFD966" w:themeFill="accent4" w:themeFillTint="99"/>
            <w:noWrap/>
            <w:vAlign w:val="bottom"/>
            <w:hideMark/>
          </w:tcPr>
          <w:p w14:paraId="78658BE6"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26,8%</w:t>
            </w:r>
          </w:p>
        </w:tc>
        <w:tc>
          <w:tcPr>
            <w:tcW w:w="1253" w:type="dxa"/>
            <w:tcBorders>
              <w:top w:val="nil"/>
              <w:left w:val="nil"/>
              <w:bottom w:val="single" w:sz="4" w:space="0" w:color="auto"/>
              <w:right w:val="single" w:sz="4" w:space="0" w:color="auto"/>
            </w:tcBorders>
            <w:shd w:val="clear" w:color="auto" w:fill="FFD966" w:themeFill="accent4" w:themeFillTint="99"/>
            <w:noWrap/>
            <w:vAlign w:val="bottom"/>
            <w:hideMark/>
          </w:tcPr>
          <w:p w14:paraId="6AB4DD34"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26,8%</w:t>
            </w:r>
          </w:p>
        </w:tc>
      </w:tr>
      <w:tr w:rsidR="00D041EE" w14:paraId="23016E40" w14:textId="77777777" w:rsidTr="00D041EE">
        <w:trPr>
          <w:trHeight w:val="315"/>
        </w:trPr>
        <w:tc>
          <w:tcPr>
            <w:tcW w:w="4640" w:type="dxa"/>
            <w:tcBorders>
              <w:top w:val="nil"/>
              <w:left w:val="single" w:sz="4" w:space="0" w:color="auto"/>
              <w:bottom w:val="nil"/>
              <w:right w:val="single" w:sz="4" w:space="0" w:color="auto"/>
            </w:tcBorders>
            <w:shd w:val="clear" w:color="auto" w:fill="FFE599" w:themeFill="accent4" w:themeFillTint="66"/>
            <w:noWrap/>
            <w:vAlign w:val="bottom"/>
            <w:hideMark/>
          </w:tcPr>
          <w:p w14:paraId="39103838" w14:textId="77777777" w:rsidR="00D041EE" w:rsidRDefault="00D041E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Net Operating Profit Margin</w:t>
            </w:r>
          </w:p>
        </w:tc>
        <w:tc>
          <w:tcPr>
            <w:tcW w:w="1483" w:type="dxa"/>
            <w:tcBorders>
              <w:top w:val="nil"/>
              <w:left w:val="nil"/>
              <w:bottom w:val="single" w:sz="4" w:space="0" w:color="auto"/>
              <w:right w:val="single" w:sz="4" w:space="0" w:color="auto"/>
            </w:tcBorders>
            <w:shd w:val="clear" w:color="auto" w:fill="FFD966" w:themeFill="accent4" w:themeFillTint="99"/>
            <w:noWrap/>
            <w:vAlign w:val="bottom"/>
            <w:hideMark/>
          </w:tcPr>
          <w:p w14:paraId="3E499C07"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19,25</w:t>
            </w:r>
          </w:p>
        </w:tc>
        <w:tc>
          <w:tcPr>
            <w:tcW w:w="1253" w:type="dxa"/>
            <w:tcBorders>
              <w:top w:val="nil"/>
              <w:left w:val="nil"/>
              <w:bottom w:val="single" w:sz="4" w:space="0" w:color="auto"/>
              <w:right w:val="single" w:sz="4" w:space="0" w:color="auto"/>
            </w:tcBorders>
            <w:shd w:val="clear" w:color="auto" w:fill="FFD966" w:themeFill="accent4" w:themeFillTint="99"/>
            <w:noWrap/>
            <w:vAlign w:val="bottom"/>
            <w:hideMark/>
          </w:tcPr>
          <w:p w14:paraId="28F390A9"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w:t>
            </w:r>
          </w:p>
        </w:tc>
      </w:tr>
      <w:tr w:rsidR="00D041EE" w14:paraId="05C66EE3" w14:textId="77777777" w:rsidTr="00D041EE">
        <w:trPr>
          <w:trHeight w:val="330"/>
        </w:trPr>
        <w:tc>
          <w:tcPr>
            <w:tcW w:w="4640" w:type="dxa"/>
            <w:tcBorders>
              <w:top w:val="single" w:sz="12" w:space="0" w:color="auto"/>
              <w:left w:val="single" w:sz="12" w:space="0" w:color="auto"/>
              <w:bottom w:val="single" w:sz="12" w:space="0" w:color="auto"/>
              <w:right w:val="single" w:sz="12" w:space="0" w:color="auto"/>
            </w:tcBorders>
            <w:shd w:val="clear" w:color="auto" w:fill="FFD966" w:themeFill="accent4" w:themeFillTint="99"/>
            <w:noWrap/>
            <w:vAlign w:val="bottom"/>
            <w:hideMark/>
          </w:tcPr>
          <w:p w14:paraId="08EF5256" w14:textId="77777777" w:rsidR="00D041EE" w:rsidRDefault="00D041EE">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Efficiency</w:t>
            </w:r>
          </w:p>
        </w:tc>
        <w:tc>
          <w:tcPr>
            <w:tcW w:w="1483" w:type="dxa"/>
            <w:tcBorders>
              <w:top w:val="nil"/>
              <w:left w:val="nil"/>
              <w:bottom w:val="single" w:sz="4" w:space="0" w:color="auto"/>
              <w:right w:val="single" w:sz="4" w:space="0" w:color="auto"/>
            </w:tcBorders>
            <w:shd w:val="clear" w:color="auto" w:fill="FFD966" w:themeFill="accent4" w:themeFillTint="99"/>
            <w:noWrap/>
            <w:vAlign w:val="bottom"/>
            <w:hideMark/>
          </w:tcPr>
          <w:p w14:paraId="603672D9"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253" w:type="dxa"/>
            <w:tcBorders>
              <w:top w:val="nil"/>
              <w:left w:val="nil"/>
              <w:bottom w:val="single" w:sz="4" w:space="0" w:color="auto"/>
              <w:right w:val="single" w:sz="4" w:space="0" w:color="auto"/>
            </w:tcBorders>
            <w:shd w:val="clear" w:color="auto" w:fill="FFD966" w:themeFill="accent4" w:themeFillTint="99"/>
            <w:noWrap/>
            <w:vAlign w:val="bottom"/>
            <w:hideMark/>
          </w:tcPr>
          <w:p w14:paraId="23E0E539"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D041EE" w14:paraId="78ED9F97" w14:textId="77777777" w:rsidTr="00D041EE">
        <w:trPr>
          <w:trHeight w:val="315"/>
        </w:trPr>
        <w:tc>
          <w:tcPr>
            <w:tcW w:w="4640"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2898B044" w14:textId="77777777" w:rsidR="00D041EE" w:rsidRDefault="00D041E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Inventory days</w:t>
            </w:r>
          </w:p>
        </w:tc>
        <w:tc>
          <w:tcPr>
            <w:tcW w:w="1483" w:type="dxa"/>
            <w:tcBorders>
              <w:top w:val="nil"/>
              <w:left w:val="nil"/>
              <w:bottom w:val="single" w:sz="4" w:space="0" w:color="auto"/>
              <w:right w:val="single" w:sz="4" w:space="0" w:color="auto"/>
            </w:tcBorders>
            <w:shd w:val="clear" w:color="auto" w:fill="FFD966" w:themeFill="accent4" w:themeFillTint="99"/>
            <w:noWrap/>
            <w:vAlign w:val="bottom"/>
            <w:hideMark/>
          </w:tcPr>
          <w:p w14:paraId="04AEE438"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73,8 days</w:t>
            </w:r>
          </w:p>
        </w:tc>
        <w:tc>
          <w:tcPr>
            <w:tcW w:w="1253" w:type="dxa"/>
            <w:tcBorders>
              <w:top w:val="nil"/>
              <w:left w:val="nil"/>
              <w:bottom w:val="single" w:sz="4" w:space="0" w:color="auto"/>
              <w:right w:val="single" w:sz="4" w:space="0" w:color="auto"/>
            </w:tcBorders>
            <w:shd w:val="clear" w:color="auto" w:fill="FFD966" w:themeFill="accent4" w:themeFillTint="99"/>
            <w:noWrap/>
            <w:vAlign w:val="bottom"/>
            <w:hideMark/>
          </w:tcPr>
          <w:p w14:paraId="4475DEB5"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75,6 days</w:t>
            </w:r>
          </w:p>
        </w:tc>
      </w:tr>
      <w:tr w:rsidR="00D041EE" w14:paraId="51169592" w14:textId="77777777" w:rsidTr="00D041EE">
        <w:trPr>
          <w:trHeight w:val="315"/>
        </w:trPr>
        <w:tc>
          <w:tcPr>
            <w:tcW w:w="4640" w:type="dxa"/>
            <w:tcBorders>
              <w:top w:val="nil"/>
              <w:left w:val="single" w:sz="4" w:space="0" w:color="auto"/>
              <w:bottom w:val="nil"/>
              <w:right w:val="single" w:sz="4" w:space="0" w:color="auto"/>
            </w:tcBorders>
            <w:shd w:val="clear" w:color="auto" w:fill="FFE599" w:themeFill="accent4" w:themeFillTint="66"/>
            <w:noWrap/>
            <w:vAlign w:val="bottom"/>
            <w:hideMark/>
          </w:tcPr>
          <w:p w14:paraId="4F105BE4" w14:textId="77777777" w:rsidR="00D041EE" w:rsidRDefault="00D041E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Non-Current Asset Turnover</w:t>
            </w:r>
          </w:p>
        </w:tc>
        <w:tc>
          <w:tcPr>
            <w:tcW w:w="1483" w:type="dxa"/>
            <w:tcBorders>
              <w:top w:val="nil"/>
              <w:left w:val="nil"/>
              <w:bottom w:val="single" w:sz="4" w:space="0" w:color="auto"/>
              <w:right w:val="single" w:sz="4" w:space="0" w:color="auto"/>
            </w:tcBorders>
            <w:shd w:val="clear" w:color="auto" w:fill="FFD966" w:themeFill="accent4" w:themeFillTint="99"/>
            <w:noWrap/>
            <w:vAlign w:val="bottom"/>
            <w:hideMark/>
          </w:tcPr>
          <w:p w14:paraId="41A2135E"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289 p</w:t>
            </w:r>
          </w:p>
        </w:tc>
        <w:tc>
          <w:tcPr>
            <w:tcW w:w="1253" w:type="dxa"/>
            <w:tcBorders>
              <w:top w:val="nil"/>
              <w:left w:val="nil"/>
              <w:bottom w:val="single" w:sz="4" w:space="0" w:color="auto"/>
              <w:right w:val="single" w:sz="4" w:space="0" w:color="auto"/>
            </w:tcBorders>
            <w:shd w:val="clear" w:color="auto" w:fill="FFD966" w:themeFill="accent4" w:themeFillTint="99"/>
            <w:noWrap/>
            <w:vAlign w:val="bottom"/>
            <w:hideMark/>
          </w:tcPr>
          <w:p w14:paraId="01CDD950"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250 p</w:t>
            </w:r>
          </w:p>
        </w:tc>
      </w:tr>
      <w:tr w:rsidR="00D041EE" w14:paraId="1296DFC3" w14:textId="77777777" w:rsidTr="00D041EE">
        <w:trPr>
          <w:trHeight w:val="330"/>
        </w:trPr>
        <w:tc>
          <w:tcPr>
            <w:tcW w:w="4640" w:type="dxa"/>
            <w:tcBorders>
              <w:top w:val="single" w:sz="12" w:space="0" w:color="auto"/>
              <w:left w:val="single" w:sz="12" w:space="0" w:color="auto"/>
              <w:bottom w:val="single" w:sz="12" w:space="0" w:color="auto"/>
              <w:right w:val="single" w:sz="12" w:space="0" w:color="auto"/>
            </w:tcBorders>
            <w:shd w:val="clear" w:color="auto" w:fill="FFD966" w:themeFill="accent4" w:themeFillTint="99"/>
            <w:noWrap/>
            <w:vAlign w:val="bottom"/>
            <w:hideMark/>
          </w:tcPr>
          <w:p w14:paraId="6A74F521" w14:textId="77777777" w:rsidR="00D041EE" w:rsidRDefault="00D041EE">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Liquidity</w:t>
            </w:r>
          </w:p>
        </w:tc>
        <w:tc>
          <w:tcPr>
            <w:tcW w:w="1483" w:type="dxa"/>
            <w:tcBorders>
              <w:top w:val="nil"/>
              <w:left w:val="nil"/>
              <w:bottom w:val="single" w:sz="4" w:space="0" w:color="auto"/>
              <w:right w:val="single" w:sz="4" w:space="0" w:color="auto"/>
            </w:tcBorders>
            <w:shd w:val="clear" w:color="auto" w:fill="FFD966" w:themeFill="accent4" w:themeFillTint="99"/>
            <w:noWrap/>
            <w:vAlign w:val="bottom"/>
            <w:hideMark/>
          </w:tcPr>
          <w:p w14:paraId="23ECE3D5"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253" w:type="dxa"/>
            <w:tcBorders>
              <w:top w:val="nil"/>
              <w:left w:val="nil"/>
              <w:bottom w:val="single" w:sz="4" w:space="0" w:color="auto"/>
              <w:right w:val="single" w:sz="4" w:space="0" w:color="auto"/>
            </w:tcBorders>
            <w:shd w:val="clear" w:color="auto" w:fill="FFD966" w:themeFill="accent4" w:themeFillTint="99"/>
            <w:noWrap/>
            <w:vAlign w:val="bottom"/>
            <w:hideMark/>
          </w:tcPr>
          <w:p w14:paraId="51ED2AFC"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D041EE" w14:paraId="0865B85F" w14:textId="77777777" w:rsidTr="00D041EE">
        <w:trPr>
          <w:trHeight w:val="315"/>
        </w:trPr>
        <w:tc>
          <w:tcPr>
            <w:tcW w:w="4640"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411309FE" w14:textId="77777777" w:rsidR="00D041EE" w:rsidRDefault="00D041E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Current Ratio</w:t>
            </w:r>
          </w:p>
        </w:tc>
        <w:tc>
          <w:tcPr>
            <w:tcW w:w="1483" w:type="dxa"/>
            <w:tcBorders>
              <w:top w:val="nil"/>
              <w:left w:val="nil"/>
              <w:bottom w:val="single" w:sz="4" w:space="0" w:color="auto"/>
              <w:right w:val="single" w:sz="4" w:space="0" w:color="auto"/>
            </w:tcBorders>
            <w:shd w:val="clear" w:color="auto" w:fill="FFD966" w:themeFill="accent4" w:themeFillTint="99"/>
            <w:noWrap/>
            <w:vAlign w:val="bottom"/>
            <w:hideMark/>
          </w:tcPr>
          <w:p w14:paraId="12731A10"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1,9 times</w:t>
            </w:r>
          </w:p>
        </w:tc>
        <w:tc>
          <w:tcPr>
            <w:tcW w:w="1253" w:type="dxa"/>
            <w:tcBorders>
              <w:top w:val="nil"/>
              <w:left w:val="nil"/>
              <w:bottom w:val="single" w:sz="4" w:space="0" w:color="auto"/>
              <w:right w:val="single" w:sz="4" w:space="0" w:color="auto"/>
            </w:tcBorders>
            <w:shd w:val="clear" w:color="auto" w:fill="FFD966" w:themeFill="accent4" w:themeFillTint="99"/>
            <w:noWrap/>
            <w:vAlign w:val="bottom"/>
            <w:hideMark/>
          </w:tcPr>
          <w:p w14:paraId="64BB818C"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1,8 times</w:t>
            </w:r>
          </w:p>
        </w:tc>
      </w:tr>
      <w:tr w:rsidR="00D041EE" w14:paraId="0BA446C1" w14:textId="77777777" w:rsidTr="00D041EE">
        <w:trPr>
          <w:trHeight w:val="300"/>
        </w:trPr>
        <w:tc>
          <w:tcPr>
            <w:tcW w:w="4640"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415EC630" w14:textId="77777777" w:rsidR="00D041EE" w:rsidRDefault="00D041E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Acid Test/Quick Ratio</w:t>
            </w:r>
          </w:p>
        </w:tc>
        <w:tc>
          <w:tcPr>
            <w:tcW w:w="1483" w:type="dxa"/>
            <w:tcBorders>
              <w:top w:val="nil"/>
              <w:left w:val="nil"/>
              <w:bottom w:val="single" w:sz="4" w:space="0" w:color="auto"/>
              <w:right w:val="single" w:sz="4" w:space="0" w:color="auto"/>
            </w:tcBorders>
            <w:shd w:val="clear" w:color="auto" w:fill="FFD966" w:themeFill="accent4" w:themeFillTint="99"/>
            <w:noWrap/>
            <w:vAlign w:val="bottom"/>
            <w:hideMark/>
          </w:tcPr>
          <w:p w14:paraId="6BE609AF"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1,2 times</w:t>
            </w:r>
          </w:p>
        </w:tc>
        <w:tc>
          <w:tcPr>
            <w:tcW w:w="1253" w:type="dxa"/>
            <w:tcBorders>
              <w:top w:val="nil"/>
              <w:left w:val="nil"/>
              <w:bottom w:val="single" w:sz="4" w:space="0" w:color="auto"/>
              <w:right w:val="single" w:sz="4" w:space="0" w:color="auto"/>
            </w:tcBorders>
            <w:shd w:val="clear" w:color="auto" w:fill="FFD966" w:themeFill="accent4" w:themeFillTint="99"/>
            <w:noWrap/>
            <w:vAlign w:val="bottom"/>
            <w:hideMark/>
          </w:tcPr>
          <w:p w14:paraId="730E6E24"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1,1 times</w:t>
            </w:r>
          </w:p>
        </w:tc>
      </w:tr>
      <w:tr w:rsidR="00D041EE" w14:paraId="7A629993" w14:textId="77777777" w:rsidTr="00D041EE">
        <w:trPr>
          <w:trHeight w:val="300"/>
        </w:trPr>
        <w:tc>
          <w:tcPr>
            <w:tcW w:w="4640"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383B0E57" w14:textId="77777777" w:rsidR="00D041EE" w:rsidRDefault="00D041E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Creditor Days</w:t>
            </w:r>
          </w:p>
        </w:tc>
        <w:tc>
          <w:tcPr>
            <w:tcW w:w="1483" w:type="dxa"/>
            <w:tcBorders>
              <w:top w:val="nil"/>
              <w:left w:val="nil"/>
              <w:bottom w:val="single" w:sz="4" w:space="0" w:color="auto"/>
              <w:right w:val="single" w:sz="4" w:space="0" w:color="auto"/>
            </w:tcBorders>
            <w:shd w:val="clear" w:color="auto" w:fill="FFD966" w:themeFill="accent4" w:themeFillTint="99"/>
            <w:noWrap/>
            <w:vAlign w:val="bottom"/>
            <w:hideMark/>
          </w:tcPr>
          <w:p w14:paraId="4CA1EA3C"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86,7 days</w:t>
            </w:r>
          </w:p>
        </w:tc>
        <w:tc>
          <w:tcPr>
            <w:tcW w:w="1253" w:type="dxa"/>
            <w:tcBorders>
              <w:top w:val="nil"/>
              <w:left w:val="nil"/>
              <w:bottom w:val="single" w:sz="4" w:space="0" w:color="auto"/>
              <w:right w:val="single" w:sz="4" w:space="0" w:color="auto"/>
            </w:tcBorders>
            <w:shd w:val="clear" w:color="auto" w:fill="FFD966" w:themeFill="accent4" w:themeFillTint="99"/>
            <w:noWrap/>
            <w:vAlign w:val="bottom"/>
            <w:hideMark/>
          </w:tcPr>
          <w:p w14:paraId="7AA3D656"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84,3 days</w:t>
            </w:r>
          </w:p>
        </w:tc>
      </w:tr>
      <w:tr w:rsidR="00D041EE" w14:paraId="0DF5AF53" w14:textId="77777777" w:rsidTr="00D041EE">
        <w:trPr>
          <w:trHeight w:val="315"/>
        </w:trPr>
        <w:tc>
          <w:tcPr>
            <w:tcW w:w="4640" w:type="dxa"/>
            <w:tcBorders>
              <w:top w:val="nil"/>
              <w:left w:val="single" w:sz="4" w:space="0" w:color="auto"/>
              <w:bottom w:val="nil"/>
              <w:right w:val="single" w:sz="4" w:space="0" w:color="auto"/>
            </w:tcBorders>
            <w:shd w:val="clear" w:color="auto" w:fill="FFE599" w:themeFill="accent4" w:themeFillTint="66"/>
            <w:noWrap/>
            <w:vAlign w:val="bottom"/>
            <w:hideMark/>
          </w:tcPr>
          <w:p w14:paraId="33AA91D1" w14:textId="77777777" w:rsidR="00D041EE" w:rsidRDefault="00D041E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Debtor Days</w:t>
            </w:r>
          </w:p>
        </w:tc>
        <w:tc>
          <w:tcPr>
            <w:tcW w:w="1483" w:type="dxa"/>
            <w:tcBorders>
              <w:top w:val="nil"/>
              <w:left w:val="nil"/>
              <w:bottom w:val="single" w:sz="4" w:space="0" w:color="auto"/>
              <w:right w:val="single" w:sz="4" w:space="0" w:color="auto"/>
            </w:tcBorders>
            <w:shd w:val="clear" w:color="auto" w:fill="FFD966" w:themeFill="accent4" w:themeFillTint="99"/>
            <w:noWrap/>
            <w:vAlign w:val="bottom"/>
            <w:hideMark/>
          </w:tcPr>
          <w:p w14:paraId="31A8CAAE"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59,8 days</w:t>
            </w:r>
          </w:p>
        </w:tc>
        <w:tc>
          <w:tcPr>
            <w:tcW w:w="1253" w:type="dxa"/>
            <w:tcBorders>
              <w:top w:val="nil"/>
              <w:left w:val="nil"/>
              <w:bottom w:val="single" w:sz="4" w:space="0" w:color="auto"/>
              <w:right w:val="single" w:sz="4" w:space="0" w:color="auto"/>
            </w:tcBorders>
            <w:shd w:val="clear" w:color="auto" w:fill="FFD966" w:themeFill="accent4" w:themeFillTint="99"/>
            <w:noWrap/>
            <w:vAlign w:val="bottom"/>
            <w:hideMark/>
          </w:tcPr>
          <w:p w14:paraId="33744130"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60,9 days</w:t>
            </w:r>
          </w:p>
        </w:tc>
      </w:tr>
      <w:tr w:rsidR="00D041EE" w14:paraId="2006565A" w14:textId="77777777" w:rsidTr="00D041EE">
        <w:trPr>
          <w:trHeight w:val="330"/>
        </w:trPr>
        <w:tc>
          <w:tcPr>
            <w:tcW w:w="4640" w:type="dxa"/>
            <w:tcBorders>
              <w:top w:val="single" w:sz="12" w:space="0" w:color="auto"/>
              <w:left w:val="single" w:sz="12" w:space="0" w:color="auto"/>
              <w:bottom w:val="single" w:sz="12" w:space="0" w:color="auto"/>
              <w:right w:val="single" w:sz="12" w:space="0" w:color="auto"/>
            </w:tcBorders>
            <w:shd w:val="clear" w:color="auto" w:fill="FFD966" w:themeFill="accent4" w:themeFillTint="99"/>
            <w:noWrap/>
            <w:vAlign w:val="bottom"/>
            <w:hideMark/>
          </w:tcPr>
          <w:p w14:paraId="2553B14F" w14:textId="77777777" w:rsidR="00D041EE" w:rsidRDefault="00D041EE">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Capital Structure</w:t>
            </w:r>
          </w:p>
        </w:tc>
        <w:tc>
          <w:tcPr>
            <w:tcW w:w="1483" w:type="dxa"/>
            <w:tcBorders>
              <w:top w:val="nil"/>
              <w:left w:val="nil"/>
              <w:bottom w:val="single" w:sz="4" w:space="0" w:color="auto"/>
              <w:right w:val="single" w:sz="4" w:space="0" w:color="auto"/>
            </w:tcBorders>
            <w:shd w:val="clear" w:color="auto" w:fill="FFD966" w:themeFill="accent4" w:themeFillTint="99"/>
            <w:noWrap/>
            <w:vAlign w:val="bottom"/>
            <w:hideMark/>
          </w:tcPr>
          <w:p w14:paraId="16C5F958"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253" w:type="dxa"/>
            <w:tcBorders>
              <w:top w:val="nil"/>
              <w:left w:val="nil"/>
              <w:bottom w:val="single" w:sz="4" w:space="0" w:color="auto"/>
              <w:right w:val="single" w:sz="4" w:space="0" w:color="auto"/>
            </w:tcBorders>
            <w:shd w:val="clear" w:color="auto" w:fill="FFD966" w:themeFill="accent4" w:themeFillTint="99"/>
            <w:noWrap/>
            <w:vAlign w:val="bottom"/>
            <w:hideMark/>
          </w:tcPr>
          <w:p w14:paraId="43FB700C"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D041EE" w14:paraId="0750E214" w14:textId="77777777" w:rsidTr="00D041EE">
        <w:trPr>
          <w:trHeight w:val="315"/>
        </w:trPr>
        <w:tc>
          <w:tcPr>
            <w:tcW w:w="4640"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2E2B73F1" w14:textId="77777777" w:rsidR="00D041EE" w:rsidRDefault="00D041E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Gearing Ratios</w:t>
            </w:r>
          </w:p>
        </w:tc>
        <w:tc>
          <w:tcPr>
            <w:tcW w:w="1483" w:type="dxa"/>
            <w:tcBorders>
              <w:top w:val="nil"/>
              <w:left w:val="nil"/>
              <w:bottom w:val="single" w:sz="4" w:space="0" w:color="auto"/>
              <w:right w:val="single" w:sz="4" w:space="0" w:color="auto"/>
            </w:tcBorders>
            <w:shd w:val="clear" w:color="auto" w:fill="FFD966" w:themeFill="accent4" w:themeFillTint="99"/>
            <w:noWrap/>
            <w:vAlign w:val="bottom"/>
            <w:hideMark/>
          </w:tcPr>
          <w:p w14:paraId="540BB5B2"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253" w:type="dxa"/>
            <w:tcBorders>
              <w:top w:val="nil"/>
              <w:left w:val="nil"/>
              <w:bottom w:val="single" w:sz="4" w:space="0" w:color="auto"/>
              <w:right w:val="single" w:sz="4" w:space="0" w:color="auto"/>
            </w:tcBorders>
            <w:shd w:val="clear" w:color="auto" w:fill="FFD966" w:themeFill="accent4" w:themeFillTint="99"/>
            <w:noWrap/>
            <w:vAlign w:val="bottom"/>
            <w:hideMark/>
          </w:tcPr>
          <w:p w14:paraId="60466300"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D041EE" w14:paraId="4036CE18" w14:textId="77777777" w:rsidTr="00D041EE">
        <w:trPr>
          <w:trHeight w:val="300"/>
        </w:trPr>
        <w:tc>
          <w:tcPr>
            <w:tcW w:w="4640"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44FDBC08" w14:textId="77777777" w:rsidR="00D041EE" w:rsidRDefault="00D041EE" w:rsidP="000920BB">
            <w:pPr>
              <w:pStyle w:val="ListParagraph"/>
              <w:numPr>
                <w:ilvl w:val="0"/>
                <w:numId w:val="1"/>
              </w:num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First Type</w:t>
            </w:r>
          </w:p>
        </w:tc>
        <w:tc>
          <w:tcPr>
            <w:tcW w:w="1483" w:type="dxa"/>
            <w:tcBorders>
              <w:top w:val="nil"/>
              <w:left w:val="nil"/>
              <w:bottom w:val="single" w:sz="4" w:space="0" w:color="auto"/>
              <w:right w:val="single" w:sz="4" w:space="0" w:color="auto"/>
            </w:tcBorders>
            <w:shd w:val="clear" w:color="auto" w:fill="FFD966" w:themeFill="accent4" w:themeFillTint="99"/>
            <w:noWrap/>
            <w:vAlign w:val="bottom"/>
            <w:hideMark/>
          </w:tcPr>
          <w:p w14:paraId="55236389"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41,4%</w:t>
            </w:r>
          </w:p>
        </w:tc>
        <w:tc>
          <w:tcPr>
            <w:tcW w:w="1253" w:type="dxa"/>
            <w:tcBorders>
              <w:top w:val="nil"/>
              <w:left w:val="nil"/>
              <w:bottom w:val="single" w:sz="4" w:space="0" w:color="auto"/>
              <w:right w:val="single" w:sz="4" w:space="0" w:color="auto"/>
            </w:tcBorders>
            <w:shd w:val="clear" w:color="auto" w:fill="FFD966" w:themeFill="accent4" w:themeFillTint="99"/>
            <w:noWrap/>
            <w:vAlign w:val="bottom"/>
            <w:hideMark/>
          </w:tcPr>
          <w:p w14:paraId="49AE566F"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61,3%</w:t>
            </w:r>
          </w:p>
        </w:tc>
      </w:tr>
      <w:tr w:rsidR="00D041EE" w14:paraId="3F48F94A" w14:textId="77777777" w:rsidTr="00D041EE">
        <w:trPr>
          <w:trHeight w:val="300"/>
        </w:trPr>
        <w:tc>
          <w:tcPr>
            <w:tcW w:w="4640"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118D4C88" w14:textId="77777777" w:rsidR="00D041EE" w:rsidRDefault="00D041E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b)    Second Type</w:t>
            </w:r>
          </w:p>
        </w:tc>
        <w:tc>
          <w:tcPr>
            <w:tcW w:w="1483" w:type="dxa"/>
            <w:tcBorders>
              <w:top w:val="nil"/>
              <w:left w:val="nil"/>
              <w:bottom w:val="single" w:sz="4" w:space="0" w:color="auto"/>
              <w:right w:val="single" w:sz="4" w:space="0" w:color="auto"/>
            </w:tcBorders>
            <w:shd w:val="clear" w:color="auto" w:fill="FFD966" w:themeFill="accent4" w:themeFillTint="99"/>
            <w:noWrap/>
            <w:vAlign w:val="bottom"/>
            <w:hideMark/>
          </w:tcPr>
          <w:p w14:paraId="74BDC0C4" w14:textId="77777777" w:rsidR="00D041EE" w:rsidRDefault="00D041EE" w:rsidP="000920BB">
            <w:pPr>
              <w:pStyle w:val="ListParagraph"/>
              <w:numPr>
                <w:ilvl w:val="0"/>
                <w:numId w:val="1"/>
              </w:num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29,3%</w:t>
            </w:r>
          </w:p>
        </w:tc>
        <w:tc>
          <w:tcPr>
            <w:tcW w:w="1253" w:type="dxa"/>
            <w:tcBorders>
              <w:top w:val="nil"/>
              <w:left w:val="nil"/>
              <w:bottom w:val="single" w:sz="4" w:space="0" w:color="auto"/>
              <w:right w:val="single" w:sz="4" w:space="0" w:color="auto"/>
            </w:tcBorders>
            <w:shd w:val="clear" w:color="auto" w:fill="FFD966" w:themeFill="accent4" w:themeFillTint="99"/>
            <w:noWrap/>
            <w:vAlign w:val="bottom"/>
            <w:hideMark/>
          </w:tcPr>
          <w:p w14:paraId="2E99045C"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w:t>
            </w:r>
          </w:p>
        </w:tc>
      </w:tr>
      <w:tr w:rsidR="00D041EE" w14:paraId="29EE9DAC" w14:textId="77777777" w:rsidTr="00D041EE">
        <w:trPr>
          <w:trHeight w:val="315"/>
        </w:trPr>
        <w:tc>
          <w:tcPr>
            <w:tcW w:w="4640" w:type="dxa"/>
            <w:tcBorders>
              <w:top w:val="nil"/>
              <w:left w:val="single" w:sz="4" w:space="0" w:color="auto"/>
              <w:bottom w:val="nil"/>
              <w:right w:val="single" w:sz="4" w:space="0" w:color="auto"/>
            </w:tcBorders>
            <w:shd w:val="clear" w:color="auto" w:fill="FFE599" w:themeFill="accent4" w:themeFillTint="66"/>
            <w:noWrap/>
            <w:vAlign w:val="bottom"/>
            <w:hideMark/>
          </w:tcPr>
          <w:p w14:paraId="6D906ABD" w14:textId="77777777" w:rsidR="00D041EE" w:rsidRDefault="00D041E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Interest Cover</w:t>
            </w:r>
          </w:p>
        </w:tc>
        <w:tc>
          <w:tcPr>
            <w:tcW w:w="1483" w:type="dxa"/>
            <w:tcBorders>
              <w:top w:val="nil"/>
              <w:left w:val="nil"/>
              <w:bottom w:val="single" w:sz="4" w:space="0" w:color="auto"/>
              <w:right w:val="single" w:sz="4" w:space="0" w:color="auto"/>
            </w:tcBorders>
            <w:shd w:val="clear" w:color="auto" w:fill="FFD966" w:themeFill="accent4" w:themeFillTint="99"/>
            <w:noWrap/>
            <w:vAlign w:val="bottom"/>
            <w:hideMark/>
          </w:tcPr>
          <w:p w14:paraId="585BD336"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12 times</w:t>
            </w:r>
          </w:p>
        </w:tc>
        <w:tc>
          <w:tcPr>
            <w:tcW w:w="1253" w:type="dxa"/>
            <w:tcBorders>
              <w:top w:val="nil"/>
              <w:left w:val="nil"/>
              <w:bottom w:val="single" w:sz="4" w:space="0" w:color="auto"/>
              <w:right w:val="single" w:sz="4" w:space="0" w:color="auto"/>
            </w:tcBorders>
            <w:shd w:val="clear" w:color="auto" w:fill="FFD966" w:themeFill="accent4" w:themeFillTint="99"/>
            <w:noWrap/>
            <w:vAlign w:val="bottom"/>
            <w:hideMark/>
          </w:tcPr>
          <w:p w14:paraId="55C2B6E0"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8,2 times</w:t>
            </w:r>
          </w:p>
        </w:tc>
      </w:tr>
      <w:tr w:rsidR="00D041EE" w14:paraId="512D2156" w14:textId="77777777" w:rsidTr="00D041EE">
        <w:trPr>
          <w:trHeight w:val="330"/>
        </w:trPr>
        <w:tc>
          <w:tcPr>
            <w:tcW w:w="4640" w:type="dxa"/>
            <w:tcBorders>
              <w:top w:val="single" w:sz="12" w:space="0" w:color="auto"/>
              <w:left w:val="single" w:sz="12" w:space="0" w:color="auto"/>
              <w:bottom w:val="single" w:sz="12" w:space="0" w:color="auto"/>
              <w:right w:val="single" w:sz="12" w:space="0" w:color="auto"/>
            </w:tcBorders>
            <w:shd w:val="clear" w:color="auto" w:fill="FFD966" w:themeFill="accent4" w:themeFillTint="99"/>
            <w:noWrap/>
            <w:vAlign w:val="bottom"/>
            <w:hideMark/>
          </w:tcPr>
          <w:p w14:paraId="42239159" w14:textId="77777777" w:rsidR="00D041EE" w:rsidRDefault="00D041EE">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Investment Ratios</w:t>
            </w:r>
          </w:p>
        </w:tc>
        <w:tc>
          <w:tcPr>
            <w:tcW w:w="1483" w:type="dxa"/>
            <w:tcBorders>
              <w:top w:val="nil"/>
              <w:left w:val="nil"/>
              <w:bottom w:val="single" w:sz="4" w:space="0" w:color="auto"/>
              <w:right w:val="single" w:sz="4" w:space="0" w:color="auto"/>
            </w:tcBorders>
            <w:shd w:val="clear" w:color="auto" w:fill="FFD966" w:themeFill="accent4" w:themeFillTint="99"/>
            <w:noWrap/>
            <w:vAlign w:val="bottom"/>
            <w:hideMark/>
          </w:tcPr>
          <w:p w14:paraId="698BD035"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253" w:type="dxa"/>
            <w:tcBorders>
              <w:top w:val="nil"/>
              <w:left w:val="nil"/>
              <w:bottom w:val="single" w:sz="4" w:space="0" w:color="auto"/>
              <w:right w:val="single" w:sz="4" w:space="0" w:color="auto"/>
            </w:tcBorders>
            <w:shd w:val="clear" w:color="auto" w:fill="FFD966" w:themeFill="accent4" w:themeFillTint="99"/>
            <w:noWrap/>
            <w:vAlign w:val="bottom"/>
            <w:hideMark/>
          </w:tcPr>
          <w:p w14:paraId="33BF6908"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D041EE" w14:paraId="690586E5" w14:textId="77777777" w:rsidTr="00D041EE">
        <w:trPr>
          <w:trHeight w:val="315"/>
        </w:trPr>
        <w:tc>
          <w:tcPr>
            <w:tcW w:w="4640"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4B64BA61" w14:textId="77777777" w:rsidR="00D041EE" w:rsidRDefault="00D041E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Earnings Per Share</w:t>
            </w:r>
          </w:p>
        </w:tc>
        <w:tc>
          <w:tcPr>
            <w:tcW w:w="1483" w:type="dxa"/>
            <w:tcBorders>
              <w:top w:val="nil"/>
              <w:left w:val="nil"/>
              <w:bottom w:val="single" w:sz="4" w:space="0" w:color="auto"/>
              <w:right w:val="single" w:sz="4" w:space="0" w:color="auto"/>
            </w:tcBorders>
            <w:shd w:val="clear" w:color="auto" w:fill="FFD966" w:themeFill="accent4" w:themeFillTint="99"/>
            <w:noWrap/>
            <w:vAlign w:val="bottom"/>
            <w:hideMark/>
          </w:tcPr>
          <w:p w14:paraId="724F08C8"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63 pence</w:t>
            </w:r>
          </w:p>
        </w:tc>
        <w:tc>
          <w:tcPr>
            <w:tcW w:w="1253" w:type="dxa"/>
            <w:tcBorders>
              <w:top w:val="nil"/>
              <w:left w:val="nil"/>
              <w:bottom w:val="single" w:sz="4" w:space="0" w:color="auto"/>
              <w:right w:val="single" w:sz="4" w:space="0" w:color="auto"/>
            </w:tcBorders>
            <w:shd w:val="clear" w:color="auto" w:fill="FFD966" w:themeFill="accent4" w:themeFillTint="99"/>
            <w:noWrap/>
            <w:vAlign w:val="bottom"/>
            <w:hideMark/>
          </w:tcPr>
          <w:p w14:paraId="5D10CFEC"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51 pence</w:t>
            </w:r>
          </w:p>
        </w:tc>
      </w:tr>
      <w:tr w:rsidR="00D041EE" w14:paraId="38FF7731" w14:textId="77777777" w:rsidTr="00D041EE">
        <w:trPr>
          <w:trHeight w:val="300"/>
        </w:trPr>
        <w:tc>
          <w:tcPr>
            <w:tcW w:w="4640"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1414EA31" w14:textId="77777777" w:rsidR="00D041EE" w:rsidRDefault="00D041E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Price/Earnings Ratio</w:t>
            </w:r>
          </w:p>
        </w:tc>
        <w:tc>
          <w:tcPr>
            <w:tcW w:w="1483" w:type="dxa"/>
            <w:tcBorders>
              <w:top w:val="nil"/>
              <w:left w:val="nil"/>
              <w:bottom w:val="single" w:sz="4" w:space="0" w:color="auto"/>
              <w:right w:val="single" w:sz="4" w:space="0" w:color="auto"/>
            </w:tcBorders>
            <w:shd w:val="clear" w:color="auto" w:fill="FFD966" w:themeFill="accent4" w:themeFillTint="99"/>
            <w:noWrap/>
            <w:vAlign w:val="bottom"/>
            <w:hideMark/>
          </w:tcPr>
          <w:p w14:paraId="01691BF7"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5,5 years</w:t>
            </w:r>
          </w:p>
        </w:tc>
        <w:tc>
          <w:tcPr>
            <w:tcW w:w="1253" w:type="dxa"/>
            <w:tcBorders>
              <w:top w:val="nil"/>
              <w:left w:val="nil"/>
              <w:bottom w:val="single" w:sz="4" w:space="0" w:color="auto"/>
              <w:right w:val="single" w:sz="4" w:space="0" w:color="auto"/>
            </w:tcBorders>
            <w:shd w:val="clear" w:color="auto" w:fill="FFD966" w:themeFill="accent4" w:themeFillTint="99"/>
            <w:noWrap/>
            <w:vAlign w:val="bottom"/>
            <w:hideMark/>
          </w:tcPr>
          <w:p w14:paraId="3862951E"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5,4 years</w:t>
            </w:r>
          </w:p>
        </w:tc>
      </w:tr>
      <w:tr w:rsidR="00D041EE" w14:paraId="5841117A" w14:textId="77777777" w:rsidTr="00D041EE">
        <w:trPr>
          <w:trHeight w:val="300"/>
        </w:trPr>
        <w:tc>
          <w:tcPr>
            <w:tcW w:w="4640"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3B8C6932" w14:textId="77777777" w:rsidR="00D041EE" w:rsidRDefault="00D041E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Dividend per Share</w:t>
            </w:r>
          </w:p>
        </w:tc>
        <w:tc>
          <w:tcPr>
            <w:tcW w:w="1483" w:type="dxa"/>
            <w:tcBorders>
              <w:top w:val="nil"/>
              <w:left w:val="nil"/>
              <w:bottom w:val="single" w:sz="4" w:space="0" w:color="auto"/>
              <w:right w:val="single" w:sz="4" w:space="0" w:color="auto"/>
            </w:tcBorders>
            <w:shd w:val="clear" w:color="auto" w:fill="FFD966" w:themeFill="accent4" w:themeFillTint="99"/>
            <w:noWrap/>
            <w:vAlign w:val="bottom"/>
            <w:hideMark/>
          </w:tcPr>
          <w:p w14:paraId="14AC6734"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33 pence</w:t>
            </w:r>
          </w:p>
        </w:tc>
        <w:tc>
          <w:tcPr>
            <w:tcW w:w="1253" w:type="dxa"/>
            <w:tcBorders>
              <w:top w:val="nil"/>
              <w:left w:val="nil"/>
              <w:bottom w:val="single" w:sz="4" w:space="0" w:color="auto"/>
              <w:right w:val="single" w:sz="4" w:space="0" w:color="auto"/>
            </w:tcBorders>
            <w:shd w:val="clear" w:color="auto" w:fill="FFD966" w:themeFill="accent4" w:themeFillTint="99"/>
            <w:noWrap/>
            <w:vAlign w:val="bottom"/>
            <w:hideMark/>
          </w:tcPr>
          <w:p w14:paraId="34FFE6AC"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30 pence</w:t>
            </w:r>
          </w:p>
        </w:tc>
      </w:tr>
      <w:tr w:rsidR="00D041EE" w14:paraId="2B2AA066" w14:textId="77777777" w:rsidTr="00D041EE">
        <w:trPr>
          <w:trHeight w:val="300"/>
        </w:trPr>
        <w:tc>
          <w:tcPr>
            <w:tcW w:w="4640"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5348499D" w14:textId="2A43F25C" w:rsidR="00D041EE" w:rsidRDefault="00505AAC">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Dividend</w:t>
            </w:r>
            <w:r w:rsidR="00D041EE">
              <w:rPr>
                <w:rFonts w:ascii="Calibri" w:eastAsia="Times New Roman" w:hAnsi="Calibri" w:cs="Calibri"/>
                <w:color w:val="000000"/>
                <w:lang w:eastAsia="en-GB"/>
              </w:rPr>
              <w:t xml:space="preserve"> Pay-out Percentage</w:t>
            </w:r>
          </w:p>
        </w:tc>
        <w:tc>
          <w:tcPr>
            <w:tcW w:w="1483" w:type="dxa"/>
            <w:tcBorders>
              <w:top w:val="nil"/>
              <w:left w:val="nil"/>
              <w:bottom w:val="single" w:sz="4" w:space="0" w:color="auto"/>
              <w:right w:val="single" w:sz="4" w:space="0" w:color="auto"/>
            </w:tcBorders>
            <w:shd w:val="clear" w:color="auto" w:fill="FFD966" w:themeFill="accent4" w:themeFillTint="99"/>
            <w:noWrap/>
            <w:vAlign w:val="bottom"/>
            <w:hideMark/>
          </w:tcPr>
          <w:p w14:paraId="173CF324"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52,3%</w:t>
            </w:r>
          </w:p>
        </w:tc>
        <w:tc>
          <w:tcPr>
            <w:tcW w:w="1253" w:type="dxa"/>
            <w:tcBorders>
              <w:top w:val="nil"/>
              <w:left w:val="nil"/>
              <w:bottom w:val="single" w:sz="4" w:space="0" w:color="auto"/>
              <w:right w:val="single" w:sz="4" w:space="0" w:color="auto"/>
            </w:tcBorders>
            <w:shd w:val="clear" w:color="auto" w:fill="FFD966" w:themeFill="accent4" w:themeFillTint="99"/>
            <w:noWrap/>
            <w:vAlign w:val="bottom"/>
            <w:hideMark/>
          </w:tcPr>
          <w:p w14:paraId="18485D29" w14:textId="77777777" w:rsidR="00D041EE" w:rsidRDefault="00D041E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58,8%</w:t>
            </w:r>
          </w:p>
        </w:tc>
      </w:tr>
    </w:tbl>
    <w:p w14:paraId="1D582CDE" w14:textId="77777777" w:rsidR="00D041EE" w:rsidRDefault="00D041EE" w:rsidP="00D041EE">
      <w:pPr>
        <w:jc w:val="both"/>
        <w:rPr>
          <w:rFonts w:ascii="Arial" w:hAnsi="Arial" w:cs="Arial"/>
          <w:sz w:val="24"/>
          <w:szCs w:val="24"/>
        </w:rPr>
      </w:pPr>
    </w:p>
    <w:p w14:paraId="374ED469" w14:textId="7D0A8025" w:rsidR="00D041EE" w:rsidRDefault="00D041EE" w:rsidP="00986227">
      <w:pPr>
        <w:rPr>
          <w:sz w:val="24"/>
          <w:szCs w:val="24"/>
        </w:rPr>
      </w:pPr>
      <w:r w:rsidRPr="00D041EE">
        <w:rPr>
          <w:b/>
          <w:bCs/>
          <w:sz w:val="32"/>
          <w:szCs w:val="32"/>
          <w:u w:val="single"/>
        </w:rPr>
        <w:t>CONCLUSION</w:t>
      </w:r>
      <w:r>
        <w:rPr>
          <w:sz w:val="24"/>
          <w:szCs w:val="24"/>
        </w:rPr>
        <w:t xml:space="preserve"> </w:t>
      </w:r>
    </w:p>
    <w:p w14:paraId="16E304E7" w14:textId="005D3007" w:rsidR="00D041EE" w:rsidRPr="00D041EE" w:rsidRDefault="00A97B73" w:rsidP="00986227">
      <w:pPr>
        <w:rPr>
          <w:sz w:val="24"/>
          <w:szCs w:val="24"/>
        </w:rPr>
      </w:pPr>
      <w:r>
        <w:rPr>
          <w:sz w:val="24"/>
          <w:szCs w:val="24"/>
        </w:rPr>
        <w:t>As a conclusion there is a massive difference between the two year</w:t>
      </w:r>
      <w:r w:rsidR="00594A2B">
        <w:rPr>
          <w:sz w:val="24"/>
          <w:szCs w:val="24"/>
        </w:rPr>
        <w:t xml:space="preserve">s, however, there are </w:t>
      </w:r>
      <w:r w:rsidR="00505AAC">
        <w:rPr>
          <w:sz w:val="24"/>
          <w:szCs w:val="24"/>
        </w:rPr>
        <w:t xml:space="preserve">no expands because of the gross profit which is the same in both years. </w:t>
      </w:r>
    </w:p>
    <w:sectPr w:rsidR="00D041EE" w:rsidRPr="00D041E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D23DFC" w14:textId="77777777" w:rsidR="00986227" w:rsidRDefault="00986227" w:rsidP="00986227">
      <w:pPr>
        <w:spacing w:after="0" w:line="240" w:lineRule="auto"/>
      </w:pPr>
      <w:r>
        <w:separator/>
      </w:r>
    </w:p>
  </w:endnote>
  <w:endnote w:type="continuationSeparator" w:id="0">
    <w:p w14:paraId="567F19AC" w14:textId="77777777" w:rsidR="00986227" w:rsidRDefault="00986227" w:rsidP="009862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2369211"/>
      <w:docPartObj>
        <w:docPartGallery w:val="Page Numbers (Bottom of Page)"/>
        <w:docPartUnique/>
      </w:docPartObj>
    </w:sdtPr>
    <w:sdtContent>
      <w:sdt>
        <w:sdtPr>
          <w:id w:val="-1705238520"/>
          <w:docPartObj>
            <w:docPartGallery w:val="Page Numbers (Top of Page)"/>
            <w:docPartUnique/>
          </w:docPartObj>
        </w:sdtPr>
        <w:sdtContent>
          <w:p w14:paraId="5B8DE4B7" w14:textId="378C1767" w:rsidR="00986227" w:rsidRDefault="00986227">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0F7385F" w14:textId="77777777" w:rsidR="00986227" w:rsidRDefault="009862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5A6E70" w14:textId="77777777" w:rsidR="00986227" w:rsidRDefault="00986227" w:rsidP="00986227">
      <w:pPr>
        <w:spacing w:after="0" w:line="240" w:lineRule="auto"/>
      </w:pPr>
      <w:r>
        <w:separator/>
      </w:r>
    </w:p>
  </w:footnote>
  <w:footnote w:type="continuationSeparator" w:id="0">
    <w:p w14:paraId="1FC355E3" w14:textId="77777777" w:rsidR="00986227" w:rsidRDefault="00986227" w:rsidP="009862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1F30B2"/>
    <w:multiLevelType w:val="hybridMultilevel"/>
    <w:tmpl w:val="5A20D35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227"/>
    <w:rsid w:val="001F4BE1"/>
    <w:rsid w:val="00505AAC"/>
    <w:rsid w:val="00594A2B"/>
    <w:rsid w:val="00986227"/>
    <w:rsid w:val="00A97B73"/>
    <w:rsid w:val="00D04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3739F"/>
  <w15:chartTrackingRefBased/>
  <w15:docId w15:val="{5A7EE7A2-0D67-4628-9500-2A7E7B549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62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6227"/>
  </w:style>
  <w:style w:type="paragraph" w:styleId="Footer">
    <w:name w:val="footer"/>
    <w:basedOn w:val="Normal"/>
    <w:link w:val="FooterChar"/>
    <w:uiPriority w:val="99"/>
    <w:unhideWhenUsed/>
    <w:rsid w:val="009862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6227"/>
  </w:style>
  <w:style w:type="paragraph" w:styleId="ListParagraph">
    <w:name w:val="List Paragraph"/>
    <w:basedOn w:val="Normal"/>
    <w:uiPriority w:val="34"/>
    <w:qFormat/>
    <w:rsid w:val="00D041EE"/>
    <w:pPr>
      <w:spacing w:line="254"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0328678">
      <w:bodyDiv w:val="1"/>
      <w:marLeft w:val="0"/>
      <w:marRight w:val="0"/>
      <w:marTop w:val="0"/>
      <w:marBottom w:val="0"/>
      <w:divBdr>
        <w:top w:val="none" w:sz="0" w:space="0" w:color="auto"/>
        <w:left w:val="none" w:sz="0" w:space="0" w:color="auto"/>
        <w:bottom w:val="none" w:sz="0" w:space="0" w:color="auto"/>
        <w:right w:val="none" w:sz="0" w:space="0" w:color="auto"/>
      </w:divBdr>
    </w:div>
    <w:div w:id="1335105510">
      <w:bodyDiv w:val="1"/>
      <w:marLeft w:val="0"/>
      <w:marRight w:val="0"/>
      <w:marTop w:val="0"/>
      <w:marBottom w:val="0"/>
      <w:divBdr>
        <w:top w:val="none" w:sz="0" w:space="0" w:color="auto"/>
        <w:left w:val="none" w:sz="0" w:space="0" w:color="auto"/>
        <w:bottom w:val="none" w:sz="0" w:space="0" w:color="auto"/>
        <w:right w:val="none" w:sz="0" w:space="0" w:color="auto"/>
      </w:divBdr>
    </w:div>
    <w:div w:id="1338654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3</Pages>
  <Words>450</Words>
  <Characters>2566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1</cp:revision>
  <dcterms:created xsi:type="dcterms:W3CDTF">2020-03-20T22:42:00Z</dcterms:created>
  <dcterms:modified xsi:type="dcterms:W3CDTF">2020-03-20T23:37:00Z</dcterms:modified>
</cp:coreProperties>
</file>